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253" w:line="217" w:lineRule="auto"/>
        <w:ind w:left="98"/>
        <w:rPr>
          <w:rFonts w:hint="default"/>
          <w:lang w:val="en-US" w:eastAsia="zh-CN"/>
        </w:rPr>
      </w:pPr>
      <w:r>
        <w:rPr>
          <w:b/>
          <w:bCs/>
          <w:spacing w:val="-1"/>
          <w:lang w:eastAsia="zh-CN"/>
        </w:rPr>
        <w:t>证券代码：603191</w:t>
      </w:r>
      <w:r>
        <w:rPr>
          <w:rFonts w:hint="eastAsia"/>
          <w:b/>
          <w:bCs/>
          <w:spacing w:val="-1"/>
          <w:lang w:eastAsia="zh-CN"/>
        </w:rPr>
        <w:t xml:space="preserve">        </w:t>
      </w:r>
      <w:r>
        <w:rPr>
          <w:b/>
          <w:bCs/>
          <w:spacing w:val="-1"/>
          <w:lang w:eastAsia="zh-CN"/>
        </w:rPr>
        <w:t>证券简称：望变电气</w:t>
      </w:r>
      <w:r>
        <w:rPr>
          <w:rFonts w:hint="eastAsia"/>
          <w:b/>
          <w:bCs/>
          <w:spacing w:val="-1"/>
          <w:lang w:eastAsia="zh-CN"/>
        </w:rPr>
        <w:t xml:space="preserve">        </w:t>
      </w:r>
      <w:r>
        <w:rPr>
          <w:b/>
          <w:bCs/>
          <w:spacing w:val="-2"/>
          <w:lang w:eastAsia="zh-CN"/>
        </w:rPr>
        <w:t>公告编号：202</w:t>
      </w:r>
      <w:r>
        <w:rPr>
          <w:rFonts w:hint="eastAsia"/>
          <w:b/>
          <w:bCs/>
          <w:spacing w:val="-2"/>
          <w:lang w:eastAsia="zh-CN"/>
        </w:rPr>
        <w:t>6</w:t>
      </w:r>
      <w:r>
        <w:rPr>
          <w:b/>
          <w:bCs/>
          <w:spacing w:val="-2"/>
          <w:lang w:eastAsia="zh-CN"/>
        </w:rPr>
        <w:t>-</w:t>
      </w:r>
      <w:r>
        <w:rPr>
          <w:rFonts w:hint="eastAsia"/>
          <w:b/>
          <w:bCs/>
          <w:spacing w:val="-2"/>
          <w:lang w:val="en-US" w:eastAsia="zh-CN"/>
        </w:rPr>
        <w:t>038</w:t>
      </w:r>
    </w:p>
    <w:p>
      <w:pPr>
        <w:spacing w:line="257" w:lineRule="auto"/>
        <w:rPr>
          <w:lang w:eastAsia="zh-CN"/>
        </w:rPr>
      </w:pPr>
    </w:p>
    <w:p>
      <w:pPr>
        <w:spacing w:line="257" w:lineRule="auto"/>
        <w:rPr>
          <w:lang w:eastAsia="zh-CN"/>
        </w:rPr>
      </w:pPr>
    </w:p>
    <w:p>
      <w:pPr>
        <w:spacing w:line="257" w:lineRule="auto"/>
        <w:rPr>
          <w:lang w:eastAsia="zh-CN"/>
        </w:rPr>
      </w:pPr>
    </w:p>
    <w:p>
      <w:pPr>
        <w:spacing w:line="560" w:lineRule="exact"/>
        <w:jc w:val="center"/>
        <w:rPr>
          <w:rFonts w:ascii="宋体" w:hAnsi="宋体" w:eastAsia="宋体" w:cs="仿宋_GB2312"/>
          <w:b/>
          <w:color w:val="FF0000"/>
          <w:sz w:val="36"/>
          <w:szCs w:val="36"/>
          <w:lang w:eastAsia="zh-CN"/>
        </w:rPr>
      </w:pPr>
      <w:r>
        <w:rPr>
          <w:rFonts w:hint="eastAsia" w:ascii="宋体" w:hAnsi="宋体" w:eastAsia="宋体" w:cs="仿宋_GB2312"/>
          <w:b/>
          <w:color w:val="FF0000"/>
          <w:sz w:val="36"/>
          <w:szCs w:val="36"/>
          <w:lang w:eastAsia="zh-CN"/>
        </w:rPr>
        <w:t>重庆望变电气（集团）股份有限公司</w:t>
      </w:r>
    </w:p>
    <w:p>
      <w:pPr>
        <w:spacing w:line="560" w:lineRule="exact"/>
        <w:jc w:val="center"/>
        <w:rPr>
          <w:rFonts w:ascii="宋体" w:hAnsi="宋体" w:eastAsia="宋体" w:cs="仿宋_GB2312"/>
          <w:b/>
          <w:color w:val="FF0000"/>
          <w:sz w:val="36"/>
          <w:szCs w:val="36"/>
          <w:lang w:eastAsia="zh-CN"/>
        </w:rPr>
      </w:pPr>
      <w:r>
        <w:rPr>
          <w:rFonts w:hint="eastAsia" w:ascii="宋体" w:hAnsi="宋体" w:eastAsia="宋体" w:cs="仿宋_GB2312"/>
          <w:b/>
          <w:color w:val="FF0000"/>
          <w:sz w:val="36"/>
          <w:szCs w:val="36"/>
          <w:lang w:eastAsia="zh-CN"/>
        </w:rPr>
        <w:t>关于公司2026年“提质增效重回报”行动方案的公告</w:t>
      </w:r>
    </w:p>
    <w:p>
      <w:pPr>
        <w:spacing w:before="175"/>
        <w:rPr>
          <w:lang w:eastAsia="zh-CN"/>
        </w:rPr>
      </w:pPr>
    </w:p>
    <w:tbl>
      <w:tblPr>
        <w:tblStyle w:val="11"/>
        <w:tblW w:w="847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479"/>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69" w:hRule="atLeast"/>
        </w:trPr>
        <w:tc>
          <w:tcPr>
            <w:tcW w:w="8479" w:type="dxa"/>
          </w:tcPr>
          <w:p>
            <w:pPr>
              <w:spacing w:before="267" w:line="343" w:lineRule="auto"/>
              <w:ind w:left="104" w:right="82" w:firstLine="477"/>
              <w:rPr>
                <w:rFonts w:ascii="宋体" w:hAnsi="宋体" w:eastAsia="宋体" w:cs="宋体"/>
                <w:sz w:val="24"/>
                <w:szCs w:val="24"/>
                <w:lang w:eastAsia="zh-CN"/>
              </w:rPr>
            </w:pPr>
            <w:r>
              <w:rPr>
                <w:rFonts w:ascii="仿宋" w:hAnsi="仿宋" w:eastAsia="仿宋" w:cs="仿宋"/>
                <w:spacing w:val="-3"/>
                <w:sz w:val="24"/>
                <w:szCs w:val="24"/>
                <w:lang w:eastAsia="zh-CN"/>
              </w:rPr>
              <w:t>本公司董事会及全体董事保证本公告内容不存</w:t>
            </w:r>
            <w:r>
              <w:rPr>
                <w:rFonts w:ascii="仿宋" w:hAnsi="仿宋" w:eastAsia="仿宋" w:cs="仿宋"/>
                <w:spacing w:val="-4"/>
                <w:sz w:val="24"/>
                <w:szCs w:val="24"/>
                <w:lang w:eastAsia="zh-CN"/>
              </w:rPr>
              <w:t>在任何虚假记载、误导性陈述</w:t>
            </w:r>
            <w:r>
              <w:rPr>
                <w:rFonts w:ascii="仿宋" w:hAnsi="仿宋" w:eastAsia="仿宋" w:cs="仿宋"/>
                <w:spacing w:val="-1"/>
                <w:sz w:val="24"/>
                <w:szCs w:val="24"/>
                <w:lang w:eastAsia="zh-CN"/>
              </w:rPr>
              <w:t>或者重大遗漏，并对其内容的真实性、准确性和完整性承担法律责任</w:t>
            </w:r>
            <w:r>
              <w:rPr>
                <w:rFonts w:ascii="宋体" w:hAnsi="宋体" w:eastAsia="宋体" w:cs="宋体"/>
                <w:spacing w:val="-1"/>
                <w:sz w:val="24"/>
                <w:szCs w:val="24"/>
                <w:lang w:eastAsia="zh-CN"/>
              </w:rPr>
              <w:t>。</w:t>
            </w:r>
          </w:p>
        </w:tc>
      </w:tr>
    </w:tbl>
    <w:p>
      <w:pPr>
        <w:rPr>
          <w:lang w:eastAsia="zh-CN"/>
        </w:rPr>
      </w:pPr>
    </w:p>
    <w:p>
      <w:pPr>
        <w:rPr>
          <w:lang w:eastAsia="zh-CN"/>
        </w:rPr>
      </w:pPr>
    </w:p>
    <w:p>
      <w:pPr>
        <w:rPr>
          <w:lang w:eastAsia="zh-CN"/>
        </w:rPr>
      </w:pPr>
    </w:p>
    <w:p>
      <w:pPr>
        <w:pStyle w:val="3"/>
        <w:spacing w:before="78" w:line="560" w:lineRule="exact"/>
        <w:ind w:left="584"/>
        <w:jc w:val="both"/>
        <w:outlineLvl w:val="1"/>
        <w:rPr>
          <w:lang w:eastAsia="zh-CN"/>
        </w:rPr>
      </w:pPr>
      <w:r>
        <w:rPr>
          <w:b/>
          <w:bCs/>
          <w:spacing w:val="-3"/>
          <w:lang w:eastAsia="zh-CN"/>
        </w:rPr>
        <w:t>一、董事会会议召开情况</w:t>
      </w:r>
    </w:p>
    <w:p>
      <w:pPr>
        <w:pStyle w:val="3"/>
        <w:spacing w:before="275" w:line="560" w:lineRule="exact"/>
        <w:ind w:left="0" w:right="15" w:firstLine="468" w:firstLineChars="200"/>
        <w:jc w:val="both"/>
        <w:rPr>
          <w:rFonts w:hint="default"/>
          <w:spacing w:val="-3"/>
          <w:lang w:val="en-US" w:eastAsia="zh-CN"/>
        </w:rPr>
      </w:pPr>
      <w:r>
        <w:rPr>
          <w:spacing w:val="-3"/>
          <w:lang w:eastAsia="zh-CN"/>
        </w:rPr>
        <w:t>重庆望变电气（集团）股份有限公司</w:t>
      </w:r>
      <w:r>
        <w:rPr>
          <w:rFonts w:hint="eastAsia"/>
          <w:spacing w:val="-3"/>
          <w:lang w:eastAsia="zh-CN"/>
        </w:rPr>
        <w:t>（以下简称“公司”）积</w:t>
      </w:r>
      <w:bookmarkStart w:id="1" w:name="_GoBack"/>
      <w:bookmarkEnd w:id="1"/>
      <w:r>
        <w:rPr>
          <w:rFonts w:hint="eastAsia"/>
          <w:spacing w:val="-3"/>
          <w:lang w:eastAsia="zh-CN"/>
        </w:rPr>
        <w:t>极响应上海证券交易所《关于开展沪市公司“提质增效重回报”专项行动的倡议》，推动公司高质量发展与投资价值提升，切实保护投资者尤其是中小投资者合法权益，现结合公司经营情况和发展战略，制定了</w:t>
      </w:r>
      <w:r>
        <w:rPr>
          <w:rFonts w:hint="eastAsia"/>
          <w:spacing w:val="-3"/>
          <w:lang w:val="en-US" w:eastAsia="zh-CN"/>
        </w:rPr>
        <w:t>公司2026年</w:t>
      </w:r>
      <w:r>
        <w:rPr>
          <w:rFonts w:hint="eastAsia"/>
          <w:spacing w:val="-3"/>
          <w:lang w:eastAsia="zh-CN"/>
        </w:rPr>
        <w:t>“提质增效重回报”行动方案，并于202</w:t>
      </w:r>
      <w:r>
        <w:rPr>
          <w:rFonts w:hint="eastAsia"/>
          <w:spacing w:val="-3"/>
          <w:lang w:val="en-US" w:eastAsia="zh-CN"/>
        </w:rPr>
        <w:t>6</w:t>
      </w:r>
      <w:r>
        <w:rPr>
          <w:rFonts w:hint="eastAsia"/>
          <w:spacing w:val="-3"/>
          <w:lang w:eastAsia="zh-CN"/>
        </w:rPr>
        <w:t>年</w:t>
      </w:r>
      <w:r>
        <w:rPr>
          <w:rFonts w:hint="eastAsia"/>
          <w:spacing w:val="-3"/>
          <w:lang w:val="en-US" w:eastAsia="zh-CN"/>
        </w:rPr>
        <w:t>4</w:t>
      </w:r>
      <w:r>
        <w:rPr>
          <w:rFonts w:hint="eastAsia"/>
          <w:spacing w:val="-3"/>
          <w:lang w:eastAsia="zh-CN"/>
        </w:rPr>
        <w:t>月</w:t>
      </w:r>
      <w:r>
        <w:rPr>
          <w:rFonts w:hint="eastAsia"/>
          <w:spacing w:val="-3"/>
          <w:lang w:val="en-US" w:eastAsia="zh-CN"/>
        </w:rPr>
        <w:t>28</w:t>
      </w:r>
      <w:r>
        <w:rPr>
          <w:rFonts w:hint="eastAsia"/>
          <w:spacing w:val="-3"/>
          <w:lang w:eastAsia="zh-CN"/>
        </w:rPr>
        <w:t>日经公司第</w:t>
      </w:r>
      <w:r>
        <w:rPr>
          <w:rFonts w:hint="eastAsia"/>
          <w:spacing w:val="-3"/>
          <w:lang w:val="en-US" w:eastAsia="zh-CN"/>
        </w:rPr>
        <w:t>四</w:t>
      </w:r>
      <w:r>
        <w:rPr>
          <w:rFonts w:hint="eastAsia"/>
          <w:spacing w:val="-3"/>
          <w:lang w:eastAsia="zh-CN"/>
        </w:rPr>
        <w:t>届董事会第</w:t>
      </w:r>
      <w:r>
        <w:rPr>
          <w:rFonts w:hint="eastAsia"/>
          <w:spacing w:val="-3"/>
          <w:lang w:val="en-US" w:eastAsia="zh-CN"/>
        </w:rPr>
        <w:t>二十</w:t>
      </w:r>
      <w:r>
        <w:rPr>
          <w:rFonts w:hint="eastAsia"/>
          <w:spacing w:val="-3"/>
          <w:lang w:eastAsia="zh-CN"/>
        </w:rPr>
        <w:t>次会议审议通过。</w:t>
      </w:r>
      <w:r>
        <w:rPr>
          <w:rFonts w:hint="eastAsia"/>
          <w:spacing w:val="-3"/>
          <w:lang w:val="en-US" w:eastAsia="zh-CN"/>
        </w:rPr>
        <w:t>具体内容如下：</w:t>
      </w:r>
    </w:p>
    <w:p>
      <w:pPr>
        <w:spacing w:line="560" w:lineRule="exact"/>
        <w:ind w:firstLine="470" w:firstLineChars="200"/>
        <w:rPr>
          <w:rFonts w:hint="eastAsia" w:ascii="宋体" w:hAnsi="宋体" w:eastAsia="宋体" w:cs="宋体"/>
          <w:b/>
          <w:bCs/>
          <w:spacing w:val="-3"/>
          <w:sz w:val="24"/>
          <w:szCs w:val="24"/>
          <w:lang w:eastAsia="zh-CN"/>
        </w:rPr>
      </w:pPr>
      <w:r>
        <w:rPr>
          <w:rFonts w:hint="eastAsia" w:ascii="宋体" w:hAnsi="宋体" w:eastAsia="宋体" w:cs="宋体"/>
          <w:b/>
          <w:bCs/>
          <w:spacing w:val="-3"/>
          <w:sz w:val="24"/>
          <w:szCs w:val="24"/>
          <w:lang w:eastAsia="zh-CN"/>
        </w:rPr>
        <w:t>一、提升经营质量</w:t>
      </w:r>
    </w:p>
    <w:p>
      <w:pPr>
        <w:spacing w:line="560" w:lineRule="exact"/>
        <w:ind w:firstLine="468" w:firstLineChars="200"/>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公司聚焦三大业务板块，分别为以电力变压器为主的输配电及控制设备业务、以取向硅钢为主的取向硅钢业务以及以重卡超充站为主的电动汽车充电业务。公司坚持“创新驱动、产业升级、全球拓展”的全球化发展战略，依托技术壁垒、产业协同及国际化布局，已发展成为西南地区电力设备龙头企业、民营取向硅钢行业前列企业，以及重卡超充站领域的新兴力量。</w:t>
      </w:r>
    </w:p>
    <w:p>
      <w:pPr>
        <w:spacing w:line="560" w:lineRule="exact"/>
        <w:ind w:firstLine="468" w:firstLineChars="200"/>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2025年度，公司全年实现营业收入391,701万元，同比增长16.87%；归属于上市公司股东的净利润6,924万元，同比增长6.26%；归属于上市公司股东的扣除非经常性损益的净利润6,479万元，同比增长79.38%，核心业务盈利能力显著增强。公司将持续聚焦核心业务，并积极开拓海外市场，稳步推进项目升级建设，以应对行业变革带来的挑战与机遇。</w:t>
      </w:r>
    </w:p>
    <w:p>
      <w:pPr>
        <w:spacing w:line="560" w:lineRule="exact"/>
        <w:ind w:firstLine="468" w:firstLineChars="200"/>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2026年公司将持续提升输配电及控制设备业务市场拓展与能级提升、持续推进取向硅钢业务产品高端化突破与结构优化、加速推进重卡超充运营业务布局与模式验证，力争进一步提高公司的经营质量。</w:t>
      </w:r>
    </w:p>
    <w:p>
      <w:pPr>
        <w:spacing w:line="560" w:lineRule="exact"/>
        <w:ind w:firstLine="470" w:firstLineChars="200"/>
        <w:rPr>
          <w:rFonts w:hint="eastAsia" w:ascii="宋体" w:hAnsi="宋体" w:eastAsia="宋体" w:cs="宋体"/>
          <w:b/>
          <w:bCs/>
          <w:spacing w:val="-3"/>
          <w:sz w:val="24"/>
          <w:szCs w:val="24"/>
          <w:lang w:eastAsia="zh-CN"/>
        </w:rPr>
      </w:pPr>
      <w:r>
        <w:rPr>
          <w:rFonts w:hint="eastAsia" w:ascii="宋体" w:hAnsi="宋体" w:eastAsia="宋体" w:cs="宋体"/>
          <w:b/>
          <w:bCs/>
          <w:spacing w:val="-3"/>
          <w:sz w:val="24"/>
          <w:szCs w:val="24"/>
          <w:lang w:eastAsia="zh-CN"/>
        </w:rPr>
        <w:t>二、加快发展新质生产力</w:t>
      </w:r>
    </w:p>
    <w:p>
      <w:pPr>
        <w:spacing w:line="560" w:lineRule="exact"/>
        <w:ind w:firstLine="468" w:firstLineChars="200"/>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公司积极响应国家关于发展新质生产力的号召，坚定推进从传统企业向数字化企业的转变，推动自动化、智能化设备广泛应用，加快形成新质生产力。在提升设备化效率上，加强工艺技术创新，重视与生产应用的融合。2025年公司研发投入3.06亿元，占营业收入比重达7.82%；全年申请专利73项，获得授权42项，成功获批“国家企业技术中心”及“国家级博士后科研工作站”，为企业持续创新提供了坚实平台支撑。</w:t>
      </w:r>
    </w:p>
    <w:p>
      <w:pPr>
        <w:spacing w:line="560" w:lineRule="exact"/>
        <w:ind w:firstLine="468" w:firstLineChars="200"/>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2026年公司将加快“智能制造+工业互联网”建设，推进研发设计数字化、生产制造智能化、经营管理信息化，提升生产效率和质量控制水平。构建工业互联网平台，实现产业链上下游数据贯通与协同优化。未来将持续加大研发投入，以科技创新引领企业高质量发展。</w:t>
      </w:r>
    </w:p>
    <w:p>
      <w:pPr>
        <w:spacing w:line="560" w:lineRule="exact"/>
        <w:ind w:firstLine="470" w:firstLineChars="200"/>
        <w:rPr>
          <w:rFonts w:hint="eastAsia" w:ascii="宋体" w:hAnsi="宋体" w:eastAsia="宋体" w:cs="宋体"/>
          <w:b/>
          <w:bCs/>
          <w:spacing w:val="-3"/>
          <w:sz w:val="24"/>
          <w:szCs w:val="24"/>
          <w:lang w:eastAsia="zh-CN"/>
        </w:rPr>
      </w:pPr>
      <w:r>
        <w:rPr>
          <w:rFonts w:hint="eastAsia" w:ascii="宋体" w:hAnsi="宋体" w:eastAsia="宋体" w:cs="宋体"/>
          <w:b/>
          <w:bCs/>
          <w:spacing w:val="-3"/>
          <w:sz w:val="24"/>
          <w:szCs w:val="24"/>
          <w:lang w:eastAsia="zh-CN"/>
        </w:rPr>
        <w:t>三、提升治理水平</w:t>
      </w:r>
    </w:p>
    <w:p>
      <w:pPr>
        <w:spacing w:line="560" w:lineRule="exact"/>
        <w:ind w:firstLine="468" w:firstLineChars="200"/>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公司一直高度重视治理水平的提升和完善，不断强化规范运作等方面的合规管理。公司根据相关法律法规及规范性文件的要求，建立了由股东会、董事会和公司管理层组成的较为完善的法人治理结构，形成了权力机构、决策机构、监督机构和管理执行层之间权责明确、运作规范、相互协调、相互制衡的公司治理体系。公司已根据最新法律法规及规范性文件的要求，优化更新了股东会、董事会及下设专门委员会相关制度，取消了监事会，加强了董事会审计委员会职责，公司已逐步优化了符合上市公司要求的法人治理结构，修订了《公司章程》《股东会议事规则》《董事会议事规则》及下设各专门委员会对应议事规则及其他共计29个治理制度，公司股东会、董事会、监事会（取消前）及董事会审计委员会能够按照《中华人民共和国公司法》《中华人民共和国证券法》等有关法律法规及《公司章程》、公司内部制度的规定规范运作，依法履行各自的权利和义务。</w:t>
      </w:r>
    </w:p>
    <w:p>
      <w:pPr>
        <w:spacing w:line="560" w:lineRule="exact"/>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2026年公司将根据监管要求的最新变化，持续完善内部控制和治理建设，提高规范运作水平，为保护公司股东合法权益提供有力保障。</w:t>
      </w:r>
    </w:p>
    <w:p>
      <w:pPr>
        <w:spacing w:line="560" w:lineRule="exact"/>
        <w:ind w:firstLine="470" w:firstLineChars="200"/>
        <w:rPr>
          <w:rFonts w:hint="eastAsia" w:ascii="宋体" w:hAnsi="宋体" w:eastAsia="宋体" w:cs="宋体"/>
          <w:b/>
          <w:bCs/>
          <w:spacing w:val="-3"/>
          <w:sz w:val="24"/>
          <w:szCs w:val="24"/>
          <w:lang w:eastAsia="zh-CN"/>
        </w:rPr>
      </w:pPr>
      <w:bookmarkStart w:id="0" w:name="OLE_LINK96"/>
      <w:r>
        <w:rPr>
          <w:rFonts w:hint="eastAsia" w:ascii="宋体" w:hAnsi="宋体" w:eastAsia="宋体" w:cs="宋体"/>
          <w:b/>
          <w:bCs/>
          <w:spacing w:val="-3"/>
          <w:sz w:val="24"/>
          <w:szCs w:val="24"/>
          <w:lang w:eastAsia="zh-CN"/>
        </w:rPr>
        <w:t>四、强化“关键少数”责任</w:t>
      </w:r>
    </w:p>
    <w:bookmarkEnd w:id="0"/>
    <w:p>
      <w:pPr>
        <w:spacing w:line="560" w:lineRule="exact"/>
        <w:ind w:firstLine="468" w:firstLineChars="200"/>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公司与控股股东、实际控制人及公司董事、高级管理人员等“关键少数”保持紧密沟通，及时传递监管动态和法规信息，跟踪相关方承诺履行情况，组织参加内外部与履职相关的培训，提高“关键少数”履职担当和规则意识。此外，公司定期评估独立董事的独立性，确保其能够独立、公正地履行职责，同时为独立董事履职提供必要的条件和保障，并指定人员协助独立董事高效、畅通地履行职责。</w:t>
      </w:r>
    </w:p>
    <w:p>
      <w:pPr>
        <w:spacing w:line="560" w:lineRule="exact"/>
        <w:ind w:firstLine="468" w:firstLineChars="200"/>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2026年公司将持续强化“关键少数”责任，畅通“关键少数”与监管机构及公司的沟通渠道，加强公司实际控制人、管理层与中小股东的风险共担及利益共享意识，倡导共同发展的理念，进一步推动公司实现高质量发展。</w:t>
      </w:r>
    </w:p>
    <w:p>
      <w:pPr>
        <w:spacing w:line="560" w:lineRule="exact"/>
        <w:ind w:firstLine="470" w:firstLineChars="200"/>
        <w:rPr>
          <w:rFonts w:hint="eastAsia" w:ascii="宋体" w:hAnsi="宋体" w:eastAsia="宋体" w:cs="宋体"/>
          <w:b/>
          <w:bCs/>
          <w:spacing w:val="-3"/>
          <w:sz w:val="24"/>
          <w:szCs w:val="24"/>
          <w:lang w:eastAsia="zh-CN"/>
        </w:rPr>
      </w:pPr>
      <w:r>
        <w:rPr>
          <w:rFonts w:hint="eastAsia" w:ascii="宋体" w:hAnsi="宋体" w:eastAsia="宋体" w:cs="宋体"/>
          <w:b/>
          <w:bCs/>
          <w:spacing w:val="-3"/>
          <w:sz w:val="24"/>
          <w:szCs w:val="24"/>
          <w:lang w:eastAsia="zh-CN"/>
        </w:rPr>
        <w:t>五、提升投资者回报</w:t>
      </w:r>
    </w:p>
    <w:p>
      <w:pPr>
        <w:spacing w:line="560" w:lineRule="exact"/>
        <w:ind w:firstLine="468" w:firstLineChars="200"/>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公司在关注自身发展的同时高度重视股东的合理投资回报。严格按照法律法规等相关要求，综合考虑股东的长远利益、公司所处行业特点、经营模式和项目投资资金需求等因素，实施积极稳定的利润分配政策。公司自上市以来，不断提升公司盈利能力、优化利润分配方案，通过现金分红方式，积极回报股东。最近三个会计年度公司累计现金分红及回购注销总额为13,328.29万元，占最近三个会计年度归属于上市公司股东平均净利润的比例达到108.36%。</w:t>
      </w:r>
    </w:p>
    <w:p>
      <w:pPr>
        <w:spacing w:line="560" w:lineRule="exact"/>
        <w:ind w:firstLine="468" w:firstLineChars="200"/>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2026年公司在持续稳健经营的同时，不断提升公司经营能力和盈利能力，统筹好业绩增长与股东回报的动态平衡，落实打造“长期、稳定、可持续”的股东价值回报机制， 与广大投资者共享公司发展成果。</w:t>
      </w:r>
    </w:p>
    <w:p>
      <w:pPr>
        <w:spacing w:line="560" w:lineRule="exact"/>
        <w:ind w:firstLine="470" w:firstLineChars="200"/>
        <w:rPr>
          <w:rFonts w:hint="eastAsia" w:ascii="宋体" w:hAnsi="宋体" w:eastAsia="宋体" w:cs="宋体"/>
          <w:b/>
          <w:bCs/>
          <w:spacing w:val="-3"/>
          <w:sz w:val="24"/>
          <w:szCs w:val="24"/>
          <w:lang w:eastAsia="zh-CN"/>
        </w:rPr>
      </w:pPr>
      <w:r>
        <w:rPr>
          <w:rFonts w:hint="eastAsia" w:ascii="宋体" w:hAnsi="宋体" w:eastAsia="宋体" w:cs="宋体"/>
          <w:b/>
          <w:bCs/>
          <w:spacing w:val="-3"/>
          <w:sz w:val="24"/>
          <w:szCs w:val="24"/>
          <w:lang w:eastAsia="zh-CN"/>
        </w:rPr>
        <w:t>六、加强投资者沟通</w:t>
      </w:r>
    </w:p>
    <w:p>
      <w:pPr>
        <w:spacing w:line="560" w:lineRule="exact"/>
        <w:ind w:firstLine="468" w:firstLineChars="200"/>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公司高度重视投资者关系管理工作，配备专职团队，积极建立与资本市场的有效沟通机制，传递公司投资价值。公司形成了多层次沟通机制，通过股东会、业绩说明会、“上证 e 互动”、热线电话等多种途径保持与投资者及时高效的沟通交流，充分了解投资者诉求、解答投资者疑问、听取投资者意见与建议。同时及时传递公司经营发展情况、财务状况、产品进展等信息，充分保护投资者合法权益，稳定和提升资本市场信心。2025年公司持续与投资机构保持密切沟通交流，多次参加券商策略会，积极接待机构上门调研，与国内电新行业研究员建立良好的互动关系，向投资者介绍公司投资价值、发展优势、未来发展前景，加深投资者对公司的了解和认同，维护公司公开和透明的良好资本市场形象。</w:t>
      </w:r>
    </w:p>
    <w:p>
      <w:pPr>
        <w:spacing w:line="560" w:lineRule="exact"/>
        <w:ind w:firstLine="468" w:firstLineChars="200"/>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2026年，公司在持续与资本市场沟通的过程中，会管理层及相关业务负责人共同参与投资者关系活动，进一步增强公司与投资者互动的深度和广度。</w:t>
      </w:r>
    </w:p>
    <w:p>
      <w:pPr>
        <w:spacing w:line="560" w:lineRule="exact"/>
        <w:ind w:firstLine="468" w:firstLineChars="200"/>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本次行动方案是基于目前公司的实际情况而做出的计划方案，方案所涉及的公司规划及未来预测等系前瞻性陈述，不构成公司对投资者的承诺，未来可能会受到宏观政策调整、行业竞争等因素的影响，存在一定的不确定性，敬请投资者注意相关风险。</w:t>
      </w:r>
    </w:p>
    <w:p>
      <w:pPr>
        <w:spacing w:line="560" w:lineRule="exact"/>
        <w:rPr>
          <w:rFonts w:hint="eastAsia" w:ascii="宋体" w:hAnsi="宋体" w:eastAsia="宋体" w:cs="宋体"/>
          <w:spacing w:val="-3"/>
          <w:sz w:val="24"/>
          <w:szCs w:val="24"/>
          <w:lang w:eastAsia="zh-CN"/>
        </w:rPr>
      </w:pPr>
    </w:p>
    <w:p>
      <w:pPr>
        <w:spacing w:line="560" w:lineRule="exact"/>
        <w:rPr>
          <w:rFonts w:hint="eastAsia" w:ascii="宋体" w:hAnsi="宋体" w:eastAsia="宋体" w:cs="宋体"/>
          <w:spacing w:val="-3"/>
          <w:sz w:val="24"/>
          <w:szCs w:val="24"/>
          <w:lang w:eastAsia="zh-CN"/>
        </w:rPr>
      </w:pPr>
    </w:p>
    <w:p>
      <w:pPr>
        <w:pStyle w:val="3"/>
        <w:spacing w:before="78" w:line="217" w:lineRule="auto"/>
        <w:ind w:left="500"/>
        <w:rPr>
          <w:lang w:eastAsia="zh-CN"/>
        </w:rPr>
      </w:pPr>
      <w:r>
        <w:rPr>
          <w:spacing w:val="-2"/>
          <w:lang w:eastAsia="zh-CN"/>
        </w:rPr>
        <w:t>特此公告。</w:t>
      </w:r>
    </w:p>
    <w:p>
      <w:pPr>
        <w:spacing w:line="243" w:lineRule="auto"/>
        <w:rPr>
          <w:lang w:eastAsia="zh-CN"/>
        </w:rPr>
      </w:pPr>
    </w:p>
    <w:p>
      <w:pPr>
        <w:spacing w:line="243" w:lineRule="auto"/>
        <w:rPr>
          <w:lang w:eastAsia="zh-CN"/>
        </w:rPr>
      </w:pPr>
    </w:p>
    <w:p>
      <w:pPr>
        <w:spacing w:line="243" w:lineRule="auto"/>
        <w:rPr>
          <w:lang w:eastAsia="zh-CN"/>
        </w:rPr>
      </w:pPr>
    </w:p>
    <w:p>
      <w:pPr>
        <w:pStyle w:val="3"/>
        <w:spacing w:before="78" w:line="218" w:lineRule="auto"/>
        <w:ind w:right="13"/>
        <w:jc w:val="right"/>
        <w:rPr>
          <w:lang w:eastAsia="zh-CN"/>
        </w:rPr>
      </w:pPr>
      <w:r>
        <w:rPr>
          <w:spacing w:val="-1"/>
          <w:lang w:eastAsia="zh-CN"/>
        </w:rPr>
        <w:t>重庆望变电气（集团）股份有限公司董事会</w:t>
      </w:r>
    </w:p>
    <w:p>
      <w:pPr>
        <w:pStyle w:val="3"/>
        <w:spacing w:before="275" w:line="219" w:lineRule="auto"/>
        <w:jc w:val="right"/>
      </w:pPr>
      <w:r>
        <w:rPr>
          <w:spacing w:val="-12"/>
        </w:rPr>
        <w:t>202</w:t>
      </w:r>
      <w:r>
        <w:rPr>
          <w:rFonts w:hint="eastAsia"/>
          <w:spacing w:val="-12"/>
          <w:lang w:eastAsia="zh-CN"/>
        </w:rPr>
        <w:t>6</w:t>
      </w:r>
      <w:r>
        <w:rPr>
          <w:spacing w:val="-12"/>
        </w:rPr>
        <w:t>年4月</w:t>
      </w:r>
      <w:r>
        <w:rPr>
          <w:rFonts w:hint="eastAsia"/>
          <w:spacing w:val="-12"/>
          <w:lang w:val="en-US" w:eastAsia="zh-CN"/>
        </w:rPr>
        <w:t>30</w:t>
      </w:r>
      <w:r>
        <w:rPr>
          <w:spacing w:val="-12"/>
        </w:rPr>
        <w:t>日</w:t>
      </w:r>
    </w:p>
    <w:sectPr>
      <w:footerReference r:id="rId3" w:type="default"/>
      <w:pgSz w:w="11906" w:h="16839"/>
      <w:pgMar w:top="1431" w:right="1785" w:bottom="1211" w:left="1785" w:header="0" w:footer="97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B0604020202020204"/>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exact"/>
      <w:ind w:left="4124"/>
      <w:rPr>
        <w:sz w:val="18"/>
        <w:szCs w:val="18"/>
      </w:rPr>
    </w:pPr>
    <w:r>
      <w:rPr>
        <w:position w:val="1"/>
        <w:sz w:val="18"/>
        <w:szCs w:val="18"/>
      </w:rPr>
      <w:t>6</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isplayHorizontalDrawingGridEvery w:val="0"/>
  <w:displayVerticalDrawingGridEvery w:val="2"/>
  <w:characterSpacingControl w:val="doNotCompress"/>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MzcyODMxYTE0ZTc0ZGU3Y2QwODc3MzYzN2Q1YmNiM2EifQ=="/>
  </w:docVars>
  <w:rsids>
    <w:rsidRoot w:val="00E71022"/>
    <w:rsid w:val="00480A2B"/>
    <w:rsid w:val="00563636"/>
    <w:rsid w:val="007B41ED"/>
    <w:rsid w:val="00A254E1"/>
    <w:rsid w:val="00C21549"/>
    <w:rsid w:val="00C51372"/>
    <w:rsid w:val="00E71022"/>
    <w:rsid w:val="00FF22DA"/>
    <w:rsid w:val="04644481"/>
    <w:rsid w:val="062742CF"/>
    <w:rsid w:val="086D6CFC"/>
    <w:rsid w:val="0C2104C6"/>
    <w:rsid w:val="0D4E4C07"/>
    <w:rsid w:val="0D537C99"/>
    <w:rsid w:val="1380268A"/>
    <w:rsid w:val="15445219"/>
    <w:rsid w:val="15A91739"/>
    <w:rsid w:val="173E5FA9"/>
    <w:rsid w:val="182B1B8A"/>
    <w:rsid w:val="1C5F04A6"/>
    <w:rsid w:val="1D4F5C8C"/>
    <w:rsid w:val="268818C7"/>
    <w:rsid w:val="344A2875"/>
    <w:rsid w:val="40D432EC"/>
    <w:rsid w:val="451505D5"/>
    <w:rsid w:val="47BD0B55"/>
    <w:rsid w:val="48164C1B"/>
    <w:rsid w:val="4EA823FA"/>
    <w:rsid w:val="4EC62B02"/>
    <w:rsid w:val="59D045C8"/>
    <w:rsid w:val="5CA1662A"/>
    <w:rsid w:val="64030921"/>
    <w:rsid w:val="65416585"/>
    <w:rsid w:val="6785439B"/>
    <w:rsid w:val="7E4D5481"/>
    <w:rsid w:val="7FE94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style>
  <w:style w:type="paragraph" w:styleId="3">
    <w:name w:val="Body Text"/>
    <w:basedOn w:val="1"/>
    <w:semiHidden/>
    <w:qFormat/>
    <w:uiPriority w:val="0"/>
    <w:rPr>
      <w:rFonts w:ascii="宋体" w:hAnsi="宋体" w:eastAsia="宋体" w:cs="宋体"/>
      <w:sz w:val="24"/>
      <w:szCs w:val="24"/>
    </w:rPr>
  </w:style>
  <w:style w:type="paragraph" w:styleId="4">
    <w:name w:val="footer"/>
    <w:basedOn w:val="1"/>
    <w:link w:val="14"/>
    <w:qFormat/>
    <w:uiPriority w:val="0"/>
    <w:pPr>
      <w:tabs>
        <w:tab w:val="center" w:pos="4153"/>
        <w:tab w:val="right" w:pos="8306"/>
      </w:tabs>
    </w:pPr>
    <w:rPr>
      <w:sz w:val="18"/>
      <w:szCs w:val="18"/>
    </w:rPr>
  </w:style>
  <w:style w:type="paragraph" w:styleId="5">
    <w:name w:val="header"/>
    <w:basedOn w:val="1"/>
    <w:link w:val="13"/>
    <w:qFormat/>
    <w:uiPriority w:val="0"/>
    <w:pPr>
      <w:tabs>
        <w:tab w:val="center" w:pos="4153"/>
        <w:tab w:val="right" w:pos="8306"/>
      </w:tabs>
      <w:jc w:val="center"/>
    </w:pPr>
    <w:rPr>
      <w:sz w:val="18"/>
      <w:szCs w:val="18"/>
    </w:rPr>
  </w:style>
  <w:style w:type="paragraph" w:styleId="6">
    <w:name w:val="Title"/>
    <w:basedOn w:val="1"/>
    <w:next w:val="1"/>
    <w:link w:val="12"/>
    <w:qFormat/>
    <w:uiPriority w:val="0"/>
    <w:pPr>
      <w:widowControl w:val="0"/>
      <w:spacing w:before="240" w:after="60"/>
      <w:jc w:val="center"/>
      <w:outlineLvl w:val="0"/>
    </w:pPr>
    <w:rPr>
      <w:rFonts w:ascii="Cambria" w:hAnsi="Cambria" w:eastAsia="宋体" w:cs="Times New Roman"/>
      <w:b/>
      <w:bCs/>
      <w:kern w:val="2"/>
      <w:sz w:val="32"/>
      <w:szCs w:val="32"/>
      <w:lang w:eastAsia="zh-CN"/>
    </w:rPr>
  </w:style>
  <w:style w:type="paragraph" w:styleId="7">
    <w:name w:val="annotation subject"/>
    <w:basedOn w:val="2"/>
    <w:next w:val="2"/>
    <w:link w:val="17"/>
    <w:qFormat/>
    <w:uiPriority w:val="0"/>
    <w:rPr>
      <w:b/>
      <w:bCs/>
    </w:rPr>
  </w:style>
  <w:style w:type="character" w:styleId="10">
    <w:name w:val="annotation reference"/>
    <w:basedOn w:val="9"/>
    <w:qFormat/>
    <w:uiPriority w:val="0"/>
    <w:rPr>
      <w:sz w:val="21"/>
      <w:szCs w:val="21"/>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标题 字符"/>
    <w:basedOn w:val="9"/>
    <w:link w:val="6"/>
    <w:qFormat/>
    <w:uiPriority w:val="0"/>
    <w:rPr>
      <w:rFonts w:ascii="Cambria" w:hAnsi="Cambria" w:eastAsia="宋体" w:cs="Times New Roman"/>
      <w:b/>
      <w:bCs/>
      <w:kern w:val="2"/>
      <w:sz w:val="32"/>
      <w:szCs w:val="32"/>
    </w:rPr>
  </w:style>
  <w:style w:type="character" w:customStyle="1" w:styleId="13">
    <w:name w:val="页眉 字符"/>
    <w:basedOn w:val="9"/>
    <w:link w:val="5"/>
    <w:qFormat/>
    <w:uiPriority w:val="0"/>
    <w:rPr>
      <w:rFonts w:ascii="Arial" w:hAnsi="Arial" w:eastAsia="Arial" w:cs="Arial"/>
      <w:snapToGrid w:val="0"/>
      <w:color w:val="000000"/>
      <w:sz w:val="18"/>
      <w:szCs w:val="18"/>
      <w:lang w:eastAsia="en-US"/>
    </w:rPr>
  </w:style>
  <w:style w:type="character" w:customStyle="1" w:styleId="14">
    <w:name w:val="页脚 字符"/>
    <w:basedOn w:val="9"/>
    <w:link w:val="4"/>
    <w:qFormat/>
    <w:uiPriority w:val="0"/>
    <w:rPr>
      <w:rFonts w:ascii="Arial" w:hAnsi="Arial" w:eastAsia="Arial" w:cs="Arial"/>
      <w:snapToGrid w:val="0"/>
      <w:color w:val="000000"/>
      <w:sz w:val="18"/>
      <w:szCs w:val="18"/>
      <w:lang w:eastAsia="en-US"/>
    </w:rPr>
  </w:style>
  <w:style w:type="paragraph" w:customStyle="1" w:styleId="15">
    <w:name w:val="Revision"/>
    <w:hidden/>
    <w:unhideWhenUsed/>
    <w:qFormat/>
    <w:uiPriority w:val="99"/>
    <w:rPr>
      <w:rFonts w:ascii="Arial" w:hAnsi="Arial" w:eastAsia="Arial" w:cs="Arial"/>
      <w:snapToGrid w:val="0"/>
      <w:color w:val="000000"/>
      <w:sz w:val="21"/>
      <w:szCs w:val="21"/>
      <w:lang w:val="en-US" w:eastAsia="en-US" w:bidi="ar-SA"/>
    </w:rPr>
  </w:style>
  <w:style w:type="character" w:customStyle="1" w:styleId="16">
    <w:name w:val="批注文字 字符"/>
    <w:basedOn w:val="9"/>
    <w:link w:val="2"/>
    <w:qFormat/>
    <w:uiPriority w:val="0"/>
    <w:rPr>
      <w:rFonts w:ascii="Arial" w:hAnsi="Arial" w:eastAsia="Arial" w:cs="Arial"/>
      <w:snapToGrid w:val="0"/>
      <w:color w:val="000000"/>
      <w:sz w:val="21"/>
      <w:szCs w:val="21"/>
      <w:lang w:eastAsia="en-US"/>
    </w:rPr>
  </w:style>
  <w:style w:type="character" w:customStyle="1" w:styleId="17">
    <w:name w:val="批注主题 字符"/>
    <w:basedOn w:val="16"/>
    <w:link w:val="7"/>
    <w:qFormat/>
    <w:uiPriority w:val="0"/>
    <w:rPr>
      <w:rFonts w:ascii="Arial" w:hAnsi="Arial" w:eastAsia="Arial" w:cs="Arial"/>
      <w:b/>
      <w:bCs/>
      <w:snapToGrid w:val="0"/>
      <w:color w:val="000000"/>
      <w:sz w:val="21"/>
      <w:szCs w:val="21"/>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2555</Words>
  <Characters>2660</Characters>
  <Lines>19</Lines>
  <Paragraphs>5</Paragraphs>
  <TotalTime>11</TotalTime>
  <ScaleCrop>false</ScaleCrop>
  <LinksUpToDate>false</LinksUpToDate>
  <CharactersWithSpaces>2679</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2025-04-25T18:06:00Z</dcterms:created>
  <dc:creator>BJB-ZB-03</dc:creator>
  <cp:lastModifiedBy>雯亦</cp:lastModifiedBy>
  <cp:lastPrinted>2026-04-28T03:17:00Z</cp:lastPrinted>
  <dcterms:modified xsi:type="dcterms:W3CDTF">2026-04-28T05:03:30Z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2026-03-24T14:28:42Z</vt:filetime>
  </property>
  <property fmtid="{D5CDD505-2E9C-101B-9397-08002B2CF9AE}" pid="4" name="KSOTemplateDocerSaveRecord">
    <vt:lpwstr>eyJoZGlkIjoiZTQzZmRmZDMxMjkwMDE2NTk0ZWQ1ZWYwMzRmYjVhNmUiLCJ1c2VySWQiOiI2NDQwNzQxNTQifQ==</vt:lpwstr>
  </property>
  <property fmtid="{D5CDD505-2E9C-101B-9397-08002B2CF9AE}" pid="5" name="KSOProductBuildVer">
    <vt:lpwstr>2052-11.1.0.12165</vt:lpwstr>
  </property>
  <property fmtid="{D5CDD505-2E9C-101B-9397-08002B2CF9AE}" pid="6" name="ICV">
    <vt:lpwstr>B0914ECF03794A53AF047677D709AF4A</vt:lpwstr>
  </property>
</Properties>
</file>