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603191</w:t>
      </w:r>
      <w:r>
        <w:rPr>
          <w:rFonts w:hint="eastAsia" w:ascii="宋体" w:hAnsi="宋体" w:eastAsia="宋体"/>
          <w:b/>
          <w:sz w:val="24"/>
          <w:szCs w:val="24"/>
        </w:rPr>
        <w:t xml:space="preserve">         证券简称：望变电气       公告编号：2</w:t>
      </w:r>
      <w:r>
        <w:rPr>
          <w:rFonts w:ascii="宋体" w:hAnsi="宋体" w:eastAsia="宋体"/>
          <w:b/>
          <w:sz w:val="24"/>
          <w:szCs w:val="24"/>
        </w:rPr>
        <w:t>02</w:t>
      </w:r>
      <w:r>
        <w:rPr>
          <w:rFonts w:hint="eastAsia" w:ascii="宋体" w:hAnsi="宋体" w:eastAsia="宋体"/>
          <w:b/>
          <w:sz w:val="24"/>
          <w:szCs w:val="24"/>
        </w:rPr>
        <w:t>6-</w:t>
      </w:r>
      <w:r>
        <w:rPr>
          <w:rFonts w:hint="eastAsia" w:ascii="宋体" w:hAnsi="宋体" w:eastAsia="宋体"/>
          <w:b/>
          <w:sz w:val="24"/>
          <w:szCs w:val="24"/>
          <w:lang w:val="en-US" w:eastAsia="zh-CN"/>
        </w:rPr>
        <w:t>029</w:t>
      </w:r>
    </w:p>
    <w:p>
      <w:pPr>
        <w:adjustRightInd w:val="0"/>
        <w:snapToGrid w:val="0"/>
        <w:spacing w:line="560" w:lineRule="exact"/>
        <w:jc w:val="left"/>
        <w:rPr>
          <w:rFonts w:hint="eastAsia" w:ascii="仿宋" w:hAnsi="仿宋" w:eastAsia="仿宋_GB2312"/>
          <w:sz w:val="30"/>
          <w:szCs w:val="30"/>
        </w:rPr>
      </w:pPr>
    </w:p>
    <w:p>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关于向特定对象发行股票摊薄即期回报</w:t>
      </w:r>
    </w:p>
    <w:p>
      <w:pPr>
        <w:adjustRightInd w:val="0"/>
        <w:snapToGrid w:val="0"/>
        <w:spacing w:before="156" w:beforeLines="50" w:after="156" w:afterLines="50" w:line="560" w:lineRule="exact"/>
        <w:jc w:val="center"/>
        <w:rPr>
          <w:rFonts w:hint="eastAsia" w:ascii="仿宋_GB2312" w:hAnsi="仿宋_GB2312" w:eastAsia="仿宋_GB2312" w:cs="仿宋_GB2312"/>
          <w:b/>
          <w:bCs/>
          <w:sz w:val="30"/>
          <w:szCs w:val="30"/>
        </w:rPr>
      </w:pPr>
      <w:r>
        <w:rPr>
          <w:rFonts w:hint="eastAsia" w:ascii="宋体" w:hAnsi="宋体" w:eastAsia="宋体" w:cs="仿宋_GB2312"/>
          <w:b/>
          <w:bCs/>
          <w:color w:val="FF0000"/>
          <w:sz w:val="36"/>
          <w:szCs w:val="36"/>
        </w:rPr>
        <w:t>与采取填补措施及相关主</w:t>
      </w:r>
      <w:bookmarkStart w:id="11" w:name="_GoBack"/>
      <w:bookmarkEnd w:id="11"/>
      <w:r>
        <w:rPr>
          <w:rFonts w:hint="eastAsia" w:ascii="宋体" w:hAnsi="宋体" w:eastAsia="宋体" w:cs="仿宋_GB2312"/>
          <w:b/>
          <w:bCs/>
          <w:color w:val="FF0000"/>
          <w:sz w:val="36"/>
          <w:szCs w:val="36"/>
        </w:rPr>
        <w:t>体承诺（修订稿）的公告</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eastAsia="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sz w:val="24"/>
          <w:szCs w:val="24"/>
        </w:rPr>
        <w:t>。</w:t>
      </w:r>
    </w:p>
    <w:p>
      <w:pPr>
        <w:autoSpaceDE w:val="0"/>
        <w:autoSpaceDN w:val="0"/>
        <w:adjustRightInd w:val="0"/>
        <w:snapToGrid w:val="0"/>
        <w:spacing w:line="560" w:lineRule="exact"/>
        <w:rPr>
          <w:rFonts w:hint="eastAsia" w:ascii="仿宋" w:hAnsi="仿宋" w:eastAsia="仿宋_GB2312"/>
          <w:sz w:val="30"/>
          <w:szCs w:val="30"/>
        </w:rPr>
      </w:pPr>
    </w:p>
    <w:p>
      <w:pPr>
        <w:spacing w:before="156" w:beforeLines="50" w:line="360" w:lineRule="auto"/>
        <w:ind w:firstLine="480" w:firstLineChars="200"/>
        <w:rPr>
          <w:rFonts w:ascii="Times New Roman" w:hAnsi="Times New Roman" w:cs="Times New Roman"/>
          <w:sz w:val="24"/>
          <w:szCs w:val="24"/>
        </w:rPr>
      </w:pPr>
      <w:r>
        <w:rPr>
          <w:rFonts w:hint="eastAsia" w:ascii="宋体" w:hAnsi="宋体" w:eastAsia="宋体"/>
          <w:sz w:val="24"/>
          <w:szCs w:val="24"/>
        </w:rPr>
        <w:t>重庆望变电气（集团）股份有限公司（以下简称“公司”）分别</w:t>
      </w:r>
      <w:r>
        <w:rPr>
          <w:rFonts w:ascii="宋体" w:hAnsi="宋体" w:eastAsia="宋体" w:cs="宋体"/>
          <w:sz w:val="24"/>
          <w:szCs w:val="24"/>
        </w:rPr>
        <w:t>于202</w:t>
      </w:r>
      <w:r>
        <w:rPr>
          <w:rFonts w:hint="eastAsia" w:ascii="宋体" w:hAnsi="宋体" w:eastAsia="宋体" w:cs="宋体"/>
          <w:sz w:val="24"/>
          <w:szCs w:val="24"/>
        </w:rPr>
        <w:t>6</w:t>
      </w:r>
      <w:r>
        <w:rPr>
          <w:rFonts w:ascii="宋体" w:hAnsi="宋体" w:eastAsia="宋体" w:cs="宋体"/>
          <w:sz w:val="24"/>
          <w:szCs w:val="24"/>
        </w:rPr>
        <w:t>年</w:t>
      </w:r>
      <w:r>
        <w:rPr>
          <w:rFonts w:hint="eastAsia" w:ascii="宋体" w:hAnsi="宋体" w:eastAsia="宋体" w:cs="宋体"/>
          <w:sz w:val="24"/>
          <w:szCs w:val="24"/>
        </w:rPr>
        <w:t>2</w:t>
      </w:r>
      <w:r>
        <w:rPr>
          <w:rFonts w:ascii="宋体" w:hAnsi="宋体" w:eastAsia="宋体" w:cs="宋体"/>
          <w:sz w:val="24"/>
          <w:szCs w:val="24"/>
        </w:rPr>
        <w:t>月</w:t>
      </w:r>
      <w:r>
        <w:rPr>
          <w:rFonts w:hint="eastAsia" w:ascii="宋体" w:hAnsi="宋体" w:eastAsia="宋体" w:cs="宋体"/>
          <w:sz w:val="24"/>
          <w:szCs w:val="24"/>
        </w:rPr>
        <w:t>6</w:t>
      </w:r>
      <w:r>
        <w:rPr>
          <w:rFonts w:ascii="宋体" w:hAnsi="宋体" w:eastAsia="宋体" w:cs="宋体"/>
          <w:sz w:val="24"/>
          <w:szCs w:val="24"/>
        </w:rPr>
        <w:t>日</w:t>
      </w:r>
      <w:r>
        <w:rPr>
          <w:rFonts w:hint="eastAsia" w:ascii="宋体" w:hAnsi="宋体" w:eastAsia="宋体" w:cs="宋体"/>
          <w:sz w:val="24"/>
          <w:szCs w:val="24"/>
        </w:rPr>
        <w:t>、2026年4月3日</w:t>
      </w:r>
      <w:r>
        <w:rPr>
          <w:rFonts w:ascii="宋体" w:hAnsi="宋体" w:eastAsia="宋体" w:cs="宋体"/>
          <w:sz w:val="24"/>
          <w:szCs w:val="24"/>
        </w:rPr>
        <w:t>召开第</w:t>
      </w:r>
      <w:r>
        <w:rPr>
          <w:rFonts w:hint="eastAsia" w:ascii="宋体" w:hAnsi="宋体" w:eastAsia="宋体" w:cs="宋体"/>
          <w:sz w:val="24"/>
          <w:szCs w:val="24"/>
        </w:rPr>
        <w:t>四</w:t>
      </w:r>
      <w:r>
        <w:rPr>
          <w:rFonts w:ascii="宋体" w:hAnsi="宋体" w:eastAsia="宋体" w:cs="宋体"/>
          <w:sz w:val="24"/>
          <w:szCs w:val="24"/>
        </w:rPr>
        <w:t>届董事会第</w:t>
      </w:r>
      <w:r>
        <w:rPr>
          <w:rFonts w:hint="eastAsia" w:ascii="宋体" w:hAnsi="宋体" w:eastAsia="宋体" w:cs="宋体"/>
          <w:sz w:val="24"/>
          <w:szCs w:val="24"/>
        </w:rPr>
        <w:t>十七</w:t>
      </w:r>
      <w:r>
        <w:rPr>
          <w:rFonts w:ascii="宋体" w:hAnsi="宋体" w:eastAsia="宋体" w:cs="宋体"/>
          <w:sz w:val="24"/>
          <w:szCs w:val="24"/>
        </w:rPr>
        <w:t>次会议</w:t>
      </w:r>
      <w:r>
        <w:rPr>
          <w:rFonts w:hint="eastAsia" w:ascii="宋体" w:hAnsi="宋体" w:eastAsia="宋体" w:cs="宋体"/>
          <w:sz w:val="24"/>
          <w:szCs w:val="24"/>
        </w:rPr>
        <w:t>、</w:t>
      </w:r>
      <w:r>
        <w:rPr>
          <w:rFonts w:ascii="宋体" w:hAnsi="宋体" w:eastAsia="宋体" w:cs="宋体"/>
          <w:sz w:val="24"/>
          <w:szCs w:val="24"/>
        </w:rPr>
        <w:t>第</w:t>
      </w:r>
      <w:r>
        <w:rPr>
          <w:rFonts w:hint="eastAsia" w:ascii="宋体" w:hAnsi="宋体" w:eastAsia="宋体" w:cs="宋体"/>
          <w:sz w:val="24"/>
          <w:szCs w:val="24"/>
        </w:rPr>
        <w:t>四</w:t>
      </w:r>
      <w:r>
        <w:rPr>
          <w:rFonts w:ascii="宋体" w:hAnsi="宋体" w:eastAsia="宋体" w:cs="宋体"/>
          <w:sz w:val="24"/>
          <w:szCs w:val="24"/>
        </w:rPr>
        <w:t>届董事会第</w:t>
      </w:r>
      <w:r>
        <w:rPr>
          <w:rFonts w:hint="eastAsia" w:ascii="宋体" w:hAnsi="宋体" w:eastAsia="宋体" w:cs="宋体"/>
          <w:sz w:val="24"/>
          <w:szCs w:val="24"/>
        </w:rPr>
        <w:t>十九</w:t>
      </w:r>
      <w:r>
        <w:rPr>
          <w:rFonts w:ascii="宋体" w:hAnsi="宋体" w:eastAsia="宋体" w:cs="宋体"/>
          <w:sz w:val="24"/>
          <w:szCs w:val="24"/>
        </w:rPr>
        <w:t>次会议，审议通过了公司向特定对象发行股票（以下简称“本次发行”）的相关议案。</w:t>
      </w:r>
      <w:r>
        <w:rPr>
          <w:rFonts w:hint="eastAsia" w:ascii="Times New Roman" w:hAnsi="Times New Roman" w:cs="Times New Roman"/>
          <w:sz w:val="24"/>
          <w:szCs w:val="24"/>
        </w:rPr>
        <w:t>根据《国务院办公厅关于进一步加强资本市场中小投资者合法权益保护工作的意见》（国办发[2013]110号）、《国务院关于进一步促进资本市场健康发展的若干意见》（国发[2014]17号）以及证监会《关于首发及再融资、重大资产重组摊薄即期回报有关事项的指导意见》（证监会公告[2015]31号）等文件的有关规定，为保障中小投资者利益，公司就本次向特定对象发行股票对普通股股东权益和即期回报可能造成的影响进行了分析，并结合公司实际情况提出了填补回报的相关措施，相关主体对公司填补回报措施能够得到切实履行作出了承诺。具体说明如下：</w:t>
      </w:r>
    </w:p>
    <w:p>
      <w:pPr>
        <w:keepNext/>
        <w:spacing w:before="156" w:beforeLines="50" w:line="360" w:lineRule="auto"/>
        <w:outlineLvl w:val="1"/>
        <w:rPr>
          <w:rFonts w:hint="eastAsia" w:ascii="黑体" w:hAnsi="黑体" w:eastAsia="黑体" w:cs="Times New Roman"/>
          <w:b/>
          <w:sz w:val="28"/>
          <w:szCs w:val="28"/>
        </w:rPr>
      </w:pPr>
      <w:bookmarkStart w:id="0" w:name="_Toc219392669"/>
      <w:r>
        <w:rPr>
          <w:rFonts w:hint="eastAsia" w:ascii="黑体" w:hAnsi="黑体" w:eastAsia="黑体" w:cs="Times New Roman"/>
          <w:b/>
          <w:sz w:val="28"/>
          <w:szCs w:val="28"/>
        </w:rPr>
        <w:t>一、本次向特定对象发行对公司每股收益的影响测算</w:t>
      </w:r>
      <w:bookmarkEnd w:id="0"/>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本次向特定对象发行股票募集资金总额为人民币30,000.00万元，发行数量为</w:t>
      </w:r>
      <w:r>
        <w:rPr>
          <w:rFonts w:ascii="Times New Roman" w:hAnsi="Times New Roman" w:cs="Times New Roman"/>
          <w:sz w:val="24"/>
          <w:szCs w:val="24"/>
        </w:rPr>
        <w:t>19,493,177</w:t>
      </w:r>
      <w:r>
        <w:rPr>
          <w:rFonts w:hint="eastAsia" w:ascii="Times New Roman" w:hAnsi="Times New Roman" w:cs="Times New Roman"/>
          <w:sz w:val="24"/>
          <w:szCs w:val="24"/>
        </w:rPr>
        <w:t>股。</w:t>
      </w:r>
    </w:p>
    <w:p>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（一）主要假设条件及测算说明</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以下假设仅为测算本次发行对公司主要财务指标的影响，不代表公司对未来年度经营情况及财务状况的判断，亦不构成盈利预测。投资者不应据此进行投资决策，如投资者据此进行投资决策而造成任何损失的，公司不承担任何责任。相关假设如下：</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1、假设宏观经济环境、产业政策、行业发展状况、产品市场情况、公司经营情况、证券市场情况等方面没有发生重大不利变化。</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2、假设本次发行募集资金总额为人民币30,000.00万元，以定价基准日前20个交易日股票交易均价的80%计算，本次股票发行的价格为15.39元/股，对应新增股票数量为</w:t>
      </w:r>
      <w:r>
        <w:rPr>
          <w:rFonts w:ascii="Times New Roman" w:hAnsi="Times New Roman" w:cs="Times New Roman"/>
          <w:sz w:val="24"/>
          <w:szCs w:val="24"/>
        </w:rPr>
        <w:t>19,493,177</w:t>
      </w:r>
      <w:r>
        <w:rPr>
          <w:rFonts w:hint="eastAsia" w:ascii="Times New Roman" w:hAnsi="Times New Roman" w:cs="Times New Roman"/>
          <w:sz w:val="24"/>
          <w:szCs w:val="24"/>
        </w:rPr>
        <w:t>股，不考虑扣除发行费用的影响。</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3、假设本次发行于2026年9月完成，该完成时间仅用于计算本次发行对摊薄即期回报的影响，最终以经中国证监会同意注册后的实际发行时间为准。</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4、本次发行股票的股份数量、募集资金金额、发行时间仅为基于测算目的假设，最终以实际发行股票的股份数量、发行结果和实际日期为准。</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5、本测算不考虑本次发行募集资金到账后，对公司生产经营、财务状况（如财务费用、投资收益）等的影响。</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6、在预测公司总股本时，以2025年末总股本332,353,407股、本次发行股票19,493,177股为基础，不考虑除本次向特定对象发行股数之外的其他因素对股本的影响。此外，假设不考虑除募集资金、净利润之外的其他因素对公司净资产的影响，假设公司在本次发行定价基准日至发行日期间不存在派息、送红股、资本公积金转增股本等除权、除息事项。</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7、根据公司《2025年年度报告》，2025年度，公司归属于上市公司股东的净利润、归属于上市公司股东的扣除非经常性损益的净利润分别为6,924.32万元和6,479.47万元，假设2026年度归属于上市公司股东的净利润、归属于上市公司股东的扣除非经常性损益的净利润较2025年度持平、增长10%、减少10%三种情景分别测算。</w:t>
      </w:r>
    </w:p>
    <w:p>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（二）对公司主要财务指标的影响分析</w:t>
      </w:r>
    </w:p>
    <w:p>
      <w:pPr>
        <w:adjustRightInd w:val="0"/>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基于上述假设，公司测算本次发行对主要财务指标的影响，具体测算情况如下：</w:t>
      </w:r>
    </w:p>
    <w:tbl>
      <w:tblPr>
        <w:tblStyle w:val="88"/>
        <w:tblW w:w="5000" w:type="pct"/>
        <w:tblInd w:w="0" w:type="dxa"/>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fixed"/>
        <w:tblCellMar>
          <w:top w:w="0" w:type="dxa"/>
          <w:left w:w="108" w:type="dxa"/>
          <w:bottom w:w="0" w:type="dxa"/>
          <w:right w:w="108" w:type="dxa"/>
        </w:tblCellMar>
      </w:tblPr>
      <w:tblGrid>
        <w:gridCol w:w="3794"/>
        <w:gridCol w:w="1594"/>
        <w:gridCol w:w="1605"/>
        <w:gridCol w:w="1529"/>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blHeader/>
        </w:trPr>
        <w:tc>
          <w:tcPr>
            <w:tcW w:w="2226" w:type="pct"/>
            <w:vMerge w:val="restart"/>
            <w:tcBorders>
              <w:top w:val="single" w:color="010000" w:sz="12" w:space="0"/>
              <w:bottom w:val="single" w:color="010000" w:sz="4" w:space="0"/>
            </w:tcBorders>
            <w:noWrap/>
            <w:vAlign w:val="center"/>
          </w:tcPr>
          <w:p>
            <w:pPr>
              <w:widowControl/>
              <w:jc w:val="center"/>
              <w:rPr>
                <w:rFonts w:ascii="Times New Roman" w:hAnsi="Times New Roman" w:eastAsia="宋体" w:cs="Times New Roman"/>
                <w:b/>
                <w:color w:val="000000"/>
                <w:kern w:val="0"/>
                <w:szCs w:val="21"/>
              </w:rPr>
            </w:pPr>
            <w:bookmarkStart w:id="1" w:name="_Hlk176273375"/>
            <w:bookmarkStart w:id="2" w:name="_Hlk137997881"/>
            <w:r>
              <w:rPr>
                <w:rFonts w:ascii="Times New Roman" w:hAnsi="Times New Roman" w:eastAsia="宋体" w:cs="Times New Roman"/>
                <w:b/>
                <w:color w:val="000000"/>
                <w:kern w:val="0"/>
                <w:szCs w:val="21"/>
              </w:rPr>
              <w:t>项目</w:t>
            </w:r>
          </w:p>
        </w:tc>
        <w:tc>
          <w:tcPr>
            <w:tcW w:w="935" w:type="pct"/>
            <w:vMerge w:val="restart"/>
            <w:tcBorders>
              <w:top w:val="single" w:color="010000" w:sz="12" w:space="0"/>
              <w:bottom w:val="single" w:color="010000" w:sz="4" w:space="0"/>
            </w:tcBorders>
            <w:noWrap/>
            <w:vAlign w:val="center"/>
          </w:tcPr>
          <w:p>
            <w:pPr>
              <w:widowControl/>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202</w:t>
            </w:r>
            <w:r>
              <w:rPr>
                <w:rFonts w:hint="eastAsia" w:ascii="Times New Roman" w:hAnsi="Times New Roman" w:eastAsia="宋体" w:cs="Times New Roman"/>
                <w:b/>
                <w:color w:val="000000"/>
                <w:kern w:val="0"/>
                <w:szCs w:val="21"/>
              </w:rPr>
              <w:t>5</w:t>
            </w:r>
            <w:r>
              <w:rPr>
                <w:rFonts w:ascii="Times New Roman" w:hAnsi="Times New Roman" w:eastAsia="宋体" w:cs="Times New Roman"/>
                <w:b/>
                <w:color w:val="000000"/>
                <w:kern w:val="0"/>
                <w:szCs w:val="21"/>
              </w:rPr>
              <w:t>年度</w:t>
            </w:r>
            <w:r>
              <w:rPr>
                <w:rFonts w:hint="eastAsia" w:ascii="Times New Roman" w:hAnsi="Times New Roman" w:eastAsia="宋体" w:cs="Times New Roman"/>
                <w:b/>
                <w:color w:val="000000"/>
                <w:kern w:val="0"/>
                <w:szCs w:val="21"/>
              </w:rPr>
              <w:t>/2025年末</w:t>
            </w:r>
          </w:p>
        </w:tc>
        <w:tc>
          <w:tcPr>
            <w:tcW w:w="1839" w:type="pct"/>
            <w:gridSpan w:val="2"/>
            <w:tcBorders>
              <w:top w:val="single" w:color="010000" w:sz="12" w:space="0"/>
              <w:bottom w:val="single" w:color="010000" w:sz="4" w:space="0"/>
            </w:tcBorders>
            <w:vAlign w:val="center"/>
          </w:tcPr>
          <w:p>
            <w:pPr>
              <w:widowControl/>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202</w:t>
            </w:r>
            <w:r>
              <w:rPr>
                <w:rFonts w:hint="eastAsia" w:ascii="Times New Roman" w:hAnsi="Times New Roman" w:eastAsia="宋体" w:cs="Times New Roman"/>
                <w:b/>
                <w:color w:val="000000"/>
                <w:kern w:val="0"/>
                <w:szCs w:val="21"/>
              </w:rPr>
              <w:t>6</w:t>
            </w:r>
            <w:r>
              <w:rPr>
                <w:rFonts w:ascii="Times New Roman" w:hAnsi="Times New Roman" w:eastAsia="宋体" w:cs="Times New Roman"/>
                <w:b/>
                <w:color w:val="000000"/>
                <w:kern w:val="0"/>
                <w:szCs w:val="21"/>
              </w:rPr>
              <w:t>年度</w:t>
            </w:r>
            <w:r>
              <w:rPr>
                <w:rFonts w:hint="eastAsia" w:ascii="Times New Roman" w:hAnsi="Times New Roman" w:eastAsia="宋体" w:cs="Times New Roman"/>
                <w:b/>
                <w:color w:val="000000"/>
                <w:kern w:val="0"/>
                <w:szCs w:val="21"/>
              </w:rPr>
              <w:t>/2026年末</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blHeader/>
        </w:trPr>
        <w:tc>
          <w:tcPr>
            <w:tcW w:w="2226" w:type="pct"/>
            <w:vMerge w:val="continue"/>
            <w:tcBorders>
              <w:top w:val="single" w:color="010000" w:sz="4" w:space="0"/>
              <w:bottom w:val="single" w:color="010000" w:sz="4" w:space="0"/>
            </w:tcBorders>
            <w:vAlign w:val="center"/>
          </w:tcPr>
          <w:p>
            <w:pPr>
              <w:widowControl/>
              <w:jc w:val="center"/>
              <w:rPr>
                <w:rFonts w:ascii="Times New Roman" w:hAnsi="Times New Roman" w:eastAsia="宋体" w:cs="Times New Roman"/>
                <w:b/>
                <w:color w:val="000000"/>
                <w:kern w:val="0"/>
                <w:szCs w:val="21"/>
              </w:rPr>
            </w:pPr>
          </w:p>
        </w:tc>
        <w:tc>
          <w:tcPr>
            <w:tcW w:w="935" w:type="pct"/>
            <w:vMerge w:val="continue"/>
            <w:tcBorders>
              <w:top w:val="single" w:color="010000" w:sz="4" w:space="0"/>
              <w:bottom w:val="single" w:color="010000" w:sz="4" w:space="0"/>
            </w:tcBorders>
            <w:vAlign w:val="center"/>
          </w:tcPr>
          <w:p>
            <w:pPr>
              <w:widowControl/>
              <w:jc w:val="center"/>
              <w:rPr>
                <w:rFonts w:ascii="Times New Roman" w:hAnsi="Times New Roman" w:eastAsia="宋体" w:cs="Times New Roman"/>
                <w:b/>
                <w:color w:val="000000"/>
                <w:kern w:val="0"/>
                <w:szCs w:val="21"/>
              </w:rPr>
            </w:pPr>
          </w:p>
        </w:tc>
        <w:tc>
          <w:tcPr>
            <w:tcW w:w="942" w:type="pct"/>
            <w:tcBorders>
              <w:top w:val="single" w:color="010000" w:sz="4" w:space="0"/>
              <w:bottom w:val="single" w:color="010000" w:sz="4" w:space="0"/>
            </w:tcBorders>
            <w:noWrap/>
            <w:vAlign w:val="center"/>
          </w:tcPr>
          <w:p>
            <w:pPr>
              <w:widowControl/>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发行前</w:t>
            </w:r>
          </w:p>
        </w:tc>
        <w:tc>
          <w:tcPr>
            <w:tcW w:w="897" w:type="pct"/>
            <w:tcBorders>
              <w:top w:val="single" w:color="010000" w:sz="4" w:space="0"/>
              <w:bottom w:val="single" w:color="010000" w:sz="4" w:space="0"/>
            </w:tcBorders>
            <w:noWrap/>
            <w:vAlign w:val="center"/>
          </w:tcPr>
          <w:p>
            <w:pPr>
              <w:widowControl/>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发行后</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5000" w:type="pct"/>
            <w:gridSpan w:val="4"/>
            <w:tcBorders>
              <w:top w:val="single" w:color="010000" w:sz="4" w:space="0"/>
            </w:tcBorders>
            <w:vAlign w:val="center"/>
          </w:tcPr>
          <w:p>
            <w:pPr>
              <w:widowControl/>
              <w:jc w:val="left"/>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假设1：假设公司2026年度实现的归属于上市公司股东的净利润、归属于上市公司股东的扣除非经常性损益的净利润与2025年度持平</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总股本（万股）</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33,235.34 </w:t>
            </w:r>
          </w:p>
        </w:tc>
        <w:tc>
          <w:tcPr>
            <w:tcW w:w="942"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33,235.34</w:t>
            </w:r>
          </w:p>
        </w:tc>
        <w:tc>
          <w:tcPr>
            <w:tcW w:w="897"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35,184.66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归属于上市公司股东的净利润（万元）</w:t>
            </w:r>
          </w:p>
        </w:tc>
        <w:tc>
          <w:tcPr>
            <w:tcW w:w="935"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等线" w:cs="Times New Roman"/>
                <w:color w:val="000000"/>
                <w:kern w:val="0"/>
                <w:szCs w:val="21"/>
              </w:rPr>
              <w:t xml:space="preserve">6,924.32 </w:t>
            </w:r>
            <w:r>
              <w:rPr>
                <w:rFonts w:ascii="Times New Roman" w:hAnsi="Times New Roman" w:eastAsia="等线" w:cs="Times New Roman"/>
                <w:color w:val="000000"/>
                <w:kern w:val="0"/>
                <w:szCs w:val="21"/>
              </w:rPr>
              <w:t xml:space="preserve"> </w:t>
            </w:r>
          </w:p>
        </w:tc>
        <w:tc>
          <w:tcPr>
            <w:tcW w:w="942"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6,924.32</w:t>
            </w:r>
          </w:p>
        </w:tc>
        <w:tc>
          <w:tcPr>
            <w:tcW w:w="897"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6,924.32</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归属于上市公司股东的扣除非经常损益的净利润（万元）</w:t>
            </w:r>
          </w:p>
        </w:tc>
        <w:tc>
          <w:tcPr>
            <w:tcW w:w="935"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等线" w:cs="Times New Roman"/>
                <w:color w:val="000000"/>
                <w:kern w:val="0"/>
                <w:szCs w:val="21"/>
              </w:rPr>
              <w:t xml:space="preserve">6,479.47 </w:t>
            </w:r>
          </w:p>
        </w:tc>
        <w:tc>
          <w:tcPr>
            <w:tcW w:w="942"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6,479.47</w:t>
            </w:r>
          </w:p>
        </w:tc>
        <w:tc>
          <w:tcPr>
            <w:tcW w:w="897"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6,479.47</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归属于上市公司股东的净资产（万元）</w:t>
            </w:r>
          </w:p>
        </w:tc>
        <w:tc>
          <w:tcPr>
            <w:tcW w:w="935"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等线" w:cs="Times New Roman"/>
                <w:color w:val="000000"/>
                <w:kern w:val="0"/>
                <w:szCs w:val="21"/>
              </w:rPr>
              <w:t xml:space="preserve">249,464.17 </w:t>
            </w:r>
            <w:r>
              <w:rPr>
                <w:rFonts w:ascii="Times New Roman" w:hAnsi="Times New Roman" w:eastAsia="等线" w:cs="Times New Roman"/>
                <w:color w:val="000000"/>
                <w:kern w:val="0"/>
                <w:szCs w:val="21"/>
              </w:rPr>
              <w:t xml:space="preserve"> </w:t>
            </w:r>
          </w:p>
        </w:tc>
        <w:tc>
          <w:tcPr>
            <w:tcW w:w="942"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256,388.49</w:t>
            </w:r>
          </w:p>
        </w:tc>
        <w:tc>
          <w:tcPr>
            <w:tcW w:w="897"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286,388.49</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基本每股收益（元/股）</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0.2</w:t>
            </w:r>
            <w:r>
              <w:rPr>
                <w:rFonts w:hint="eastAsia" w:ascii="Times New Roman" w:hAnsi="Times New Roman" w:eastAsia="等线" w:cs="Times New Roman"/>
                <w:color w:val="000000"/>
                <w:kern w:val="0"/>
                <w:szCs w:val="21"/>
              </w:rPr>
              <w:t>1</w:t>
            </w:r>
            <w:r>
              <w:rPr>
                <w:rFonts w:ascii="Times New Roman" w:hAnsi="Times New Roman" w:eastAsia="等线" w:cs="Times New Roman"/>
                <w:color w:val="000000"/>
                <w:kern w:val="0"/>
                <w:szCs w:val="21"/>
              </w:rPr>
              <w:t xml:space="preserve"> </w:t>
            </w:r>
          </w:p>
        </w:tc>
        <w:tc>
          <w:tcPr>
            <w:tcW w:w="942"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0.21</w:t>
            </w:r>
          </w:p>
        </w:tc>
        <w:tc>
          <w:tcPr>
            <w:tcW w:w="897"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0.21</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稀释每股收益（元/股）</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0.</w:t>
            </w:r>
            <w:r>
              <w:rPr>
                <w:rFonts w:hint="eastAsia" w:ascii="Times New Roman" w:hAnsi="Times New Roman" w:eastAsia="等线" w:cs="Times New Roman"/>
                <w:color w:val="000000"/>
                <w:kern w:val="0"/>
                <w:szCs w:val="21"/>
              </w:rPr>
              <w:t>21</w:t>
            </w:r>
            <w:r>
              <w:rPr>
                <w:rFonts w:ascii="Times New Roman" w:hAnsi="Times New Roman" w:eastAsia="等线" w:cs="Times New Roman"/>
                <w:color w:val="000000"/>
                <w:kern w:val="0"/>
                <w:szCs w:val="21"/>
              </w:rPr>
              <w:t xml:space="preserve"> </w:t>
            </w:r>
          </w:p>
        </w:tc>
        <w:tc>
          <w:tcPr>
            <w:tcW w:w="942"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0.21</w:t>
            </w:r>
          </w:p>
        </w:tc>
        <w:tc>
          <w:tcPr>
            <w:tcW w:w="897"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0.21</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加权平均净资产收益率</w:t>
            </w:r>
          </w:p>
        </w:tc>
        <w:tc>
          <w:tcPr>
            <w:tcW w:w="935"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等线" w:cs="Times New Roman"/>
                <w:color w:val="000000"/>
                <w:kern w:val="0"/>
                <w:szCs w:val="21"/>
              </w:rPr>
              <w:t>2.83</w:t>
            </w:r>
            <w:r>
              <w:rPr>
                <w:rFonts w:ascii="Times New Roman" w:hAnsi="Times New Roman" w:eastAsia="等线" w:cs="Times New Roman"/>
                <w:color w:val="000000"/>
                <w:kern w:val="0"/>
                <w:szCs w:val="21"/>
              </w:rPr>
              <w:t>%</w:t>
            </w:r>
          </w:p>
        </w:tc>
        <w:tc>
          <w:tcPr>
            <w:tcW w:w="942"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2.74%</w:t>
            </w:r>
          </w:p>
        </w:tc>
        <w:tc>
          <w:tcPr>
            <w:tcW w:w="897"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2.66%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扣除非经常性损益后的加权平均净资产收益率</w:t>
            </w:r>
          </w:p>
        </w:tc>
        <w:tc>
          <w:tcPr>
            <w:tcW w:w="935"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等线" w:cs="Times New Roman"/>
                <w:color w:val="000000"/>
                <w:kern w:val="0"/>
                <w:szCs w:val="21"/>
              </w:rPr>
              <w:t>2.64</w:t>
            </w:r>
            <w:r>
              <w:rPr>
                <w:rFonts w:ascii="Times New Roman" w:hAnsi="Times New Roman" w:eastAsia="等线" w:cs="Times New Roman"/>
                <w:color w:val="000000"/>
                <w:kern w:val="0"/>
                <w:szCs w:val="21"/>
              </w:rPr>
              <w:t>%</w:t>
            </w:r>
          </w:p>
        </w:tc>
        <w:tc>
          <w:tcPr>
            <w:tcW w:w="942"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2.56%</w:t>
            </w:r>
          </w:p>
        </w:tc>
        <w:tc>
          <w:tcPr>
            <w:tcW w:w="897"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2.49%</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5000" w:type="pct"/>
            <w:gridSpan w:val="4"/>
            <w:vAlign w:val="center"/>
          </w:tcPr>
          <w:p>
            <w:pPr>
              <w:widowControl/>
              <w:jc w:val="left"/>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假设2：假设公司2026年度实现的归属于上市公司股东的净利润、归属于上市公司股东的扣除非经常性损益的净利润较2025年度增长10%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总股本（万股）</w:t>
            </w:r>
          </w:p>
        </w:tc>
        <w:tc>
          <w:tcPr>
            <w:tcW w:w="935"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33,235.34</w:t>
            </w:r>
          </w:p>
        </w:tc>
        <w:tc>
          <w:tcPr>
            <w:tcW w:w="942"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33,235.34</w:t>
            </w:r>
          </w:p>
        </w:tc>
        <w:tc>
          <w:tcPr>
            <w:tcW w:w="897" w:type="pct"/>
            <w:noWrap/>
            <w:vAlign w:val="center"/>
          </w:tcPr>
          <w:p>
            <w:pPr>
              <w:widowControl/>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35,184.66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归属于上市公司股东的净利润（万元）</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6,924.32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7,616.75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7,616.75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归属于上市公司股东的扣除非经常损益的净利润（万元）</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6,479.47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7,127.41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7,127.41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归属于上市公司股东的净资产（万元）</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249,464.17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257,080.93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287,080.93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基本每股收益（元/股）</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0.21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0.23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0.23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稀释每股收益（元/股）</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0.21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0.23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0.23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加权平均净资产收益率</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2.83%</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3.01%</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2.92%</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扣除非经常性损益后的加权平均净资产收益率</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2.64%</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2.81%</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2.73%</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5000" w:type="pct"/>
            <w:gridSpan w:val="4"/>
            <w:vAlign w:val="center"/>
          </w:tcPr>
          <w:p>
            <w:pPr>
              <w:widowControl/>
              <w:jc w:val="left"/>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假设3：假设公司2026年度实现的归属于上市公司股东的净利润、归属于上市公司股东的扣除非经常性损益的净利润较2025年度减少10%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总股本（万股）</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33,235.34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33,235.34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35,184.66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归属于上市公司股东的净利润（万元）</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6,924.32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6,231.89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6,231.89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归属于上市公司股东的扣除非经常损益的净利润（万元）</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6,479.47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5,831.52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5,831.52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归属于上市公司股东的净资产（万元）</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249,464.17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255,696.06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285,696.06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基本每股收益（元/股）</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0.21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0.19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0.18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稀释每股收益（元/股）</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0.21 </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0.19 </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 xml:space="preserve">0.18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加权平均净资产收益率</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2.83%</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2.47%</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2.40%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扣除非经常性损益后的加权平均净资产收益率</w:t>
            </w:r>
          </w:p>
        </w:tc>
        <w:tc>
          <w:tcPr>
            <w:tcW w:w="935"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2.64%</w:t>
            </w:r>
          </w:p>
        </w:tc>
        <w:tc>
          <w:tcPr>
            <w:tcW w:w="942"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2.31%</w:t>
            </w:r>
          </w:p>
        </w:tc>
        <w:tc>
          <w:tcPr>
            <w:tcW w:w="897" w:type="pct"/>
            <w:noWrap/>
            <w:vAlign w:val="center"/>
          </w:tcPr>
          <w:p>
            <w:pPr>
              <w:widowControl/>
              <w:jc w:val="right"/>
              <w:rPr>
                <w:rFonts w:ascii="Times New Roman" w:hAnsi="Times New Roman" w:eastAsia="宋体" w:cs="Times New Roman"/>
                <w:kern w:val="0"/>
                <w:szCs w:val="21"/>
              </w:rPr>
            </w:pPr>
            <w:r>
              <w:rPr>
                <w:rFonts w:ascii="Times New Roman" w:hAnsi="Times New Roman" w:eastAsia="等线" w:cs="Times New Roman"/>
                <w:color w:val="000000"/>
                <w:kern w:val="0"/>
                <w:szCs w:val="21"/>
              </w:rPr>
              <w:t>2.24%</w:t>
            </w:r>
          </w:p>
        </w:tc>
      </w:tr>
      <w:bookmarkEnd w:id="1"/>
    </w:tbl>
    <w:p>
      <w:pPr>
        <w:adjustRightInd w:val="0"/>
        <w:rPr>
          <w:rFonts w:ascii="Times New Roman" w:hAnsi="Times New Roman" w:cs="Times New Roman"/>
          <w:szCs w:val="21"/>
        </w:rPr>
      </w:pPr>
      <w:r>
        <w:rPr>
          <w:rFonts w:hint="eastAsia" w:ascii="Times New Roman" w:hAnsi="Times New Roman" w:cs="Times New Roman"/>
          <w:szCs w:val="21"/>
        </w:rPr>
        <w:t>注1：按照《公开发行证券的公司信息披露编报规则第9号-净资产收益率和每股收益的计算及披露》（证监会公告[2010]2号）的规定计算；</w:t>
      </w:r>
    </w:p>
    <w:p>
      <w:pPr>
        <w:adjustRightInd w:val="0"/>
        <w:rPr>
          <w:rFonts w:ascii="Times New Roman" w:hAnsi="Times New Roman" w:cs="Times New Roman"/>
          <w:szCs w:val="21"/>
        </w:rPr>
      </w:pPr>
      <w:bookmarkStart w:id="3" w:name="_Hlk137997925"/>
      <w:r>
        <w:rPr>
          <w:rFonts w:hint="eastAsia" w:ascii="Times New Roman" w:hAnsi="Times New Roman" w:cs="Times New Roman"/>
          <w:szCs w:val="21"/>
        </w:rPr>
        <w:t>注2：</w:t>
      </w:r>
      <w:bookmarkEnd w:id="3"/>
      <w:r>
        <w:rPr>
          <w:rFonts w:hint="eastAsia" w:ascii="Times New Roman" w:hAnsi="Times New Roman" w:cs="Times New Roman"/>
          <w:szCs w:val="21"/>
        </w:rPr>
        <w:t>以上假设分析和测算数据仅作为简单分析测算本次发行摊薄即期回报对公司财务指标的影响之用，并不构成公司的盈利预测和分红计划，投资者不应据此进行投资决策，投资者据此进行投资决策造成损失的，公司不承担赔偿责任</w:t>
      </w:r>
      <w:bookmarkEnd w:id="2"/>
      <w:r>
        <w:rPr>
          <w:rFonts w:hint="eastAsia" w:ascii="Times New Roman" w:hAnsi="Times New Roman" w:cs="Times New Roman"/>
          <w:szCs w:val="21"/>
        </w:rPr>
        <w:t>。</w:t>
      </w:r>
    </w:p>
    <w:p>
      <w:pPr>
        <w:keepNext/>
        <w:spacing w:before="156" w:beforeLines="50" w:line="360" w:lineRule="auto"/>
        <w:outlineLvl w:val="1"/>
        <w:rPr>
          <w:rFonts w:hint="eastAsia" w:ascii="黑体" w:hAnsi="黑体" w:eastAsia="黑体" w:cs="Times New Roman"/>
          <w:b/>
          <w:sz w:val="28"/>
          <w:szCs w:val="28"/>
        </w:rPr>
      </w:pPr>
      <w:bookmarkStart w:id="4" w:name="_Toc219392670"/>
      <w:r>
        <w:rPr>
          <w:rFonts w:hint="eastAsia" w:ascii="黑体" w:hAnsi="黑体" w:eastAsia="黑体" w:cs="Times New Roman"/>
          <w:b/>
          <w:sz w:val="28"/>
          <w:szCs w:val="28"/>
        </w:rPr>
        <w:t>二、本次向特定对象发行股票摊薄即期回报风险的特别提示</w:t>
      </w:r>
      <w:bookmarkEnd w:id="4"/>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向特定对象发行股票实施完毕后，公司的总股本和净资产将有一定程度的增加，因此，短期内公司的每股收益、净资产收益率等指标存在被摊薄的风险，特此提醒投资者关注本次向特定对象发行摊薄即期回报的风险。</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此外，在测算本次发行对即期回报的摊薄影响过程中，公司对2026年归属于上市公司股东的净利润和扣除非经常性损益后的净利润的假设分析并非公司的盈利预测，为应对即期回报被摊薄风险而制定的填补回报具体措施不等于对公司未来利润做出保证，投资者不应据此进行投资决策，投资者据此进行投资决策造成损失的，公司不承担赔偿责任。敬请广大投资者注意投资风险。</w:t>
      </w:r>
    </w:p>
    <w:p>
      <w:pPr>
        <w:keepNext/>
        <w:spacing w:before="156" w:beforeLines="50" w:line="360" w:lineRule="auto"/>
        <w:outlineLvl w:val="1"/>
        <w:rPr>
          <w:rFonts w:hint="eastAsia" w:ascii="黑体" w:hAnsi="黑体" w:eastAsia="黑体" w:cs="Times New Roman"/>
          <w:b/>
          <w:sz w:val="28"/>
          <w:szCs w:val="28"/>
        </w:rPr>
      </w:pPr>
      <w:bookmarkStart w:id="5" w:name="_Toc219392671"/>
      <w:r>
        <w:rPr>
          <w:rFonts w:hint="eastAsia" w:ascii="黑体" w:hAnsi="黑体" w:eastAsia="黑体" w:cs="Times New Roman"/>
          <w:b/>
          <w:sz w:val="28"/>
          <w:szCs w:val="28"/>
        </w:rPr>
        <w:t>三、本次向特定对象发行的必要性和合理性</w:t>
      </w:r>
      <w:bookmarkEnd w:id="5"/>
    </w:p>
    <w:p>
      <w:pPr>
        <w:spacing w:before="156" w:beforeLines="50" w:line="360" w:lineRule="auto"/>
        <w:ind w:firstLine="480" w:firstLineChars="200"/>
        <w:rPr>
          <w:rFonts w:ascii="Times New Roman" w:hAnsi="Times New Roman" w:cs="Times New Roman"/>
          <w:sz w:val="24"/>
          <w:szCs w:val="24"/>
        </w:rPr>
      </w:pPr>
      <w:bookmarkStart w:id="6" w:name="_Hlk176708181"/>
      <w:r>
        <w:rPr>
          <w:rFonts w:hint="eastAsia" w:ascii="Times New Roman" w:hAnsi="Times New Roman" w:cs="Times New Roman"/>
          <w:sz w:val="24"/>
          <w:szCs w:val="24"/>
        </w:rPr>
        <w:t>本次发行的募集资金</w:t>
      </w:r>
      <w:bookmarkStart w:id="7" w:name="_Hlk177569540"/>
      <w:r>
        <w:rPr>
          <w:rFonts w:hint="eastAsia" w:ascii="Times New Roman" w:hAnsi="Times New Roman" w:cs="Times New Roman"/>
          <w:sz w:val="24"/>
          <w:szCs w:val="24"/>
        </w:rPr>
        <w:t>在扣除相关发行费用后</w:t>
      </w:r>
      <w:bookmarkEnd w:id="7"/>
      <w:r>
        <w:rPr>
          <w:rFonts w:hint="eastAsia" w:ascii="Times New Roman" w:hAnsi="Times New Roman" w:cs="Times New Roman"/>
          <w:sz w:val="24"/>
          <w:szCs w:val="24"/>
        </w:rPr>
        <w:t>拟用于补充流动资金，符合公司目前的实际财务状况和未来业务发展的资金需求，有利于提高公司抗风险能力，优化公司资本结构，有助于促进公司的长远健康发展，实现公司和全体股东的利益最大化</w:t>
      </w:r>
      <w:bookmarkEnd w:id="6"/>
      <w:r>
        <w:rPr>
          <w:rFonts w:hint="eastAsia" w:ascii="Times New Roman" w:hAnsi="Times New Roman" w:cs="Times New Roman"/>
          <w:sz w:val="24"/>
          <w:szCs w:val="24"/>
        </w:rPr>
        <w:t>，具体分析参见公司2026年2月7日于上海证券交易所网站（www.sse.com.cn）披露的《重庆望变电气（集团）股份有限公司向特定对象发行股票募集资金使用的可行性分析报告》。</w:t>
      </w:r>
    </w:p>
    <w:p>
      <w:pPr>
        <w:keepNext/>
        <w:spacing w:before="156" w:beforeLines="50" w:line="360" w:lineRule="auto"/>
        <w:outlineLvl w:val="1"/>
        <w:rPr>
          <w:rFonts w:hint="eastAsia" w:ascii="黑体" w:hAnsi="黑体" w:eastAsia="黑体" w:cs="Times New Roman"/>
          <w:b/>
          <w:sz w:val="28"/>
          <w:szCs w:val="28"/>
        </w:rPr>
      </w:pPr>
      <w:bookmarkStart w:id="8" w:name="_Toc219392672"/>
      <w:r>
        <w:rPr>
          <w:rFonts w:hint="eastAsia" w:ascii="黑体" w:hAnsi="黑体" w:eastAsia="黑体" w:cs="Times New Roman"/>
          <w:b/>
          <w:sz w:val="28"/>
          <w:szCs w:val="28"/>
        </w:rPr>
        <w:t>四、本次募集资金投资项目与公司现有业务的关系</w:t>
      </w:r>
      <w:bookmarkEnd w:id="8"/>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向特定对象发行股票募集资金扣除发行费用后拟用于补充流动资金。本次发行有利于增强公司资金实力，满足经营规模增长的资金需要，同时帮助公司吸引优秀人才，提升自主研发能力和综合服务能力，增强公司现有业务竞争力。本次向特定对象发行股票募集资金使用不涉及具体建设项目和相关人员、技术、市场等方面的储备。</w:t>
      </w:r>
    </w:p>
    <w:p>
      <w:pPr>
        <w:keepNext/>
        <w:spacing w:before="156" w:beforeLines="50" w:line="360" w:lineRule="auto"/>
        <w:outlineLvl w:val="1"/>
        <w:rPr>
          <w:rFonts w:hint="eastAsia" w:ascii="黑体" w:hAnsi="黑体" w:eastAsia="黑体" w:cs="Times New Roman"/>
          <w:b/>
          <w:sz w:val="28"/>
          <w:szCs w:val="28"/>
        </w:rPr>
      </w:pPr>
      <w:bookmarkStart w:id="9" w:name="_Toc219392673"/>
      <w:r>
        <w:rPr>
          <w:rFonts w:hint="eastAsia" w:ascii="黑体" w:hAnsi="黑体" w:eastAsia="黑体" w:cs="Times New Roman"/>
          <w:b/>
          <w:sz w:val="28"/>
          <w:szCs w:val="28"/>
        </w:rPr>
        <w:t>五、公司拟采取的填补即期回报的具体措施</w:t>
      </w:r>
      <w:bookmarkEnd w:id="9"/>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为了保护广大投资者的利益，降低本次向特定对象发行股票可能摊薄即期回报的影响，公司拟采取多种措施保证本次发行股票募集资金有效使用、防范即期回报被摊薄的风险，以提高对股东的即期回报。公司拟采取的具体措施如下：</w:t>
      </w:r>
    </w:p>
    <w:p>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（一）加强对募集资金的管理和使用，防范募集资金使用风险</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为规范公司募集资金的使用与管理，确保募集资金的使用规范、安全、高效，根据《中华人民共和国公司法》（以下简称“《公司法》”）、《中华人民共和国证券法》（以下简称“《证券法》”）《上市公司监管指引第</w:t>
      </w:r>
      <w:r>
        <w:rPr>
          <w:rFonts w:ascii="Times New Roman" w:hAnsi="Times New Roman" w:cs="Times New Roman"/>
          <w:sz w:val="24"/>
          <w:szCs w:val="24"/>
        </w:rPr>
        <w:t>2</w:t>
      </w:r>
      <w:r>
        <w:rPr>
          <w:rFonts w:hint="eastAsia" w:ascii="Times New Roman" w:hAnsi="Times New Roman" w:cs="Times New Roman"/>
          <w:sz w:val="24"/>
          <w:szCs w:val="24"/>
        </w:rPr>
        <w:t>号</w:t>
      </w:r>
      <w:r>
        <w:rPr>
          <w:rFonts w:ascii="Times New Roman" w:hAnsi="Times New Roman" w:cs="Times New Roman"/>
        </w:rPr>
        <w:t>——</w:t>
      </w:r>
      <w:r>
        <w:rPr>
          <w:rFonts w:hint="eastAsia" w:ascii="Times New Roman" w:hAnsi="Times New Roman" w:cs="Times New Roman"/>
          <w:sz w:val="24"/>
          <w:szCs w:val="24"/>
        </w:rPr>
        <w:t>上市公司募集资金管理和使用的监管要求》等相关法律法规的规定，公司制定了《募集资金管理制度》及相关内部控制制度。</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发行结束后，募集资金将按照制度要求存放于董事会指定的专项账户中，专户专储、专款专用，以保证募集资金合理规范使用，防范募集资金使用风险。公司将积极配合保荐人和监管银行对资金使用情况进行定期检查监督，确保公司规范、有效使用募集资金。</w:t>
      </w:r>
    </w:p>
    <w:p>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（二）加强经营管理和内部控制，不断完善公司治理</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公司将严格遵循《公司法》《证券法》《上市公司治理准则》等法律法规和规范性文件的要求，不断完善公司治理结构，确保股东能够充分行使权利，确保董事会能够按照法律法规和《重庆望变电气（集团）股份有限公司公司章程》（以下简称“《公司章程》”）的规定行使职权，做出科学、迅速和谨慎的决策，确保独立董事能够认真履行职责，维护公司整体利益，尤其是中小股东的合法权益，确保董事会审计委员会能够独立有效地行使对董事、总经理和其他高级管理人员及公司财务的监督权和检查权，为公司发展提供制度保障。</w:t>
      </w:r>
    </w:p>
    <w:p>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（三）完善利润分配制度，强化投资者回报机制</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根据中国证监会《关于进一步落实上市公司现金分红有关事项的通知》《上市公司监管指引第</w:t>
      </w:r>
      <w:r>
        <w:rPr>
          <w:rFonts w:ascii="Times New Roman" w:hAnsi="Times New Roman" w:cs="Times New Roman"/>
          <w:sz w:val="24"/>
          <w:szCs w:val="24"/>
        </w:rPr>
        <w:t>3</w:t>
      </w:r>
      <w:r>
        <w:rPr>
          <w:rFonts w:hint="eastAsia" w:ascii="Times New Roman" w:hAnsi="Times New Roman" w:cs="Times New Roman"/>
          <w:sz w:val="24"/>
          <w:szCs w:val="24"/>
        </w:rPr>
        <w:t>号</w:t>
      </w:r>
      <w:r>
        <w:rPr>
          <w:rFonts w:ascii="Times New Roman" w:hAnsi="Times New Roman" w:cs="Times New Roman"/>
        </w:rPr>
        <w:t>——</w:t>
      </w:r>
      <w:r>
        <w:rPr>
          <w:rFonts w:hint="eastAsia" w:ascii="Times New Roman" w:hAnsi="Times New Roman" w:cs="Times New Roman"/>
          <w:sz w:val="24"/>
          <w:szCs w:val="24"/>
        </w:rPr>
        <w:t>上市公司现金分红》相关要求，以及《公司章程》利润分配政策的有关规定，公司在关注公司自身发展的同时，高度重视股东的合理投资回报，制定股东回报规划。公司将严格执行公司制定的分红政策及股东回报规划，努力提升对股东的投资回报。</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本次发行后，公司将依据相关法律法规，实施积极的利润分配政策，并注重保持连续性和稳定性，同时努力强化股东回报，切实维护投资者合法权益，并保障公司股东利益。</w:t>
      </w:r>
    </w:p>
    <w:p>
      <w:pPr>
        <w:keepNext/>
        <w:spacing w:before="156" w:beforeLines="50" w:line="360" w:lineRule="auto"/>
        <w:outlineLvl w:val="1"/>
        <w:rPr>
          <w:rFonts w:hint="eastAsia" w:ascii="黑体" w:hAnsi="黑体" w:eastAsia="黑体" w:cs="Times New Roman"/>
          <w:b/>
          <w:sz w:val="28"/>
          <w:szCs w:val="28"/>
        </w:rPr>
      </w:pPr>
      <w:bookmarkStart w:id="10" w:name="_Toc219392674"/>
      <w:r>
        <w:rPr>
          <w:rFonts w:hint="eastAsia" w:ascii="黑体" w:hAnsi="黑体" w:eastAsia="黑体" w:cs="Times New Roman"/>
          <w:b/>
          <w:sz w:val="28"/>
          <w:szCs w:val="28"/>
        </w:rPr>
        <w:t>六、相关主体对公司填补回报措施能够得到切实履行作出承诺</w:t>
      </w:r>
      <w:bookmarkEnd w:id="10"/>
    </w:p>
    <w:p>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（一）公司董事、高级管理人员作出的承诺</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为保证公司本次发行完成后填补摊薄即期回报的措施能够得到切实履行，公司董事、高级管理人员作出如下承诺：</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“1、本承诺人承诺不无偿或以不公平条件向其他单位或者个人输送利益，也不采用其他方式损害公司利益；</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2、本承诺人承诺对本承诺人的职务消费行为进行约束；</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3、本承诺人承诺不动用公司资产从事与本承诺人履行职责无关的投资、消费活动；</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4、本承诺人承诺由董事会或薪酬委员会制定的薪酬制度与公司填补回报措施的执行情况相挂钩；</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5、本承诺人承诺拟公布的公司股权激励的行权条件与公司填补回报措施的执行情况相挂钩。</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6、本承诺出具日后至公司本次向特定对象发行实施完毕前，若中国证监会、上海证券交易所作出关于填补回报措施及其承诺的其他新监管规定的，且上述承诺不能满足中国证监会、上海证券交易所该等规定时，本承诺人届时将按照中国证监会、上海证券交易所的最新规定出具补充承诺。</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7、本承诺至以下情形时终止（以较早为准）：（1）本人不再作为公司的董事/高级管理人员；（2）公司股票终止在上海证券交易所上市；（3）本次发行终止。</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8、本承诺人承诺切实履行公司制定的有关填补回报措施以及本承诺人对此作出的有关填补回报措施的承诺，若本承诺人违反该等承诺并给公司或者投资者造成损失的，本承诺人愿意依法承担相应的责任。”</w:t>
      </w:r>
    </w:p>
    <w:p>
      <w:pPr>
        <w:keepNext/>
        <w:spacing w:before="156" w:beforeLines="50" w:line="360" w:lineRule="auto"/>
        <w:outlineLvl w:val="2"/>
        <w:rPr>
          <w:rFonts w:hint="eastAsia" w:ascii="黑体" w:hAnsi="黑体" w:eastAsia="黑体" w:cs="Times New Roman"/>
          <w:b/>
          <w:sz w:val="24"/>
          <w:szCs w:val="24"/>
        </w:rPr>
      </w:pPr>
      <w:r>
        <w:rPr>
          <w:rFonts w:hint="eastAsia" w:ascii="黑体" w:hAnsi="黑体" w:eastAsia="黑体" w:cs="Times New Roman"/>
          <w:b/>
          <w:sz w:val="24"/>
          <w:szCs w:val="24"/>
        </w:rPr>
        <w:t>（二）公司控股股东、实际控制人作出的承诺</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为保证公司本次发行完成后填补摊薄即期回报的措施能够得到切实履行，根据中国证监会的相关规定，公司的控股股东及实际控制人作出以下承诺：</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“1、本承诺人承诺将严格执行关于上市公司治理的各项法律、法规及规章制度，保护公司和公众股东的利益，不越权干预公司的经营管理活动。</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2、本承诺人承诺不以任何方式侵占公司的利益。</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自本承诺出具日至公司本次向特定对象发行股票发行完成前，若中国证监会、上海证券交易所作出关于填补回报措施及其承诺的其他新的监管规定，且所作出的承诺不能满足中国证监会、上海证券交易所该等规定时，本承诺人届时将按照中国证监会、上海证券交易所的最新规定出具补充承诺。</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4、本承诺至以下情形时终止（以较早为准）：（1）本承诺人不再作为公司的控股股东、实际控制人；（2）公司股票终止在上海证券交易所上市；（3）本次发行终止。</w:t>
      </w:r>
    </w:p>
    <w:p>
      <w:pPr>
        <w:spacing w:before="156"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5、本承诺人承诺切实履行公司制定的有关填补回报措施以及本承诺人对此作出的有关填补回报措施的承诺，若本承诺人违反该等承诺并给公司或者投资者造成损失的，本承诺人愿意依法承担相应的责任。”</w:t>
      </w:r>
    </w:p>
    <w:p>
      <w:pPr>
        <w:adjustRightInd w:val="0"/>
        <w:snapToGrid w:val="0"/>
        <w:spacing w:line="560" w:lineRule="exact"/>
        <w:ind w:firstLine="480" w:firstLineChars="200"/>
        <w:rPr>
          <w:rFonts w:hint="eastAsia" w:ascii="宋体" w:hAnsi="宋体" w:eastAsia="宋体"/>
          <w:sz w:val="24"/>
          <w:szCs w:val="24"/>
        </w:rPr>
      </w:pPr>
      <w:r>
        <w:rPr>
          <w:rFonts w:hint="eastAsia" w:ascii="宋体" w:hAnsi="宋体" w:eastAsia="宋体"/>
          <w:sz w:val="24"/>
          <w:szCs w:val="24"/>
        </w:rPr>
        <w:t>特此公告。</w:t>
      </w:r>
    </w:p>
    <w:p>
      <w:pPr>
        <w:adjustRightInd w:val="0"/>
        <w:snapToGrid w:val="0"/>
        <w:spacing w:line="560" w:lineRule="exact"/>
        <w:ind w:firstLine="480" w:firstLineChars="200"/>
        <w:jc w:val="right"/>
        <w:rPr>
          <w:rFonts w:hint="eastAsia" w:ascii="宋体" w:hAnsi="宋体" w:eastAsia="宋体"/>
          <w:sz w:val="24"/>
          <w:szCs w:val="24"/>
        </w:rPr>
      </w:pPr>
      <w:r>
        <w:rPr>
          <w:rFonts w:hint="eastAsia" w:ascii="宋体" w:hAnsi="宋体" w:eastAsia="宋体" w:cs="宋体"/>
          <w:kern w:val="0"/>
          <w:sz w:val="24"/>
          <w:szCs w:val="24"/>
        </w:rPr>
        <w:t>重庆望变电气（集团）</w:t>
      </w:r>
      <w:r>
        <w:rPr>
          <w:rFonts w:hint="eastAsia" w:ascii="宋体" w:hAnsi="宋体" w:eastAsia="宋体" w:cs="仿宋_GB2312"/>
          <w:sz w:val="24"/>
          <w:szCs w:val="24"/>
        </w:rPr>
        <w:t>股</w:t>
      </w:r>
      <w:r>
        <w:rPr>
          <w:rFonts w:hint="eastAsia" w:ascii="宋体" w:hAnsi="宋体" w:eastAsia="宋体"/>
          <w:sz w:val="24"/>
          <w:szCs w:val="24"/>
        </w:rPr>
        <w:t>份有限公司董事会</w:t>
      </w:r>
    </w:p>
    <w:p>
      <w:pPr>
        <w:adjustRightInd w:val="0"/>
        <w:snapToGrid w:val="0"/>
        <w:spacing w:line="560" w:lineRule="exact"/>
        <w:ind w:firstLine="480" w:firstLineChars="200"/>
        <w:jc w:val="right"/>
        <w:rPr>
          <w:rFonts w:hint="eastAsia" w:ascii="宋体" w:hAnsi="宋体" w:eastAsia="宋体"/>
          <w:sz w:val="24"/>
          <w:szCs w:val="24"/>
        </w:rPr>
      </w:pPr>
      <w:r>
        <w:rPr>
          <w:rFonts w:hint="eastAsia" w:ascii="宋体" w:hAnsi="宋体" w:eastAsia="宋体"/>
          <w:sz w:val="24"/>
          <w:szCs w:val="24"/>
        </w:rPr>
        <w:t>2026年4月4日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N2U5ZTdjMDMzOTBiYTU0YjliN2JjZTU3NWI5MGMifQ=="/>
  </w:docVars>
  <w:rsids>
    <w:rsidRoot w:val="00172A27"/>
    <w:rsid w:val="00010BC9"/>
    <w:rsid w:val="00036422"/>
    <w:rsid w:val="0003670A"/>
    <w:rsid w:val="000378C7"/>
    <w:rsid w:val="00064FE8"/>
    <w:rsid w:val="00067BBE"/>
    <w:rsid w:val="00074F44"/>
    <w:rsid w:val="00076EFD"/>
    <w:rsid w:val="000834E2"/>
    <w:rsid w:val="0008555B"/>
    <w:rsid w:val="00091D0C"/>
    <w:rsid w:val="000A40E4"/>
    <w:rsid w:val="000B1A1F"/>
    <w:rsid w:val="000B61E2"/>
    <w:rsid w:val="000C72A9"/>
    <w:rsid w:val="000C7F00"/>
    <w:rsid w:val="000D3DA9"/>
    <w:rsid w:val="000D409C"/>
    <w:rsid w:val="000E7556"/>
    <w:rsid w:val="00113F9D"/>
    <w:rsid w:val="00123266"/>
    <w:rsid w:val="001254C4"/>
    <w:rsid w:val="001313EC"/>
    <w:rsid w:val="00140439"/>
    <w:rsid w:val="0014777F"/>
    <w:rsid w:val="001507FC"/>
    <w:rsid w:val="0016249D"/>
    <w:rsid w:val="001723E5"/>
    <w:rsid w:val="00172A27"/>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52550"/>
    <w:rsid w:val="00256825"/>
    <w:rsid w:val="0027509E"/>
    <w:rsid w:val="00277255"/>
    <w:rsid w:val="00293AC0"/>
    <w:rsid w:val="002A7AA7"/>
    <w:rsid w:val="002B229C"/>
    <w:rsid w:val="002D75BB"/>
    <w:rsid w:val="002E4043"/>
    <w:rsid w:val="002F3175"/>
    <w:rsid w:val="0030482B"/>
    <w:rsid w:val="0030602E"/>
    <w:rsid w:val="003112C9"/>
    <w:rsid w:val="00321685"/>
    <w:rsid w:val="00324275"/>
    <w:rsid w:val="00337EBB"/>
    <w:rsid w:val="003505CE"/>
    <w:rsid w:val="00351429"/>
    <w:rsid w:val="003541EB"/>
    <w:rsid w:val="003571E3"/>
    <w:rsid w:val="00361DE1"/>
    <w:rsid w:val="0036446F"/>
    <w:rsid w:val="00391A1B"/>
    <w:rsid w:val="003E38F1"/>
    <w:rsid w:val="003F1451"/>
    <w:rsid w:val="004473CE"/>
    <w:rsid w:val="00455164"/>
    <w:rsid w:val="00464AFC"/>
    <w:rsid w:val="004A21C8"/>
    <w:rsid w:val="004A790E"/>
    <w:rsid w:val="004A7F01"/>
    <w:rsid w:val="004B5841"/>
    <w:rsid w:val="004D041E"/>
    <w:rsid w:val="004D0E8E"/>
    <w:rsid w:val="004E0A98"/>
    <w:rsid w:val="004F172D"/>
    <w:rsid w:val="00522BE2"/>
    <w:rsid w:val="0053579F"/>
    <w:rsid w:val="005429C2"/>
    <w:rsid w:val="0055216A"/>
    <w:rsid w:val="0056065B"/>
    <w:rsid w:val="005750AA"/>
    <w:rsid w:val="00575F03"/>
    <w:rsid w:val="00590E1E"/>
    <w:rsid w:val="00596B60"/>
    <w:rsid w:val="005A15BF"/>
    <w:rsid w:val="005A2954"/>
    <w:rsid w:val="005A2D70"/>
    <w:rsid w:val="005A3B72"/>
    <w:rsid w:val="005B7B64"/>
    <w:rsid w:val="005F3E6E"/>
    <w:rsid w:val="005F57F9"/>
    <w:rsid w:val="006150E2"/>
    <w:rsid w:val="00615A0F"/>
    <w:rsid w:val="0063047D"/>
    <w:rsid w:val="00636BAE"/>
    <w:rsid w:val="006629E9"/>
    <w:rsid w:val="006704CD"/>
    <w:rsid w:val="00672360"/>
    <w:rsid w:val="00673916"/>
    <w:rsid w:val="00684FFB"/>
    <w:rsid w:val="006853CB"/>
    <w:rsid w:val="006A3328"/>
    <w:rsid w:val="006A773E"/>
    <w:rsid w:val="006E4DD1"/>
    <w:rsid w:val="006F3EE0"/>
    <w:rsid w:val="006F46B8"/>
    <w:rsid w:val="00716BF3"/>
    <w:rsid w:val="007227E1"/>
    <w:rsid w:val="00726F44"/>
    <w:rsid w:val="00732B9D"/>
    <w:rsid w:val="00761357"/>
    <w:rsid w:val="00770F37"/>
    <w:rsid w:val="00771C4D"/>
    <w:rsid w:val="0078004A"/>
    <w:rsid w:val="00782A14"/>
    <w:rsid w:val="007A61FA"/>
    <w:rsid w:val="007B073D"/>
    <w:rsid w:val="007B0BB6"/>
    <w:rsid w:val="007B1916"/>
    <w:rsid w:val="007B5DA0"/>
    <w:rsid w:val="007C3FFA"/>
    <w:rsid w:val="007E572E"/>
    <w:rsid w:val="007E7954"/>
    <w:rsid w:val="007F703D"/>
    <w:rsid w:val="007F7EDC"/>
    <w:rsid w:val="008162CF"/>
    <w:rsid w:val="008320FC"/>
    <w:rsid w:val="0084121D"/>
    <w:rsid w:val="0084422E"/>
    <w:rsid w:val="00854FC4"/>
    <w:rsid w:val="008552F5"/>
    <w:rsid w:val="00856E6D"/>
    <w:rsid w:val="00857D3D"/>
    <w:rsid w:val="008670E3"/>
    <w:rsid w:val="00890389"/>
    <w:rsid w:val="008971B8"/>
    <w:rsid w:val="008A43FA"/>
    <w:rsid w:val="008A5E36"/>
    <w:rsid w:val="008E4B6F"/>
    <w:rsid w:val="008E4E0E"/>
    <w:rsid w:val="008F103F"/>
    <w:rsid w:val="0090186C"/>
    <w:rsid w:val="00902203"/>
    <w:rsid w:val="00906FA1"/>
    <w:rsid w:val="00915D39"/>
    <w:rsid w:val="00923C08"/>
    <w:rsid w:val="00944E59"/>
    <w:rsid w:val="00947C32"/>
    <w:rsid w:val="009679A2"/>
    <w:rsid w:val="00984298"/>
    <w:rsid w:val="00992126"/>
    <w:rsid w:val="009A6585"/>
    <w:rsid w:val="009B47DE"/>
    <w:rsid w:val="009D1A30"/>
    <w:rsid w:val="009E3152"/>
    <w:rsid w:val="009E3407"/>
    <w:rsid w:val="00A01CB8"/>
    <w:rsid w:val="00A05D77"/>
    <w:rsid w:val="00A225F6"/>
    <w:rsid w:val="00A35D17"/>
    <w:rsid w:val="00A40BAA"/>
    <w:rsid w:val="00A41695"/>
    <w:rsid w:val="00A51C23"/>
    <w:rsid w:val="00A52057"/>
    <w:rsid w:val="00A53142"/>
    <w:rsid w:val="00A5357E"/>
    <w:rsid w:val="00A57119"/>
    <w:rsid w:val="00A6762D"/>
    <w:rsid w:val="00A71BDF"/>
    <w:rsid w:val="00A81E75"/>
    <w:rsid w:val="00A823F8"/>
    <w:rsid w:val="00AC3419"/>
    <w:rsid w:val="00AC4ADD"/>
    <w:rsid w:val="00AD0F9E"/>
    <w:rsid w:val="00AD4F8C"/>
    <w:rsid w:val="00B016E7"/>
    <w:rsid w:val="00B04992"/>
    <w:rsid w:val="00B13254"/>
    <w:rsid w:val="00B3614E"/>
    <w:rsid w:val="00B574F9"/>
    <w:rsid w:val="00B61EEE"/>
    <w:rsid w:val="00B73F42"/>
    <w:rsid w:val="00B908AE"/>
    <w:rsid w:val="00B9137C"/>
    <w:rsid w:val="00B971E4"/>
    <w:rsid w:val="00BA49C4"/>
    <w:rsid w:val="00BB61B6"/>
    <w:rsid w:val="00BC233A"/>
    <w:rsid w:val="00BD3997"/>
    <w:rsid w:val="00BE7D13"/>
    <w:rsid w:val="00BF7BDB"/>
    <w:rsid w:val="00C009B6"/>
    <w:rsid w:val="00C12E2D"/>
    <w:rsid w:val="00C27C0E"/>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5440A"/>
    <w:rsid w:val="00D65BA4"/>
    <w:rsid w:val="00D76D97"/>
    <w:rsid w:val="00D774C9"/>
    <w:rsid w:val="00D8189C"/>
    <w:rsid w:val="00D92E4C"/>
    <w:rsid w:val="00DB17CE"/>
    <w:rsid w:val="00DB744D"/>
    <w:rsid w:val="00DC78D5"/>
    <w:rsid w:val="00DD1863"/>
    <w:rsid w:val="00DD62E6"/>
    <w:rsid w:val="00DE6E82"/>
    <w:rsid w:val="00DF73E8"/>
    <w:rsid w:val="00E01780"/>
    <w:rsid w:val="00E0537E"/>
    <w:rsid w:val="00E1020D"/>
    <w:rsid w:val="00E301F1"/>
    <w:rsid w:val="00E558AE"/>
    <w:rsid w:val="00E65E63"/>
    <w:rsid w:val="00E667EA"/>
    <w:rsid w:val="00E746B0"/>
    <w:rsid w:val="00E818E9"/>
    <w:rsid w:val="00E82A34"/>
    <w:rsid w:val="00E86AC2"/>
    <w:rsid w:val="00E95F43"/>
    <w:rsid w:val="00EB1A49"/>
    <w:rsid w:val="00EC0465"/>
    <w:rsid w:val="00EC3F66"/>
    <w:rsid w:val="00EC496E"/>
    <w:rsid w:val="00EE084C"/>
    <w:rsid w:val="00EE42F0"/>
    <w:rsid w:val="00F0268C"/>
    <w:rsid w:val="00F2391F"/>
    <w:rsid w:val="00F36086"/>
    <w:rsid w:val="00F54E0B"/>
    <w:rsid w:val="00F670DD"/>
    <w:rsid w:val="00F70648"/>
    <w:rsid w:val="00F751CB"/>
    <w:rsid w:val="00FA105E"/>
    <w:rsid w:val="00FB45DB"/>
    <w:rsid w:val="00FC17CB"/>
    <w:rsid w:val="00FD0FA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A002BED"/>
    <w:rsid w:val="1A0D63BE"/>
    <w:rsid w:val="1AAF72CC"/>
    <w:rsid w:val="1D2E5D9F"/>
    <w:rsid w:val="1DF06EC2"/>
    <w:rsid w:val="1F1F0A33"/>
    <w:rsid w:val="1F2E4445"/>
    <w:rsid w:val="1FE23BB8"/>
    <w:rsid w:val="20AF3C82"/>
    <w:rsid w:val="224340DA"/>
    <w:rsid w:val="229423A7"/>
    <w:rsid w:val="24BF504D"/>
    <w:rsid w:val="26176BC5"/>
    <w:rsid w:val="264F6618"/>
    <w:rsid w:val="279F537D"/>
    <w:rsid w:val="27BD77B9"/>
    <w:rsid w:val="29464F41"/>
    <w:rsid w:val="2A52523E"/>
    <w:rsid w:val="2A6940E5"/>
    <w:rsid w:val="2BBE6134"/>
    <w:rsid w:val="2D6053E1"/>
    <w:rsid w:val="2F9044D2"/>
    <w:rsid w:val="307C37E5"/>
    <w:rsid w:val="309E3BD0"/>
    <w:rsid w:val="30E156D2"/>
    <w:rsid w:val="30FE59B4"/>
    <w:rsid w:val="32270449"/>
    <w:rsid w:val="35B55AA7"/>
    <w:rsid w:val="35C36441"/>
    <w:rsid w:val="370A6850"/>
    <w:rsid w:val="380420A6"/>
    <w:rsid w:val="39781D0F"/>
    <w:rsid w:val="399364C7"/>
    <w:rsid w:val="3A463719"/>
    <w:rsid w:val="3A6B571D"/>
    <w:rsid w:val="3AA458EA"/>
    <w:rsid w:val="3ACB0BC3"/>
    <w:rsid w:val="3AF20164"/>
    <w:rsid w:val="3BE61717"/>
    <w:rsid w:val="3CF04886"/>
    <w:rsid w:val="3CF967B0"/>
    <w:rsid w:val="3F7453DF"/>
    <w:rsid w:val="407D24A9"/>
    <w:rsid w:val="40B53CC9"/>
    <w:rsid w:val="42991A4C"/>
    <w:rsid w:val="44D46601"/>
    <w:rsid w:val="454B7184"/>
    <w:rsid w:val="46ED5E7D"/>
    <w:rsid w:val="46F51AD5"/>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86A2E9C"/>
    <w:rsid w:val="59007E53"/>
    <w:rsid w:val="5B255A9F"/>
    <w:rsid w:val="5BB92D17"/>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70466A21"/>
    <w:rsid w:val="71374B14"/>
    <w:rsid w:val="719B56EF"/>
    <w:rsid w:val="71E91A60"/>
    <w:rsid w:val="73CA2808"/>
    <w:rsid w:val="74102BF5"/>
    <w:rsid w:val="74251D33"/>
    <w:rsid w:val="74383A67"/>
    <w:rsid w:val="75E725A9"/>
    <w:rsid w:val="77C448DB"/>
    <w:rsid w:val="77D11EA6"/>
    <w:rsid w:val="77F45C2C"/>
    <w:rsid w:val="785F7D87"/>
    <w:rsid w:val="795F0B11"/>
    <w:rsid w:val="7A165703"/>
    <w:rsid w:val="7A1D6E36"/>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8"/>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0"/>
    <w:pPr>
      <w:ind w:left="100" w:leftChars="400" w:hanging="200" w:hangingChars="200"/>
      <w:contextualSpacing/>
    </w:pPr>
  </w:style>
  <w:style w:type="paragraph" w:styleId="13">
    <w:name w:val="toc 7"/>
    <w:basedOn w:val="1"/>
    <w:next w:val="1"/>
    <w:semiHidden/>
    <w:unhideWhenUsed/>
    <w:qFormat/>
    <w:uiPriority w:val="0"/>
    <w:pPr>
      <w:ind w:left="2520" w:leftChars="1200"/>
    </w:pPr>
  </w:style>
  <w:style w:type="paragraph" w:styleId="14">
    <w:name w:val="List Number 2"/>
    <w:basedOn w:val="1"/>
    <w:semiHidden/>
    <w:unhideWhenUsed/>
    <w:qFormat/>
    <w:uiPriority w:val="0"/>
    <w:pPr>
      <w:numPr>
        <w:ilvl w:val="0"/>
        <w:numId w:val="1"/>
      </w:numPr>
      <w:contextualSpacing/>
    </w:pPr>
  </w:style>
  <w:style w:type="paragraph" w:styleId="15">
    <w:name w:val="table of authorities"/>
    <w:basedOn w:val="1"/>
    <w:next w:val="1"/>
    <w:qFormat/>
    <w:uiPriority w:val="0"/>
    <w:pPr>
      <w:ind w:left="420" w:leftChars="200"/>
    </w:pPr>
  </w:style>
  <w:style w:type="paragraph" w:styleId="16">
    <w:name w:val="Note Heading"/>
    <w:basedOn w:val="1"/>
    <w:next w:val="1"/>
    <w:link w:val="140"/>
    <w:semiHidden/>
    <w:unhideWhenUsed/>
    <w:qFormat/>
    <w:uiPriority w:val="0"/>
    <w:pPr>
      <w:jc w:val="center"/>
    </w:pPr>
  </w:style>
  <w:style w:type="paragraph" w:styleId="17">
    <w:name w:val="List Bullet 4"/>
    <w:basedOn w:val="1"/>
    <w:semiHidden/>
    <w:unhideWhenUsed/>
    <w:qFormat/>
    <w:uiPriority w:val="0"/>
    <w:pPr>
      <w:numPr>
        <w:ilvl w:val="0"/>
        <w:numId w:val="2"/>
      </w:numPr>
      <w:contextualSpacing/>
    </w:pPr>
  </w:style>
  <w:style w:type="paragraph" w:styleId="18">
    <w:name w:val="index 8"/>
    <w:basedOn w:val="1"/>
    <w:next w:val="1"/>
    <w:semiHidden/>
    <w:unhideWhenUsed/>
    <w:qFormat/>
    <w:uiPriority w:val="0"/>
    <w:pPr>
      <w:ind w:left="1400" w:leftChars="1400"/>
    </w:pPr>
  </w:style>
  <w:style w:type="paragraph" w:styleId="19">
    <w:name w:val="E-mail Signature"/>
    <w:basedOn w:val="1"/>
    <w:link w:val="116"/>
    <w:semiHidden/>
    <w:unhideWhenUsed/>
    <w:qFormat/>
    <w:uiPriority w:val="0"/>
  </w:style>
  <w:style w:type="paragraph" w:styleId="20">
    <w:name w:val="List Number"/>
    <w:basedOn w:val="1"/>
    <w:semiHidden/>
    <w:unhideWhenUsed/>
    <w:qFormat/>
    <w:uiPriority w:val="0"/>
    <w:pPr>
      <w:numPr>
        <w:ilvl w:val="0"/>
        <w:numId w:val="3"/>
      </w:numPr>
      <w:contextualSpacing/>
    </w:pPr>
  </w:style>
  <w:style w:type="paragraph" w:styleId="21">
    <w:name w:val="Normal Indent"/>
    <w:basedOn w:val="1"/>
    <w:semiHidden/>
    <w:unhideWhenUsed/>
    <w:qFormat/>
    <w:uiPriority w:val="0"/>
    <w:pPr>
      <w:ind w:firstLine="420" w:firstLineChars="200"/>
    </w:pPr>
  </w:style>
  <w:style w:type="paragraph" w:styleId="22">
    <w:name w:val="caption"/>
    <w:basedOn w:val="1"/>
    <w:next w:val="1"/>
    <w:semiHidden/>
    <w:unhideWhenUsed/>
    <w:qFormat/>
    <w:uiPriority w:val="0"/>
    <w:rPr>
      <w:rFonts w:eastAsia="黑体" w:asciiTheme="majorHAnsi" w:hAnsiTheme="majorHAnsi" w:cstheme="majorBidi"/>
      <w:sz w:val="20"/>
      <w:szCs w:val="20"/>
    </w:rPr>
  </w:style>
  <w:style w:type="paragraph" w:styleId="23">
    <w:name w:val="index 5"/>
    <w:basedOn w:val="1"/>
    <w:next w:val="1"/>
    <w:semiHidden/>
    <w:unhideWhenUsed/>
    <w:qFormat/>
    <w:uiPriority w:val="0"/>
    <w:pPr>
      <w:ind w:left="800" w:leftChars="800"/>
    </w:pPr>
  </w:style>
  <w:style w:type="paragraph" w:styleId="24">
    <w:name w:val="List Bullet"/>
    <w:basedOn w:val="1"/>
    <w:qFormat/>
    <w:uiPriority w:val="0"/>
    <w:pPr>
      <w:numPr>
        <w:ilvl w:val="0"/>
        <w:numId w:val="4"/>
      </w:numPr>
      <w:contextualSpacing/>
    </w:pPr>
  </w:style>
  <w:style w:type="paragraph" w:styleId="25">
    <w:name w:val="envelope address"/>
    <w:basedOn w:val="1"/>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semiHidden/>
    <w:unhideWhenUsed/>
    <w:qFormat/>
    <w:uiPriority w:val="0"/>
    <w:rPr>
      <w:rFonts w:ascii="Microsoft YaHei UI" w:eastAsia="Microsoft YaHei UI"/>
      <w:sz w:val="18"/>
      <w:szCs w:val="18"/>
    </w:rPr>
  </w:style>
  <w:style w:type="paragraph" w:styleId="27">
    <w:name w:val="toa heading"/>
    <w:basedOn w:val="1"/>
    <w:next w:val="1"/>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qFormat/>
    <w:uiPriority w:val="0"/>
    <w:pPr>
      <w:jc w:val="left"/>
    </w:pPr>
  </w:style>
  <w:style w:type="paragraph" w:styleId="29">
    <w:name w:val="index 6"/>
    <w:basedOn w:val="1"/>
    <w:next w:val="1"/>
    <w:semiHidden/>
    <w:unhideWhenUsed/>
    <w:qFormat/>
    <w:uiPriority w:val="0"/>
    <w:pPr>
      <w:ind w:left="1000" w:leftChars="1000"/>
    </w:pPr>
  </w:style>
  <w:style w:type="paragraph" w:styleId="30">
    <w:name w:val="Salutation"/>
    <w:basedOn w:val="1"/>
    <w:next w:val="1"/>
    <w:link w:val="114"/>
    <w:semiHidden/>
    <w:unhideWhenUsed/>
    <w:qFormat/>
    <w:uiPriority w:val="0"/>
  </w:style>
  <w:style w:type="paragraph" w:styleId="31">
    <w:name w:val="Body Text 3"/>
    <w:basedOn w:val="1"/>
    <w:link w:val="134"/>
    <w:semiHidden/>
    <w:unhideWhenUsed/>
    <w:qFormat/>
    <w:uiPriority w:val="0"/>
    <w:pPr>
      <w:spacing w:after="120"/>
    </w:pPr>
    <w:rPr>
      <w:sz w:val="16"/>
      <w:szCs w:val="16"/>
    </w:rPr>
  </w:style>
  <w:style w:type="paragraph" w:styleId="32">
    <w:name w:val="Closing"/>
    <w:basedOn w:val="1"/>
    <w:link w:val="120"/>
    <w:semiHidden/>
    <w:unhideWhenUsed/>
    <w:qFormat/>
    <w:uiPriority w:val="0"/>
    <w:pPr>
      <w:ind w:left="100" w:leftChars="2100"/>
    </w:pPr>
  </w:style>
  <w:style w:type="paragraph" w:styleId="33">
    <w:name w:val="List Bullet 3"/>
    <w:basedOn w:val="1"/>
    <w:semiHidden/>
    <w:unhideWhenUsed/>
    <w:qFormat/>
    <w:uiPriority w:val="0"/>
    <w:pPr>
      <w:numPr>
        <w:ilvl w:val="0"/>
        <w:numId w:val="5"/>
      </w:numPr>
      <w:contextualSpacing/>
    </w:pPr>
  </w:style>
  <w:style w:type="paragraph" w:styleId="34">
    <w:name w:val="Body Text"/>
    <w:basedOn w:val="1"/>
    <w:link w:val="132"/>
    <w:semiHidden/>
    <w:unhideWhenUsed/>
    <w:qFormat/>
    <w:uiPriority w:val="0"/>
    <w:pPr>
      <w:spacing w:after="120"/>
    </w:pPr>
  </w:style>
  <w:style w:type="paragraph" w:styleId="35">
    <w:name w:val="Body Text Indent"/>
    <w:basedOn w:val="1"/>
    <w:link w:val="136"/>
    <w:semiHidden/>
    <w:unhideWhenUsed/>
    <w:qFormat/>
    <w:uiPriority w:val="0"/>
    <w:pPr>
      <w:spacing w:after="120"/>
      <w:ind w:left="420" w:leftChars="200"/>
    </w:pPr>
  </w:style>
  <w:style w:type="paragraph" w:styleId="36">
    <w:name w:val="List Number 3"/>
    <w:basedOn w:val="1"/>
    <w:semiHidden/>
    <w:unhideWhenUsed/>
    <w:qFormat/>
    <w:uiPriority w:val="0"/>
    <w:pPr>
      <w:numPr>
        <w:ilvl w:val="0"/>
        <w:numId w:val="6"/>
      </w:numPr>
      <w:contextualSpacing/>
    </w:pPr>
  </w:style>
  <w:style w:type="paragraph" w:styleId="37">
    <w:name w:val="List 2"/>
    <w:basedOn w:val="1"/>
    <w:semiHidden/>
    <w:unhideWhenUsed/>
    <w:qFormat/>
    <w:uiPriority w:val="0"/>
    <w:pPr>
      <w:ind w:left="100" w:leftChars="200" w:hanging="200" w:hangingChars="200"/>
      <w:contextualSpacing/>
    </w:pPr>
  </w:style>
  <w:style w:type="paragraph" w:styleId="38">
    <w:name w:val="List Continue"/>
    <w:basedOn w:val="1"/>
    <w:semiHidden/>
    <w:unhideWhenUsed/>
    <w:qFormat/>
    <w:uiPriority w:val="0"/>
    <w:pPr>
      <w:spacing w:after="120"/>
      <w:ind w:left="420" w:leftChars="200"/>
      <w:contextualSpacing/>
    </w:pPr>
  </w:style>
  <w:style w:type="paragraph" w:styleId="39">
    <w:name w:val="Block Text"/>
    <w:basedOn w:val="1"/>
    <w:semiHidden/>
    <w:unhideWhenUsed/>
    <w:qFormat/>
    <w:uiPriority w:val="0"/>
    <w:pPr>
      <w:spacing w:after="120"/>
      <w:ind w:left="1440" w:leftChars="700" w:right="1440" w:rightChars="700"/>
    </w:pPr>
  </w:style>
  <w:style w:type="paragraph" w:styleId="40">
    <w:name w:val="List Bullet 2"/>
    <w:basedOn w:val="1"/>
    <w:semiHidden/>
    <w:unhideWhenUsed/>
    <w:qFormat/>
    <w:uiPriority w:val="0"/>
    <w:pPr>
      <w:numPr>
        <w:ilvl w:val="0"/>
        <w:numId w:val="7"/>
      </w:numPr>
      <w:contextualSpacing/>
    </w:pPr>
  </w:style>
  <w:style w:type="paragraph" w:styleId="41">
    <w:name w:val="HTML Address"/>
    <w:basedOn w:val="1"/>
    <w:link w:val="102"/>
    <w:semiHidden/>
    <w:unhideWhenUsed/>
    <w:qFormat/>
    <w:uiPriority w:val="0"/>
    <w:rPr>
      <w:i/>
      <w:iCs/>
    </w:rPr>
  </w:style>
  <w:style w:type="paragraph" w:styleId="42">
    <w:name w:val="index 4"/>
    <w:basedOn w:val="1"/>
    <w:next w:val="1"/>
    <w:semiHidden/>
    <w:unhideWhenUsed/>
    <w:qFormat/>
    <w:uiPriority w:val="0"/>
    <w:pPr>
      <w:ind w:left="600" w:leftChars="600"/>
    </w:pPr>
  </w:style>
  <w:style w:type="paragraph" w:styleId="43">
    <w:name w:val="toc 5"/>
    <w:basedOn w:val="1"/>
    <w:next w:val="1"/>
    <w:semiHidden/>
    <w:unhideWhenUsed/>
    <w:qFormat/>
    <w:uiPriority w:val="0"/>
    <w:pPr>
      <w:ind w:left="1680" w:leftChars="800"/>
    </w:pPr>
  </w:style>
  <w:style w:type="paragraph" w:styleId="44">
    <w:name w:val="toc 3"/>
    <w:basedOn w:val="1"/>
    <w:next w:val="1"/>
    <w:semiHidden/>
    <w:unhideWhenUsed/>
    <w:qFormat/>
    <w:uiPriority w:val="0"/>
    <w:pPr>
      <w:ind w:left="840" w:leftChars="400"/>
    </w:pPr>
  </w:style>
  <w:style w:type="paragraph" w:styleId="45">
    <w:name w:val="Plain Text"/>
    <w:basedOn w:val="1"/>
    <w:link w:val="115"/>
    <w:semiHidden/>
    <w:unhideWhenUsed/>
    <w:qFormat/>
    <w:uiPriority w:val="0"/>
    <w:rPr>
      <w:rFonts w:hAnsi="Courier New" w:cs="Courier New" w:asciiTheme="minorEastAsia"/>
    </w:rPr>
  </w:style>
  <w:style w:type="paragraph" w:styleId="46">
    <w:name w:val="List Bullet 5"/>
    <w:basedOn w:val="1"/>
    <w:semiHidden/>
    <w:unhideWhenUsed/>
    <w:qFormat/>
    <w:uiPriority w:val="0"/>
    <w:pPr>
      <w:numPr>
        <w:ilvl w:val="0"/>
        <w:numId w:val="8"/>
      </w:numPr>
      <w:contextualSpacing/>
    </w:pPr>
  </w:style>
  <w:style w:type="paragraph" w:styleId="47">
    <w:name w:val="List Number 4"/>
    <w:basedOn w:val="1"/>
    <w:semiHidden/>
    <w:unhideWhenUsed/>
    <w:qFormat/>
    <w:uiPriority w:val="0"/>
    <w:pPr>
      <w:numPr>
        <w:ilvl w:val="0"/>
        <w:numId w:val="9"/>
      </w:numPr>
      <w:contextualSpacing/>
    </w:pPr>
  </w:style>
  <w:style w:type="paragraph" w:styleId="48">
    <w:name w:val="toc 8"/>
    <w:basedOn w:val="1"/>
    <w:next w:val="1"/>
    <w:semiHidden/>
    <w:unhideWhenUsed/>
    <w:qFormat/>
    <w:uiPriority w:val="0"/>
    <w:pPr>
      <w:ind w:left="2940" w:leftChars="1400"/>
    </w:pPr>
  </w:style>
  <w:style w:type="paragraph" w:styleId="49">
    <w:name w:val="index 3"/>
    <w:basedOn w:val="1"/>
    <w:next w:val="1"/>
    <w:semiHidden/>
    <w:unhideWhenUsed/>
    <w:qFormat/>
    <w:uiPriority w:val="0"/>
    <w:pPr>
      <w:ind w:left="400" w:leftChars="400"/>
    </w:pPr>
  </w:style>
  <w:style w:type="paragraph" w:styleId="50">
    <w:name w:val="Date"/>
    <w:basedOn w:val="1"/>
    <w:next w:val="1"/>
    <w:link w:val="124"/>
    <w:semiHidden/>
    <w:unhideWhenUsed/>
    <w:qFormat/>
    <w:uiPriority w:val="0"/>
    <w:pPr>
      <w:ind w:left="100" w:leftChars="2500"/>
    </w:pPr>
  </w:style>
  <w:style w:type="paragraph" w:styleId="51">
    <w:name w:val="Body Text Indent 2"/>
    <w:basedOn w:val="1"/>
    <w:link w:val="138"/>
    <w:semiHidden/>
    <w:unhideWhenUsed/>
    <w:qFormat/>
    <w:uiPriority w:val="0"/>
    <w:pPr>
      <w:spacing w:after="120" w:line="480" w:lineRule="auto"/>
      <w:ind w:left="420" w:leftChars="200"/>
    </w:pPr>
  </w:style>
  <w:style w:type="paragraph" w:styleId="52">
    <w:name w:val="endnote text"/>
    <w:basedOn w:val="1"/>
    <w:link w:val="126"/>
    <w:semiHidden/>
    <w:unhideWhenUsed/>
    <w:qFormat/>
    <w:uiPriority w:val="0"/>
    <w:pPr>
      <w:snapToGrid w:val="0"/>
      <w:jc w:val="left"/>
    </w:pPr>
  </w:style>
  <w:style w:type="paragraph" w:styleId="53">
    <w:name w:val="List Continue 5"/>
    <w:basedOn w:val="1"/>
    <w:qFormat/>
    <w:uiPriority w:val="0"/>
    <w:pPr>
      <w:spacing w:after="120"/>
      <w:ind w:left="2100" w:leftChars="1000"/>
      <w:contextualSpacing/>
    </w:pPr>
  </w:style>
  <w:style w:type="paragraph" w:styleId="54">
    <w:name w:val="Balloon Text"/>
    <w:basedOn w:val="1"/>
    <w:link w:val="96"/>
    <w:qFormat/>
    <w:uiPriority w:val="0"/>
    <w:rPr>
      <w:sz w:val="18"/>
      <w:szCs w:val="18"/>
    </w:rPr>
  </w:style>
  <w:style w:type="paragraph" w:styleId="55">
    <w:name w:val="footer"/>
    <w:basedOn w:val="1"/>
    <w:link w:val="94"/>
    <w:qFormat/>
    <w:uiPriority w:val="99"/>
    <w:pPr>
      <w:tabs>
        <w:tab w:val="center" w:pos="4153"/>
        <w:tab w:val="right" w:pos="8306"/>
      </w:tabs>
      <w:snapToGrid w:val="0"/>
      <w:jc w:val="left"/>
    </w:pPr>
    <w:rPr>
      <w:sz w:val="18"/>
      <w:szCs w:val="18"/>
    </w:rPr>
  </w:style>
  <w:style w:type="paragraph" w:styleId="56">
    <w:name w:val="envelope return"/>
    <w:basedOn w:val="1"/>
    <w:semiHidden/>
    <w:unhideWhenUsed/>
    <w:qFormat/>
    <w:uiPriority w:val="0"/>
    <w:pPr>
      <w:snapToGrid w:val="0"/>
    </w:pPr>
    <w:rPr>
      <w:rFonts w:asciiTheme="majorHAnsi" w:hAnsiTheme="majorHAnsi" w:eastAsiaTheme="majorEastAsia" w:cstheme="majorBidi"/>
    </w:rPr>
  </w:style>
  <w:style w:type="paragraph" w:styleId="57">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semiHidden/>
    <w:unhideWhenUsed/>
    <w:qFormat/>
    <w:uiPriority w:val="0"/>
    <w:pPr>
      <w:ind w:left="100" w:leftChars="2100"/>
    </w:pPr>
  </w:style>
  <w:style w:type="paragraph" w:styleId="59">
    <w:name w:val="toc 1"/>
    <w:basedOn w:val="1"/>
    <w:next w:val="1"/>
    <w:semiHidden/>
    <w:unhideWhenUsed/>
    <w:qFormat/>
    <w:uiPriority w:val="0"/>
  </w:style>
  <w:style w:type="paragraph" w:styleId="60">
    <w:name w:val="List Continue 4"/>
    <w:basedOn w:val="1"/>
    <w:qFormat/>
    <w:uiPriority w:val="0"/>
    <w:pPr>
      <w:spacing w:after="120"/>
      <w:ind w:left="1680" w:leftChars="800"/>
      <w:contextualSpacing/>
    </w:pPr>
  </w:style>
  <w:style w:type="paragraph" w:styleId="61">
    <w:name w:val="toc 4"/>
    <w:basedOn w:val="1"/>
    <w:next w:val="1"/>
    <w:semiHidden/>
    <w:unhideWhenUsed/>
    <w:qFormat/>
    <w:uiPriority w:val="0"/>
    <w:pPr>
      <w:ind w:left="1260" w:leftChars="600"/>
    </w:pPr>
  </w:style>
  <w:style w:type="paragraph" w:styleId="62">
    <w:name w:val="index heading"/>
    <w:basedOn w:val="1"/>
    <w:next w:val="63"/>
    <w:semiHidden/>
    <w:unhideWhenUsed/>
    <w:qFormat/>
    <w:uiPriority w:val="0"/>
    <w:rPr>
      <w:rFonts w:asciiTheme="majorHAnsi" w:hAnsiTheme="majorHAnsi" w:eastAsiaTheme="majorEastAsia" w:cstheme="majorBidi"/>
      <w:b/>
      <w:bCs/>
    </w:rPr>
  </w:style>
  <w:style w:type="paragraph" w:styleId="63">
    <w:name w:val="index 1"/>
    <w:basedOn w:val="1"/>
    <w:next w:val="1"/>
    <w:semiHidden/>
    <w:unhideWhenUsed/>
    <w:qFormat/>
    <w:uiPriority w:val="0"/>
  </w:style>
  <w:style w:type="paragraph" w:styleId="64">
    <w:name w:val="Subtitle"/>
    <w:basedOn w:val="1"/>
    <w:next w:val="1"/>
    <w:link w:val="117"/>
    <w:qFormat/>
    <w:uiPriority w:val="0"/>
    <w:pPr>
      <w:spacing w:before="240" w:after="60" w:line="312" w:lineRule="auto"/>
      <w:jc w:val="center"/>
      <w:outlineLvl w:val="1"/>
    </w:pPr>
    <w:rPr>
      <w:b/>
      <w:bCs/>
      <w:kern w:val="28"/>
      <w:sz w:val="32"/>
      <w:szCs w:val="32"/>
    </w:rPr>
  </w:style>
  <w:style w:type="paragraph" w:styleId="65">
    <w:name w:val="List Number 5"/>
    <w:basedOn w:val="1"/>
    <w:semiHidden/>
    <w:unhideWhenUsed/>
    <w:qFormat/>
    <w:uiPriority w:val="0"/>
    <w:pPr>
      <w:numPr>
        <w:ilvl w:val="0"/>
        <w:numId w:val="10"/>
      </w:numPr>
      <w:contextualSpacing/>
    </w:pPr>
  </w:style>
  <w:style w:type="paragraph" w:styleId="66">
    <w:name w:val="List"/>
    <w:basedOn w:val="1"/>
    <w:qFormat/>
    <w:uiPriority w:val="0"/>
    <w:pPr>
      <w:ind w:left="200" w:hanging="200" w:hangingChars="200"/>
      <w:contextualSpacing/>
    </w:pPr>
  </w:style>
  <w:style w:type="paragraph" w:styleId="67">
    <w:name w:val="footnote text"/>
    <w:basedOn w:val="1"/>
    <w:link w:val="119"/>
    <w:semiHidden/>
    <w:unhideWhenUsed/>
    <w:qFormat/>
    <w:uiPriority w:val="0"/>
    <w:pPr>
      <w:snapToGrid w:val="0"/>
      <w:jc w:val="left"/>
    </w:pPr>
    <w:rPr>
      <w:sz w:val="18"/>
      <w:szCs w:val="18"/>
    </w:rPr>
  </w:style>
  <w:style w:type="paragraph" w:styleId="68">
    <w:name w:val="toc 6"/>
    <w:basedOn w:val="1"/>
    <w:next w:val="1"/>
    <w:semiHidden/>
    <w:unhideWhenUsed/>
    <w:qFormat/>
    <w:uiPriority w:val="0"/>
    <w:pPr>
      <w:ind w:left="2100" w:leftChars="1000"/>
    </w:pPr>
  </w:style>
  <w:style w:type="paragraph" w:styleId="69">
    <w:name w:val="List 5"/>
    <w:basedOn w:val="1"/>
    <w:semiHidden/>
    <w:unhideWhenUsed/>
    <w:qFormat/>
    <w:uiPriority w:val="0"/>
    <w:pPr>
      <w:ind w:left="100" w:leftChars="800" w:hanging="200" w:hangingChars="200"/>
      <w:contextualSpacing/>
    </w:pPr>
  </w:style>
  <w:style w:type="paragraph" w:styleId="70">
    <w:name w:val="Body Text Indent 3"/>
    <w:basedOn w:val="1"/>
    <w:link w:val="139"/>
    <w:semiHidden/>
    <w:unhideWhenUsed/>
    <w:qFormat/>
    <w:uiPriority w:val="0"/>
    <w:pPr>
      <w:spacing w:after="120"/>
      <w:ind w:left="420" w:leftChars="200"/>
    </w:pPr>
    <w:rPr>
      <w:sz w:val="16"/>
      <w:szCs w:val="16"/>
    </w:rPr>
  </w:style>
  <w:style w:type="paragraph" w:styleId="71">
    <w:name w:val="index 7"/>
    <w:basedOn w:val="1"/>
    <w:next w:val="1"/>
    <w:semiHidden/>
    <w:unhideWhenUsed/>
    <w:qFormat/>
    <w:uiPriority w:val="0"/>
    <w:pPr>
      <w:ind w:left="1200" w:leftChars="1200"/>
    </w:pPr>
  </w:style>
  <w:style w:type="paragraph" w:styleId="72">
    <w:name w:val="index 9"/>
    <w:basedOn w:val="1"/>
    <w:next w:val="1"/>
    <w:semiHidden/>
    <w:unhideWhenUsed/>
    <w:qFormat/>
    <w:uiPriority w:val="0"/>
    <w:pPr>
      <w:ind w:left="1600" w:leftChars="1600"/>
    </w:pPr>
  </w:style>
  <w:style w:type="paragraph" w:styleId="73">
    <w:name w:val="table of figures"/>
    <w:basedOn w:val="1"/>
    <w:next w:val="1"/>
    <w:semiHidden/>
    <w:unhideWhenUsed/>
    <w:qFormat/>
    <w:uiPriority w:val="0"/>
    <w:pPr>
      <w:ind w:left="200" w:leftChars="200" w:hanging="200" w:hangingChars="200"/>
    </w:pPr>
  </w:style>
  <w:style w:type="paragraph" w:styleId="74">
    <w:name w:val="toc 2"/>
    <w:basedOn w:val="1"/>
    <w:next w:val="1"/>
    <w:semiHidden/>
    <w:unhideWhenUsed/>
    <w:qFormat/>
    <w:uiPriority w:val="0"/>
    <w:pPr>
      <w:ind w:left="420" w:leftChars="200"/>
    </w:pPr>
  </w:style>
  <w:style w:type="paragraph" w:styleId="75">
    <w:name w:val="toc 9"/>
    <w:basedOn w:val="1"/>
    <w:next w:val="1"/>
    <w:semiHidden/>
    <w:unhideWhenUsed/>
    <w:qFormat/>
    <w:uiPriority w:val="0"/>
    <w:pPr>
      <w:ind w:left="3360" w:leftChars="1600"/>
    </w:pPr>
  </w:style>
  <w:style w:type="paragraph" w:styleId="76">
    <w:name w:val="Body Text 2"/>
    <w:basedOn w:val="1"/>
    <w:link w:val="133"/>
    <w:semiHidden/>
    <w:unhideWhenUsed/>
    <w:qFormat/>
    <w:uiPriority w:val="0"/>
    <w:pPr>
      <w:spacing w:after="120" w:line="480" w:lineRule="auto"/>
    </w:pPr>
  </w:style>
  <w:style w:type="paragraph" w:styleId="77">
    <w:name w:val="List 4"/>
    <w:basedOn w:val="1"/>
    <w:semiHidden/>
    <w:unhideWhenUsed/>
    <w:qFormat/>
    <w:uiPriority w:val="0"/>
    <w:pPr>
      <w:ind w:left="100" w:leftChars="600" w:hanging="200" w:hangingChars="200"/>
      <w:contextualSpacing/>
    </w:pPr>
  </w:style>
  <w:style w:type="paragraph" w:styleId="78">
    <w:name w:val="List Continue 2"/>
    <w:basedOn w:val="1"/>
    <w:qFormat/>
    <w:uiPriority w:val="0"/>
    <w:pPr>
      <w:spacing w:after="120"/>
      <w:ind w:left="840" w:leftChars="400"/>
      <w:contextualSpacing/>
    </w:pPr>
  </w:style>
  <w:style w:type="paragraph" w:styleId="79">
    <w:name w:val="Message Header"/>
    <w:basedOn w:val="1"/>
    <w:link w:val="129"/>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semiHidden/>
    <w:unhideWhenUsed/>
    <w:qFormat/>
    <w:uiPriority w:val="0"/>
    <w:rPr>
      <w:rFonts w:ascii="Courier New" w:hAnsi="Courier New" w:cs="Courier New"/>
      <w:sz w:val="20"/>
      <w:szCs w:val="20"/>
    </w:rPr>
  </w:style>
  <w:style w:type="paragraph" w:styleId="81">
    <w:name w:val="Normal (Web)"/>
    <w:basedOn w:val="1"/>
    <w:semiHidden/>
    <w:unhideWhenUsed/>
    <w:qFormat/>
    <w:uiPriority w:val="0"/>
    <w:rPr>
      <w:rFonts w:ascii="Times New Roman" w:hAnsi="Times New Roman" w:cs="Times New Roman"/>
      <w:sz w:val="24"/>
      <w:szCs w:val="24"/>
    </w:rPr>
  </w:style>
  <w:style w:type="paragraph" w:styleId="82">
    <w:name w:val="List Continue 3"/>
    <w:basedOn w:val="1"/>
    <w:qFormat/>
    <w:uiPriority w:val="0"/>
    <w:pPr>
      <w:spacing w:after="120"/>
      <w:ind w:left="1260" w:leftChars="600"/>
      <w:contextualSpacing/>
    </w:pPr>
  </w:style>
  <w:style w:type="paragraph" w:styleId="83">
    <w:name w:val="index 2"/>
    <w:basedOn w:val="1"/>
    <w:next w:val="1"/>
    <w:semiHidden/>
    <w:unhideWhenUsed/>
    <w:qFormat/>
    <w:uiPriority w:val="0"/>
    <w:pPr>
      <w:ind w:left="200" w:leftChars="200"/>
    </w:pPr>
  </w:style>
  <w:style w:type="paragraph" w:styleId="84">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qFormat/>
    <w:uiPriority w:val="0"/>
    <w:rPr>
      <w:b/>
      <w:bCs/>
    </w:rPr>
  </w:style>
  <w:style w:type="paragraph" w:styleId="86">
    <w:name w:val="Body Text First Indent"/>
    <w:basedOn w:val="34"/>
    <w:link w:val="135"/>
    <w:semiHidden/>
    <w:unhideWhenUsed/>
    <w:qFormat/>
    <w:uiPriority w:val="0"/>
    <w:pPr>
      <w:ind w:firstLine="420" w:firstLineChars="100"/>
    </w:pPr>
  </w:style>
  <w:style w:type="paragraph" w:styleId="87">
    <w:name w:val="Body Text First Indent 2"/>
    <w:basedOn w:val="35"/>
    <w:link w:val="137"/>
    <w:semiHidden/>
    <w:unhideWhenUsed/>
    <w:qFormat/>
    <w:uiPriority w:val="0"/>
    <w:pPr>
      <w:ind w:firstLine="420" w:firstLineChars="200"/>
    </w:pPr>
  </w:style>
  <w:style w:type="character" w:styleId="90">
    <w:name w:val="Hyperlink"/>
    <w:basedOn w:val="89"/>
    <w:unhideWhenUsed/>
    <w:qFormat/>
    <w:uiPriority w:val="0"/>
    <w:rPr>
      <w:color w:val="0563C1" w:themeColor="hyperlink"/>
      <w:u w:val="single"/>
      <w14:textFill>
        <w14:solidFill>
          <w14:schemeClr w14:val="hlink"/>
        </w14:solidFill>
      </w14:textFill>
    </w:rPr>
  </w:style>
  <w:style w:type="character" w:styleId="91">
    <w:name w:val="annotation reference"/>
    <w:basedOn w:val="89"/>
    <w:qFormat/>
    <w:uiPriority w:val="0"/>
    <w:rPr>
      <w:sz w:val="21"/>
      <w:szCs w:val="21"/>
    </w:rPr>
  </w:style>
  <w:style w:type="paragraph" w:customStyle="1" w:styleId="9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qFormat/>
    <w:uiPriority w:val="0"/>
    <w:rPr>
      <w:kern w:val="2"/>
      <w:sz w:val="18"/>
      <w:szCs w:val="18"/>
    </w:rPr>
  </w:style>
  <w:style w:type="character" w:customStyle="1" w:styleId="94">
    <w:name w:val="页脚 字符"/>
    <w:basedOn w:val="89"/>
    <w:link w:val="55"/>
    <w:qFormat/>
    <w:uiPriority w:val="99"/>
    <w:rPr>
      <w:kern w:val="2"/>
      <w:sz w:val="18"/>
      <w:szCs w:val="18"/>
    </w:rPr>
  </w:style>
  <w:style w:type="paragraph" w:styleId="95">
    <w:name w:val="List Paragraph"/>
    <w:basedOn w:val="1"/>
    <w:qFormat/>
    <w:uiPriority w:val="34"/>
    <w:pPr>
      <w:ind w:firstLine="420" w:firstLineChars="200"/>
    </w:pPr>
    <w:rPr>
      <w:rFonts w:ascii="Calibri" w:hAnsi="Calibri" w:eastAsia="宋体" w:cs="Times New Roman"/>
    </w:rPr>
  </w:style>
  <w:style w:type="character" w:customStyle="1" w:styleId="96">
    <w:name w:val="批注框文本 字符"/>
    <w:basedOn w:val="89"/>
    <w:link w:val="54"/>
    <w:qFormat/>
    <w:uiPriority w:val="0"/>
    <w:rPr>
      <w:kern w:val="2"/>
      <w:sz w:val="18"/>
      <w:szCs w:val="18"/>
    </w:rPr>
  </w:style>
  <w:style w:type="character" w:customStyle="1" w:styleId="97">
    <w:name w:val="批注文字 字符"/>
    <w:basedOn w:val="89"/>
    <w:link w:val="28"/>
    <w:qFormat/>
    <w:uiPriority w:val="0"/>
    <w:rPr>
      <w:kern w:val="2"/>
      <w:sz w:val="21"/>
      <w:szCs w:val="22"/>
    </w:rPr>
  </w:style>
  <w:style w:type="character" w:customStyle="1" w:styleId="98">
    <w:name w:val="批注主题 字符"/>
    <w:basedOn w:val="97"/>
    <w:link w:val="85"/>
    <w:qFormat/>
    <w:uiPriority w:val="0"/>
    <w:rPr>
      <w:b/>
      <w:bCs/>
      <w:kern w:val="2"/>
      <w:sz w:val="21"/>
      <w:szCs w:val="22"/>
    </w:rPr>
  </w:style>
  <w:style w:type="paragraph" w:customStyle="1" w:styleId="9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semiHidden/>
    <w:qFormat/>
    <w:uiPriority w:val="0"/>
    <w:rPr>
      <w:rFonts w:ascii="Courier New" w:hAnsi="Courier New" w:cs="Courier New" w:eastAsiaTheme="minorEastAsia"/>
      <w:kern w:val="2"/>
    </w:rPr>
  </w:style>
  <w:style w:type="character" w:customStyle="1" w:styleId="104">
    <w:name w:val="标题 1 字符"/>
    <w:basedOn w:val="89"/>
    <w:link w:val="3"/>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semiHidden/>
    <w:unhideWhenUsed/>
    <w:qFormat/>
    <w:uiPriority w:val="39"/>
    <w:pPr>
      <w:outlineLvl w:val="9"/>
    </w:pPr>
  </w:style>
  <w:style w:type="character" w:customStyle="1" w:styleId="106">
    <w:name w:val="标题 2 字符"/>
    <w:basedOn w:val="89"/>
    <w:link w:val="4"/>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semiHidden/>
    <w:qFormat/>
    <w:uiPriority w:val="0"/>
    <w:rPr>
      <w:rFonts w:ascii="Courier New" w:hAnsi="Courier New" w:cs="Courier New"/>
      <w:kern w:val="2"/>
      <w:sz w:val="24"/>
      <w:szCs w:val="24"/>
    </w:rPr>
  </w:style>
  <w:style w:type="character" w:customStyle="1" w:styleId="119">
    <w:name w:val="脚注文本 字符"/>
    <w:basedOn w:val="89"/>
    <w:link w:val="67"/>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semiHidden/>
    <w:unhideWhenUsed/>
    <w:qFormat/>
    <w:uiPriority w:val="37"/>
  </w:style>
  <w:style w:type="character" w:customStyle="1" w:styleId="126">
    <w:name w:val="尾注文本 字符"/>
    <w:basedOn w:val="89"/>
    <w:link w:val="52"/>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semiHidden/>
    <w:qFormat/>
    <w:uiPriority w:val="0"/>
    <w:rPr>
      <w:rFonts w:ascii="Microsoft YaHei UI" w:eastAsia="Microsoft YaHei UI" w:hAnsiTheme="minorHAnsi" w:cstheme="minorBidi"/>
      <w:kern w:val="2"/>
      <w:sz w:val="18"/>
      <w:szCs w:val="18"/>
    </w:rPr>
  </w:style>
  <w:style w:type="paragraph" w:styleId="128">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semiHidden/>
    <w:unhideWhenUsed/>
    <w:qFormat/>
    <w:uiPriority w:val="99"/>
    <w:rPr>
      <w:color w:val="605E5C"/>
      <w:shd w:val="clear" w:color="auto" w:fill="E1DFDD"/>
    </w:rPr>
  </w:style>
  <w:style w:type="paragraph" w:customStyle="1" w:styleId="142">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3">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4">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5">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6">
    <w:name w:val="修订8"/>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5de5997e-9cd8-4d0f-bd65-e0b18b37784f</errorID>
      <errorWord>[2013]110号</errorWord>
      <group>L1_Knowledge</group>
      <groupName>知识性问题</groupName>
      <ability>L2_Knowledge</ability>
      <abilityName>其他知识</abilityName>
      <candidateList>
        <item>〔2013〕110号</item>
      </candidateList>
      <explain>发文字号格式错误。</explain>
      <paraID>220B9195</paraID>
      <start>126</start>
      <end>136</end>
      <status>unmodified</status>
      <modifiedWord/>
      <trackRevisions>false</trackRevisions>
    </reviewItem>
    <reviewItem>
      <errorID>58124f0d-e66d-4b8d-b581-64486b1e8655</errorID>
      <errorWord>[2014]17号</errorWord>
      <group>L1_Knowledge</group>
      <groupName>知识性问题</groupName>
      <ability>L2_Knowledge</ability>
      <abilityName>其他知识</abilityName>
      <candidateList>
        <item>〔2014〕17号</item>
      </candidateList>
      <explain>发文字号格式错误。</explain>
      <paraID>220B9195</paraID>
      <start>166</start>
      <end>175</end>
      <status>unmodified</status>
      <modifiedWord/>
      <trackRevisions>false</trackRevisions>
    </reviewItem>
    <reviewItem>
      <errorID>db88dc76-2b9e-48c0-ab39-aae7666939bd</errorID>
      <errorWord>[2015]31号</errorWord>
      <group>L1_Knowledge</group>
      <groupName>知识性问题</groupName>
      <ability>L2_Knowledge</ability>
      <abilityName>其他知识</abilityName>
      <candidateList>
        <item>〔2015〕31号</item>
      </candidateList>
      <explain>发文字号格式错误。</explain>
      <paraID>220B9195</paraID>
      <start>219</start>
      <end>228</end>
      <status>unmodified</status>
      <modifiedWord/>
      <trackRevisions>false</trackRevisions>
    </reviewItem>
    <reviewItem>
      <errorID>99702371-e985-49c6-94bb-0814a1b7e57e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31D075A0</paraID>
      <start>0</start>
      <end>2</end>
      <status>unmodified</status>
      <modifiedWord/>
      <trackRevisions>false</trackRevisions>
    </reviewItem>
    <reviewItem>
      <errorID>495b62e8-d6cf-43f6-af4d-b87a5c74ec63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23A3938A</paraID>
      <start>0</start>
      <end>2</end>
      <status>unmodified</status>
      <modifiedWord/>
      <trackRevisions>false</trackRevisions>
    </reviewItem>
    <reviewItem>
      <errorID>63ad9108-851a-4585-9c11-caa000c62dea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7467F2A3</paraID>
      <start>0</start>
      <end>2</end>
      <status>unmodified</status>
      <modifiedWord/>
      <trackRevisions>false</trackRevisions>
    </reviewItem>
    <reviewItem>
      <errorID>52447dc7-0a57-4b06-a4d7-b7b62bf6938c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6D94635F</paraID>
      <start>0</start>
      <end>2</end>
      <status>unmodified</status>
      <modifiedWord/>
      <trackRevisions>false</trackRevisions>
    </reviewItem>
    <reviewItem>
      <errorID>574e71b4-1f53-403c-8009-0d33bd556a08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58725E80</paraID>
      <start>0</start>
      <end>2</end>
      <status>unmodified</status>
      <modifiedWord/>
      <trackRevisions>false</trackRevisions>
    </reviewItem>
    <reviewItem>
      <errorID>7a3f7401-0217-44c4-a22e-34e070ab3232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1EAD392</paraID>
      <start>0</start>
      <end>2</end>
      <status>unmodified</status>
      <modifiedWord/>
      <trackRevisions>false</trackRevisions>
    </reviewItem>
    <reviewItem>
      <errorID>eadd862b-8b98-4516-a8f8-9c16aa0f1b6d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7895BCA7</paraID>
      <start>0</start>
      <end>2</end>
      <status>unmodified</status>
      <modifiedWord/>
      <trackRevisions>false</trackRevisions>
    </reviewItem>
    <reviewItem>
      <errorID>172d7ec6-f52a-4bd7-8fac-66a0b1648561</errorID>
      <errorWord>常</errorWord>
      <group>L1_Word</group>
      <groupName>字词问题</groupName>
      <ability>L2_Typo</ability>
      <abilityName>字词错误</abilityName>
      <candidateList>
        <item>常性</item>
      </candidateList>
      <explain/>
      <paraID>6534B51E</paraID>
      <start>14</start>
      <end>15</end>
      <status>unmodified</status>
      <modifiedWord/>
      <trackRevisions>false</trackRevisions>
    </reviewItem>
    <reviewItem>
      <errorID>e79da0af-f6bf-4838-8d39-7a54dad9fbad</errorID>
      <errorWord>常</errorWord>
      <group>L1_Word</group>
      <groupName>字词问题</groupName>
      <ability>L2_Typo</ability>
      <abilityName>字词错误</abilityName>
      <candidateList>
        <item>常性</item>
      </candidateList>
      <explain/>
      <paraID>3E732F6B</paraID>
      <start>14</start>
      <end>15</end>
      <status>unmodified</status>
      <modifiedWord/>
      <trackRevisions>false</trackRevisions>
    </reviewItem>
    <reviewItem>
      <errorID>a09954a7-c183-475c-9d53-0b8d474674c7</errorID>
      <errorWord>常</errorWord>
      <group>L1_Word</group>
      <groupName>字词问题</groupName>
      <ability>L2_Typo</ability>
      <abilityName>字词错误</abilityName>
      <candidateList>
        <item>常性</item>
      </candidateList>
      <explain/>
      <paraID>4C1495B5</paraID>
      <start>14</start>
      <end>15</end>
      <status>unmodified</status>
      <modifiedWord/>
      <trackRevisions>false</trackRevisions>
    </reviewItem>
    <reviewItem>
      <errorID>e83edf36-6370-4d23-8a82-28fcb6770718</errorID>
      <errorWord>-</errorWord>
      <group>L1_AI</group>
      <groupName>深度校对</groupName>
      <ability>L2_AI_Punc</ability>
      <abilityName>标点纠错</abilityName>
      <candidateList>
        <item>——</item>
      </candidateList>
      <explain/>
      <paraID>5F72B718</paraID>
      <start>26</start>
      <end>27</end>
      <status>unmodified</status>
      <modifiedWord/>
      <trackRevisions>false</trackRevisions>
    </reviewItem>
    <reviewItem>
      <errorID>6633d278-2650-4580-8a17-e3299084b183</errorID>
      <errorWord>[2010]2号</errorWord>
      <group>L1_Knowledge</group>
      <groupName>知识性问题</groupName>
      <ability>L2_Knowledge</ability>
      <abilityName>其他知识</abilityName>
      <candidateList>
        <item>〔2010〕2号</item>
      </candidateList>
      <explain>发文字号格式错误。</explain>
      <paraID>5F72B718</paraID>
      <start>51</start>
      <end>59</end>
      <status>unmodified</status>
      <modifiedWord/>
      <trackRevisions>false</trackRevisions>
    </reviewItem>
    <reviewItem>
      <errorID>0c32db39-89de-485a-82f4-c9b7eec5dce9</errorID>
      <errorWord>；</errorWord>
      <group>L1_AI</group>
      <groupName>深度校对</groupName>
      <ability>L2_AI_Punc</ability>
      <abilityName>标点纠错</abilityName>
      <candidateList>
        <item>。</item>
      </candidateList>
      <explain/>
      <paraID>5F72B718</paraID>
      <start>65</start>
      <end>66</end>
      <status>unmodified</status>
      <modifiedWord/>
      <trackRevisions>false</trackRevisions>
    </reviewItem>
    <reviewItem>
      <errorID>76d50515-83d0-4f5a-993b-27c0f82897cd</errorID>
      <errorWord>《中华人民共和国公司法》（以下简称“《公司法》”）</errorWord>
      <group>L1_Knowledge</group>
      <groupName>知识性问题</groupName>
      <ability>L2_Knowledge</ability>
      <abilityName>其他知识</abilityName>
      <candidateList>
        <item>《中华人民共和国公司法》（以下简称“公司法”）</item>
      </candidateList>
      <explain>疑似政策文件、法律法规名称等书写不规范，请注意检查。</explain>
      <paraID>37E7E5F8</paraID>
      <start>36</start>
      <end>61</end>
      <status>unmodified</status>
      <modifiedWord/>
      <trackRevisions>false</trackRevisions>
    </reviewItem>
    <reviewItem>
      <errorID>70747061-b574-4add-8e51-14089ce3af93</errorID>
      <errorWord>《中华人民共和国证券法》（以下简称“《证券法》”）</errorWord>
      <group>L1_Knowledge</group>
      <groupName>知识性问题</groupName>
      <ability>L2_Knowledge</ability>
      <abilityName>其他知识</abilityName>
      <candidateList>
        <item>《中华人民共和国证券法》（以下简称“证券法”）</item>
      </candidateList>
      <explain>疑似政策文件、法律法规名称等书写不规范，请注意检查。</explain>
      <paraID>37E7E5F8</paraID>
      <start>62</start>
      <end>87</end>
      <status>unmodified</status>
      <modifiedWord/>
      <trackRevisions>false</trackRevisions>
    </reviewItem>
    <reviewItem>
      <errorID>d4e82657-2de8-404d-afa4-65a358a918ae</errorID>
      <errorWord>《</errorWord>
      <group>L1_AI</group>
      <groupName>深度校对</groupName>
      <ability>L2_AI_Punc</ability>
      <abilityName>标点纠错</abilityName>
      <candidateList>
        <item>、《</item>
      </candidateList>
      <explain/>
      <paraID>37E7E5F8</paraID>
      <start>87</start>
      <end>88</end>
      <status>unmodified</status>
      <modifiedWord/>
      <trackRevisions>false</trackRevisions>
    </reviewItem>
    <reviewItem>
      <errorID>9422088f-c797-48ff-8f2b-b57a0b633ed5</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74516EA2</paraID>
      <start>8</start>
      <end>11</end>
      <status>unmodified</status>
      <modifiedWord/>
      <trackRevisions>false</trackRevisions>
    </reviewItem>
    <reviewItem>
      <errorID>0d4786fa-a2d0-426d-a7d6-781c43813643</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74516EA2</paraID>
      <start>13</start>
      <end>16</end>
      <status>unmodified</status>
      <modifiedWord/>
      <trackRevisions>false</trackRevisions>
    </reviewItem>
    <reviewItem>
      <errorID>120d4447-e58d-40b7-becf-dbf2e0a840c6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6D0849F4</paraID>
      <start>0</start>
      <end>2</end>
      <status>unmodified</status>
      <modifiedWord/>
      <trackRevisions>false</trackRevisions>
    </reviewItem>
    <reviewItem>
      <errorID>aa998da8-fd80-4e4f-9d65-42b68b8a16dd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7209F565</paraID>
      <start>0</start>
      <end>2</end>
      <status>unmodified</status>
      <modifiedWord/>
      <trackRevisions>false</trackRevisions>
    </reviewItem>
    <reviewItem>
      <errorID>5106fe32-c023-48d5-b8c7-84e120481e13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318294B</paraID>
      <start>0</start>
      <end>2</end>
      <status>unmodified</status>
      <modifiedWord/>
      <trackRevisions>false</trackRevisions>
    </reviewItem>
    <reviewItem>
      <errorID>75103467-68a4-4a7f-ba8b-426828db6ce2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50F4D0A0</paraID>
      <start>0</start>
      <end>2</end>
      <status>unmodified</status>
      <modifiedWord/>
      <trackRevisions>false</trackRevisions>
    </reviewItem>
    <reviewItem>
      <errorID>58bd95e2-3adc-461d-8254-8e8cb0e74f53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5AF474AD</paraID>
      <start>0</start>
      <end>2</end>
      <status>unmodified</status>
      <modifiedWord/>
      <trackRevisions>false</trackRevisions>
    </reviewItem>
    <reviewItem>
      <errorID>c67e5a01-0d3c-48bb-a0fc-33e5bbf5451a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6F2CE690</paraID>
      <start>0</start>
      <end>2</end>
      <status>unmodified</status>
      <modifiedWord/>
      <trackRevisions>false</trackRevisions>
    </reviewItem>
    <reviewItem>
      <errorID>93d34abe-bcc1-4d8e-99f3-b7037cea21a4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6E31D5F0</paraID>
      <start>0</start>
      <end>2</end>
      <status>unmodified</status>
      <modifiedWord/>
      <trackRevisions>false</trackRevisions>
    </reviewItem>
    <reviewItem>
      <errorID>4fd3ca2e-de80-4253-a1a4-6e83915e0848</errorID>
      <errorWord>法律、法规</errorWord>
      <group>L1_Word</group>
      <groupName>字词问题</groupName>
      <ability>L2_Typo</ability>
      <abilityName>字词错误</abilityName>
      <candidateList>
        <item>法律法规</item>
      </candidateList>
      <explain/>
      <paraID>5FE53B13</paraID>
      <start>25</start>
      <end>30</end>
      <status>unmodified</status>
      <modifiedWord/>
      <trackRevisions>false</trackRevisions>
    </reviewItem>
    <reviewItem>
      <errorID>7ea494f9-f94a-492c-966b-2bff105f7fca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78183751</paraID>
      <start>0</start>
      <end>2</end>
      <status>unmodified</status>
      <modifiedWord/>
      <trackRevisions>false</trackRevisions>
    </reviewItem>
    <reviewItem>
      <errorID>eacb7f0d-b1c0-4633-87d5-9626da99666b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540F2273</paraID>
      <start>0</start>
      <end>2</end>
      <status>unmodified</status>
      <modifiedWord/>
      <trackRevisions>false</trackRevisions>
    </reviewItem>
    <reviewItem>
      <errorID>99ddee0c-df04-444d-af58-f1468b5e01f5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63A971B6</paraID>
      <start>0</start>
      <end>2</end>
      <status>unmodified</status>
      <modifiedWord/>
      <trackRevisions>false</trackRevisions>
    </reviewItem>
    <reviewItem>
      <errorID>5f4bb8a1-8203-416a-9ed6-8612cb02d30d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76E9728F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A392C079-D1B2-4706-A51C-17F61D4D06B8}">
  <ds:schemaRefs/>
</ds:datastoreItem>
</file>

<file path=docProps/app.xml><?xml version="1.0" encoding="utf-8"?>
<Properties xmlns="http://schemas.openxmlformats.org/officeDocument/2006/extended-properties" xmlns:vt="http://schemas.openxmlformats.org/officeDocument/2006/docPropsVTypes">
  <Template>Normal</Template>
  <Company>嘉源律师事务所</Company>
  <Pages>7</Pages>
  <Words>4755</Words>
  <Characters>5359</Characters>
  <Lines>156</Lines>
  <Paragraphs>170</Paragraphs>
  <TotalTime>22</TotalTime>
  <ScaleCrop>false</ScaleCrop>
  <LinksUpToDate>false</LinksUpToDate>
  <CharactersWithSpaces>5416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2025-10-28T05:51:00Z</dcterms:created>
  <dc:creator>BJB-ZB-03</dc:creator>
  <cp:lastModifiedBy>雯亦</cp:lastModifiedBy>
  <dcterms:modified xsi:type="dcterms:W3CDTF">2026-04-02T13:17:01Z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C13340E63D144DFC975E444C1DBA23D0</vt:lpwstr>
  </property>
  <property fmtid="{D5CDD505-2E9C-101B-9397-08002B2CF9AE}" pid="4" name="KSOTemplateDocerSaveRecord">
    <vt:lpwstr>eyJoZGlkIjoiZTQzZmRmZDMxMjkwMDE2NTk0ZWQ1ZWYwMzRmYjVhNmUiLCJ1c2VySWQiOiI2NDQwNzQxNTQifQ==</vt:lpwstr>
  </property>
</Properties>
</file>