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56DB" w:rsidRDefault="00000000">
      <w:pPr>
        <w:spacing w:beforeLines="50" w:before="156" w:line="360" w:lineRule="auto"/>
        <w:jc w:val="center"/>
        <w:rPr>
          <w:rFonts w:ascii="Times New Roman" w:eastAsia="宋体" w:hAnsi="Times New Roman" w:cs="Times New Roman"/>
          <w:sz w:val="24"/>
          <w:szCs w:val="24"/>
        </w:rPr>
      </w:pPr>
      <w:r>
        <w:rPr>
          <w:rFonts w:ascii="Times New Roman" w:eastAsia="宋体" w:hAnsi="Times New Roman" w:cs="Times New Roman"/>
          <w:sz w:val="24"/>
          <w:szCs w:val="24"/>
        </w:rPr>
        <w:t>股票代码：</w:t>
      </w:r>
      <w:r>
        <w:rPr>
          <w:rFonts w:ascii="Times New Roman" w:hAnsi="Times New Roman" w:cs="Times New Roman"/>
          <w:sz w:val="24"/>
          <w:szCs w:val="24"/>
        </w:rPr>
        <w:t>603191.SH</w:t>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sz w:val="24"/>
          <w:szCs w:val="24"/>
        </w:rPr>
        <w:tab/>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ab/>
      </w:r>
      <w:r>
        <w:rPr>
          <w:rFonts w:ascii="Times New Roman" w:eastAsia="宋体" w:hAnsi="Times New Roman" w:cs="Times New Roman"/>
          <w:sz w:val="24"/>
          <w:szCs w:val="24"/>
        </w:rPr>
        <w:t>股票简称：</w:t>
      </w:r>
      <w:proofErr w:type="gramStart"/>
      <w:r>
        <w:rPr>
          <w:rFonts w:ascii="Times New Roman" w:eastAsia="宋体" w:hAnsi="Times New Roman" w:cs="Times New Roman" w:hint="eastAsia"/>
          <w:sz w:val="24"/>
          <w:szCs w:val="24"/>
        </w:rPr>
        <w:t>望变电气</w:t>
      </w:r>
      <w:proofErr w:type="gramEnd"/>
    </w:p>
    <w:p w:rsidR="00D256DB" w:rsidRDefault="00D256DB">
      <w:pPr>
        <w:widowControl/>
        <w:spacing w:line="360" w:lineRule="auto"/>
        <w:jc w:val="center"/>
        <w:rPr>
          <w:rFonts w:ascii="Times New Roman" w:eastAsia="黑体" w:hAnsi="Times New Roman"/>
          <w:b/>
          <w:sz w:val="48"/>
        </w:rPr>
      </w:pPr>
    </w:p>
    <w:p w:rsidR="00D256DB" w:rsidRDefault="00D256DB">
      <w:pPr>
        <w:widowControl/>
        <w:spacing w:line="360" w:lineRule="auto"/>
        <w:rPr>
          <w:rFonts w:ascii="Times New Roman" w:eastAsia="黑体" w:hAnsi="Times New Roman"/>
          <w:b/>
          <w:sz w:val="48"/>
        </w:rPr>
      </w:pPr>
    </w:p>
    <w:p w:rsidR="00D256DB" w:rsidRDefault="00D256DB">
      <w:pPr>
        <w:widowControl/>
        <w:spacing w:line="360" w:lineRule="auto"/>
        <w:jc w:val="center"/>
        <w:rPr>
          <w:rFonts w:ascii="Times New Roman" w:eastAsia="黑体" w:hAnsi="Times New Roman"/>
          <w:b/>
          <w:sz w:val="48"/>
        </w:rPr>
      </w:pPr>
    </w:p>
    <w:p w:rsidR="00D256DB" w:rsidRDefault="00000000">
      <w:pPr>
        <w:spacing w:beforeLines="50" w:before="156" w:line="360" w:lineRule="auto"/>
        <w:jc w:val="center"/>
        <w:rPr>
          <w:rFonts w:ascii="黑体" w:eastAsia="黑体" w:hAnsi="黑体" w:cs="Times New Roman" w:hint="eastAsia"/>
          <w:b/>
          <w:bCs/>
          <w:sz w:val="44"/>
          <w:szCs w:val="44"/>
        </w:rPr>
      </w:pPr>
      <w:proofErr w:type="gramStart"/>
      <w:r>
        <w:rPr>
          <w:rFonts w:ascii="黑体" w:eastAsia="黑体" w:hAnsi="黑体" w:cs="Times New Roman" w:hint="eastAsia"/>
          <w:b/>
          <w:bCs/>
          <w:sz w:val="44"/>
          <w:szCs w:val="44"/>
        </w:rPr>
        <w:t>重庆望变电气</w:t>
      </w:r>
      <w:proofErr w:type="gramEnd"/>
      <w:r>
        <w:rPr>
          <w:rFonts w:ascii="黑体" w:eastAsia="黑体" w:hAnsi="黑体" w:cs="Times New Roman" w:hint="eastAsia"/>
          <w:b/>
          <w:bCs/>
          <w:sz w:val="44"/>
          <w:szCs w:val="44"/>
        </w:rPr>
        <w:t>（集团）股份有限公司</w:t>
      </w:r>
    </w:p>
    <w:p w:rsidR="00D256DB" w:rsidRDefault="00000000">
      <w:pPr>
        <w:spacing w:beforeLines="50" w:before="156" w:line="360" w:lineRule="auto"/>
        <w:jc w:val="center"/>
        <w:rPr>
          <w:rFonts w:ascii="Times New Roman" w:hAnsi="Times New Roman" w:cs="Times New Roman"/>
          <w:sz w:val="28"/>
          <w:szCs w:val="28"/>
        </w:rPr>
      </w:pPr>
      <w:r>
        <w:rPr>
          <w:rFonts w:ascii="Times New Roman" w:hAnsi="Times New Roman" w:cs="Times New Roman" w:hint="eastAsia"/>
          <w:sz w:val="28"/>
          <w:szCs w:val="28"/>
        </w:rPr>
        <w:t>CHONGQING WANGBIAN ELECTRIC</w:t>
      </w:r>
      <w:r>
        <w:rPr>
          <w:rFonts w:ascii="Times New Roman" w:hAnsi="Times New Roman" w:cs="Times New Roman" w:hint="eastAsia"/>
          <w:sz w:val="28"/>
          <w:szCs w:val="28"/>
        </w:rPr>
        <w:t>（</w:t>
      </w:r>
      <w:r>
        <w:rPr>
          <w:rFonts w:ascii="Times New Roman" w:hAnsi="Times New Roman" w:cs="Times New Roman" w:hint="eastAsia"/>
          <w:sz w:val="28"/>
          <w:szCs w:val="28"/>
        </w:rPr>
        <w:t>GROUP</w:t>
      </w:r>
      <w:r>
        <w:rPr>
          <w:rFonts w:ascii="Times New Roman" w:hAnsi="Times New Roman" w:cs="Times New Roman" w:hint="eastAsia"/>
          <w:sz w:val="28"/>
          <w:szCs w:val="28"/>
        </w:rPr>
        <w:t>）</w:t>
      </w:r>
      <w:r>
        <w:rPr>
          <w:rFonts w:ascii="Times New Roman" w:hAnsi="Times New Roman" w:cs="Times New Roman" w:hint="eastAsia"/>
          <w:sz w:val="28"/>
          <w:szCs w:val="28"/>
        </w:rPr>
        <w:t>CORP.</w:t>
      </w:r>
      <w:proofErr w:type="gramStart"/>
      <w:r>
        <w:rPr>
          <w:rFonts w:ascii="Times New Roman" w:hAnsi="Times New Roman" w:cs="Times New Roman" w:hint="eastAsia"/>
          <w:sz w:val="28"/>
          <w:szCs w:val="28"/>
        </w:rPr>
        <w:t>,LTD.</w:t>
      </w:r>
      <w:proofErr w:type="gramEnd"/>
    </w:p>
    <w:p w:rsidR="00D256DB" w:rsidRDefault="00000000">
      <w:pPr>
        <w:spacing w:beforeLines="50" w:before="156" w:line="360" w:lineRule="auto"/>
        <w:jc w:val="center"/>
        <w:rPr>
          <w:rFonts w:ascii="黑体" w:eastAsia="黑体" w:hAnsi="黑体" w:cs="Times New Roman" w:hint="eastAsia"/>
          <w:sz w:val="32"/>
          <w:szCs w:val="32"/>
        </w:rPr>
      </w:pPr>
      <w:r>
        <w:rPr>
          <w:rFonts w:ascii="黑体" w:eastAsia="黑体" w:hAnsi="黑体" w:cs="Times New Roman"/>
          <w:sz w:val="32"/>
          <w:szCs w:val="32"/>
        </w:rPr>
        <w:t>（</w:t>
      </w:r>
      <w:r>
        <w:rPr>
          <w:rFonts w:ascii="黑体" w:eastAsia="黑体" w:hAnsi="黑体" w:cs="Times New Roman" w:hint="eastAsia"/>
          <w:sz w:val="32"/>
          <w:szCs w:val="32"/>
        </w:rPr>
        <w:t>重庆市长寿区晏家街道齐心东路10号</w:t>
      </w:r>
      <w:r>
        <w:rPr>
          <w:rFonts w:ascii="黑体" w:eastAsia="黑体" w:hAnsi="黑体" w:cs="Times New Roman"/>
          <w:sz w:val="32"/>
          <w:szCs w:val="32"/>
        </w:rPr>
        <w:t>）</w:t>
      </w:r>
    </w:p>
    <w:p w:rsidR="00D256DB" w:rsidRDefault="00D256DB">
      <w:pPr>
        <w:spacing w:beforeLines="50" w:before="156" w:line="360" w:lineRule="auto"/>
        <w:jc w:val="center"/>
        <w:rPr>
          <w:rFonts w:ascii="Times New Roman" w:eastAsia="宋体" w:hAnsi="Times New Roman" w:cs="Times New Roman"/>
          <w:sz w:val="36"/>
          <w:szCs w:val="36"/>
        </w:rPr>
      </w:pPr>
    </w:p>
    <w:p w:rsidR="00D256DB" w:rsidRDefault="00000000">
      <w:pPr>
        <w:jc w:val="center"/>
        <w:rPr>
          <w:rFonts w:ascii="Times New Roman" w:eastAsia="宋体" w:hAnsi="Times New Roman" w:cs="Times New Roman"/>
          <w:sz w:val="36"/>
          <w:szCs w:val="36"/>
        </w:rPr>
      </w:pPr>
      <w:r>
        <w:rPr>
          <w:rFonts w:ascii="宋体" w:eastAsia="宋体" w:hAnsi="宋体" w:cs="宋体"/>
          <w:noProof/>
          <w:sz w:val="24"/>
          <w:szCs w:val="24"/>
        </w:rPr>
        <w:drawing>
          <wp:inline distT="0" distB="0" distL="114300" distR="114300">
            <wp:extent cx="3058795" cy="979805"/>
            <wp:effectExtent l="0" t="0" r="1905" b="10795"/>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9">
                      <a:lum contrast="12000"/>
                    </a:blip>
                    <a:stretch>
                      <a:fillRect/>
                    </a:stretch>
                  </pic:blipFill>
                  <pic:spPr>
                    <a:xfrm>
                      <a:off x="0" y="0"/>
                      <a:ext cx="3058795" cy="979805"/>
                    </a:xfrm>
                    <a:prstGeom prst="rect">
                      <a:avLst/>
                    </a:prstGeom>
                    <a:noFill/>
                    <a:ln w="9525">
                      <a:noFill/>
                    </a:ln>
                  </pic:spPr>
                </pic:pic>
              </a:graphicData>
            </a:graphic>
          </wp:inline>
        </w:drawing>
      </w:r>
    </w:p>
    <w:p w:rsidR="00D256DB" w:rsidRDefault="00D256DB">
      <w:pPr>
        <w:widowControl/>
        <w:spacing w:line="360" w:lineRule="auto"/>
        <w:jc w:val="center"/>
        <w:rPr>
          <w:rFonts w:ascii="Times New Roman" w:eastAsia="黑体" w:hAnsi="Times New Roman"/>
          <w:b/>
          <w:sz w:val="44"/>
        </w:rPr>
      </w:pPr>
    </w:p>
    <w:p w:rsidR="00D256DB" w:rsidRDefault="00D256DB">
      <w:pPr>
        <w:widowControl/>
        <w:spacing w:line="360" w:lineRule="auto"/>
        <w:jc w:val="center"/>
        <w:rPr>
          <w:rFonts w:ascii="Times New Roman" w:eastAsia="黑体" w:hAnsi="Times New Roman"/>
          <w:b/>
          <w:sz w:val="44"/>
        </w:rPr>
      </w:pPr>
    </w:p>
    <w:p w:rsidR="00D256DB" w:rsidRDefault="00000000">
      <w:pPr>
        <w:widowControl/>
        <w:spacing w:line="360" w:lineRule="auto"/>
        <w:jc w:val="center"/>
        <w:rPr>
          <w:rFonts w:ascii="Times New Roman" w:eastAsia="黑体" w:hAnsi="Times New Roman"/>
          <w:b/>
          <w:sz w:val="44"/>
        </w:rPr>
      </w:pPr>
      <w:bookmarkStart w:id="0" w:name="_Hlk137405508"/>
      <w:r>
        <w:rPr>
          <w:rFonts w:ascii="Times New Roman" w:eastAsia="黑体" w:hAnsi="Times New Roman" w:hint="eastAsia"/>
          <w:b/>
          <w:sz w:val="44"/>
        </w:rPr>
        <w:t>向特定对象发行</w:t>
      </w:r>
      <w:r>
        <w:rPr>
          <w:rFonts w:ascii="Times New Roman" w:eastAsia="黑体" w:hAnsi="Times New Roman"/>
          <w:b/>
          <w:sz w:val="44"/>
        </w:rPr>
        <w:t>股票</w:t>
      </w:r>
    </w:p>
    <w:p w:rsidR="00D256DB" w:rsidRDefault="00000000">
      <w:pPr>
        <w:widowControl/>
        <w:spacing w:line="360" w:lineRule="auto"/>
        <w:jc w:val="center"/>
        <w:rPr>
          <w:rFonts w:ascii="Times New Roman" w:eastAsia="黑体" w:hAnsi="Times New Roman"/>
          <w:b/>
          <w:sz w:val="44"/>
        </w:rPr>
      </w:pPr>
      <w:r>
        <w:rPr>
          <w:rFonts w:ascii="Times New Roman" w:eastAsia="黑体" w:hAnsi="Times New Roman"/>
          <w:b/>
          <w:sz w:val="44"/>
        </w:rPr>
        <w:t>募集资金使用的可行性分析报告</w:t>
      </w:r>
    </w:p>
    <w:bookmarkEnd w:id="0"/>
    <w:p w:rsidR="00D256DB" w:rsidRDefault="00D256DB">
      <w:pPr>
        <w:widowControl/>
        <w:spacing w:line="259" w:lineRule="auto"/>
        <w:jc w:val="center"/>
        <w:rPr>
          <w:rFonts w:ascii="Times New Roman" w:eastAsia="宋体" w:hAnsi="Times New Roman"/>
          <w:sz w:val="24"/>
        </w:rPr>
      </w:pPr>
    </w:p>
    <w:p w:rsidR="00D256DB" w:rsidRDefault="00D256DB">
      <w:pPr>
        <w:widowControl/>
        <w:spacing w:line="259" w:lineRule="auto"/>
        <w:jc w:val="center"/>
        <w:rPr>
          <w:rFonts w:ascii="Times New Roman" w:eastAsia="宋体" w:hAnsi="Times New Roman"/>
          <w:sz w:val="24"/>
        </w:rPr>
      </w:pPr>
    </w:p>
    <w:p w:rsidR="00D256DB" w:rsidRDefault="00D256DB">
      <w:pPr>
        <w:widowControl/>
        <w:spacing w:line="259" w:lineRule="auto"/>
        <w:jc w:val="center"/>
        <w:rPr>
          <w:rFonts w:ascii="Times New Roman" w:eastAsia="宋体" w:hAnsi="Times New Roman"/>
          <w:sz w:val="24"/>
        </w:rPr>
      </w:pPr>
    </w:p>
    <w:p w:rsidR="00D256DB" w:rsidRDefault="00D256DB">
      <w:pPr>
        <w:widowControl/>
        <w:spacing w:line="259" w:lineRule="auto"/>
        <w:jc w:val="center"/>
        <w:rPr>
          <w:rFonts w:ascii="Times New Roman" w:eastAsia="黑体" w:hAnsi="Times New Roman"/>
          <w:b/>
          <w:sz w:val="32"/>
        </w:rPr>
      </w:pPr>
    </w:p>
    <w:p w:rsidR="00D256DB" w:rsidRDefault="00D256DB">
      <w:pPr>
        <w:widowControl/>
        <w:spacing w:line="259" w:lineRule="auto"/>
        <w:jc w:val="center"/>
        <w:rPr>
          <w:rFonts w:ascii="Times New Roman" w:eastAsia="黑体" w:hAnsi="Times New Roman"/>
          <w:b/>
          <w:sz w:val="32"/>
        </w:rPr>
      </w:pPr>
    </w:p>
    <w:p w:rsidR="00D256DB" w:rsidRDefault="00D256DB">
      <w:pPr>
        <w:widowControl/>
        <w:spacing w:line="259" w:lineRule="auto"/>
        <w:jc w:val="center"/>
        <w:rPr>
          <w:rFonts w:ascii="Times New Roman" w:eastAsia="黑体" w:hAnsi="Times New Roman"/>
          <w:b/>
          <w:sz w:val="32"/>
        </w:rPr>
      </w:pPr>
    </w:p>
    <w:p w:rsidR="00D256DB" w:rsidRDefault="00000000">
      <w:pPr>
        <w:spacing w:beforeLines="50" w:before="156" w:afterLines="50" w:after="156" w:line="360" w:lineRule="auto"/>
        <w:jc w:val="center"/>
        <w:rPr>
          <w:rFonts w:ascii="Times New Roman" w:eastAsia="黑体" w:hAnsi="Times New Roman" w:cs="Times New Roman"/>
          <w:b/>
          <w:sz w:val="28"/>
          <w:szCs w:val="28"/>
        </w:rPr>
        <w:sectPr w:rsidR="00D256DB">
          <w:footerReference w:type="default" r:id="rId10"/>
          <w:pgSz w:w="11906" w:h="16838"/>
          <w:pgMar w:top="1440" w:right="1800" w:bottom="1440" w:left="1800" w:header="851" w:footer="992" w:gutter="0"/>
          <w:cols w:space="425"/>
          <w:docGrid w:type="lines" w:linePitch="312"/>
        </w:sectPr>
      </w:pPr>
      <w:r>
        <w:rPr>
          <w:rFonts w:ascii="Times New Roman" w:eastAsia="黑体" w:hAnsi="Times New Roman"/>
          <w:b/>
          <w:sz w:val="28"/>
        </w:rPr>
        <w:t>二〇二</w:t>
      </w:r>
      <w:r>
        <w:rPr>
          <w:rFonts w:ascii="Times New Roman" w:eastAsia="黑体" w:hAnsi="Times New Roman" w:hint="eastAsia"/>
          <w:b/>
          <w:sz w:val="28"/>
        </w:rPr>
        <w:t>六</w:t>
      </w:r>
      <w:r>
        <w:rPr>
          <w:rFonts w:ascii="Times New Roman" w:eastAsia="黑体" w:hAnsi="Times New Roman"/>
          <w:b/>
          <w:sz w:val="28"/>
        </w:rPr>
        <w:t>年</w:t>
      </w:r>
      <w:r w:rsidR="00564CE4">
        <w:rPr>
          <w:rFonts w:ascii="Times New Roman" w:eastAsia="黑体" w:hAnsi="Times New Roman" w:hint="eastAsia"/>
          <w:b/>
          <w:sz w:val="28"/>
        </w:rPr>
        <w:t>二</w:t>
      </w:r>
      <w:r>
        <w:rPr>
          <w:rFonts w:ascii="Times New Roman" w:eastAsia="黑体" w:hAnsi="Times New Roman"/>
          <w:b/>
          <w:sz w:val="28"/>
        </w:rPr>
        <w:t>月</w:t>
      </w:r>
    </w:p>
    <w:p w:rsidR="00D256DB" w:rsidRDefault="00000000">
      <w:pPr>
        <w:widowControl/>
        <w:spacing w:beforeLines="50" w:before="156" w:afterLines="50" w:after="156"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lastRenderedPageBreak/>
        <w:t>为满足</w:t>
      </w:r>
      <w:proofErr w:type="gramStart"/>
      <w:r>
        <w:rPr>
          <w:rFonts w:ascii="Times New Roman" w:eastAsia="宋体" w:hAnsi="Times New Roman" w:cs="Times New Roman" w:hint="eastAsia"/>
          <w:kern w:val="0"/>
          <w:sz w:val="24"/>
          <w:szCs w:val="24"/>
        </w:rPr>
        <w:t>重庆望变电气</w:t>
      </w:r>
      <w:proofErr w:type="gramEnd"/>
      <w:r>
        <w:rPr>
          <w:rFonts w:ascii="Times New Roman" w:eastAsia="宋体" w:hAnsi="Times New Roman" w:cs="Times New Roman" w:hint="eastAsia"/>
          <w:kern w:val="0"/>
          <w:sz w:val="24"/>
          <w:szCs w:val="24"/>
        </w:rPr>
        <w:t>（集团）股份有限公司（以下简称“望变电气”或“公司”）业务发展的资金需求，提高公司抗风险能力，优化公司资本结构，促进公司的长远健康发展，公司拟向特定对象发行股票募集</w:t>
      </w:r>
      <w:r>
        <w:rPr>
          <w:rFonts w:ascii="Times New Roman" w:eastAsia="宋体" w:hAnsi="Times New Roman" w:cs="Times New Roman"/>
          <w:kern w:val="0"/>
          <w:sz w:val="24"/>
          <w:szCs w:val="24"/>
        </w:rPr>
        <w:t>资金。公司董事会对本次向特定对象发行</w:t>
      </w:r>
      <w:r>
        <w:rPr>
          <w:rFonts w:ascii="Times New Roman" w:eastAsia="宋体" w:hAnsi="Times New Roman" w:cs="Times New Roman" w:hint="eastAsia"/>
          <w:kern w:val="0"/>
          <w:sz w:val="24"/>
          <w:szCs w:val="24"/>
        </w:rPr>
        <w:t>股票募集资金使用的可行性分析如下：</w:t>
      </w:r>
    </w:p>
    <w:p w:rsidR="00D256DB" w:rsidRDefault="00000000">
      <w:pPr>
        <w:keepNext/>
        <w:widowControl/>
        <w:spacing w:beforeLines="50" w:before="156" w:afterLines="50" w:after="156" w:line="360" w:lineRule="auto"/>
        <w:outlineLvl w:val="1"/>
        <w:rPr>
          <w:rFonts w:ascii="黑体" w:eastAsia="黑体" w:hAnsi="黑体" w:cs="Times New Roman" w:hint="eastAsia"/>
          <w:b/>
          <w:kern w:val="0"/>
          <w:sz w:val="28"/>
          <w:szCs w:val="28"/>
        </w:rPr>
      </w:pPr>
      <w:bookmarkStart w:id="1" w:name="_Toc130755208"/>
      <w:r>
        <w:rPr>
          <w:rFonts w:ascii="黑体" w:eastAsia="黑体" w:hAnsi="黑体" w:cs="Times New Roman"/>
          <w:b/>
          <w:kern w:val="0"/>
          <w:sz w:val="28"/>
          <w:szCs w:val="28"/>
        </w:rPr>
        <w:t>一、</w:t>
      </w:r>
      <w:bookmarkEnd w:id="1"/>
      <w:r>
        <w:rPr>
          <w:rFonts w:ascii="黑体" w:eastAsia="黑体" w:hAnsi="黑体" w:cs="Times New Roman" w:hint="eastAsia"/>
          <w:b/>
          <w:kern w:val="0"/>
          <w:sz w:val="28"/>
          <w:szCs w:val="28"/>
        </w:rPr>
        <w:t>本次发行募集资金使用计划</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公司本次向特定对象发行股票募集资金总额为</w:t>
      </w:r>
      <w:r>
        <w:rPr>
          <w:rFonts w:ascii="Times New Roman" w:eastAsia="宋体" w:hAnsi="Times New Roman" w:cs="Times New Roman" w:hint="eastAsia"/>
          <w:sz w:val="24"/>
          <w:szCs w:val="24"/>
        </w:rPr>
        <w:t>30,000.00</w:t>
      </w:r>
      <w:r>
        <w:rPr>
          <w:rFonts w:ascii="Times New Roman" w:eastAsia="宋体" w:hAnsi="Times New Roman" w:cs="Times New Roman" w:hint="eastAsia"/>
          <w:sz w:val="24"/>
          <w:szCs w:val="24"/>
        </w:rPr>
        <w:t>万元，在扣除相关发行费用后，拟用于补充流动资金。</w:t>
      </w:r>
    </w:p>
    <w:p w:rsidR="00D256DB" w:rsidRDefault="00000000">
      <w:pPr>
        <w:keepNext/>
        <w:widowControl/>
        <w:spacing w:beforeLines="50" w:before="156" w:afterLines="50" w:after="156" w:line="360" w:lineRule="auto"/>
        <w:outlineLvl w:val="1"/>
        <w:rPr>
          <w:rFonts w:ascii="黑体" w:eastAsia="黑体" w:hAnsi="黑体" w:cs="Times New Roman" w:hint="eastAsia"/>
          <w:b/>
          <w:kern w:val="0"/>
          <w:sz w:val="28"/>
          <w:szCs w:val="28"/>
        </w:rPr>
      </w:pPr>
      <w:r>
        <w:rPr>
          <w:rFonts w:ascii="黑体" w:eastAsia="黑体" w:hAnsi="黑体" w:cs="Times New Roman" w:hint="eastAsia"/>
          <w:b/>
          <w:kern w:val="0"/>
          <w:sz w:val="28"/>
          <w:szCs w:val="28"/>
        </w:rPr>
        <w:t>二、本次募集资金投资项目必要性和可行性分析</w:t>
      </w:r>
    </w:p>
    <w:p w:rsidR="00D256DB" w:rsidRDefault="00000000">
      <w:pPr>
        <w:spacing w:beforeLines="50" w:before="156" w:line="360" w:lineRule="auto"/>
        <w:jc w:val="left"/>
        <w:outlineLvl w:val="2"/>
        <w:rPr>
          <w:rFonts w:ascii="黑体" w:eastAsia="黑体" w:hAnsi="黑体" w:cs="Times New Roman" w:hint="eastAsia"/>
          <w:b/>
          <w:bCs/>
          <w:sz w:val="24"/>
          <w:szCs w:val="24"/>
        </w:rPr>
      </w:pPr>
      <w:r>
        <w:rPr>
          <w:rFonts w:ascii="黑体" w:eastAsia="黑体" w:hAnsi="黑体" w:cs="Times New Roman"/>
          <w:b/>
          <w:bCs/>
          <w:sz w:val="24"/>
          <w:szCs w:val="24"/>
        </w:rPr>
        <w:t>（一）必要性分析</w:t>
      </w:r>
    </w:p>
    <w:p w:rsidR="00D256DB" w:rsidRDefault="00000000">
      <w:pPr>
        <w:spacing w:beforeLines="50" w:before="156" w:line="360" w:lineRule="auto"/>
        <w:ind w:firstLineChars="200" w:firstLine="482"/>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1</w:t>
      </w:r>
      <w:r>
        <w:rPr>
          <w:rFonts w:ascii="Times New Roman" w:eastAsia="宋体" w:hAnsi="Times New Roman" w:cs="Times New Roman" w:hint="eastAsia"/>
          <w:b/>
          <w:bCs/>
          <w:sz w:val="24"/>
          <w:szCs w:val="24"/>
        </w:rPr>
        <w:t>、把握行业机遇，扩大公司业务规模</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能源结构转型与新能源技术突破正推动电力设备市场进入高速增长周期，一方面，光伏、风电等可再生能源装机量持续攀升，直接促进电力设备的需求增长；另一方面，电网基础设施更新、制造业智能化转型以及人工智能、</w:t>
      </w:r>
      <w:proofErr w:type="gramStart"/>
      <w:r>
        <w:rPr>
          <w:rFonts w:ascii="Times New Roman" w:eastAsia="宋体" w:hAnsi="Times New Roman" w:cs="Times New Roman" w:hint="eastAsia"/>
          <w:sz w:val="24"/>
          <w:szCs w:val="24"/>
        </w:rPr>
        <w:t>云计算</w:t>
      </w:r>
      <w:proofErr w:type="gramEnd"/>
      <w:r>
        <w:rPr>
          <w:rFonts w:ascii="Times New Roman" w:eastAsia="宋体" w:hAnsi="Times New Roman" w:cs="Times New Roman" w:hint="eastAsia"/>
          <w:sz w:val="24"/>
          <w:szCs w:val="24"/>
        </w:rPr>
        <w:t>等数字技术基础设施的快速发展为电力设备行业增量发展提供了重要支撑。</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在国家持续加大电力基础设施投资的背景下，借助本次向特定对象发行股票的募集资金，公司有望持续加大研发技术投入，积极推进产能提升与高端化产品转型，不断拓展市场布局，进而把握电力设备行业发展的重要机遇，稳步扩大公司主营业务规模。</w:t>
      </w:r>
    </w:p>
    <w:p w:rsidR="00D256DB" w:rsidRDefault="00000000">
      <w:pPr>
        <w:spacing w:beforeLines="50" w:before="156" w:line="360" w:lineRule="auto"/>
        <w:ind w:firstLineChars="200" w:firstLine="482"/>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t>2</w:t>
      </w:r>
      <w:r>
        <w:rPr>
          <w:rFonts w:ascii="Times New Roman" w:eastAsia="宋体" w:hAnsi="Times New Roman" w:cs="Times New Roman" w:hint="eastAsia"/>
          <w:b/>
          <w:bCs/>
          <w:sz w:val="24"/>
          <w:szCs w:val="24"/>
        </w:rPr>
        <w:t>、满足公司营运资金需求，提升公司核心竞争力</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实施本次向特定对象发行股票募集资金，公司得以进一步补充和增强资金实力，可以有效缓解公司业务发展和技术更新所面临的流动资金压力，为自身业务发展提供资源保障，加强公司应对宏观经济波动的抗风险能力，为公司未来核心业务增长与战略布局提供长期资金支持，从而全面提升公司的核心竞争力和持续盈利能力。</w:t>
      </w:r>
    </w:p>
    <w:p w:rsidR="00D256DB" w:rsidRDefault="00000000">
      <w:pPr>
        <w:keepNext/>
        <w:spacing w:beforeLines="50" w:before="156" w:line="360" w:lineRule="auto"/>
        <w:ind w:firstLineChars="200" w:firstLine="482"/>
        <w:outlineLvl w:val="3"/>
        <w:rPr>
          <w:rFonts w:ascii="Times New Roman" w:eastAsia="宋体" w:hAnsi="Times New Roman" w:cs="Times New Roman"/>
          <w:b/>
          <w:bCs/>
          <w:sz w:val="24"/>
          <w:szCs w:val="24"/>
        </w:rPr>
      </w:pPr>
      <w:r>
        <w:rPr>
          <w:rFonts w:ascii="Times New Roman" w:eastAsia="宋体" w:hAnsi="Times New Roman" w:cs="Times New Roman" w:hint="eastAsia"/>
          <w:b/>
          <w:bCs/>
          <w:sz w:val="24"/>
          <w:szCs w:val="24"/>
        </w:rPr>
        <w:lastRenderedPageBreak/>
        <w:t>3</w:t>
      </w:r>
      <w:r>
        <w:rPr>
          <w:rFonts w:ascii="Times New Roman" w:eastAsia="宋体" w:hAnsi="Times New Roman" w:cs="Times New Roman" w:hint="eastAsia"/>
          <w:b/>
          <w:bCs/>
          <w:sz w:val="24"/>
          <w:szCs w:val="24"/>
        </w:rPr>
        <w:t>、提高</w:t>
      </w:r>
      <w:r w:rsidR="00D9683E">
        <w:rPr>
          <w:rFonts w:ascii="Times New Roman" w:eastAsia="宋体" w:hAnsi="Times New Roman" w:cs="Times New Roman" w:hint="eastAsia"/>
          <w:b/>
          <w:bCs/>
          <w:sz w:val="24"/>
          <w:szCs w:val="24"/>
        </w:rPr>
        <w:t>控股股东</w:t>
      </w:r>
      <w:r>
        <w:rPr>
          <w:rFonts w:ascii="Times New Roman" w:eastAsia="宋体" w:hAnsi="Times New Roman" w:cs="Times New Roman" w:hint="eastAsia"/>
          <w:b/>
          <w:bCs/>
          <w:sz w:val="24"/>
          <w:szCs w:val="24"/>
        </w:rPr>
        <w:t>持股比例，增强公司控制权的稳定性</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通过认购本次向特定对象发行股票，公司</w:t>
      </w:r>
      <w:r w:rsidR="00D9683E">
        <w:rPr>
          <w:rFonts w:ascii="Times New Roman" w:eastAsia="宋体" w:hAnsi="Times New Roman" w:cs="Times New Roman" w:hint="eastAsia"/>
          <w:sz w:val="24"/>
          <w:szCs w:val="24"/>
        </w:rPr>
        <w:t>控股股东</w:t>
      </w:r>
      <w:r>
        <w:rPr>
          <w:rFonts w:ascii="Times New Roman" w:eastAsia="宋体" w:hAnsi="Times New Roman" w:cs="Times New Roman" w:hint="eastAsia"/>
          <w:sz w:val="24"/>
          <w:szCs w:val="24"/>
        </w:rPr>
        <w:t>持股比例将得到提升，有助于进一步增强公司控制权的稳定性</w:t>
      </w:r>
      <w:r w:rsidR="00DB739D">
        <w:rPr>
          <w:rFonts w:ascii="Times New Roman" w:eastAsia="宋体" w:hAnsi="Times New Roman" w:cs="Times New Roman" w:hint="eastAsia"/>
          <w:sz w:val="24"/>
          <w:szCs w:val="24"/>
        </w:rPr>
        <w:t>，</w:t>
      </w:r>
      <w:proofErr w:type="gramStart"/>
      <w:r w:rsidR="00DB739D">
        <w:rPr>
          <w:rFonts w:ascii="Times New Roman" w:eastAsia="宋体" w:hAnsi="Times New Roman" w:cs="Times New Roman" w:hint="eastAsia"/>
          <w:sz w:val="24"/>
          <w:szCs w:val="24"/>
        </w:rPr>
        <w:t>亦</w:t>
      </w:r>
      <w:r>
        <w:rPr>
          <w:rFonts w:ascii="Times New Roman" w:eastAsia="宋体" w:hAnsi="Times New Roman" w:cs="Times New Roman" w:hint="eastAsia"/>
          <w:sz w:val="24"/>
          <w:szCs w:val="24"/>
        </w:rPr>
        <w:t>彰显</w:t>
      </w:r>
      <w:proofErr w:type="gramEnd"/>
      <w:r w:rsidR="00DB739D">
        <w:rPr>
          <w:rFonts w:ascii="Times New Roman" w:eastAsia="宋体" w:hAnsi="Times New Roman" w:cs="Times New Roman" w:hint="eastAsia"/>
          <w:sz w:val="24"/>
          <w:szCs w:val="24"/>
        </w:rPr>
        <w:t>控股股东</w:t>
      </w:r>
      <w:r>
        <w:rPr>
          <w:rFonts w:ascii="Times New Roman" w:eastAsia="宋体" w:hAnsi="Times New Roman" w:cs="Times New Roman" w:hint="eastAsia"/>
          <w:sz w:val="24"/>
          <w:szCs w:val="24"/>
        </w:rPr>
        <w:t>对上市公司未来发展前景的坚定信心，有利于向市场以及中小股东传递积极信号。</w:t>
      </w:r>
    </w:p>
    <w:p w:rsidR="00D256DB" w:rsidRDefault="00000000">
      <w:pPr>
        <w:spacing w:beforeLines="50" w:before="156" w:line="360" w:lineRule="auto"/>
        <w:jc w:val="left"/>
        <w:outlineLvl w:val="2"/>
        <w:rPr>
          <w:rFonts w:ascii="黑体" w:eastAsia="黑体" w:hAnsi="黑体" w:cs="Times New Roman" w:hint="eastAsia"/>
          <w:b/>
          <w:bCs/>
          <w:sz w:val="24"/>
          <w:szCs w:val="24"/>
        </w:rPr>
      </w:pPr>
      <w:r>
        <w:rPr>
          <w:rFonts w:ascii="黑体" w:eastAsia="黑体" w:hAnsi="黑体" w:cs="Times New Roman"/>
          <w:b/>
          <w:bCs/>
          <w:sz w:val="24"/>
          <w:szCs w:val="24"/>
        </w:rPr>
        <w:t>（二）可行性分析</w:t>
      </w:r>
    </w:p>
    <w:p w:rsidR="00D256DB" w:rsidRDefault="00000000">
      <w:pPr>
        <w:spacing w:beforeLines="50" w:before="156" w:line="360" w:lineRule="auto"/>
        <w:ind w:firstLineChars="200" w:firstLine="482"/>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1</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上市公司治理规范、内控完善，募集资金使用制度保障完善</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已按照上市公司的治理标准建立了以法人治理结构为核心的现代企业制度，并通过不断改进和完善，形成了规范的公司治理体系和完善的内部控制环境。在募集资金管理方面，公司按照监管要求建立了《募集资金管理制度》，对募集资金的存储、使用、投向及监督等进行了明确规定。本次发行募集资金到位后，公司董事会将持续监督公司对募集资金的存储及使用，以保证募集资金合理规范使用，防范募集资金使用风险。</w:t>
      </w:r>
    </w:p>
    <w:p w:rsidR="00D256DB" w:rsidRDefault="00000000">
      <w:pPr>
        <w:spacing w:beforeLines="50" w:before="156" w:line="360" w:lineRule="auto"/>
        <w:ind w:firstLineChars="200" w:firstLine="482"/>
        <w:outlineLvl w:val="3"/>
        <w:rPr>
          <w:rFonts w:ascii="Times New Roman" w:eastAsia="宋体" w:hAnsi="Times New Roman" w:cs="Times New Roman"/>
          <w:b/>
          <w:bCs/>
          <w:sz w:val="24"/>
          <w:szCs w:val="24"/>
        </w:rPr>
      </w:pPr>
      <w:r>
        <w:rPr>
          <w:rFonts w:ascii="Times New Roman" w:eastAsia="宋体" w:hAnsi="Times New Roman" w:cs="Times New Roman"/>
          <w:b/>
          <w:bCs/>
          <w:sz w:val="24"/>
          <w:szCs w:val="24"/>
        </w:rPr>
        <w:t>2</w:t>
      </w:r>
      <w:r>
        <w:rPr>
          <w:rFonts w:ascii="Times New Roman" w:eastAsia="宋体" w:hAnsi="Times New Roman" w:cs="Times New Roman"/>
          <w:b/>
          <w:bCs/>
          <w:sz w:val="24"/>
          <w:szCs w:val="24"/>
        </w:rPr>
        <w:t>、</w:t>
      </w:r>
      <w:r>
        <w:rPr>
          <w:rFonts w:ascii="Times New Roman" w:eastAsia="宋体" w:hAnsi="Times New Roman" w:cs="Times New Roman" w:hint="eastAsia"/>
          <w:b/>
          <w:bCs/>
          <w:sz w:val="24"/>
          <w:szCs w:val="24"/>
        </w:rPr>
        <w:t>本次发行募集资金使用符合法律法规的规定</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公司本次发行募集资金使用符合</w:t>
      </w:r>
      <w:r w:rsidR="00A63414" w:rsidRPr="00A63414">
        <w:rPr>
          <w:rFonts w:ascii="Times New Roman" w:eastAsia="宋体" w:hAnsi="Times New Roman" w:cs="Times New Roman" w:hint="eastAsia"/>
          <w:sz w:val="24"/>
          <w:szCs w:val="24"/>
        </w:rPr>
        <w:t>《上市公司证券发行注册管理办法》</w:t>
      </w:r>
      <w:r>
        <w:rPr>
          <w:rFonts w:ascii="Times New Roman" w:eastAsia="宋体" w:hAnsi="Times New Roman" w:cs="Times New Roman" w:hint="eastAsia"/>
          <w:sz w:val="24"/>
          <w:szCs w:val="24"/>
        </w:rPr>
        <w:t>和《上海证券交易所上市公司自律监管指引第</w:t>
      </w: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号——规范运作》等相关法律法规及规范性文件的规定，具有可行性。本次发行募集资金到位后，公司净资产将有所增加，有利于提高公司抗风险能力、市场竞争力，推动公司业务持续健康发展。</w:t>
      </w:r>
    </w:p>
    <w:p w:rsidR="00D256DB" w:rsidRDefault="00000000">
      <w:pPr>
        <w:spacing w:beforeLines="50" w:before="156" w:line="360" w:lineRule="auto"/>
        <w:jc w:val="left"/>
        <w:outlineLvl w:val="1"/>
        <w:rPr>
          <w:rFonts w:ascii="黑体" w:eastAsia="黑体" w:hAnsi="黑体" w:cs="Times New Roman" w:hint="eastAsia"/>
          <w:b/>
          <w:bCs/>
          <w:sz w:val="28"/>
          <w:szCs w:val="28"/>
        </w:rPr>
      </w:pPr>
      <w:bookmarkStart w:id="2" w:name="_Toc173652096"/>
      <w:r>
        <w:rPr>
          <w:rFonts w:ascii="黑体" w:eastAsia="黑体" w:hAnsi="黑体" w:cs="Times New Roman" w:hint="eastAsia"/>
          <w:b/>
          <w:bCs/>
          <w:sz w:val="28"/>
          <w:szCs w:val="28"/>
        </w:rPr>
        <w:t>三、</w:t>
      </w:r>
      <w:bookmarkEnd w:id="2"/>
      <w:r>
        <w:rPr>
          <w:rFonts w:ascii="黑体" w:eastAsia="黑体" w:hAnsi="黑体" w:cs="Times New Roman" w:hint="eastAsia"/>
          <w:b/>
          <w:bCs/>
          <w:sz w:val="28"/>
          <w:szCs w:val="28"/>
        </w:rPr>
        <w:t>本次发行对公司经营管理和财务状况的影响</w:t>
      </w:r>
    </w:p>
    <w:p w:rsidR="00D256DB" w:rsidRDefault="00000000">
      <w:pPr>
        <w:spacing w:beforeLines="50" w:before="156" w:line="360" w:lineRule="auto"/>
        <w:jc w:val="left"/>
        <w:outlineLvl w:val="2"/>
        <w:rPr>
          <w:rFonts w:ascii="黑体" w:eastAsia="黑体" w:hAnsi="黑体" w:cs="Times New Roman" w:hint="eastAsia"/>
          <w:b/>
          <w:bCs/>
          <w:sz w:val="24"/>
          <w:szCs w:val="24"/>
        </w:rPr>
      </w:pPr>
      <w:r>
        <w:rPr>
          <w:rFonts w:ascii="黑体" w:eastAsia="黑体" w:hAnsi="黑体" w:cs="Times New Roman"/>
          <w:b/>
          <w:bCs/>
          <w:sz w:val="24"/>
          <w:szCs w:val="24"/>
        </w:rPr>
        <w:t>（一）</w:t>
      </w:r>
      <w:r>
        <w:rPr>
          <w:rFonts w:ascii="黑体" w:eastAsia="黑体" w:hAnsi="黑体" w:cs="Times New Roman" w:hint="eastAsia"/>
          <w:b/>
          <w:bCs/>
          <w:sz w:val="24"/>
          <w:szCs w:val="24"/>
        </w:rPr>
        <w:t>本次发行对公司经营管理的影响</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本次向特定对象发行募集资金扣除发行费用后，拟用于补充流动资金，有助于提高公司的资本实力，降低公司的资产负债率，增强公司风险防范能力，推动公司业务健康发展并提升持续经营能力和公司核心竞争力，也将进一步增强公司控制权的稳定性。</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向特定对象发行不会导致公司主营业务发生重大变化。本次向特定对象发行完成后，公司仍将具有完善的法人治理结构，与控股股东、实际控制人在业务、人员、资产、财务和机构的独立性方面不会产生影响。</w:t>
      </w:r>
    </w:p>
    <w:p w:rsidR="00D256DB" w:rsidRDefault="00000000">
      <w:pPr>
        <w:spacing w:beforeLines="50" w:before="156" w:line="360" w:lineRule="auto"/>
        <w:jc w:val="left"/>
        <w:outlineLvl w:val="2"/>
        <w:rPr>
          <w:rFonts w:ascii="黑体" w:eastAsia="黑体" w:hAnsi="黑体" w:cs="Times New Roman" w:hint="eastAsia"/>
          <w:b/>
          <w:bCs/>
          <w:sz w:val="24"/>
          <w:szCs w:val="24"/>
        </w:rPr>
      </w:pPr>
      <w:r>
        <w:rPr>
          <w:rFonts w:ascii="黑体" w:eastAsia="黑体" w:hAnsi="黑体" w:cs="Times New Roman"/>
          <w:b/>
          <w:bCs/>
          <w:sz w:val="24"/>
          <w:szCs w:val="24"/>
        </w:rPr>
        <w:lastRenderedPageBreak/>
        <w:t>（二）</w:t>
      </w:r>
      <w:r>
        <w:rPr>
          <w:rFonts w:ascii="黑体" w:eastAsia="黑体" w:hAnsi="黑体" w:cs="Times New Roman" w:hint="eastAsia"/>
          <w:b/>
          <w:bCs/>
          <w:sz w:val="24"/>
          <w:szCs w:val="24"/>
        </w:rPr>
        <w:t>本次发行对公司财务状况的影响</w:t>
      </w:r>
    </w:p>
    <w:p w:rsidR="00D256DB" w:rsidRDefault="00000000">
      <w:pPr>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本次向特定对象发行完成后，公司的资本实力进一步增强。公司的总资产和净资产规模均会有所增长，资产负债率将相应下降，公司的资本结构将得到优化，有利于增强公司的偿债能力，降低公司的财务风险，为公司后续发展提供有力保障。综上，本次发行有利于优化资本结构、提高偿债能力、降低财务风险，为公司业务发展奠定坚实的基础。</w:t>
      </w:r>
    </w:p>
    <w:p w:rsidR="00D256DB" w:rsidRDefault="00000000">
      <w:pPr>
        <w:keepNext/>
        <w:widowControl/>
        <w:spacing w:beforeLines="50" w:before="156" w:afterLines="50" w:after="156" w:line="360" w:lineRule="auto"/>
        <w:outlineLvl w:val="1"/>
        <w:rPr>
          <w:rFonts w:ascii="黑体" w:eastAsia="黑体" w:hAnsi="黑体" w:cs="Times New Roman" w:hint="eastAsia"/>
          <w:b/>
          <w:kern w:val="0"/>
          <w:sz w:val="28"/>
          <w:szCs w:val="28"/>
        </w:rPr>
      </w:pPr>
      <w:r>
        <w:rPr>
          <w:rFonts w:ascii="黑体" w:eastAsia="黑体" w:hAnsi="黑体" w:cs="Times New Roman" w:hint="eastAsia"/>
          <w:b/>
          <w:kern w:val="0"/>
          <w:sz w:val="28"/>
          <w:szCs w:val="28"/>
        </w:rPr>
        <w:t>四、本次募集资金使用的可行性分析结论</w:t>
      </w:r>
    </w:p>
    <w:p w:rsidR="00D256DB" w:rsidRDefault="00000000">
      <w:pPr>
        <w:widowControl/>
        <w:spacing w:beforeLines="50" w:before="156" w:afterLines="50" w:after="156" w:line="360" w:lineRule="auto"/>
        <w:ind w:firstLineChars="200" w:firstLine="480"/>
        <w:rPr>
          <w:rFonts w:ascii="Times New Roman" w:eastAsia="宋体" w:hAnsi="Times New Roman" w:cs="Times New Roman"/>
          <w:kern w:val="0"/>
          <w:sz w:val="24"/>
          <w:szCs w:val="24"/>
        </w:rPr>
      </w:pPr>
      <w:bookmarkStart w:id="3" w:name="_Hlk170890394"/>
      <w:r>
        <w:rPr>
          <w:rFonts w:ascii="Times New Roman" w:eastAsia="宋体" w:hAnsi="Times New Roman" w:cs="Times New Roman" w:hint="eastAsia"/>
          <w:kern w:val="0"/>
          <w:sz w:val="24"/>
          <w:szCs w:val="24"/>
        </w:rPr>
        <w:t>综上所述，本次向特定对象发行股票符合国家相关的政策及相关法律法规的要求，符合公司目前的实际财务状况和未来业务发展的资金需求，有利于提高公司抗风险能力，优化公司资本结构，有助于促进公司的长远健康发展，实现公司和全体股东的利益最大化，具备必要性和可行性。</w:t>
      </w:r>
    </w:p>
    <w:bookmarkEnd w:id="3"/>
    <w:p w:rsidR="00D256DB" w:rsidRDefault="00D256DB">
      <w:pPr>
        <w:widowControl/>
        <w:spacing w:beforeLines="50" w:before="156" w:afterLines="50" w:after="156" w:line="360" w:lineRule="auto"/>
        <w:rPr>
          <w:rFonts w:ascii="Times New Roman" w:eastAsia="宋体" w:hAnsi="Times New Roman" w:cs="Times New Roman"/>
          <w:kern w:val="0"/>
          <w:sz w:val="24"/>
          <w:szCs w:val="24"/>
        </w:rPr>
      </w:pPr>
    </w:p>
    <w:p w:rsidR="00D256DB" w:rsidRDefault="00000000">
      <w:pPr>
        <w:widowControl/>
        <w:spacing w:beforeLines="50" w:before="156" w:afterLines="50" w:after="156" w:line="360" w:lineRule="auto"/>
        <w:jc w:val="right"/>
        <w:rPr>
          <w:rFonts w:ascii="Times New Roman" w:eastAsia="宋体" w:hAnsi="Times New Roman" w:cs="Times New Roman"/>
          <w:kern w:val="0"/>
          <w:sz w:val="24"/>
          <w:szCs w:val="24"/>
        </w:rPr>
      </w:pPr>
      <w:proofErr w:type="gramStart"/>
      <w:r>
        <w:rPr>
          <w:rFonts w:ascii="Times New Roman" w:eastAsia="宋体" w:hAnsi="Times New Roman" w:cs="Times New Roman" w:hint="eastAsia"/>
          <w:kern w:val="0"/>
          <w:sz w:val="24"/>
          <w:szCs w:val="24"/>
        </w:rPr>
        <w:t>重庆望变电气</w:t>
      </w:r>
      <w:proofErr w:type="gramEnd"/>
      <w:r>
        <w:rPr>
          <w:rFonts w:ascii="Times New Roman" w:eastAsia="宋体" w:hAnsi="Times New Roman" w:cs="Times New Roman" w:hint="eastAsia"/>
          <w:kern w:val="0"/>
          <w:sz w:val="24"/>
          <w:szCs w:val="24"/>
        </w:rPr>
        <w:t>（集团）股份有限公司董事会</w:t>
      </w:r>
    </w:p>
    <w:p w:rsidR="00D256DB" w:rsidRDefault="00000000">
      <w:pPr>
        <w:widowControl/>
        <w:spacing w:beforeLines="50" w:before="156" w:afterLines="50" w:after="156" w:line="360" w:lineRule="auto"/>
        <w:jc w:val="righ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2</w:t>
      </w:r>
      <w:r>
        <w:rPr>
          <w:rFonts w:ascii="Times New Roman" w:eastAsia="宋体" w:hAnsi="Times New Roman" w:cs="Times New Roman"/>
          <w:kern w:val="0"/>
          <w:sz w:val="24"/>
          <w:szCs w:val="24"/>
        </w:rPr>
        <w:t>02</w:t>
      </w:r>
      <w:r>
        <w:rPr>
          <w:rFonts w:ascii="Times New Roman" w:eastAsia="宋体" w:hAnsi="Times New Roman" w:cs="Times New Roman" w:hint="eastAsia"/>
          <w:kern w:val="0"/>
          <w:sz w:val="24"/>
          <w:szCs w:val="24"/>
        </w:rPr>
        <w:t>6</w:t>
      </w:r>
      <w:r>
        <w:rPr>
          <w:rFonts w:ascii="Times New Roman" w:eastAsia="宋体" w:hAnsi="Times New Roman" w:cs="Times New Roman" w:hint="eastAsia"/>
          <w:kern w:val="0"/>
          <w:sz w:val="24"/>
          <w:szCs w:val="24"/>
        </w:rPr>
        <w:t>年</w:t>
      </w:r>
      <w:r w:rsidR="00564CE4">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月</w:t>
      </w:r>
      <w:r w:rsidR="00564CE4">
        <w:rPr>
          <w:rFonts w:ascii="Times New Roman" w:eastAsia="宋体" w:hAnsi="Times New Roman" w:cs="Times New Roman" w:hint="eastAsia"/>
          <w:kern w:val="0"/>
          <w:sz w:val="24"/>
          <w:szCs w:val="24"/>
        </w:rPr>
        <w:t>7</w:t>
      </w:r>
      <w:r>
        <w:rPr>
          <w:rFonts w:ascii="Times New Roman" w:eastAsia="宋体" w:hAnsi="Times New Roman" w:cs="Times New Roman" w:hint="eastAsia"/>
          <w:kern w:val="0"/>
          <w:sz w:val="24"/>
          <w:szCs w:val="24"/>
        </w:rPr>
        <w:t>日</w:t>
      </w:r>
    </w:p>
    <w:sectPr w:rsidR="00D256DB">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272E" w:rsidRDefault="00D3272E">
      <w:pPr>
        <w:rPr>
          <w:rFonts w:hint="eastAsia"/>
        </w:rPr>
      </w:pPr>
      <w:r>
        <w:separator/>
      </w:r>
    </w:p>
  </w:endnote>
  <w:endnote w:type="continuationSeparator" w:id="0">
    <w:p w:rsidR="00D3272E" w:rsidRDefault="00D3272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56DB" w:rsidRDefault="00D256DB">
    <w:pPr>
      <w:pStyle w:val="a6"/>
      <w:jc w:val="center"/>
      <w:rPr>
        <w:rFonts w:ascii="Times New Roman" w:hAnsi="Times New Roman" w:cs="Times New Roman"/>
      </w:rPr>
    </w:pPr>
  </w:p>
  <w:p w:rsidR="00D256DB" w:rsidRDefault="00D256DB">
    <w:pPr>
      <w:pStyle w:val="a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162852"/>
    </w:sdtPr>
    <w:sdtEndPr>
      <w:rPr>
        <w:rFonts w:ascii="Times New Roman" w:hAnsi="Times New Roman" w:cs="Times New Roman"/>
      </w:rPr>
    </w:sdtEndPr>
    <w:sdtContent>
      <w:p w:rsidR="00D256DB" w:rsidRDefault="00000000">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272E" w:rsidRDefault="00D3272E">
      <w:pPr>
        <w:rPr>
          <w:rFonts w:hint="eastAsia"/>
        </w:rPr>
      </w:pPr>
      <w:r>
        <w:separator/>
      </w:r>
    </w:p>
  </w:footnote>
  <w:footnote w:type="continuationSeparator" w:id="0">
    <w:p w:rsidR="00D3272E" w:rsidRDefault="00D3272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2CC6"/>
    <w:multiLevelType w:val="multilevel"/>
    <w:tmpl w:val="211E2CC6"/>
    <w:lvl w:ilvl="0">
      <w:start w:val="1"/>
      <w:numFmt w:val="chineseCountingThousand"/>
      <w:pStyle w:val="1"/>
      <w:suff w:val="nothing"/>
      <w:lvlText w:val="第%1节"/>
      <w:lvlJc w:val="left"/>
      <w:pPr>
        <w:ind w:left="0" w:firstLine="0"/>
      </w:pPr>
      <w:rPr>
        <w:rFonts w:ascii="黑体" w:eastAsia="黑体" w:hAnsi="黑体" w:hint="eastAsia"/>
        <w:b w:val="0"/>
        <w:i w:val="0"/>
        <w:sz w:val="32"/>
      </w:rPr>
    </w:lvl>
    <w:lvl w:ilvl="1">
      <w:start w:val="1"/>
      <w:numFmt w:val="koreanDigital2"/>
      <w:pStyle w:val="2"/>
      <w:suff w:val="nothing"/>
      <w:lvlText w:val="%2、"/>
      <w:lvlJc w:val="left"/>
      <w:pPr>
        <w:ind w:left="0" w:firstLine="0"/>
      </w:pPr>
      <w:rPr>
        <w:rFonts w:ascii="Times New Roman" w:hAnsi="Times New Roman" w:cs="Times New Roman" w:hint="default"/>
        <w:b w:val="0"/>
        <w:i w:val="0"/>
        <w:sz w:val="28"/>
      </w:rPr>
    </w:lvl>
    <w:lvl w:ilvl="2">
      <w:start w:val="1"/>
      <w:numFmt w:val="koreanDigital2"/>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
      <w:suff w:val="nothing"/>
      <w:lvlText w:val="%4、"/>
      <w:lvlJc w:val="left"/>
      <w:pPr>
        <w:ind w:left="0" w:firstLine="0"/>
      </w:pPr>
      <w:rPr>
        <w:rFonts w:ascii="Times New Roman" w:hAnsi="Times New Roman" w:cs="Times New Roman" w:hint="default"/>
        <w:b/>
        <w:i w:val="0"/>
        <w:sz w:val="24"/>
      </w:rPr>
    </w:lvl>
    <w:lvl w:ilvl="4">
      <w:start w:val="1"/>
      <w:numFmt w:val="decimal"/>
      <w:pStyle w:val="5"/>
      <w:suff w:val="nothing"/>
      <w:lvlText w:val="（%5）"/>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800224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106B6"/>
    <w:rsid w:val="00002696"/>
    <w:rsid w:val="00003434"/>
    <w:rsid w:val="00006E3B"/>
    <w:rsid w:val="000300DF"/>
    <w:rsid w:val="00044994"/>
    <w:rsid w:val="00050984"/>
    <w:rsid w:val="000559BD"/>
    <w:rsid w:val="000563AE"/>
    <w:rsid w:val="0006225A"/>
    <w:rsid w:val="00074542"/>
    <w:rsid w:val="00074551"/>
    <w:rsid w:val="00085D5A"/>
    <w:rsid w:val="000869C3"/>
    <w:rsid w:val="00087737"/>
    <w:rsid w:val="000C4722"/>
    <w:rsid w:val="000C7632"/>
    <w:rsid w:val="000D0837"/>
    <w:rsid w:val="000D2E2F"/>
    <w:rsid w:val="000D7D8B"/>
    <w:rsid w:val="000E01B2"/>
    <w:rsid w:val="00104B0C"/>
    <w:rsid w:val="00132F9E"/>
    <w:rsid w:val="001331CB"/>
    <w:rsid w:val="0013685E"/>
    <w:rsid w:val="00147001"/>
    <w:rsid w:val="001509FE"/>
    <w:rsid w:val="00151A95"/>
    <w:rsid w:val="001563E3"/>
    <w:rsid w:val="001579E1"/>
    <w:rsid w:val="00163470"/>
    <w:rsid w:val="00177A0E"/>
    <w:rsid w:val="0019292E"/>
    <w:rsid w:val="001B7136"/>
    <w:rsid w:val="001C41D7"/>
    <w:rsid w:val="001D1431"/>
    <w:rsid w:val="001D19B1"/>
    <w:rsid w:val="001D42E5"/>
    <w:rsid w:val="001F17A3"/>
    <w:rsid w:val="002065D4"/>
    <w:rsid w:val="00213CDE"/>
    <w:rsid w:val="00214905"/>
    <w:rsid w:val="00221BF8"/>
    <w:rsid w:val="00222715"/>
    <w:rsid w:val="00223128"/>
    <w:rsid w:val="0022650C"/>
    <w:rsid w:val="00252422"/>
    <w:rsid w:val="00260CC3"/>
    <w:rsid w:val="00261BE1"/>
    <w:rsid w:val="002979C3"/>
    <w:rsid w:val="002B3099"/>
    <w:rsid w:val="002B61C6"/>
    <w:rsid w:val="002D2D7B"/>
    <w:rsid w:val="002F0192"/>
    <w:rsid w:val="00301862"/>
    <w:rsid w:val="003053C3"/>
    <w:rsid w:val="003072A1"/>
    <w:rsid w:val="00315F17"/>
    <w:rsid w:val="00316FB0"/>
    <w:rsid w:val="00323E5A"/>
    <w:rsid w:val="003460A4"/>
    <w:rsid w:val="00356CED"/>
    <w:rsid w:val="00366026"/>
    <w:rsid w:val="00373D23"/>
    <w:rsid w:val="00393FE5"/>
    <w:rsid w:val="003940E2"/>
    <w:rsid w:val="003A4850"/>
    <w:rsid w:val="003C10DC"/>
    <w:rsid w:val="003E2E84"/>
    <w:rsid w:val="003F1186"/>
    <w:rsid w:val="003F35BA"/>
    <w:rsid w:val="003F4AD1"/>
    <w:rsid w:val="003F7039"/>
    <w:rsid w:val="0041762A"/>
    <w:rsid w:val="004269BF"/>
    <w:rsid w:val="00453216"/>
    <w:rsid w:val="00457F6C"/>
    <w:rsid w:val="00462CDB"/>
    <w:rsid w:val="00470C64"/>
    <w:rsid w:val="004A09A3"/>
    <w:rsid w:val="004B0BF3"/>
    <w:rsid w:val="004B1074"/>
    <w:rsid w:val="004B7ED1"/>
    <w:rsid w:val="004D4338"/>
    <w:rsid w:val="004D6994"/>
    <w:rsid w:val="004E0159"/>
    <w:rsid w:val="004E5C16"/>
    <w:rsid w:val="00512D66"/>
    <w:rsid w:val="00513D42"/>
    <w:rsid w:val="00514517"/>
    <w:rsid w:val="00524572"/>
    <w:rsid w:val="00531363"/>
    <w:rsid w:val="00537855"/>
    <w:rsid w:val="00547FFB"/>
    <w:rsid w:val="00552CFF"/>
    <w:rsid w:val="00552D0E"/>
    <w:rsid w:val="00552E63"/>
    <w:rsid w:val="0055571C"/>
    <w:rsid w:val="00556977"/>
    <w:rsid w:val="00564CE4"/>
    <w:rsid w:val="00566033"/>
    <w:rsid w:val="00571191"/>
    <w:rsid w:val="005726A1"/>
    <w:rsid w:val="00592527"/>
    <w:rsid w:val="005949F7"/>
    <w:rsid w:val="005A3A01"/>
    <w:rsid w:val="005A457E"/>
    <w:rsid w:val="005A6D24"/>
    <w:rsid w:val="005B2303"/>
    <w:rsid w:val="005C0F14"/>
    <w:rsid w:val="005D364D"/>
    <w:rsid w:val="005E7158"/>
    <w:rsid w:val="005F4DF6"/>
    <w:rsid w:val="005F5A5B"/>
    <w:rsid w:val="0060398B"/>
    <w:rsid w:val="006146BB"/>
    <w:rsid w:val="00614719"/>
    <w:rsid w:val="00617FE9"/>
    <w:rsid w:val="00620D5B"/>
    <w:rsid w:val="00623DCD"/>
    <w:rsid w:val="0062663E"/>
    <w:rsid w:val="00642AF3"/>
    <w:rsid w:val="00664BAE"/>
    <w:rsid w:val="006804EF"/>
    <w:rsid w:val="00692A3C"/>
    <w:rsid w:val="006A4B76"/>
    <w:rsid w:val="006C3303"/>
    <w:rsid w:val="006C79C5"/>
    <w:rsid w:val="006D2B9F"/>
    <w:rsid w:val="006E0AE9"/>
    <w:rsid w:val="00706B9C"/>
    <w:rsid w:val="007106B6"/>
    <w:rsid w:val="00726543"/>
    <w:rsid w:val="00730378"/>
    <w:rsid w:val="0073396D"/>
    <w:rsid w:val="00734BE6"/>
    <w:rsid w:val="007356A2"/>
    <w:rsid w:val="00761357"/>
    <w:rsid w:val="0076144B"/>
    <w:rsid w:val="007650DC"/>
    <w:rsid w:val="00765405"/>
    <w:rsid w:val="0077305A"/>
    <w:rsid w:val="007820ED"/>
    <w:rsid w:val="00790E35"/>
    <w:rsid w:val="00793157"/>
    <w:rsid w:val="007971E3"/>
    <w:rsid w:val="00797315"/>
    <w:rsid w:val="007A35FA"/>
    <w:rsid w:val="007B4CC8"/>
    <w:rsid w:val="007D37AA"/>
    <w:rsid w:val="007E1548"/>
    <w:rsid w:val="007E273F"/>
    <w:rsid w:val="007F4090"/>
    <w:rsid w:val="008061B9"/>
    <w:rsid w:val="00823DD5"/>
    <w:rsid w:val="00824B75"/>
    <w:rsid w:val="00837C00"/>
    <w:rsid w:val="00852C92"/>
    <w:rsid w:val="0088215C"/>
    <w:rsid w:val="008831AD"/>
    <w:rsid w:val="00890EE5"/>
    <w:rsid w:val="008B0E32"/>
    <w:rsid w:val="008B3776"/>
    <w:rsid w:val="008D77C5"/>
    <w:rsid w:val="008E4294"/>
    <w:rsid w:val="008E531D"/>
    <w:rsid w:val="008F7DA4"/>
    <w:rsid w:val="008F7FD2"/>
    <w:rsid w:val="00900EC7"/>
    <w:rsid w:val="0090291C"/>
    <w:rsid w:val="0091040E"/>
    <w:rsid w:val="009146C8"/>
    <w:rsid w:val="00934337"/>
    <w:rsid w:val="00934D41"/>
    <w:rsid w:val="00944955"/>
    <w:rsid w:val="00945832"/>
    <w:rsid w:val="00955510"/>
    <w:rsid w:val="009733EE"/>
    <w:rsid w:val="00982B8C"/>
    <w:rsid w:val="009940F8"/>
    <w:rsid w:val="009B0DD9"/>
    <w:rsid w:val="009D1B41"/>
    <w:rsid w:val="009D78C8"/>
    <w:rsid w:val="009E6226"/>
    <w:rsid w:val="009F0E3D"/>
    <w:rsid w:val="009F1D22"/>
    <w:rsid w:val="00A0229E"/>
    <w:rsid w:val="00A07AE2"/>
    <w:rsid w:val="00A10D8F"/>
    <w:rsid w:val="00A21B70"/>
    <w:rsid w:val="00A23C10"/>
    <w:rsid w:val="00A3142C"/>
    <w:rsid w:val="00A34014"/>
    <w:rsid w:val="00A36504"/>
    <w:rsid w:val="00A47574"/>
    <w:rsid w:val="00A63414"/>
    <w:rsid w:val="00A663F0"/>
    <w:rsid w:val="00A71944"/>
    <w:rsid w:val="00A82C00"/>
    <w:rsid w:val="00A90E33"/>
    <w:rsid w:val="00AA370B"/>
    <w:rsid w:val="00AA60DB"/>
    <w:rsid w:val="00AB28C1"/>
    <w:rsid w:val="00AC7233"/>
    <w:rsid w:val="00AD0821"/>
    <w:rsid w:val="00AD2606"/>
    <w:rsid w:val="00AE4233"/>
    <w:rsid w:val="00AE606D"/>
    <w:rsid w:val="00AF2045"/>
    <w:rsid w:val="00AF2DEA"/>
    <w:rsid w:val="00B16710"/>
    <w:rsid w:val="00B17A6D"/>
    <w:rsid w:val="00B21A9E"/>
    <w:rsid w:val="00B45C73"/>
    <w:rsid w:val="00B53AD1"/>
    <w:rsid w:val="00B558A3"/>
    <w:rsid w:val="00B60D82"/>
    <w:rsid w:val="00B71FA9"/>
    <w:rsid w:val="00B72A87"/>
    <w:rsid w:val="00BB3B95"/>
    <w:rsid w:val="00BD7B02"/>
    <w:rsid w:val="00BE441C"/>
    <w:rsid w:val="00BE4720"/>
    <w:rsid w:val="00C027DD"/>
    <w:rsid w:val="00C1198B"/>
    <w:rsid w:val="00C1593E"/>
    <w:rsid w:val="00C15DA6"/>
    <w:rsid w:val="00C2678A"/>
    <w:rsid w:val="00C41319"/>
    <w:rsid w:val="00C4319E"/>
    <w:rsid w:val="00C457FA"/>
    <w:rsid w:val="00C66B0F"/>
    <w:rsid w:val="00C73651"/>
    <w:rsid w:val="00C852CA"/>
    <w:rsid w:val="00C97EBD"/>
    <w:rsid w:val="00CB70E6"/>
    <w:rsid w:val="00CC0E38"/>
    <w:rsid w:val="00CC645A"/>
    <w:rsid w:val="00CE29F2"/>
    <w:rsid w:val="00CF2A22"/>
    <w:rsid w:val="00D00044"/>
    <w:rsid w:val="00D0340A"/>
    <w:rsid w:val="00D16D86"/>
    <w:rsid w:val="00D256DB"/>
    <w:rsid w:val="00D3272E"/>
    <w:rsid w:val="00D3643E"/>
    <w:rsid w:val="00D523F5"/>
    <w:rsid w:val="00D52D55"/>
    <w:rsid w:val="00D756CF"/>
    <w:rsid w:val="00D9683E"/>
    <w:rsid w:val="00DA00BB"/>
    <w:rsid w:val="00DA0CEA"/>
    <w:rsid w:val="00DB1383"/>
    <w:rsid w:val="00DB739D"/>
    <w:rsid w:val="00DC5D00"/>
    <w:rsid w:val="00DD47F9"/>
    <w:rsid w:val="00DD7E18"/>
    <w:rsid w:val="00DE0C45"/>
    <w:rsid w:val="00DE2AE9"/>
    <w:rsid w:val="00DE4095"/>
    <w:rsid w:val="00E128C7"/>
    <w:rsid w:val="00E24134"/>
    <w:rsid w:val="00E242EC"/>
    <w:rsid w:val="00E3283D"/>
    <w:rsid w:val="00E40A27"/>
    <w:rsid w:val="00E41614"/>
    <w:rsid w:val="00E431CB"/>
    <w:rsid w:val="00E668BA"/>
    <w:rsid w:val="00E80272"/>
    <w:rsid w:val="00E802E7"/>
    <w:rsid w:val="00E8091D"/>
    <w:rsid w:val="00E80FE3"/>
    <w:rsid w:val="00E90148"/>
    <w:rsid w:val="00E906C3"/>
    <w:rsid w:val="00E9473A"/>
    <w:rsid w:val="00E94F87"/>
    <w:rsid w:val="00EA14F1"/>
    <w:rsid w:val="00EB1BAD"/>
    <w:rsid w:val="00EB5A14"/>
    <w:rsid w:val="00EC0E58"/>
    <w:rsid w:val="00ED221F"/>
    <w:rsid w:val="00ED6D17"/>
    <w:rsid w:val="00EE0117"/>
    <w:rsid w:val="00EF04EA"/>
    <w:rsid w:val="00EF462B"/>
    <w:rsid w:val="00F03AA8"/>
    <w:rsid w:val="00F03CE5"/>
    <w:rsid w:val="00F05EF2"/>
    <w:rsid w:val="00F1454F"/>
    <w:rsid w:val="00F22152"/>
    <w:rsid w:val="00F574FC"/>
    <w:rsid w:val="00F875DB"/>
    <w:rsid w:val="00F87EEA"/>
    <w:rsid w:val="00F91AC7"/>
    <w:rsid w:val="00F94989"/>
    <w:rsid w:val="00FA36D7"/>
    <w:rsid w:val="00FA78C3"/>
    <w:rsid w:val="00FD4738"/>
    <w:rsid w:val="00FD666B"/>
    <w:rsid w:val="00FE3019"/>
    <w:rsid w:val="00FE3A01"/>
    <w:rsid w:val="05067428"/>
    <w:rsid w:val="1B9E7672"/>
    <w:rsid w:val="2F3E6592"/>
    <w:rsid w:val="326A71C0"/>
    <w:rsid w:val="48595493"/>
    <w:rsid w:val="545304B1"/>
    <w:rsid w:val="59984D0A"/>
    <w:rsid w:val="5F94001A"/>
    <w:rsid w:val="624E7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94B0C4FA-981B-4E17-BAF2-BDCB927AC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2"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next w:val="a0"/>
    <w:link w:val="10"/>
    <w:uiPriority w:val="1"/>
    <w:qFormat/>
    <w:pPr>
      <w:keepNext/>
      <w:keepLines/>
      <w:pageBreakBefore/>
      <w:numPr>
        <w:numId w:val="1"/>
      </w:numPr>
      <w:spacing w:beforeLines="50" w:before="50" w:afterLines="50" w:after="50" w:line="360" w:lineRule="auto"/>
      <w:jc w:val="center"/>
      <w:outlineLvl w:val="0"/>
    </w:pPr>
    <w:rPr>
      <w:rFonts w:ascii="Times New Roman" w:eastAsia="黑体" w:hAnsi="Times New Roman" w:cs="Times New Roman"/>
      <w:bCs/>
      <w:sz w:val="32"/>
      <w:szCs w:val="44"/>
    </w:rPr>
  </w:style>
  <w:style w:type="paragraph" w:styleId="2">
    <w:name w:val="heading 2"/>
    <w:next w:val="a0"/>
    <w:link w:val="20"/>
    <w:uiPriority w:val="1"/>
    <w:qFormat/>
    <w:pPr>
      <w:keepNext/>
      <w:keepLines/>
      <w:numPr>
        <w:ilvl w:val="1"/>
        <w:numId w:val="1"/>
      </w:numPr>
      <w:spacing w:beforeLines="50" w:before="50" w:afterLines="50" w:after="50" w:line="360" w:lineRule="auto"/>
      <w:jc w:val="both"/>
      <w:outlineLvl w:val="1"/>
    </w:pPr>
    <w:rPr>
      <w:rFonts w:ascii="Times New Roman" w:eastAsia="黑体" w:hAnsi="Times New Roman" w:cs="Times New Roman"/>
      <w:bCs/>
      <w:kern w:val="2"/>
      <w:sz w:val="28"/>
      <w:szCs w:val="32"/>
    </w:rPr>
  </w:style>
  <w:style w:type="paragraph" w:styleId="3">
    <w:name w:val="heading 3"/>
    <w:next w:val="a0"/>
    <w:link w:val="30"/>
    <w:uiPriority w:val="1"/>
    <w:qFormat/>
    <w:pPr>
      <w:keepNext/>
      <w:keepLines/>
      <w:numPr>
        <w:ilvl w:val="2"/>
        <w:numId w:val="1"/>
      </w:numPr>
      <w:snapToGrid w:val="0"/>
      <w:spacing w:beforeLines="50" w:before="50" w:afterLines="50" w:after="50" w:line="360" w:lineRule="auto"/>
      <w:jc w:val="both"/>
      <w:outlineLvl w:val="2"/>
    </w:pPr>
    <w:rPr>
      <w:rFonts w:ascii="Times New Roman" w:eastAsia="黑体" w:hAnsi="Times New Roman" w:cs="Times New Roman"/>
      <w:bCs/>
      <w:color w:val="000000"/>
      <w:sz w:val="24"/>
      <w:szCs w:val="24"/>
      <w:lang w:eastAsia="ar-SA"/>
    </w:rPr>
  </w:style>
  <w:style w:type="paragraph" w:styleId="4">
    <w:name w:val="heading 4"/>
    <w:next w:val="a0"/>
    <w:link w:val="40"/>
    <w:uiPriority w:val="1"/>
    <w:qFormat/>
    <w:pPr>
      <w:keepNext/>
      <w:keepLines/>
      <w:numPr>
        <w:ilvl w:val="3"/>
        <w:numId w:val="1"/>
      </w:numPr>
      <w:spacing w:beforeLines="50" w:before="50" w:afterLines="50" w:after="50" w:line="360" w:lineRule="auto"/>
      <w:jc w:val="both"/>
      <w:outlineLvl w:val="3"/>
    </w:pPr>
    <w:rPr>
      <w:rFonts w:ascii="Times New Roman" w:eastAsia="宋体" w:hAnsi="Times New Roman" w:cs="Times New Roman"/>
      <w:b/>
      <w:bCs/>
      <w:kern w:val="2"/>
      <w:sz w:val="24"/>
      <w:szCs w:val="28"/>
    </w:rPr>
  </w:style>
  <w:style w:type="paragraph" w:styleId="5">
    <w:name w:val="heading 5"/>
    <w:next w:val="a0"/>
    <w:link w:val="50"/>
    <w:uiPriority w:val="1"/>
    <w:qFormat/>
    <w:pPr>
      <w:keepNext/>
      <w:keepLines/>
      <w:numPr>
        <w:ilvl w:val="4"/>
        <w:numId w:val="1"/>
      </w:numPr>
      <w:spacing w:beforeLines="50" w:before="50" w:afterLines="50" w:after="50" w:line="360" w:lineRule="auto"/>
      <w:outlineLvl w:val="4"/>
    </w:pPr>
    <w:rPr>
      <w:rFonts w:ascii="Times New Roman" w:eastAsia="宋体" w:hAnsi="Times New Roman" w:cs="Times New Roman"/>
      <w:bCs/>
      <w:kern w:val="2"/>
      <w:sz w:val="24"/>
      <w:szCs w:val="28"/>
    </w:rPr>
  </w:style>
  <w:style w:type="paragraph" w:styleId="6">
    <w:name w:val="heading 6"/>
    <w:next w:val="a0"/>
    <w:link w:val="60"/>
    <w:uiPriority w:val="1"/>
    <w:qFormat/>
    <w:pPr>
      <w:numPr>
        <w:ilvl w:val="5"/>
        <w:numId w:val="1"/>
      </w:numPr>
      <w:spacing w:beforeLines="50" w:before="50" w:afterLines="50" w:after="50" w:line="360" w:lineRule="auto"/>
      <w:ind w:firstLineChars="200" w:firstLine="200"/>
      <w:jc w:val="both"/>
      <w:outlineLvl w:val="5"/>
    </w:pPr>
    <w:rPr>
      <w:rFonts w:ascii="Times New Roman" w:eastAsia="宋体" w:hAnsi="Times New Roman" w:cs="Times New Roman"/>
      <w:bCs/>
      <w:kern w:val="2"/>
      <w:sz w:val="24"/>
      <w:szCs w:val="24"/>
    </w:rPr>
  </w:style>
  <w:style w:type="paragraph" w:styleId="7">
    <w:name w:val="heading 7"/>
    <w:next w:val="a0"/>
    <w:link w:val="70"/>
    <w:uiPriority w:val="2"/>
    <w:unhideWhenUsed/>
    <w:qFormat/>
    <w:pPr>
      <w:keepNext/>
      <w:keepLines/>
      <w:numPr>
        <w:ilvl w:val="6"/>
        <w:numId w:val="1"/>
      </w:numPr>
      <w:spacing w:beforeLines="50" w:before="50" w:afterLines="50" w:after="50" w:line="360" w:lineRule="auto"/>
      <w:outlineLvl w:val="6"/>
    </w:pPr>
    <w:rPr>
      <w:rFonts w:ascii="Times New Roman" w:eastAsia="宋体" w:hAnsi="Times New Roman" w:cs="Times New Roman"/>
      <w:bCs/>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qFormat/>
    <w:pPr>
      <w:spacing w:beforeLines="50" w:before="50" w:line="360" w:lineRule="auto"/>
      <w:ind w:firstLineChars="200" w:firstLine="200"/>
      <w:jc w:val="both"/>
    </w:pPr>
    <w:rPr>
      <w:rFonts w:ascii="Times New Roman" w:eastAsia="宋体" w:hAnsi="Times New Roman" w:cs="Times New Roman"/>
      <w:kern w:val="2"/>
      <w:sz w:val="24"/>
      <w:szCs w:val="23"/>
    </w:rPr>
  </w:style>
  <w:style w:type="paragraph" w:styleId="a4">
    <w:name w:val="annotation text"/>
    <w:basedOn w:val="a"/>
    <w:link w:val="a5"/>
    <w:uiPriority w:val="99"/>
    <w:semiHidden/>
    <w:unhideWhenUsed/>
    <w:qFormat/>
    <w:pPr>
      <w:jc w:val="left"/>
    </w:pPr>
  </w:style>
  <w:style w:type="paragraph" w:styleId="TOC3">
    <w:name w:val="toc 3"/>
    <w:basedOn w:val="a"/>
    <w:next w:val="a"/>
    <w:uiPriority w:val="39"/>
    <w:unhideWhenUsed/>
    <w:qFormat/>
    <w:pPr>
      <w:ind w:leftChars="400" w:left="840"/>
    </w:pPr>
    <w:rPr>
      <w:rFonts w:ascii="Times New Roman" w:eastAsia="黑体" w:hAnsi="Times New Roman"/>
      <w:sz w:val="24"/>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黑体" w:hAnsi="Times New Roman"/>
      <w:sz w:val="24"/>
    </w:rPr>
  </w:style>
  <w:style w:type="paragraph" w:styleId="TOC2">
    <w:name w:val="toc 2"/>
    <w:basedOn w:val="a"/>
    <w:next w:val="a"/>
    <w:uiPriority w:val="39"/>
    <w:unhideWhenUsed/>
    <w:qFormat/>
    <w:pPr>
      <w:ind w:leftChars="200" w:left="420"/>
    </w:pPr>
    <w:rPr>
      <w:rFonts w:ascii="Times New Roman" w:eastAsia="黑体" w:hAnsi="Times New Roman"/>
      <w:sz w:val="24"/>
    </w:rPr>
  </w:style>
  <w:style w:type="paragraph" w:styleId="aa">
    <w:name w:val="annotation subject"/>
    <w:basedOn w:val="a4"/>
    <w:next w:val="a4"/>
    <w:link w:val="ab"/>
    <w:uiPriority w:val="99"/>
    <w:semiHidden/>
    <w:unhideWhenUsed/>
    <w:qFormat/>
    <w:rPr>
      <w:b/>
      <w:bCs/>
    </w:rPr>
  </w:style>
  <w:style w:type="table" w:styleId="a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1"/>
    <w:uiPriority w:val="99"/>
    <w:semiHidden/>
    <w:unhideWhenUsed/>
    <w:qFormat/>
    <w:rPr>
      <w:sz w:val="21"/>
      <w:szCs w:val="21"/>
    </w:rPr>
  </w:style>
  <w:style w:type="character" w:customStyle="1" w:styleId="10">
    <w:name w:val="标题 1 字符"/>
    <w:basedOn w:val="a1"/>
    <w:link w:val="1"/>
    <w:uiPriority w:val="1"/>
    <w:qFormat/>
    <w:rPr>
      <w:rFonts w:ascii="Times New Roman" w:eastAsia="黑体" w:hAnsi="Times New Roman" w:cs="Times New Roman"/>
      <w:bCs/>
      <w:kern w:val="0"/>
      <w:sz w:val="32"/>
      <w:szCs w:val="44"/>
    </w:rPr>
  </w:style>
  <w:style w:type="character" w:customStyle="1" w:styleId="20">
    <w:name w:val="标题 2 字符"/>
    <w:basedOn w:val="a1"/>
    <w:link w:val="2"/>
    <w:uiPriority w:val="1"/>
    <w:qFormat/>
    <w:rPr>
      <w:rFonts w:ascii="Times New Roman" w:eastAsia="黑体" w:hAnsi="Times New Roman" w:cs="Times New Roman"/>
      <w:bCs/>
      <w:sz w:val="28"/>
      <w:szCs w:val="32"/>
    </w:rPr>
  </w:style>
  <w:style w:type="character" w:customStyle="1" w:styleId="30">
    <w:name w:val="标题 3 字符"/>
    <w:basedOn w:val="a1"/>
    <w:link w:val="3"/>
    <w:uiPriority w:val="1"/>
    <w:qFormat/>
    <w:rPr>
      <w:rFonts w:ascii="Times New Roman" w:eastAsia="黑体" w:hAnsi="Times New Roman" w:cs="Times New Roman"/>
      <w:bCs/>
      <w:color w:val="000000"/>
      <w:kern w:val="0"/>
      <w:sz w:val="24"/>
      <w:szCs w:val="24"/>
      <w:lang w:eastAsia="ar-SA"/>
    </w:rPr>
  </w:style>
  <w:style w:type="character" w:customStyle="1" w:styleId="40">
    <w:name w:val="标题 4 字符"/>
    <w:basedOn w:val="a1"/>
    <w:link w:val="4"/>
    <w:uiPriority w:val="1"/>
    <w:qFormat/>
    <w:rPr>
      <w:rFonts w:ascii="Times New Roman" w:eastAsia="宋体" w:hAnsi="Times New Roman" w:cs="Times New Roman"/>
      <w:b/>
      <w:bCs/>
      <w:sz w:val="24"/>
      <w:szCs w:val="28"/>
    </w:rPr>
  </w:style>
  <w:style w:type="character" w:customStyle="1" w:styleId="50">
    <w:name w:val="标题 5 字符"/>
    <w:basedOn w:val="a1"/>
    <w:link w:val="5"/>
    <w:uiPriority w:val="1"/>
    <w:qFormat/>
    <w:rPr>
      <w:rFonts w:ascii="Times New Roman" w:eastAsia="宋体" w:hAnsi="Times New Roman" w:cs="Times New Roman"/>
      <w:bCs/>
      <w:sz w:val="24"/>
      <w:szCs w:val="28"/>
    </w:rPr>
  </w:style>
  <w:style w:type="character" w:customStyle="1" w:styleId="60">
    <w:name w:val="标题 6 字符"/>
    <w:basedOn w:val="a1"/>
    <w:link w:val="6"/>
    <w:uiPriority w:val="1"/>
    <w:qFormat/>
    <w:rPr>
      <w:rFonts w:ascii="Times New Roman" w:eastAsia="宋体" w:hAnsi="Times New Roman" w:cs="Times New Roman"/>
      <w:bCs/>
      <w:sz w:val="24"/>
      <w:szCs w:val="24"/>
    </w:rPr>
  </w:style>
  <w:style w:type="character" w:customStyle="1" w:styleId="70">
    <w:name w:val="标题 7 字符"/>
    <w:basedOn w:val="a1"/>
    <w:link w:val="7"/>
    <w:uiPriority w:val="2"/>
    <w:qFormat/>
    <w:rPr>
      <w:rFonts w:ascii="Times New Roman" w:eastAsia="宋体" w:hAnsi="Times New Roman" w:cs="Times New Roman"/>
      <w:bCs/>
      <w:sz w:val="24"/>
      <w:szCs w:val="24"/>
    </w:rPr>
  </w:style>
  <w:style w:type="paragraph" w:customStyle="1" w:styleId="ae">
    <w:name w:val="表格后说明"/>
    <w:next w:val="a0"/>
    <w:uiPriority w:val="3"/>
    <w:qFormat/>
    <w:pPr>
      <w:jc w:val="both"/>
    </w:pPr>
    <w:rPr>
      <w:rFonts w:ascii="Times New Roman" w:eastAsia="宋体" w:hAnsi="Times New Roman" w:cs="Times New Roman"/>
      <w:kern w:val="2"/>
      <w:sz w:val="21"/>
      <w:szCs w:val="24"/>
    </w:rPr>
  </w:style>
  <w:style w:type="paragraph" w:customStyle="1" w:styleId="af">
    <w:name w:val="表格前单位"/>
    <w:next w:val="a0"/>
    <w:uiPriority w:val="2"/>
    <w:qFormat/>
    <w:pPr>
      <w:keepNext/>
      <w:jc w:val="right"/>
    </w:pPr>
    <w:rPr>
      <w:rFonts w:ascii="Times New Roman" w:eastAsia="宋体" w:hAnsi="Times New Roman" w:cs="Times New Roman"/>
      <w:kern w:val="2"/>
      <w:sz w:val="21"/>
      <w:szCs w:val="24"/>
    </w:rPr>
  </w:style>
  <w:style w:type="table" w:customStyle="1" w:styleId="af0">
    <w:name w:val="报告表格"/>
    <w:basedOn w:val="a2"/>
    <w:uiPriority w:val="99"/>
    <w:qFormat/>
    <w:rPr>
      <w:rFonts w:ascii="Times New Roman" w:eastAsia="宋体" w:hAnsi="Times New Roman"/>
      <w:sz w:val="18"/>
    </w:rPr>
    <w:tblPr/>
  </w:style>
  <w:style w:type="paragraph" w:customStyle="1" w:styleId="TOC10">
    <w:name w:val="TOC 标题1"/>
    <w:basedOn w:val="1"/>
    <w:next w:val="a"/>
    <w:uiPriority w:val="39"/>
    <w:unhideWhenUsed/>
    <w:qFormat/>
    <w:pPr>
      <w:pageBreakBefore w:val="0"/>
      <w:numPr>
        <w:numId w:val="0"/>
      </w:numPr>
      <w:snapToGrid w:val="0"/>
      <w:spacing w:beforeLines="0" w:before="240" w:afterLines="0" w:after="0" w:line="259" w:lineRule="auto"/>
      <w:outlineLvl w:val="9"/>
    </w:pPr>
    <w:rPr>
      <w:bCs w:val="0"/>
      <w:szCs w:val="32"/>
    </w:rPr>
  </w:style>
  <w:style w:type="character" w:customStyle="1" w:styleId="a5">
    <w:name w:val="批注文字 字符"/>
    <w:basedOn w:val="a1"/>
    <w:link w:val="a4"/>
    <w:uiPriority w:val="99"/>
    <w:semiHidden/>
    <w:qFormat/>
  </w:style>
  <w:style w:type="character" w:customStyle="1" w:styleId="ab">
    <w:name w:val="批注主题 字符"/>
    <w:basedOn w:val="a5"/>
    <w:link w:val="aa"/>
    <w:uiPriority w:val="99"/>
    <w:semiHidden/>
    <w:qFormat/>
    <w:rPr>
      <w:b/>
      <w:bCs/>
    </w:rPr>
  </w:style>
  <w:style w:type="paragraph" w:customStyle="1" w:styleId="11">
    <w:name w:val="修订1"/>
    <w:hidden/>
    <w:uiPriority w:val="99"/>
    <w:semiHidden/>
    <w:qFormat/>
    <w:rPr>
      <w:kern w:val="2"/>
      <w:sz w:val="21"/>
      <w:szCs w:val="21"/>
    </w:rPr>
  </w:style>
  <w:style w:type="character" w:customStyle="1" w:styleId="a9">
    <w:name w:val="页眉 字符"/>
    <w:basedOn w:val="a1"/>
    <w:link w:val="a8"/>
    <w:uiPriority w:val="99"/>
    <w:qFormat/>
    <w:rPr>
      <w:sz w:val="18"/>
      <w:szCs w:val="18"/>
    </w:rPr>
  </w:style>
  <w:style w:type="character" w:customStyle="1" w:styleId="a7">
    <w:name w:val="页脚 字符"/>
    <w:basedOn w:val="a1"/>
    <w:link w:val="a6"/>
    <w:uiPriority w:val="99"/>
    <w:qFormat/>
    <w:rPr>
      <w:sz w:val="18"/>
      <w:szCs w:val="18"/>
    </w:rPr>
  </w:style>
  <w:style w:type="paragraph" w:customStyle="1" w:styleId="21">
    <w:name w:val="修订2"/>
    <w:hidden/>
    <w:uiPriority w:val="99"/>
    <w:unhideWhenUsed/>
    <w:qFormat/>
    <w:rPr>
      <w:kern w:val="2"/>
      <w:sz w:val="21"/>
      <w:szCs w:val="21"/>
    </w:rPr>
  </w:style>
  <w:style w:type="paragraph" w:customStyle="1" w:styleId="31">
    <w:name w:val="修订3"/>
    <w:hidden/>
    <w:uiPriority w:val="99"/>
    <w:unhideWhenUsed/>
    <w:qFormat/>
    <w:rPr>
      <w:kern w:val="2"/>
      <w:sz w:val="21"/>
      <w:szCs w:val="21"/>
    </w:rPr>
  </w:style>
  <w:style w:type="paragraph" w:customStyle="1" w:styleId="41">
    <w:name w:val="修订4"/>
    <w:hidden/>
    <w:uiPriority w:val="99"/>
    <w:unhideWhenUsed/>
    <w:qFormat/>
    <w:rPr>
      <w:kern w:val="2"/>
      <w:sz w:val="21"/>
      <w:szCs w:val="21"/>
    </w:rPr>
  </w:style>
  <w:style w:type="paragraph" w:styleId="af1">
    <w:name w:val="Revision"/>
    <w:hidden/>
    <w:uiPriority w:val="99"/>
    <w:unhideWhenUsed/>
    <w:rsid w:val="00074542"/>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25E217-240A-4660-BC42-C432FE4A6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936</Words>
  <Characters>994</Characters>
  <Application>Microsoft Office Word</Application>
  <DocSecurity>0</DocSecurity>
  <Lines>45</Lines>
  <Paragraphs>45</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成浩</dc:creator>
  <cp:lastModifiedBy>成浩 杨</cp:lastModifiedBy>
  <cp:revision>9</cp:revision>
  <dcterms:created xsi:type="dcterms:W3CDTF">2026-01-26T07:34:00Z</dcterms:created>
  <dcterms:modified xsi:type="dcterms:W3CDTF">2026-02-06T06:41:00Z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DEFA8ED12D98485FBBBF4A3C30ABC73A_13</vt:lpwstr>
  </property>
  <property fmtid="{D5CDD505-2E9C-101B-9397-08002B2CF9AE}" pid="4" name="MSIP_Label_defa4170-0d19-0005-0004-bc88714345d2_Enabled">
    <vt:lpwstr>true</vt:lpwstr>
  </property>
  <property fmtid="{D5CDD505-2E9C-101B-9397-08002B2CF9AE}" pid="5" name="MSIP_Label_defa4170-0d19-0005-0004-bc88714345d2_SetDate">
    <vt:lpwstr>2024-07-03T01:13:03Z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9e2f213d-c800-4318-8eb8-544d8ae269cb</vt:lpwstr>
  </property>
  <property fmtid="{D5CDD505-2E9C-101B-9397-08002B2CF9AE}" pid="9" name="MSIP_Label_defa4170-0d19-0005-0004-bc88714345d2_ActionId">
    <vt:lpwstr>1f5f38d7-0605-444f-a4e1-2bc4d1126fe1</vt:lpwstr>
  </property>
  <property fmtid="{D5CDD505-2E9C-101B-9397-08002B2CF9AE}" pid="10" name="MSIP_Label_defa4170-0d19-0005-0004-bc88714345d2_ContentBits">
    <vt:lpwstr>0</vt:lpwstr>
  </property>
  <property fmtid="{D5CDD505-2E9C-101B-9397-08002B2CF9AE}" pid="11" name="KSOTemplateDocerSaveRecord">
    <vt:lpwstr>eyJoZGlkIjoiZmMwYzNmMjQwZDE0YmZkZGI3NTMwNmUwNjQ2ZmU5NjQiLCJ1c2VySWQiOiIxNTYwOTE2OTA1In0=</vt:lpwstr>
  </property>
</Properties>
</file>