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6A4D" w14:textId="3C3EF3B6" w:rsidR="009376B2" w:rsidRPr="001B4963" w:rsidRDefault="00000000">
      <w:pPr>
        <w:pStyle w:val="a3"/>
        <w:spacing w:line="480" w:lineRule="auto"/>
        <w:rPr>
          <w:rFonts w:asciiTheme="majorEastAsia" w:eastAsiaTheme="majorEastAsia" w:hAnsiTheme="majorEastAsia" w:cs="Times New Roman Regular"/>
          <w:b/>
          <w:bCs/>
          <w:lang w:eastAsia="zh-CN"/>
        </w:rPr>
      </w:pPr>
      <w:r w:rsidRPr="001B4963">
        <w:rPr>
          <w:rFonts w:asciiTheme="majorEastAsia" w:eastAsiaTheme="majorEastAsia" w:hAnsiTheme="majorEastAsia" w:cs="Times New Roman Regular"/>
          <w:b/>
          <w:bCs/>
          <w:spacing w:val="-7"/>
          <w:lang w:eastAsia="zh-CN"/>
        </w:rPr>
        <w:t>证券代码</w:t>
      </w:r>
      <w:r w:rsidRPr="001B4963">
        <w:rPr>
          <w:rFonts w:asciiTheme="majorEastAsia" w:eastAsiaTheme="majorEastAsia" w:hAnsiTheme="majorEastAsia" w:cs="Times New Roman Regular" w:hint="eastAsia"/>
          <w:b/>
          <w:bCs/>
          <w:spacing w:val="-7"/>
          <w:lang w:eastAsia="zh-CN"/>
        </w:rPr>
        <w:t>：</w:t>
      </w:r>
      <w:r w:rsidRPr="001B4963">
        <w:rPr>
          <w:rFonts w:asciiTheme="majorEastAsia" w:eastAsiaTheme="majorEastAsia" w:hAnsiTheme="majorEastAsia" w:cs="Times New Roman Regular"/>
          <w:b/>
          <w:bCs/>
          <w:spacing w:val="-7"/>
          <w:lang w:eastAsia="zh-CN"/>
        </w:rPr>
        <w:t xml:space="preserve">603191     </w:t>
      </w:r>
      <w:r w:rsidRPr="001B4963">
        <w:rPr>
          <w:rFonts w:asciiTheme="majorEastAsia" w:eastAsiaTheme="majorEastAsia" w:hAnsiTheme="majorEastAsia" w:cs="Times New Roman Regular" w:hint="eastAsia"/>
          <w:b/>
          <w:bCs/>
          <w:spacing w:val="-7"/>
          <w:lang w:eastAsia="zh-CN"/>
        </w:rPr>
        <w:t xml:space="preserve">      </w:t>
      </w:r>
      <w:r w:rsidRPr="001B4963">
        <w:rPr>
          <w:rFonts w:asciiTheme="majorEastAsia" w:eastAsiaTheme="majorEastAsia" w:hAnsiTheme="majorEastAsia" w:cs="Times New Roman Regular"/>
          <w:b/>
          <w:bCs/>
          <w:spacing w:val="-7"/>
          <w:lang w:eastAsia="zh-CN"/>
        </w:rPr>
        <w:t xml:space="preserve"> 证券简称：</w:t>
      </w:r>
      <w:proofErr w:type="gramStart"/>
      <w:r w:rsidRPr="001B4963">
        <w:rPr>
          <w:rFonts w:asciiTheme="majorEastAsia" w:eastAsiaTheme="majorEastAsia" w:hAnsiTheme="majorEastAsia" w:cs="Times New Roman Regular"/>
          <w:b/>
          <w:bCs/>
          <w:spacing w:val="-7"/>
          <w:lang w:eastAsia="zh-CN"/>
        </w:rPr>
        <w:t>望变电气</w:t>
      </w:r>
      <w:proofErr w:type="gramEnd"/>
      <w:r w:rsidRPr="001B4963">
        <w:rPr>
          <w:rFonts w:asciiTheme="majorEastAsia" w:eastAsiaTheme="majorEastAsia" w:hAnsiTheme="majorEastAsia" w:cs="Times New Roman Regular"/>
          <w:b/>
          <w:bCs/>
          <w:spacing w:val="-7"/>
          <w:lang w:eastAsia="zh-CN"/>
        </w:rPr>
        <w:t xml:space="preserve">    </w:t>
      </w:r>
      <w:r w:rsidRPr="001B4963">
        <w:rPr>
          <w:rFonts w:asciiTheme="majorEastAsia" w:eastAsiaTheme="majorEastAsia" w:hAnsiTheme="majorEastAsia" w:cs="Times New Roman Regular" w:hint="eastAsia"/>
          <w:b/>
          <w:bCs/>
          <w:spacing w:val="-7"/>
          <w:lang w:eastAsia="zh-CN"/>
        </w:rPr>
        <w:t xml:space="preserve">  </w:t>
      </w:r>
      <w:r w:rsidRPr="001B4963">
        <w:rPr>
          <w:rFonts w:asciiTheme="majorEastAsia" w:eastAsiaTheme="majorEastAsia" w:hAnsiTheme="majorEastAsia" w:cs="Times New Roman Regular"/>
          <w:b/>
          <w:bCs/>
          <w:spacing w:val="-7"/>
          <w:lang w:eastAsia="zh-CN"/>
        </w:rPr>
        <w:t xml:space="preserve">  </w:t>
      </w:r>
      <w:r w:rsidRPr="001B4963">
        <w:rPr>
          <w:rFonts w:asciiTheme="majorEastAsia" w:eastAsiaTheme="majorEastAsia" w:hAnsiTheme="majorEastAsia" w:cs="Times New Roman Regular"/>
          <w:b/>
          <w:bCs/>
          <w:spacing w:val="-8"/>
          <w:lang w:eastAsia="zh-CN"/>
        </w:rPr>
        <w:t>公告编号：2026-</w:t>
      </w:r>
      <w:r w:rsidR="005A5E0E" w:rsidRPr="001B4963">
        <w:rPr>
          <w:rFonts w:asciiTheme="majorEastAsia" w:eastAsiaTheme="majorEastAsia" w:hAnsiTheme="majorEastAsia" w:cs="Times New Roman Regular" w:hint="eastAsia"/>
          <w:b/>
          <w:bCs/>
          <w:spacing w:val="-8"/>
          <w:lang w:eastAsia="zh-CN"/>
        </w:rPr>
        <w:t>012</w:t>
      </w:r>
    </w:p>
    <w:p w14:paraId="583DD374" w14:textId="77777777" w:rsidR="009376B2" w:rsidRPr="001B4963" w:rsidRDefault="009376B2">
      <w:pPr>
        <w:spacing w:line="360" w:lineRule="auto"/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</w:pPr>
    </w:p>
    <w:p w14:paraId="56E5EDEB" w14:textId="77777777" w:rsidR="009376B2" w:rsidRPr="001B4963" w:rsidRDefault="00000000">
      <w:pPr>
        <w:pStyle w:val="a3"/>
        <w:spacing w:line="360" w:lineRule="auto"/>
        <w:jc w:val="center"/>
        <w:rPr>
          <w:rFonts w:asciiTheme="majorEastAsia" w:eastAsiaTheme="majorEastAsia" w:hAnsiTheme="majorEastAsia" w:cs="Times New Roman Regular"/>
          <w:sz w:val="36"/>
          <w:szCs w:val="36"/>
          <w:lang w:eastAsia="zh-CN"/>
        </w:rPr>
      </w:pPr>
      <w:proofErr w:type="gramStart"/>
      <w:r w:rsidRPr="001B4963">
        <w:rPr>
          <w:rFonts w:asciiTheme="majorEastAsia" w:eastAsiaTheme="majorEastAsia" w:hAnsiTheme="majorEastAsia" w:cs="Times New Roman Regular"/>
          <w:b/>
          <w:bCs/>
          <w:color w:val="FF0000"/>
          <w:spacing w:val="6"/>
          <w:sz w:val="36"/>
          <w:szCs w:val="36"/>
          <w:lang w:eastAsia="zh-CN"/>
        </w:rPr>
        <w:t>重庆望变电气</w:t>
      </w:r>
      <w:proofErr w:type="gramEnd"/>
      <w:r w:rsidRPr="001B4963">
        <w:rPr>
          <w:rFonts w:asciiTheme="majorEastAsia" w:eastAsiaTheme="majorEastAsia" w:hAnsiTheme="majorEastAsia" w:cs="Times New Roman Regular"/>
          <w:b/>
          <w:bCs/>
          <w:color w:val="FF0000"/>
          <w:spacing w:val="6"/>
          <w:sz w:val="36"/>
          <w:szCs w:val="36"/>
          <w:lang w:eastAsia="zh-CN"/>
        </w:rPr>
        <w:t>（集团）股份有限公司</w:t>
      </w:r>
    </w:p>
    <w:p w14:paraId="4DE535F9" w14:textId="77777777" w:rsidR="009376B2" w:rsidRPr="001B4963" w:rsidRDefault="00000000">
      <w:pPr>
        <w:pStyle w:val="a3"/>
        <w:spacing w:line="360" w:lineRule="auto"/>
        <w:jc w:val="center"/>
        <w:rPr>
          <w:rFonts w:asciiTheme="majorEastAsia" w:eastAsiaTheme="majorEastAsia" w:hAnsiTheme="majorEastAsia" w:cs="Times New Roman Regular"/>
          <w:sz w:val="36"/>
          <w:szCs w:val="36"/>
          <w:lang w:eastAsia="zh-CN"/>
        </w:rPr>
      </w:pPr>
      <w:r w:rsidRPr="001B4963">
        <w:rPr>
          <w:rFonts w:asciiTheme="majorEastAsia" w:eastAsiaTheme="majorEastAsia" w:hAnsiTheme="majorEastAsia" w:cs="Times New Roman Regular" w:hint="eastAsia"/>
          <w:b/>
          <w:bCs/>
          <w:color w:val="FF0000"/>
          <w:spacing w:val="6"/>
          <w:sz w:val="36"/>
          <w:szCs w:val="36"/>
          <w:lang w:eastAsia="zh-CN"/>
        </w:rPr>
        <w:t>关于提请股东会批准认购对象免于发出要约的</w:t>
      </w:r>
      <w:r w:rsidRPr="001B4963">
        <w:rPr>
          <w:rFonts w:asciiTheme="majorEastAsia" w:eastAsiaTheme="majorEastAsia" w:hAnsiTheme="majorEastAsia" w:cs="Times New Roman Regular"/>
          <w:b/>
          <w:bCs/>
          <w:color w:val="FF0000"/>
          <w:spacing w:val="6"/>
          <w:sz w:val="36"/>
          <w:szCs w:val="36"/>
          <w:lang w:eastAsia="zh-CN"/>
        </w:rPr>
        <w:t>公告</w:t>
      </w:r>
    </w:p>
    <w:p w14:paraId="6D5476FC" w14:textId="77777777" w:rsidR="009376B2" w:rsidRPr="001B4963" w:rsidRDefault="009376B2">
      <w:pPr>
        <w:spacing w:line="131" w:lineRule="exact"/>
        <w:rPr>
          <w:rFonts w:asciiTheme="majorEastAsia" w:eastAsiaTheme="majorEastAsia" w:hAnsiTheme="majorEastAsia" w:cs="Times New Roman Regular"/>
          <w:lang w:eastAsia="zh-CN"/>
        </w:rPr>
      </w:pPr>
    </w:p>
    <w:tbl>
      <w:tblPr>
        <w:tblStyle w:val="TableNormal"/>
        <w:tblW w:w="847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9"/>
      </w:tblGrid>
      <w:tr w:rsidR="009376B2" w:rsidRPr="001B4963" w14:paraId="3CF06EA4" w14:textId="77777777">
        <w:trPr>
          <w:trHeight w:val="1162"/>
        </w:trPr>
        <w:tc>
          <w:tcPr>
            <w:tcW w:w="8479" w:type="dxa"/>
          </w:tcPr>
          <w:p w14:paraId="5C65801B" w14:textId="77777777" w:rsidR="009376B2" w:rsidRPr="001B4963" w:rsidRDefault="00000000">
            <w:pPr>
              <w:spacing w:beforeLines="50" w:before="120" w:afterLines="50" w:after="120" w:line="360" w:lineRule="auto"/>
              <w:ind w:leftChars="50" w:left="105" w:rightChars="50" w:right="105" w:firstLineChars="200" w:firstLine="478"/>
              <w:rPr>
                <w:rFonts w:asciiTheme="majorEastAsia" w:eastAsiaTheme="majorEastAsia" w:hAnsiTheme="majorEastAsia" w:cs="Times New Roman Regular"/>
                <w:sz w:val="24"/>
                <w:szCs w:val="24"/>
                <w:lang w:eastAsia="zh-CN"/>
              </w:rPr>
            </w:pPr>
            <w:r w:rsidRPr="001B4963">
              <w:rPr>
                <w:rFonts w:asciiTheme="majorEastAsia" w:eastAsiaTheme="majorEastAsia" w:hAnsiTheme="majorEastAsia" w:cs="Times New Roman Regular"/>
                <w:spacing w:val="-1"/>
                <w:sz w:val="24"/>
                <w:szCs w:val="24"/>
                <w:lang w:eastAsia="zh-CN"/>
              </w:rPr>
              <w:t>本公司董事会</w:t>
            </w:r>
            <w:r w:rsidRPr="001B4963">
              <w:rPr>
                <w:rFonts w:asciiTheme="majorEastAsia" w:eastAsiaTheme="majorEastAsia" w:hAnsiTheme="majorEastAsia" w:cs="Times New Roman Regular" w:hint="eastAsia"/>
                <w:spacing w:val="-1"/>
                <w:sz w:val="24"/>
                <w:szCs w:val="24"/>
                <w:lang w:eastAsia="zh-CN"/>
              </w:rPr>
              <w:t>及</w:t>
            </w:r>
            <w:r w:rsidRPr="001B4963">
              <w:rPr>
                <w:rFonts w:asciiTheme="majorEastAsia" w:eastAsiaTheme="majorEastAsia" w:hAnsiTheme="majorEastAsia" w:cs="Times New Roman Regular"/>
                <w:spacing w:val="-1"/>
                <w:sz w:val="24"/>
                <w:szCs w:val="24"/>
                <w:lang w:eastAsia="zh-CN"/>
              </w:rPr>
              <w:t>全体董事保证本公告内容不存在任何虚假记载、</w:t>
            </w:r>
            <w:r w:rsidRPr="001B4963">
              <w:rPr>
                <w:rFonts w:asciiTheme="majorEastAsia" w:eastAsiaTheme="majorEastAsia" w:hAnsiTheme="majorEastAsia" w:cs="Times New Roman Regular"/>
                <w:spacing w:val="-7"/>
                <w:sz w:val="24"/>
                <w:szCs w:val="24"/>
                <w:lang w:eastAsia="zh-CN"/>
              </w:rPr>
              <w:t>误导性陈述或者重大遗漏，并对其内容的真实性、准确性和</w:t>
            </w:r>
            <w:r w:rsidRPr="001B4963">
              <w:rPr>
                <w:rFonts w:asciiTheme="majorEastAsia" w:eastAsiaTheme="majorEastAsia" w:hAnsiTheme="majorEastAsia" w:cs="Times New Roman Regular"/>
                <w:spacing w:val="-8"/>
                <w:sz w:val="24"/>
                <w:szCs w:val="24"/>
                <w:lang w:eastAsia="zh-CN"/>
              </w:rPr>
              <w:t>完整性承担法律责任。</w:t>
            </w:r>
          </w:p>
        </w:tc>
      </w:tr>
    </w:tbl>
    <w:p w14:paraId="6ED15374" w14:textId="77777777" w:rsidR="009376B2" w:rsidRPr="001B4963" w:rsidRDefault="009376B2">
      <w:pPr>
        <w:spacing w:line="360" w:lineRule="auto"/>
        <w:ind w:firstLineChars="200" w:firstLine="480"/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</w:pPr>
    </w:p>
    <w:p w14:paraId="6F7B8D16" w14:textId="16B8E805" w:rsidR="009376B2" w:rsidRPr="001B4963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</w:pPr>
      <w:proofErr w:type="gramStart"/>
      <w:r w:rsidRPr="001B4963">
        <w:rPr>
          <w:rFonts w:asciiTheme="majorEastAsia" w:eastAsiaTheme="majorEastAsia" w:hAnsiTheme="majorEastAsia" w:cs="Times New Roman Regular" w:hint="eastAsia"/>
          <w:sz w:val="24"/>
          <w:szCs w:val="24"/>
          <w:lang w:eastAsia="zh-CN"/>
        </w:rPr>
        <w:t>重庆望变电气</w:t>
      </w:r>
      <w:proofErr w:type="gramEnd"/>
      <w:r w:rsidRPr="001B4963">
        <w:rPr>
          <w:rFonts w:asciiTheme="majorEastAsia" w:eastAsiaTheme="majorEastAsia" w:hAnsiTheme="majorEastAsia" w:cs="Times New Roman Regular" w:hint="eastAsia"/>
          <w:sz w:val="24"/>
          <w:szCs w:val="24"/>
          <w:lang w:eastAsia="zh-CN"/>
        </w:rPr>
        <w:t>（集团）股份有限公司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（以下简称</w:t>
      </w:r>
      <w:r w:rsidR="00FA6C6D" w:rsidRPr="001B4963">
        <w:rPr>
          <w:rFonts w:asciiTheme="majorEastAsia" w:eastAsiaTheme="majorEastAsia" w:hAnsiTheme="majorEastAsia" w:cs="Times New Roman Regular" w:hint="eastAsia"/>
          <w:sz w:val="24"/>
          <w:szCs w:val="24"/>
          <w:lang w:eastAsia="zh-CN"/>
        </w:rPr>
        <w:t>“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公司</w:t>
      </w:r>
      <w:r w:rsidR="00FA6C6D" w:rsidRPr="001B4963">
        <w:rPr>
          <w:rFonts w:asciiTheme="majorEastAsia" w:eastAsiaTheme="majorEastAsia" w:hAnsiTheme="majorEastAsia" w:cs="Times New Roman Regular" w:hint="eastAsia"/>
          <w:sz w:val="24"/>
          <w:szCs w:val="24"/>
          <w:lang w:eastAsia="zh-CN"/>
        </w:rPr>
        <w:t>”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）于2026年</w:t>
      </w:r>
      <w:r w:rsidRPr="001B4963">
        <w:rPr>
          <w:rFonts w:asciiTheme="majorEastAsia" w:eastAsiaTheme="majorEastAsia" w:hAnsiTheme="majorEastAsia" w:cs="Times New Roman Regular" w:hint="eastAsia"/>
          <w:sz w:val="24"/>
          <w:szCs w:val="24"/>
          <w:lang w:eastAsia="zh-CN"/>
        </w:rPr>
        <w:t>2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月</w:t>
      </w:r>
      <w:r w:rsidRPr="001B4963">
        <w:rPr>
          <w:rFonts w:asciiTheme="majorEastAsia" w:eastAsiaTheme="majorEastAsia" w:hAnsiTheme="majorEastAsia" w:cs="Times New Roman Regular" w:hint="eastAsia"/>
          <w:sz w:val="24"/>
          <w:szCs w:val="24"/>
          <w:lang w:eastAsia="zh-CN"/>
        </w:rPr>
        <w:t>6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日召开的第</w:t>
      </w:r>
      <w:r w:rsidRPr="001B4963">
        <w:rPr>
          <w:rFonts w:asciiTheme="majorEastAsia" w:eastAsiaTheme="majorEastAsia" w:hAnsiTheme="majorEastAsia" w:cs="Times New Roman Regular" w:hint="eastAsia"/>
          <w:sz w:val="24"/>
          <w:szCs w:val="24"/>
          <w:lang w:eastAsia="zh-CN"/>
        </w:rPr>
        <w:t>四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届董事会第</w:t>
      </w:r>
      <w:r w:rsidRPr="001B4963">
        <w:rPr>
          <w:rFonts w:asciiTheme="majorEastAsia" w:eastAsiaTheme="majorEastAsia" w:hAnsiTheme="majorEastAsia" w:cs="Times New Roman Regular" w:hint="eastAsia"/>
          <w:sz w:val="24"/>
          <w:szCs w:val="24"/>
          <w:lang w:eastAsia="zh-CN"/>
        </w:rPr>
        <w:t>十七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次会议，审议通过了《关于提请股东会批准认购对象免于发出要约的议案》，本次发行涉及关联交易，关联董事</w:t>
      </w:r>
      <w:r w:rsidRPr="001B4963">
        <w:rPr>
          <w:rFonts w:asciiTheme="majorEastAsia" w:eastAsiaTheme="majorEastAsia" w:hAnsiTheme="majorEastAsia" w:cs="Times New Roman Regular" w:hint="eastAsia"/>
          <w:sz w:val="24"/>
          <w:szCs w:val="24"/>
          <w:lang w:eastAsia="zh-CN"/>
        </w:rPr>
        <w:t>杨泽民先生、皮统政先生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已回避表决，该议案尚需提交公司股东会审议。具体内容如下：</w:t>
      </w:r>
    </w:p>
    <w:p w14:paraId="71E0803F" w14:textId="5EE2290D" w:rsidR="009376B2" w:rsidRPr="001B4963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</w:pP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根据公司向特定对象发行股票的方案，公司本次向特定对象发行股票</w:t>
      </w:r>
      <w:r w:rsidRPr="001B4963">
        <w:rPr>
          <w:rFonts w:asciiTheme="majorEastAsia" w:eastAsiaTheme="majorEastAsia" w:hAnsiTheme="majorEastAsia" w:cs="Times New Roman Regular" w:hint="eastAsia"/>
          <w:sz w:val="24"/>
          <w:szCs w:val="24"/>
          <w:lang w:eastAsia="zh-CN"/>
        </w:rPr>
        <w:t>（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以下简称“本次发行”</w:t>
      </w:r>
      <w:r w:rsidRPr="001B4963">
        <w:rPr>
          <w:rFonts w:asciiTheme="majorEastAsia" w:eastAsiaTheme="majorEastAsia" w:hAnsiTheme="majorEastAsia" w:cs="Times New Roman Regular" w:hint="eastAsia"/>
          <w:sz w:val="24"/>
          <w:szCs w:val="24"/>
          <w:lang w:eastAsia="zh-CN"/>
        </w:rPr>
        <w:t>）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股票数量为</w:t>
      </w:r>
      <w:r w:rsidR="001B4963"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19,493,177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股，本次发行的认购对象为杨泽民先生或其控制的企业</w:t>
      </w:r>
      <w:r w:rsidRPr="001B4963">
        <w:rPr>
          <w:rFonts w:asciiTheme="majorEastAsia" w:eastAsiaTheme="majorEastAsia" w:hAnsiTheme="majorEastAsia" w:cs="Times New Roman Regular" w:hint="eastAsia"/>
          <w:sz w:val="24"/>
          <w:szCs w:val="24"/>
          <w:lang w:eastAsia="zh-CN"/>
        </w:rPr>
        <w:t>，本次发行的认购金额为30,000.00万元，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杨泽民先生或其控制的企业将以现金方式认购本次发行的全部股份。本次发行前，</w:t>
      </w:r>
      <w:r w:rsidR="004628F8" w:rsidRPr="001B4963">
        <w:rPr>
          <w:rFonts w:asciiTheme="majorEastAsia" w:eastAsiaTheme="majorEastAsia" w:hAnsiTheme="majorEastAsia" w:cs="Times New Roman Regular" w:hint="eastAsia"/>
          <w:sz w:val="24"/>
          <w:szCs w:val="24"/>
          <w:lang w:eastAsia="zh-CN"/>
        </w:rPr>
        <w:t>杨泽民先生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及其一致行动人合计持有公司131,744,985股股票，合计持股比例为39.64%。本次发行股票的数量为</w:t>
      </w:r>
      <w:r w:rsidR="001B4963"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19,493,177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股，本次发行完成后，</w:t>
      </w:r>
      <w:r w:rsidR="00E675CC" w:rsidRPr="001B4963">
        <w:rPr>
          <w:rFonts w:asciiTheme="majorEastAsia" w:eastAsiaTheme="majorEastAsia" w:hAnsiTheme="majorEastAsia" w:cs="Times New Roman Regular" w:hint="eastAsia"/>
          <w:sz w:val="24"/>
          <w:szCs w:val="24"/>
          <w:lang w:eastAsia="zh-CN"/>
        </w:rPr>
        <w:t>杨泽民先生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及其一致行动人持有公司股份比例将提升至</w:t>
      </w:r>
      <w:r w:rsidR="001B4963"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42.98%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。</w:t>
      </w:r>
    </w:p>
    <w:p w14:paraId="4CA4E972" w14:textId="3339B51C" w:rsidR="009376B2" w:rsidRPr="001B4963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</w:pP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根据《上市公司收购管理办法》的相关规定，杨泽民先生或其控制的企业认购本次向特定对象发行的股份，将触发要约收购义务。但同时根据《上市公司收购管理办法》第六十三条第（三）项规定：“经上市公司股东会非关联股东批准，投资者取得上市公司向其发行的新股，导致其在该公司拥有权益的股份超过该公司已发行股份的30%，投资者承诺3年内不转让本次向其发行的新股，且公司股东会同意投资者免于发出要约。”即在满足相关条件的情形下，投资者可免于发出要约。</w:t>
      </w:r>
    </w:p>
    <w:p w14:paraId="6D9C9E4B" w14:textId="3F011832" w:rsidR="009376B2" w:rsidRPr="001B4963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</w:pP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根据公司与杨泽民先生签署的《附条件生效的股份认购协议》以及杨泽民先生出具的相关承诺，本次发行对象杨泽民先生或其控制的企业在本次发行中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lastRenderedPageBreak/>
        <w:t>取得的公司股票自发行结束之日起36个月内不进行转让，待公司股东会非关联股东批准后，杨泽民先生或其控制的企业</w:t>
      </w:r>
      <w:proofErr w:type="gramStart"/>
      <w:r w:rsidR="000A3455" w:rsidRPr="001B4963">
        <w:rPr>
          <w:rFonts w:asciiTheme="majorEastAsia" w:eastAsiaTheme="majorEastAsia" w:hAnsiTheme="majorEastAsia" w:cs="Times New Roman Regular" w:hint="eastAsia"/>
          <w:sz w:val="24"/>
          <w:szCs w:val="24"/>
          <w:lang w:eastAsia="zh-CN"/>
        </w:rPr>
        <w:t>及一致</w:t>
      </w:r>
      <w:proofErr w:type="gramEnd"/>
      <w:r w:rsidR="000A3455" w:rsidRPr="001B4963">
        <w:rPr>
          <w:rFonts w:asciiTheme="majorEastAsia" w:eastAsiaTheme="majorEastAsia" w:hAnsiTheme="majorEastAsia" w:cs="Times New Roman Regular" w:hint="eastAsia"/>
          <w:sz w:val="24"/>
          <w:szCs w:val="24"/>
          <w:lang w:eastAsia="zh-CN"/>
        </w:rPr>
        <w:t>行动人</w:t>
      </w: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可免于发出要约。</w:t>
      </w:r>
    </w:p>
    <w:p w14:paraId="2C7181F5" w14:textId="77777777" w:rsidR="009376B2" w:rsidRPr="001B4963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</w:pPr>
      <w:r w:rsidRPr="001B4963"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  <w:t>本事项涉及关联交易，尚需提交公司股东会审议通过，关联股东将对相关议案回避表决。</w:t>
      </w:r>
    </w:p>
    <w:p w14:paraId="19935E43" w14:textId="77777777" w:rsidR="009376B2" w:rsidRPr="001B4963" w:rsidRDefault="009376B2">
      <w:pPr>
        <w:spacing w:line="360" w:lineRule="auto"/>
        <w:ind w:firstLineChars="200" w:firstLine="480"/>
        <w:rPr>
          <w:rFonts w:asciiTheme="majorEastAsia" w:eastAsiaTheme="majorEastAsia" w:hAnsiTheme="majorEastAsia" w:cs="Times New Roman Regular"/>
          <w:sz w:val="24"/>
          <w:szCs w:val="24"/>
          <w:lang w:eastAsia="zh-CN"/>
        </w:rPr>
      </w:pPr>
    </w:p>
    <w:p w14:paraId="4593E40A" w14:textId="77777777" w:rsidR="009376B2" w:rsidRPr="001B4963" w:rsidRDefault="00000000">
      <w:pPr>
        <w:pStyle w:val="a3"/>
        <w:spacing w:line="360" w:lineRule="auto"/>
        <w:ind w:firstLineChars="200" w:firstLine="476"/>
        <w:rPr>
          <w:rFonts w:asciiTheme="majorEastAsia" w:eastAsiaTheme="majorEastAsia" w:hAnsiTheme="majorEastAsia" w:cs="Times New Roman Regular"/>
          <w:lang w:eastAsia="zh-CN"/>
        </w:rPr>
      </w:pPr>
      <w:r w:rsidRPr="001B4963">
        <w:rPr>
          <w:rFonts w:asciiTheme="majorEastAsia" w:eastAsiaTheme="majorEastAsia" w:hAnsiTheme="majorEastAsia" w:cs="Times New Roman Regular"/>
          <w:spacing w:val="-2"/>
          <w:lang w:eastAsia="zh-CN"/>
        </w:rPr>
        <w:t>特此公告。</w:t>
      </w:r>
    </w:p>
    <w:p w14:paraId="55A03A35" w14:textId="77777777" w:rsidR="009376B2" w:rsidRPr="001B4963" w:rsidRDefault="009376B2">
      <w:pPr>
        <w:spacing w:line="478" w:lineRule="auto"/>
        <w:rPr>
          <w:rFonts w:asciiTheme="majorEastAsia" w:eastAsiaTheme="majorEastAsia" w:hAnsiTheme="majorEastAsia" w:cs="Times New Roman Regular"/>
          <w:lang w:eastAsia="zh-CN"/>
        </w:rPr>
      </w:pPr>
    </w:p>
    <w:p w14:paraId="7EE5F6A4" w14:textId="77777777" w:rsidR="009376B2" w:rsidRPr="001B4963" w:rsidRDefault="00000000">
      <w:pPr>
        <w:pStyle w:val="a3"/>
        <w:spacing w:line="360" w:lineRule="auto"/>
        <w:jc w:val="right"/>
        <w:rPr>
          <w:rFonts w:asciiTheme="majorEastAsia" w:eastAsiaTheme="majorEastAsia" w:hAnsiTheme="majorEastAsia" w:cs="Times New Roman Regular"/>
          <w:lang w:eastAsia="zh-CN"/>
        </w:rPr>
      </w:pPr>
      <w:proofErr w:type="gramStart"/>
      <w:r w:rsidRPr="001B4963">
        <w:rPr>
          <w:rFonts w:asciiTheme="majorEastAsia" w:eastAsiaTheme="majorEastAsia" w:hAnsiTheme="majorEastAsia" w:cs="Times New Roman Regular"/>
          <w:spacing w:val="-1"/>
          <w:lang w:eastAsia="zh-CN"/>
        </w:rPr>
        <w:t>重庆望变电气</w:t>
      </w:r>
      <w:proofErr w:type="gramEnd"/>
      <w:r w:rsidRPr="001B4963">
        <w:rPr>
          <w:rFonts w:asciiTheme="majorEastAsia" w:eastAsiaTheme="majorEastAsia" w:hAnsiTheme="majorEastAsia" w:cs="Times New Roman Regular"/>
          <w:spacing w:val="-1"/>
          <w:lang w:eastAsia="zh-CN"/>
        </w:rPr>
        <w:t>（集团）股份有限公司董事会</w:t>
      </w:r>
    </w:p>
    <w:p w14:paraId="5733E74A" w14:textId="6E33A5F6" w:rsidR="009376B2" w:rsidRPr="001B4963" w:rsidRDefault="00D61E8F">
      <w:pPr>
        <w:pStyle w:val="a3"/>
        <w:spacing w:line="360" w:lineRule="auto"/>
        <w:jc w:val="right"/>
        <w:rPr>
          <w:rFonts w:asciiTheme="majorEastAsia" w:eastAsiaTheme="majorEastAsia" w:hAnsiTheme="majorEastAsia" w:cs="Times New Roman Regular"/>
          <w:lang w:eastAsia="zh-CN"/>
        </w:rPr>
      </w:pPr>
      <w:r w:rsidRPr="001B4963">
        <w:rPr>
          <w:rFonts w:asciiTheme="majorEastAsia" w:eastAsiaTheme="majorEastAsia" w:hAnsiTheme="majorEastAsia" w:cs="Times New Roman Regular" w:hint="eastAsia"/>
          <w:lang w:eastAsia="zh-CN"/>
        </w:rPr>
        <w:t>2026年2月7日</w:t>
      </w:r>
    </w:p>
    <w:sectPr w:rsidR="009376B2" w:rsidRPr="001B4963">
      <w:footerReference w:type="default" r:id="rId7"/>
      <w:pgSz w:w="11906" w:h="16838"/>
      <w:pgMar w:top="1431" w:right="1741" w:bottom="1376" w:left="1785" w:header="0" w:footer="1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35DB" w14:textId="77777777" w:rsidR="00670669" w:rsidRDefault="00670669">
      <w:r>
        <w:separator/>
      </w:r>
    </w:p>
  </w:endnote>
  <w:endnote w:type="continuationSeparator" w:id="0">
    <w:p w14:paraId="3F363200" w14:textId="77777777" w:rsidR="00670669" w:rsidRDefault="0067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763D" w14:textId="77777777" w:rsidR="009376B2" w:rsidRDefault="00000000">
    <w:pPr>
      <w:spacing w:line="164" w:lineRule="auto"/>
      <w:ind w:left="4129"/>
      <w:rPr>
        <w:rFonts w:ascii="Times New Roman" w:eastAsia="Times New Roman" w:hAnsi="Times New Roman" w:cs="Times New Roman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E0B34" wp14:editId="0550972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32454" w14:textId="77777777" w:rsidR="009376B2" w:rsidRDefault="00000000">
                          <w:pPr>
                            <w:pStyle w:val="a4"/>
                            <w:rPr>
                              <w:rFonts w:ascii="Times New Roman Regular" w:hAnsi="Times New Roman Regular" w:cs="Times New Roman Regular"/>
                            </w:rPr>
                          </w:pP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begin"/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separate"/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t>1</w: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E0B3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7FC32454" w14:textId="77777777" w:rsidR="009376B2" w:rsidRDefault="00000000">
                    <w:pPr>
                      <w:pStyle w:val="a4"/>
                      <w:rPr>
                        <w:rFonts w:ascii="Times New Roman Regular" w:hAnsi="Times New Roman Regular" w:cs="Times New Roman Regular"/>
                      </w:rPr>
                    </w:pPr>
                    <w:r>
                      <w:rPr>
                        <w:rFonts w:ascii="Times New Roman Regular" w:hAnsi="Times New Roman Regular" w:cs="Times New Roman Regular"/>
                      </w:rPr>
                      <w:fldChar w:fldCharType="begin"/>
                    </w:r>
                    <w:r>
                      <w:rPr>
                        <w:rFonts w:ascii="Times New Roman Regular" w:hAnsi="Times New Roman Regular" w:cs="Times New Roman Regular"/>
                      </w:rPr>
                      <w:instrText xml:space="preserve"> PAGE  \* MERGEFORMAT </w:instrTex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separate"/>
                    </w:r>
                    <w:r>
                      <w:rPr>
                        <w:rFonts w:ascii="Times New Roman Regular" w:hAnsi="Times New Roman Regular" w:cs="Times New Roman Regular"/>
                      </w:rPr>
                      <w:t>1</w: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7088" w14:textId="77777777" w:rsidR="00670669" w:rsidRDefault="00670669">
      <w:r>
        <w:separator/>
      </w:r>
    </w:p>
  </w:footnote>
  <w:footnote w:type="continuationSeparator" w:id="0">
    <w:p w14:paraId="0465D866" w14:textId="77777777" w:rsidR="00670669" w:rsidRDefault="00670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76B2"/>
    <w:rsid w:val="00064212"/>
    <w:rsid w:val="00091D0C"/>
    <w:rsid w:val="000A3455"/>
    <w:rsid w:val="00102B04"/>
    <w:rsid w:val="001B4963"/>
    <w:rsid w:val="003824CD"/>
    <w:rsid w:val="003B1826"/>
    <w:rsid w:val="003F0689"/>
    <w:rsid w:val="004628F8"/>
    <w:rsid w:val="005A5E0E"/>
    <w:rsid w:val="005F7440"/>
    <w:rsid w:val="00640864"/>
    <w:rsid w:val="00670669"/>
    <w:rsid w:val="006C2AAA"/>
    <w:rsid w:val="00761357"/>
    <w:rsid w:val="007C3E64"/>
    <w:rsid w:val="009376B2"/>
    <w:rsid w:val="00A00A34"/>
    <w:rsid w:val="00D6098D"/>
    <w:rsid w:val="00D61E8F"/>
    <w:rsid w:val="00E675CC"/>
    <w:rsid w:val="00EA7D18"/>
    <w:rsid w:val="00EE42F0"/>
    <w:rsid w:val="00FA6C6D"/>
    <w:rsid w:val="6FFF1929"/>
    <w:rsid w:val="7EFFE529"/>
    <w:rsid w:val="D1B80082"/>
    <w:rsid w:val="DDD7E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14700"/>
  <w15:docId w15:val="{7A1864F4-373D-4D9B-98B6-97A48849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PingFang SC" w:eastAsia="PingFang SC" w:hAnsi="PingFang SC" w:cs="PingFang SC"/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pPr>
      <w:spacing w:beforeAutospacing="1" w:afterAutospacing="1"/>
    </w:pPr>
    <w:rPr>
      <w:rFonts w:cs="Times New Roman"/>
      <w:sz w:val="24"/>
      <w:lang w:eastAsia="zh-CN"/>
    </w:rPr>
  </w:style>
  <w:style w:type="character" w:styleId="a7">
    <w:name w:val="Emphasis"/>
    <w:basedOn w:val="a0"/>
    <w:qFormat/>
    <w:rPr>
      <w:i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PingFang SC" w:eastAsia="PingFang SC" w:hAnsi="PingFang SC" w:cs="PingFang SC"/>
      <w:sz w:val="24"/>
      <w:szCs w:val="24"/>
    </w:rPr>
  </w:style>
  <w:style w:type="paragraph" w:styleId="a8">
    <w:name w:val="Revision"/>
    <w:hidden/>
    <w:uiPriority w:val="99"/>
    <w:unhideWhenUsed/>
    <w:rsid w:val="004628F8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471</Words>
  <Characters>505</Characters>
  <Application>Microsoft Office Word</Application>
  <DocSecurity>0</DocSecurity>
  <Lines>20</Lines>
  <Paragraphs>12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陈邹(拟稿)</dc:creator>
  <cp:lastModifiedBy>成浩 杨</cp:lastModifiedBy>
  <cp:revision>12</cp:revision>
  <dcterms:created xsi:type="dcterms:W3CDTF">2026-01-24T18:43:00Z</dcterms:created>
  <dcterms:modified xsi:type="dcterms:W3CDTF">2026-02-06T07:57:00Z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2026-02-01T00:16:48Z</vt:filetime>
  </property>
  <property fmtid="{D5CDD505-2E9C-101B-9397-08002B2CF9AE}" pid="4" name="KSOProductBuildVer">
    <vt:lpwstr>2052-12.1.24709.24709</vt:lpwstr>
  </property>
  <property fmtid="{D5CDD505-2E9C-101B-9397-08002B2CF9AE}" pid="5" name="ICV">
    <vt:lpwstr>E250545C2248AD53262F7E698B347286_43</vt:lpwstr>
  </property>
</Properties>
</file>