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807" w:rsidRPr="00E72C55" w:rsidRDefault="00000000">
      <w:pPr>
        <w:pStyle w:val="a3"/>
        <w:spacing w:line="480" w:lineRule="auto"/>
        <w:rPr>
          <w:rFonts w:asciiTheme="minorEastAsia" w:eastAsiaTheme="minorEastAsia" w:hAnsiTheme="minorEastAsia" w:cs="Times New Roman Regular"/>
          <w:b/>
          <w:bCs/>
          <w:lang w:eastAsia="zh-CN"/>
        </w:rPr>
      </w:pPr>
      <w:r w:rsidRPr="00E72C55">
        <w:rPr>
          <w:rFonts w:asciiTheme="minorEastAsia" w:eastAsiaTheme="minorEastAsia" w:hAnsiTheme="minorEastAsia" w:cs="Times New Roman Regular"/>
          <w:b/>
          <w:bCs/>
          <w:spacing w:val="-7"/>
          <w:lang w:eastAsia="zh-CN"/>
        </w:rPr>
        <w:t>证券代码</w:t>
      </w:r>
      <w:r w:rsidRPr="00E72C55">
        <w:rPr>
          <w:rFonts w:asciiTheme="minorEastAsia" w:eastAsiaTheme="minorEastAsia" w:hAnsiTheme="minorEastAsia" w:cs="Times New Roman Regular" w:hint="eastAsia"/>
          <w:b/>
          <w:bCs/>
          <w:spacing w:val="-7"/>
          <w:lang w:eastAsia="zh-CN"/>
        </w:rPr>
        <w:t>：</w:t>
      </w:r>
      <w:r w:rsidRPr="00E72C55">
        <w:rPr>
          <w:rFonts w:asciiTheme="minorEastAsia" w:eastAsiaTheme="minorEastAsia" w:hAnsiTheme="minorEastAsia" w:cs="Times New Roman Regular"/>
          <w:b/>
          <w:bCs/>
          <w:spacing w:val="-7"/>
          <w:lang w:eastAsia="zh-CN"/>
        </w:rPr>
        <w:t>603191         证券简称：</w:t>
      </w:r>
      <w:proofErr w:type="gramStart"/>
      <w:r w:rsidRPr="00E72C55">
        <w:rPr>
          <w:rFonts w:asciiTheme="minorEastAsia" w:eastAsiaTheme="minorEastAsia" w:hAnsiTheme="minorEastAsia" w:cs="Times New Roman Regular"/>
          <w:b/>
          <w:bCs/>
          <w:spacing w:val="-7"/>
          <w:lang w:eastAsia="zh-CN"/>
        </w:rPr>
        <w:t>望变电气</w:t>
      </w:r>
      <w:proofErr w:type="gramEnd"/>
      <w:r w:rsidRPr="00E72C55">
        <w:rPr>
          <w:rFonts w:asciiTheme="minorEastAsia" w:eastAsiaTheme="minorEastAsia" w:hAnsiTheme="minorEastAsia" w:cs="Times New Roman Regular"/>
          <w:b/>
          <w:bCs/>
          <w:spacing w:val="-7"/>
          <w:lang w:eastAsia="zh-CN"/>
        </w:rPr>
        <w:t xml:space="preserve">     </w:t>
      </w:r>
      <w:r w:rsidRPr="00E72C55">
        <w:rPr>
          <w:rFonts w:asciiTheme="minorEastAsia" w:eastAsiaTheme="minorEastAsia" w:hAnsiTheme="minorEastAsia" w:cs="Times New Roman Regular" w:hint="eastAsia"/>
          <w:b/>
          <w:bCs/>
          <w:spacing w:val="-7"/>
          <w:lang w:eastAsia="zh-CN"/>
        </w:rPr>
        <w:t xml:space="preserve">     </w:t>
      </w:r>
      <w:r w:rsidRPr="00E72C55">
        <w:rPr>
          <w:rFonts w:asciiTheme="minorEastAsia" w:eastAsiaTheme="minorEastAsia" w:hAnsiTheme="minorEastAsia" w:cs="Times New Roman Regular"/>
          <w:b/>
          <w:bCs/>
          <w:spacing w:val="-7"/>
          <w:lang w:eastAsia="zh-CN"/>
        </w:rPr>
        <w:t xml:space="preserve"> </w:t>
      </w:r>
      <w:r w:rsidRPr="00E72C55">
        <w:rPr>
          <w:rFonts w:asciiTheme="minorEastAsia" w:eastAsiaTheme="minorEastAsia" w:hAnsiTheme="minorEastAsia" w:cs="Times New Roman Regular"/>
          <w:b/>
          <w:bCs/>
          <w:spacing w:val="-8"/>
          <w:lang w:eastAsia="zh-CN"/>
        </w:rPr>
        <w:t>公告编号：2026-</w:t>
      </w:r>
      <w:r w:rsidR="00312B14" w:rsidRPr="00E72C55">
        <w:rPr>
          <w:rFonts w:asciiTheme="minorEastAsia" w:eastAsiaTheme="minorEastAsia" w:hAnsiTheme="minorEastAsia" w:cs="Times New Roman Regular" w:hint="eastAsia"/>
          <w:b/>
          <w:bCs/>
          <w:spacing w:val="-8"/>
          <w:lang w:eastAsia="zh-CN"/>
        </w:rPr>
        <w:t>013</w:t>
      </w:r>
    </w:p>
    <w:p w:rsidR="00BF2807" w:rsidRPr="00E72C55" w:rsidRDefault="00BF2807">
      <w:pPr>
        <w:spacing w:line="360" w:lineRule="auto"/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</w:pPr>
    </w:p>
    <w:p w:rsidR="00BF2807" w:rsidRPr="00E72C55" w:rsidRDefault="00000000">
      <w:pPr>
        <w:pStyle w:val="a3"/>
        <w:spacing w:line="360" w:lineRule="auto"/>
        <w:jc w:val="center"/>
        <w:rPr>
          <w:rFonts w:asciiTheme="minorEastAsia" w:eastAsiaTheme="minorEastAsia" w:hAnsiTheme="minorEastAsia" w:cs="Times New Roman Regular"/>
          <w:sz w:val="36"/>
          <w:szCs w:val="36"/>
          <w:lang w:eastAsia="zh-CN"/>
        </w:rPr>
      </w:pPr>
      <w:proofErr w:type="gramStart"/>
      <w:r w:rsidRPr="00E72C55">
        <w:rPr>
          <w:rFonts w:asciiTheme="minorEastAsia" w:eastAsiaTheme="minorEastAsia" w:hAnsiTheme="minorEastAsia" w:cs="Times New Roman Regular"/>
          <w:b/>
          <w:bCs/>
          <w:color w:val="FF0000"/>
          <w:spacing w:val="6"/>
          <w:sz w:val="36"/>
          <w:szCs w:val="36"/>
          <w:lang w:eastAsia="zh-CN"/>
        </w:rPr>
        <w:t>重庆望变电气</w:t>
      </w:r>
      <w:proofErr w:type="gramEnd"/>
      <w:r w:rsidRPr="00E72C55">
        <w:rPr>
          <w:rFonts w:asciiTheme="minorEastAsia" w:eastAsiaTheme="minorEastAsia" w:hAnsiTheme="minorEastAsia" w:cs="Times New Roman Regular"/>
          <w:b/>
          <w:bCs/>
          <w:color w:val="FF0000"/>
          <w:spacing w:val="6"/>
          <w:sz w:val="36"/>
          <w:szCs w:val="36"/>
          <w:lang w:eastAsia="zh-CN"/>
        </w:rPr>
        <w:t>（集团）股份有限公司</w:t>
      </w:r>
    </w:p>
    <w:p w:rsidR="00BF2807" w:rsidRPr="00E72C55" w:rsidRDefault="00000000">
      <w:pPr>
        <w:pStyle w:val="a3"/>
        <w:spacing w:line="360" w:lineRule="auto"/>
        <w:jc w:val="center"/>
        <w:rPr>
          <w:rFonts w:asciiTheme="minorEastAsia" w:eastAsiaTheme="minorEastAsia" w:hAnsiTheme="minorEastAsia" w:cs="Times New Roman Regular"/>
          <w:sz w:val="36"/>
          <w:szCs w:val="36"/>
          <w:lang w:eastAsia="zh-CN"/>
        </w:rPr>
      </w:pPr>
      <w:r w:rsidRPr="00E72C55">
        <w:rPr>
          <w:rFonts w:asciiTheme="minorEastAsia" w:eastAsiaTheme="minorEastAsia" w:hAnsiTheme="minorEastAsia" w:cs="Times New Roman Regular" w:hint="eastAsia"/>
          <w:b/>
          <w:bCs/>
          <w:color w:val="FF0000"/>
          <w:spacing w:val="6"/>
          <w:sz w:val="36"/>
          <w:szCs w:val="36"/>
          <w:lang w:eastAsia="zh-CN"/>
        </w:rPr>
        <w:t>关于暂不召开股东会审议本次向特定对象发行股票相关事宜的公告</w:t>
      </w:r>
    </w:p>
    <w:p w:rsidR="00BF2807" w:rsidRPr="00E72C55" w:rsidRDefault="00BF2807">
      <w:pPr>
        <w:spacing w:line="131" w:lineRule="exact"/>
        <w:rPr>
          <w:rFonts w:asciiTheme="minorEastAsia" w:eastAsiaTheme="minorEastAsia" w:hAnsiTheme="minorEastAsia" w:cs="Times New Roman Regular"/>
          <w:lang w:eastAsia="zh-CN"/>
        </w:rPr>
      </w:pPr>
    </w:p>
    <w:tbl>
      <w:tblPr>
        <w:tblStyle w:val="TableNormal"/>
        <w:tblW w:w="847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9"/>
      </w:tblGrid>
      <w:tr w:rsidR="00BF2807" w:rsidRPr="00E72C55">
        <w:trPr>
          <w:trHeight w:val="1162"/>
        </w:trPr>
        <w:tc>
          <w:tcPr>
            <w:tcW w:w="8479" w:type="dxa"/>
          </w:tcPr>
          <w:p w:rsidR="00BF2807" w:rsidRPr="00E72C55" w:rsidRDefault="00000000">
            <w:pPr>
              <w:spacing w:beforeLines="50" w:before="120" w:afterLines="50" w:after="120" w:line="360" w:lineRule="auto"/>
              <w:ind w:leftChars="50" w:left="105" w:rightChars="50" w:right="105" w:firstLineChars="200" w:firstLine="478"/>
              <w:rPr>
                <w:rFonts w:asciiTheme="minorEastAsia" w:eastAsiaTheme="minorEastAsia" w:hAnsiTheme="minorEastAsia" w:cs="Times New Roman Regular"/>
                <w:sz w:val="24"/>
                <w:szCs w:val="24"/>
                <w:lang w:eastAsia="zh-CN"/>
              </w:rPr>
            </w:pPr>
            <w:r w:rsidRPr="00E72C55">
              <w:rPr>
                <w:rFonts w:asciiTheme="minorEastAsia" w:eastAsiaTheme="minorEastAsia" w:hAnsiTheme="minorEastAsia" w:cs="Times New Roman Regular"/>
                <w:spacing w:val="-1"/>
                <w:sz w:val="24"/>
                <w:szCs w:val="24"/>
                <w:lang w:eastAsia="zh-CN"/>
              </w:rPr>
              <w:t>本公司董事会</w:t>
            </w:r>
            <w:r w:rsidRPr="00E72C55">
              <w:rPr>
                <w:rFonts w:asciiTheme="minorEastAsia" w:eastAsiaTheme="minorEastAsia" w:hAnsiTheme="minorEastAsia" w:cs="Times New Roman Regular" w:hint="eastAsia"/>
                <w:spacing w:val="-1"/>
                <w:sz w:val="24"/>
                <w:szCs w:val="24"/>
                <w:lang w:eastAsia="zh-CN"/>
              </w:rPr>
              <w:t>及</w:t>
            </w:r>
            <w:r w:rsidRPr="00E72C55">
              <w:rPr>
                <w:rFonts w:asciiTheme="minorEastAsia" w:eastAsiaTheme="minorEastAsia" w:hAnsiTheme="minorEastAsia" w:cs="Times New Roman Regular"/>
                <w:spacing w:val="-1"/>
                <w:sz w:val="24"/>
                <w:szCs w:val="24"/>
                <w:lang w:eastAsia="zh-CN"/>
              </w:rPr>
              <w:t>全体董事保证本公告内容不存在任何虚假记载、</w:t>
            </w:r>
            <w:r w:rsidRPr="00E72C55">
              <w:rPr>
                <w:rFonts w:asciiTheme="minorEastAsia" w:eastAsiaTheme="minorEastAsia" w:hAnsiTheme="minorEastAsia" w:cs="Times New Roman Regular"/>
                <w:spacing w:val="-7"/>
                <w:sz w:val="24"/>
                <w:szCs w:val="24"/>
                <w:lang w:eastAsia="zh-CN"/>
              </w:rPr>
              <w:t>误导性陈述或者重大遗漏，并对其内容的真实性、准确性和</w:t>
            </w:r>
            <w:r w:rsidRPr="00E72C55">
              <w:rPr>
                <w:rFonts w:asciiTheme="minorEastAsia" w:eastAsiaTheme="minorEastAsia" w:hAnsiTheme="minorEastAsia" w:cs="Times New Roman Regular"/>
                <w:spacing w:val="-8"/>
                <w:sz w:val="24"/>
                <w:szCs w:val="24"/>
                <w:lang w:eastAsia="zh-CN"/>
              </w:rPr>
              <w:t>完整性承担法律责任。</w:t>
            </w:r>
          </w:p>
        </w:tc>
      </w:tr>
    </w:tbl>
    <w:p w:rsidR="00BF2807" w:rsidRPr="00E72C55" w:rsidRDefault="00BF2807">
      <w:pPr>
        <w:spacing w:line="360" w:lineRule="auto"/>
        <w:ind w:firstLineChars="200" w:firstLine="480"/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</w:pPr>
    </w:p>
    <w:p w:rsidR="00BF2807" w:rsidRPr="00E72C55" w:rsidRDefault="0000000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</w:pPr>
      <w:proofErr w:type="gramStart"/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重庆望变电气</w:t>
      </w:r>
      <w:proofErr w:type="gramEnd"/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（集团）股份有限公司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（以下简称</w:t>
      </w:r>
      <w:r w:rsidR="00E72C55"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“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公司</w:t>
      </w:r>
      <w:r w:rsidR="00E72C55"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”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）于202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6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年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2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月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6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日召开第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四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届董事会第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十七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次会议，审议通过了关于公司向特定对象发行股票（以下简称</w:t>
      </w:r>
      <w:r w:rsidR="00E72C55"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“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本次发行</w:t>
      </w:r>
      <w:r w:rsidR="00E72C55"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”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）的相关议案，根据《中华人民共和国公司法》《中华人民共和国证券法》《上市公司证券发行注册管理办法》等法律法规、规范性文件及《</w:t>
      </w:r>
      <w:r w:rsidRPr="00E72C55">
        <w:rPr>
          <w:rFonts w:asciiTheme="minorEastAsia" w:eastAsiaTheme="minorEastAsia" w:hAnsiTheme="minorEastAsia" w:cs="Times New Roman Regular" w:hint="eastAsia"/>
          <w:sz w:val="24"/>
          <w:szCs w:val="24"/>
          <w:lang w:eastAsia="zh-CN"/>
        </w:rPr>
        <w:t>重庆望变电气（集团）股份有限公司</w:t>
      </w: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章程》等相关规定，本次发行的相关议案尚需提交公司股东会审议。</w:t>
      </w:r>
    </w:p>
    <w:p w:rsidR="00BF2807" w:rsidRPr="00E72C55" w:rsidRDefault="0000000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</w:pPr>
      <w:r w:rsidRPr="00E72C55"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  <w:t>基于公司本次发行的总体工作安排，公司决定暂不召开股东会审议本次发行相关事项，待相关工作及事项准备完成后，公司将确定召开股东会的时间并发出股东会通知，将与本次发行相关的议案提请公司股东会表决。</w:t>
      </w:r>
    </w:p>
    <w:p w:rsidR="00BF2807" w:rsidRPr="00E72C55" w:rsidRDefault="00BF2807">
      <w:pPr>
        <w:spacing w:line="360" w:lineRule="auto"/>
        <w:ind w:firstLineChars="200" w:firstLine="480"/>
        <w:rPr>
          <w:rFonts w:asciiTheme="minorEastAsia" w:eastAsiaTheme="minorEastAsia" w:hAnsiTheme="minorEastAsia" w:cs="Times New Roman Regular"/>
          <w:sz w:val="24"/>
          <w:szCs w:val="24"/>
          <w:lang w:eastAsia="zh-CN"/>
        </w:rPr>
      </w:pPr>
    </w:p>
    <w:p w:rsidR="00BF2807" w:rsidRPr="00E72C55" w:rsidRDefault="00000000">
      <w:pPr>
        <w:pStyle w:val="a3"/>
        <w:spacing w:line="360" w:lineRule="auto"/>
        <w:ind w:firstLineChars="200" w:firstLine="476"/>
        <w:rPr>
          <w:rFonts w:asciiTheme="minorEastAsia" w:eastAsiaTheme="minorEastAsia" w:hAnsiTheme="minorEastAsia" w:cs="Times New Roman Regular"/>
          <w:lang w:eastAsia="zh-CN"/>
        </w:rPr>
      </w:pPr>
      <w:r w:rsidRPr="00E72C55">
        <w:rPr>
          <w:rFonts w:asciiTheme="minorEastAsia" w:eastAsiaTheme="minorEastAsia" w:hAnsiTheme="minorEastAsia" w:cs="Times New Roman Regular"/>
          <w:spacing w:val="-2"/>
          <w:lang w:eastAsia="zh-CN"/>
        </w:rPr>
        <w:t>特此公告。</w:t>
      </w:r>
    </w:p>
    <w:p w:rsidR="00BF2807" w:rsidRPr="00E72C55" w:rsidRDefault="00BF2807">
      <w:pPr>
        <w:spacing w:line="478" w:lineRule="auto"/>
        <w:rPr>
          <w:rFonts w:asciiTheme="minorEastAsia" w:eastAsiaTheme="minorEastAsia" w:hAnsiTheme="minorEastAsia" w:cs="Times New Roman Regular"/>
          <w:lang w:eastAsia="zh-CN"/>
        </w:rPr>
      </w:pPr>
    </w:p>
    <w:p w:rsidR="00BF2807" w:rsidRPr="00E72C55" w:rsidRDefault="00000000">
      <w:pPr>
        <w:pStyle w:val="a3"/>
        <w:spacing w:line="360" w:lineRule="auto"/>
        <w:jc w:val="right"/>
        <w:rPr>
          <w:rFonts w:asciiTheme="minorEastAsia" w:eastAsiaTheme="minorEastAsia" w:hAnsiTheme="minorEastAsia" w:cs="Times New Roman Regular"/>
          <w:lang w:eastAsia="zh-CN"/>
        </w:rPr>
      </w:pPr>
      <w:r w:rsidRPr="00E72C55">
        <w:rPr>
          <w:rFonts w:asciiTheme="minorEastAsia" w:eastAsiaTheme="minorEastAsia" w:hAnsiTheme="minorEastAsia" w:cs="Times New Roman Regular"/>
          <w:spacing w:val="-1"/>
          <w:lang w:eastAsia="zh-CN"/>
        </w:rPr>
        <w:t>重庆望变电气（集团）股份有限公司董事会</w:t>
      </w:r>
    </w:p>
    <w:p w:rsidR="00BF2807" w:rsidRPr="00E72C55" w:rsidRDefault="00000000">
      <w:pPr>
        <w:pStyle w:val="a3"/>
        <w:spacing w:line="360" w:lineRule="auto"/>
        <w:jc w:val="right"/>
        <w:rPr>
          <w:rFonts w:asciiTheme="minorEastAsia" w:eastAsiaTheme="minorEastAsia" w:hAnsiTheme="minorEastAsia" w:cs="Times New Roman Regular"/>
          <w:lang w:eastAsia="zh-CN"/>
        </w:rPr>
      </w:pPr>
      <w:r w:rsidRPr="00E72C55">
        <w:rPr>
          <w:rFonts w:asciiTheme="minorEastAsia" w:eastAsiaTheme="minorEastAsia" w:hAnsiTheme="minorEastAsia" w:cs="Times New Roman Regular" w:hint="eastAsia"/>
          <w:lang w:eastAsia="zh-CN"/>
        </w:rPr>
        <w:t>2026年2月</w:t>
      </w:r>
      <w:r w:rsidR="00D826FC" w:rsidRPr="00E72C55">
        <w:rPr>
          <w:rFonts w:asciiTheme="minorEastAsia" w:eastAsiaTheme="minorEastAsia" w:hAnsiTheme="minorEastAsia" w:cs="Times New Roman Regular" w:hint="eastAsia"/>
          <w:lang w:eastAsia="zh-CN"/>
        </w:rPr>
        <w:t>7</w:t>
      </w:r>
      <w:r w:rsidRPr="00E72C55">
        <w:rPr>
          <w:rFonts w:asciiTheme="minorEastAsia" w:eastAsiaTheme="minorEastAsia" w:hAnsiTheme="minorEastAsia" w:cs="Times New Roman Regular" w:hint="eastAsia"/>
          <w:lang w:eastAsia="zh-CN"/>
        </w:rPr>
        <w:t>日</w:t>
      </w:r>
    </w:p>
    <w:sectPr w:rsidR="00BF2807" w:rsidRPr="00E72C55">
      <w:footerReference w:type="default" r:id="rId7"/>
      <w:pgSz w:w="11906" w:h="16838"/>
      <w:pgMar w:top="1431" w:right="1741" w:bottom="1376" w:left="1785" w:header="0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1F0" w:rsidRDefault="00AD31F0">
      <w:r>
        <w:separator/>
      </w:r>
    </w:p>
  </w:endnote>
  <w:endnote w:type="continuationSeparator" w:id="0">
    <w:p w:rsidR="00AD31F0" w:rsidRDefault="00AD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07" w:rsidRDefault="00000000">
    <w:pPr>
      <w:spacing w:line="164" w:lineRule="auto"/>
      <w:ind w:left="4129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807" w:rsidRDefault="00000000">
                          <w:pPr>
                            <w:pStyle w:val="a4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F2807" w:rsidRDefault="00000000">
                    <w:pPr>
                      <w:pStyle w:val="a4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1F0" w:rsidRDefault="00AD31F0">
      <w:r>
        <w:separator/>
      </w:r>
    </w:p>
  </w:footnote>
  <w:footnote w:type="continuationSeparator" w:id="0">
    <w:p w:rsidR="00AD31F0" w:rsidRDefault="00AD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807"/>
    <w:rsid w:val="00091D0C"/>
    <w:rsid w:val="00312B14"/>
    <w:rsid w:val="00614227"/>
    <w:rsid w:val="00761357"/>
    <w:rsid w:val="00AD31F0"/>
    <w:rsid w:val="00BF0CD3"/>
    <w:rsid w:val="00BF2807"/>
    <w:rsid w:val="00CB05BC"/>
    <w:rsid w:val="00D826FC"/>
    <w:rsid w:val="00E72C55"/>
    <w:rsid w:val="3DF52D0B"/>
    <w:rsid w:val="3DFFC757"/>
    <w:rsid w:val="597B4D5A"/>
    <w:rsid w:val="6FFF1929"/>
    <w:rsid w:val="7EFFE529"/>
    <w:rsid w:val="7FDCC2CE"/>
    <w:rsid w:val="D957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53459"/>
  <w15:docId w15:val="{C6699590-3C8C-4D43-BDAA-0DD6603A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260</Characters>
  <Application>Microsoft Office Word</Application>
  <DocSecurity>0</DocSecurity>
  <Lines>12</Lines>
  <Paragraphs>6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成浩 杨</cp:lastModifiedBy>
  <cp:revision>4</cp:revision>
  <dcterms:created xsi:type="dcterms:W3CDTF">2026-01-24T18:43:00Z</dcterms:created>
  <dcterms:modified xsi:type="dcterms:W3CDTF">2026-02-06T06:38:00Z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2026-02-01T00:16:48Z</vt:filetime>
  </property>
  <property fmtid="{D5CDD505-2E9C-101B-9397-08002B2CF9AE}" pid="4" name="KSOProductBuildVer">
    <vt:lpwstr>2052-12.1.24709.24709</vt:lpwstr>
  </property>
  <property fmtid="{D5CDD505-2E9C-101B-9397-08002B2CF9AE}" pid="5" name="ICV">
    <vt:lpwstr>AF1D76141616950BAFBE806900DCBA4D_43</vt:lpwstr>
  </property>
</Properties>
</file>