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EB79A">
      <w:pPr>
        <w:pStyle w:val="2"/>
        <w:spacing w:line="480" w:lineRule="auto"/>
        <w:rPr>
          <w:rFonts w:hint="eastAsia" w:cs="Times New Roman Regular" w:asciiTheme="majorEastAsia" w:hAnsiTheme="majorEastAsia" w:eastAsiaTheme="majorEastAsia"/>
          <w:b/>
          <w:bCs/>
          <w:lang w:eastAsia="zh-CN"/>
        </w:rPr>
      </w:pPr>
      <w:r>
        <w:rPr>
          <w:rFonts w:cs="Times New Roman Regular" w:asciiTheme="majorEastAsia" w:hAnsiTheme="majorEastAsia" w:eastAsiaTheme="majorEastAsia"/>
          <w:b/>
          <w:bCs/>
          <w:spacing w:val="-7"/>
          <w:lang w:eastAsia="zh-CN"/>
        </w:rPr>
        <w:t>证券代码</w:t>
      </w:r>
      <w:r>
        <w:rPr>
          <w:rFonts w:hint="eastAsia" w:cs="Times New Roman Regular" w:asciiTheme="majorEastAsia" w:hAnsiTheme="majorEastAsia" w:eastAsiaTheme="majorEastAsia"/>
          <w:b/>
          <w:bCs/>
          <w:spacing w:val="-7"/>
          <w:lang w:eastAsia="zh-CN"/>
        </w:rPr>
        <w:t>：</w:t>
      </w:r>
      <w:r>
        <w:rPr>
          <w:rFonts w:cs="Times New Roman Regular" w:asciiTheme="majorEastAsia" w:hAnsiTheme="majorEastAsia" w:eastAsiaTheme="majorEastAsia"/>
          <w:b/>
          <w:bCs/>
          <w:spacing w:val="-7"/>
          <w:lang w:eastAsia="zh-CN"/>
        </w:rPr>
        <w:t xml:space="preserve">603191        </w:t>
      </w:r>
      <w:r>
        <w:rPr>
          <w:rFonts w:hint="eastAsia" w:cs="Times New Roman Regular" w:asciiTheme="majorEastAsia" w:hAnsiTheme="majorEastAsia" w:eastAsiaTheme="majorEastAsia"/>
          <w:b/>
          <w:bCs/>
          <w:spacing w:val="-7"/>
          <w:lang w:eastAsia="zh-CN"/>
        </w:rPr>
        <w:t xml:space="preserve"> </w:t>
      </w:r>
      <w:r>
        <w:rPr>
          <w:rFonts w:cs="Times New Roman Regular" w:asciiTheme="majorEastAsia" w:hAnsiTheme="majorEastAsia" w:eastAsiaTheme="majorEastAsia"/>
          <w:b/>
          <w:bCs/>
          <w:spacing w:val="-7"/>
          <w:lang w:eastAsia="zh-CN"/>
        </w:rPr>
        <w:t xml:space="preserve">  证券简称：望变电气    </w:t>
      </w:r>
      <w:r>
        <w:rPr>
          <w:rFonts w:hint="eastAsia" w:cs="Times New Roman Regular" w:asciiTheme="majorEastAsia" w:hAnsiTheme="majorEastAsia" w:eastAsiaTheme="majorEastAsia"/>
          <w:b/>
          <w:bCs/>
          <w:spacing w:val="-7"/>
          <w:lang w:eastAsia="zh-CN"/>
        </w:rPr>
        <w:t xml:space="preserve">  </w:t>
      </w:r>
      <w:r>
        <w:rPr>
          <w:rFonts w:cs="Times New Roman Regular" w:asciiTheme="majorEastAsia" w:hAnsiTheme="majorEastAsia" w:eastAsiaTheme="majorEastAsia"/>
          <w:b/>
          <w:bCs/>
          <w:spacing w:val="-7"/>
          <w:lang w:eastAsia="zh-CN"/>
        </w:rPr>
        <w:t xml:space="preserve">   </w:t>
      </w:r>
      <w:r>
        <w:rPr>
          <w:rFonts w:cs="Times New Roman Regular" w:asciiTheme="majorEastAsia" w:hAnsiTheme="majorEastAsia" w:eastAsiaTheme="majorEastAsia"/>
          <w:b/>
          <w:bCs/>
          <w:spacing w:val="-8"/>
          <w:lang w:eastAsia="zh-CN"/>
        </w:rPr>
        <w:t>公告编号：2026-</w:t>
      </w:r>
      <w:r>
        <w:rPr>
          <w:rFonts w:hint="eastAsia" w:cs="Times New Roman Regular" w:asciiTheme="majorEastAsia" w:hAnsiTheme="majorEastAsia" w:eastAsiaTheme="majorEastAsia"/>
          <w:b/>
          <w:bCs/>
          <w:spacing w:val="-8"/>
          <w:lang w:eastAsia="zh-CN"/>
        </w:rPr>
        <w:t>009</w:t>
      </w:r>
    </w:p>
    <w:p w14:paraId="34B26520">
      <w:pPr>
        <w:spacing w:line="360" w:lineRule="auto"/>
        <w:rPr>
          <w:rFonts w:hint="eastAsia" w:cs="Times New Roman Regular" w:asciiTheme="majorEastAsia" w:hAnsiTheme="majorEastAsia" w:eastAsiaTheme="majorEastAsia"/>
          <w:sz w:val="24"/>
          <w:szCs w:val="24"/>
          <w:lang w:eastAsia="zh-CN"/>
        </w:rPr>
      </w:pPr>
    </w:p>
    <w:p w14:paraId="05EDB1B4">
      <w:pPr>
        <w:pStyle w:val="2"/>
        <w:spacing w:line="360" w:lineRule="auto"/>
        <w:jc w:val="center"/>
        <w:rPr>
          <w:rFonts w:hint="eastAsia" w:cs="Times New Roman Regular" w:asciiTheme="majorEastAsia" w:hAnsiTheme="majorEastAsia" w:eastAsiaTheme="majorEastAsia"/>
          <w:sz w:val="36"/>
          <w:szCs w:val="36"/>
          <w:lang w:eastAsia="zh-CN"/>
        </w:rPr>
      </w:pPr>
      <w:r>
        <w:rPr>
          <w:rFonts w:cs="Times New Roman Regular" w:asciiTheme="majorEastAsia" w:hAnsiTheme="majorEastAsia" w:eastAsiaTheme="majorEastAsia"/>
          <w:b/>
          <w:bCs/>
          <w:color w:val="FF0000"/>
          <w:spacing w:val="6"/>
          <w:sz w:val="36"/>
          <w:szCs w:val="36"/>
          <w:lang w:eastAsia="zh-CN"/>
        </w:rPr>
        <w:t>重庆望变电气（集团）股份有限公司</w:t>
      </w:r>
    </w:p>
    <w:p w14:paraId="06241CF9">
      <w:pPr>
        <w:pStyle w:val="2"/>
        <w:spacing w:line="360" w:lineRule="auto"/>
        <w:jc w:val="center"/>
        <w:rPr>
          <w:rFonts w:hint="eastAsia" w:cs="Times New Roman Regular" w:asciiTheme="majorEastAsia" w:hAnsiTheme="majorEastAsia" w:eastAsiaTheme="majorEastAsia"/>
          <w:sz w:val="36"/>
          <w:szCs w:val="36"/>
          <w:lang w:eastAsia="zh-CN"/>
        </w:rPr>
      </w:pPr>
      <w:r>
        <w:rPr>
          <w:rFonts w:hint="eastAsia" w:cs="Times New Roman Regular" w:asciiTheme="majorEastAsia" w:hAnsiTheme="majorEastAsia" w:eastAsiaTheme="majorEastAsia"/>
          <w:b/>
          <w:bCs/>
          <w:color w:val="FF0000"/>
          <w:spacing w:val="6"/>
          <w:sz w:val="36"/>
          <w:szCs w:val="36"/>
          <w:lang w:eastAsia="zh-CN"/>
        </w:rPr>
        <w:t>关于与特定对象签订附条件生效的股份认购协议暨关联交易的</w:t>
      </w:r>
      <w:r>
        <w:rPr>
          <w:rFonts w:cs="Times New Roman Regular" w:asciiTheme="majorEastAsia" w:hAnsiTheme="majorEastAsia" w:eastAsiaTheme="majorEastAsia"/>
          <w:b/>
          <w:bCs/>
          <w:color w:val="FF0000"/>
          <w:spacing w:val="6"/>
          <w:sz w:val="36"/>
          <w:szCs w:val="36"/>
          <w:lang w:eastAsia="zh-CN"/>
        </w:rPr>
        <w:t>公告</w:t>
      </w:r>
    </w:p>
    <w:p w14:paraId="2A302261">
      <w:pPr>
        <w:spacing w:line="131" w:lineRule="exact"/>
        <w:rPr>
          <w:rFonts w:hint="eastAsia" w:cs="Times New Roman Regular" w:asciiTheme="majorEastAsia" w:hAnsiTheme="majorEastAsia" w:eastAsiaTheme="majorEastAsia"/>
          <w:lang w:eastAsia="zh-CN"/>
        </w:rPr>
      </w:pPr>
    </w:p>
    <w:tbl>
      <w:tblPr>
        <w:tblStyle w:val="8"/>
        <w:tblW w:w="847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79"/>
      </w:tblGrid>
      <w:tr w14:paraId="5A78249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62" w:hRule="atLeast"/>
        </w:trPr>
        <w:tc>
          <w:tcPr>
            <w:tcW w:w="8479" w:type="dxa"/>
          </w:tcPr>
          <w:p w14:paraId="33AE6F3C">
            <w:pPr>
              <w:spacing w:before="120" w:beforeLines="50" w:after="120" w:afterLines="50" w:line="360" w:lineRule="auto"/>
              <w:ind w:left="105" w:leftChars="50" w:right="105" w:rightChars="50" w:firstLine="476" w:firstLineChars="200"/>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pacing w:val="-1"/>
                <w:sz w:val="24"/>
                <w:szCs w:val="24"/>
                <w:lang w:eastAsia="zh-CN"/>
              </w:rPr>
              <w:t>本公司董事会</w:t>
            </w:r>
            <w:r>
              <w:rPr>
                <w:rFonts w:hint="eastAsia" w:cs="Times New Roman Regular" w:asciiTheme="majorEastAsia" w:hAnsiTheme="majorEastAsia" w:eastAsiaTheme="majorEastAsia"/>
                <w:spacing w:val="-1"/>
                <w:sz w:val="24"/>
                <w:szCs w:val="24"/>
                <w:lang w:eastAsia="zh-CN"/>
              </w:rPr>
              <w:t>及</w:t>
            </w:r>
            <w:r>
              <w:rPr>
                <w:rFonts w:cs="Times New Roman Regular" w:asciiTheme="majorEastAsia" w:hAnsiTheme="majorEastAsia" w:eastAsiaTheme="majorEastAsia"/>
                <w:spacing w:val="-1"/>
                <w:sz w:val="24"/>
                <w:szCs w:val="24"/>
                <w:lang w:eastAsia="zh-CN"/>
              </w:rPr>
              <w:t>全体董事保证本公告内容不存在任何虚假记载、</w:t>
            </w:r>
            <w:r>
              <w:rPr>
                <w:rFonts w:cs="Times New Roman Regular" w:asciiTheme="majorEastAsia" w:hAnsiTheme="majorEastAsia" w:eastAsiaTheme="majorEastAsia"/>
                <w:spacing w:val="-7"/>
                <w:sz w:val="24"/>
                <w:szCs w:val="24"/>
                <w:lang w:eastAsia="zh-CN"/>
              </w:rPr>
              <w:t>误导性陈述或者重大遗漏，并对其内容的真实性、准确性和</w:t>
            </w:r>
            <w:r>
              <w:rPr>
                <w:rFonts w:cs="Times New Roman Regular" w:asciiTheme="majorEastAsia" w:hAnsiTheme="majorEastAsia" w:eastAsiaTheme="majorEastAsia"/>
                <w:spacing w:val="-8"/>
                <w:sz w:val="24"/>
                <w:szCs w:val="24"/>
                <w:lang w:eastAsia="zh-CN"/>
              </w:rPr>
              <w:t>完整性承担法律责任。</w:t>
            </w:r>
          </w:p>
        </w:tc>
      </w:tr>
    </w:tbl>
    <w:p w14:paraId="5DD04E5A">
      <w:pPr>
        <w:spacing w:line="360" w:lineRule="auto"/>
        <w:ind w:firstLine="480" w:firstLineChars="200"/>
        <w:rPr>
          <w:rFonts w:hint="eastAsia" w:cs="Times New Roman Regular" w:asciiTheme="majorEastAsia" w:hAnsiTheme="majorEastAsia" w:eastAsiaTheme="majorEastAsia"/>
          <w:sz w:val="24"/>
          <w:szCs w:val="24"/>
          <w:lang w:eastAsia="zh-CN"/>
        </w:rPr>
      </w:pPr>
    </w:p>
    <w:p w14:paraId="0D89E828">
      <w:pPr>
        <w:spacing w:line="360" w:lineRule="auto"/>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重要内容提示：</w:t>
      </w:r>
    </w:p>
    <w:p w14:paraId="04DED593">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重庆望变电气（集团）股份有限公司</w:t>
      </w:r>
      <w:r>
        <w:rPr>
          <w:rFonts w:cs="Times New Roman Regular" w:asciiTheme="majorEastAsia" w:hAnsiTheme="majorEastAsia" w:eastAsiaTheme="majorEastAsia"/>
          <w:sz w:val="24"/>
          <w:szCs w:val="24"/>
          <w:lang w:eastAsia="zh-CN"/>
        </w:rPr>
        <w:t>（以下简称</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公司</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）拟向特定对象发行股票（以下简称</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本次发行</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或</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本次交易</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），公司控股股东</w:t>
      </w:r>
      <w:r>
        <w:rPr>
          <w:rFonts w:hint="eastAsia" w:cs="Times New Roman Regular" w:asciiTheme="majorEastAsia" w:hAnsiTheme="majorEastAsia" w:eastAsiaTheme="majorEastAsia"/>
          <w:sz w:val="24"/>
          <w:szCs w:val="24"/>
          <w:lang w:eastAsia="zh-CN"/>
        </w:rPr>
        <w:t>之一的杨泽民先生或其控制的企业</w:t>
      </w:r>
      <w:r>
        <w:rPr>
          <w:rFonts w:cs="Times New Roman Regular" w:asciiTheme="majorEastAsia" w:hAnsiTheme="majorEastAsia" w:eastAsiaTheme="majorEastAsia"/>
          <w:sz w:val="24"/>
          <w:szCs w:val="24"/>
          <w:lang w:eastAsia="zh-CN"/>
        </w:rPr>
        <w:t>拟全额认购本次发行的股票。</w:t>
      </w:r>
    </w:p>
    <w:p w14:paraId="2E2C8918">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本次交易构成关联交易，但不构成《上市公司重大资产重组管理办法》规定的重大资产重组。</w:t>
      </w:r>
    </w:p>
    <w:p w14:paraId="5FFAD574">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本次发行的相关议案已经公司第</w:t>
      </w:r>
      <w:r>
        <w:rPr>
          <w:rFonts w:hint="eastAsia" w:cs="Times New Roman Regular" w:asciiTheme="majorEastAsia" w:hAnsiTheme="majorEastAsia" w:eastAsiaTheme="majorEastAsia"/>
          <w:sz w:val="24"/>
          <w:szCs w:val="24"/>
          <w:lang w:eastAsia="zh-CN"/>
        </w:rPr>
        <w:t>四</w:t>
      </w:r>
      <w:r>
        <w:rPr>
          <w:rFonts w:cs="Times New Roman Regular" w:asciiTheme="majorEastAsia" w:hAnsiTheme="majorEastAsia" w:eastAsiaTheme="majorEastAsia"/>
          <w:sz w:val="24"/>
          <w:szCs w:val="24"/>
          <w:lang w:eastAsia="zh-CN"/>
        </w:rPr>
        <w:t>届董事会第</w:t>
      </w:r>
      <w:r>
        <w:rPr>
          <w:rFonts w:hint="eastAsia" w:cs="Times New Roman Regular" w:asciiTheme="majorEastAsia" w:hAnsiTheme="majorEastAsia" w:eastAsiaTheme="majorEastAsia"/>
          <w:sz w:val="24"/>
          <w:szCs w:val="24"/>
          <w:lang w:eastAsia="zh-CN"/>
        </w:rPr>
        <w:t>十七</w:t>
      </w:r>
      <w:r>
        <w:rPr>
          <w:rFonts w:cs="Times New Roman Regular" w:asciiTheme="majorEastAsia" w:hAnsiTheme="majorEastAsia" w:eastAsiaTheme="majorEastAsia"/>
          <w:sz w:val="24"/>
          <w:szCs w:val="24"/>
          <w:lang w:eastAsia="zh-CN"/>
        </w:rPr>
        <w:t>次会议审议通过，本次发行尚需公司股东会审议通过、上海证券交易所（以下简称</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上交所</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）审核通过及中国证券监督管理委员会（以下简称</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中国证监会</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）同意注册后方可实施，并以前述监管机构最终审批通过的方案为准，能否最终完成尚存在不确定性，请广大投资者注意风险。</w:t>
      </w:r>
    </w:p>
    <w:p w14:paraId="685DE293">
      <w:pPr>
        <w:spacing w:line="360" w:lineRule="auto"/>
        <w:ind w:firstLine="482" w:firstLineChars="200"/>
        <w:jc w:val="both"/>
        <w:rPr>
          <w:rFonts w:hint="eastAsia" w:cs="黑体" w:asciiTheme="majorEastAsia" w:hAnsiTheme="majorEastAsia" w:eastAsiaTheme="majorEastAsia"/>
          <w:b/>
          <w:bCs/>
          <w:sz w:val="24"/>
          <w:szCs w:val="24"/>
          <w:lang w:eastAsia="zh-CN"/>
        </w:rPr>
      </w:pPr>
      <w:r>
        <w:rPr>
          <w:rFonts w:hint="eastAsia" w:cs="黑体" w:asciiTheme="majorEastAsia" w:hAnsiTheme="majorEastAsia" w:eastAsiaTheme="majorEastAsia"/>
          <w:b/>
          <w:bCs/>
          <w:sz w:val="24"/>
          <w:szCs w:val="24"/>
          <w:lang w:eastAsia="zh-CN"/>
        </w:rPr>
        <w:t>一、关联交易概述</w:t>
      </w:r>
    </w:p>
    <w:p w14:paraId="6018A437">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202</w:t>
      </w:r>
      <w:r>
        <w:rPr>
          <w:rFonts w:hint="eastAsia" w:cs="Times New Roman Regular" w:asciiTheme="majorEastAsia" w:hAnsiTheme="majorEastAsia" w:eastAsiaTheme="majorEastAsia"/>
          <w:sz w:val="24"/>
          <w:szCs w:val="24"/>
          <w:lang w:eastAsia="zh-CN"/>
        </w:rPr>
        <w:t>6</w:t>
      </w:r>
      <w:r>
        <w:rPr>
          <w:rFonts w:cs="Times New Roman Regular" w:asciiTheme="majorEastAsia" w:hAnsiTheme="majorEastAsia" w:eastAsiaTheme="majorEastAsia"/>
          <w:sz w:val="24"/>
          <w:szCs w:val="24"/>
          <w:lang w:eastAsia="zh-CN"/>
        </w:rPr>
        <w:t>年</w:t>
      </w:r>
      <w:r>
        <w:rPr>
          <w:rFonts w:hint="eastAsia" w:cs="Times New Roman Regular" w:asciiTheme="majorEastAsia" w:hAnsiTheme="majorEastAsia" w:eastAsiaTheme="majorEastAsia"/>
          <w:sz w:val="24"/>
          <w:szCs w:val="24"/>
          <w:lang w:eastAsia="zh-CN"/>
        </w:rPr>
        <w:t>2</w:t>
      </w:r>
      <w:r>
        <w:rPr>
          <w:rFonts w:cs="Times New Roman Regular" w:asciiTheme="majorEastAsia" w:hAnsiTheme="majorEastAsia" w:eastAsiaTheme="majorEastAsia"/>
          <w:sz w:val="24"/>
          <w:szCs w:val="24"/>
          <w:lang w:eastAsia="zh-CN"/>
        </w:rPr>
        <w:t>月</w:t>
      </w:r>
      <w:r>
        <w:rPr>
          <w:rFonts w:hint="eastAsia" w:cs="Times New Roman Regular" w:asciiTheme="majorEastAsia" w:hAnsiTheme="majorEastAsia" w:eastAsiaTheme="majorEastAsia"/>
          <w:sz w:val="24"/>
          <w:szCs w:val="24"/>
          <w:lang w:eastAsia="zh-CN"/>
        </w:rPr>
        <w:t>6</w:t>
      </w:r>
      <w:r>
        <w:rPr>
          <w:rFonts w:cs="Times New Roman Regular" w:asciiTheme="majorEastAsia" w:hAnsiTheme="majorEastAsia" w:eastAsiaTheme="majorEastAsia"/>
          <w:sz w:val="24"/>
          <w:szCs w:val="24"/>
          <w:lang w:eastAsia="zh-CN"/>
        </w:rPr>
        <w:t>日，公司第</w:t>
      </w:r>
      <w:r>
        <w:rPr>
          <w:rFonts w:hint="eastAsia" w:cs="Times New Roman Regular" w:asciiTheme="majorEastAsia" w:hAnsiTheme="majorEastAsia" w:eastAsiaTheme="majorEastAsia"/>
          <w:sz w:val="24"/>
          <w:szCs w:val="24"/>
          <w:lang w:eastAsia="zh-CN"/>
        </w:rPr>
        <w:t>四</w:t>
      </w:r>
      <w:r>
        <w:rPr>
          <w:rFonts w:cs="Times New Roman Regular" w:asciiTheme="majorEastAsia" w:hAnsiTheme="majorEastAsia" w:eastAsiaTheme="majorEastAsia"/>
          <w:sz w:val="24"/>
          <w:szCs w:val="24"/>
          <w:lang w:eastAsia="zh-CN"/>
        </w:rPr>
        <w:t>届董事会第</w:t>
      </w:r>
      <w:r>
        <w:rPr>
          <w:rFonts w:hint="eastAsia" w:cs="Times New Roman Regular" w:asciiTheme="majorEastAsia" w:hAnsiTheme="majorEastAsia" w:eastAsiaTheme="majorEastAsia"/>
          <w:sz w:val="24"/>
          <w:szCs w:val="24"/>
          <w:lang w:eastAsia="zh-CN"/>
        </w:rPr>
        <w:t>十七次</w:t>
      </w:r>
      <w:r>
        <w:rPr>
          <w:rFonts w:cs="Times New Roman Regular" w:asciiTheme="majorEastAsia" w:hAnsiTheme="majorEastAsia" w:eastAsiaTheme="majorEastAsia"/>
          <w:sz w:val="24"/>
          <w:szCs w:val="24"/>
          <w:lang w:eastAsia="zh-CN"/>
        </w:rPr>
        <w:t>会议审议通过了《关于公司符合向特定对象发行股票条件的议案》《关于公司向特定对象发行股票方案的议案》《关于公司向特定对象发行股票预案的议案》等议案，本次发行对象为杨泽民先生或其控制的企业，杨泽民先生或其控制的企业</w:t>
      </w:r>
      <w:r>
        <w:rPr>
          <w:rFonts w:hint="eastAsia" w:cs="Times New Roman Regular" w:asciiTheme="majorEastAsia" w:hAnsiTheme="majorEastAsia" w:eastAsiaTheme="majorEastAsia"/>
          <w:sz w:val="24"/>
          <w:szCs w:val="24"/>
          <w:lang w:eastAsia="zh-CN"/>
        </w:rPr>
        <w:t>同意</w:t>
      </w:r>
      <w:r>
        <w:rPr>
          <w:rFonts w:cs="Times New Roman Regular" w:asciiTheme="majorEastAsia" w:hAnsiTheme="majorEastAsia" w:eastAsiaTheme="majorEastAsia"/>
          <w:sz w:val="24"/>
          <w:szCs w:val="24"/>
          <w:lang w:eastAsia="zh-CN"/>
        </w:rPr>
        <w:t>以现金方式全额认购本次发行的股票，拟认购数量为19,493,177股</w:t>
      </w:r>
      <w:r>
        <w:rPr>
          <w:rFonts w:hint="eastAsia" w:cs="Times New Roman Regular" w:asciiTheme="majorEastAsia" w:hAnsiTheme="majorEastAsia" w:eastAsiaTheme="majorEastAsia"/>
          <w:sz w:val="24"/>
          <w:szCs w:val="24"/>
          <w:lang w:eastAsia="zh-CN"/>
        </w:rPr>
        <w:t>，拟认购金额为30,000.00万元</w:t>
      </w:r>
      <w:r>
        <w:rPr>
          <w:rFonts w:cs="Times New Roman Regular" w:asciiTheme="majorEastAsia" w:hAnsiTheme="majorEastAsia" w:eastAsiaTheme="majorEastAsia"/>
          <w:sz w:val="24"/>
          <w:szCs w:val="24"/>
          <w:lang w:eastAsia="zh-CN"/>
        </w:rPr>
        <w:t>。本次发行的具体发行方案详见公司同日刊载在上交所网站（www.sse.com.cn）的《</w:t>
      </w:r>
      <w:r>
        <w:rPr>
          <w:rFonts w:hint="eastAsia" w:cs="Times New Roman Regular" w:asciiTheme="majorEastAsia" w:hAnsiTheme="majorEastAsia" w:eastAsiaTheme="majorEastAsia"/>
          <w:sz w:val="24"/>
          <w:szCs w:val="24"/>
          <w:lang w:eastAsia="zh-CN"/>
        </w:rPr>
        <w:t>重庆望变电气（集团）股份有限公司</w:t>
      </w:r>
      <w:r>
        <w:rPr>
          <w:rFonts w:cs="Times New Roman Regular" w:asciiTheme="majorEastAsia" w:hAnsiTheme="majorEastAsia" w:eastAsiaTheme="majorEastAsia"/>
          <w:sz w:val="24"/>
          <w:szCs w:val="24"/>
          <w:lang w:eastAsia="zh-CN"/>
        </w:rPr>
        <w:t>向特定对象发行股票预案》及相关公告。</w:t>
      </w:r>
    </w:p>
    <w:p w14:paraId="4BA63F24">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同日，公司就本次发行事项与杨泽民先生签署了《附条件生效的股份认购协议》。</w:t>
      </w:r>
    </w:p>
    <w:p w14:paraId="27C8652F">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本次发行尚需公司股东会审议通过、上交所审核通过及中国证监会同意注册后方可实施，并以前述监管机构最终审批通过的方案为准。</w:t>
      </w:r>
    </w:p>
    <w:p w14:paraId="51FACF36">
      <w:pPr>
        <w:spacing w:line="360" w:lineRule="auto"/>
        <w:ind w:firstLine="482" w:firstLineChars="200"/>
        <w:jc w:val="both"/>
        <w:rPr>
          <w:rFonts w:hint="eastAsia" w:cs="黑体" w:asciiTheme="majorEastAsia" w:hAnsiTheme="majorEastAsia" w:eastAsiaTheme="majorEastAsia"/>
          <w:b/>
          <w:bCs/>
          <w:sz w:val="24"/>
          <w:szCs w:val="24"/>
          <w:lang w:eastAsia="zh-CN"/>
        </w:rPr>
      </w:pPr>
      <w:r>
        <w:rPr>
          <w:rFonts w:cs="黑体" w:asciiTheme="majorEastAsia" w:hAnsiTheme="majorEastAsia" w:eastAsiaTheme="majorEastAsia"/>
          <w:b/>
          <w:bCs/>
          <w:sz w:val="24"/>
          <w:szCs w:val="24"/>
          <w:lang w:eastAsia="zh-CN"/>
        </w:rPr>
        <w:t>二、关联方介绍</w:t>
      </w:r>
    </w:p>
    <w:p w14:paraId="33AEDC92">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（一）关联关系介绍</w:t>
      </w:r>
    </w:p>
    <w:p w14:paraId="7C58CCD5">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截至本公告日，</w:t>
      </w:r>
      <w:r>
        <w:rPr>
          <w:rFonts w:hint="eastAsia" w:cs="Times New Roman Regular" w:asciiTheme="majorEastAsia" w:hAnsiTheme="majorEastAsia" w:eastAsiaTheme="majorEastAsia"/>
          <w:sz w:val="24"/>
          <w:szCs w:val="24"/>
          <w:lang w:eastAsia="zh-CN"/>
        </w:rPr>
        <w:t>杨泽民先生为公司控股股东、实际控制人之一，本次发行前，杨泽民先生及其一致行动人</w:t>
      </w:r>
      <w:r>
        <w:rPr>
          <w:rFonts w:cs="Times New Roman Regular" w:asciiTheme="majorEastAsia" w:hAnsiTheme="majorEastAsia" w:eastAsiaTheme="majorEastAsia"/>
          <w:sz w:val="24"/>
          <w:szCs w:val="24"/>
          <w:lang w:eastAsia="zh-CN"/>
        </w:rPr>
        <w:t>持有公司131,744,985</w:t>
      </w:r>
      <w:r>
        <w:rPr>
          <w:rFonts w:hint="eastAsia" w:cs="Times New Roman Regular" w:asciiTheme="majorEastAsia" w:hAnsiTheme="majorEastAsia" w:eastAsiaTheme="majorEastAsia"/>
          <w:sz w:val="24"/>
          <w:szCs w:val="24"/>
          <w:lang w:eastAsia="zh-CN"/>
        </w:rPr>
        <w:t>股股份</w:t>
      </w:r>
      <w:r>
        <w:rPr>
          <w:rFonts w:cs="Times New Roman Regular" w:asciiTheme="majorEastAsia" w:hAnsiTheme="majorEastAsia" w:eastAsiaTheme="majorEastAsia"/>
          <w:sz w:val="24"/>
          <w:szCs w:val="24"/>
          <w:lang w:eastAsia="zh-CN"/>
        </w:rPr>
        <w:t>、占公司总股本的39.64%。</w:t>
      </w:r>
      <w:r>
        <w:rPr>
          <w:rFonts w:hint="eastAsia" w:cs="Times New Roman Regular" w:asciiTheme="majorEastAsia" w:hAnsiTheme="majorEastAsia" w:eastAsiaTheme="majorEastAsia"/>
          <w:sz w:val="24"/>
          <w:szCs w:val="24"/>
          <w:lang w:eastAsia="zh-CN"/>
        </w:rPr>
        <w:t>本次发行完成后，杨泽民先生及其一致行动人持有公司股份比例将提升至</w:t>
      </w:r>
      <w:r>
        <w:rPr>
          <w:rFonts w:cs="Times New Roman Regular" w:asciiTheme="majorEastAsia" w:hAnsiTheme="majorEastAsia" w:eastAsiaTheme="majorEastAsia"/>
          <w:sz w:val="24"/>
          <w:szCs w:val="24"/>
          <w:lang w:eastAsia="zh-CN"/>
        </w:rPr>
        <w:t>42.98%</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根据《上海证券交易所股票上市规则》相关规定，</w:t>
      </w:r>
      <w:r>
        <w:rPr>
          <w:rFonts w:hint="eastAsia" w:cs="Times New Roman Regular" w:asciiTheme="majorEastAsia" w:hAnsiTheme="majorEastAsia" w:eastAsiaTheme="majorEastAsia"/>
          <w:sz w:val="24"/>
          <w:szCs w:val="24"/>
          <w:lang w:eastAsia="zh-CN"/>
        </w:rPr>
        <w:t>杨泽民先生为公司的关联自然人，</w:t>
      </w:r>
      <w:r>
        <w:rPr>
          <w:rFonts w:cs="Times New Roman Regular" w:asciiTheme="majorEastAsia" w:hAnsiTheme="majorEastAsia" w:eastAsiaTheme="majorEastAsia"/>
          <w:sz w:val="24"/>
          <w:szCs w:val="24"/>
          <w:lang w:eastAsia="zh-CN"/>
        </w:rPr>
        <w:t>本次交易构成关联交易。</w:t>
      </w:r>
    </w:p>
    <w:p w14:paraId="451610D7">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（二）关联方基本情况</w:t>
      </w:r>
    </w:p>
    <w:p w14:paraId="225C1253">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杨泽民先生基本情况如下：</w:t>
      </w:r>
    </w:p>
    <w:p w14:paraId="7C8A9641">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杨泽民，男，中国国籍，无境外永久居留权，身份证号：51022119670201****。1967年出生，EMBA。1983年3月至1984年11月，在长寿县制糖厂担任业务员；1984年12月至1985年7月，在长寿养鸡场担任团支部书记、车间主任；1985年8月至1993年12月，在重庆市长寿长江变压器厂担任车间主任、销售主管；1994年8月至2009年11月，在重庆望江变压器厂担任厂长；2009年11月至2014年12月，在重庆望江变压器厂有限公司担任执行董事、总经理；2014年12月至今，在公司担任董事长、总经理，全面统筹公司战略及经营管理工作。</w:t>
      </w:r>
    </w:p>
    <w:p w14:paraId="11BC7849">
      <w:pPr>
        <w:numPr>
          <w:ilvl w:val="0"/>
          <w:numId w:val="1"/>
        </w:num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最近五年主要任职情况</w:t>
      </w:r>
    </w:p>
    <w:p w14:paraId="22C801B4">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截至本公告日，杨泽民先生最近五年主要任职情况如下：</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2068"/>
        <w:gridCol w:w="3963"/>
        <w:gridCol w:w="2499"/>
      </w:tblGrid>
      <w:tr w14:paraId="535A4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tblHeader/>
        </w:trPr>
        <w:tc>
          <w:tcPr>
            <w:tcW w:w="1212" w:type="pct"/>
            <w:shd w:val="clear" w:color="auto" w:fill="FFFFFF"/>
            <w:tcMar>
              <w:top w:w="75" w:type="dxa"/>
              <w:left w:w="75" w:type="dxa"/>
              <w:bottom w:w="75" w:type="dxa"/>
              <w:right w:w="75" w:type="dxa"/>
            </w:tcMar>
            <w:vAlign w:val="center"/>
          </w:tcPr>
          <w:p w14:paraId="367B45C7">
            <w:pPr>
              <w:wordWrap w:val="0"/>
              <w:jc w:val="center"/>
              <w:rPr>
                <w:rFonts w:hint="eastAsia" w:cs="Times New Roman Regular" w:asciiTheme="majorEastAsia" w:hAnsiTheme="majorEastAsia" w:eastAsiaTheme="majorEastAsia"/>
                <w:b/>
                <w:color w:val="333333"/>
              </w:rPr>
            </w:pPr>
            <w:r>
              <w:rPr>
                <w:rFonts w:cs="Times New Roman Regular" w:asciiTheme="majorEastAsia" w:hAnsiTheme="majorEastAsia" w:eastAsiaTheme="majorEastAsia"/>
                <w:b/>
                <w:color w:val="333333"/>
              </w:rPr>
              <w:t>起止日期</w:t>
            </w:r>
          </w:p>
        </w:tc>
        <w:tc>
          <w:tcPr>
            <w:tcW w:w="2323" w:type="pct"/>
            <w:shd w:val="clear" w:color="auto" w:fill="FFFFFF"/>
            <w:tcMar>
              <w:top w:w="75" w:type="dxa"/>
              <w:left w:w="75" w:type="dxa"/>
              <w:bottom w:w="75" w:type="dxa"/>
              <w:right w:w="75" w:type="dxa"/>
            </w:tcMar>
            <w:vAlign w:val="center"/>
          </w:tcPr>
          <w:p w14:paraId="2B7F5184">
            <w:pPr>
              <w:wordWrap w:val="0"/>
              <w:jc w:val="center"/>
              <w:rPr>
                <w:rFonts w:hint="eastAsia" w:cs="Times New Roman Regular" w:asciiTheme="majorEastAsia" w:hAnsiTheme="majorEastAsia" w:eastAsiaTheme="majorEastAsia"/>
                <w:b/>
                <w:color w:val="333333"/>
              </w:rPr>
            </w:pPr>
            <w:r>
              <w:rPr>
                <w:rFonts w:cs="Times New Roman Regular" w:asciiTheme="majorEastAsia" w:hAnsiTheme="majorEastAsia" w:eastAsiaTheme="majorEastAsia"/>
                <w:b/>
                <w:color w:val="333333"/>
              </w:rPr>
              <w:t>任职单位名称</w:t>
            </w:r>
          </w:p>
        </w:tc>
        <w:tc>
          <w:tcPr>
            <w:tcW w:w="1465" w:type="pct"/>
            <w:shd w:val="clear" w:color="auto" w:fill="FFFFFF"/>
            <w:tcMar>
              <w:top w:w="75" w:type="dxa"/>
              <w:left w:w="75" w:type="dxa"/>
              <w:bottom w:w="75" w:type="dxa"/>
              <w:right w:w="75" w:type="dxa"/>
            </w:tcMar>
            <w:vAlign w:val="center"/>
          </w:tcPr>
          <w:p w14:paraId="3A41ED72">
            <w:pPr>
              <w:wordWrap w:val="0"/>
              <w:jc w:val="center"/>
              <w:rPr>
                <w:rFonts w:hint="eastAsia" w:cs="Times New Roman Regular" w:asciiTheme="majorEastAsia" w:hAnsiTheme="majorEastAsia" w:eastAsiaTheme="majorEastAsia"/>
                <w:b/>
                <w:color w:val="333333"/>
              </w:rPr>
            </w:pPr>
            <w:r>
              <w:rPr>
                <w:rFonts w:cs="Times New Roman Regular" w:asciiTheme="majorEastAsia" w:hAnsiTheme="majorEastAsia" w:eastAsiaTheme="majorEastAsia"/>
                <w:b/>
                <w:color w:val="333333"/>
              </w:rPr>
              <w:t>所任职务</w:t>
            </w:r>
          </w:p>
        </w:tc>
      </w:tr>
      <w:tr w14:paraId="6E720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trPr>
        <w:tc>
          <w:tcPr>
            <w:tcW w:w="1212" w:type="pct"/>
            <w:shd w:val="clear" w:color="auto" w:fill="FFFFFF"/>
            <w:tcMar>
              <w:top w:w="75" w:type="dxa"/>
              <w:left w:w="75" w:type="dxa"/>
              <w:bottom w:w="75" w:type="dxa"/>
              <w:right w:w="75" w:type="dxa"/>
            </w:tcMar>
            <w:vAlign w:val="center"/>
          </w:tcPr>
          <w:p w14:paraId="75F89DF7">
            <w:pPr>
              <w:wordWrap w:val="0"/>
              <w:jc w:val="center"/>
              <w:rPr>
                <w:rFonts w:hint="eastAsia" w:cs="Times New Roman Regular" w:asciiTheme="majorEastAsia" w:hAnsiTheme="majorEastAsia" w:eastAsiaTheme="majorEastAsia"/>
                <w:color w:val="333333"/>
                <w:lang w:eastAsia="zh-CN"/>
              </w:rPr>
            </w:pPr>
            <w:r>
              <w:rPr>
                <w:rFonts w:cs="Times New Roman Regular" w:asciiTheme="majorEastAsia" w:hAnsiTheme="majorEastAsia" w:eastAsiaTheme="majorEastAsia"/>
                <w:color w:val="333333"/>
              </w:rPr>
              <w:t>2002年11月至今</w:t>
            </w:r>
          </w:p>
        </w:tc>
        <w:tc>
          <w:tcPr>
            <w:tcW w:w="2323" w:type="pct"/>
            <w:shd w:val="clear" w:color="auto" w:fill="FFFFFF"/>
            <w:tcMar>
              <w:top w:w="75" w:type="dxa"/>
              <w:left w:w="75" w:type="dxa"/>
              <w:bottom w:w="75" w:type="dxa"/>
              <w:right w:w="75" w:type="dxa"/>
            </w:tcMar>
            <w:vAlign w:val="center"/>
          </w:tcPr>
          <w:p w14:paraId="398AED97">
            <w:pPr>
              <w:wordWrap w:val="0"/>
              <w:jc w:val="center"/>
              <w:rPr>
                <w:rFonts w:hint="eastAsia" w:cs="Times New Roman Regular" w:asciiTheme="majorEastAsia" w:hAnsiTheme="majorEastAsia" w:eastAsiaTheme="majorEastAsia"/>
                <w:color w:val="333333"/>
                <w:lang w:eastAsia="zh-CN"/>
              </w:rPr>
            </w:pPr>
            <w:r>
              <w:rPr>
                <w:rFonts w:cs="Times New Roman Regular" w:asciiTheme="majorEastAsia" w:hAnsiTheme="majorEastAsia" w:eastAsiaTheme="majorEastAsia"/>
                <w:color w:val="333333"/>
                <w:lang w:eastAsia="zh-CN"/>
              </w:rPr>
              <w:t>重庆惠泽电器有限公司</w:t>
            </w:r>
          </w:p>
        </w:tc>
        <w:tc>
          <w:tcPr>
            <w:tcW w:w="1465" w:type="pct"/>
            <w:shd w:val="clear" w:color="auto" w:fill="FFFFFF"/>
            <w:tcMar>
              <w:top w:w="75" w:type="dxa"/>
              <w:left w:w="75" w:type="dxa"/>
              <w:bottom w:w="75" w:type="dxa"/>
              <w:right w:w="75" w:type="dxa"/>
            </w:tcMar>
            <w:vAlign w:val="center"/>
          </w:tcPr>
          <w:p w14:paraId="32310CB3">
            <w:pPr>
              <w:wordWrap w:val="0"/>
              <w:jc w:val="center"/>
              <w:rPr>
                <w:rFonts w:hint="eastAsia" w:cs="Times New Roman Regular" w:asciiTheme="majorEastAsia" w:hAnsiTheme="majorEastAsia" w:eastAsiaTheme="majorEastAsia"/>
                <w:color w:val="333333"/>
              </w:rPr>
            </w:pPr>
            <w:r>
              <w:rPr>
                <w:rFonts w:cs="Times New Roman Regular" w:asciiTheme="majorEastAsia" w:hAnsiTheme="majorEastAsia" w:eastAsiaTheme="majorEastAsia"/>
                <w:color w:val="333333"/>
              </w:rPr>
              <w:t>总经理</w:t>
            </w:r>
          </w:p>
        </w:tc>
      </w:tr>
      <w:tr w14:paraId="589BE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trPr>
        <w:tc>
          <w:tcPr>
            <w:tcW w:w="1212" w:type="pct"/>
            <w:shd w:val="clear" w:color="auto" w:fill="FFFFFF"/>
            <w:tcMar>
              <w:top w:w="75" w:type="dxa"/>
              <w:left w:w="75" w:type="dxa"/>
              <w:bottom w:w="75" w:type="dxa"/>
              <w:right w:w="75" w:type="dxa"/>
            </w:tcMar>
            <w:vAlign w:val="center"/>
          </w:tcPr>
          <w:p w14:paraId="34501CFB">
            <w:pPr>
              <w:wordWrap w:val="0"/>
              <w:jc w:val="center"/>
              <w:rPr>
                <w:rFonts w:hint="eastAsia" w:cs="Times New Roman Regular" w:asciiTheme="majorEastAsia" w:hAnsiTheme="majorEastAsia" w:eastAsiaTheme="majorEastAsia"/>
                <w:color w:val="333333"/>
              </w:rPr>
            </w:pPr>
            <w:r>
              <w:rPr>
                <w:rFonts w:cs="Times New Roman Regular" w:asciiTheme="majorEastAsia" w:hAnsiTheme="majorEastAsia" w:eastAsiaTheme="majorEastAsia"/>
                <w:color w:val="333333"/>
              </w:rPr>
              <w:t>2014年12月至今</w:t>
            </w:r>
          </w:p>
        </w:tc>
        <w:tc>
          <w:tcPr>
            <w:tcW w:w="2323" w:type="pct"/>
            <w:shd w:val="clear" w:color="auto" w:fill="FFFFFF"/>
            <w:tcMar>
              <w:top w:w="75" w:type="dxa"/>
              <w:left w:w="75" w:type="dxa"/>
              <w:bottom w:w="75" w:type="dxa"/>
              <w:right w:w="75" w:type="dxa"/>
            </w:tcMar>
            <w:vAlign w:val="center"/>
          </w:tcPr>
          <w:p w14:paraId="57C27044">
            <w:pPr>
              <w:wordWrap w:val="0"/>
              <w:jc w:val="center"/>
              <w:rPr>
                <w:rFonts w:hint="eastAsia" w:cs="Times New Roman Regular" w:asciiTheme="majorEastAsia" w:hAnsiTheme="majorEastAsia" w:eastAsiaTheme="majorEastAsia"/>
                <w:color w:val="333333"/>
                <w:lang w:eastAsia="zh-CN"/>
              </w:rPr>
            </w:pPr>
            <w:r>
              <w:rPr>
                <w:rFonts w:cs="Times New Roman Regular" w:asciiTheme="majorEastAsia" w:hAnsiTheme="majorEastAsia" w:eastAsiaTheme="majorEastAsia"/>
                <w:color w:val="333333"/>
                <w:lang w:eastAsia="zh-CN"/>
              </w:rPr>
              <w:t>重庆望变电气（集团）股份有限公司</w:t>
            </w:r>
          </w:p>
        </w:tc>
        <w:tc>
          <w:tcPr>
            <w:tcW w:w="1465" w:type="pct"/>
            <w:shd w:val="clear" w:color="auto" w:fill="FFFFFF"/>
            <w:tcMar>
              <w:top w:w="75" w:type="dxa"/>
              <w:left w:w="75" w:type="dxa"/>
              <w:bottom w:w="75" w:type="dxa"/>
              <w:right w:w="75" w:type="dxa"/>
            </w:tcMar>
            <w:vAlign w:val="center"/>
          </w:tcPr>
          <w:p w14:paraId="0D51A433">
            <w:pPr>
              <w:wordWrap w:val="0"/>
              <w:jc w:val="center"/>
              <w:rPr>
                <w:rFonts w:hint="eastAsia" w:cs="Times New Roman Regular" w:asciiTheme="majorEastAsia" w:hAnsiTheme="majorEastAsia" w:eastAsiaTheme="majorEastAsia"/>
                <w:color w:val="333333"/>
              </w:rPr>
            </w:pPr>
            <w:r>
              <w:rPr>
                <w:rFonts w:cs="Times New Roman Regular" w:asciiTheme="majorEastAsia" w:hAnsiTheme="majorEastAsia" w:eastAsiaTheme="majorEastAsia"/>
                <w:color w:val="333333"/>
              </w:rPr>
              <w:t>董事长、总经理</w:t>
            </w:r>
          </w:p>
        </w:tc>
      </w:tr>
      <w:tr w14:paraId="584FF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trPr>
        <w:tc>
          <w:tcPr>
            <w:tcW w:w="1212" w:type="pct"/>
            <w:shd w:val="clear" w:color="auto" w:fill="FFFFFF"/>
            <w:tcMar>
              <w:top w:w="75" w:type="dxa"/>
              <w:left w:w="75" w:type="dxa"/>
              <w:bottom w:w="75" w:type="dxa"/>
              <w:right w:w="75" w:type="dxa"/>
            </w:tcMar>
            <w:vAlign w:val="center"/>
          </w:tcPr>
          <w:p w14:paraId="25EB5236">
            <w:pPr>
              <w:wordWrap w:val="0"/>
              <w:jc w:val="center"/>
              <w:rPr>
                <w:rFonts w:hint="eastAsia" w:cs="Times New Roman Regular" w:asciiTheme="majorEastAsia" w:hAnsiTheme="majorEastAsia" w:eastAsiaTheme="majorEastAsia"/>
                <w:color w:val="333333"/>
              </w:rPr>
            </w:pPr>
            <w:r>
              <w:rPr>
                <w:rFonts w:cs="Times New Roman Regular" w:asciiTheme="majorEastAsia" w:hAnsiTheme="majorEastAsia" w:eastAsiaTheme="majorEastAsia"/>
                <w:color w:val="333333"/>
              </w:rPr>
              <w:t>2016年4月至今</w:t>
            </w:r>
          </w:p>
        </w:tc>
        <w:tc>
          <w:tcPr>
            <w:tcW w:w="2323" w:type="pct"/>
            <w:shd w:val="clear" w:color="auto" w:fill="FFFFFF"/>
            <w:tcMar>
              <w:top w:w="75" w:type="dxa"/>
              <w:left w:w="75" w:type="dxa"/>
              <w:bottom w:w="75" w:type="dxa"/>
              <w:right w:w="75" w:type="dxa"/>
            </w:tcMar>
            <w:vAlign w:val="center"/>
          </w:tcPr>
          <w:p w14:paraId="4AD8B9FA">
            <w:pPr>
              <w:wordWrap w:val="0"/>
              <w:jc w:val="center"/>
              <w:rPr>
                <w:rFonts w:hint="eastAsia" w:cs="Times New Roman Regular" w:asciiTheme="majorEastAsia" w:hAnsiTheme="majorEastAsia" w:eastAsiaTheme="majorEastAsia"/>
                <w:color w:val="333333"/>
                <w:lang w:eastAsia="zh-CN"/>
              </w:rPr>
            </w:pPr>
            <w:r>
              <w:rPr>
                <w:rFonts w:cs="Times New Roman Regular" w:asciiTheme="majorEastAsia" w:hAnsiTheme="majorEastAsia" w:eastAsiaTheme="majorEastAsia"/>
                <w:color w:val="333333"/>
                <w:lang w:eastAsia="zh-CN"/>
              </w:rPr>
              <w:t>重庆能投长寿经开区售电有限公司</w:t>
            </w:r>
          </w:p>
        </w:tc>
        <w:tc>
          <w:tcPr>
            <w:tcW w:w="1465" w:type="pct"/>
            <w:shd w:val="clear" w:color="auto" w:fill="FFFFFF"/>
            <w:tcMar>
              <w:top w:w="75" w:type="dxa"/>
              <w:left w:w="75" w:type="dxa"/>
              <w:bottom w:w="75" w:type="dxa"/>
              <w:right w:w="75" w:type="dxa"/>
            </w:tcMar>
            <w:vAlign w:val="center"/>
          </w:tcPr>
          <w:p w14:paraId="49765A4D">
            <w:pPr>
              <w:wordWrap w:val="0"/>
              <w:jc w:val="center"/>
              <w:rPr>
                <w:rFonts w:hint="eastAsia" w:cs="Times New Roman Regular" w:asciiTheme="majorEastAsia" w:hAnsiTheme="majorEastAsia" w:eastAsiaTheme="majorEastAsia"/>
                <w:color w:val="333333"/>
              </w:rPr>
            </w:pPr>
            <w:r>
              <w:rPr>
                <w:rFonts w:cs="Times New Roman Regular" w:asciiTheme="majorEastAsia" w:hAnsiTheme="majorEastAsia" w:eastAsiaTheme="majorEastAsia"/>
                <w:color w:val="333333"/>
              </w:rPr>
              <w:t>董事</w:t>
            </w:r>
          </w:p>
        </w:tc>
      </w:tr>
      <w:tr w14:paraId="3085E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trPr>
        <w:tc>
          <w:tcPr>
            <w:tcW w:w="1212" w:type="pct"/>
            <w:shd w:val="clear" w:color="auto" w:fill="FFFFFF"/>
            <w:tcMar>
              <w:top w:w="75" w:type="dxa"/>
              <w:left w:w="75" w:type="dxa"/>
              <w:bottom w:w="75" w:type="dxa"/>
              <w:right w:w="75" w:type="dxa"/>
            </w:tcMar>
            <w:vAlign w:val="center"/>
          </w:tcPr>
          <w:p w14:paraId="70E0621B">
            <w:pPr>
              <w:wordWrap w:val="0"/>
              <w:jc w:val="center"/>
              <w:rPr>
                <w:rFonts w:hint="eastAsia" w:cs="Times New Roman Regular" w:asciiTheme="majorEastAsia" w:hAnsiTheme="majorEastAsia" w:eastAsiaTheme="majorEastAsia"/>
                <w:color w:val="333333"/>
              </w:rPr>
            </w:pPr>
            <w:r>
              <w:rPr>
                <w:rFonts w:cs="Times New Roman Regular" w:asciiTheme="majorEastAsia" w:hAnsiTheme="majorEastAsia" w:eastAsiaTheme="majorEastAsia"/>
                <w:color w:val="333333"/>
              </w:rPr>
              <w:t>2026年1月至今</w:t>
            </w:r>
          </w:p>
        </w:tc>
        <w:tc>
          <w:tcPr>
            <w:tcW w:w="2323" w:type="pct"/>
            <w:shd w:val="clear" w:color="auto" w:fill="FFFFFF"/>
            <w:tcMar>
              <w:top w:w="75" w:type="dxa"/>
              <w:left w:w="75" w:type="dxa"/>
              <w:bottom w:w="75" w:type="dxa"/>
              <w:right w:w="75" w:type="dxa"/>
            </w:tcMar>
            <w:vAlign w:val="center"/>
          </w:tcPr>
          <w:p w14:paraId="1787DEF9">
            <w:pPr>
              <w:wordWrap w:val="0"/>
              <w:jc w:val="center"/>
              <w:rPr>
                <w:rFonts w:hint="eastAsia" w:cs="Times New Roman Regular" w:asciiTheme="majorEastAsia" w:hAnsiTheme="majorEastAsia" w:eastAsiaTheme="majorEastAsia"/>
                <w:color w:val="333333"/>
                <w:lang w:eastAsia="zh-CN"/>
              </w:rPr>
            </w:pPr>
            <w:r>
              <w:rPr>
                <w:rFonts w:cs="Times New Roman Regular" w:asciiTheme="majorEastAsia" w:hAnsiTheme="majorEastAsia" w:eastAsiaTheme="majorEastAsia"/>
                <w:color w:val="333333"/>
                <w:lang w:eastAsia="zh-CN"/>
              </w:rPr>
              <w:t>重庆望来电智能装备科技有限公司</w:t>
            </w:r>
          </w:p>
        </w:tc>
        <w:tc>
          <w:tcPr>
            <w:tcW w:w="1465" w:type="pct"/>
            <w:shd w:val="clear" w:color="auto" w:fill="FFFFFF"/>
            <w:tcMar>
              <w:top w:w="75" w:type="dxa"/>
              <w:left w:w="75" w:type="dxa"/>
              <w:bottom w:w="75" w:type="dxa"/>
              <w:right w:w="75" w:type="dxa"/>
            </w:tcMar>
            <w:vAlign w:val="center"/>
          </w:tcPr>
          <w:p w14:paraId="230C81AC">
            <w:pPr>
              <w:wordWrap w:val="0"/>
              <w:jc w:val="center"/>
              <w:rPr>
                <w:rFonts w:hint="eastAsia" w:cs="Times New Roman Regular" w:asciiTheme="majorEastAsia" w:hAnsiTheme="majorEastAsia" w:eastAsiaTheme="majorEastAsia"/>
                <w:color w:val="333333"/>
              </w:rPr>
            </w:pPr>
            <w:r>
              <w:rPr>
                <w:rFonts w:cs="Times New Roman Regular" w:asciiTheme="majorEastAsia" w:hAnsiTheme="majorEastAsia" w:eastAsiaTheme="majorEastAsia"/>
                <w:color w:val="333333"/>
              </w:rPr>
              <w:t>董事长</w:t>
            </w:r>
          </w:p>
        </w:tc>
      </w:tr>
    </w:tbl>
    <w:p w14:paraId="4C1A2C84">
      <w:pPr>
        <w:numPr>
          <w:ilvl w:val="0"/>
          <w:numId w:val="1"/>
        </w:numPr>
        <w:spacing w:before="120" w:beforeLines="50"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对外投资的主要企业</w:t>
      </w:r>
    </w:p>
    <w:p w14:paraId="45C38A09">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截至本公告日，除本公司及下属子公司外，杨泽民先生控制的其他主要企业情况如下：</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10"/>
        <w:gridCol w:w="3048"/>
        <w:gridCol w:w="2466"/>
        <w:gridCol w:w="2246"/>
      </w:tblGrid>
      <w:tr w14:paraId="169C8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tblHeader/>
        </w:trPr>
        <w:tc>
          <w:tcPr>
            <w:tcW w:w="419" w:type="pct"/>
            <w:shd w:val="clear" w:color="auto" w:fill="FFFFFF"/>
            <w:tcMar>
              <w:top w:w="75" w:type="dxa"/>
              <w:left w:w="75" w:type="dxa"/>
              <w:bottom w:w="75" w:type="dxa"/>
              <w:right w:w="75" w:type="dxa"/>
            </w:tcMar>
            <w:vAlign w:val="center"/>
          </w:tcPr>
          <w:p w14:paraId="1DEAB5D4">
            <w:pPr>
              <w:wordWrap w:val="0"/>
              <w:jc w:val="center"/>
              <w:rPr>
                <w:rFonts w:hint="eastAsia" w:cs="Times New Roman" w:asciiTheme="majorEastAsia" w:hAnsiTheme="majorEastAsia" w:eastAsiaTheme="majorEastAsia"/>
                <w:b/>
                <w:bCs/>
                <w:color w:val="333333"/>
              </w:rPr>
            </w:pPr>
            <w:r>
              <w:rPr>
                <w:rFonts w:hint="eastAsia" w:cs="Times New Roman" w:asciiTheme="majorEastAsia" w:hAnsiTheme="majorEastAsia" w:eastAsiaTheme="majorEastAsia"/>
                <w:b/>
                <w:bCs/>
                <w:color w:val="333333"/>
              </w:rPr>
              <w:t>序号</w:t>
            </w:r>
          </w:p>
        </w:tc>
        <w:tc>
          <w:tcPr>
            <w:tcW w:w="1799" w:type="pct"/>
            <w:shd w:val="clear" w:color="auto" w:fill="FFFFFF"/>
            <w:tcMar>
              <w:top w:w="75" w:type="dxa"/>
              <w:left w:w="75" w:type="dxa"/>
              <w:bottom w:w="75" w:type="dxa"/>
              <w:right w:w="75" w:type="dxa"/>
            </w:tcMar>
            <w:vAlign w:val="center"/>
          </w:tcPr>
          <w:p w14:paraId="568F9D0A">
            <w:pPr>
              <w:wordWrap w:val="0"/>
              <w:jc w:val="center"/>
              <w:rPr>
                <w:rFonts w:hint="eastAsia" w:cs="Times New Roman" w:asciiTheme="majorEastAsia" w:hAnsiTheme="majorEastAsia" w:eastAsiaTheme="majorEastAsia"/>
                <w:b/>
                <w:bCs/>
                <w:color w:val="333333"/>
              </w:rPr>
            </w:pPr>
            <w:r>
              <w:rPr>
                <w:rFonts w:hint="eastAsia" w:cs="Times New Roman" w:asciiTheme="majorEastAsia" w:hAnsiTheme="majorEastAsia" w:eastAsiaTheme="majorEastAsia"/>
                <w:b/>
                <w:bCs/>
                <w:color w:val="333333"/>
              </w:rPr>
              <w:t>公司名称</w:t>
            </w:r>
          </w:p>
        </w:tc>
        <w:tc>
          <w:tcPr>
            <w:tcW w:w="1456" w:type="pct"/>
            <w:shd w:val="clear" w:color="auto" w:fill="FFFFFF"/>
            <w:tcMar>
              <w:top w:w="75" w:type="dxa"/>
              <w:left w:w="75" w:type="dxa"/>
              <w:bottom w:w="75" w:type="dxa"/>
              <w:right w:w="75" w:type="dxa"/>
            </w:tcMar>
            <w:vAlign w:val="center"/>
          </w:tcPr>
          <w:p w14:paraId="1C4C414B">
            <w:pPr>
              <w:wordWrap w:val="0"/>
              <w:jc w:val="center"/>
              <w:rPr>
                <w:rFonts w:hint="eastAsia" w:cs="Times New Roman" w:asciiTheme="majorEastAsia" w:hAnsiTheme="majorEastAsia" w:eastAsiaTheme="majorEastAsia"/>
                <w:b/>
                <w:bCs/>
                <w:color w:val="333333"/>
              </w:rPr>
            </w:pPr>
            <w:r>
              <w:rPr>
                <w:rFonts w:hint="eastAsia" w:cs="Times New Roman" w:asciiTheme="majorEastAsia" w:hAnsiTheme="majorEastAsia" w:eastAsiaTheme="majorEastAsia"/>
                <w:b/>
                <w:bCs/>
                <w:color w:val="333333"/>
              </w:rPr>
              <w:t>注册资本</w:t>
            </w:r>
          </w:p>
        </w:tc>
        <w:tc>
          <w:tcPr>
            <w:tcW w:w="1326" w:type="pct"/>
            <w:shd w:val="clear" w:color="auto" w:fill="FFFFFF"/>
            <w:vAlign w:val="center"/>
          </w:tcPr>
          <w:p w14:paraId="63B1C47B">
            <w:pPr>
              <w:wordWrap w:val="0"/>
              <w:jc w:val="center"/>
              <w:rPr>
                <w:rFonts w:hint="eastAsia" w:cs="Times New Roman" w:asciiTheme="majorEastAsia" w:hAnsiTheme="majorEastAsia" w:eastAsiaTheme="majorEastAsia"/>
                <w:b/>
                <w:bCs/>
                <w:color w:val="333333"/>
              </w:rPr>
            </w:pPr>
            <w:r>
              <w:rPr>
                <w:rFonts w:hint="eastAsia" w:cs="Times New Roman" w:asciiTheme="majorEastAsia" w:hAnsiTheme="majorEastAsia" w:eastAsiaTheme="majorEastAsia"/>
                <w:b/>
                <w:bCs/>
                <w:color w:val="333333"/>
              </w:rPr>
              <w:t>主营业务</w:t>
            </w:r>
          </w:p>
        </w:tc>
      </w:tr>
      <w:tr w14:paraId="22400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19" w:type="pct"/>
            <w:shd w:val="clear" w:color="auto" w:fill="FFFFFF"/>
            <w:tcMar>
              <w:top w:w="75" w:type="dxa"/>
              <w:left w:w="75" w:type="dxa"/>
              <w:bottom w:w="75" w:type="dxa"/>
              <w:right w:w="75" w:type="dxa"/>
            </w:tcMar>
            <w:vAlign w:val="center"/>
          </w:tcPr>
          <w:p w14:paraId="1C72D5C1">
            <w:pPr>
              <w:wordWrap w:val="0"/>
              <w:jc w:val="center"/>
              <w:rPr>
                <w:rFonts w:hint="eastAsia" w:cs="Times New Roman" w:asciiTheme="majorEastAsia" w:hAnsiTheme="majorEastAsia" w:eastAsiaTheme="majorEastAsia"/>
                <w:color w:val="333333"/>
              </w:rPr>
            </w:pPr>
            <w:r>
              <w:rPr>
                <w:rFonts w:hint="eastAsia" w:cs="Times New Roman" w:asciiTheme="majorEastAsia" w:hAnsiTheme="majorEastAsia" w:eastAsiaTheme="majorEastAsia"/>
                <w:color w:val="333333"/>
              </w:rPr>
              <w:t>1</w:t>
            </w:r>
          </w:p>
        </w:tc>
        <w:tc>
          <w:tcPr>
            <w:tcW w:w="1799" w:type="pct"/>
            <w:shd w:val="clear" w:color="auto" w:fill="FFFFFF"/>
            <w:tcMar>
              <w:top w:w="75" w:type="dxa"/>
              <w:left w:w="75" w:type="dxa"/>
              <w:bottom w:w="75" w:type="dxa"/>
              <w:right w:w="75" w:type="dxa"/>
            </w:tcMar>
            <w:vAlign w:val="center"/>
          </w:tcPr>
          <w:p w14:paraId="1776AFED">
            <w:pPr>
              <w:wordWrap w:val="0"/>
              <w:jc w:val="center"/>
              <w:rPr>
                <w:rFonts w:hint="eastAsia" w:cs="Times New Roman" w:asciiTheme="majorEastAsia" w:hAnsiTheme="majorEastAsia" w:eastAsiaTheme="majorEastAsia"/>
                <w:color w:val="333333"/>
                <w:lang w:eastAsia="zh-CN"/>
              </w:rPr>
            </w:pPr>
            <w:r>
              <w:rPr>
                <w:rFonts w:hint="eastAsia" w:cs="Times New Roman" w:asciiTheme="majorEastAsia" w:hAnsiTheme="majorEastAsia" w:eastAsiaTheme="majorEastAsia"/>
                <w:color w:val="333333"/>
                <w:lang w:eastAsia="zh-CN"/>
              </w:rPr>
              <w:t>重庆凌云远景投资有限公司</w:t>
            </w:r>
          </w:p>
        </w:tc>
        <w:tc>
          <w:tcPr>
            <w:tcW w:w="1456" w:type="pct"/>
            <w:shd w:val="clear" w:color="auto" w:fill="FFFFFF"/>
            <w:tcMar>
              <w:top w:w="75" w:type="dxa"/>
              <w:left w:w="75" w:type="dxa"/>
              <w:bottom w:w="75" w:type="dxa"/>
              <w:right w:w="75" w:type="dxa"/>
            </w:tcMar>
            <w:vAlign w:val="center"/>
          </w:tcPr>
          <w:p w14:paraId="70172875">
            <w:pPr>
              <w:wordWrap w:val="0"/>
              <w:jc w:val="center"/>
              <w:rPr>
                <w:rFonts w:hint="eastAsia" w:cs="Times New Roman" w:asciiTheme="majorEastAsia" w:hAnsiTheme="majorEastAsia" w:eastAsiaTheme="majorEastAsia"/>
                <w:color w:val="333333"/>
              </w:rPr>
            </w:pPr>
            <w:r>
              <w:rPr>
                <w:rFonts w:hint="eastAsia" w:cs="Times New Roman" w:asciiTheme="majorEastAsia" w:hAnsiTheme="majorEastAsia" w:eastAsiaTheme="majorEastAsia"/>
                <w:color w:val="333333"/>
              </w:rPr>
              <w:t>2000万元</w:t>
            </w:r>
          </w:p>
        </w:tc>
        <w:tc>
          <w:tcPr>
            <w:tcW w:w="1326" w:type="pct"/>
            <w:shd w:val="clear" w:color="auto" w:fill="FFFFFF"/>
            <w:vAlign w:val="center"/>
          </w:tcPr>
          <w:p w14:paraId="51840795">
            <w:pPr>
              <w:wordWrap w:val="0"/>
              <w:jc w:val="center"/>
              <w:rPr>
                <w:rFonts w:hint="eastAsia" w:cs="Times New Roman" w:asciiTheme="majorEastAsia" w:hAnsiTheme="majorEastAsia" w:eastAsiaTheme="majorEastAsia"/>
                <w:color w:val="333333"/>
              </w:rPr>
            </w:pPr>
            <w:r>
              <w:rPr>
                <w:rFonts w:hint="eastAsia" w:cs="Times New Roman" w:asciiTheme="majorEastAsia" w:hAnsiTheme="majorEastAsia" w:eastAsiaTheme="majorEastAsia"/>
                <w:color w:val="333333"/>
              </w:rPr>
              <w:t>投资及商务信息咨询</w:t>
            </w:r>
          </w:p>
        </w:tc>
      </w:tr>
    </w:tbl>
    <w:p w14:paraId="078C05CB">
      <w:pPr>
        <w:numPr>
          <w:ilvl w:val="0"/>
          <w:numId w:val="1"/>
        </w:numPr>
        <w:spacing w:before="120" w:beforeLines="50"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最近五年受行政处罚刑事处罚或者涉及与经济纠纷有关的重大民事诉讼或者仲裁情况</w:t>
      </w:r>
    </w:p>
    <w:p w14:paraId="023849A5">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截至本公告日，杨泽民先生最近五年未受过行政处罚（与证券市场明显无关的除外）、刑事处罚，也未涉及与经济纠纷有关的重大民事诉讼或者仲裁，不存在因涉嫌犯罪正被司法机关立案侦查或涉嫌违法违规正被中国证监会立案调查的情形。</w:t>
      </w:r>
    </w:p>
    <w:p w14:paraId="5563DBA4">
      <w:pPr>
        <w:spacing w:line="360" w:lineRule="auto"/>
        <w:ind w:firstLine="482" w:firstLineChars="200"/>
        <w:jc w:val="both"/>
        <w:rPr>
          <w:rFonts w:hint="eastAsia" w:cs="黑体" w:asciiTheme="majorEastAsia" w:hAnsiTheme="majorEastAsia" w:eastAsiaTheme="majorEastAsia"/>
          <w:b/>
          <w:bCs/>
          <w:sz w:val="24"/>
          <w:szCs w:val="24"/>
          <w:lang w:eastAsia="zh-CN"/>
        </w:rPr>
      </w:pPr>
      <w:r>
        <w:rPr>
          <w:rFonts w:cs="黑体" w:asciiTheme="majorEastAsia" w:hAnsiTheme="majorEastAsia" w:eastAsiaTheme="majorEastAsia"/>
          <w:b/>
          <w:bCs/>
          <w:sz w:val="24"/>
          <w:szCs w:val="24"/>
          <w:lang w:eastAsia="zh-CN"/>
        </w:rPr>
        <w:t>三、关联交易标的及其定价</w:t>
      </w:r>
    </w:p>
    <w:p w14:paraId="43C86246">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本次交易的交易标的为公司拟发行的人民币普通股（A股）股票。</w:t>
      </w:r>
    </w:p>
    <w:p w14:paraId="0D18E7E3">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本次交易的定价基准日为公司</w:t>
      </w:r>
      <w:r>
        <w:rPr>
          <w:rFonts w:hint="eastAsia" w:cs="Times New Roman Regular" w:asciiTheme="majorEastAsia" w:hAnsiTheme="majorEastAsia" w:eastAsiaTheme="majorEastAsia"/>
          <w:sz w:val="24"/>
          <w:szCs w:val="24"/>
          <w:lang w:eastAsia="zh-CN"/>
        </w:rPr>
        <w:t>第四届董事会第十七次会议</w:t>
      </w:r>
      <w:r>
        <w:rPr>
          <w:rFonts w:cs="Times New Roman Regular" w:asciiTheme="majorEastAsia" w:hAnsiTheme="majorEastAsia" w:eastAsiaTheme="majorEastAsia"/>
          <w:sz w:val="24"/>
          <w:szCs w:val="24"/>
          <w:lang w:eastAsia="zh-CN"/>
        </w:rPr>
        <w:t>决议公告日，发行价格为定价基准日前二十个交易日（不含定价基准日）公司股票交易均价（定价基准日前二十个交易日股票交易均价=定价基准日前二十个交易日股票交易总额/定价基准日前二十个交易日股票交易总量）。</w:t>
      </w:r>
    </w:p>
    <w:p w14:paraId="00D2AB90">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若公司股票在定价基准日至发行日期间发生派息、送红股、资本公积金转增股本等除权除息事项，本次发行价格作相应调整，调整方式如下：</w:t>
      </w:r>
    </w:p>
    <w:p w14:paraId="093CF4FC">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派发现金股利：P</w:t>
      </w:r>
      <w:r>
        <w:rPr>
          <w:rFonts w:cs="Times New Roman Regular" w:asciiTheme="majorEastAsia" w:hAnsiTheme="majorEastAsia" w:eastAsiaTheme="majorEastAsia"/>
          <w:sz w:val="24"/>
          <w:szCs w:val="24"/>
          <w:vertAlign w:val="subscript"/>
          <w:lang w:eastAsia="zh-CN"/>
        </w:rPr>
        <w:t>1</w:t>
      </w:r>
      <w:r>
        <w:rPr>
          <w:rFonts w:cs="Times New Roman Regular" w:asciiTheme="majorEastAsia" w:hAnsiTheme="majorEastAsia" w:eastAsiaTheme="majorEastAsia"/>
          <w:sz w:val="24"/>
          <w:szCs w:val="24"/>
          <w:lang w:eastAsia="zh-CN"/>
        </w:rPr>
        <w:t>=P</w:t>
      </w:r>
      <w:r>
        <w:rPr>
          <w:rFonts w:cs="Times New Roman Regular" w:asciiTheme="majorEastAsia" w:hAnsiTheme="majorEastAsia" w:eastAsiaTheme="majorEastAsia"/>
          <w:sz w:val="24"/>
          <w:szCs w:val="24"/>
          <w:vertAlign w:val="subscript"/>
          <w:lang w:eastAsia="zh-CN"/>
        </w:rPr>
        <w:t>0</w:t>
      </w:r>
      <w:r>
        <w:rPr>
          <w:rFonts w:cs="Times New Roman Regular" w:asciiTheme="majorEastAsia" w:hAnsiTheme="majorEastAsia" w:eastAsiaTheme="majorEastAsia"/>
          <w:sz w:val="24"/>
          <w:szCs w:val="24"/>
          <w:lang w:eastAsia="zh-CN"/>
        </w:rPr>
        <w:t>-D</w:t>
      </w:r>
    </w:p>
    <w:p w14:paraId="73645500">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送红股或转增股本：P</w:t>
      </w:r>
      <w:r>
        <w:rPr>
          <w:rFonts w:cs="Times New Roman Regular" w:asciiTheme="majorEastAsia" w:hAnsiTheme="majorEastAsia" w:eastAsiaTheme="majorEastAsia"/>
          <w:sz w:val="24"/>
          <w:szCs w:val="24"/>
          <w:vertAlign w:val="subscript"/>
          <w:lang w:eastAsia="zh-CN"/>
        </w:rPr>
        <w:t>1</w:t>
      </w:r>
      <w:r>
        <w:rPr>
          <w:rFonts w:cs="Times New Roman Regular" w:asciiTheme="majorEastAsia" w:hAnsiTheme="majorEastAsia" w:eastAsiaTheme="majorEastAsia"/>
          <w:sz w:val="24"/>
          <w:szCs w:val="24"/>
          <w:lang w:eastAsia="zh-CN"/>
        </w:rPr>
        <w:t>=P</w:t>
      </w:r>
      <w:r>
        <w:rPr>
          <w:rFonts w:cs="Times New Roman Regular" w:asciiTheme="majorEastAsia" w:hAnsiTheme="majorEastAsia" w:eastAsiaTheme="majorEastAsia"/>
          <w:sz w:val="24"/>
          <w:szCs w:val="24"/>
          <w:vertAlign w:val="subscript"/>
          <w:lang w:eastAsia="zh-CN"/>
        </w:rPr>
        <w:t>0</w:t>
      </w:r>
      <w:r>
        <w:rPr>
          <w:rFonts w:cs="Times New Roman Regular" w:asciiTheme="majorEastAsia" w:hAnsiTheme="majorEastAsia" w:eastAsiaTheme="majorEastAsia"/>
          <w:sz w:val="24"/>
          <w:szCs w:val="24"/>
          <w:lang w:eastAsia="zh-CN"/>
        </w:rPr>
        <w:t>/（1+N）</w:t>
      </w:r>
    </w:p>
    <w:p w14:paraId="7DF7A07D">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两项同时进行：P</w:t>
      </w:r>
      <w:r>
        <w:rPr>
          <w:rFonts w:cs="Times New Roman Regular" w:asciiTheme="majorEastAsia" w:hAnsiTheme="majorEastAsia" w:eastAsiaTheme="majorEastAsia"/>
          <w:sz w:val="24"/>
          <w:szCs w:val="24"/>
          <w:vertAlign w:val="subscript"/>
          <w:lang w:eastAsia="zh-CN"/>
        </w:rPr>
        <w:t>1</w:t>
      </w:r>
      <w:r>
        <w:rPr>
          <w:rFonts w:cs="Times New Roman Regular" w:asciiTheme="majorEastAsia" w:hAnsiTheme="majorEastAsia" w:eastAsiaTheme="majorEastAsia"/>
          <w:sz w:val="24"/>
          <w:szCs w:val="24"/>
          <w:lang w:eastAsia="zh-CN"/>
        </w:rPr>
        <w:t>=（P</w:t>
      </w:r>
      <w:r>
        <w:rPr>
          <w:rFonts w:cs="Times New Roman Regular" w:asciiTheme="majorEastAsia" w:hAnsiTheme="majorEastAsia" w:eastAsiaTheme="majorEastAsia"/>
          <w:sz w:val="24"/>
          <w:szCs w:val="24"/>
          <w:vertAlign w:val="subscript"/>
          <w:lang w:eastAsia="zh-CN"/>
        </w:rPr>
        <w:t>0</w:t>
      </w:r>
      <w:r>
        <w:rPr>
          <w:rFonts w:cs="Times New Roman Regular" w:asciiTheme="majorEastAsia" w:hAnsiTheme="majorEastAsia" w:eastAsiaTheme="majorEastAsia"/>
          <w:sz w:val="24"/>
          <w:szCs w:val="24"/>
          <w:lang w:eastAsia="zh-CN"/>
        </w:rPr>
        <w:t>-D）/（1+N）</w:t>
      </w:r>
    </w:p>
    <w:p w14:paraId="79C243A8">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其中，P</w:t>
      </w:r>
      <w:r>
        <w:rPr>
          <w:rFonts w:cs="Times New Roman Regular" w:asciiTheme="majorEastAsia" w:hAnsiTheme="majorEastAsia" w:eastAsiaTheme="majorEastAsia"/>
          <w:sz w:val="24"/>
          <w:szCs w:val="24"/>
          <w:vertAlign w:val="subscript"/>
          <w:lang w:eastAsia="zh-CN"/>
        </w:rPr>
        <w:t>1</w:t>
      </w:r>
      <w:r>
        <w:rPr>
          <w:rFonts w:cs="Times New Roman Regular" w:asciiTheme="majorEastAsia" w:hAnsiTheme="majorEastAsia" w:eastAsiaTheme="majorEastAsia"/>
          <w:sz w:val="24"/>
          <w:szCs w:val="24"/>
          <w:lang w:eastAsia="zh-CN"/>
        </w:rPr>
        <w:t>为调整后发行价格，P</w:t>
      </w:r>
      <w:r>
        <w:rPr>
          <w:rFonts w:cs="Times New Roman Regular" w:asciiTheme="majorEastAsia" w:hAnsiTheme="majorEastAsia" w:eastAsiaTheme="majorEastAsia"/>
          <w:sz w:val="24"/>
          <w:szCs w:val="24"/>
          <w:vertAlign w:val="subscript"/>
          <w:lang w:eastAsia="zh-CN"/>
        </w:rPr>
        <w:t>0</w:t>
      </w:r>
      <w:r>
        <w:rPr>
          <w:rFonts w:cs="Times New Roman Regular" w:asciiTheme="majorEastAsia" w:hAnsiTheme="majorEastAsia" w:eastAsiaTheme="majorEastAsia"/>
          <w:sz w:val="24"/>
          <w:szCs w:val="24"/>
          <w:lang w:eastAsia="zh-CN"/>
        </w:rPr>
        <w:t>为调整前发行价格，D为每股派发现金股利，N为每股送红股或转增股本数。</w:t>
      </w:r>
    </w:p>
    <w:p w14:paraId="40C2469F">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根据上述定价原则，公司本次发行价格为人民币</w:t>
      </w:r>
      <w:r>
        <w:rPr>
          <w:rFonts w:hint="eastAsia" w:cs="Times New Roman Regular" w:asciiTheme="majorEastAsia" w:hAnsiTheme="majorEastAsia" w:eastAsiaTheme="majorEastAsia"/>
          <w:sz w:val="24"/>
          <w:szCs w:val="24"/>
          <w:lang w:eastAsia="zh-CN"/>
        </w:rPr>
        <w:t>15.39</w:t>
      </w:r>
      <w:r>
        <w:rPr>
          <w:rFonts w:cs="Times New Roman Regular" w:asciiTheme="majorEastAsia" w:hAnsiTheme="majorEastAsia" w:eastAsiaTheme="majorEastAsia"/>
          <w:sz w:val="24"/>
          <w:szCs w:val="24"/>
          <w:lang w:eastAsia="zh-CN"/>
        </w:rPr>
        <w:t>元/股。</w:t>
      </w:r>
    </w:p>
    <w:p w14:paraId="415F97A7">
      <w:pPr>
        <w:spacing w:line="360" w:lineRule="auto"/>
        <w:ind w:firstLine="482" w:firstLineChars="200"/>
        <w:jc w:val="both"/>
        <w:rPr>
          <w:rFonts w:hint="eastAsia" w:cs="黑体" w:asciiTheme="majorEastAsia" w:hAnsiTheme="majorEastAsia" w:eastAsiaTheme="majorEastAsia"/>
          <w:b/>
          <w:bCs/>
          <w:sz w:val="24"/>
          <w:szCs w:val="24"/>
          <w:lang w:eastAsia="zh-CN"/>
        </w:rPr>
      </w:pPr>
      <w:r>
        <w:rPr>
          <w:rFonts w:cs="黑体" w:asciiTheme="majorEastAsia" w:hAnsiTheme="majorEastAsia" w:eastAsiaTheme="majorEastAsia"/>
          <w:b/>
          <w:bCs/>
          <w:sz w:val="24"/>
          <w:szCs w:val="24"/>
          <w:lang w:eastAsia="zh-CN"/>
        </w:rPr>
        <w:t>四、《附条件生效的股份认购协议》主要内容</w:t>
      </w:r>
    </w:p>
    <w:p w14:paraId="188ECA5B">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202</w:t>
      </w:r>
      <w:r>
        <w:rPr>
          <w:rFonts w:hint="eastAsia" w:cs="Times New Roman Regular" w:asciiTheme="majorEastAsia" w:hAnsiTheme="majorEastAsia" w:eastAsiaTheme="majorEastAsia"/>
          <w:sz w:val="24"/>
          <w:szCs w:val="24"/>
          <w:lang w:eastAsia="zh-CN"/>
        </w:rPr>
        <w:t>6</w:t>
      </w:r>
      <w:r>
        <w:rPr>
          <w:rFonts w:cs="Times New Roman Regular" w:asciiTheme="majorEastAsia" w:hAnsiTheme="majorEastAsia" w:eastAsiaTheme="majorEastAsia"/>
          <w:sz w:val="24"/>
          <w:szCs w:val="24"/>
          <w:lang w:eastAsia="zh-CN"/>
        </w:rPr>
        <w:t>年</w:t>
      </w:r>
      <w:r>
        <w:rPr>
          <w:rFonts w:hint="eastAsia" w:cs="Times New Roman Regular" w:asciiTheme="majorEastAsia" w:hAnsiTheme="majorEastAsia" w:eastAsiaTheme="majorEastAsia"/>
          <w:sz w:val="24"/>
          <w:szCs w:val="24"/>
          <w:lang w:eastAsia="zh-CN"/>
        </w:rPr>
        <w:t>2</w:t>
      </w:r>
      <w:r>
        <w:rPr>
          <w:rFonts w:cs="Times New Roman Regular" w:asciiTheme="majorEastAsia" w:hAnsiTheme="majorEastAsia" w:eastAsiaTheme="majorEastAsia"/>
          <w:sz w:val="24"/>
          <w:szCs w:val="24"/>
          <w:lang w:eastAsia="zh-CN"/>
        </w:rPr>
        <w:t>月</w:t>
      </w:r>
      <w:r>
        <w:rPr>
          <w:rFonts w:hint="eastAsia" w:cs="Times New Roman Regular" w:asciiTheme="majorEastAsia" w:hAnsiTheme="majorEastAsia" w:eastAsiaTheme="majorEastAsia"/>
          <w:sz w:val="24"/>
          <w:szCs w:val="24"/>
          <w:lang w:eastAsia="zh-CN"/>
        </w:rPr>
        <w:t>6</w:t>
      </w:r>
      <w:r>
        <w:rPr>
          <w:rFonts w:cs="Times New Roman Regular" w:asciiTheme="majorEastAsia" w:hAnsiTheme="majorEastAsia" w:eastAsiaTheme="majorEastAsia"/>
          <w:sz w:val="24"/>
          <w:szCs w:val="24"/>
          <w:lang w:eastAsia="zh-CN"/>
        </w:rPr>
        <w:t>日，公司与杨泽民先生签署了《附条件生效的股份认购协议》，</w:t>
      </w:r>
      <w:r>
        <w:rPr>
          <w:rFonts w:hint="eastAsia" w:cs="Times New Roman Regular" w:asciiTheme="majorEastAsia" w:hAnsiTheme="majorEastAsia" w:eastAsiaTheme="majorEastAsia"/>
          <w:sz w:val="24"/>
          <w:szCs w:val="24"/>
          <w:lang w:eastAsia="zh-CN"/>
        </w:rPr>
        <w:t>公司拟通过向特定对象发行股票的方式向杨泽民先生或其控制的企业（以下简称“认购人”）发行人民币普通股（</w:t>
      </w:r>
      <w:r>
        <w:rPr>
          <w:rFonts w:cs="Times New Roman Regular" w:asciiTheme="majorEastAsia" w:hAnsiTheme="majorEastAsia" w:eastAsiaTheme="majorEastAsia"/>
          <w:sz w:val="24"/>
          <w:szCs w:val="24"/>
          <w:lang w:eastAsia="zh-CN"/>
        </w:rPr>
        <w:t>A</w:t>
      </w:r>
      <w:r>
        <w:rPr>
          <w:rFonts w:hint="eastAsia" w:cs="Times New Roman Regular" w:asciiTheme="majorEastAsia" w:hAnsiTheme="majorEastAsia" w:eastAsiaTheme="majorEastAsia"/>
          <w:sz w:val="24"/>
          <w:szCs w:val="24"/>
          <w:lang w:eastAsia="zh-CN"/>
        </w:rPr>
        <w:t>股）股票，协议</w:t>
      </w:r>
      <w:r>
        <w:rPr>
          <w:rFonts w:cs="Times New Roman Regular" w:asciiTheme="majorEastAsia" w:hAnsiTheme="majorEastAsia" w:eastAsiaTheme="majorEastAsia"/>
          <w:sz w:val="24"/>
          <w:szCs w:val="24"/>
          <w:lang w:eastAsia="zh-CN"/>
        </w:rPr>
        <w:t>主要内容如下：</w:t>
      </w:r>
    </w:p>
    <w:p w14:paraId="6307B057">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（一）</w:t>
      </w:r>
      <w:r>
        <w:rPr>
          <w:rFonts w:cs="Times New Roman Regular" w:asciiTheme="majorEastAsia" w:hAnsiTheme="majorEastAsia" w:eastAsiaTheme="majorEastAsia"/>
          <w:sz w:val="24"/>
          <w:szCs w:val="24"/>
          <w:lang w:eastAsia="zh-CN"/>
        </w:rPr>
        <w:t>协议主体及签订时间</w:t>
      </w:r>
    </w:p>
    <w:p w14:paraId="1DE6A44C">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甲方：重庆望变电气（集团）股份有限公司</w:t>
      </w:r>
    </w:p>
    <w:p w14:paraId="7251AD45">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乙方：杨泽民</w:t>
      </w:r>
    </w:p>
    <w:p w14:paraId="49E00098">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协议签订时间：2026年</w:t>
      </w:r>
      <w:r>
        <w:rPr>
          <w:rFonts w:hint="eastAsia" w:cs="Times New Roman Regular" w:asciiTheme="majorEastAsia" w:hAnsiTheme="majorEastAsia" w:eastAsiaTheme="majorEastAsia"/>
          <w:sz w:val="24"/>
          <w:szCs w:val="24"/>
          <w:lang w:eastAsia="zh-CN"/>
        </w:rPr>
        <w:t>2</w:t>
      </w:r>
      <w:r>
        <w:rPr>
          <w:rFonts w:cs="Times New Roman Regular" w:asciiTheme="majorEastAsia" w:hAnsiTheme="majorEastAsia" w:eastAsiaTheme="majorEastAsia"/>
          <w:sz w:val="24"/>
          <w:szCs w:val="24"/>
          <w:lang w:eastAsia="zh-CN"/>
        </w:rPr>
        <w:t>月</w:t>
      </w:r>
      <w:r>
        <w:rPr>
          <w:rFonts w:hint="eastAsia" w:cs="Times New Roman Regular" w:asciiTheme="majorEastAsia" w:hAnsiTheme="majorEastAsia" w:eastAsiaTheme="majorEastAsia"/>
          <w:sz w:val="24"/>
          <w:szCs w:val="24"/>
          <w:lang w:eastAsia="zh-CN"/>
        </w:rPr>
        <w:t>6</w:t>
      </w:r>
      <w:r>
        <w:rPr>
          <w:rFonts w:cs="Times New Roman Regular" w:asciiTheme="majorEastAsia" w:hAnsiTheme="majorEastAsia" w:eastAsiaTheme="majorEastAsia"/>
          <w:sz w:val="24"/>
          <w:szCs w:val="24"/>
          <w:lang w:eastAsia="zh-CN"/>
        </w:rPr>
        <w:t>日</w:t>
      </w:r>
    </w:p>
    <w:p w14:paraId="7CE0193C">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（二）</w:t>
      </w:r>
      <w:r>
        <w:rPr>
          <w:rFonts w:cs="Times New Roman Regular" w:asciiTheme="majorEastAsia" w:hAnsiTheme="majorEastAsia" w:eastAsiaTheme="majorEastAsia"/>
          <w:sz w:val="24"/>
          <w:szCs w:val="24"/>
          <w:lang w:eastAsia="zh-CN"/>
        </w:rPr>
        <w:t>协议标的</w:t>
      </w:r>
    </w:p>
    <w:p w14:paraId="2055AF9C">
      <w:pPr>
        <w:spacing w:line="360" w:lineRule="auto"/>
        <w:ind w:firstLine="480" w:firstLineChars="200"/>
        <w:jc w:val="both"/>
        <w:rPr>
          <w:rFonts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发行人本次拟发行人民币普通股（A股）19,493,177股。</w:t>
      </w:r>
    </w:p>
    <w:p w14:paraId="7FD853FE">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若发行人在本次发行定价基准日至发行日期间发生派息、送股、资本公积转增股本等除权、除息事项导致发行价格变化的，本次向特定对象发行股票数量将相应调整。</w:t>
      </w:r>
    </w:p>
    <w:p w14:paraId="2F22889F">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（三）</w:t>
      </w:r>
      <w:r>
        <w:rPr>
          <w:rFonts w:cs="Times New Roman Regular" w:asciiTheme="majorEastAsia" w:hAnsiTheme="majorEastAsia" w:eastAsiaTheme="majorEastAsia"/>
          <w:sz w:val="24"/>
          <w:szCs w:val="24"/>
          <w:lang w:eastAsia="zh-CN"/>
        </w:rPr>
        <w:t>认购方式、认购价格和认购款项支付</w:t>
      </w:r>
    </w:p>
    <w:p w14:paraId="4188242D">
      <w:pPr>
        <w:numPr>
          <w:ilvl w:val="0"/>
          <w:numId w:val="2"/>
        </w:numPr>
        <w:spacing w:line="360" w:lineRule="auto"/>
        <w:ind w:firstLine="480" w:firstLineChars="200"/>
        <w:jc w:val="both"/>
        <w:rPr>
          <w:rFonts w:hint="eastAsia" w:cs="Times New Roman Regular" w:asciiTheme="majorEastAsia" w:hAnsiTheme="majorEastAsia" w:eastAsiaTheme="majorEastAsia"/>
          <w:sz w:val="24"/>
          <w:szCs w:val="24"/>
        </w:rPr>
      </w:pPr>
      <w:r>
        <w:rPr>
          <w:rFonts w:cs="Times New Roman Regular" w:asciiTheme="majorEastAsia" w:hAnsiTheme="majorEastAsia" w:eastAsiaTheme="majorEastAsia"/>
          <w:sz w:val="24"/>
          <w:szCs w:val="24"/>
        </w:rPr>
        <w:t>认购方式</w:t>
      </w:r>
    </w:p>
    <w:p w14:paraId="2C6A8630">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认购人</w:t>
      </w:r>
      <w:r>
        <w:rPr>
          <w:rFonts w:cs="Times New Roman Regular" w:asciiTheme="majorEastAsia" w:hAnsiTheme="majorEastAsia" w:eastAsiaTheme="majorEastAsia"/>
          <w:sz w:val="24"/>
          <w:szCs w:val="24"/>
          <w:lang w:eastAsia="zh-CN"/>
        </w:rPr>
        <w:t>以现金方式认购甲方本次发行的全部股票。</w:t>
      </w:r>
    </w:p>
    <w:p w14:paraId="3FF27A5D">
      <w:pPr>
        <w:numPr>
          <w:ilvl w:val="0"/>
          <w:numId w:val="2"/>
        </w:numPr>
        <w:spacing w:line="360" w:lineRule="auto"/>
        <w:ind w:firstLine="480" w:firstLineChars="200"/>
        <w:jc w:val="both"/>
        <w:rPr>
          <w:rFonts w:hint="eastAsia" w:cs="Times New Roman Regular" w:asciiTheme="majorEastAsia" w:hAnsiTheme="majorEastAsia" w:eastAsiaTheme="majorEastAsia"/>
          <w:sz w:val="24"/>
          <w:szCs w:val="24"/>
        </w:rPr>
      </w:pPr>
      <w:r>
        <w:rPr>
          <w:rFonts w:cs="Times New Roman Regular" w:asciiTheme="majorEastAsia" w:hAnsiTheme="majorEastAsia" w:eastAsiaTheme="majorEastAsia"/>
          <w:sz w:val="24"/>
          <w:szCs w:val="24"/>
        </w:rPr>
        <w:t>定价基准日</w:t>
      </w:r>
    </w:p>
    <w:p w14:paraId="188CA44E">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双方确认，发行人本次发行的定价基准日为发行人第四届董事会第十七次会议决议公告日。</w:t>
      </w:r>
    </w:p>
    <w:p w14:paraId="632FA5DA">
      <w:pPr>
        <w:numPr>
          <w:ilvl w:val="0"/>
          <w:numId w:val="2"/>
        </w:numPr>
        <w:spacing w:line="360" w:lineRule="auto"/>
        <w:ind w:firstLine="480" w:firstLineChars="200"/>
        <w:jc w:val="both"/>
        <w:rPr>
          <w:rFonts w:hint="eastAsia" w:cs="Times New Roman Regular" w:asciiTheme="majorEastAsia" w:hAnsiTheme="majorEastAsia" w:eastAsiaTheme="majorEastAsia"/>
          <w:sz w:val="24"/>
          <w:szCs w:val="24"/>
        </w:rPr>
      </w:pPr>
      <w:r>
        <w:rPr>
          <w:rFonts w:cs="Times New Roman Regular" w:asciiTheme="majorEastAsia" w:hAnsiTheme="majorEastAsia" w:eastAsiaTheme="majorEastAsia"/>
          <w:sz w:val="24"/>
          <w:szCs w:val="24"/>
        </w:rPr>
        <w:t>认购价格</w:t>
      </w:r>
    </w:p>
    <w:p w14:paraId="7E3CF5FB">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本次向特定对象发行股票的定价基准日为公司第四届董事会第十七次会议决议公告日。本次发行的发行价格为</w:t>
      </w:r>
      <w:r>
        <w:rPr>
          <w:rFonts w:hint="eastAsia" w:cs="Times New Roman Regular" w:asciiTheme="majorEastAsia" w:hAnsiTheme="majorEastAsia" w:eastAsiaTheme="majorEastAsia"/>
          <w:sz w:val="24"/>
          <w:szCs w:val="24"/>
          <w:lang w:eastAsia="zh-CN"/>
        </w:rPr>
        <w:t>15.39</w:t>
      </w:r>
      <w:r>
        <w:rPr>
          <w:rFonts w:cs="Times New Roman Regular" w:asciiTheme="majorEastAsia" w:hAnsiTheme="majorEastAsia" w:eastAsiaTheme="majorEastAsia"/>
          <w:sz w:val="24"/>
          <w:szCs w:val="24"/>
          <w:lang w:eastAsia="zh-CN"/>
        </w:rPr>
        <w:t>元/股，不低于定价基准日前20个交易日公司股票交易均价的80%。上述均价的计算公式为：定价基准日前20个交易日股票交易均价=定价基准日前20个交易日股票交易总额/定价基准日前20个交易日股票交易总量。</w:t>
      </w:r>
    </w:p>
    <w:p w14:paraId="488E26D5">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若公司在本次发行定价基准日至发行日期间发生派息、送红股、资本公积金转增股本等除权、除息事项，则本次发行的发行价格将进行相应调整。调整方式如下：</w:t>
      </w:r>
    </w:p>
    <w:p w14:paraId="2FC64849">
      <w:pPr>
        <w:spacing w:before="120" w:beforeLines="50" w:line="360" w:lineRule="auto"/>
        <w:ind w:firstLine="480" w:firstLineChars="200"/>
        <w:rPr>
          <w:rFonts w:hint="eastAsia" w:cs="Times New Roman" w:asciiTheme="majorEastAsia" w:hAnsiTheme="majorEastAsia" w:eastAsiaTheme="majorEastAsia"/>
          <w:sz w:val="24"/>
          <w:szCs w:val="24"/>
          <w:lang w:eastAsia="zh-CN"/>
        </w:rPr>
      </w:pPr>
      <w:r>
        <w:rPr>
          <w:rFonts w:hint="eastAsia" w:cs="宋体" w:asciiTheme="majorEastAsia" w:hAnsiTheme="majorEastAsia" w:eastAsiaTheme="majorEastAsia"/>
          <w:sz w:val="24"/>
          <w:szCs w:val="24"/>
          <w:lang w:eastAsia="zh-CN"/>
        </w:rPr>
        <w:t>派发现金股利：</w:t>
      </w:r>
      <w:r>
        <w:rPr>
          <w:rFonts w:cs="Times New Roman" w:asciiTheme="majorEastAsia" w:hAnsiTheme="majorEastAsia" w:eastAsiaTheme="majorEastAsia"/>
          <w:sz w:val="24"/>
          <w:szCs w:val="24"/>
          <w:lang w:eastAsia="zh-CN"/>
        </w:rPr>
        <w:t>P</w:t>
      </w:r>
      <w:r>
        <w:rPr>
          <w:rFonts w:cs="Times New Roman" w:asciiTheme="majorEastAsia" w:hAnsiTheme="majorEastAsia" w:eastAsiaTheme="majorEastAsia"/>
          <w:sz w:val="24"/>
          <w:szCs w:val="24"/>
          <w:vertAlign w:val="subscript"/>
          <w:lang w:eastAsia="zh-CN"/>
        </w:rPr>
        <w:t>1</w:t>
      </w:r>
      <w:r>
        <w:rPr>
          <w:rFonts w:cs="Times New Roman" w:asciiTheme="majorEastAsia" w:hAnsiTheme="majorEastAsia" w:eastAsiaTheme="majorEastAsia"/>
          <w:sz w:val="24"/>
          <w:szCs w:val="24"/>
          <w:lang w:eastAsia="zh-CN"/>
        </w:rPr>
        <w:t>=P</w:t>
      </w:r>
      <w:r>
        <w:rPr>
          <w:rFonts w:cs="Times New Roman" w:asciiTheme="majorEastAsia" w:hAnsiTheme="majorEastAsia" w:eastAsiaTheme="majorEastAsia"/>
          <w:sz w:val="24"/>
          <w:szCs w:val="24"/>
          <w:vertAlign w:val="subscript"/>
          <w:lang w:eastAsia="zh-CN"/>
        </w:rPr>
        <w:t>0</w:t>
      </w:r>
      <w:r>
        <w:rPr>
          <w:rFonts w:cs="Times New Roman" w:asciiTheme="majorEastAsia" w:hAnsiTheme="majorEastAsia" w:eastAsiaTheme="majorEastAsia"/>
          <w:sz w:val="24"/>
          <w:szCs w:val="24"/>
          <w:lang w:eastAsia="zh-CN"/>
        </w:rPr>
        <w:t>-D</w:t>
      </w:r>
      <w:r>
        <w:rPr>
          <w:rFonts w:hint="eastAsia" w:cs="宋体" w:asciiTheme="majorEastAsia" w:hAnsiTheme="majorEastAsia" w:eastAsiaTheme="majorEastAsia"/>
          <w:sz w:val="24"/>
          <w:szCs w:val="24"/>
          <w:lang w:eastAsia="zh-CN"/>
        </w:rPr>
        <w:t>；</w:t>
      </w:r>
    </w:p>
    <w:p w14:paraId="1950BBA3">
      <w:pPr>
        <w:spacing w:before="120" w:beforeLines="50" w:line="360" w:lineRule="auto"/>
        <w:ind w:firstLine="480" w:firstLineChars="200"/>
        <w:rPr>
          <w:rFonts w:hint="eastAsia" w:cs="Times New Roman" w:asciiTheme="majorEastAsia" w:hAnsiTheme="majorEastAsia" w:eastAsiaTheme="majorEastAsia"/>
          <w:sz w:val="24"/>
          <w:szCs w:val="24"/>
          <w:lang w:eastAsia="zh-CN"/>
        </w:rPr>
      </w:pPr>
      <w:r>
        <w:rPr>
          <w:rFonts w:hint="eastAsia" w:cs="宋体" w:asciiTheme="majorEastAsia" w:hAnsiTheme="majorEastAsia" w:eastAsiaTheme="majorEastAsia"/>
          <w:sz w:val="24"/>
          <w:szCs w:val="24"/>
          <w:lang w:eastAsia="zh-CN"/>
        </w:rPr>
        <w:t>送红股或转增股本：</w:t>
      </w:r>
      <w:r>
        <w:rPr>
          <w:rFonts w:cs="Times New Roman" w:asciiTheme="majorEastAsia" w:hAnsiTheme="majorEastAsia" w:eastAsiaTheme="majorEastAsia"/>
          <w:sz w:val="24"/>
          <w:szCs w:val="24"/>
          <w:lang w:eastAsia="zh-CN"/>
        </w:rPr>
        <w:t>P</w:t>
      </w:r>
      <w:r>
        <w:rPr>
          <w:rFonts w:cs="Times New Roman" w:asciiTheme="majorEastAsia" w:hAnsiTheme="majorEastAsia" w:eastAsiaTheme="majorEastAsia"/>
          <w:sz w:val="24"/>
          <w:szCs w:val="24"/>
          <w:vertAlign w:val="subscript"/>
          <w:lang w:eastAsia="zh-CN"/>
        </w:rPr>
        <w:t>1</w:t>
      </w:r>
      <w:r>
        <w:rPr>
          <w:rFonts w:cs="Times New Roman" w:asciiTheme="majorEastAsia" w:hAnsiTheme="majorEastAsia" w:eastAsiaTheme="majorEastAsia"/>
          <w:sz w:val="24"/>
          <w:szCs w:val="24"/>
          <w:lang w:eastAsia="zh-CN"/>
        </w:rPr>
        <w:t>=P</w:t>
      </w:r>
      <w:r>
        <w:rPr>
          <w:rFonts w:cs="Times New Roman" w:asciiTheme="majorEastAsia" w:hAnsiTheme="majorEastAsia" w:eastAsiaTheme="majorEastAsia"/>
          <w:sz w:val="24"/>
          <w:szCs w:val="24"/>
          <w:vertAlign w:val="subscript"/>
          <w:lang w:eastAsia="zh-CN"/>
        </w:rPr>
        <w:t>0</w:t>
      </w:r>
      <w:r>
        <w:rPr>
          <w:rFonts w:cs="Times New Roman" w:asciiTheme="majorEastAsia" w:hAnsiTheme="majorEastAsia" w:eastAsiaTheme="majorEastAsia"/>
          <w:sz w:val="24"/>
          <w:szCs w:val="24"/>
          <w:lang w:eastAsia="zh-CN"/>
        </w:rPr>
        <w:t>/</w:t>
      </w:r>
      <w:r>
        <w:rPr>
          <w:rFonts w:hint="eastAsia" w:cs="宋体" w:asciiTheme="majorEastAsia" w:hAnsiTheme="majorEastAsia" w:eastAsiaTheme="majorEastAsia"/>
          <w:sz w:val="24"/>
          <w:szCs w:val="24"/>
          <w:lang w:eastAsia="zh-CN"/>
        </w:rPr>
        <w:t>（</w:t>
      </w:r>
      <w:r>
        <w:rPr>
          <w:rFonts w:cs="Times New Roman" w:asciiTheme="majorEastAsia" w:hAnsiTheme="majorEastAsia" w:eastAsiaTheme="majorEastAsia"/>
          <w:sz w:val="24"/>
          <w:szCs w:val="24"/>
          <w:lang w:eastAsia="zh-CN"/>
        </w:rPr>
        <w:t>1+N</w:t>
      </w:r>
      <w:r>
        <w:rPr>
          <w:rFonts w:hint="eastAsia" w:cs="宋体" w:asciiTheme="majorEastAsia" w:hAnsiTheme="majorEastAsia" w:eastAsiaTheme="majorEastAsia"/>
          <w:sz w:val="24"/>
          <w:szCs w:val="24"/>
          <w:lang w:eastAsia="zh-CN"/>
        </w:rPr>
        <w:t>）；</w:t>
      </w:r>
    </w:p>
    <w:p w14:paraId="5DE7384C">
      <w:pPr>
        <w:spacing w:before="120" w:beforeLines="50" w:line="360" w:lineRule="auto"/>
        <w:ind w:firstLine="480" w:firstLineChars="200"/>
        <w:rPr>
          <w:rFonts w:hint="eastAsia" w:cs="Times New Roman" w:asciiTheme="majorEastAsia" w:hAnsiTheme="majorEastAsia" w:eastAsiaTheme="majorEastAsia"/>
          <w:sz w:val="24"/>
          <w:szCs w:val="24"/>
          <w:lang w:eastAsia="zh-CN"/>
        </w:rPr>
      </w:pPr>
      <w:r>
        <w:rPr>
          <w:rFonts w:hint="eastAsia" w:cs="宋体" w:asciiTheme="majorEastAsia" w:hAnsiTheme="majorEastAsia" w:eastAsiaTheme="majorEastAsia"/>
          <w:sz w:val="24"/>
          <w:szCs w:val="24"/>
          <w:lang w:eastAsia="zh-CN"/>
        </w:rPr>
        <w:t>派发现金股利同时送红股或转增股本：</w:t>
      </w:r>
      <w:r>
        <w:rPr>
          <w:rFonts w:cs="Times New Roman" w:asciiTheme="majorEastAsia" w:hAnsiTheme="majorEastAsia" w:eastAsiaTheme="majorEastAsia"/>
          <w:sz w:val="24"/>
          <w:szCs w:val="24"/>
          <w:lang w:eastAsia="zh-CN"/>
        </w:rPr>
        <w:t>P</w:t>
      </w:r>
      <w:r>
        <w:rPr>
          <w:rFonts w:cs="Times New Roman" w:asciiTheme="majorEastAsia" w:hAnsiTheme="majorEastAsia" w:eastAsiaTheme="majorEastAsia"/>
          <w:sz w:val="24"/>
          <w:szCs w:val="24"/>
          <w:vertAlign w:val="subscript"/>
          <w:lang w:eastAsia="zh-CN"/>
        </w:rPr>
        <w:t>1</w:t>
      </w:r>
      <w:r>
        <w:rPr>
          <w:rFonts w:cs="Times New Roman" w:asciiTheme="majorEastAsia" w:hAnsiTheme="majorEastAsia" w:eastAsiaTheme="majorEastAsia"/>
          <w:sz w:val="24"/>
          <w:szCs w:val="24"/>
          <w:lang w:eastAsia="zh-CN"/>
        </w:rPr>
        <w:t>=</w:t>
      </w:r>
      <w:r>
        <w:rPr>
          <w:rFonts w:hint="eastAsia" w:cs="宋体" w:asciiTheme="majorEastAsia" w:hAnsiTheme="majorEastAsia" w:eastAsiaTheme="majorEastAsia"/>
          <w:sz w:val="24"/>
          <w:szCs w:val="24"/>
          <w:lang w:eastAsia="zh-CN"/>
        </w:rPr>
        <w:t>（</w:t>
      </w:r>
      <w:r>
        <w:rPr>
          <w:rFonts w:cs="Times New Roman" w:asciiTheme="majorEastAsia" w:hAnsiTheme="majorEastAsia" w:eastAsiaTheme="majorEastAsia"/>
          <w:sz w:val="24"/>
          <w:szCs w:val="24"/>
          <w:lang w:eastAsia="zh-CN"/>
        </w:rPr>
        <w:t>P</w:t>
      </w:r>
      <w:r>
        <w:rPr>
          <w:rFonts w:cs="Times New Roman" w:asciiTheme="majorEastAsia" w:hAnsiTheme="majorEastAsia" w:eastAsiaTheme="majorEastAsia"/>
          <w:sz w:val="24"/>
          <w:szCs w:val="24"/>
          <w:vertAlign w:val="subscript"/>
          <w:lang w:eastAsia="zh-CN"/>
        </w:rPr>
        <w:t>0</w:t>
      </w:r>
      <w:r>
        <w:rPr>
          <w:rFonts w:cs="Times New Roman" w:asciiTheme="majorEastAsia" w:hAnsiTheme="majorEastAsia" w:eastAsiaTheme="majorEastAsia"/>
          <w:sz w:val="24"/>
          <w:szCs w:val="24"/>
          <w:lang w:eastAsia="zh-CN"/>
        </w:rPr>
        <w:t>-D</w:t>
      </w:r>
      <w:r>
        <w:rPr>
          <w:rFonts w:hint="eastAsia" w:cs="宋体" w:asciiTheme="majorEastAsia" w:hAnsiTheme="majorEastAsia" w:eastAsiaTheme="majorEastAsia"/>
          <w:sz w:val="24"/>
          <w:szCs w:val="24"/>
          <w:lang w:eastAsia="zh-CN"/>
        </w:rPr>
        <w:t>）</w:t>
      </w:r>
      <w:r>
        <w:rPr>
          <w:rFonts w:cs="Times New Roman" w:asciiTheme="majorEastAsia" w:hAnsiTheme="majorEastAsia" w:eastAsiaTheme="majorEastAsia"/>
          <w:sz w:val="24"/>
          <w:szCs w:val="24"/>
          <w:lang w:eastAsia="zh-CN"/>
        </w:rPr>
        <w:t>/</w:t>
      </w:r>
      <w:r>
        <w:rPr>
          <w:rFonts w:hint="eastAsia" w:cs="宋体" w:asciiTheme="majorEastAsia" w:hAnsiTheme="majorEastAsia" w:eastAsiaTheme="majorEastAsia"/>
          <w:sz w:val="24"/>
          <w:szCs w:val="24"/>
          <w:lang w:eastAsia="zh-CN"/>
        </w:rPr>
        <w:t>（</w:t>
      </w:r>
      <w:r>
        <w:rPr>
          <w:rFonts w:cs="Times New Roman" w:asciiTheme="majorEastAsia" w:hAnsiTheme="majorEastAsia" w:eastAsiaTheme="majorEastAsia"/>
          <w:sz w:val="24"/>
          <w:szCs w:val="24"/>
          <w:lang w:eastAsia="zh-CN"/>
        </w:rPr>
        <w:t>1+N</w:t>
      </w:r>
      <w:r>
        <w:rPr>
          <w:rFonts w:hint="eastAsia" w:cs="宋体" w:asciiTheme="majorEastAsia" w:hAnsiTheme="majorEastAsia" w:eastAsiaTheme="majorEastAsia"/>
          <w:sz w:val="24"/>
          <w:szCs w:val="24"/>
          <w:lang w:eastAsia="zh-CN"/>
        </w:rPr>
        <w:t>）；</w:t>
      </w:r>
    </w:p>
    <w:p w14:paraId="3EE00418">
      <w:pPr>
        <w:spacing w:before="120" w:beforeLines="50" w:line="360" w:lineRule="auto"/>
        <w:ind w:firstLine="480" w:firstLineChars="200"/>
        <w:rPr>
          <w:rFonts w:hint="eastAsia" w:cs="Times New Roman" w:asciiTheme="majorEastAsia" w:hAnsiTheme="majorEastAsia" w:eastAsiaTheme="majorEastAsia"/>
          <w:sz w:val="24"/>
          <w:szCs w:val="24"/>
          <w:lang w:eastAsia="zh-CN"/>
        </w:rPr>
      </w:pPr>
      <w:r>
        <w:rPr>
          <w:rFonts w:hint="eastAsia" w:cs="宋体" w:asciiTheme="majorEastAsia" w:hAnsiTheme="majorEastAsia" w:eastAsiaTheme="majorEastAsia"/>
          <w:sz w:val="24"/>
          <w:szCs w:val="24"/>
          <w:lang w:eastAsia="zh-CN"/>
        </w:rPr>
        <w:t>其中，</w:t>
      </w:r>
      <w:r>
        <w:rPr>
          <w:rFonts w:cs="Times New Roman" w:asciiTheme="majorEastAsia" w:hAnsiTheme="majorEastAsia" w:eastAsiaTheme="majorEastAsia"/>
          <w:sz w:val="24"/>
          <w:szCs w:val="24"/>
          <w:lang w:eastAsia="zh-CN"/>
        </w:rPr>
        <w:t>P</w:t>
      </w:r>
      <w:r>
        <w:rPr>
          <w:rFonts w:cs="Times New Roman" w:asciiTheme="majorEastAsia" w:hAnsiTheme="majorEastAsia" w:eastAsiaTheme="majorEastAsia"/>
          <w:sz w:val="24"/>
          <w:szCs w:val="24"/>
          <w:vertAlign w:val="subscript"/>
          <w:lang w:eastAsia="zh-CN"/>
        </w:rPr>
        <w:t>0</w:t>
      </w:r>
      <w:r>
        <w:rPr>
          <w:rFonts w:hint="eastAsia" w:cs="宋体" w:asciiTheme="majorEastAsia" w:hAnsiTheme="majorEastAsia" w:eastAsiaTheme="majorEastAsia"/>
          <w:sz w:val="24"/>
          <w:szCs w:val="24"/>
          <w:lang w:eastAsia="zh-CN"/>
        </w:rPr>
        <w:t>为调整前发行价格，</w:t>
      </w:r>
      <w:r>
        <w:rPr>
          <w:rFonts w:cs="Times New Roman" w:asciiTheme="majorEastAsia" w:hAnsiTheme="majorEastAsia" w:eastAsiaTheme="majorEastAsia"/>
          <w:sz w:val="24"/>
          <w:szCs w:val="24"/>
          <w:lang w:eastAsia="zh-CN"/>
        </w:rPr>
        <w:t>D</w:t>
      </w:r>
      <w:r>
        <w:rPr>
          <w:rFonts w:hint="eastAsia" w:cs="宋体" w:asciiTheme="majorEastAsia" w:hAnsiTheme="majorEastAsia" w:eastAsiaTheme="majorEastAsia"/>
          <w:sz w:val="24"/>
          <w:szCs w:val="24"/>
          <w:lang w:eastAsia="zh-CN"/>
        </w:rPr>
        <w:t>为每股派发现金股利，</w:t>
      </w:r>
      <w:r>
        <w:rPr>
          <w:rFonts w:cs="Times New Roman" w:asciiTheme="majorEastAsia" w:hAnsiTheme="majorEastAsia" w:eastAsiaTheme="majorEastAsia"/>
          <w:sz w:val="24"/>
          <w:szCs w:val="24"/>
          <w:lang w:eastAsia="zh-CN"/>
        </w:rPr>
        <w:t>N</w:t>
      </w:r>
      <w:r>
        <w:rPr>
          <w:rFonts w:hint="eastAsia" w:cs="宋体" w:asciiTheme="majorEastAsia" w:hAnsiTheme="majorEastAsia" w:eastAsiaTheme="majorEastAsia"/>
          <w:sz w:val="24"/>
          <w:szCs w:val="24"/>
          <w:lang w:eastAsia="zh-CN"/>
        </w:rPr>
        <w:t>为每股送红股或转增股本数，</w:t>
      </w:r>
      <w:r>
        <w:rPr>
          <w:rFonts w:cs="Times New Roman" w:asciiTheme="majorEastAsia" w:hAnsiTheme="majorEastAsia" w:eastAsiaTheme="majorEastAsia"/>
          <w:sz w:val="24"/>
          <w:szCs w:val="24"/>
          <w:lang w:eastAsia="zh-CN"/>
        </w:rPr>
        <w:t>P</w:t>
      </w:r>
      <w:r>
        <w:rPr>
          <w:rFonts w:cs="Times New Roman" w:asciiTheme="majorEastAsia" w:hAnsiTheme="majorEastAsia" w:eastAsiaTheme="majorEastAsia"/>
          <w:sz w:val="24"/>
          <w:szCs w:val="24"/>
          <w:vertAlign w:val="subscript"/>
          <w:lang w:eastAsia="zh-CN"/>
        </w:rPr>
        <w:t>1</w:t>
      </w:r>
      <w:r>
        <w:rPr>
          <w:rFonts w:hint="eastAsia" w:cs="宋体" w:asciiTheme="majorEastAsia" w:hAnsiTheme="majorEastAsia" w:eastAsiaTheme="majorEastAsia"/>
          <w:sz w:val="24"/>
          <w:szCs w:val="24"/>
          <w:lang w:eastAsia="zh-CN"/>
        </w:rPr>
        <w:t>为调整后发行价格。</w:t>
      </w:r>
    </w:p>
    <w:p w14:paraId="67495CA6">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若国家法律、法规等相关规定对发行价格和定价原则有新的规定，则公司将按照新的规定进行调整。</w:t>
      </w:r>
    </w:p>
    <w:p w14:paraId="394A0322">
      <w:pPr>
        <w:numPr>
          <w:ilvl w:val="0"/>
          <w:numId w:val="2"/>
        </w:num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认购款的支付方式与股票交割</w:t>
      </w:r>
    </w:p>
    <w:p w14:paraId="2F52FBDF">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本次发行获得中国证监会注册，且收到甲方和本次发行的保荐机构（主承销商）发出的股份认购价款缴付通知书后，</w:t>
      </w:r>
      <w:r>
        <w:rPr>
          <w:rFonts w:hint="eastAsia" w:cs="Times New Roman Regular" w:asciiTheme="majorEastAsia" w:hAnsiTheme="majorEastAsia" w:eastAsiaTheme="majorEastAsia"/>
          <w:sz w:val="24"/>
          <w:szCs w:val="24"/>
          <w:lang w:eastAsia="zh-CN"/>
        </w:rPr>
        <w:t>认购人</w:t>
      </w:r>
      <w:r>
        <w:rPr>
          <w:rFonts w:cs="Times New Roman Regular" w:asciiTheme="majorEastAsia" w:hAnsiTheme="majorEastAsia" w:eastAsiaTheme="majorEastAsia"/>
          <w:sz w:val="24"/>
          <w:szCs w:val="24"/>
          <w:lang w:eastAsia="zh-CN"/>
        </w:rPr>
        <w:t>应按缴款通知书的要求，在该通知确定的缴款日期前以现金方式将全部股份认购价款一次性划入保荐机构（主承销商）为本次向特定对象发行股票所专门开立的账户。上述认购资金在会计师事务所完成验资并扣除相关费用后，</w:t>
      </w:r>
      <w:bookmarkStart w:id="0" w:name="_GoBack"/>
      <w:r>
        <w:rPr>
          <w:rFonts w:cs="Times New Roman Regular" w:asciiTheme="majorEastAsia" w:hAnsiTheme="majorEastAsia" w:eastAsiaTheme="majorEastAsia"/>
          <w:sz w:val="24"/>
          <w:szCs w:val="24"/>
          <w:lang w:eastAsia="zh-CN"/>
        </w:rPr>
        <w:t>再行</w:t>
      </w:r>
      <w:bookmarkEnd w:id="0"/>
      <w:r>
        <w:rPr>
          <w:rFonts w:cs="Times New Roman Regular" w:asciiTheme="majorEastAsia" w:hAnsiTheme="majorEastAsia" w:eastAsiaTheme="majorEastAsia"/>
          <w:sz w:val="24"/>
          <w:szCs w:val="24"/>
          <w:lang w:eastAsia="zh-CN"/>
        </w:rPr>
        <w:t>划入甲方的募集资金专项存储账户。</w:t>
      </w:r>
    </w:p>
    <w:p w14:paraId="3CDC24B7">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在</w:t>
      </w:r>
      <w:r>
        <w:rPr>
          <w:rFonts w:hint="eastAsia" w:cs="Times New Roman Regular" w:asciiTheme="majorEastAsia" w:hAnsiTheme="majorEastAsia" w:eastAsiaTheme="majorEastAsia"/>
          <w:sz w:val="24"/>
          <w:szCs w:val="24"/>
          <w:lang w:eastAsia="zh-CN"/>
        </w:rPr>
        <w:t>认购人</w:t>
      </w:r>
      <w:r>
        <w:rPr>
          <w:rFonts w:cs="Times New Roman Regular" w:asciiTheme="majorEastAsia" w:hAnsiTheme="majorEastAsia" w:eastAsiaTheme="majorEastAsia"/>
          <w:sz w:val="24"/>
          <w:szCs w:val="24"/>
          <w:lang w:eastAsia="zh-CN"/>
        </w:rPr>
        <w:t>支付认购资金后，甲方应向证券登记结算机构申请办理并完成将</w:t>
      </w:r>
      <w:r>
        <w:rPr>
          <w:rFonts w:hint="eastAsia" w:cs="Times New Roman Regular" w:asciiTheme="majorEastAsia" w:hAnsiTheme="majorEastAsia" w:eastAsiaTheme="majorEastAsia"/>
          <w:sz w:val="24"/>
          <w:szCs w:val="24"/>
          <w:lang w:eastAsia="zh-CN"/>
        </w:rPr>
        <w:t>认购人</w:t>
      </w:r>
      <w:r>
        <w:rPr>
          <w:rFonts w:cs="Times New Roman Regular" w:asciiTheme="majorEastAsia" w:hAnsiTheme="majorEastAsia" w:eastAsiaTheme="majorEastAsia"/>
          <w:sz w:val="24"/>
          <w:szCs w:val="24"/>
          <w:lang w:eastAsia="zh-CN"/>
        </w:rPr>
        <w:t>本次认购的股票登记于</w:t>
      </w:r>
      <w:r>
        <w:rPr>
          <w:rFonts w:hint="eastAsia" w:cs="Times New Roman Regular" w:asciiTheme="majorEastAsia" w:hAnsiTheme="majorEastAsia" w:eastAsiaTheme="majorEastAsia"/>
          <w:sz w:val="24"/>
          <w:szCs w:val="24"/>
          <w:lang w:eastAsia="zh-CN"/>
        </w:rPr>
        <w:t>认购人</w:t>
      </w:r>
      <w:r>
        <w:rPr>
          <w:rFonts w:cs="Times New Roman Regular" w:asciiTheme="majorEastAsia" w:hAnsiTheme="majorEastAsia" w:eastAsiaTheme="majorEastAsia"/>
          <w:sz w:val="24"/>
          <w:szCs w:val="24"/>
          <w:lang w:eastAsia="zh-CN"/>
        </w:rPr>
        <w:t>名下的相关登记手续，以使</w:t>
      </w:r>
      <w:r>
        <w:rPr>
          <w:rFonts w:hint="eastAsia" w:cs="Times New Roman Regular" w:asciiTheme="majorEastAsia" w:hAnsiTheme="majorEastAsia" w:eastAsiaTheme="majorEastAsia"/>
          <w:sz w:val="24"/>
          <w:szCs w:val="24"/>
          <w:lang w:eastAsia="zh-CN"/>
        </w:rPr>
        <w:t>认购人</w:t>
      </w:r>
      <w:r>
        <w:rPr>
          <w:rFonts w:cs="Times New Roman Regular" w:asciiTheme="majorEastAsia" w:hAnsiTheme="majorEastAsia" w:eastAsiaTheme="majorEastAsia"/>
          <w:sz w:val="24"/>
          <w:szCs w:val="24"/>
          <w:lang w:eastAsia="zh-CN"/>
        </w:rPr>
        <w:t>成为认购股票的合法持有人。</w:t>
      </w:r>
    </w:p>
    <w:p w14:paraId="781EF158">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四</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认购金额、认购数量和滚存未分配利润安排</w:t>
      </w:r>
    </w:p>
    <w:p w14:paraId="7E826A62">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本次发行的股票为境内上市的人民币普通股（A股），每股面值为人民币1.00元。</w:t>
      </w:r>
    </w:p>
    <w:p w14:paraId="02CA2ADF">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认购人同意按本协议约定的本次发行的价格和条件，认购发行人本次发行的全部股票，最终认购金额为30,000.00万元。</w:t>
      </w:r>
    </w:p>
    <w:p w14:paraId="000EB2BD">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本次发行完成后，甲方滚存的未分配利润将由</w:t>
      </w:r>
      <w:r>
        <w:rPr>
          <w:rFonts w:hint="eastAsia" w:cs="Times New Roman Regular" w:asciiTheme="majorEastAsia" w:hAnsiTheme="majorEastAsia" w:eastAsiaTheme="majorEastAsia"/>
          <w:sz w:val="24"/>
          <w:szCs w:val="24"/>
          <w:lang w:eastAsia="zh-CN"/>
        </w:rPr>
        <w:t>本次向特定对象发行完成后的全体股东按其持股比例共同享有</w:t>
      </w:r>
      <w:r>
        <w:rPr>
          <w:rFonts w:cs="Times New Roman Regular" w:asciiTheme="majorEastAsia" w:hAnsiTheme="majorEastAsia" w:eastAsiaTheme="majorEastAsia"/>
          <w:sz w:val="24"/>
          <w:szCs w:val="24"/>
          <w:lang w:eastAsia="zh-CN"/>
        </w:rPr>
        <w:t>。</w:t>
      </w:r>
    </w:p>
    <w:p w14:paraId="20BF4B36">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五</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认购股份的锁定期</w:t>
      </w:r>
    </w:p>
    <w:p w14:paraId="517F3F29">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乙方承诺，</w:t>
      </w:r>
      <w:r>
        <w:rPr>
          <w:rFonts w:hint="eastAsia" w:cs="Times New Roman Regular" w:asciiTheme="majorEastAsia" w:hAnsiTheme="majorEastAsia" w:eastAsiaTheme="majorEastAsia"/>
          <w:sz w:val="24"/>
          <w:szCs w:val="24"/>
          <w:lang w:eastAsia="zh-CN"/>
        </w:rPr>
        <w:t>认购人通过本次发行取得的发行人股份自相关股份发行结束之日起</w:t>
      </w:r>
      <w:r>
        <w:rPr>
          <w:rFonts w:cs="Times New Roman Regular" w:asciiTheme="majorEastAsia" w:hAnsiTheme="majorEastAsia" w:eastAsiaTheme="majorEastAsia"/>
          <w:sz w:val="24"/>
          <w:szCs w:val="24"/>
          <w:lang w:eastAsia="zh-CN"/>
        </w:rPr>
        <w:t>36</w:t>
      </w:r>
      <w:r>
        <w:rPr>
          <w:rFonts w:hint="eastAsia" w:cs="Times New Roman Regular" w:asciiTheme="majorEastAsia" w:hAnsiTheme="majorEastAsia" w:eastAsiaTheme="majorEastAsia"/>
          <w:sz w:val="24"/>
          <w:szCs w:val="24"/>
          <w:lang w:eastAsia="zh-CN"/>
        </w:rPr>
        <w:t>个月内不转让。自本次发行结束之日起至解除限售之日止，认购人就其所认购的本次发行的股票，因发行人配股、送红股、转增股本等原因增持的部分亦应遵守上述限售安排。</w:t>
      </w:r>
    </w:p>
    <w:p w14:paraId="12B73DBC">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上述锁定期满后，该等股份的解锁及减持将按中国证监会及上交所的规定执行。</w:t>
      </w:r>
    </w:p>
    <w:p w14:paraId="0065C5C0">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六</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协议的生效条件和生效时间</w:t>
      </w:r>
    </w:p>
    <w:p w14:paraId="43BC5103">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本</w:t>
      </w:r>
      <w:r>
        <w:rPr>
          <w:rFonts w:cs="Times New Roman Regular" w:asciiTheme="majorEastAsia" w:hAnsiTheme="majorEastAsia" w:eastAsiaTheme="majorEastAsia"/>
          <w:sz w:val="24"/>
          <w:szCs w:val="24"/>
          <w:lang w:eastAsia="zh-CN"/>
        </w:rPr>
        <w:t>协议自甲乙双方签字/盖章之日起成立，自下列条件均成就之日起生效：</w:t>
      </w:r>
    </w:p>
    <w:p w14:paraId="4F3F76FD">
      <w:pPr>
        <w:numPr>
          <w:ilvl w:val="0"/>
          <w:numId w:val="3"/>
        </w:num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甲方的董事会以及股东会已经审议通过本次向特定对象发行股票方案及相关事项；</w:t>
      </w:r>
    </w:p>
    <w:p w14:paraId="35B9EE5F">
      <w:pPr>
        <w:numPr>
          <w:ilvl w:val="0"/>
          <w:numId w:val="3"/>
        </w:num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甲方本次向特定对象发行股票通过上交所审核，且获得中国证监会注册文件。</w:t>
      </w:r>
    </w:p>
    <w:p w14:paraId="07EE1D1A">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前述任何一项条件未能得到满足，本次交易自始无效。如非因一方或双方违约的原因造成前述条件未能得到满足，则双方各自承担因签署及准备履行本协议所支付之费用，且双方互不承担责任。</w:t>
      </w:r>
    </w:p>
    <w:p w14:paraId="3563ABEC">
      <w:pPr>
        <w:spacing w:line="360" w:lineRule="auto"/>
        <w:ind w:firstLine="482" w:firstLineChars="200"/>
        <w:jc w:val="both"/>
        <w:rPr>
          <w:rFonts w:hint="eastAsia" w:cs="黑体" w:asciiTheme="majorEastAsia" w:hAnsiTheme="majorEastAsia" w:eastAsiaTheme="majorEastAsia"/>
          <w:b/>
          <w:bCs/>
          <w:sz w:val="24"/>
          <w:szCs w:val="24"/>
          <w:lang w:eastAsia="zh-CN"/>
        </w:rPr>
      </w:pPr>
      <w:r>
        <w:rPr>
          <w:rFonts w:cs="黑体" w:asciiTheme="majorEastAsia" w:hAnsiTheme="majorEastAsia" w:eastAsiaTheme="majorEastAsia"/>
          <w:b/>
          <w:bCs/>
          <w:sz w:val="24"/>
          <w:szCs w:val="24"/>
          <w:lang w:eastAsia="zh-CN"/>
        </w:rPr>
        <w:t>五、关联交易对公司影响</w:t>
      </w:r>
    </w:p>
    <w:p w14:paraId="3ABEA895">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（一）关联交易的必要性</w:t>
      </w:r>
    </w:p>
    <w:p w14:paraId="684224D0">
      <w:pPr>
        <w:numPr>
          <w:ilvl w:val="0"/>
          <w:numId w:val="4"/>
        </w:num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把握行业机遇，扩大公司业务规模</w:t>
      </w:r>
    </w:p>
    <w:p w14:paraId="431012E0">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能源结构转型与新能源技术突破正推动电力设备市场进入高速增长周期，一方面，光伏、风电等可再生能源装机量持续攀升，直接促进电力设备的需求增长；另一方面，电网基础设施更新、制造业智能化转型以及人工智能、云计算等数字技术基础设施的快速发展为电力设备行业增量发展提供了重要支撑。</w:t>
      </w:r>
    </w:p>
    <w:p w14:paraId="338D2E27">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在国家持续加大电力基础设施投资的背景下，借助本次向特定对象发行股票的募集资金，公司有望持续加大研发技术投入，积极推进产能提升与高端化产品转型，不断拓展市场布局，进而把握电力设备行业发展的重要机遇，稳步扩大公司主营业务规模。</w:t>
      </w:r>
    </w:p>
    <w:p w14:paraId="38351E71">
      <w:pPr>
        <w:numPr>
          <w:ilvl w:val="0"/>
          <w:numId w:val="4"/>
        </w:num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满足公司营运资金需求，提升公司核心竞争力</w:t>
      </w:r>
    </w:p>
    <w:p w14:paraId="0228C824">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通过实施本次向特定对象发行股票募集资金，公司得以进一步补充和增强资金实力，可以有效缓解公司业务发展和技术更新所面临的流动资金压力，为自身业务发展提供资源保障，加强公司应对宏观经济波动的抗风险能力，为公司未来核心业务增长与战略布局提供长期资金支持，从而全面提升公司的核心竞争力和持续盈利能力。</w:t>
      </w:r>
    </w:p>
    <w:p w14:paraId="646B6C68">
      <w:pPr>
        <w:numPr>
          <w:ilvl w:val="0"/>
          <w:numId w:val="4"/>
        </w:num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提高</w:t>
      </w:r>
      <w:r>
        <w:rPr>
          <w:rFonts w:hint="eastAsia" w:cs="Times New Roman Regular" w:asciiTheme="majorEastAsia" w:hAnsiTheme="majorEastAsia" w:eastAsiaTheme="majorEastAsia"/>
          <w:sz w:val="24"/>
          <w:szCs w:val="24"/>
          <w:lang w:eastAsia="zh-CN"/>
        </w:rPr>
        <w:t>控股股东</w:t>
      </w:r>
      <w:r>
        <w:rPr>
          <w:rFonts w:cs="Times New Roman Regular" w:asciiTheme="majorEastAsia" w:hAnsiTheme="majorEastAsia" w:eastAsiaTheme="majorEastAsia"/>
          <w:sz w:val="24"/>
          <w:szCs w:val="24"/>
          <w:lang w:eastAsia="zh-CN"/>
        </w:rPr>
        <w:t>持股比例，增强公司控制权的稳定性</w:t>
      </w:r>
    </w:p>
    <w:p w14:paraId="586F0CCC">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通过认购本次向特定对象发行股票，公司</w:t>
      </w:r>
      <w:r>
        <w:rPr>
          <w:rFonts w:hint="eastAsia" w:cs="Times New Roman Regular" w:asciiTheme="majorEastAsia" w:hAnsiTheme="majorEastAsia" w:eastAsiaTheme="majorEastAsia"/>
          <w:sz w:val="24"/>
          <w:szCs w:val="24"/>
          <w:lang w:eastAsia="zh-CN"/>
        </w:rPr>
        <w:t>控股股东</w:t>
      </w:r>
      <w:r>
        <w:rPr>
          <w:rFonts w:cs="Times New Roman Regular" w:asciiTheme="majorEastAsia" w:hAnsiTheme="majorEastAsia" w:eastAsiaTheme="majorEastAsia"/>
          <w:sz w:val="24"/>
          <w:szCs w:val="24"/>
          <w:lang w:eastAsia="zh-CN"/>
        </w:rPr>
        <w:t>持股比例将得到提升，有助于进一步增强公司控制权的稳定性</w:t>
      </w:r>
      <w:r>
        <w:rPr>
          <w:rFonts w:hint="eastAsia" w:cs="Times New Roman Regular" w:asciiTheme="majorEastAsia" w:hAnsiTheme="majorEastAsia" w:eastAsiaTheme="majorEastAsia"/>
          <w:sz w:val="24"/>
          <w:szCs w:val="24"/>
          <w:lang w:eastAsia="zh-CN"/>
        </w:rPr>
        <w:t>，亦</w:t>
      </w:r>
      <w:r>
        <w:rPr>
          <w:rFonts w:cs="Times New Roman Regular" w:asciiTheme="majorEastAsia" w:hAnsiTheme="majorEastAsia" w:eastAsiaTheme="majorEastAsia"/>
          <w:sz w:val="24"/>
          <w:szCs w:val="24"/>
          <w:lang w:eastAsia="zh-CN"/>
        </w:rPr>
        <w:t>彰显</w:t>
      </w:r>
      <w:r>
        <w:rPr>
          <w:rFonts w:hint="eastAsia" w:cs="Times New Roman Regular" w:asciiTheme="majorEastAsia" w:hAnsiTheme="majorEastAsia" w:eastAsiaTheme="majorEastAsia"/>
          <w:sz w:val="24"/>
          <w:szCs w:val="24"/>
          <w:lang w:eastAsia="zh-CN"/>
        </w:rPr>
        <w:t>控股股东</w:t>
      </w:r>
      <w:r>
        <w:rPr>
          <w:rFonts w:cs="Times New Roman Regular" w:asciiTheme="majorEastAsia" w:hAnsiTheme="majorEastAsia" w:eastAsiaTheme="majorEastAsia"/>
          <w:sz w:val="24"/>
          <w:szCs w:val="24"/>
          <w:lang w:eastAsia="zh-CN"/>
        </w:rPr>
        <w:t>对上市公司未来发展前景的坚定信心，有利于向市场以及中小股东传递积极信号。</w:t>
      </w:r>
    </w:p>
    <w:p w14:paraId="588EDE54">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（二）本次交易对公司的影响</w:t>
      </w:r>
    </w:p>
    <w:p w14:paraId="460254CF">
      <w:pPr>
        <w:numPr>
          <w:ilvl w:val="0"/>
          <w:numId w:val="5"/>
        </w:num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w:t>
      </w:r>
      <w:r>
        <w:rPr>
          <w:rFonts w:hint="eastAsia" w:cs="Times New Roman Regular" w:asciiTheme="majorEastAsia" w:hAnsiTheme="majorEastAsia" w:eastAsiaTheme="majorEastAsia"/>
          <w:sz w:val="24"/>
          <w:szCs w:val="24"/>
          <w:lang w:eastAsia="zh-CN"/>
        </w:rPr>
        <w:t>交易</w:t>
      </w:r>
      <w:r>
        <w:rPr>
          <w:rFonts w:cs="Times New Roman Regular" w:asciiTheme="majorEastAsia" w:hAnsiTheme="majorEastAsia" w:eastAsiaTheme="majorEastAsia"/>
          <w:sz w:val="24"/>
          <w:szCs w:val="24"/>
          <w:lang w:eastAsia="zh-CN"/>
        </w:rPr>
        <w:t>对公司经营管理的影响</w:t>
      </w:r>
    </w:p>
    <w:p w14:paraId="6FA96F93">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公司本次向特定对象发行募集资金扣除发行费用后，拟用于补充流动资金，有助于提高公司的资本实力，降低公司的资产负债率，增强公司风险防范能力，推动公司业务健康发展并提升持续经营能力和公司核心竞争力，也将进一步增强公司控制权的稳定性。</w:t>
      </w:r>
    </w:p>
    <w:p w14:paraId="6453EB7D">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向特定对象发行不会导致公司主营业务发生重大变化。本次向特定对象发行完成后，公司仍将具有完善的法人治理结构，与控股股东、实际控制人在业务、人员、资产、财务和机构的独立性方面不会产生影响。</w:t>
      </w:r>
    </w:p>
    <w:p w14:paraId="57B64773">
      <w:pPr>
        <w:numPr>
          <w:ilvl w:val="0"/>
          <w:numId w:val="5"/>
        </w:num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w:t>
      </w:r>
      <w:r>
        <w:rPr>
          <w:rFonts w:hint="eastAsia" w:cs="Times New Roman Regular" w:asciiTheme="majorEastAsia" w:hAnsiTheme="majorEastAsia" w:eastAsiaTheme="majorEastAsia"/>
          <w:sz w:val="24"/>
          <w:szCs w:val="24"/>
          <w:lang w:eastAsia="zh-CN"/>
        </w:rPr>
        <w:t>交易</w:t>
      </w:r>
      <w:r>
        <w:rPr>
          <w:rFonts w:cs="Times New Roman Regular" w:asciiTheme="majorEastAsia" w:hAnsiTheme="majorEastAsia" w:eastAsiaTheme="majorEastAsia"/>
          <w:sz w:val="24"/>
          <w:szCs w:val="24"/>
          <w:lang w:eastAsia="zh-CN"/>
        </w:rPr>
        <w:t>对公司财务状况的影响</w:t>
      </w:r>
    </w:p>
    <w:p w14:paraId="2EE62EDF">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向特定对象发行完成后，公司的资本实力进一步增强。公司的总资产和净资产规模均会有所增长，资产负债率将相应下降，公司的资本结构将得到优化，有利于增强公司的偿债能力，降低公司的财务风险，为公司后续发展提供有力保障。综上，本次发行有利于优化资本结构、提高偿债能力、降低财务风险，为公司业务发展奠定坚实的基础。</w:t>
      </w:r>
    </w:p>
    <w:p w14:paraId="279EFAF2">
      <w:pPr>
        <w:spacing w:line="360" w:lineRule="auto"/>
        <w:ind w:firstLine="482" w:firstLineChars="200"/>
        <w:jc w:val="both"/>
        <w:rPr>
          <w:rFonts w:hint="eastAsia" w:cs="黑体" w:asciiTheme="majorEastAsia" w:hAnsiTheme="majorEastAsia" w:eastAsiaTheme="majorEastAsia"/>
          <w:b/>
          <w:bCs/>
          <w:sz w:val="24"/>
          <w:szCs w:val="24"/>
          <w:lang w:eastAsia="zh-CN"/>
        </w:rPr>
      </w:pPr>
      <w:r>
        <w:rPr>
          <w:rFonts w:cs="黑体" w:asciiTheme="majorEastAsia" w:hAnsiTheme="majorEastAsia" w:eastAsiaTheme="majorEastAsia"/>
          <w:b/>
          <w:bCs/>
          <w:sz w:val="24"/>
          <w:szCs w:val="24"/>
          <w:lang w:eastAsia="zh-CN"/>
        </w:rPr>
        <w:t>六、关联交易应当履行的审议程序</w:t>
      </w:r>
    </w:p>
    <w:p w14:paraId="1534347F">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2026年2月6日，</w:t>
      </w:r>
      <w:r>
        <w:rPr>
          <w:rFonts w:cs="Times New Roman Regular" w:asciiTheme="majorEastAsia" w:hAnsiTheme="majorEastAsia" w:eastAsiaTheme="majorEastAsia"/>
          <w:sz w:val="24"/>
          <w:szCs w:val="24"/>
          <w:lang w:eastAsia="zh-CN"/>
        </w:rPr>
        <w:t>公司独立董事已召开</w:t>
      </w:r>
      <w:r>
        <w:rPr>
          <w:rFonts w:hint="eastAsia" w:cs="Times New Roman Regular" w:asciiTheme="majorEastAsia" w:hAnsiTheme="majorEastAsia" w:eastAsiaTheme="majorEastAsia"/>
          <w:sz w:val="24"/>
          <w:szCs w:val="24"/>
          <w:lang w:eastAsia="zh-CN"/>
        </w:rPr>
        <w:t>第四届董事会独立董事专门会议第五次会议</w:t>
      </w:r>
      <w:r>
        <w:rPr>
          <w:rFonts w:cs="Times New Roman Regular" w:asciiTheme="majorEastAsia" w:hAnsiTheme="majorEastAsia" w:eastAsiaTheme="majorEastAsia"/>
          <w:sz w:val="24"/>
          <w:szCs w:val="24"/>
          <w:lang w:eastAsia="zh-CN"/>
        </w:rPr>
        <w:t>，对本次交易的相关事项进行了审议，全体独立董事一致认可并同意将相关议案提交董事会审议。</w:t>
      </w:r>
    </w:p>
    <w:p w14:paraId="7CF59929">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公司</w:t>
      </w:r>
      <w:r>
        <w:rPr>
          <w:rFonts w:hint="eastAsia" w:cs="Times New Roman Regular" w:asciiTheme="majorEastAsia" w:hAnsiTheme="majorEastAsia" w:eastAsiaTheme="majorEastAsia"/>
          <w:sz w:val="24"/>
          <w:szCs w:val="24"/>
          <w:lang w:eastAsia="zh-CN"/>
        </w:rPr>
        <w:t>第四届董事会第十七次会议、第四届董事会审计委员会第十一次会议</w:t>
      </w:r>
      <w:r>
        <w:rPr>
          <w:rFonts w:cs="Times New Roman Regular" w:asciiTheme="majorEastAsia" w:hAnsiTheme="majorEastAsia" w:eastAsiaTheme="majorEastAsia"/>
          <w:sz w:val="24"/>
          <w:szCs w:val="24"/>
          <w:lang w:eastAsia="zh-CN"/>
        </w:rPr>
        <w:t>已审议通过本次交易的相关议案，关联董事</w:t>
      </w:r>
      <w:r>
        <w:rPr>
          <w:rFonts w:hint="eastAsia" w:cs="Times New Roman Regular" w:asciiTheme="majorEastAsia" w:hAnsiTheme="majorEastAsia" w:eastAsiaTheme="majorEastAsia"/>
          <w:sz w:val="24"/>
          <w:szCs w:val="24"/>
          <w:lang w:eastAsia="zh-CN"/>
        </w:rPr>
        <w:t>杨泽民</w:t>
      </w:r>
      <w:r>
        <w:rPr>
          <w:rFonts w:cs="Times New Roman Regular" w:asciiTheme="majorEastAsia" w:hAnsiTheme="majorEastAsia" w:eastAsiaTheme="majorEastAsia"/>
          <w:sz w:val="24"/>
          <w:szCs w:val="24"/>
          <w:lang w:eastAsia="zh-CN"/>
        </w:rPr>
        <w:t>先生、皮统政先生回避表决。</w:t>
      </w:r>
    </w:p>
    <w:p w14:paraId="47E2E79D">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本次交易尚需股东会审议批准，与该关联交易有利害关系的关联人将放弃行使在股东会上对相关议案的投票权。本次交易还需上交所审核通过及中国证监会同意注册后方可实施。</w:t>
      </w:r>
    </w:p>
    <w:p w14:paraId="09BBD8B1">
      <w:pPr>
        <w:spacing w:line="360" w:lineRule="auto"/>
        <w:ind w:firstLine="480" w:firstLineChars="200"/>
        <w:rPr>
          <w:rFonts w:hint="eastAsia" w:cs="Times New Roman Regular" w:asciiTheme="majorEastAsia" w:hAnsiTheme="majorEastAsia" w:eastAsiaTheme="majorEastAsia"/>
          <w:sz w:val="24"/>
          <w:szCs w:val="24"/>
          <w:lang w:eastAsia="zh-CN"/>
        </w:rPr>
      </w:pPr>
    </w:p>
    <w:p w14:paraId="0DB3FD93">
      <w:pPr>
        <w:pStyle w:val="2"/>
        <w:spacing w:line="360" w:lineRule="auto"/>
        <w:ind w:firstLine="472" w:firstLineChars="200"/>
        <w:rPr>
          <w:rFonts w:hint="eastAsia" w:cs="Times New Roman Regular" w:asciiTheme="majorEastAsia" w:hAnsiTheme="majorEastAsia" w:eastAsiaTheme="majorEastAsia"/>
          <w:lang w:eastAsia="zh-CN"/>
        </w:rPr>
      </w:pPr>
      <w:r>
        <w:rPr>
          <w:rFonts w:cs="Times New Roman Regular" w:asciiTheme="majorEastAsia" w:hAnsiTheme="majorEastAsia" w:eastAsiaTheme="majorEastAsia"/>
          <w:spacing w:val="-2"/>
          <w:lang w:eastAsia="zh-CN"/>
        </w:rPr>
        <w:t>特此公告。</w:t>
      </w:r>
    </w:p>
    <w:p w14:paraId="76DD0413">
      <w:pPr>
        <w:spacing w:line="478" w:lineRule="auto"/>
        <w:rPr>
          <w:rFonts w:hint="eastAsia" w:cs="Times New Roman Regular" w:asciiTheme="majorEastAsia" w:hAnsiTheme="majorEastAsia" w:eastAsiaTheme="majorEastAsia"/>
          <w:lang w:eastAsia="zh-CN"/>
        </w:rPr>
      </w:pPr>
    </w:p>
    <w:p w14:paraId="7BC9D7EC">
      <w:pPr>
        <w:pStyle w:val="2"/>
        <w:spacing w:line="360" w:lineRule="auto"/>
        <w:jc w:val="right"/>
        <w:rPr>
          <w:rFonts w:hint="eastAsia" w:cs="Times New Roman Regular" w:asciiTheme="majorEastAsia" w:hAnsiTheme="majorEastAsia" w:eastAsiaTheme="majorEastAsia"/>
          <w:lang w:eastAsia="zh-CN"/>
        </w:rPr>
      </w:pPr>
      <w:r>
        <w:rPr>
          <w:rFonts w:cs="Times New Roman Regular" w:asciiTheme="majorEastAsia" w:hAnsiTheme="majorEastAsia" w:eastAsiaTheme="majorEastAsia"/>
          <w:spacing w:val="-1"/>
          <w:lang w:eastAsia="zh-CN"/>
        </w:rPr>
        <w:t>重庆望变电气（集团）股份有限公司董事会</w:t>
      </w:r>
    </w:p>
    <w:p w14:paraId="1A464D1C">
      <w:pPr>
        <w:pStyle w:val="2"/>
        <w:spacing w:line="360" w:lineRule="auto"/>
        <w:jc w:val="right"/>
        <w:rPr>
          <w:rFonts w:hint="eastAsia" w:cs="Times New Roman Regular" w:asciiTheme="majorEastAsia" w:hAnsiTheme="majorEastAsia" w:eastAsiaTheme="majorEastAsia"/>
          <w:lang w:eastAsia="zh-CN"/>
        </w:rPr>
      </w:pPr>
      <w:r>
        <w:rPr>
          <w:rFonts w:hint="eastAsia" w:cs="Times New Roman Regular" w:asciiTheme="majorEastAsia" w:hAnsiTheme="majorEastAsia" w:eastAsiaTheme="majorEastAsia"/>
          <w:lang w:eastAsia="zh-CN"/>
        </w:rPr>
        <w:t>2026年2月7日</w:t>
      </w:r>
    </w:p>
    <w:sectPr>
      <w:footerReference r:id="rId3" w:type="default"/>
      <w:pgSz w:w="11906" w:h="16838"/>
      <w:pgMar w:top="1431" w:right="1741" w:bottom="1376" w:left="1785" w:header="0" w:footer="122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ingFang SC">
    <w:altName w:val="宋体"/>
    <w:panose1 w:val="00000000000000000000"/>
    <w:charset w:val="86"/>
    <w:family w:val="auto"/>
    <w:pitch w:val="default"/>
    <w:sig w:usb0="00000000" w:usb1="00000000" w:usb2="00000017"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46D42">
    <w:pPr>
      <w:spacing w:line="164" w:lineRule="auto"/>
      <w:ind w:left="41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F8519">
                          <w:pPr>
                            <w:pStyle w:val="3"/>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0DF8519">
                    <w:pPr>
                      <w:pStyle w:val="3"/>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B1D4B"/>
    <w:multiLevelType w:val="singleLevel"/>
    <w:tmpl w:val="BFCB1D4B"/>
    <w:lvl w:ilvl="0" w:tentative="0">
      <w:start w:val="1"/>
      <w:numFmt w:val="decimal"/>
      <w:suff w:val="nothing"/>
      <w:lvlText w:val="%1．"/>
      <w:lvlJc w:val="left"/>
      <w:pPr>
        <w:ind w:left="0" w:firstLine="400"/>
      </w:pPr>
      <w:rPr>
        <w:rFonts w:hint="default"/>
      </w:rPr>
    </w:lvl>
  </w:abstractNum>
  <w:abstractNum w:abstractNumId="1">
    <w:nsid w:val="F57D21B5"/>
    <w:multiLevelType w:val="singleLevel"/>
    <w:tmpl w:val="F57D21B5"/>
    <w:lvl w:ilvl="0" w:tentative="0">
      <w:start w:val="1"/>
      <w:numFmt w:val="decimal"/>
      <w:suff w:val="nothing"/>
      <w:lvlText w:val="%1．"/>
      <w:lvlJc w:val="left"/>
      <w:pPr>
        <w:ind w:left="0" w:firstLine="400"/>
      </w:pPr>
      <w:rPr>
        <w:rFonts w:hint="default"/>
      </w:rPr>
    </w:lvl>
  </w:abstractNum>
  <w:abstractNum w:abstractNumId="2">
    <w:nsid w:val="FBEF502F"/>
    <w:multiLevelType w:val="singleLevel"/>
    <w:tmpl w:val="FBEF502F"/>
    <w:lvl w:ilvl="0" w:tentative="0">
      <w:start w:val="1"/>
      <w:numFmt w:val="decimal"/>
      <w:suff w:val="nothing"/>
      <w:lvlText w:val="%1．"/>
      <w:lvlJc w:val="left"/>
      <w:pPr>
        <w:ind w:left="0" w:firstLine="400"/>
      </w:pPr>
      <w:rPr>
        <w:rFonts w:hint="default"/>
      </w:rPr>
    </w:lvl>
  </w:abstractNum>
  <w:abstractNum w:abstractNumId="3">
    <w:nsid w:val="FFFFE4C4"/>
    <w:multiLevelType w:val="singleLevel"/>
    <w:tmpl w:val="FFFFE4C4"/>
    <w:lvl w:ilvl="0" w:tentative="0">
      <w:start w:val="1"/>
      <w:numFmt w:val="decimal"/>
      <w:suff w:val="nothing"/>
      <w:lvlText w:val="%1．"/>
      <w:lvlJc w:val="left"/>
      <w:pPr>
        <w:ind w:left="0" w:firstLine="400"/>
      </w:pPr>
      <w:rPr>
        <w:rFonts w:hint="default"/>
      </w:rPr>
    </w:lvl>
  </w:abstractNum>
  <w:abstractNum w:abstractNumId="4">
    <w:nsid w:val="7BFD20D6"/>
    <w:multiLevelType w:val="singleLevel"/>
    <w:tmpl w:val="7BFD20D6"/>
    <w:lvl w:ilvl="0" w:tentative="0">
      <w:start w:val="1"/>
      <w:numFmt w:val="decimal"/>
      <w:suff w:val="nothing"/>
      <w:lvlText w:val="%1．"/>
      <w:lvlJc w:val="left"/>
      <w:pPr>
        <w:ind w:left="0" w:firstLine="40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506385"/>
    <w:rsid w:val="00017264"/>
    <w:rsid w:val="00056AE6"/>
    <w:rsid w:val="00091D0C"/>
    <w:rsid w:val="00107BD5"/>
    <w:rsid w:val="00145114"/>
    <w:rsid w:val="00176FF7"/>
    <w:rsid w:val="001A5C5A"/>
    <w:rsid w:val="00224A2B"/>
    <w:rsid w:val="00250F3A"/>
    <w:rsid w:val="0027279F"/>
    <w:rsid w:val="002E1BF8"/>
    <w:rsid w:val="00312B6B"/>
    <w:rsid w:val="00326CCF"/>
    <w:rsid w:val="00335B76"/>
    <w:rsid w:val="00382C7E"/>
    <w:rsid w:val="003B1826"/>
    <w:rsid w:val="003C2E8A"/>
    <w:rsid w:val="003F0689"/>
    <w:rsid w:val="004A2D6C"/>
    <w:rsid w:val="00506385"/>
    <w:rsid w:val="006403B4"/>
    <w:rsid w:val="006503AA"/>
    <w:rsid w:val="006E4BCB"/>
    <w:rsid w:val="007150F9"/>
    <w:rsid w:val="00761357"/>
    <w:rsid w:val="008226C7"/>
    <w:rsid w:val="00887A4E"/>
    <w:rsid w:val="00911D96"/>
    <w:rsid w:val="00942FD8"/>
    <w:rsid w:val="00952863"/>
    <w:rsid w:val="009608E4"/>
    <w:rsid w:val="00AC2536"/>
    <w:rsid w:val="00AE1588"/>
    <w:rsid w:val="00B70D99"/>
    <w:rsid w:val="00C03131"/>
    <w:rsid w:val="00D03766"/>
    <w:rsid w:val="00D516FB"/>
    <w:rsid w:val="00EE42F0"/>
    <w:rsid w:val="00F26559"/>
    <w:rsid w:val="00FB47C7"/>
    <w:rsid w:val="17FD36D6"/>
    <w:rsid w:val="1CEB9A0A"/>
    <w:rsid w:val="57EB133A"/>
    <w:rsid w:val="6FFF1929"/>
    <w:rsid w:val="BFDDE4D6"/>
    <w:rsid w:val="CDFEF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PingFang SC" w:hAnsi="PingFang SC" w:eastAsia="PingFang SC" w:cs="PingFang SC"/>
      <w:sz w:val="24"/>
      <w:szCs w:val="24"/>
    </w:rPr>
  </w:style>
  <w:style w:type="paragraph" w:styleId="3">
    <w:name w:val="footer"/>
    <w:basedOn w:val="1"/>
    <w:uiPriority w:val="0"/>
    <w:pPr>
      <w:tabs>
        <w:tab w:val="center" w:pos="4153"/>
        <w:tab w:val="right" w:pos="8306"/>
      </w:tabs>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qFormat/>
    <w:uiPriority w:val="0"/>
    <w:pPr>
      <w:spacing w:beforeAutospacing="1" w:afterAutospacing="1"/>
    </w:pPr>
    <w:rPr>
      <w:rFonts w:cs="Times New Roman"/>
      <w:sz w:val="24"/>
      <w:lang w:eastAsia="zh-CN"/>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PingFang SC" w:hAnsi="PingFang SC" w:eastAsia="PingFang SC" w:cs="PingFang SC"/>
      <w:sz w:val="24"/>
      <w:szCs w:val="24"/>
    </w:rPr>
  </w:style>
  <w:style w:type="paragraph" w:styleId="10">
    <w:name w:val="List Paragraph"/>
    <w:basedOn w:val="1"/>
    <w:qFormat/>
    <w:uiPriority w:val="34"/>
    <w:pPr>
      <w:ind w:left="720"/>
      <w:contextualSpacing/>
    </w:pPr>
  </w:style>
  <w:style w:type="paragraph" w:customStyle="1" w:styleId="11">
    <w:name w:val="修订1"/>
    <w:hidden/>
    <w:unhideWhenUsed/>
    <w:uiPriority w:val="99"/>
    <w:rPr>
      <w:rFonts w:ascii="Arial" w:hAnsi="Arial" w:eastAsia="Arial" w:cs="Arial"/>
      <w:snapToGrid w:val="0"/>
      <w:color w:val="000000"/>
      <w:sz w:val="21"/>
      <w:szCs w:val="21"/>
      <w:lang w:val="en-US" w:eastAsia="en-US" w:bidi="ar-SA"/>
    </w:rPr>
  </w:style>
  <w:style w:type="paragraph" w:customStyle="1" w:styleId="12">
    <w:name w:val="修订2"/>
    <w:hidden/>
    <w:unhideWhenUsed/>
    <w:uiPriority w:val="99"/>
    <w:rPr>
      <w:rFonts w:ascii="Arial" w:hAnsi="Arial" w:eastAsia="Arial" w:cs="Arial"/>
      <w:snapToGrid w:val="0"/>
      <w:color w:val="000000"/>
      <w:sz w:val="21"/>
      <w:szCs w:val="21"/>
      <w:lang w:val="en-US" w:eastAsia="en-US" w:bidi="ar-SA"/>
    </w:rPr>
  </w:style>
  <w:style w:type="paragraph" w:customStyle="1" w:styleId="13">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1ee9f376-100e-48c2-9d98-19f378231724</errorID>
      <errorWord>股份</errorWord>
      <group>L1_AI</group>
      <groupName>深度校对</groupName>
      <ability>L2_AI_Word</ability>
      <abilityName>字词纠错</abilityName>
      <candidateList>
        <item>股股份</item>
      </candidateList>
      <explain/>
      <paraID>7C58CCD5</paraID>
      <start>61</start>
      <end>64</end>
      <status>modified</status>
      <modifiedWord>股股份</modifiedWord>
      <trackRevisions>false</trackRevisions>
    </reviewItem>
    <reviewItem>
      <errorID>6c28818a-b82e-407d-9de3-0ffde7a8d687</errorID>
      <errorWord>、</errorWord>
      <group>L1_AI</group>
      <groupName>深度校对</groupName>
      <ability>L2_AI_Punc</ability>
      <abilityName>标点纠错</abilityName>
      <candidateList>
        <item>，</item>
      </candidateList>
      <explain/>
      <paraID>7C58CCD5</paraID>
      <start>64</start>
      <end>65</end>
      <status>unmodified</status>
      <modifiedWord/>
      <trackRevisions>false</trackRevisions>
    </reviewItem>
    <reviewItem>
      <errorID>f3060963-bd95-488f-9d81-33618d3ab102</errorID>
      <errorWord>刑事</errorWord>
      <group>L1_AI</group>
      <groupName>深度校对</groupName>
      <ability>L2_AI_Punc</ability>
      <abilityName>标点纠错</abilityName>
      <candidateList>
        <item>、刑事</item>
      </candidateList>
      <explain/>
      <paraID> 78C05CB</paraID>
      <start>9</start>
      <end>11</end>
      <status>unmodified</status>
      <modifiedWord/>
      <trackRevisions>false</trackRevisions>
    </reviewItem>
    <reviewItem>
      <errorID>7468ba03-a7af-45dc-b25d-97e772cca7ae</errorID>
      <errorWord>或者</errorWord>
      <group>L1_AI</group>
      <groupName>深度校对</groupName>
      <ability>L2_AI_Punc</ability>
      <abilityName>标点纠错</abilityName>
      <candidateList>
        <item>，或者</item>
      </candidateList>
      <explain/>
      <paraID> 78C05CB</paraID>
      <start>13</start>
      <end>15</end>
      <status>unmodified</status>
      <modifiedWord/>
      <trackRevisions>false</trackRevisions>
    </reviewItem>
    <reviewItem>
      <errorID>aa673cfe-32c5-438f-a303-5b36607ead54</errorID>
      <errorWord>法律、法规</errorWord>
      <group>L1_Word</group>
      <groupName>字词问题</groupName>
      <ability>L2_Typo</ability>
      <abilityName>字词错误</abilityName>
      <candidateList>
        <item>法律法规</item>
      </candidateList>
      <explain/>
      <paraID>67495CA6</paraID>
      <start>3</start>
      <end>8</end>
      <status>unmodified</status>
      <modifiedWord/>
      <trackRevisions>false</trackRevisions>
    </reviewItem>
    <reviewItem>
      <errorID>3ae3f343-c7ba-484b-9c7b-03699b65cca6</errorID>
      <errorWord>再行</errorWord>
      <group>L1_Word</group>
      <groupName>字词问题</groupName>
      <ability>L2_Typo</ability>
      <abilityName>字词错误</abilityName>
      <candidateList>
        <item>再</item>
      </candidateList>
      <explain>❶〈副〉a）表示又一次（有时专指第二次）：～版｜～接～厉｜一而～，～而三｜学习，学习，～学习。注意表示已经重复的动作用“又”，表示将要重复的动作用“再”，如：这部书前几天我又读了一遍，以后有时间我还要～读一遍。b）表示更加：高点儿，～高点儿｜～多一点儿就好了。c）表示如果继续下去就会怎样：学习～不努力，就得留级了｜离开车只剩半个钟头了，～不走可赶不上了。</explain>
      <paraID>2F52FBDF</paraID>
      <start>153</start>
      <end>155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542d22-c21e-47e0-981c-793d6c34a003}">
  <ds:schemaRefs/>
</ds:datastoreItem>
</file>

<file path=docProps/app.xml><?xml version="1.0" encoding="utf-8"?>
<Properties xmlns="http://schemas.openxmlformats.org/officeDocument/2006/extended-properties" xmlns:vt="http://schemas.openxmlformats.org/officeDocument/2006/docPropsVTypes">
  <Template>Normal</Template>
  <Pages>7</Pages>
  <Words>4575</Words>
  <Characters>4811</Characters>
  <Lines>115</Lines>
  <Paragraphs>118</Paragraphs>
  <TotalTime>87</TotalTime>
  <ScaleCrop>false</ScaleCrop>
  <LinksUpToDate>false</LinksUpToDate>
  <CharactersWithSpaces>4831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2026-01-25T10:43:00Z</dcterms:created>
  <dc:creator>陈邹(拟稿)</dc:creator>
  <cp:lastModifiedBy>雯亦</cp:lastModifiedBy>
  <dcterms:modified xsi:type="dcterms:W3CDTF">2026-02-06T08:37:44Z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2026-02-01T00:16:48Z</vt:filetime>
  </property>
  <property fmtid="{D5CDD505-2E9C-101B-9397-08002B2CF9AE}" pid="4" name="KSOProductBuildVer">
    <vt:lpwstr>2052-12.1.0.25225</vt:lpwstr>
  </property>
  <property fmtid="{D5CDD505-2E9C-101B-9397-08002B2CF9AE}" pid="5" name="ICV">
    <vt:lpwstr>4CB00FAB66B16D56012F7E69F8D2859F_42</vt:lpwstr>
  </property>
  <property fmtid="{D5CDD505-2E9C-101B-9397-08002B2CF9AE}" pid="6" name="KSOTemplateDocerSaveRecord">
    <vt:lpwstr>eyJoZGlkIjoiZTQzZmRmZDMxMjkwMDE2NTk0ZWQ1ZWYwMzRmYjVhNmUiLCJ1c2VySWQiOiI2NDQwNzQxNTQifQ==</vt:lpwstr>
  </property>
</Properties>
</file>