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AD5F" w14:textId="5451AA30" w:rsidR="009C62DC" w:rsidRPr="001549DB" w:rsidRDefault="00000000">
      <w:pPr>
        <w:adjustRightInd w:val="0"/>
        <w:snapToGrid w:val="0"/>
        <w:ind w:firstLineChars="0" w:firstLine="0"/>
        <w:rPr>
          <w:rFonts w:asciiTheme="majorEastAsia" w:eastAsiaTheme="majorEastAsia" w:hAnsiTheme="majorEastAsia" w:hint="eastAsia"/>
          <w:b/>
          <w:szCs w:val="24"/>
        </w:rPr>
      </w:pPr>
      <w:r w:rsidRPr="001549DB">
        <w:rPr>
          <w:rFonts w:asciiTheme="majorEastAsia" w:eastAsiaTheme="majorEastAsia" w:hAnsiTheme="majorEastAsia" w:hint="eastAsia"/>
          <w:b/>
          <w:szCs w:val="24"/>
        </w:rPr>
        <w:t>证券代码：</w:t>
      </w:r>
      <w:r w:rsidRPr="001549DB">
        <w:rPr>
          <w:rFonts w:asciiTheme="majorEastAsia" w:eastAsiaTheme="majorEastAsia" w:hAnsiTheme="majorEastAsia"/>
          <w:b/>
          <w:szCs w:val="24"/>
        </w:rPr>
        <w:t>603191</w:t>
      </w:r>
      <w:r w:rsidRPr="001549DB">
        <w:rPr>
          <w:rFonts w:asciiTheme="majorEastAsia" w:eastAsiaTheme="majorEastAsia" w:hAnsiTheme="majorEastAsia" w:hint="eastAsia"/>
          <w:b/>
          <w:szCs w:val="24"/>
        </w:rPr>
        <w:t xml:space="preserve">         证券简称：</w:t>
      </w:r>
      <w:proofErr w:type="gramStart"/>
      <w:r w:rsidRPr="001549DB">
        <w:rPr>
          <w:rFonts w:asciiTheme="majorEastAsia" w:eastAsiaTheme="majorEastAsia" w:hAnsiTheme="majorEastAsia" w:hint="eastAsia"/>
          <w:b/>
          <w:szCs w:val="24"/>
        </w:rPr>
        <w:t>望变电气</w:t>
      </w:r>
      <w:proofErr w:type="gramEnd"/>
      <w:r w:rsidRPr="001549DB">
        <w:rPr>
          <w:rFonts w:asciiTheme="majorEastAsia" w:eastAsiaTheme="majorEastAsia" w:hAnsiTheme="majorEastAsia" w:hint="eastAsia"/>
          <w:b/>
          <w:szCs w:val="24"/>
        </w:rPr>
        <w:t xml:space="preserve">       公告编号：2</w:t>
      </w:r>
      <w:r w:rsidRPr="001549DB">
        <w:rPr>
          <w:rFonts w:asciiTheme="majorEastAsia" w:eastAsiaTheme="majorEastAsia" w:hAnsiTheme="majorEastAsia"/>
          <w:b/>
          <w:szCs w:val="24"/>
        </w:rPr>
        <w:t>02</w:t>
      </w:r>
      <w:r w:rsidRPr="001549DB">
        <w:rPr>
          <w:rFonts w:asciiTheme="majorEastAsia" w:eastAsiaTheme="majorEastAsia" w:hAnsiTheme="majorEastAsia" w:hint="eastAsia"/>
          <w:b/>
          <w:szCs w:val="24"/>
        </w:rPr>
        <w:t>6-</w:t>
      </w:r>
      <w:r w:rsidR="00F371BA" w:rsidRPr="001549DB">
        <w:rPr>
          <w:rFonts w:asciiTheme="majorEastAsia" w:eastAsiaTheme="majorEastAsia" w:hAnsiTheme="majorEastAsia" w:hint="eastAsia"/>
          <w:b/>
          <w:szCs w:val="24"/>
        </w:rPr>
        <w:t>015</w:t>
      </w:r>
    </w:p>
    <w:p w14:paraId="5591E1F0" w14:textId="77777777" w:rsidR="009C62DC" w:rsidRPr="001549DB" w:rsidRDefault="009C62DC">
      <w:pPr>
        <w:adjustRightInd w:val="0"/>
        <w:snapToGrid w:val="0"/>
        <w:ind w:firstLine="600"/>
        <w:jc w:val="left"/>
        <w:rPr>
          <w:rFonts w:asciiTheme="majorEastAsia" w:eastAsiaTheme="majorEastAsia" w:hAnsiTheme="majorEastAsia" w:hint="eastAsia"/>
          <w:sz w:val="30"/>
          <w:szCs w:val="30"/>
        </w:rPr>
      </w:pPr>
    </w:p>
    <w:p w14:paraId="58959884" w14:textId="77777777" w:rsidR="009C62DC" w:rsidRPr="001549DB" w:rsidRDefault="00000000">
      <w:pPr>
        <w:adjustRightInd w:val="0"/>
        <w:snapToGrid w:val="0"/>
        <w:spacing w:beforeLines="50" w:before="156"/>
        <w:ind w:firstLineChars="0" w:firstLine="0"/>
        <w:jc w:val="center"/>
        <w:rPr>
          <w:rFonts w:asciiTheme="majorEastAsia" w:eastAsiaTheme="majorEastAsia" w:hAnsiTheme="majorEastAsia" w:cs="仿宋_GB2312" w:hint="eastAsia"/>
          <w:b/>
          <w:bCs/>
          <w:color w:val="FF0000"/>
          <w:sz w:val="36"/>
          <w:szCs w:val="36"/>
        </w:rPr>
      </w:pPr>
      <w:proofErr w:type="gramStart"/>
      <w:r w:rsidRPr="001549DB">
        <w:rPr>
          <w:rFonts w:asciiTheme="majorEastAsia" w:eastAsiaTheme="majorEastAsia" w:hAnsiTheme="majorEastAsia" w:cs="仿宋_GB2312" w:hint="eastAsia"/>
          <w:b/>
          <w:bCs/>
          <w:color w:val="FF0000"/>
          <w:sz w:val="36"/>
          <w:szCs w:val="36"/>
        </w:rPr>
        <w:t>重庆望变电气</w:t>
      </w:r>
      <w:proofErr w:type="gramEnd"/>
      <w:r w:rsidRPr="001549DB">
        <w:rPr>
          <w:rFonts w:asciiTheme="majorEastAsia" w:eastAsiaTheme="majorEastAsia" w:hAnsiTheme="majorEastAsia" w:cs="仿宋_GB2312" w:hint="eastAsia"/>
          <w:b/>
          <w:bCs/>
          <w:color w:val="FF0000"/>
          <w:sz w:val="36"/>
          <w:szCs w:val="36"/>
        </w:rPr>
        <w:t>（集团）股份有限公司</w:t>
      </w:r>
    </w:p>
    <w:p w14:paraId="7E08E21B" w14:textId="77777777" w:rsidR="009C62DC" w:rsidRPr="001549DB" w:rsidRDefault="00000000">
      <w:pPr>
        <w:adjustRightInd w:val="0"/>
        <w:snapToGrid w:val="0"/>
        <w:spacing w:beforeLines="50" w:before="156"/>
        <w:ind w:firstLineChars="0" w:firstLine="0"/>
        <w:jc w:val="center"/>
        <w:rPr>
          <w:rFonts w:asciiTheme="majorEastAsia" w:eastAsiaTheme="majorEastAsia" w:hAnsiTheme="majorEastAsia" w:cs="仿宋_GB2312" w:hint="eastAsia"/>
          <w:b/>
          <w:bCs/>
          <w:color w:val="FF0000"/>
          <w:sz w:val="36"/>
          <w:szCs w:val="36"/>
        </w:rPr>
      </w:pPr>
      <w:r w:rsidRPr="001549DB">
        <w:rPr>
          <w:rFonts w:asciiTheme="majorEastAsia" w:eastAsiaTheme="majorEastAsia" w:hAnsiTheme="majorEastAsia" w:cs="仿宋_GB2312" w:hint="eastAsia"/>
          <w:b/>
          <w:bCs/>
          <w:color w:val="FF0000"/>
          <w:sz w:val="36"/>
          <w:szCs w:val="36"/>
        </w:rPr>
        <w:t>关于向特定对象发行股票导致股东权益变动的</w:t>
      </w:r>
    </w:p>
    <w:p w14:paraId="35D72410" w14:textId="77777777" w:rsidR="009C62DC" w:rsidRPr="001549DB" w:rsidRDefault="00000000">
      <w:pPr>
        <w:adjustRightInd w:val="0"/>
        <w:snapToGrid w:val="0"/>
        <w:spacing w:beforeLines="50" w:before="156" w:afterLines="100" w:after="312"/>
        <w:ind w:firstLineChars="0" w:firstLine="0"/>
        <w:jc w:val="center"/>
        <w:rPr>
          <w:rFonts w:asciiTheme="majorEastAsia" w:eastAsiaTheme="majorEastAsia" w:hAnsiTheme="majorEastAsia" w:cs="仿宋_GB2312" w:hint="eastAsia"/>
          <w:b/>
          <w:bCs/>
          <w:sz w:val="30"/>
          <w:szCs w:val="30"/>
        </w:rPr>
      </w:pPr>
      <w:r w:rsidRPr="001549DB">
        <w:rPr>
          <w:rFonts w:asciiTheme="majorEastAsia" w:eastAsiaTheme="majorEastAsia" w:hAnsiTheme="majorEastAsia" w:cs="仿宋_GB2312" w:hint="eastAsia"/>
          <w:b/>
          <w:bCs/>
          <w:color w:val="FF0000"/>
          <w:sz w:val="36"/>
          <w:szCs w:val="36"/>
        </w:rPr>
        <w:t>提示性公告</w:t>
      </w:r>
    </w:p>
    <w:p w14:paraId="198F5634" w14:textId="77777777" w:rsidR="009C62DC" w:rsidRPr="001549DB" w:rsidRDefault="00000000">
      <w:pPr>
        <w:pBdr>
          <w:top w:val="single" w:sz="4" w:space="1" w:color="auto"/>
          <w:left w:val="single" w:sz="4" w:space="4" w:color="auto"/>
          <w:bottom w:val="single" w:sz="4" w:space="1" w:color="auto"/>
          <w:right w:val="single" w:sz="4" w:space="4" w:color="auto"/>
        </w:pBdr>
        <w:adjustRightInd w:val="0"/>
        <w:snapToGrid w:val="0"/>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本公司董事会及全体董事保证本公告内容不存在任何虚假记载、误导性陈述或者重大遗漏，并对其内容的真实性、准确性和完整性承担法律责任。</w:t>
      </w:r>
    </w:p>
    <w:p w14:paraId="2AEABAF2" w14:textId="77777777" w:rsidR="009C62DC" w:rsidRPr="001549DB" w:rsidRDefault="009C62DC">
      <w:pPr>
        <w:autoSpaceDE w:val="0"/>
        <w:autoSpaceDN w:val="0"/>
        <w:adjustRightInd w:val="0"/>
        <w:snapToGrid w:val="0"/>
        <w:ind w:firstLine="600"/>
        <w:rPr>
          <w:rFonts w:asciiTheme="majorEastAsia" w:eastAsiaTheme="majorEastAsia" w:hAnsiTheme="majorEastAsia" w:hint="eastAsia"/>
          <w:sz w:val="30"/>
          <w:szCs w:val="30"/>
        </w:rPr>
      </w:pPr>
    </w:p>
    <w:p w14:paraId="0A129648" w14:textId="77777777" w:rsidR="009C62DC" w:rsidRPr="001549DB" w:rsidRDefault="00000000">
      <w:pPr>
        <w:adjustRightInd w:val="0"/>
        <w:snapToGrid w:val="0"/>
        <w:ind w:firstLineChars="0" w:firstLine="420"/>
        <w:rPr>
          <w:rFonts w:asciiTheme="majorEastAsia" w:eastAsiaTheme="majorEastAsia" w:hAnsiTheme="majorEastAsia" w:hint="eastAsia"/>
          <w:b/>
          <w:bCs/>
          <w:szCs w:val="24"/>
        </w:rPr>
      </w:pPr>
      <w:r w:rsidRPr="001549DB">
        <w:rPr>
          <w:rFonts w:asciiTheme="majorEastAsia" w:eastAsiaTheme="majorEastAsia" w:hAnsiTheme="majorEastAsia" w:hint="eastAsia"/>
          <w:b/>
          <w:bCs/>
          <w:szCs w:val="24"/>
        </w:rPr>
        <w:t>重要内容提示：</w:t>
      </w:r>
    </w:p>
    <w:p w14:paraId="061BFCC3" w14:textId="5BFAD3A5" w:rsidR="009C62DC" w:rsidRPr="001549DB" w:rsidRDefault="00000000">
      <w:pPr>
        <w:widowControl/>
        <w:numPr>
          <w:ilvl w:val="0"/>
          <w:numId w:val="11"/>
        </w:numPr>
        <w:spacing w:beforeLines="50" w:before="156" w:line="360" w:lineRule="auto"/>
        <w:ind w:firstLineChars="0" w:firstLine="60"/>
        <w:rPr>
          <w:rFonts w:asciiTheme="majorEastAsia" w:eastAsiaTheme="majorEastAsia" w:hAnsiTheme="majorEastAsia" w:hint="eastAsia"/>
          <w:szCs w:val="24"/>
        </w:rPr>
      </w:pPr>
      <w:proofErr w:type="gramStart"/>
      <w:r w:rsidRPr="001549DB">
        <w:rPr>
          <w:rFonts w:asciiTheme="majorEastAsia" w:eastAsiaTheme="majorEastAsia" w:hAnsiTheme="majorEastAsia" w:hint="eastAsia"/>
          <w:szCs w:val="24"/>
        </w:rPr>
        <w:t>重庆望变电气</w:t>
      </w:r>
      <w:proofErr w:type="gramEnd"/>
      <w:r w:rsidRPr="001549DB">
        <w:rPr>
          <w:rFonts w:asciiTheme="majorEastAsia" w:eastAsiaTheme="majorEastAsia" w:hAnsiTheme="majorEastAsia" w:hint="eastAsia"/>
          <w:szCs w:val="24"/>
        </w:rPr>
        <w:t>（集团）股份有限公司（以下简称“公司”）拟向公司控股股东之一的杨泽民先生</w:t>
      </w:r>
      <w:r w:rsidR="00075C1B" w:rsidRPr="001549DB">
        <w:rPr>
          <w:rFonts w:asciiTheme="majorEastAsia" w:eastAsiaTheme="majorEastAsia" w:hAnsiTheme="majorEastAsia" w:hint="eastAsia"/>
          <w:szCs w:val="24"/>
        </w:rPr>
        <w:t>或其控制的企业</w:t>
      </w:r>
      <w:r w:rsidRPr="001549DB">
        <w:rPr>
          <w:rFonts w:asciiTheme="majorEastAsia" w:eastAsiaTheme="majorEastAsia" w:hAnsiTheme="majorEastAsia" w:hint="eastAsia"/>
          <w:szCs w:val="24"/>
        </w:rPr>
        <w:t>发行股票（以下简称“本次发行”），本次发行将导致公司股本结构发生变化，且本次发行符合《上市公司收购管理办法》第六十三条规定的可免于发出要约的条件，公司董事会同意提请股东会批准同意杨泽民先生</w:t>
      </w:r>
      <w:r w:rsidR="00075C1B" w:rsidRPr="001549DB">
        <w:rPr>
          <w:rFonts w:asciiTheme="majorEastAsia" w:eastAsiaTheme="majorEastAsia" w:hAnsiTheme="majorEastAsia" w:hint="eastAsia"/>
          <w:szCs w:val="24"/>
        </w:rPr>
        <w:t>或其控制的企业</w:t>
      </w:r>
      <w:proofErr w:type="gramStart"/>
      <w:r w:rsidR="00075C1B" w:rsidRPr="001549DB">
        <w:rPr>
          <w:rFonts w:asciiTheme="majorEastAsia" w:eastAsiaTheme="majorEastAsia" w:hAnsiTheme="majorEastAsia" w:hint="eastAsia"/>
          <w:szCs w:val="24"/>
        </w:rPr>
        <w:t>及一致</w:t>
      </w:r>
      <w:proofErr w:type="gramEnd"/>
      <w:r w:rsidR="00075C1B" w:rsidRPr="001549DB">
        <w:rPr>
          <w:rFonts w:asciiTheme="majorEastAsia" w:eastAsiaTheme="majorEastAsia" w:hAnsiTheme="majorEastAsia" w:hint="eastAsia"/>
          <w:szCs w:val="24"/>
        </w:rPr>
        <w:t>行动人</w:t>
      </w:r>
      <w:r w:rsidRPr="001549DB">
        <w:rPr>
          <w:rFonts w:asciiTheme="majorEastAsia" w:eastAsiaTheme="majorEastAsia" w:hAnsiTheme="majorEastAsia" w:hint="eastAsia"/>
          <w:szCs w:val="24"/>
        </w:rPr>
        <w:t>免于发出要约。</w:t>
      </w:r>
    </w:p>
    <w:p w14:paraId="7ABC6595" w14:textId="77777777" w:rsidR="009C62DC" w:rsidRPr="001549DB" w:rsidRDefault="00000000">
      <w:pPr>
        <w:widowControl/>
        <w:numPr>
          <w:ilvl w:val="0"/>
          <w:numId w:val="11"/>
        </w:numPr>
        <w:spacing w:beforeLines="50" w:before="156" w:line="360" w:lineRule="auto"/>
        <w:ind w:firstLineChars="0" w:firstLine="60"/>
        <w:rPr>
          <w:rFonts w:asciiTheme="majorEastAsia" w:eastAsiaTheme="majorEastAsia" w:hAnsiTheme="majorEastAsia" w:hint="eastAsia"/>
          <w:szCs w:val="24"/>
        </w:rPr>
      </w:pPr>
      <w:r w:rsidRPr="001549DB">
        <w:rPr>
          <w:rFonts w:asciiTheme="majorEastAsia" w:eastAsiaTheme="majorEastAsia" w:hAnsiTheme="majorEastAsia" w:hint="eastAsia"/>
          <w:szCs w:val="24"/>
        </w:rPr>
        <w:t>本次发行不会导致公司控股股东、实际控制人发生变化。</w:t>
      </w:r>
    </w:p>
    <w:p w14:paraId="2891ED6E" w14:textId="77777777" w:rsidR="009C62DC" w:rsidRPr="001549DB" w:rsidRDefault="00000000">
      <w:pPr>
        <w:widowControl/>
        <w:numPr>
          <w:ilvl w:val="0"/>
          <w:numId w:val="11"/>
        </w:numPr>
        <w:spacing w:beforeLines="50" w:before="156" w:line="360" w:lineRule="auto"/>
        <w:ind w:firstLineChars="0" w:firstLine="60"/>
        <w:rPr>
          <w:rFonts w:asciiTheme="majorEastAsia" w:eastAsiaTheme="majorEastAsia" w:hAnsiTheme="majorEastAsia" w:hint="eastAsia"/>
          <w:szCs w:val="24"/>
        </w:rPr>
      </w:pPr>
      <w:r w:rsidRPr="001549DB">
        <w:rPr>
          <w:rFonts w:asciiTheme="majorEastAsia" w:eastAsiaTheme="majorEastAsia" w:hAnsiTheme="majorEastAsia" w:hint="eastAsia"/>
          <w:szCs w:val="24"/>
        </w:rPr>
        <w:t>本次发行尚需经公司股东会审议通过、</w:t>
      </w:r>
      <w:r w:rsidR="00557790" w:rsidRPr="001549DB">
        <w:rPr>
          <w:rFonts w:asciiTheme="majorEastAsia" w:eastAsiaTheme="majorEastAsia" w:hAnsiTheme="majorEastAsia" w:hint="eastAsia"/>
          <w:szCs w:val="24"/>
        </w:rPr>
        <w:t>上海证券交易所（以下简称“上交所”）</w:t>
      </w:r>
      <w:r w:rsidRPr="001549DB">
        <w:rPr>
          <w:rFonts w:asciiTheme="majorEastAsia" w:eastAsiaTheme="majorEastAsia" w:hAnsiTheme="majorEastAsia" w:hint="eastAsia"/>
          <w:szCs w:val="24"/>
        </w:rPr>
        <w:t>审核通过和</w:t>
      </w:r>
      <w:r w:rsidR="00557790" w:rsidRPr="001549DB">
        <w:rPr>
          <w:rFonts w:asciiTheme="majorEastAsia" w:eastAsiaTheme="majorEastAsia" w:hAnsiTheme="majorEastAsia"/>
          <w:szCs w:val="24"/>
        </w:rPr>
        <w:t>中国证券监督管理委员会</w:t>
      </w:r>
      <w:r w:rsidR="00557790" w:rsidRPr="001549DB">
        <w:rPr>
          <w:rFonts w:asciiTheme="majorEastAsia" w:eastAsiaTheme="majorEastAsia" w:hAnsiTheme="majorEastAsia" w:hint="eastAsia"/>
          <w:szCs w:val="24"/>
        </w:rPr>
        <w:t>（以下简称“</w:t>
      </w:r>
      <w:r w:rsidRPr="001549DB">
        <w:rPr>
          <w:rFonts w:asciiTheme="majorEastAsia" w:eastAsiaTheme="majorEastAsia" w:hAnsiTheme="majorEastAsia" w:hint="eastAsia"/>
          <w:szCs w:val="24"/>
        </w:rPr>
        <w:t>中国证监会</w:t>
      </w:r>
      <w:r w:rsidR="00557790" w:rsidRPr="001549DB">
        <w:rPr>
          <w:rFonts w:asciiTheme="majorEastAsia" w:eastAsiaTheme="majorEastAsia" w:hAnsiTheme="majorEastAsia" w:hint="eastAsia"/>
          <w:szCs w:val="24"/>
        </w:rPr>
        <w:t>”）同意</w:t>
      </w:r>
      <w:r w:rsidRPr="001549DB">
        <w:rPr>
          <w:rFonts w:asciiTheme="majorEastAsia" w:eastAsiaTheme="majorEastAsia" w:hAnsiTheme="majorEastAsia" w:hint="eastAsia"/>
          <w:szCs w:val="24"/>
        </w:rPr>
        <w:t>注册后方可实施。本次发行能否经公司股东会审议通过，能否取得上交所审核通过以及经中国证监会同意注册及最终审核通过、同意注册的时间均存在不确定性。最终发行股票数量可能因监管政策变化或根据审核及/或发行注册文件的要求予以调整，亦存在不确定性。</w:t>
      </w:r>
      <w:r w:rsidR="00557790" w:rsidRPr="001549DB">
        <w:rPr>
          <w:rFonts w:asciiTheme="majorEastAsia" w:eastAsiaTheme="majorEastAsia" w:hAnsiTheme="majorEastAsia"/>
          <w:szCs w:val="24"/>
        </w:rPr>
        <w:t>敬请广大投资者注意投资风险。</w:t>
      </w:r>
    </w:p>
    <w:p w14:paraId="014E68CF" w14:textId="77777777" w:rsidR="009C62DC" w:rsidRPr="001549DB" w:rsidRDefault="009C62DC">
      <w:pPr>
        <w:adjustRightInd w:val="0"/>
        <w:snapToGrid w:val="0"/>
        <w:ind w:left="420" w:firstLineChars="0" w:firstLine="0"/>
        <w:rPr>
          <w:rFonts w:asciiTheme="majorEastAsia" w:eastAsiaTheme="majorEastAsia" w:hAnsiTheme="majorEastAsia" w:hint="eastAsia"/>
          <w:szCs w:val="24"/>
        </w:rPr>
      </w:pPr>
    </w:p>
    <w:p w14:paraId="38178A7E" w14:textId="77777777" w:rsidR="009C62DC" w:rsidRPr="001549DB" w:rsidRDefault="00000000">
      <w:pPr>
        <w:keepNext/>
        <w:widowControl/>
        <w:spacing w:beforeLines="50" w:before="156" w:line="360" w:lineRule="auto"/>
        <w:ind w:firstLineChars="0" w:firstLine="0"/>
        <w:jc w:val="left"/>
        <w:outlineLvl w:val="1"/>
        <w:rPr>
          <w:rFonts w:asciiTheme="majorEastAsia" w:eastAsiaTheme="majorEastAsia" w:hAnsiTheme="majorEastAsia" w:cs="Times New Roman" w:hint="eastAsia"/>
          <w:b/>
          <w:bCs/>
          <w:kern w:val="0"/>
          <w:sz w:val="28"/>
          <w:szCs w:val="28"/>
        </w:rPr>
      </w:pPr>
      <w:r w:rsidRPr="001549DB">
        <w:rPr>
          <w:rFonts w:asciiTheme="majorEastAsia" w:eastAsiaTheme="majorEastAsia" w:hAnsiTheme="majorEastAsia" w:cs="Times New Roman" w:hint="eastAsia"/>
          <w:b/>
          <w:bCs/>
          <w:kern w:val="0"/>
          <w:sz w:val="28"/>
          <w:szCs w:val="28"/>
        </w:rPr>
        <w:lastRenderedPageBreak/>
        <w:t>一、本次权益变动基本情况</w:t>
      </w:r>
    </w:p>
    <w:p w14:paraId="7A28CD93" w14:textId="4874F90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公司于</w:t>
      </w:r>
      <w:r w:rsidRPr="001549DB">
        <w:rPr>
          <w:rFonts w:asciiTheme="majorEastAsia" w:eastAsiaTheme="majorEastAsia" w:hAnsiTheme="majorEastAsia" w:cs="Times New Roman"/>
          <w:kern w:val="0"/>
          <w:szCs w:val="24"/>
        </w:rPr>
        <w:t>2026</w:t>
      </w:r>
      <w:r w:rsidRPr="001549DB">
        <w:rPr>
          <w:rFonts w:asciiTheme="majorEastAsia" w:eastAsiaTheme="majorEastAsia" w:hAnsiTheme="majorEastAsia" w:cs="Times New Roman" w:hint="eastAsia"/>
          <w:kern w:val="0"/>
          <w:szCs w:val="24"/>
        </w:rPr>
        <w:t>年</w:t>
      </w:r>
      <w:r w:rsidR="00815614" w:rsidRPr="001549DB">
        <w:rPr>
          <w:rFonts w:asciiTheme="majorEastAsia" w:eastAsiaTheme="majorEastAsia" w:hAnsiTheme="majorEastAsia" w:cs="Times New Roman" w:hint="eastAsia"/>
          <w:kern w:val="0"/>
          <w:szCs w:val="24"/>
        </w:rPr>
        <w:t>2</w:t>
      </w:r>
      <w:r w:rsidRPr="001549DB">
        <w:rPr>
          <w:rFonts w:asciiTheme="majorEastAsia" w:eastAsiaTheme="majorEastAsia" w:hAnsiTheme="majorEastAsia" w:cs="Times New Roman" w:hint="eastAsia"/>
          <w:kern w:val="0"/>
          <w:szCs w:val="24"/>
        </w:rPr>
        <w:t>月</w:t>
      </w:r>
      <w:r w:rsidR="00815614" w:rsidRPr="001549DB">
        <w:rPr>
          <w:rFonts w:asciiTheme="majorEastAsia" w:eastAsiaTheme="majorEastAsia" w:hAnsiTheme="majorEastAsia" w:cs="Times New Roman" w:hint="eastAsia"/>
          <w:kern w:val="0"/>
          <w:szCs w:val="24"/>
        </w:rPr>
        <w:t>6</w:t>
      </w:r>
      <w:r w:rsidRPr="001549DB">
        <w:rPr>
          <w:rFonts w:asciiTheme="majorEastAsia" w:eastAsiaTheme="majorEastAsia" w:hAnsiTheme="majorEastAsia" w:cs="Times New Roman" w:hint="eastAsia"/>
          <w:kern w:val="0"/>
          <w:szCs w:val="24"/>
        </w:rPr>
        <w:t>日召开的第四届董事会第</w:t>
      </w:r>
      <w:r w:rsidR="00A42BF3" w:rsidRPr="001549DB">
        <w:rPr>
          <w:rFonts w:asciiTheme="majorEastAsia" w:eastAsiaTheme="majorEastAsia" w:hAnsiTheme="majorEastAsia" w:cs="Times New Roman" w:hint="eastAsia"/>
          <w:kern w:val="0"/>
          <w:szCs w:val="24"/>
        </w:rPr>
        <w:t>十七</w:t>
      </w:r>
      <w:r w:rsidRPr="001549DB">
        <w:rPr>
          <w:rFonts w:asciiTheme="majorEastAsia" w:eastAsiaTheme="majorEastAsia" w:hAnsiTheme="majorEastAsia" w:cs="Times New Roman" w:hint="eastAsia"/>
          <w:kern w:val="0"/>
          <w:szCs w:val="24"/>
        </w:rPr>
        <w:t>次会议审议通过了《关于公司向特定对象发行股票方案的议案》《关于与特定对象签订附条件生效的股份认购协议暨关联交易的议案》等涉及本次发行事项的相关议案。</w:t>
      </w:r>
    </w:p>
    <w:p w14:paraId="2F82D1B8" w14:textId="7DD3A1CF" w:rsidR="00317E92" w:rsidRDefault="00000000">
      <w:pPr>
        <w:widowControl/>
        <w:spacing w:beforeLines="50" w:before="156" w:line="360" w:lineRule="auto"/>
        <w:ind w:firstLine="480"/>
        <w:rPr>
          <w:rFonts w:asciiTheme="majorEastAsia" w:eastAsiaTheme="majorEastAsia" w:hAnsiTheme="majorEastAsia" w:cs="Times New Roman"/>
          <w:kern w:val="0"/>
          <w:szCs w:val="24"/>
        </w:rPr>
      </w:pPr>
      <w:r w:rsidRPr="001549DB">
        <w:rPr>
          <w:rFonts w:asciiTheme="majorEastAsia" w:eastAsiaTheme="majorEastAsia" w:hAnsiTheme="majorEastAsia" w:cs="Times New Roman" w:hint="eastAsia"/>
          <w:kern w:val="0"/>
          <w:szCs w:val="24"/>
        </w:rPr>
        <w:t>根据发行方案，公司拟向控股股东之一的杨泽民先生</w:t>
      </w:r>
      <w:r w:rsidR="00075C1B" w:rsidRPr="001549DB">
        <w:rPr>
          <w:rFonts w:asciiTheme="majorEastAsia" w:eastAsiaTheme="majorEastAsia" w:hAnsiTheme="majorEastAsia" w:cs="Times New Roman" w:hint="eastAsia"/>
          <w:kern w:val="0"/>
          <w:szCs w:val="24"/>
        </w:rPr>
        <w:t>或其控制的企业</w:t>
      </w:r>
      <w:r w:rsidRPr="001549DB">
        <w:rPr>
          <w:rFonts w:asciiTheme="majorEastAsia" w:eastAsiaTheme="majorEastAsia" w:hAnsiTheme="majorEastAsia" w:cs="Times New Roman" w:hint="eastAsia"/>
          <w:kern w:val="0"/>
          <w:szCs w:val="24"/>
        </w:rPr>
        <w:t>发行股票</w:t>
      </w:r>
      <w:r w:rsidR="00F371BA" w:rsidRPr="001549DB">
        <w:rPr>
          <w:rFonts w:asciiTheme="majorEastAsia" w:eastAsiaTheme="majorEastAsia" w:hAnsiTheme="majorEastAsia" w:cs="Times New Roman"/>
          <w:kern w:val="0"/>
          <w:szCs w:val="24"/>
        </w:rPr>
        <w:t>19,493,177</w:t>
      </w:r>
      <w:r w:rsidRPr="001549DB">
        <w:rPr>
          <w:rFonts w:asciiTheme="majorEastAsia" w:eastAsiaTheme="majorEastAsia" w:hAnsiTheme="majorEastAsia" w:cs="Times New Roman" w:hint="eastAsia"/>
          <w:kern w:val="0"/>
          <w:szCs w:val="24"/>
        </w:rPr>
        <w:t>股，不超过本次发行前公司总股本的</w:t>
      </w:r>
      <w:r w:rsidRPr="001549DB">
        <w:rPr>
          <w:rFonts w:asciiTheme="majorEastAsia" w:eastAsiaTheme="majorEastAsia" w:hAnsiTheme="majorEastAsia" w:cs="Times New Roman"/>
          <w:kern w:val="0"/>
          <w:szCs w:val="24"/>
        </w:rPr>
        <w:t>30%</w:t>
      </w:r>
      <w:r w:rsidRPr="001549DB">
        <w:rPr>
          <w:rFonts w:asciiTheme="majorEastAsia" w:eastAsiaTheme="majorEastAsia" w:hAnsiTheme="majorEastAsia" w:cs="Times New Roman" w:hint="eastAsia"/>
          <w:kern w:val="0"/>
          <w:szCs w:val="24"/>
        </w:rPr>
        <w:t>，</w:t>
      </w:r>
      <w:r w:rsidR="00317E92" w:rsidRPr="00317E92">
        <w:rPr>
          <w:rFonts w:asciiTheme="majorEastAsia" w:eastAsiaTheme="majorEastAsia" w:hAnsiTheme="majorEastAsia" w:cs="Times New Roman" w:hint="eastAsia"/>
          <w:kern w:val="0"/>
          <w:szCs w:val="24"/>
        </w:rPr>
        <w:t>若公司在本次发行定价基准日至发行日期间发生派息、送股、资本公积转增股本等除权、除息事项导致发行价格变化的，本次向特定对象发行股票数量将相应调整。</w:t>
      </w:r>
    </w:p>
    <w:p w14:paraId="2785BDD5"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本次发行的发行对象杨泽民先生</w:t>
      </w:r>
      <w:r w:rsidR="00075C1B" w:rsidRPr="001549DB">
        <w:rPr>
          <w:rFonts w:asciiTheme="majorEastAsia" w:eastAsiaTheme="majorEastAsia" w:hAnsiTheme="majorEastAsia" w:cs="Times New Roman" w:hint="eastAsia"/>
          <w:kern w:val="0"/>
          <w:szCs w:val="24"/>
        </w:rPr>
        <w:t>或其控制的企业</w:t>
      </w:r>
      <w:r w:rsidRPr="001549DB">
        <w:rPr>
          <w:rFonts w:asciiTheme="majorEastAsia" w:eastAsiaTheme="majorEastAsia" w:hAnsiTheme="majorEastAsia" w:cs="Times New Roman" w:hint="eastAsia"/>
          <w:kern w:val="0"/>
          <w:szCs w:val="24"/>
        </w:rPr>
        <w:t>以现金方式认购公司本次发行的股票。</w:t>
      </w:r>
    </w:p>
    <w:p w14:paraId="50D0556A" w14:textId="0D37B825"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本次发行前，公司总股本为</w:t>
      </w:r>
      <w:r w:rsidRPr="001549DB">
        <w:rPr>
          <w:rFonts w:asciiTheme="majorEastAsia" w:eastAsiaTheme="majorEastAsia" w:hAnsiTheme="majorEastAsia" w:cs="Times New Roman"/>
          <w:kern w:val="0"/>
          <w:szCs w:val="24"/>
        </w:rPr>
        <w:t>332,353,407</w:t>
      </w:r>
      <w:r w:rsidRPr="001549DB">
        <w:rPr>
          <w:rFonts w:asciiTheme="majorEastAsia" w:eastAsiaTheme="majorEastAsia" w:hAnsiTheme="majorEastAsia" w:cs="Times New Roman" w:hint="eastAsia"/>
          <w:kern w:val="0"/>
          <w:szCs w:val="24"/>
        </w:rPr>
        <w:t>股，杨泽民先生、秦惠兰女士、杨耀先生、杨秦女士分别直接持有公司</w:t>
      </w:r>
      <w:r w:rsidRPr="001549DB">
        <w:rPr>
          <w:rFonts w:asciiTheme="majorEastAsia" w:eastAsiaTheme="majorEastAsia" w:hAnsiTheme="majorEastAsia" w:cs="Times New Roman"/>
          <w:kern w:val="0"/>
          <w:szCs w:val="24"/>
        </w:rPr>
        <w:t>52,618,391</w:t>
      </w:r>
      <w:r w:rsidRPr="001549DB">
        <w:rPr>
          <w:rFonts w:asciiTheme="majorEastAsia" w:eastAsiaTheme="majorEastAsia" w:hAnsiTheme="majorEastAsia" w:cs="Times New Roman" w:hint="eastAsia"/>
          <w:kern w:val="0"/>
          <w:szCs w:val="24"/>
        </w:rPr>
        <w:t>股、</w:t>
      </w:r>
      <w:r w:rsidRPr="001549DB">
        <w:rPr>
          <w:rFonts w:asciiTheme="majorEastAsia" w:eastAsiaTheme="majorEastAsia" w:hAnsiTheme="majorEastAsia" w:cs="Times New Roman"/>
          <w:kern w:val="0"/>
          <w:szCs w:val="24"/>
        </w:rPr>
        <w:t>40,841,700</w:t>
      </w:r>
      <w:r w:rsidRPr="001549DB">
        <w:rPr>
          <w:rFonts w:asciiTheme="majorEastAsia" w:eastAsiaTheme="majorEastAsia" w:hAnsiTheme="majorEastAsia" w:cs="Times New Roman" w:hint="eastAsia"/>
          <w:kern w:val="0"/>
          <w:szCs w:val="24"/>
        </w:rPr>
        <w:t>股、</w:t>
      </w:r>
      <w:r w:rsidRPr="001549DB">
        <w:rPr>
          <w:rFonts w:asciiTheme="majorEastAsia" w:eastAsiaTheme="majorEastAsia" w:hAnsiTheme="majorEastAsia" w:cs="Times New Roman"/>
          <w:kern w:val="0"/>
          <w:szCs w:val="24"/>
        </w:rPr>
        <w:t>18,000,050</w:t>
      </w:r>
      <w:r w:rsidRPr="001549DB">
        <w:rPr>
          <w:rFonts w:asciiTheme="majorEastAsia" w:eastAsiaTheme="majorEastAsia" w:hAnsiTheme="majorEastAsia" w:cs="Times New Roman" w:hint="eastAsia"/>
          <w:kern w:val="0"/>
          <w:szCs w:val="24"/>
        </w:rPr>
        <w:t>股和</w:t>
      </w:r>
      <w:r w:rsidRPr="001549DB">
        <w:rPr>
          <w:rFonts w:asciiTheme="majorEastAsia" w:eastAsiaTheme="majorEastAsia" w:hAnsiTheme="majorEastAsia" w:cs="Times New Roman"/>
          <w:kern w:val="0"/>
          <w:szCs w:val="24"/>
        </w:rPr>
        <w:t>18,015,000</w:t>
      </w:r>
      <w:r w:rsidRPr="001549DB">
        <w:rPr>
          <w:rFonts w:asciiTheme="majorEastAsia" w:eastAsiaTheme="majorEastAsia" w:hAnsiTheme="majorEastAsia" w:cs="Times New Roman" w:hint="eastAsia"/>
          <w:kern w:val="0"/>
          <w:szCs w:val="24"/>
        </w:rPr>
        <w:t>股股票，合计持股比例为</w:t>
      </w:r>
      <w:r w:rsidRPr="001549DB">
        <w:rPr>
          <w:rFonts w:asciiTheme="majorEastAsia" w:eastAsiaTheme="majorEastAsia" w:hAnsiTheme="majorEastAsia" w:cs="Times New Roman"/>
          <w:kern w:val="0"/>
          <w:szCs w:val="24"/>
        </w:rPr>
        <w:t>38.96%</w:t>
      </w:r>
      <w:r w:rsidRPr="001549DB">
        <w:rPr>
          <w:rFonts w:asciiTheme="majorEastAsia" w:eastAsiaTheme="majorEastAsia" w:hAnsiTheme="majorEastAsia" w:cs="Times New Roman" w:hint="eastAsia"/>
          <w:kern w:val="0"/>
          <w:szCs w:val="24"/>
        </w:rPr>
        <w:t>，为公司实际控制人。其中，杨泽民先生、秦惠兰女士系夫妻关系，为公司的控股股东。</w:t>
      </w:r>
      <w:r w:rsidR="00F371BA" w:rsidRPr="001549DB">
        <w:rPr>
          <w:rFonts w:asciiTheme="majorEastAsia" w:eastAsiaTheme="majorEastAsia" w:hAnsiTheme="majorEastAsia" w:cs="Times New Roman" w:hint="eastAsia"/>
          <w:kern w:val="0"/>
          <w:szCs w:val="24"/>
        </w:rPr>
        <w:t>公司实际控制人及其一致行动人杨厚群女士合计持有公司131,744,985股股票，合计持股比例为39.64%。</w:t>
      </w:r>
    </w:p>
    <w:p w14:paraId="6369B6D2" w14:textId="06D55B50"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本次发行完成后，公司实际控制人及其一致行动人持有公司股份比例将提升至</w:t>
      </w:r>
      <w:r w:rsidR="00F371BA" w:rsidRPr="001549DB">
        <w:rPr>
          <w:rFonts w:asciiTheme="majorEastAsia" w:eastAsiaTheme="majorEastAsia" w:hAnsiTheme="majorEastAsia" w:cs="Times New Roman"/>
          <w:kern w:val="0"/>
          <w:szCs w:val="24"/>
        </w:rPr>
        <w:t>42.98%</w:t>
      </w:r>
      <w:r w:rsidRPr="001549DB">
        <w:rPr>
          <w:rFonts w:asciiTheme="majorEastAsia" w:eastAsiaTheme="majorEastAsia" w:hAnsiTheme="majorEastAsia" w:cs="Times New Roman" w:hint="eastAsia"/>
          <w:kern w:val="0"/>
          <w:szCs w:val="24"/>
        </w:rPr>
        <w:t>，公司的控股股东和实际控制人均不会发生变更。</w:t>
      </w:r>
    </w:p>
    <w:p w14:paraId="69978508" w14:textId="77777777" w:rsidR="009C62DC" w:rsidRPr="001549DB" w:rsidRDefault="00000000">
      <w:pPr>
        <w:keepNext/>
        <w:widowControl/>
        <w:spacing w:beforeLines="50" w:before="156" w:line="360" w:lineRule="auto"/>
        <w:ind w:firstLineChars="0" w:firstLine="0"/>
        <w:jc w:val="left"/>
        <w:outlineLvl w:val="1"/>
        <w:rPr>
          <w:rFonts w:asciiTheme="majorEastAsia" w:eastAsiaTheme="majorEastAsia" w:hAnsiTheme="majorEastAsia" w:cs="Times New Roman" w:hint="eastAsia"/>
          <w:b/>
          <w:bCs/>
          <w:kern w:val="0"/>
          <w:sz w:val="28"/>
          <w:szCs w:val="28"/>
        </w:rPr>
      </w:pPr>
      <w:r w:rsidRPr="001549DB">
        <w:rPr>
          <w:rFonts w:asciiTheme="majorEastAsia" w:eastAsiaTheme="majorEastAsia" w:hAnsiTheme="majorEastAsia" w:cs="Times New Roman" w:hint="eastAsia"/>
          <w:b/>
          <w:bCs/>
          <w:kern w:val="0"/>
          <w:sz w:val="28"/>
          <w:szCs w:val="28"/>
        </w:rPr>
        <w:t>二</w:t>
      </w:r>
      <w:r w:rsidRPr="001549DB">
        <w:rPr>
          <w:rFonts w:asciiTheme="majorEastAsia" w:eastAsiaTheme="majorEastAsia" w:hAnsiTheme="majorEastAsia" w:cs="Times New Roman"/>
          <w:b/>
          <w:bCs/>
          <w:kern w:val="0"/>
          <w:sz w:val="28"/>
          <w:szCs w:val="28"/>
        </w:rPr>
        <w:t>、认购对象基本情况</w:t>
      </w:r>
    </w:p>
    <w:p w14:paraId="74D76F93" w14:textId="77777777" w:rsidR="00410D8D" w:rsidRPr="001549DB" w:rsidRDefault="00075C1B" w:rsidP="00075C1B">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本次</w:t>
      </w:r>
      <w:r w:rsidR="00410D8D" w:rsidRPr="001549DB">
        <w:rPr>
          <w:rFonts w:asciiTheme="majorEastAsia" w:eastAsiaTheme="majorEastAsia" w:hAnsiTheme="majorEastAsia" w:cs="Times New Roman" w:hint="eastAsia"/>
          <w:kern w:val="0"/>
          <w:szCs w:val="24"/>
        </w:rPr>
        <w:t>发行对象系公司控股股东之一的杨泽民先生或其控制的企业，杨泽民先生的基本情况如下：</w:t>
      </w:r>
    </w:p>
    <w:p w14:paraId="07E05B48"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r w:rsidRPr="001549DB">
        <w:rPr>
          <w:rFonts w:asciiTheme="majorEastAsia" w:eastAsiaTheme="majorEastAsia" w:hAnsiTheme="majorEastAsia" w:cs="Times New Roman" w:hint="eastAsia"/>
          <w:b/>
          <w:bCs/>
          <w:kern w:val="0"/>
          <w:szCs w:val="24"/>
        </w:rPr>
        <w:t>（一）基本情况</w:t>
      </w:r>
    </w:p>
    <w:p w14:paraId="451A9CD1" w14:textId="05E19150"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杨泽民，男，中国国籍，无境外永久居留权，身份证号：51022119670201****。1967年出生，EMBA。1983年3月至1984年11月，在长寿县制糖厂担任业务员；1984年12月至1985年7月，在长寿养鸡场担任团支部书记、车间主任；1985年8月至1993年12月，在重庆市长寿长江变压器厂担任车间主任、销售主管；</w:t>
      </w:r>
      <w:r w:rsidRPr="001549DB">
        <w:rPr>
          <w:rFonts w:asciiTheme="majorEastAsia" w:eastAsiaTheme="majorEastAsia" w:hAnsiTheme="majorEastAsia" w:cs="Times New Roman" w:hint="eastAsia"/>
          <w:kern w:val="0"/>
          <w:szCs w:val="24"/>
        </w:rPr>
        <w:lastRenderedPageBreak/>
        <w:t>1994年8月至2009年11月，在重庆望江变压器厂担任厂长；2009年11月至2014年12月，在重庆望江变压器厂有限公司担任执行董事、总经理；2014年12月至今，在公司担任董事长、总经理，全面统筹公司战略及经营管理工作。</w:t>
      </w:r>
    </w:p>
    <w:p w14:paraId="28FED897"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r w:rsidRPr="001549DB">
        <w:rPr>
          <w:rFonts w:asciiTheme="majorEastAsia" w:eastAsiaTheme="majorEastAsia" w:hAnsiTheme="majorEastAsia" w:cs="Times New Roman" w:hint="eastAsia"/>
          <w:b/>
          <w:bCs/>
          <w:kern w:val="0"/>
          <w:szCs w:val="24"/>
        </w:rPr>
        <w:t>（二）</w:t>
      </w:r>
      <w:bookmarkStart w:id="0" w:name="_Toc219392642"/>
      <w:r w:rsidRPr="001549DB">
        <w:rPr>
          <w:rFonts w:asciiTheme="majorEastAsia" w:eastAsiaTheme="majorEastAsia" w:hAnsiTheme="majorEastAsia" w:cs="Times New Roman" w:hint="eastAsia"/>
          <w:b/>
          <w:bCs/>
          <w:kern w:val="0"/>
          <w:szCs w:val="24"/>
        </w:rPr>
        <w:t>最近五年主要任职情况</w:t>
      </w:r>
      <w:bookmarkEnd w:id="0"/>
    </w:p>
    <w:p w14:paraId="53C7EA74" w14:textId="399057B2"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截至本公告</w:t>
      </w:r>
      <w:r w:rsidR="00557790" w:rsidRPr="001549DB">
        <w:rPr>
          <w:rFonts w:asciiTheme="majorEastAsia" w:eastAsiaTheme="majorEastAsia" w:hAnsiTheme="majorEastAsia" w:cs="Times New Roman" w:hint="eastAsia"/>
          <w:kern w:val="0"/>
          <w:szCs w:val="24"/>
        </w:rPr>
        <w:t>披露之</w:t>
      </w:r>
      <w:r w:rsidRPr="001549DB">
        <w:rPr>
          <w:rFonts w:asciiTheme="majorEastAsia" w:eastAsiaTheme="majorEastAsia" w:hAnsiTheme="majorEastAsia" w:cs="Times New Roman" w:hint="eastAsia"/>
          <w:kern w:val="0"/>
          <w:szCs w:val="24"/>
        </w:rPr>
        <w:t>日，杨泽民先生最近五年主要任职情况如下：</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06"/>
        <w:gridCol w:w="3845"/>
        <w:gridCol w:w="2425"/>
      </w:tblGrid>
      <w:tr w:rsidR="00A42BF3" w:rsidRPr="001549DB" w14:paraId="7F5A856D" w14:textId="77777777" w:rsidTr="00392335">
        <w:trPr>
          <w:trHeight w:val="397"/>
          <w:tblHeader/>
        </w:trPr>
        <w:tc>
          <w:tcPr>
            <w:tcW w:w="1212" w:type="pct"/>
            <w:shd w:val="clear" w:color="auto" w:fill="FFFFFF"/>
            <w:tcMar>
              <w:top w:w="75" w:type="dxa"/>
              <w:left w:w="75" w:type="dxa"/>
              <w:bottom w:w="75" w:type="dxa"/>
              <w:right w:w="75" w:type="dxa"/>
            </w:tcMar>
            <w:vAlign w:val="center"/>
          </w:tcPr>
          <w:p w14:paraId="377A3690"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b/>
                <w:bCs/>
                <w:color w:val="333333"/>
                <w:kern w:val="0"/>
                <w:sz w:val="21"/>
                <w:szCs w:val="21"/>
              </w:rPr>
            </w:pPr>
            <w:bookmarkStart w:id="1" w:name="_Toc219392643"/>
            <w:r w:rsidRPr="001549DB">
              <w:rPr>
                <w:rFonts w:asciiTheme="majorEastAsia" w:eastAsiaTheme="majorEastAsia" w:hAnsiTheme="majorEastAsia" w:cs="Times New Roman"/>
                <w:b/>
                <w:bCs/>
                <w:color w:val="333333"/>
                <w:kern w:val="0"/>
                <w:sz w:val="21"/>
                <w:szCs w:val="21"/>
              </w:rPr>
              <w:t>起止日期</w:t>
            </w:r>
          </w:p>
        </w:tc>
        <w:tc>
          <w:tcPr>
            <w:tcW w:w="2323" w:type="pct"/>
            <w:shd w:val="clear" w:color="auto" w:fill="FFFFFF"/>
            <w:tcMar>
              <w:top w:w="75" w:type="dxa"/>
              <w:left w:w="75" w:type="dxa"/>
              <w:bottom w:w="75" w:type="dxa"/>
              <w:right w:w="75" w:type="dxa"/>
            </w:tcMar>
            <w:vAlign w:val="center"/>
          </w:tcPr>
          <w:p w14:paraId="668C04A8"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b/>
                <w:bCs/>
                <w:color w:val="333333"/>
                <w:kern w:val="0"/>
                <w:sz w:val="21"/>
                <w:szCs w:val="21"/>
              </w:rPr>
            </w:pPr>
            <w:r w:rsidRPr="001549DB">
              <w:rPr>
                <w:rFonts w:asciiTheme="majorEastAsia" w:eastAsiaTheme="majorEastAsia" w:hAnsiTheme="majorEastAsia" w:cs="Times New Roman"/>
                <w:b/>
                <w:bCs/>
                <w:color w:val="333333"/>
                <w:kern w:val="0"/>
                <w:sz w:val="21"/>
                <w:szCs w:val="21"/>
              </w:rPr>
              <w:t>任职单位名称</w:t>
            </w:r>
          </w:p>
        </w:tc>
        <w:tc>
          <w:tcPr>
            <w:tcW w:w="1465" w:type="pct"/>
            <w:shd w:val="clear" w:color="auto" w:fill="FFFFFF"/>
            <w:tcMar>
              <w:top w:w="75" w:type="dxa"/>
              <w:left w:w="75" w:type="dxa"/>
              <w:bottom w:w="75" w:type="dxa"/>
              <w:right w:w="75" w:type="dxa"/>
            </w:tcMar>
            <w:vAlign w:val="center"/>
          </w:tcPr>
          <w:p w14:paraId="249B92C6"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b/>
                <w:bCs/>
                <w:color w:val="333333"/>
                <w:kern w:val="0"/>
                <w:sz w:val="21"/>
                <w:szCs w:val="21"/>
              </w:rPr>
            </w:pPr>
            <w:r w:rsidRPr="001549DB">
              <w:rPr>
                <w:rFonts w:asciiTheme="majorEastAsia" w:eastAsiaTheme="majorEastAsia" w:hAnsiTheme="majorEastAsia" w:cs="Times New Roman"/>
                <w:b/>
                <w:bCs/>
                <w:color w:val="333333"/>
                <w:kern w:val="0"/>
                <w:sz w:val="21"/>
                <w:szCs w:val="21"/>
              </w:rPr>
              <w:t>所任职务</w:t>
            </w:r>
          </w:p>
        </w:tc>
      </w:tr>
      <w:tr w:rsidR="00A42BF3" w:rsidRPr="001549DB" w14:paraId="4987D89C" w14:textId="77777777" w:rsidTr="00392335">
        <w:trPr>
          <w:trHeight w:val="397"/>
        </w:trPr>
        <w:tc>
          <w:tcPr>
            <w:tcW w:w="1212" w:type="pct"/>
            <w:shd w:val="clear" w:color="auto" w:fill="FFFFFF"/>
            <w:tcMar>
              <w:top w:w="75" w:type="dxa"/>
              <w:left w:w="75" w:type="dxa"/>
              <w:bottom w:w="75" w:type="dxa"/>
              <w:right w:w="75" w:type="dxa"/>
            </w:tcMar>
            <w:vAlign w:val="center"/>
          </w:tcPr>
          <w:p w14:paraId="4EBD9C16" w14:textId="7467C6D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2002年11月至</w:t>
            </w:r>
            <w:r w:rsidR="00F371BA" w:rsidRPr="001549DB">
              <w:rPr>
                <w:rFonts w:asciiTheme="majorEastAsia" w:eastAsiaTheme="majorEastAsia" w:hAnsiTheme="majorEastAsia" w:cs="Times New Roman" w:hint="eastAsia"/>
                <w:color w:val="333333"/>
                <w:kern w:val="0"/>
                <w:sz w:val="21"/>
                <w:szCs w:val="21"/>
              </w:rPr>
              <w:t>今</w:t>
            </w:r>
          </w:p>
        </w:tc>
        <w:tc>
          <w:tcPr>
            <w:tcW w:w="2323" w:type="pct"/>
            <w:shd w:val="clear" w:color="auto" w:fill="FFFFFF"/>
            <w:tcMar>
              <w:top w:w="75" w:type="dxa"/>
              <w:left w:w="75" w:type="dxa"/>
              <w:bottom w:w="75" w:type="dxa"/>
              <w:right w:w="75" w:type="dxa"/>
            </w:tcMar>
            <w:vAlign w:val="center"/>
          </w:tcPr>
          <w:p w14:paraId="5B19CAA3"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重庆惠泽电器有限公司</w:t>
            </w:r>
          </w:p>
        </w:tc>
        <w:tc>
          <w:tcPr>
            <w:tcW w:w="1465" w:type="pct"/>
            <w:shd w:val="clear" w:color="auto" w:fill="FFFFFF"/>
            <w:tcMar>
              <w:top w:w="75" w:type="dxa"/>
              <w:left w:w="75" w:type="dxa"/>
              <w:bottom w:w="75" w:type="dxa"/>
              <w:right w:w="75" w:type="dxa"/>
            </w:tcMar>
            <w:vAlign w:val="center"/>
          </w:tcPr>
          <w:p w14:paraId="077FB678"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总经理</w:t>
            </w:r>
          </w:p>
        </w:tc>
      </w:tr>
      <w:tr w:rsidR="00A42BF3" w:rsidRPr="001549DB" w14:paraId="23B96717" w14:textId="77777777" w:rsidTr="00392335">
        <w:trPr>
          <w:trHeight w:val="397"/>
        </w:trPr>
        <w:tc>
          <w:tcPr>
            <w:tcW w:w="1212" w:type="pct"/>
            <w:shd w:val="clear" w:color="auto" w:fill="FFFFFF"/>
            <w:tcMar>
              <w:top w:w="75" w:type="dxa"/>
              <w:left w:w="75" w:type="dxa"/>
              <w:bottom w:w="75" w:type="dxa"/>
              <w:right w:w="75" w:type="dxa"/>
            </w:tcMar>
            <w:vAlign w:val="center"/>
          </w:tcPr>
          <w:p w14:paraId="7B8DA94B"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2014年12月至今</w:t>
            </w:r>
          </w:p>
        </w:tc>
        <w:tc>
          <w:tcPr>
            <w:tcW w:w="2323" w:type="pct"/>
            <w:shd w:val="clear" w:color="auto" w:fill="FFFFFF"/>
            <w:tcMar>
              <w:top w:w="75" w:type="dxa"/>
              <w:left w:w="75" w:type="dxa"/>
              <w:bottom w:w="75" w:type="dxa"/>
              <w:right w:w="75" w:type="dxa"/>
            </w:tcMar>
            <w:vAlign w:val="center"/>
          </w:tcPr>
          <w:p w14:paraId="04A48D2C"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proofErr w:type="gramStart"/>
            <w:r w:rsidRPr="001549DB">
              <w:rPr>
                <w:rFonts w:asciiTheme="majorEastAsia" w:eastAsiaTheme="majorEastAsia" w:hAnsiTheme="majorEastAsia" w:cs="Times New Roman"/>
                <w:color w:val="333333"/>
                <w:kern w:val="0"/>
                <w:sz w:val="21"/>
                <w:szCs w:val="21"/>
              </w:rPr>
              <w:t>重庆望变电气</w:t>
            </w:r>
            <w:proofErr w:type="gramEnd"/>
            <w:r w:rsidRPr="001549DB">
              <w:rPr>
                <w:rFonts w:asciiTheme="majorEastAsia" w:eastAsiaTheme="majorEastAsia" w:hAnsiTheme="majorEastAsia" w:cs="Times New Roman"/>
                <w:color w:val="333333"/>
                <w:kern w:val="0"/>
                <w:sz w:val="21"/>
                <w:szCs w:val="21"/>
              </w:rPr>
              <w:t>（集团）股份有限公司</w:t>
            </w:r>
          </w:p>
        </w:tc>
        <w:tc>
          <w:tcPr>
            <w:tcW w:w="1465" w:type="pct"/>
            <w:shd w:val="clear" w:color="auto" w:fill="FFFFFF"/>
            <w:tcMar>
              <w:top w:w="75" w:type="dxa"/>
              <w:left w:w="75" w:type="dxa"/>
              <w:bottom w:w="75" w:type="dxa"/>
              <w:right w:w="75" w:type="dxa"/>
            </w:tcMar>
            <w:vAlign w:val="center"/>
          </w:tcPr>
          <w:p w14:paraId="37C88C41"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董事长、总经理</w:t>
            </w:r>
          </w:p>
        </w:tc>
      </w:tr>
      <w:tr w:rsidR="00A42BF3" w:rsidRPr="001549DB" w14:paraId="2B046C85" w14:textId="77777777" w:rsidTr="00392335">
        <w:trPr>
          <w:trHeight w:val="397"/>
        </w:trPr>
        <w:tc>
          <w:tcPr>
            <w:tcW w:w="1212" w:type="pct"/>
            <w:shd w:val="clear" w:color="auto" w:fill="FFFFFF"/>
            <w:tcMar>
              <w:top w:w="75" w:type="dxa"/>
              <w:left w:w="75" w:type="dxa"/>
              <w:bottom w:w="75" w:type="dxa"/>
              <w:right w:w="75" w:type="dxa"/>
            </w:tcMar>
            <w:vAlign w:val="center"/>
          </w:tcPr>
          <w:p w14:paraId="1AB4B027"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2016年4月至今</w:t>
            </w:r>
          </w:p>
        </w:tc>
        <w:tc>
          <w:tcPr>
            <w:tcW w:w="2323" w:type="pct"/>
            <w:shd w:val="clear" w:color="auto" w:fill="FFFFFF"/>
            <w:tcMar>
              <w:top w:w="75" w:type="dxa"/>
              <w:left w:w="75" w:type="dxa"/>
              <w:bottom w:w="75" w:type="dxa"/>
              <w:right w:w="75" w:type="dxa"/>
            </w:tcMar>
            <w:vAlign w:val="center"/>
          </w:tcPr>
          <w:p w14:paraId="20D696FF"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重庆能投长寿经开区售电有限公司</w:t>
            </w:r>
          </w:p>
        </w:tc>
        <w:tc>
          <w:tcPr>
            <w:tcW w:w="1465" w:type="pct"/>
            <w:shd w:val="clear" w:color="auto" w:fill="FFFFFF"/>
            <w:tcMar>
              <w:top w:w="75" w:type="dxa"/>
              <w:left w:w="75" w:type="dxa"/>
              <w:bottom w:w="75" w:type="dxa"/>
              <w:right w:w="75" w:type="dxa"/>
            </w:tcMar>
            <w:vAlign w:val="center"/>
          </w:tcPr>
          <w:p w14:paraId="636B6B68"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董事</w:t>
            </w:r>
          </w:p>
        </w:tc>
      </w:tr>
      <w:tr w:rsidR="00A42BF3" w:rsidRPr="001549DB" w14:paraId="5A8A23CF" w14:textId="77777777" w:rsidTr="00392335">
        <w:trPr>
          <w:trHeight w:val="397"/>
        </w:trPr>
        <w:tc>
          <w:tcPr>
            <w:tcW w:w="1212" w:type="pct"/>
            <w:shd w:val="clear" w:color="auto" w:fill="FFFFFF"/>
            <w:tcMar>
              <w:top w:w="75" w:type="dxa"/>
              <w:left w:w="75" w:type="dxa"/>
              <w:bottom w:w="75" w:type="dxa"/>
              <w:right w:w="75" w:type="dxa"/>
            </w:tcMar>
            <w:vAlign w:val="center"/>
          </w:tcPr>
          <w:p w14:paraId="63C3E7D5"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2026年1月至今</w:t>
            </w:r>
          </w:p>
        </w:tc>
        <w:tc>
          <w:tcPr>
            <w:tcW w:w="2323" w:type="pct"/>
            <w:shd w:val="clear" w:color="auto" w:fill="FFFFFF"/>
            <w:tcMar>
              <w:top w:w="75" w:type="dxa"/>
              <w:left w:w="75" w:type="dxa"/>
              <w:bottom w:w="75" w:type="dxa"/>
              <w:right w:w="75" w:type="dxa"/>
            </w:tcMar>
            <w:vAlign w:val="center"/>
          </w:tcPr>
          <w:p w14:paraId="6DA1B516"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重庆望来电智能装备科技有限公司</w:t>
            </w:r>
          </w:p>
        </w:tc>
        <w:tc>
          <w:tcPr>
            <w:tcW w:w="1465" w:type="pct"/>
            <w:shd w:val="clear" w:color="auto" w:fill="FFFFFF"/>
            <w:tcMar>
              <w:top w:w="75" w:type="dxa"/>
              <w:left w:w="75" w:type="dxa"/>
              <w:bottom w:w="75" w:type="dxa"/>
              <w:right w:w="75" w:type="dxa"/>
            </w:tcMar>
            <w:vAlign w:val="center"/>
          </w:tcPr>
          <w:p w14:paraId="6FACFD9B" w14:textId="77777777" w:rsidR="00A42BF3" w:rsidRPr="001549DB" w:rsidRDefault="00A42BF3" w:rsidP="00A42BF3">
            <w:pPr>
              <w:widowControl/>
              <w:wordWrap w:val="0"/>
              <w:spacing w:line="240" w:lineRule="auto"/>
              <w:ind w:firstLineChars="0" w:firstLine="0"/>
              <w:jc w:val="center"/>
              <w:rPr>
                <w:rFonts w:asciiTheme="majorEastAsia" w:eastAsiaTheme="majorEastAsia" w:hAnsiTheme="majorEastAsia" w:cs="Times New Roman" w:hint="eastAsia"/>
                <w:color w:val="333333"/>
                <w:kern w:val="0"/>
                <w:sz w:val="21"/>
                <w:szCs w:val="21"/>
              </w:rPr>
            </w:pPr>
            <w:r w:rsidRPr="001549DB">
              <w:rPr>
                <w:rFonts w:asciiTheme="majorEastAsia" w:eastAsiaTheme="majorEastAsia" w:hAnsiTheme="majorEastAsia" w:cs="Times New Roman"/>
                <w:color w:val="333333"/>
                <w:kern w:val="0"/>
                <w:sz w:val="21"/>
                <w:szCs w:val="21"/>
              </w:rPr>
              <w:t>董事长</w:t>
            </w:r>
          </w:p>
        </w:tc>
      </w:tr>
    </w:tbl>
    <w:p w14:paraId="008CA9D3"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r w:rsidRPr="001549DB">
        <w:rPr>
          <w:rFonts w:asciiTheme="majorEastAsia" w:eastAsiaTheme="majorEastAsia" w:hAnsiTheme="majorEastAsia" w:cs="Times New Roman" w:hint="eastAsia"/>
          <w:b/>
          <w:bCs/>
          <w:kern w:val="0"/>
          <w:szCs w:val="24"/>
        </w:rPr>
        <w:t>（三）对外投资的主要企业</w:t>
      </w:r>
      <w:bookmarkEnd w:id="1"/>
    </w:p>
    <w:p w14:paraId="2F5BAD2A"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截至本公告</w:t>
      </w:r>
      <w:r w:rsidR="00557790" w:rsidRPr="001549DB">
        <w:rPr>
          <w:rFonts w:asciiTheme="majorEastAsia" w:eastAsiaTheme="majorEastAsia" w:hAnsiTheme="majorEastAsia" w:cs="Times New Roman" w:hint="eastAsia"/>
          <w:kern w:val="0"/>
          <w:szCs w:val="24"/>
        </w:rPr>
        <w:t>披露之</w:t>
      </w:r>
      <w:r w:rsidRPr="001549DB">
        <w:rPr>
          <w:rFonts w:asciiTheme="majorEastAsia" w:eastAsiaTheme="majorEastAsia" w:hAnsiTheme="majorEastAsia" w:cs="Times New Roman" w:hint="eastAsia"/>
          <w:kern w:val="0"/>
          <w:szCs w:val="24"/>
        </w:rPr>
        <w:t>日，除本公司及下属子公司外，杨泽民先生控制的其他主要企业情况如下：</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3"/>
        <w:gridCol w:w="2978"/>
        <w:gridCol w:w="2410"/>
        <w:gridCol w:w="2195"/>
      </w:tblGrid>
      <w:tr w:rsidR="009C62DC" w:rsidRPr="001549DB" w14:paraId="3D734412" w14:textId="77777777">
        <w:trPr>
          <w:trHeight w:val="397"/>
          <w:tblHeader/>
        </w:trPr>
        <w:tc>
          <w:tcPr>
            <w:tcW w:w="419" w:type="pct"/>
            <w:shd w:val="clear" w:color="auto" w:fill="FFFFFF"/>
            <w:tcMar>
              <w:top w:w="75" w:type="dxa"/>
              <w:left w:w="75" w:type="dxa"/>
              <w:bottom w:w="75" w:type="dxa"/>
              <w:right w:w="75" w:type="dxa"/>
            </w:tcMar>
            <w:vAlign w:val="center"/>
          </w:tcPr>
          <w:p w14:paraId="6B0EEFDC"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b/>
                <w:bCs/>
                <w:color w:val="333333"/>
                <w:sz w:val="21"/>
                <w:szCs w:val="21"/>
              </w:rPr>
            </w:pPr>
            <w:r w:rsidRPr="001549DB">
              <w:rPr>
                <w:rFonts w:asciiTheme="majorEastAsia" w:eastAsiaTheme="majorEastAsia" w:hAnsiTheme="majorEastAsia" w:cs="Times New Roman" w:hint="eastAsia"/>
                <w:b/>
                <w:bCs/>
                <w:color w:val="333333"/>
                <w:sz w:val="21"/>
                <w:szCs w:val="21"/>
              </w:rPr>
              <w:t>序号</w:t>
            </w:r>
          </w:p>
        </w:tc>
        <w:tc>
          <w:tcPr>
            <w:tcW w:w="1799" w:type="pct"/>
            <w:shd w:val="clear" w:color="auto" w:fill="FFFFFF"/>
            <w:tcMar>
              <w:top w:w="75" w:type="dxa"/>
              <w:left w:w="75" w:type="dxa"/>
              <w:bottom w:w="75" w:type="dxa"/>
              <w:right w:w="75" w:type="dxa"/>
            </w:tcMar>
            <w:vAlign w:val="center"/>
          </w:tcPr>
          <w:p w14:paraId="3714BAD4"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b/>
                <w:bCs/>
                <w:color w:val="333333"/>
                <w:sz w:val="21"/>
                <w:szCs w:val="21"/>
              </w:rPr>
            </w:pPr>
            <w:r w:rsidRPr="001549DB">
              <w:rPr>
                <w:rFonts w:asciiTheme="majorEastAsia" w:eastAsiaTheme="majorEastAsia" w:hAnsiTheme="majorEastAsia" w:cs="Times New Roman" w:hint="eastAsia"/>
                <w:b/>
                <w:bCs/>
                <w:color w:val="333333"/>
                <w:sz w:val="21"/>
                <w:szCs w:val="21"/>
              </w:rPr>
              <w:t>公司名称</w:t>
            </w:r>
          </w:p>
        </w:tc>
        <w:tc>
          <w:tcPr>
            <w:tcW w:w="1456" w:type="pct"/>
            <w:shd w:val="clear" w:color="auto" w:fill="FFFFFF"/>
            <w:tcMar>
              <w:top w:w="75" w:type="dxa"/>
              <w:left w:w="75" w:type="dxa"/>
              <w:bottom w:w="75" w:type="dxa"/>
              <w:right w:w="75" w:type="dxa"/>
            </w:tcMar>
            <w:vAlign w:val="center"/>
          </w:tcPr>
          <w:p w14:paraId="31502877"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b/>
                <w:bCs/>
                <w:color w:val="333333"/>
                <w:sz w:val="21"/>
                <w:szCs w:val="21"/>
              </w:rPr>
            </w:pPr>
            <w:r w:rsidRPr="001549DB">
              <w:rPr>
                <w:rFonts w:asciiTheme="majorEastAsia" w:eastAsiaTheme="majorEastAsia" w:hAnsiTheme="majorEastAsia" w:cs="Times New Roman" w:hint="eastAsia"/>
                <w:b/>
                <w:bCs/>
                <w:color w:val="333333"/>
                <w:sz w:val="21"/>
                <w:szCs w:val="21"/>
              </w:rPr>
              <w:t>注册资本</w:t>
            </w:r>
          </w:p>
        </w:tc>
        <w:tc>
          <w:tcPr>
            <w:tcW w:w="1326" w:type="pct"/>
            <w:shd w:val="clear" w:color="auto" w:fill="FFFFFF"/>
            <w:vAlign w:val="center"/>
          </w:tcPr>
          <w:p w14:paraId="6B2D21B6"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b/>
                <w:bCs/>
                <w:color w:val="333333"/>
                <w:sz w:val="21"/>
                <w:szCs w:val="21"/>
              </w:rPr>
            </w:pPr>
            <w:r w:rsidRPr="001549DB">
              <w:rPr>
                <w:rFonts w:asciiTheme="majorEastAsia" w:eastAsiaTheme="majorEastAsia" w:hAnsiTheme="majorEastAsia" w:cs="Times New Roman" w:hint="eastAsia"/>
                <w:b/>
                <w:bCs/>
                <w:color w:val="333333"/>
                <w:sz w:val="21"/>
                <w:szCs w:val="21"/>
              </w:rPr>
              <w:t>主营业务</w:t>
            </w:r>
          </w:p>
        </w:tc>
      </w:tr>
      <w:tr w:rsidR="009C62DC" w:rsidRPr="001549DB" w14:paraId="54DCF480" w14:textId="77777777">
        <w:trPr>
          <w:trHeight w:val="397"/>
        </w:trPr>
        <w:tc>
          <w:tcPr>
            <w:tcW w:w="419" w:type="pct"/>
            <w:shd w:val="clear" w:color="auto" w:fill="FFFFFF"/>
            <w:tcMar>
              <w:top w:w="75" w:type="dxa"/>
              <w:left w:w="75" w:type="dxa"/>
              <w:bottom w:w="75" w:type="dxa"/>
              <w:right w:w="75" w:type="dxa"/>
            </w:tcMar>
            <w:vAlign w:val="center"/>
          </w:tcPr>
          <w:p w14:paraId="0A07313F"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color w:val="333333"/>
                <w:sz w:val="21"/>
                <w:szCs w:val="21"/>
              </w:rPr>
            </w:pPr>
            <w:r w:rsidRPr="001549DB">
              <w:rPr>
                <w:rFonts w:asciiTheme="majorEastAsia" w:eastAsiaTheme="majorEastAsia" w:hAnsiTheme="majorEastAsia" w:cs="Times New Roman" w:hint="eastAsia"/>
                <w:color w:val="333333"/>
                <w:sz w:val="21"/>
                <w:szCs w:val="21"/>
              </w:rPr>
              <w:t>1</w:t>
            </w:r>
          </w:p>
        </w:tc>
        <w:tc>
          <w:tcPr>
            <w:tcW w:w="1799" w:type="pct"/>
            <w:shd w:val="clear" w:color="auto" w:fill="FFFFFF"/>
            <w:tcMar>
              <w:top w:w="75" w:type="dxa"/>
              <w:left w:w="75" w:type="dxa"/>
              <w:bottom w:w="75" w:type="dxa"/>
              <w:right w:w="75" w:type="dxa"/>
            </w:tcMar>
            <w:vAlign w:val="center"/>
          </w:tcPr>
          <w:p w14:paraId="50F8F509"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color w:val="333333"/>
                <w:sz w:val="21"/>
                <w:szCs w:val="21"/>
              </w:rPr>
            </w:pPr>
            <w:r w:rsidRPr="001549DB">
              <w:rPr>
                <w:rFonts w:asciiTheme="majorEastAsia" w:eastAsiaTheme="majorEastAsia" w:hAnsiTheme="majorEastAsia" w:cs="Times New Roman" w:hint="eastAsia"/>
                <w:color w:val="333333"/>
                <w:sz w:val="21"/>
                <w:szCs w:val="21"/>
              </w:rPr>
              <w:t>重庆凌云远景投资有限公司</w:t>
            </w:r>
          </w:p>
        </w:tc>
        <w:tc>
          <w:tcPr>
            <w:tcW w:w="1456" w:type="pct"/>
            <w:shd w:val="clear" w:color="auto" w:fill="FFFFFF"/>
            <w:tcMar>
              <w:top w:w="75" w:type="dxa"/>
              <w:left w:w="75" w:type="dxa"/>
              <w:bottom w:w="75" w:type="dxa"/>
              <w:right w:w="75" w:type="dxa"/>
            </w:tcMar>
            <w:vAlign w:val="center"/>
          </w:tcPr>
          <w:p w14:paraId="79DD281E" w14:textId="798FCB1D"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color w:val="333333"/>
                <w:sz w:val="21"/>
                <w:szCs w:val="21"/>
              </w:rPr>
            </w:pPr>
            <w:r w:rsidRPr="001549DB">
              <w:rPr>
                <w:rFonts w:asciiTheme="majorEastAsia" w:eastAsiaTheme="majorEastAsia" w:hAnsiTheme="majorEastAsia" w:cs="Times New Roman" w:hint="eastAsia"/>
                <w:color w:val="333333"/>
                <w:sz w:val="21"/>
                <w:szCs w:val="21"/>
              </w:rPr>
              <w:t>2</w:t>
            </w:r>
            <w:r w:rsidR="00E058E5" w:rsidRPr="001549DB">
              <w:rPr>
                <w:rFonts w:asciiTheme="majorEastAsia" w:eastAsiaTheme="majorEastAsia" w:hAnsiTheme="majorEastAsia" w:cs="Times New Roman" w:hint="eastAsia"/>
                <w:color w:val="333333"/>
                <w:sz w:val="21"/>
                <w:szCs w:val="21"/>
              </w:rPr>
              <w:t>,</w:t>
            </w:r>
            <w:r w:rsidRPr="001549DB">
              <w:rPr>
                <w:rFonts w:asciiTheme="majorEastAsia" w:eastAsiaTheme="majorEastAsia" w:hAnsiTheme="majorEastAsia" w:cs="Times New Roman" w:hint="eastAsia"/>
                <w:color w:val="333333"/>
                <w:sz w:val="21"/>
                <w:szCs w:val="21"/>
              </w:rPr>
              <w:t>000万元</w:t>
            </w:r>
          </w:p>
        </w:tc>
        <w:tc>
          <w:tcPr>
            <w:tcW w:w="1326" w:type="pct"/>
            <w:shd w:val="clear" w:color="auto" w:fill="FFFFFF"/>
            <w:vAlign w:val="center"/>
          </w:tcPr>
          <w:p w14:paraId="3458FC89" w14:textId="77777777" w:rsidR="009C62DC" w:rsidRPr="001549DB" w:rsidRDefault="00000000">
            <w:pPr>
              <w:wordWrap w:val="0"/>
              <w:spacing w:line="240" w:lineRule="auto"/>
              <w:ind w:firstLineChars="0" w:firstLine="0"/>
              <w:jc w:val="center"/>
              <w:rPr>
                <w:rFonts w:asciiTheme="majorEastAsia" w:eastAsiaTheme="majorEastAsia" w:hAnsiTheme="majorEastAsia" w:cs="Times New Roman" w:hint="eastAsia"/>
                <w:color w:val="333333"/>
                <w:sz w:val="21"/>
                <w:szCs w:val="21"/>
              </w:rPr>
            </w:pPr>
            <w:r w:rsidRPr="001549DB">
              <w:rPr>
                <w:rFonts w:asciiTheme="majorEastAsia" w:eastAsiaTheme="majorEastAsia" w:hAnsiTheme="majorEastAsia" w:cs="Times New Roman" w:hint="eastAsia"/>
                <w:color w:val="333333"/>
                <w:sz w:val="21"/>
                <w:szCs w:val="21"/>
              </w:rPr>
              <w:t>投资及商务信息咨询</w:t>
            </w:r>
          </w:p>
        </w:tc>
      </w:tr>
    </w:tbl>
    <w:p w14:paraId="3B9CBF72"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bookmarkStart w:id="2" w:name="_Toc219392644"/>
      <w:r w:rsidRPr="001549DB">
        <w:rPr>
          <w:rFonts w:asciiTheme="majorEastAsia" w:eastAsiaTheme="majorEastAsia" w:hAnsiTheme="majorEastAsia" w:cs="Times New Roman" w:hint="eastAsia"/>
          <w:b/>
          <w:bCs/>
          <w:kern w:val="0"/>
          <w:szCs w:val="24"/>
        </w:rPr>
        <w:t>（四）最近五年受行政处罚刑事处罚或者涉及与经济纠纷有关的重大民事诉讼或者仲裁情况</w:t>
      </w:r>
      <w:bookmarkEnd w:id="2"/>
    </w:p>
    <w:p w14:paraId="0769564E"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截至本公告</w:t>
      </w:r>
      <w:r w:rsidR="00557790" w:rsidRPr="001549DB">
        <w:rPr>
          <w:rFonts w:asciiTheme="majorEastAsia" w:eastAsiaTheme="majorEastAsia" w:hAnsiTheme="majorEastAsia" w:cs="Times New Roman" w:hint="eastAsia"/>
          <w:kern w:val="0"/>
          <w:szCs w:val="24"/>
        </w:rPr>
        <w:t>披露之</w:t>
      </w:r>
      <w:r w:rsidRPr="001549DB">
        <w:rPr>
          <w:rFonts w:asciiTheme="majorEastAsia" w:eastAsiaTheme="majorEastAsia" w:hAnsiTheme="majorEastAsia" w:cs="Times New Roman" w:hint="eastAsia"/>
          <w:kern w:val="0"/>
          <w:szCs w:val="24"/>
        </w:rPr>
        <w:t>日，杨泽民先生最近五年未受过行政处罚（与证券市场明显无关的除外）、刑事处罚，也未涉及与经济纠纷有关的重大民事诉讼或者仲裁，不存在因涉嫌犯罪正被司法机关立案侦查或涉嫌违法违规正被中国证监会立案调查的情形。</w:t>
      </w:r>
    </w:p>
    <w:p w14:paraId="6F20924D"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bookmarkStart w:id="3" w:name="_Toc219392645"/>
      <w:r w:rsidRPr="001549DB">
        <w:rPr>
          <w:rFonts w:asciiTheme="majorEastAsia" w:eastAsiaTheme="majorEastAsia" w:hAnsiTheme="majorEastAsia" w:cs="Times New Roman" w:hint="eastAsia"/>
          <w:b/>
          <w:bCs/>
          <w:kern w:val="0"/>
          <w:szCs w:val="24"/>
        </w:rPr>
        <w:t>（五）本次发行完成后同业竞争与关联交易情况</w:t>
      </w:r>
      <w:bookmarkEnd w:id="3"/>
    </w:p>
    <w:p w14:paraId="4F997501"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本次发行募集资金在扣除相关发行费用后拟用于补充流动资金。本次发行不会导致上市公司与控股股东、实际控制人之间新增同业竞争或者潜在的同业竞争，</w:t>
      </w:r>
      <w:r w:rsidRPr="001549DB">
        <w:rPr>
          <w:rFonts w:asciiTheme="majorEastAsia" w:eastAsiaTheme="majorEastAsia" w:hAnsiTheme="majorEastAsia" w:cs="Times New Roman" w:hint="eastAsia"/>
          <w:kern w:val="0"/>
          <w:szCs w:val="24"/>
        </w:rPr>
        <w:lastRenderedPageBreak/>
        <w:t>本次发行不会对上市公司的关联关系产生影响，上市公司不会因本次发行新增与控股股东、实际控制人之间的持续性关联交易。</w:t>
      </w:r>
    </w:p>
    <w:p w14:paraId="4D2A89E5"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bookmarkStart w:id="4" w:name="_Toc219392646"/>
      <w:r w:rsidRPr="001549DB">
        <w:rPr>
          <w:rFonts w:asciiTheme="majorEastAsia" w:eastAsiaTheme="majorEastAsia" w:hAnsiTheme="majorEastAsia" w:cs="Times New Roman" w:hint="eastAsia"/>
          <w:b/>
          <w:bCs/>
          <w:kern w:val="0"/>
          <w:szCs w:val="24"/>
        </w:rPr>
        <w:t>（六）本次向特定对象发行股份预案披露前24个月发行对象与公司之间的重大交易情况</w:t>
      </w:r>
      <w:bookmarkEnd w:id="4"/>
    </w:p>
    <w:p w14:paraId="73F8EA8F" w14:textId="42ECF645" w:rsidR="009C62DC" w:rsidRPr="001549DB" w:rsidRDefault="00000000">
      <w:pPr>
        <w:widowControl/>
        <w:spacing w:beforeLines="50" w:before="156" w:line="360" w:lineRule="auto"/>
        <w:ind w:firstLine="480"/>
        <w:rPr>
          <w:rFonts w:asciiTheme="majorEastAsia" w:eastAsiaTheme="majorEastAsia" w:hAnsiTheme="majorEastAsia" w:hint="eastAsia"/>
          <w:szCs w:val="24"/>
        </w:rPr>
      </w:pPr>
      <w:proofErr w:type="gramStart"/>
      <w:r w:rsidRPr="001549DB">
        <w:rPr>
          <w:rFonts w:asciiTheme="majorEastAsia" w:eastAsiaTheme="majorEastAsia" w:hAnsiTheme="majorEastAsia" w:cs="Times New Roman" w:hint="eastAsia"/>
          <w:kern w:val="0"/>
          <w:szCs w:val="24"/>
        </w:rPr>
        <w:t>除拟认购</w:t>
      </w:r>
      <w:proofErr w:type="gramEnd"/>
      <w:r w:rsidRPr="001549DB">
        <w:rPr>
          <w:rFonts w:asciiTheme="majorEastAsia" w:eastAsiaTheme="majorEastAsia" w:hAnsiTheme="majorEastAsia" w:cs="Times New Roman" w:hint="eastAsia"/>
          <w:kern w:val="0"/>
          <w:szCs w:val="24"/>
        </w:rPr>
        <w:t>本次公司向特定对象发行股票外，</w:t>
      </w:r>
      <w:r w:rsidR="00355C56" w:rsidRPr="001549DB">
        <w:rPr>
          <w:rFonts w:asciiTheme="majorEastAsia" w:eastAsiaTheme="majorEastAsia" w:hAnsiTheme="majorEastAsia" w:cs="Times New Roman"/>
          <w:kern w:val="0"/>
          <w:szCs w:val="24"/>
        </w:rPr>
        <w:t>本次向特定对象发行股份预案</w:t>
      </w:r>
      <w:r w:rsidRPr="001549DB">
        <w:rPr>
          <w:rFonts w:asciiTheme="majorEastAsia" w:eastAsiaTheme="majorEastAsia" w:hAnsiTheme="majorEastAsia" w:cs="Times New Roman" w:hint="eastAsia"/>
          <w:kern w:val="0"/>
          <w:szCs w:val="24"/>
        </w:rPr>
        <w:t>披露前24个月内，杨泽民先生与上市公司及其子公司之间不存在重大关联交易情况。</w:t>
      </w:r>
    </w:p>
    <w:p w14:paraId="2F4B5E05" w14:textId="77777777" w:rsidR="009C62DC" w:rsidRPr="001549DB" w:rsidRDefault="00000000">
      <w:pPr>
        <w:keepNext/>
        <w:widowControl/>
        <w:spacing w:beforeLines="50" w:before="156" w:line="360" w:lineRule="auto"/>
        <w:ind w:firstLineChars="0" w:firstLine="0"/>
        <w:jc w:val="left"/>
        <w:outlineLvl w:val="2"/>
        <w:rPr>
          <w:rFonts w:asciiTheme="majorEastAsia" w:eastAsiaTheme="majorEastAsia" w:hAnsiTheme="majorEastAsia" w:cs="Times New Roman" w:hint="eastAsia"/>
          <w:b/>
          <w:bCs/>
          <w:kern w:val="0"/>
          <w:szCs w:val="24"/>
        </w:rPr>
      </w:pPr>
      <w:bookmarkStart w:id="5" w:name="_Toc219392647"/>
      <w:r w:rsidRPr="001549DB">
        <w:rPr>
          <w:rFonts w:asciiTheme="majorEastAsia" w:eastAsiaTheme="majorEastAsia" w:hAnsiTheme="majorEastAsia" w:cs="Times New Roman" w:hint="eastAsia"/>
          <w:b/>
          <w:bCs/>
          <w:kern w:val="0"/>
          <w:szCs w:val="24"/>
        </w:rPr>
        <w:t>（七）本次认购资金来源</w:t>
      </w:r>
      <w:bookmarkEnd w:id="5"/>
    </w:p>
    <w:p w14:paraId="463237E8" w14:textId="234A1DEF" w:rsidR="00F371BA" w:rsidRPr="001549DB" w:rsidRDefault="00F371BA" w:rsidP="00F371BA">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杨泽民先生或其控制的企业本次认购资金是合法合</w:t>
      </w:r>
      <w:proofErr w:type="gramStart"/>
      <w:r w:rsidRPr="001549DB">
        <w:rPr>
          <w:rFonts w:asciiTheme="majorEastAsia" w:eastAsiaTheme="majorEastAsia" w:hAnsiTheme="majorEastAsia" w:hint="eastAsia"/>
          <w:szCs w:val="24"/>
        </w:rPr>
        <w:t>规</w:t>
      </w:r>
      <w:proofErr w:type="gramEnd"/>
      <w:r w:rsidRPr="001549DB">
        <w:rPr>
          <w:rFonts w:asciiTheme="majorEastAsia" w:eastAsiaTheme="majorEastAsia" w:hAnsiTheme="majorEastAsia" w:hint="eastAsia"/>
          <w:szCs w:val="24"/>
        </w:rPr>
        <w:t>的自有资金或自筹资金。杨泽民先生就其或其控制的企业参与本次发行的资金来源</w:t>
      </w:r>
      <w:proofErr w:type="gramStart"/>
      <w:r w:rsidRPr="001549DB">
        <w:rPr>
          <w:rFonts w:asciiTheme="majorEastAsia" w:eastAsiaTheme="majorEastAsia" w:hAnsiTheme="majorEastAsia" w:hint="eastAsia"/>
          <w:szCs w:val="24"/>
        </w:rPr>
        <w:t>作出</w:t>
      </w:r>
      <w:proofErr w:type="gramEnd"/>
      <w:r w:rsidRPr="001549DB">
        <w:rPr>
          <w:rFonts w:asciiTheme="majorEastAsia" w:eastAsiaTheme="majorEastAsia" w:hAnsiTheme="majorEastAsia" w:hint="eastAsia"/>
          <w:szCs w:val="24"/>
        </w:rPr>
        <w:t>承诺：</w:t>
      </w:r>
    </w:p>
    <w:p w14:paraId="0F979022" w14:textId="77777777" w:rsidR="00F371BA" w:rsidRPr="001549DB" w:rsidRDefault="00F371BA" w:rsidP="00F371BA">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“1、认购人参与认购本次发行的资金，全部为认购人自有资金或合法自筹资金，资金来源合法合</w:t>
      </w:r>
      <w:proofErr w:type="gramStart"/>
      <w:r w:rsidRPr="001549DB">
        <w:rPr>
          <w:rFonts w:asciiTheme="majorEastAsia" w:eastAsiaTheme="majorEastAsia" w:hAnsiTheme="majorEastAsia" w:hint="eastAsia"/>
          <w:szCs w:val="24"/>
        </w:rPr>
        <w:t>规</w:t>
      </w:r>
      <w:proofErr w:type="gramEnd"/>
      <w:r w:rsidRPr="001549DB">
        <w:rPr>
          <w:rFonts w:asciiTheme="majorEastAsia" w:eastAsiaTheme="majorEastAsia" w:hAnsiTheme="majorEastAsia" w:hint="eastAsia"/>
          <w:szCs w:val="24"/>
        </w:rPr>
        <w:t>；</w:t>
      </w:r>
    </w:p>
    <w:p w14:paraId="44811B74" w14:textId="77777777" w:rsidR="00F371BA" w:rsidRPr="001549DB" w:rsidRDefault="00F371BA" w:rsidP="00F371BA">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2、认购人不存在对外募集、代持、结构化安排等情形；</w:t>
      </w:r>
    </w:p>
    <w:p w14:paraId="28070656" w14:textId="77777777" w:rsidR="00F371BA" w:rsidRPr="001549DB" w:rsidRDefault="00F371BA" w:rsidP="00F371BA">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3、认购人不存在直接间接使用发行人资金用于本次认购的情形，亦不存在发行人直接或通过其他利益相关方向本人提供财务资助、补偿、承诺收益或其他协议安排的情形；</w:t>
      </w:r>
    </w:p>
    <w:p w14:paraId="4407051F" w14:textId="308AD8E0" w:rsidR="009C62DC" w:rsidRPr="001549DB" w:rsidRDefault="00F371BA" w:rsidP="00F371BA">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4、认购人本次认购的股份不存在法律法规规定禁止持股的情形，不存在信托持股、委托持股或其他</w:t>
      </w:r>
      <w:proofErr w:type="gramStart"/>
      <w:r w:rsidRPr="001549DB">
        <w:rPr>
          <w:rFonts w:asciiTheme="majorEastAsia" w:eastAsiaTheme="majorEastAsia" w:hAnsiTheme="majorEastAsia" w:hint="eastAsia"/>
          <w:szCs w:val="24"/>
        </w:rPr>
        <w:t>任何代持的</w:t>
      </w:r>
      <w:proofErr w:type="gramEnd"/>
      <w:r w:rsidRPr="001549DB">
        <w:rPr>
          <w:rFonts w:asciiTheme="majorEastAsia" w:eastAsiaTheme="majorEastAsia" w:hAnsiTheme="majorEastAsia" w:hint="eastAsia"/>
          <w:szCs w:val="24"/>
        </w:rPr>
        <w:t>情形；不存在本次发行的中介机构或其负责人、高级管理人员、经办人员等违规持股的情形；不存在不当利益输送的情形。”</w:t>
      </w:r>
    </w:p>
    <w:p w14:paraId="5C5C4995" w14:textId="77777777" w:rsidR="009C62DC" w:rsidRPr="001549DB" w:rsidRDefault="00000000">
      <w:pPr>
        <w:keepNext/>
        <w:widowControl/>
        <w:spacing w:beforeLines="50" w:before="156" w:line="360" w:lineRule="auto"/>
        <w:ind w:firstLineChars="0" w:firstLine="0"/>
        <w:jc w:val="left"/>
        <w:outlineLvl w:val="1"/>
        <w:rPr>
          <w:rFonts w:asciiTheme="majorEastAsia" w:eastAsiaTheme="majorEastAsia" w:hAnsiTheme="majorEastAsia" w:cs="Times New Roman" w:hint="eastAsia"/>
          <w:b/>
          <w:bCs/>
          <w:kern w:val="0"/>
          <w:sz w:val="28"/>
          <w:szCs w:val="28"/>
        </w:rPr>
      </w:pPr>
      <w:r w:rsidRPr="001549DB">
        <w:rPr>
          <w:rFonts w:asciiTheme="majorEastAsia" w:eastAsiaTheme="majorEastAsia" w:hAnsiTheme="majorEastAsia" w:cs="Times New Roman" w:hint="eastAsia"/>
          <w:b/>
          <w:bCs/>
          <w:kern w:val="0"/>
          <w:sz w:val="28"/>
          <w:szCs w:val="28"/>
        </w:rPr>
        <w:t>三、《附条件生效的股份认购协议》主要内容</w:t>
      </w:r>
    </w:p>
    <w:p w14:paraId="5B7FB25E" w14:textId="75341E4B" w:rsidR="009C62DC" w:rsidRPr="001549DB" w:rsidRDefault="00000000" w:rsidP="00557790">
      <w:pPr>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hint="eastAsia"/>
          <w:szCs w:val="24"/>
        </w:rPr>
        <w:t>公司已与杨泽民先生签署了《附条件生效的股份认购协议》，合同主要内容包括</w:t>
      </w:r>
      <w:r w:rsidR="00557790" w:rsidRPr="001549DB">
        <w:rPr>
          <w:rFonts w:asciiTheme="majorEastAsia" w:eastAsiaTheme="majorEastAsia" w:hAnsiTheme="majorEastAsia" w:hint="eastAsia"/>
          <w:szCs w:val="24"/>
        </w:rPr>
        <w:t>认购方式、认购价格、</w:t>
      </w:r>
      <w:r w:rsidR="00815614" w:rsidRPr="001549DB">
        <w:rPr>
          <w:rFonts w:asciiTheme="majorEastAsia" w:eastAsiaTheme="majorEastAsia" w:hAnsiTheme="majorEastAsia" w:hint="eastAsia"/>
          <w:szCs w:val="24"/>
        </w:rPr>
        <w:t>认购款项支付、认购金额、</w:t>
      </w:r>
      <w:r w:rsidR="00557790" w:rsidRPr="001549DB">
        <w:rPr>
          <w:rFonts w:asciiTheme="majorEastAsia" w:eastAsiaTheme="majorEastAsia" w:hAnsiTheme="majorEastAsia" w:hint="eastAsia"/>
          <w:szCs w:val="24"/>
        </w:rPr>
        <w:t>认购数量、</w:t>
      </w:r>
      <w:r w:rsidR="00815614" w:rsidRPr="001549DB">
        <w:rPr>
          <w:rFonts w:asciiTheme="majorEastAsia" w:eastAsiaTheme="majorEastAsia" w:hAnsiTheme="majorEastAsia" w:hint="eastAsia"/>
          <w:szCs w:val="24"/>
        </w:rPr>
        <w:t>滚存未分配利润安排、认购股份的锁定期</w:t>
      </w:r>
      <w:r w:rsidR="00557790" w:rsidRPr="001549DB">
        <w:rPr>
          <w:rFonts w:asciiTheme="majorEastAsia" w:eastAsiaTheme="majorEastAsia" w:hAnsiTheme="majorEastAsia" w:hint="eastAsia"/>
          <w:szCs w:val="24"/>
        </w:rPr>
        <w:t>、协议的生效</w:t>
      </w:r>
      <w:r w:rsidR="00815614" w:rsidRPr="001549DB">
        <w:rPr>
          <w:rFonts w:asciiTheme="majorEastAsia" w:eastAsiaTheme="majorEastAsia" w:hAnsiTheme="majorEastAsia" w:hint="eastAsia"/>
          <w:szCs w:val="24"/>
        </w:rPr>
        <w:t>条件和生效时间</w:t>
      </w:r>
      <w:r w:rsidR="00557790" w:rsidRPr="001549DB">
        <w:rPr>
          <w:rFonts w:asciiTheme="majorEastAsia" w:eastAsiaTheme="majorEastAsia" w:hAnsiTheme="majorEastAsia" w:hint="eastAsia"/>
          <w:szCs w:val="24"/>
        </w:rPr>
        <w:t>等，具体内容详见公司</w:t>
      </w:r>
      <w:r w:rsidR="00557790" w:rsidRPr="001549DB">
        <w:rPr>
          <w:rFonts w:asciiTheme="majorEastAsia" w:eastAsiaTheme="majorEastAsia" w:hAnsiTheme="majorEastAsia"/>
          <w:szCs w:val="24"/>
        </w:rPr>
        <w:t>同日披露于上海证券交易所网站的</w:t>
      </w:r>
      <w:r w:rsidR="00557790" w:rsidRPr="001549DB">
        <w:rPr>
          <w:rFonts w:asciiTheme="majorEastAsia" w:eastAsiaTheme="majorEastAsia" w:hAnsiTheme="majorEastAsia" w:hint="eastAsia"/>
          <w:szCs w:val="24"/>
        </w:rPr>
        <w:t>《</w:t>
      </w:r>
      <w:r w:rsidR="00557790" w:rsidRPr="001549DB">
        <w:rPr>
          <w:rFonts w:asciiTheme="majorEastAsia" w:eastAsiaTheme="majorEastAsia" w:hAnsiTheme="majorEastAsia"/>
          <w:szCs w:val="24"/>
        </w:rPr>
        <w:t>关于与特定对象签订附条件生效的股份认购协议暨关联交易的公告</w:t>
      </w:r>
      <w:r w:rsidR="00557790" w:rsidRPr="001549DB">
        <w:rPr>
          <w:rFonts w:asciiTheme="majorEastAsia" w:eastAsiaTheme="majorEastAsia" w:hAnsiTheme="majorEastAsia" w:hint="eastAsia"/>
          <w:szCs w:val="24"/>
        </w:rPr>
        <w:t>》。</w:t>
      </w:r>
    </w:p>
    <w:p w14:paraId="4CEAA6CD" w14:textId="77777777" w:rsidR="009C62DC" w:rsidRPr="001549DB" w:rsidRDefault="00000000">
      <w:pPr>
        <w:keepNext/>
        <w:widowControl/>
        <w:spacing w:beforeLines="50" w:before="156" w:line="360" w:lineRule="auto"/>
        <w:ind w:firstLineChars="0" w:firstLine="0"/>
        <w:jc w:val="left"/>
        <w:outlineLvl w:val="1"/>
        <w:rPr>
          <w:rFonts w:asciiTheme="majorEastAsia" w:eastAsiaTheme="majorEastAsia" w:hAnsiTheme="majorEastAsia" w:hint="eastAsia"/>
          <w:szCs w:val="24"/>
        </w:rPr>
      </w:pPr>
      <w:r w:rsidRPr="001549DB">
        <w:rPr>
          <w:rFonts w:asciiTheme="majorEastAsia" w:eastAsiaTheme="majorEastAsia" w:hAnsiTheme="majorEastAsia" w:cs="Times New Roman" w:hint="eastAsia"/>
          <w:b/>
          <w:bCs/>
          <w:kern w:val="0"/>
          <w:sz w:val="28"/>
          <w:szCs w:val="28"/>
        </w:rPr>
        <w:lastRenderedPageBreak/>
        <w:t>四、所涉及后续事项</w:t>
      </w:r>
    </w:p>
    <w:p w14:paraId="610DDA77"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一）根据《上市公司收购管理办法》第六十三条的规定，“有下列情形之一的，投资者可以免于发出要约：……（三）经上市公司股东大会非关联股东批准，投资者取得上市公司向其发行的新股，导致其在该公司拥有权益的股份超过该公司已发行股份的30%，投资者承诺3年内不转让本次向其发行的新股，且公司股东大会同意投资者免于发出要约……”。</w:t>
      </w:r>
    </w:p>
    <w:p w14:paraId="6B82F8D2" w14:textId="6923DA81" w:rsidR="009C62DC" w:rsidRPr="001549DB" w:rsidRDefault="00000000">
      <w:pPr>
        <w:widowControl/>
        <w:spacing w:beforeLines="50" w:before="156" w:line="360" w:lineRule="auto"/>
        <w:ind w:firstLine="480"/>
        <w:rPr>
          <w:rFonts w:asciiTheme="majorEastAsia" w:eastAsiaTheme="majorEastAsia" w:hAnsiTheme="majorEastAsia" w:hint="eastAsia"/>
          <w:szCs w:val="24"/>
        </w:rPr>
      </w:pPr>
      <w:r w:rsidRPr="001549DB">
        <w:rPr>
          <w:rFonts w:asciiTheme="majorEastAsia" w:eastAsiaTheme="majorEastAsia" w:hAnsiTheme="majorEastAsia" w:cs="Times New Roman" w:hint="eastAsia"/>
          <w:kern w:val="0"/>
          <w:szCs w:val="24"/>
        </w:rPr>
        <w:t>本次发行前，公司实际控制人杨泽民先生、秦惠兰女士、杨耀先生、杨秦女士分别直接持有公司52,618,391股、40,841,700股、18,000,050股和18,015,000股股票，合计持股比例为38.96%，公司实际控制人及其一致行动人杨厚群女士合计持有公司</w:t>
      </w:r>
      <w:r w:rsidR="00A42BF3" w:rsidRPr="001549DB">
        <w:rPr>
          <w:rFonts w:asciiTheme="majorEastAsia" w:eastAsiaTheme="majorEastAsia" w:hAnsiTheme="majorEastAsia" w:cs="Times New Roman"/>
          <w:kern w:val="0"/>
          <w:szCs w:val="24"/>
        </w:rPr>
        <w:t>131,744,985</w:t>
      </w:r>
      <w:r w:rsidRPr="001549DB">
        <w:rPr>
          <w:rFonts w:asciiTheme="majorEastAsia" w:eastAsiaTheme="majorEastAsia" w:hAnsiTheme="majorEastAsia" w:cs="Times New Roman" w:hint="eastAsia"/>
          <w:kern w:val="0"/>
          <w:szCs w:val="24"/>
        </w:rPr>
        <w:t>股股票，合计持股比例为</w:t>
      </w:r>
      <w:r w:rsidR="00A42BF3" w:rsidRPr="001549DB">
        <w:rPr>
          <w:rFonts w:asciiTheme="majorEastAsia" w:eastAsiaTheme="majorEastAsia" w:hAnsiTheme="majorEastAsia" w:cs="Times New Roman"/>
          <w:kern w:val="0"/>
          <w:szCs w:val="24"/>
        </w:rPr>
        <w:t>39.64</w:t>
      </w:r>
      <w:r w:rsidRPr="001549DB">
        <w:rPr>
          <w:rFonts w:asciiTheme="majorEastAsia" w:eastAsiaTheme="majorEastAsia" w:hAnsiTheme="majorEastAsia" w:cs="Times New Roman" w:hint="eastAsia"/>
          <w:kern w:val="0"/>
          <w:szCs w:val="24"/>
        </w:rPr>
        <w:t>%。本次发行股票的数量为</w:t>
      </w:r>
      <w:r w:rsidR="00F371BA" w:rsidRPr="001549DB">
        <w:rPr>
          <w:rFonts w:asciiTheme="majorEastAsia" w:eastAsiaTheme="majorEastAsia" w:hAnsiTheme="majorEastAsia" w:cs="Times New Roman"/>
          <w:kern w:val="0"/>
          <w:szCs w:val="24"/>
        </w:rPr>
        <w:t>19,493,177</w:t>
      </w:r>
      <w:r w:rsidRPr="001549DB">
        <w:rPr>
          <w:rFonts w:asciiTheme="majorEastAsia" w:eastAsiaTheme="majorEastAsia" w:hAnsiTheme="majorEastAsia" w:cs="Times New Roman" w:hint="eastAsia"/>
          <w:kern w:val="0"/>
          <w:szCs w:val="24"/>
        </w:rPr>
        <w:t>股，本次发行完成后，公司实际控制人及其一致行动人持有公司股份比例将提升至</w:t>
      </w:r>
      <w:r w:rsidR="00F371BA" w:rsidRPr="001549DB">
        <w:rPr>
          <w:rFonts w:asciiTheme="majorEastAsia" w:eastAsiaTheme="majorEastAsia" w:hAnsiTheme="majorEastAsia" w:cs="Times New Roman"/>
          <w:kern w:val="0"/>
          <w:szCs w:val="24"/>
        </w:rPr>
        <w:t>42.98%</w:t>
      </w:r>
      <w:r w:rsidRPr="001549DB">
        <w:rPr>
          <w:rFonts w:asciiTheme="majorEastAsia" w:eastAsiaTheme="majorEastAsia" w:hAnsiTheme="majorEastAsia" w:cs="Times New Roman" w:hint="eastAsia"/>
          <w:kern w:val="0"/>
          <w:szCs w:val="24"/>
        </w:rPr>
        <w:t>。鉴于杨泽民先生已承诺自本次发行</w:t>
      </w:r>
      <w:r w:rsidR="00B47A1A" w:rsidRPr="001549DB">
        <w:rPr>
          <w:rFonts w:asciiTheme="majorEastAsia" w:eastAsiaTheme="majorEastAsia" w:hAnsiTheme="majorEastAsia" w:cs="Times New Roman" w:hint="eastAsia"/>
          <w:kern w:val="0"/>
          <w:szCs w:val="24"/>
        </w:rPr>
        <w:t>结束</w:t>
      </w:r>
      <w:r w:rsidRPr="001549DB">
        <w:rPr>
          <w:rFonts w:asciiTheme="majorEastAsia" w:eastAsiaTheme="majorEastAsia" w:hAnsiTheme="majorEastAsia" w:cs="Times New Roman" w:hint="eastAsia"/>
          <w:kern w:val="0"/>
          <w:szCs w:val="24"/>
        </w:rPr>
        <w:t>之日起36个月内不转让其</w:t>
      </w:r>
      <w:r w:rsidR="00410D8D" w:rsidRPr="001549DB">
        <w:rPr>
          <w:rFonts w:asciiTheme="majorEastAsia" w:eastAsiaTheme="majorEastAsia" w:hAnsiTheme="majorEastAsia" w:cs="Times New Roman" w:hint="eastAsia"/>
          <w:kern w:val="0"/>
          <w:szCs w:val="24"/>
        </w:rPr>
        <w:t>或其控制的企业</w:t>
      </w:r>
      <w:r w:rsidRPr="001549DB">
        <w:rPr>
          <w:rFonts w:asciiTheme="majorEastAsia" w:eastAsiaTheme="majorEastAsia" w:hAnsiTheme="majorEastAsia" w:cs="Times New Roman" w:hint="eastAsia"/>
          <w:kern w:val="0"/>
          <w:szCs w:val="24"/>
        </w:rPr>
        <w:t>在本次发行中认购的股份，公司董事会同意提请股东会批准同意杨泽民先生</w:t>
      </w:r>
      <w:r w:rsidR="00410D8D" w:rsidRPr="001549DB">
        <w:rPr>
          <w:rFonts w:asciiTheme="majorEastAsia" w:eastAsiaTheme="majorEastAsia" w:hAnsiTheme="majorEastAsia" w:cs="Times New Roman" w:hint="eastAsia"/>
          <w:kern w:val="0"/>
          <w:szCs w:val="24"/>
        </w:rPr>
        <w:t>或其控制的企业</w:t>
      </w:r>
      <w:proofErr w:type="gramStart"/>
      <w:r w:rsidR="00410D8D" w:rsidRPr="001549DB">
        <w:rPr>
          <w:rFonts w:asciiTheme="majorEastAsia" w:eastAsiaTheme="majorEastAsia" w:hAnsiTheme="majorEastAsia" w:cs="Times New Roman" w:hint="eastAsia"/>
          <w:kern w:val="0"/>
          <w:szCs w:val="24"/>
        </w:rPr>
        <w:t>及一致</w:t>
      </w:r>
      <w:proofErr w:type="gramEnd"/>
      <w:r w:rsidR="00410D8D" w:rsidRPr="001549DB">
        <w:rPr>
          <w:rFonts w:asciiTheme="majorEastAsia" w:eastAsiaTheme="majorEastAsia" w:hAnsiTheme="majorEastAsia" w:cs="Times New Roman" w:hint="eastAsia"/>
          <w:kern w:val="0"/>
          <w:szCs w:val="24"/>
        </w:rPr>
        <w:t>行动人</w:t>
      </w:r>
      <w:r w:rsidRPr="001549DB">
        <w:rPr>
          <w:rFonts w:asciiTheme="majorEastAsia" w:eastAsiaTheme="majorEastAsia" w:hAnsiTheme="majorEastAsia" w:cs="Times New Roman" w:hint="eastAsia"/>
          <w:kern w:val="0"/>
          <w:szCs w:val="24"/>
        </w:rPr>
        <w:t>免于发出要约。</w:t>
      </w:r>
    </w:p>
    <w:p w14:paraId="1A907838"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二）本次发行尚需经公司股东会审议通过、上交所审核通过和中国证监会注册后方可实施。本次发行能否经公司股东会审议通过，能否取得上交所审核通过以及经中国证监会同意注册及最终审核通过、同意注册的时间均存在不确定性。</w:t>
      </w:r>
    </w:p>
    <w:p w14:paraId="3360AD6C"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（三）本次发行不会导致公司控股股东、实际控制人发生变化。</w:t>
      </w:r>
    </w:p>
    <w:p w14:paraId="1EE9E11A"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（四）公司将按照相关事项的进展情况及时履行信息披露义务，敬请广大投资者注意投资风险，理性决策，审慎投资。</w:t>
      </w:r>
    </w:p>
    <w:p w14:paraId="0D6D6642" w14:textId="77777777" w:rsidR="009C62DC" w:rsidRPr="001549DB" w:rsidRDefault="00000000">
      <w:pPr>
        <w:widowControl/>
        <w:spacing w:beforeLines="50" w:before="156" w:line="360" w:lineRule="auto"/>
        <w:ind w:firstLine="480"/>
        <w:rPr>
          <w:rFonts w:asciiTheme="majorEastAsia" w:eastAsiaTheme="majorEastAsia" w:hAnsiTheme="majorEastAsia" w:cs="Times New Roman" w:hint="eastAsia"/>
          <w:kern w:val="0"/>
          <w:szCs w:val="24"/>
        </w:rPr>
      </w:pPr>
      <w:r w:rsidRPr="001549DB">
        <w:rPr>
          <w:rFonts w:asciiTheme="majorEastAsia" w:eastAsiaTheme="majorEastAsia" w:hAnsiTheme="majorEastAsia" w:cs="Times New Roman" w:hint="eastAsia"/>
          <w:kern w:val="0"/>
          <w:szCs w:val="24"/>
        </w:rPr>
        <w:t>特此公告。</w:t>
      </w:r>
    </w:p>
    <w:p w14:paraId="38F8B437" w14:textId="77777777" w:rsidR="009C62DC" w:rsidRPr="001549DB" w:rsidRDefault="009C62DC">
      <w:pPr>
        <w:spacing w:beforeLines="50" w:before="156" w:line="360" w:lineRule="auto"/>
        <w:ind w:firstLine="480"/>
        <w:rPr>
          <w:rFonts w:asciiTheme="majorEastAsia" w:eastAsiaTheme="majorEastAsia" w:hAnsiTheme="majorEastAsia" w:hint="eastAsia"/>
          <w:szCs w:val="24"/>
        </w:rPr>
      </w:pPr>
    </w:p>
    <w:p w14:paraId="38266B56" w14:textId="77777777" w:rsidR="009C62DC" w:rsidRPr="001549DB" w:rsidRDefault="00000000">
      <w:pPr>
        <w:adjustRightInd w:val="0"/>
        <w:snapToGrid w:val="0"/>
        <w:ind w:firstLine="480"/>
        <w:jc w:val="right"/>
        <w:rPr>
          <w:rFonts w:asciiTheme="majorEastAsia" w:eastAsiaTheme="majorEastAsia" w:hAnsiTheme="majorEastAsia" w:hint="eastAsia"/>
          <w:szCs w:val="24"/>
        </w:rPr>
      </w:pPr>
      <w:proofErr w:type="gramStart"/>
      <w:r w:rsidRPr="001549DB">
        <w:rPr>
          <w:rFonts w:asciiTheme="majorEastAsia" w:eastAsiaTheme="majorEastAsia" w:hAnsiTheme="majorEastAsia" w:cs="宋体" w:hint="eastAsia"/>
          <w:kern w:val="0"/>
          <w:szCs w:val="24"/>
        </w:rPr>
        <w:t>重庆望变电气</w:t>
      </w:r>
      <w:proofErr w:type="gramEnd"/>
      <w:r w:rsidRPr="001549DB">
        <w:rPr>
          <w:rFonts w:asciiTheme="majorEastAsia" w:eastAsiaTheme="majorEastAsia" w:hAnsiTheme="majorEastAsia" w:cs="宋体" w:hint="eastAsia"/>
          <w:kern w:val="0"/>
          <w:szCs w:val="24"/>
        </w:rPr>
        <w:t>（集团）</w:t>
      </w:r>
      <w:r w:rsidRPr="001549DB">
        <w:rPr>
          <w:rFonts w:asciiTheme="majorEastAsia" w:eastAsiaTheme="majorEastAsia" w:hAnsiTheme="majorEastAsia" w:cs="仿宋_GB2312" w:hint="eastAsia"/>
          <w:szCs w:val="24"/>
        </w:rPr>
        <w:t>股</w:t>
      </w:r>
      <w:r w:rsidRPr="001549DB">
        <w:rPr>
          <w:rFonts w:asciiTheme="majorEastAsia" w:eastAsiaTheme="majorEastAsia" w:hAnsiTheme="majorEastAsia" w:hint="eastAsia"/>
          <w:szCs w:val="24"/>
        </w:rPr>
        <w:t>份有限公司董事会</w:t>
      </w:r>
    </w:p>
    <w:p w14:paraId="34F0956A" w14:textId="5F3F344D" w:rsidR="009C62DC" w:rsidRPr="001549DB" w:rsidRDefault="00000000">
      <w:pPr>
        <w:adjustRightInd w:val="0"/>
        <w:snapToGrid w:val="0"/>
        <w:ind w:firstLine="480"/>
        <w:jc w:val="right"/>
        <w:rPr>
          <w:rFonts w:asciiTheme="majorEastAsia" w:eastAsiaTheme="majorEastAsia" w:hAnsiTheme="majorEastAsia" w:hint="eastAsia"/>
          <w:szCs w:val="24"/>
        </w:rPr>
      </w:pPr>
      <w:r w:rsidRPr="001549DB">
        <w:rPr>
          <w:rFonts w:asciiTheme="majorEastAsia" w:eastAsiaTheme="majorEastAsia" w:hAnsiTheme="majorEastAsia" w:hint="eastAsia"/>
          <w:szCs w:val="24"/>
        </w:rPr>
        <w:t>2026年</w:t>
      </w:r>
      <w:r w:rsidR="00815614" w:rsidRPr="001549DB">
        <w:rPr>
          <w:rFonts w:asciiTheme="majorEastAsia" w:eastAsiaTheme="majorEastAsia" w:hAnsiTheme="majorEastAsia" w:hint="eastAsia"/>
          <w:szCs w:val="24"/>
        </w:rPr>
        <w:t>2</w:t>
      </w:r>
      <w:r w:rsidRPr="001549DB">
        <w:rPr>
          <w:rFonts w:asciiTheme="majorEastAsia" w:eastAsiaTheme="majorEastAsia" w:hAnsiTheme="majorEastAsia" w:hint="eastAsia"/>
          <w:szCs w:val="24"/>
        </w:rPr>
        <w:t>月</w:t>
      </w:r>
      <w:r w:rsidR="00815614" w:rsidRPr="001549DB">
        <w:rPr>
          <w:rFonts w:asciiTheme="majorEastAsia" w:eastAsiaTheme="majorEastAsia" w:hAnsiTheme="majorEastAsia" w:hint="eastAsia"/>
          <w:szCs w:val="24"/>
        </w:rPr>
        <w:t>7</w:t>
      </w:r>
      <w:r w:rsidRPr="001549DB">
        <w:rPr>
          <w:rFonts w:asciiTheme="majorEastAsia" w:eastAsiaTheme="majorEastAsia" w:hAnsiTheme="majorEastAsia" w:hint="eastAsia"/>
          <w:szCs w:val="24"/>
        </w:rPr>
        <w:t>日</w:t>
      </w:r>
    </w:p>
    <w:sectPr w:rsidR="009C62DC" w:rsidRPr="001549D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4962" w14:textId="77777777" w:rsidR="000F27D2" w:rsidRDefault="000F27D2">
      <w:pPr>
        <w:spacing w:line="240" w:lineRule="auto"/>
        <w:ind w:firstLine="480"/>
      </w:pPr>
      <w:r>
        <w:separator/>
      </w:r>
    </w:p>
  </w:endnote>
  <w:endnote w:type="continuationSeparator" w:id="0">
    <w:p w14:paraId="4064B9B3" w14:textId="77777777" w:rsidR="000F27D2" w:rsidRDefault="000F27D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F431" w14:textId="77777777" w:rsidR="00557790" w:rsidRDefault="00557790">
    <w:pPr>
      <w:pStyle w:val="af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7375EF1" w14:textId="77777777" w:rsidR="009C62DC" w:rsidRDefault="00000000">
        <w:pPr>
          <w:pStyle w:val="aff6"/>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4A00" w14:textId="77777777" w:rsidR="00557790" w:rsidRDefault="00557790">
    <w:pPr>
      <w:pStyle w:val="af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672F" w14:textId="77777777" w:rsidR="000F27D2" w:rsidRDefault="000F27D2">
      <w:pPr>
        <w:spacing w:line="240" w:lineRule="auto"/>
        <w:ind w:firstLine="480"/>
      </w:pPr>
      <w:r>
        <w:separator/>
      </w:r>
    </w:p>
  </w:footnote>
  <w:footnote w:type="continuationSeparator" w:id="0">
    <w:p w14:paraId="17D0E26A" w14:textId="77777777" w:rsidR="000F27D2" w:rsidRDefault="000F27D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6792" w14:textId="77777777" w:rsidR="00557790" w:rsidRDefault="00557790">
    <w:pPr>
      <w:pStyle w:val="af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73D" w14:textId="77777777" w:rsidR="00557790" w:rsidRDefault="00557790" w:rsidP="00253015">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ACED" w14:textId="77777777" w:rsidR="00557790" w:rsidRDefault="00557790">
    <w:pPr>
      <w:pStyle w:val="af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1B0E7AA3"/>
    <w:multiLevelType w:val="singleLevel"/>
    <w:tmpl w:val="1B0E7AA3"/>
    <w:lvl w:ilvl="0">
      <w:start w:val="1"/>
      <w:numFmt w:val="bullet"/>
      <w:lvlText w:val=""/>
      <w:lvlJc w:val="left"/>
      <w:pPr>
        <w:ind w:left="420" w:hanging="420"/>
      </w:pPr>
      <w:rPr>
        <w:rFonts w:ascii="Wingdings" w:hAnsi="Wingdings" w:hint="default"/>
      </w:rPr>
    </w:lvl>
  </w:abstractNum>
  <w:num w:numId="1" w16cid:durableId="1641576622">
    <w:abstractNumId w:val="3"/>
  </w:num>
  <w:num w:numId="2" w16cid:durableId="1316833334">
    <w:abstractNumId w:val="5"/>
  </w:num>
  <w:num w:numId="3" w16cid:durableId="836386252">
    <w:abstractNumId w:val="8"/>
  </w:num>
  <w:num w:numId="4" w16cid:durableId="1419136941">
    <w:abstractNumId w:val="9"/>
  </w:num>
  <w:num w:numId="5" w16cid:durableId="700469907">
    <w:abstractNumId w:val="6"/>
  </w:num>
  <w:num w:numId="6" w16cid:durableId="927470583">
    <w:abstractNumId w:val="2"/>
  </w:num>
  <w:num w:numId="7" w16cid:durableId="386611335">
    <w:abstractNumId w:val="7"/>
  </w:num>
  <w:num w:numId="8" w16cid:durableId="198474898">
    <w:abstractNumId w:val="4"/>
  </w:num>
  <w:num w:numId="9" w16cid:durableId="618533696">
    <w:abstractNumId w:val="1"/>
  </w:num>
  <w:num w:numId="10" w16cid:durableId="1367439641">
    <w:abstractNumId w:val="0"/>
  </w:num>
  <w:num w:numId="11" w16cid:durableId="1895775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5C1B"/>
    <w:rsid w:val="00076EFD"/>
    <w:rsid w:val="0008555B"/>
    <w:rsid w:val="00085D5A"/>
    <w:rsid w:val="000A40E4"/>
    <w:rsid w:val="000B1A1F"/>
    <w:rsid w:val="000B61E2"/>
    <w:rsid w:val="000C72A9"/>
    <w:rsid w:val="000C7F00"/>
    <w:rsid w:val="000D3DA9"/>
    <w:rsid w:val="000D409C"/>
    <w:rsid w:val="000E7556"/>
    <w:rsid w:val="000F27D2"/>
    <w:rsid w:val="00123266"/>
    <w:rsid w:val="001254C4"/>
    <w:rsid w:val="001313EC"/>
    <w:rsid w:val="00140439"/>
    <w:rsid w:val="0014777F"/>
    <w:rsid w:val="001507FC"/>
    <w:rsid w:val="001549DB"/>
    <w:rsid w:val="0016249D"/>
    <w:rsid w:val="001723E5"/>
    <w:rsid w:val="00173769"/>
    <w:rsid w:val="00192BD0"/>
    <w:rsid w:val="001A727A"/>
    <w:rsid w:val="001C1ED6"/>
    <w:rsid w:val="001C4B08"/>
    <w:rsid w:val="001D06CF"/>
    <w:rsid w:val="001D4E14"/>
    <w:rsid w:val="001D51B9"/>
    <w:rsid w:val="001E54CC"/>
    <w:rsid w:val="001E7E68"/>
    <w:rsid w:val="00201DED"/>
    <w:rsid w:val="002063F4"/>
    <w:rsid w:val="00207B64"/>
    <w:rsid w:val="00213B88"/>
    <w:rsid w:val="00220EF2"/>
    <w:rsid w:val="00225FE6"/>
    <w:rsid w:val="00230BE8"/>
    <w:rsid w:val="00252550"/>
    <w:rsid w:val="00253015"/>
    <w:rsid w:val="00256825"/>
    <w:rsid w:val="0027509E"/>
    <w:rsid w:val="00276759"/>
    <w:rsid w:val="00277255"/>
    <w:rsid w:val="002B229C"/>
    <w:rsid w:val="002D75BB"/>
    <w:rsid w:val="002E4043"/>
    <w:rsid w:val="002F1849"/>
    <w:rsid w:val="002F3175"/>
    <w:rsid w:val="0030482B"/>
    <w:rsid w:val="003112C9"/>
    <w:rsid w:val="00317E92"/>
    <w:rsid w:val="00321685"/>
    <w:rsid w:val="003505CE"/>
    <w:rsid w:val="00351429"/>
    <w:rsid w:val="003541EB"/>
    <w:rsid w:val="00355C56"/>
    <w:rsid w:val="003571E3"/>
    <w:rsid w:val="00361DE1"/>
    <w:rsid w:val="0036446F"/>
    <w:rsid w:val="00391A1B"/>
    <w:rsid w:val="003E38F1"/>
    <w:rsid w:val="003F1451"/>
    <w:rsid w:val="00410D8D"/>
    <w:rsid w:val="004473CE"/>
    <w:rsid w:val="00455164"/>
    <w:rsid w:val="00464AFC"/>
    <w:rsid w:val="00480379"/>
    <w:rsid w:val="004A21C8"/>
    <w:rsid w:val="004A790E"/>
    <w:rsid w:val="004A7F01"/>
    <w:rsid w:val="004B5841"/>
    <w:rsid w:val="004D041E"/>
    <w:rsid w:val="004D0E8E"/>
    <w:rsid w:val="004F172D"/>
    <w:rsid w:val="00522BE2"/>
    <w:rsid w:val="0053579F"/>
    <w:rsid w:val="005429C2"/>
    <w:rsid w:val="0055216A"/>
    <w:rsid w:val="005522D0"/>
    <w:rsid w:val="00557790"/>
    <w:rsid w:val="0056065B"/>
    <w:rsid w:val="005750AA"/>
    <w:rsid w:val="00575F03"/>
    <w:rsid w:val="00590E1E"/>
    <w:rsid w:val="00596B60"/>
    <w:rsid w:val="005A15BF"/>
    <w:rsid w:val="005A2954"/>
    <w:rsid w:val="005A3B72"/>
    <w:rsid w:val="005B7B64"/>
    <w:rsid w:val="005D095C"/>
    <w:rsid w:val="005F57F9"/>
    <w:rsid w:val="006150E2"/>
    <w:rsid w:val="00615A0F"/>
    <w:rsid w:val="0063047D"/>
    <w:rsid w:val="00633DC0"/>
    <w:rsid w:val="00636BAE"/>
    <w:rsid w:val="006629E9"/>
    <w:rsid w:val="006704CD"/>
    <w:rsid w:val="00672360"/>
    <w:rsid w:val="00673916"/>
    <w:rsid w:val="00684FFB"/>
    <w:rsid w:val="006853CB"/>
    <w:rsid w:val="006A3328"/>
    <w:rsid w:val="006A773E"/>
    <w:rsid w:val="006B4CC2"/>
    <w:rsid w:val="006E4DD1"/>
    <w:rsid w:val="006F3EE0"/>
    <w:rsid w:val="006F46B8"/>
    <w:rsid w:val="007227E1"/>
    <w:rsid w:val="00726F44"/>
    <w:rsid w:val="00732B9D"/>
    <w:rsid w:val="00761357"/>
    <w:rsid w:val="00770F37"/>
    <w:rsid w:val="00771C4D"/>
    <w:rsid w:val="0078004A"/>
    <w:rsid w:val="007A61FA"/>
    <w:rsid w:val="007B073D"/>
    <w:rsid w:val="007B1916"/>
    <w:rsid w:val="007B5DA0"/>
    <w:rsid w:val="007C3FFA"/>
    <w:rsid w:val="007E572E"/>
    <w:rsid w:val="007F703D"/>
    <w:rsid w:val="007F7EDC"/>
    <w:rsid w:val="00813E83"/>
    <w:rsid w:val="00815614"/>
    <w:rsid w:val="008162CF"/>
    <w:rsid w:val="008320FC"/>
    <w:rsid w:val="0084121D"/>
    <w:rsid w:val="0084422E"/>
    <w:rsid w:val="00854FC4"/>
    <w:rsid w:val="00856E6D"/>
    <w:rsid w:val="00857D3D"/>
    <w:rsid w:val="008670E3"/>
    <w:rsid w:val="00874823"/>
    <w:rsid w:val="00877189"/>
    <w:rsid w:val="00890389"/>
    <w:rsid w:val="008971B8"/>
    <w:rsid w:val="008A5E36"/>
    <w:rsid w:val="008E4B6F"/>
    <w:rsid w:val="0090186C"/>
    <w:rsid w:val="00902203"/>
    <w:rsid w:val="00906FA1"/>
    <w:rsid w:val="009144FE"/>
    <w:rsid w:val="00915D39"/>
    <w:rsid w:val="00923C08"/>
    <w:rsid w:val="00944E59"/>
    <w:rsid w:val="00947C32"/>
    <w:rsid w:val="009679A2"/>
    <w:rsid w:val="00984298"/>
    <w:rsid w:val="00992126"/>
    <w:rsid w:val="009A6585"/>
    <w:rsid w:val="009B47DE"/>
    <w:rsid w:val="009C62DC"/>
    <w:rsid w:val="009D1A30"/>
    <w:rsid w:val="009E3152"/>
    <w:rsid w:val="009E3407"/>
    <w:rsid w:val="00A01CB8"/>
    <w:rsid w:val="00A05D77"/>
    <w:rsid w:val="00A06DDE"/>
    <w:rsid w:val="00A35D17"/>
    <w:rsid w:val="00A40BAA"/>
    <w:rsid w:val="00A41695"/>
    <w:rsid w:val="00A42BF3"/>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47A1A"/>
    <w:rsid w:val="00B574F9"/>
    <w:rsid w:val="00B61EEE"/>
    <w:rsid w:val="00B908AE"/>
    <w:rsid w:val="00B9137C"/>
    <w:rsid w:val="00B971E4"/>
    <w:rsid w:val="00BA49C4"/>
    <w:rsid w:val="00BB61B6"/>
    <w:rsid w:val="00BC233A"/>
    <w:rsid w:val="00BD3997"/>
    <w:rsid w:val="00BE7D13"/>
    <w:rsid w:val="00BF7BDB"/>
    <w:rsid w:val="00C009B6"/>
    <w:rsid w:val="00C12E2D"/>
    <w:rsid w:val="00C47186"/>
    <w:rsid w:val="00C55BBD"/>
    <w:rsid w:val="00C56BA2"/>
    <w:rsid w:val="00C5768F"/>
    <w:rsid w:val="00C60D2B"/>
    <w:rsid w:val="00C61629"/>
    <w:rsid w:val="00C7508F"/>
    <w:rsid w:val="00C961BB"/>
    <w:rsid w:val="00CD08C9"/>
    <w:rsid w:val="00CF4977"/>
    <w:rsid w:val="00D0125D"/>
    <w:rsid w:val="00D015C9"/>
    <w:rsid w:val="00D25F85"/>
    <w:rsid w:val="00D4059C"/>
    <w:rsid w:val="00D45861"/>
    <w:rsid w:val="00D46F41"/>
    <w:rsid w:val="00D473A7"/>
    <w:rsid w:val="00D65BA4"/>
    <w:rsid w:val="00D76D97"/>
    <w:rsid w:val="00D774C9"/>
    <w:rsid w:val="00D8189C"/>
    <w:rsid w:val="00D92E4C"/>
    <w:rsid w:val="00DB17CE"/>
    <w:rsid w:val="00DB744D"/>
    <w:rsid w:val="00DC78D5"/>
    <w:rsid w:val="00DD1863"/>
    <w:rsid w:val="00DD62E6"/>
    <w:rsid w:val="00DE6E82"/>
    <w:rsid w:val="00DF73E8"/>
    <w:rsid w:val="00E058E5"/>
    <w:rsid w:val="00E1020D"/>
    <w:rsid w:val="00E301F1"/>
    <w:rsid w:val="00E558AE"/>
    <w:rsid w:val="00E65E63"/>
    <w:rsid w:val="00E667EA"/>
    <w:rsid w:val="00E746B0"/>
    <w:rsid w:val="00E818E9"/>
    <w:rsid w:val="00E82A34"/>
    <w:rsid w:val="00E86AC2"/>
    <w:rsid w:val="00E95F43"/>
    <w:rsid w:val="00EB3595"/>
    <w:rsid w:val="00EC0465"/>
    <w:rsid w:val="00EC3F66"/>
    <w:rsid w:val="00EC496E"/>
    <w:rsid w:val="00EE084C"/>
    <w:rsid w:val="00EE42F0"/>
    <w:rsid w:val="00F0268C"/>
    <w:rsid w:val="00F2391F"/>
    <w:rsid w:val="00F36086"/>
    <w:rsid w:val="00F371BA"/>
    <w:rsid w:val="00F54E0B"/>
    <w:rsid w:val="00F670DD"/>
    <w:rsid w:val="00F70648"/>
    <w:rsid w:val="00F91AAB"/>
    <w:rsid w:val="00FA105E"/>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CA22C8"/>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A463719"/>
    <w:rsid w:val="3AA458EA"/>
    <w:rsid w:val="3ACB0BC3"/>
    <w:rsid w:val="3AF20164"/>
    <w:rsid w:val="3BE61717"/>
    <w:rsid w:val="3CF967B0"/>
    <w:rsid w:val="3E251E77"/>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9E20D24"/>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2702FB"/>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F366E"/>
  <w15:docId w15:val="{EBACF014-B48D-4E07-AC11-77A260BC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560" w:lineRule="exact"/>
      <w:ind w:firstLineChars="200" w:firstLine="482"/>
      <w:jc w:val="both"/>
    </w:pPr>
    <w:rPr>
      <w:rFonts w:cstheme="minorBidi"/>
      <w:kern w:val="2"/>
      <w:sz w:val="24"/>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cs="Times New Roman"/>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420"/>
    </w:pPr>
    <w:rPr>
      <w:rFonts w:ascii="Calibri"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C961BB"/>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1638</Words>
  <Characters>1737</Characters>
  <Application>Microsoft Office Word</Application>
  <DocSecurity>0</DocSecurity>
  <Lines>78</Lines>
  <Paragraphs>80</Paragraphs>
  <ScaleCrop>false</ScaleCrop>
  <Company>嘉源律师事务所</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41</cp:revision>
  <dcterms:created xsi:type="dcterms:W3CDTF">2025-10-28T05:51:00Z</dcterms:created>
  <dcterms:modified xsi:type="dcterms:W3CDTF">2026-02-06T08:31:00Z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5CEE481AB4954F12A57F93D92BBA3DBD_13</vt:lpwstr>
  </property>
  <property fmtid="{D5CDD505-2E9C-101B-9397-08002B2CF9AE}" pid="4" name="KSOTemplateDocerSaveRecord">
    <vt:lpwstr>eyJoZGlkIjoiZmMwYzNmMjQwZDE0YmZkZGI3NTMwNmUwNjQ2ZmU5NjQiLCJ1c2VySWQiOiIxNTYwOTE2OTA1In0=</vt:lpwstr>
  </property>
</Properties>
</file>