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9388B">
      <w:pPr>
        <w:pStyle w:val="2"/>
        <w:spacing w:before="195" w:line="232" w:lineRule="auto"/>
        <w:ind w:left="128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sz w:val="28"/>
          <w:szCs w:val="28"/>
        </w:rPr>
        <w:t>股票代码：</w:t>
      </w:r>
      <w:r>
        <w:rPr>
          <w:rFonts w:ascii="Times New Roman" w:hAnsi="Times New Roman" w:eastAsia="Times New Roman" w:cs="Times New Roman"/>
          <w:sz w:val="28"/>
          <w:szCs w:val="28"/>
        </w:rPr>
        <w:t>60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3191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</w:t>
      </w:r>
      <w:r>
        <w:rPr>
          <w:sz w:val="28"/>
          <w:szCs w:val="28"/>
        </w:rPr>
        <w:t>股票简称：</w:t>
      </w:r>
      <w:r>
        <w:rPr>
          <w:rFonts w:hint="eastAsia"/>
          <w:sz w:val="28"/>
          <w:szCs w:val="28"/>
          <w:lang w:val="en-US" w:eastAsia="zh-CN"/>
        </w:rPr>
        <w:t>望变电气</w:t>
      </w:r>
      <w:r>
        <w:rPr>
          <w:sz w:val="28"/>
          <w:szCs w:val="28"/>
        </w:rPr>
        <w:t xml:space="preserve">       公告编号：</w:t>
      </w:r>
      <w:r>
        <w:rPr>
          <w:rFonts w:ascii="Times New Roman" w:hAnsi="Times New Roman" w:eastAsia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6-003</w:t>
      </w:r>
    </w:p>
    <w:p w14:paraId="3942016D">
      <w:pPr>
        <w:spacing w:line="285" w:lineRule="auto"/>
        <w:rPr>
          <w:rFonts w:ascii="Arial"/>
          <w:sz w:val="21"/>
        </w:rPr>
      </w:pPr>
    </w:p>
    <w:p w14:paraId="7F30D82D">
      <w:pPr>
        <w:spacing w:line="285" w:lineRule="auto"/>
        <w:rPr>
          <w:rFonts w:ascii="Arial"/>
          <w:sz w:val="21"/>
        </w:rPr>
      </w:pPr>
    </w:p>
    <w:p w14:paraId="287DD687">
      <w:pPr>
        <w:spacing w:before="197" w:line="220" w:lineRule="auto"/>
        <w:jc w:val="center"/>
        <w:outlineLvl w:val="0"/>
        <w:rPr>
          <w:rFonts w:hint="eastAsia" w:ascii="宋体" w:hAnsi="宋体" w:eastAsia="宋体" w:cs="宋体"/>
          <w:b/>
          <w:bCs/>
          <w:color w:val="FF0000"/>
          <w:spacing w:val="-5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FF0000"/>
          <w:spacing w:val="-5"/>
          <w:sz w:val="36"/>
          <w:szCs w:val="36"/>
        </w:rPr>
        <w:t>重庆望变电气（集团）股份有限公司</w:t>
      </w:r>
    </w:p>
    <w:p w14:paraId="01CBCE64">
      <w:pPr>
        <w:spacing w:before="197" w:line="220" w:lineRule="auto"/>
        <w:jc w:val="center"/>
        <w:outlineLvl w:val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FF0000"/>
          <w:spacing w:val="-5"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bCs/>
          <w:color w:val="FF0000"/>
          <w:spacing w:val="-5"/>
          <w:sz w:val="36"/>
          <w:szCs w:val="36"/>
          <w:lang w:val="en-US" w:eastAsia="zh-CN"/>
        </w:rPr>
        <w:t>公司</w:t>
      </w:r>
      <w:r>
        <w:rPr>
          <w:rFonts w:hint="eastAsia" w:ascii="宋体" w:hAnsi="宋体" w:eastAsia="宋体" w:cs="宋体"/>
          <w:b/>
          <w:bCs/>
          <w:color w:val="FF0000"/>
          <w:spacing w:val="-5"/>
          <w:sz w:val="36"/>
          <w:szCs w:val="36"/>
        </w:rPr>
        <w:t>组织机构调整的公告</w:t>
      </w:r>
    </w:p>
    <w:p w14:paraId="0389D421">
      <w:pPr>
        <w:spacing w:line="63" w:lineRule="exact"/>
      </w:pPr>
    </w:p>
    <w:tbl>
      <w:tblPr>
        <w:tblStyle w:val="5"/>
        <w:tblW w:w="93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1"/>
      </w:tblGrid>
      <w:tr w14:paraId="3A30D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9301" w:type="dxa"/>
            <w:vAlign w:val="top"/>
          </w:tcPr>
          <w:p w14:paraId="4BB89349">
            <w:pPr>
              <w:spacing w:before="265" w:line="344" w:lineRule="auto"/>
              <w:ind w:left="124" w:right="113" w:firstLine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本公司董事会及全体董事保证本公告内容不存在任何虚假记载、误导性陈述或者重大遗漏，并对其内容的真实性、准确性和完整性承担法律责任。</w:t>
            </w:r>
          </w:p>
        </w:tc>
      </w:tr>
    </w:tbl>
    <w:p w14:paraId="4C716741">
      <w:pPr>
        <w:spacing w:line="243" w:lineRule="auto"/>
        <w:rPr>
          <w:rFonts w:ascii="Arial"/>
          <w:sz w:val="21"/>
        </w:rPr>
      </w:pPr>
    </w:p>
    <w:p w14:paraId="3B13878E">
      <w:pPr>
        <w:spacing w:line="244" w:lineRule="auto"/>
        <w:rPr>
          <w:rFonts w:ascii="Arial"/>
          <w:sz w:val="21"/>
        </w:rPr>
      </w:pPr>
    </w:p>
    <w:p w14:paraId="286C2945">
      <w:pPr>
        <w:spacing w:line="244" w:lineRule="auto"/>
        <w:rPr>
          <w:rFonts w:ascii="Arial"/>
          <w:sz w:val="21"/>
        </w:rPr>
      </w:pPr>
    </w:p>
    <w:p w14:paraId="0A6933BB">
      <w:pPr>
        <w:pStyle w:val="2"/>
        <w:spacing w:before="79" w:line="382" w:lineRule="auto"/>
        <w:ind w:left="130" w:right="115" w:firstLine="600"/>
      </w:pPr>
      <w:r>
        <w:rPr>
          <w:rFonts w:hint="eastAsia"/>
          <w:spacing w:val="-5"/>
        </w:rPr>
        <w:t>重庆望变电气（集团）股份</w:t>
      </w:r>
      <w:r>
        <w:rPr>
          <w:spacing w:val="-5"/>
        </w:rPr>
        <w:t>有限公司（以下简称</w:t>
      </w:r>
      <w:r>
        <w:rPr>
          <w:spacing w:val="-2"/>
        </w:rPr>
        <w:t>“公司”）于202</w:t>
      </w:r>
      <w:r>
        <w:rPr>
          <w:rFonts w:hint="eastAsia"/>
          <w:spacing w:val="-2"/>
          <w:lang w:val="en-US" w:eastAsia="zh-CN"/>
        </w:rPr>
        <w:t>6</w:t>
      </w:r>
      <w:r>
        <w:rPr>
          <w:spacing w:val="-2"/>
        </w:rPr>
        <w:t>年1月</w:t>
      </w:r>
      <w:r>
        <w:rPr>
          <w:rFonts w:hint="eastAsia"/>
          <w:spacing w:val="-2"/>
          <w:lang w:val="en-US" w:eastAsia="zh-CN"/>
        </w:rPr>
        <w:t>8</w:t>
      </w:r>
      <w:r>
        <w:rPr>
          <w:spacing w:val="-2"/>
        </w:rPr>
        <w:t>日召开</w:t>
      </w:r>
      <w:r>
        <w:rPr>
          <w:spacing w:val="-6"/>
        </w:rPr>
        <w:t>第</w:t>
      </w:r>
      <w:r>
        <w:rPr>
          <w:rFonts w:hint="eastAsia"/>
          <w:spacing w:val="-6"/>
          <w:lang w:val="en-US" w:eastAsia="zh-CN"/>
        </w:rPr>
        <w:t>四</w:t>
      </w:r>
      <w:r>
        <w:rPr>
          <w:spacing w:val="-2"/>
        </w:rPr>
        <w:t>届董事会第</w:t>
      </w:r>
      <w:r>
        <w:rPr>
          <w:rFonts w:hint="eastAsia"/>
          <w:spacing w:val="-2"/>
          <w:lang w:val="en-US" w:eastAsia="zh-CN"/>
        </w:rPr>
        <w:t>十六</w:t>
      </w:r>
      <w:r>
        <w:rPr>
          <w:spacing w:val="-2"/>
        </w:rPr>
        <w:t>次会议，审议通过了《关于公司组织机构调整的议案》。</w:t>
      </w:r>
    </w:p>
    <w:p w14:paraId="4429BFEB">
      <w:pPr>
        <w:pStyle w:val="2"/>
        <w:spacing w:before="97" w:line="431" w:lineRule="auto"/>
        <w:ind w:left="130" w:right="119" w:firstLine="572"/>
        <w:jc w:val="both"/>
      </w:pPr>
      <w:r>
        <w:rPr>
          <w:spacing w:val="2"/>
        </w:rPr>
        <w:t>为提高工作效率、优化资源配置、增强公司竞争力，满足公司的战略目标、业务</w:t>
      </w:r>
      <w:r>
        <w:rPr>
          <w:spacing w:val="-2"/>
        </w:rPr>
        <w:t>需求和管理要求，依据组织机构设置原则，结合企业业务和管理工作内容，对公司的组</w:t>
      </w:r>
      <w:r>
        <w:rPr>
          <w:spacing w:val="-1"/>
        </w:rPr>
        <w:t>织机构进行适度、逐步的优化调整。</w:t>
      </w:r>
    </w:p>
    <w:p w14:paraId="32A38A87">
      <w:pPr>
        <w:pStyle w:val="2"/>
        <w:spacing w:before="50" w:line="382" w:lineRule="auto"/>
        <w:ind w:left="129" w:right="188" w:firstLine="598"/>
        <w:rPr>
          <w:spacing w:val="-6"/>
        </w:rPr>
      </w:pPr>
      <w:r>
        <w:t>本次组织机构调整不会对公司生产经营活动产生重大</w:t>
      </w:r>
      <w:r>
        <w:rPr>
          <w:spacing w:val="-1"/>
        </w:rPr>
        <w:t>影响。调整后的公司组织机</w:t>
      </w:r>
      <w:r>
        <w:rPr>
          <w:spacing w:val="-6"/>
        </w:rPr>
        <w:t>构图详见附件。</w:t>
      </w:r>
    </w:p>
    <w:p w14:paraId="64BC5B0B">
      <w:pPr>
        <w:pStyle w:val="2"/>
        <w:spacing w:before="50" w:line="382" w:lineRule="auto"/>
        <w:ind w:left="129" w:right="188" w:firstLine="598"/>
        <w:rPr>
          <w:spacing w:val="-6"/>
        </w:rPr>
      </w:pPr>
    </w:p>
    <w:p w14:paraId="56F4196D">
      <w:pPr>
        <w:pStyle w:val="2"/>
        <w:spacing w:before="72" w:line="218" w:lineRule="auto"/>
        <w:ind w:left="726"/>
      </w:pPr>
      <w:r>
        <w:rPr>
          <w:spacing w:val="-8"/>
        </w:rPr>
        <w:t>特此公告。</w:t>
      </w:r>
    </w:p>
    <w:p w14:paraId="5572C385">
      <w:pPr>
        <w:spacing w:line="257" w:lineRule="auto"/>
        <w:rPr>
          <w:rFonts w:ascii="Arial"/>
          <w:sz w:val="21"/>
        </w:rPr>
      </w:pPr>
    </w:p>
    <w:p w14:paraId="32FC1B64">
      <w:pPr>
        <w:spacing w:line="258" w:lineRule="auto"/>
        <w:rPr>
          <w:rFonts w:ascii="Arial"/>
          <w:sz w:val="21"/>
        </w:rPr>
      </w:pPr>
    </w:p>
    <w:p w14:paraId="4A1D660D">
      <w:pPr>
        <w:spacing w:line="258" w:lineRule="auto"/>
        <w:rPr>
          <w:rFonts w:ascii="Arial"/>
          <w:sz w:val="21"/>
        </w:rPr>
      </w:pPr>
    </w:p>
    <w:p w14:paraId="537AEF7B">
      <w:pPr>
        <w:pStyle w:val="2"/>
        <w:spacing w:before="78" w:line="219" w:lineRule="auto"/>
        <w:ind w:firstLine="4522" w:firstLineChars="1900"/>
      </w:pPr>
      <w:r>
        <w:rPr>
          <w:rFonts w:hint="eastAsia"/>
          <w:spacing w:val="-1"/>
        </w:rPr>
        <w:t>重庆望变电气（集团）股份</w:t>
      </w:r>
      <w:r>
        <w:rPr>
          <w:spacing w:val="-1"/>
        </w:rPr>
        <w:t>有限公司董事会</w:t>
      </w:r>
    </w:p>
    <w:p w14:paraId="2F8B427C">
      <w:pPr>
        <w:pStyle w:val="2"/>
        <w:spacing w:before="284" w:line="220" w:lineRule="auto"/>
        <w:ind w:left="6010" w:firstLine="1344" w:firstLineChars="600"/>
      </w:pPr>
      <w:r>
        <w:rPr>
          <w:spacing w:val="-8"/>
        </w:rPr>
        <w:t>202</w:t>
      </w:r>
      <w:r>
        <w:rPr>
          <w:rFonts w:hint="eastAsia"/>
          <w:spacing w:val="-8"/>
          <w:lang w:val="en-US" w:eastAsia="zh-CN"/>
        </w:rPr>
        <w:t>6</w:t>
      </w:r>
      <w:r>
        <w:rPr>
          <w:spacing w:val="-8"/>
        </w:rPr>
        <w:t>年1月</w:t>
      </w:r>
      <w:r>
        <w:rPr>
          <w:rFonts w:hint="eastAsia"/>
          <w:spacing w:val="-8"/>
          <w:lang w:val="en-US" w:eastAsia="zh-CN"/>
        </w:rPr>
        <w:t>10</w:t>
      </w:r>
      <w:r>
        <w:rPr>
          <w:spacing w:val="-8"/>
        </w:rPr>
        <w:t>日</w:t>
      </w:r>
    </w:p>
    <w:p w14:paraId="20338C2B">
      <w:pPr>
        <w:spacing w:line="220" w:lineRule="auto"/>
        <w:sectPr>
          <w:pgSz w:w="11907" w:h="16839"/>
          <w:pgMar w:top="1431" w:right="1298" w:bottom="0" w:left="1301" w:header="0" w:footer="0" w:gutter="0"/>
          <w:cols w:space="720" w:num="1"/>
        </w:sectPr>
      </w:pPr>
    </w:p>
    <w:p w14:paraId="0A9B1AF9">
      <w:pPr>
        <w:spacing w:line="302" w:lineRule="auto"/>
        <w:rPr>
          <w:rFonts w:hint="eastAsia" w:ascii="Arial" w:eastAsia="宋体"/>
          <w:b/>
          <w:bCs/>
          <w:sz w:val="21"/>
          <w:lang w:val="en-US" w:eastAsia="zh-CN"/>
        </w:rPr>
      </w:pPr>
      <w:r>
        <w:rPr>
          <w:rFonts w:hint="eastAsia" w:eastAsia="宋体"/>
          <w:b/>
          <w:bCs/>
          <w:sz w:val="21"/>
          <w:lang w:val="en-US" w:eastAsia="zh-CN"/>
        </w:rPr>
        <w:t>附件：</w:t>
      </w:r>
    </w:p>
    <w:p w14:paraId="379C7024">
      <w:pPr>
        <w:spacing w:line="302" w:lineRule="auto"/>
        <w:rPr>
          <w:rFonts w:ascii="Arial"/>
          <w:sz w:val="21"/>
        </w:rPr>
      </w:pPr>
    </w:p>
    <w:p w14:paraId="12182FCC">
      <w:pPr>
        <w:pStyle w:val="2"/>
        <w:spacing w:before="1" w:line="235" w:lineRule="auto"/>
        <w:rPr>
          <w:rFonts w:hint="eastAsia" w:ascii="Calibri" w:hAnsi="Calibri" w:eastAsia="宋体" w:cs="Calibri"/>
          <w:sz w:val="12"/>
          <w:szCs w:val="12"/>
          <w:lang w:eastAsia="zh-CN"/>
        </w:rPr>
      </w:pPr>
      <w:bookmarkStart w:id="0" w:name="_GoBack"/>
      <w:r>
        <w:rPr>
          <w:rFonts w:hint="eastAsia" w:ascii="Calibri" w:hAnsi="Calibri" w:eastAsia="宋体" w:cs="Calibri"/>
          <w:sz w:val="12"/>
          <w:szCs w:val="12"/>
          <w:lang w:eastAsia="zh-CN"/>
        </w:rPr>
        <w:drawing>
          <wp:inline distT="0" distB="0" distL="114300" distR="114300">
            <wp:extent cx="8488045" cy="5636260"/>
            <wp:effectExtent l="0" t="0" r="635" b="2540"/>
            <wp:docPr id="1" name="图片 1" descr="组织架构图-0108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组织架构图-0108-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88045" cy="563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5" w:type="default"/>
      <w:pgSz w:w="16839" w:h="11907"/>
      <w:pgMar w:top="400" w:right="2030" w:bottom="0" w:left="14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EEC6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4A5C14"/>
    <w:rsid w:val="1B814BA3"/>
    <w:rsid w:val="311628D2"/>
    <w:rsid w:val="39405540"/>
    <w:rsid w:val="3A9F607D"/>
    <w:rsid w:val="3DA94408"/>
    <w:rsid w:val="43974A15"/>
    <w:rsid w:val="607A1AA6"/>
    <w:rsid w:val="6B2D6552"/>
    <w:rsid w:val="79B45E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1b52b99-0779-4df9-9c8a-886055d14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347</Words>
  <Characters>366</Characters>
  <TotalTime>11</TotalTime>
  <ScaleCrop>false</ScaleCrop>
  <LinksUpToDate>false</LinksUpToDate>
  <CharactersWithSpaces>383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2025-10-29T17:13:00Z</dcterms:created>
  <dc:creator>周英</dc:creator>
  <cp:lastModifiedBy>雯亦</cp:lastModifiedBy>
  <dcterms:modified xsi:type="dcterms:W3CDTF">2026-01-09T03:14:54Z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2026-01-04T14:02:53Z</vt:filetime>
  </property>
  <property fmtid="{D5CDD505-2E9C-101B-9397-08002B2CF9AE}" pid="4" name="KSOTemplateDocerSaveRecord">
    <vt:lpwstr>eyJoZGlkIjoiZTQzZmRmZDMxMjkwMDE2NTk0ZWQ1ZWYwMzRmYjVhNmUiLCJ1c2VySWQiOiI2NDQwNzQxNTQifQ==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745AFBA62CB04650B297DC2FF201FA11_13</vt:lpwstr>
  </property>
</Properties>
</file>