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8FD26">
      <w:pPr>
        <w:spacing w:before="48" w:line="218" w:lineRule="auto"/>
        <w:ind w:left="126"/>
        <w:rPr>
          <w:rFonts w:hint="default" w:ascii="宋体" w:hAnsi="宋体" w:eastAsia="宋体" w:cs="宋体"/>
          <w:sz w:val="24"/>
          <w:szCs w:val="24"/>
          <w:lang w:val="en-US" w:eastAsia="zh-CN"/>
        </w:rPr>
      </w:pPr>
      <w:r>
        <w:rPr>
          <w:rFonts w:ascii="宋体" w:hAnsi="宋体" w:cs="宋体"/>
          <w:spacing w:val="-12"/>
          <w:sz w:val="24"/>
          <w:szCs w:val="24"/>
          <w14:textOutline w14:w="4356" w14:cap="flat" w14:cmpd="sng" w14:algn="ctr">
            <w14:solidFill>
              <w14:srgbClr w14:val="000000"/>
            </w14:solidFill>
            <w14:prstDash w14:val="solid"/>
            <w14:miter w14:val="0"/>
          </w14:textOutline>
        </w:rPr>
        <w:t>证券代</w:t>
      </w:r>
      <w:r>
        <w:rPr>
          <w:rFonts w:ascii="宋体" w:hAnsi="宋体" w:cs="宋体"/>
          <w:spacing w:val="-8"/>
          <w:sz w:val="24"/>
          <w:szCs w:val="24"/>
          <w14:textOutline w14:w="4356" w14:cap="flat" w14:cmpd="sng" w14:algn="ctr">
            <w14:solidFill>
              <w14:srgbClr w14:val="000000"/>
            </w14:solidFill>
            <w14:prstDash w14:val="solid"/>
            <w14:miter w14:val="0"/>
          </w14:textOutline>
        </w:rPr>
        <w:t>码</w:t>
      </w:r>
      <w:r>
        <w:rPr>
          <w:rFonts w:ascii="宋体" w:hAnsi="宋体" w:cs="宋体"/>
          <w:spacing w:val="-6"/>
          <w:sz w:val="24"/>
          <w:szCs w:val="24"/>
          <w14:textOutline w14:w="4356" w14:cap="flat" w14:cmpd="sng" w14:algn="ctr">
            <w14:solidFill>
              <w14:srgbClr w14:val="000000"/>
            </w14:solidFill>
            <w14:prstDash w14:val="solid"/>
            <w14:miter w14:val="0"/>
          </w14:textOutline>
        </w:rPr>
        <w:t>：6031</w:t>
      </w:r>
      <w:r>
        <w:rPr>
          <w:rFonts w:hint="eastAsia" w:ascii="宋体" w:hAnsi="宋体" w:cs="宋体"/>
          <w:spacing w:val="-6"/>
          <w:sz w:val="24"/>
          <w:szCs w:val="24"/>
          <w14:textOutline w14:w="4356" w14:cap="flat" w14:cmpd="sng" w14:algn="ctr">
            <w14:solidFill>
              <w14:srgbClr w14:val="000000"/>
            </w14:solidFill>
            <w14:prstDash w14:val="solid"/>
            <w14:miter w14:val="0"/>
          </w14:textOutline>
        </w:rPr>
        <w:t xml:space="preserve">91         </w:t>
      </w:r>
      <w:r>
        <w:rPr>
          <w:rFonts w:ascii="宋体" w:hAnsi="宋体" w:cs="宋体"/>
          <w:spacing w:val="-6"/>
          <w:sz w:val="24"/>
          <w:szCs w:val="24"/>
          <w14:textOutline w14:w="4356" w14:cap="flat" w14:cmpd="sng" w14:algn="ctr">
            <w14:solidFill>
              <w14:srgbClr w14:val="000000"/>
            </w14:solidFill>
            <w14:prstDash w14:val="solid"/>
            <w14:miter w14:val="0"/>
          </w14:textOutline>
        </w:rPr>
        <w:t>证券简称：</w:t>
      </w:r>
      <w:r>
        <w:rPr>
          <w:rFonts w:hint="eastAsia" w:ascii="宋体" w:hAnsi="宋体" w:cs="宋体"/>
          <w:spacing w:val="-6"/>
          <w:sz w:val="24"/>
          <w:szCs w:val="24"/>
          <w14:textOutline w14:w="4356" w14:cap="flat" w14:cmpd="sng" w14:algn="ctr">
            <w14:solidFill>
              <w14:srgbClr w14:val="000000"/>
            </w14:solidFill>
            <w14:prstDash w14:val="solid"/>
            <w14:miter w14:val="0"/>
          </w14:textOutline>
        </w:rPr>
        <w:t xml:space="preserve">望变电气         </w:t>
      </w:r>
      <w:r>
        <w:rPr>
          <w:rFonts w:ascii="宋体" w:hAnsi="宋体" w:cs="宋体"/>
          <w:spacing w:val="-6"/>
          <w:sz w:val="24"/>
          <w:szCs w:val="24"/>
          <w14:textOutline w14:w="4356" w14:cap="flat" w14:cmpd="sng" w14:algn="ctr">
            <w14:solidFill>
              <w14:srgbClr w14:val="000000"/>
            </w14:solidFill>
            <w14:prstDash w14:val="solid"/>
            <w14:miter w14:val="0"/>
          </w14:textOutline>
        </w:rPr>
        <w:t>公告编号：202</w:t>
      </w:r>
      <w:r>
        <w:rPr>
          <w:rFonts w:hint="eastAsia" w:ascii="宋体" w:hAnsi="宋体" w:cs="宋体"/>
          <w:spacing w:val="-6"/>
          <w:sz w:val="24"/>
          <w:szCs w:val="24"/>
          <w14:textOutline w14:w="4356" w14:cap="flat" w14:cmpd="sng" w14:algn="ctr">
            <w14:solidFill>
              <w14:srgbClr w14:val="000000"/>
            </w14:solidFill>
            <w14:prstDash w14:val="solid"/>
            <w14:miter w14:val="0"/>
          </w14:textOutline>
        </w:rPr>
        <w:t>5-</w:t>
      </w:r>
      <w:r>
        <w:rPr>
          <w:rFonts w:ascii="宋体" w:hAnsi="宋体" w:cs="宋体"/>
          <w:spacing w:val="-6"/>
          <w:sz w:val="24"/>
          <w:szCs w:val="24"/>
          <w14:textOutline w14:w="4356" w14:cap="flat" w14:cmpd="sng" w14:algn="ctr">
            <w14:solidFill>
              <w14:srgbClr w14:val="000000"/>
            </w14:solidFill>
            <w14:prstDash w14:val="solid"/>
            <w14:miter w14:val="0"/>
          </w14:textOutline>
        </w:rPr>
        <w:t>0</w:t>
      </w:r>
      <w:r>
        <w:rPr>
          <w:rFonts w:hint="eastAsia" w:ascii="宋体" w:hAnsi="宋体" w:cs="宋体"/>
          <w:spacing w:val="-6"/>
          <w:sz w:val="24"/>
          <w:szCs w:val="24"/>
          <w:lang w:val="en-US" w:eastAsia="zh-CN"/>
          <w14:textOutline w14:w="4356" w14:cap="flat" w14:cmpd="sng" w14:algn="ctr">
            <w14:solidFill>
              <w14:srgbClr w14:val="000000"/>
            </w14:solidFill>
            <w14:prstDash w14:val="solid"/>
            <w14:miter w14:val="0"/>
          </w14:textOutline>
        </w:rPr>
        <w:t>70</w:t>
      </w:r>
    </w:p>
    <w:p w14:paraId="7F57D5E1">
      <w:pPr>
        <w:spacing w:line="317" w:lineRule="auto"/>
      </w:pPr>
    </w:p>
    <w:p w14:paraId="06DA8712">
      <w:pPr>
        <w:spacing w:line="318" w:lineRule="auto"/>
        <w:jc w:val="center"/>
        <w:rPr>
          <w:b/>
          <w:bCs/>
        </w:rPr>
      </w:pPr>
    </w:p>
    <w:p w14:paraId="7369FEA7">
      <w:pPr>
        <w:spacing w:before="91" w:line="219" w:lineRule="auto"/>
        <w:jc w:val="center"/>
        <w:rPr>
          <w:rFonts w:ascii="宋体" w:hAnsi="宋体" w:cs="宋体"/>
          <w:b/>
          <w:bCs/>
          <w:sz w:val="36"/>
          <w:szCs w:val="36"/>
        </w:rPr>
      </w:pPr>
      <w:r>
        <w:rPr>
          <w:rFonts w:hint="eastAsia" w:ascii="宋体" w:hAnsi="宋体" w:cs="宋体"/>
          <w:b/>
          <w:bCs/>
          <w:color w:val="FF0000"/>
          <w:spacing w:val="-1"/>
          <w:sz w:val="36"/>
          <w:szCs w:val="36"/>
        </w:rPr>
        <w:t>重庆望变电气（集团）股份有限公</w:t>
      </w:r>
      <w:r>
        <w:rPr>
          <w:rFonts w:hint="eastAsia" w:ascii="宋体" w:hAnsi="宋体" w:cs="宋体"/>
          <w:b/>
          <w:bCs/>
          <w:color w:val="FF0000"/>
          <w:sz w:val="36"/>
          <w:szCs w:val="36"/>
        </w:rPr>
        <w:t>司</w:t>
      </w:r>
    </w:p>
    <w:p w14:paraId="6C43ADA5">
      <w:pPr>
        <w:spacing w:before="291" w:line="219" w:lineRule="auto"/>
        <w:jc w:val="center"/>
        <w:rPr>
          <w:rFonts w:ascii="宋体" w:hAnsi="宋体" w:cs="宋体"/>
          <w:b/>
          <w:bCs/>
          <w:sz w:val="36"/>
          <w:szCs w:val="36"/>
        </w:rPr>
      </w:pPr>
      <w:r>
        <w:rPr>
          <w:rFonts w:hint="eastAsia" w:ascii="宋体" w:hAnsi="宋体" w:cs="宋体"/>
          <w:b/>
          <w:bCs/>
          <w:color w:val="FF0000"/>
          <w:spacing w:val="-2"/>
          <w:sz w:val="36"/>
          <w:szCs w:val="36"/>
        </w:rPr>
        <w:t>关于注销募</w:t>
      </w:r>
      <w:r>
        <w:rPr>
          <w:rFonts w:hint="eastAsia" w:ascii="宋体" w:hAnsi="宋体" w:cs="宋体"/>
          <w:b/>
          <w:bCs/>
          <w:color w:val="FF0000"/>
          <w:spacing w:val="-1"/>
          <w:sz w:val="36"/>
          <w:szCs w:val="36"/>
        </w:rPr>
        <w:t>集资金专户的公告</w:t>
      </w:r>
    </w:p>
    <w:p w14:paraId="22EE4ACC"/>
    <w:p w14:paraId="16652D09"/>
    <w:p w14:paraId="229ABF68">
      <w:pPr>
        <w:spacing w:line="197" w:lineRule="exact"/>
      </w:pPr>
    </w:p>
    <w:tbl>
      <w:tblPr>
        <w:tblStyle w:val="10"/>
        <w:tblW w:w="853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8"/>
      </w:tblGrid>
      <w:tr w14:paraId="0AC9AD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0" w:hRule="atLeast"/>
        </w:trPr>
        <w:tc>
          <w:tcPr>
            <w:tcW w:w="8538" w:type="dxa"/>
          </w:tcPr>
          <w:p w14:paraId="0EFF700E">
            <w:pPr>
              <w:spacing w:before="266" w:line="562" w:lineRule="exact"/>
              <w:ind w:left="602"/>
              <w:rPr>
                <w:rFonts w:ascii="宋体" w:hAnsi="宋体" w:cs="宋体"/>
                <w:sz w:val="24"/>
                <w:szCs w:val="24"/>
              </w:rPr>
            </w:pPr>
            <w:r>
              <w:rPr>
                <w:rFonts w:ascii="宋体" w:hAnsi="宋体" w:cs="宋体"/>
                <w:spacing w:val="-6"/>
                <w:position w:val="24"/>
                <w:sz w:val="24"/>
                <w:szCs w:val="24"/>
              </w:rPr>
              <w:t>本</w:t>
            </w:r>
            <w:r>
              <w:rPr>
                <w:rFonts w:ascii="宋体" w:hAnsi="宋体" w:cs="宋体"/>
                <w:spacing w:val="-5"/>
                <w:position w:val="24"/>
                <w:sz w:val="24"/>
                <w:szCs w:val="24"/>
              </w:rPr>
              <w:t>公</w:t>
            </w:r>
            <w:r>
              <w:rPr>
                <w:rFonts w:ascii="宋体" w:hAnsi="宋体" w:cs="宋体"/>
                <w:spacing w:val="-3"/>
                <w:position w:val="24"/>
                <w:sz w:val="24"/>
                <w:szCs w:val="24"/>
              </w:rPr>
              <w:t>司董事会及全体董事保证本公告内容不存在任何虚假记载、误导性陈述</w:t>
            </w:r>
          </w:p>
          <w:p w14:paraId="07212D3E">
            <w:pPr>
              <w:spacing w:line="219" w:lineRule="auto"/>
              <w:ind w:left="124"/>
              <w:rPr>
                <w:rFonts w:ascii="宋体" w:hAnsi="宋体" w:cs="宋体"/>
                <w:sz w:val="24"/>
                <w:szCs w:val="24"/>
              </w:rPr>
            </w:pPr>
            <w:r>
              <w:rPr>
                <w:rFonts w:ascii="宋体" w:hAnsi="宋体" w:cs="宋体"/>
                <w:spacing w:val="-2"/>
                <w:sz w:val="24"/>
                <w:szCs w:val="24"/>
              </w:rPr>
              <w:t>或者重大遗漏，并对其内容</w:t>
            </w:r>
            <w:r>
              <w:rPr>
                <w:rFonts w:ascii="宋体" w:hAnsi="宋体" w:cs="宋体"/>
                <w:spacing w:val="-1"/>
                <w:sz w:val="24"/>
                <w:szCs w:val="24"/>
              </w:rPr>
              <w:t>的真实性、准确性和完整性承担个别及连带责任。</w:t>
            </w:r>
          </w:p>
        </w:tc>
      </w:tr>
    </w:tbl>
    <w:p w14:paraId="12822ADD">
      <w:pPr>
        <w:spacing w:line="250" w:lineRule="auto"/>
      </w:pPr>
    </w:p>
    <w:p w14:paraId="1EABC81D">
      <w:pPr>
        <w:spacing w:line="250" w:lineRule="auto"/>
      </w:pPr>
    </w:p>
    <w:p w14:paraId="6F327F1E">
      <w:pPr>
        <w:spacing w:before="240" w:beforeLines="100" w:line="219" w:lineRule="auto"/>
        <w:ind w:left="613"/>
        <w:outlineLvl w:val="0"/>
        <w:rPr>
          <w:rFonts w:ascii="宋体" w:hAnsi="宋体" w:cs="宋体"/>
          <w:sz w:val="24"/>
          <w:szCs w:val="24"/>
        </w:rPr>
      </w:pPr>
      <w:r>
        <w:rPr>
          <w:rFonts w:ascii="宋体" w:hAnsi="宋体" w:cs="宋体"/>
          <w:spacing w:val="-1"/>
          <w:sz w:val="24"/>
          <w:szCs w:val="24"/>
          <w14:textOutline w14:w="4356" w14:cap="flat" w14:cmpd="sng" w14:algn="ctr">
            <w14:solidFill>
              <w14:srgbClr w14:val="000000"/>
            </w14:solidFill>
            <w14:prstDash w14:val="solid"/>
            <w14:miter w14:val="0"/>
          </w14:textOutline>
        </w:rPr>
        <w:t>一、募集资</w:t>
      </w:r>
      <w:r>
        <w:rPr>
          <w:rFonts w:ascii="宋体" w:hAnsi="宋体" w:cs="宋体"/>
          <w:sz w:val="24"/>
          <w:szCs w:val="24"/>
          <w14:textOutline w14:w="4356" w14:cap="flat" w14:cmpd="sng" w14:algn="ctr">
            <w14:solidFill>
              <w14:srgbClr w14:val="000000"/>
            </w14:solidFill>
            <w14:prstDash w14:val="solid"/>
            <w14:miter w14:val="0"/>
          </w14:textOutline>
        </w:rPr>
        <w:t>金基本情况</w:t>
      </w:r>
    </w:p>
    <w:p w14:paraId="2002EC2A">
      <w:pPr>
        <w:spacing w:before="240" w:beforeLines="100" w:line="360" w:lineRule="auto"/>
        <w:ind w:firstLine="456" w:firstLineChars="200"/>
        <w:rPr>
          <w:rFonts w:ascii="宋体" w:hAnsi="宋体"/>
          <w:sz w:val="24"/>
          <w:szCs w:val="24"/>
        </w:rPr>
      </w:pPr>
      <w:r>
        <w:rPr>
          <w:rFonts w:hint="eastAsia" w:ascii="宋体" w:hAnsi="宋体" w:cs="宋体"/>
          <w:spacing w:val="-6"/>
          <w:sz w:val="24"/>
          <w:szCs w:val="24"/>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w:t>
      </w:r>
      <w:r>
        <w:rPr>
          <w:rFonts w:hint="eastAsia" w:ascii="宋体" w:hAnsi="宋体"/>
          <w:sz w:val="24"/>
          <w:szCs w:val="24"/>
        </w:rPr>
        <w:t>实际募集资金净额为人民币854,561,800.00元。上述募集资金到位情况业经大华会计师事务所（特殊普通合伙）验证，并由其出具《验资报告》（大华验字[2022]000143号）。</w:t>
      </w:r>
    </w:p>
    <w:p w14:paraId="1778B2D6">
      <w:pPr>
        <w:spacing w:before="240" w:beforeLines="100" w:line="360" w:lineRule="auto"/>
        <w:ind w:firstLine="480" w:firstLineChars="200"/>
        <w:rPr>
          <w:rFonts w:ascii="宋体" w:hAnsi="宋体" w:cs="宋体"/>
          <w:spacing w:val="-6"/>
          <w:sz w:val="24"/>
          <w:szCs w:val="24"/>
        </w:rPr>
      </w:pPr>
      <w:r>
        <w:rPr>
          <w:rFonts w:hint="eastAsia" w:ascii="宋体" w:hAnsi="宋体"/>
          <w:sz w:val="24"/>
          <w:szCs w:val="24"/>
        </w:rPr>
        <w:t>上述募集资金已经全部存放于公司募集资金</w:t>
      </w:r>
      <w:r>
        <w:rPr>
          <w:rFonts w:hint="eastAsia" w:ascii="宋体" w:hAnsi="宋体" w:cs="宋体"/>
          <w:spacing w:val="-6"/>
          <w:sz w:val="24"/>
          <w:szCs w:val="24"/>
        </w:rPr>
        <w:t>专户，公司已与保荐机构和存放募集资金的各商业银行签订《募集资金专户存储三方监管协议》。</w:t>
      </w:r>
    </w:p>
    <w:p w14:paraId="2452DEF8">
      <w:pPr>
        <w:numPr>
          <w:ilvl w:val="0"/>
          <w:numId w:val="1"/>
        </w:numPr>
        <w:spacing w:before="240" w:beforeLines="100" w:line="220" w:lineRule="auto"/>
        <w:ind w:left="608"/>
        <w:outlineLvl w:val="0"/>
        <w:rPr>
          <w:rFonts w:ascii="宋体" w:hAnsi="宋体" w:cs="宋体"/>
          <w:sz w:val="24"/>
          <w:szCs w:val="24"/>
          <w14:textOutline w14:w="4356" w14:cap="flat" w14:cmpd="sng" w14:algn="ctr">
            <w14:solidFill>
              <w14:srgbClr w14:val="000000"/>
            </w14:solidFill>
            <w14:prstDash w14:val="solid"/>
            <w14:miter w14:val="0"/>
          </w14:textOutline>
        </w:rPr>
      </w:pPr>
      <w:r>
        <w:rPr>
          <w:rFonts w:ascii="宋体" w:hAnsi="宋体" w:cs="宋体"/>
          <w:spacing w:val="-1"/>
          <w:sz w:val="24"/>
          <w:szCs w:val="24"/>
          <w14:textOutline w14:w="4356" w14:cap="flat" w14:cmpd="sng" w14:algn="ctr">
            <w14:solidFill>
              <w14:srgbClr w14:val="000000"/>
            </w14:solidFill>
            <w14:prstDash w14:val="solid"/>
            <w14:miter w14:val="0"/>
          </w14:textOutline>
        </w:rPr>
        <w:t>募集资</w:t>
      </w:r>
      <w:r>
        <w:rPr>
          <w:rFonts w:ascii="宋体" w:hAnsi="宋体" w:cs="宋体"/>
          <w:sz w:val="24"/>
          <w:szCs w:val="24"/>
          <w14:textOutline w14:w="4356" w14:cap="flat" w14:cmpd="sng" w14:algn="ctr">
            <w14:solidFill>
              <w14:srgbClr w14:val="000000"/>
            </w14:solidFill>
            <w14:prstDash w14:val="solid"/>
            <w14:miter w14:val="0"/>
          </w14:textOutline>
        </w:rPr>
        <w:t>金管理情况</w:t>
      </w:r>
    </w:p>
    <w:p w14:paraId="2DCD03D5">
      <w:pPr>
        <w:spacing w:before="240" w:beforeLines="100" w:line="360" w:lineRule="auto"/>
        <w:ind w:firstLine="480" w:firstLineChars="200"/>
        <w:rPr>
          <w:rFonts w:ascii="宋体" w:hAnsi="宋体"/>
          <w:sz w:val="24"/>
          <w:szCs w:val="24"/>
        </w:rPr>
      </w:pPr>
      <w:r>
        <w:rPr>
          <w:rFonts w:hint="eastAsia" w:ascii="宋体" w:hAnsi="宋体"/>
          <w:sz w:val="24"/>
          <w:szCs w:val="24"/>
        </w:rPr>
        <w:t>为了规范募集资金的管理和使用，保护投资者权益，本公司依照《中华人民共和国公司法》《中华人民共和国证券法》《上海证券交易所股票上市规则》《上海证券交易所上市公司自律监管指引第1号——规范运作》等法律法规，结合公司实际情况，制定了《重庆望变电气（集团）股份有限公司募集资金管理制度》（以下简称“</w:t>
      </w:r>
      <w:r>
        <w:rPr>
          <w:rFonts w:hint="eastAsia" w:cs="微软雅黑" w:asciiTheme="minorEastAsia" w:hAnsiTheme="minorEastAsia" w:eastAsiaTheme="minorEastAsia"/>
          <w:sz w:val="24"/>
          <w:szCs w:val="24"/>
        </w:rPr>
        <w:t>《</w:t>
      </w:r>
      <w:r>
        <w:rPr>
          <w:rFonts w:asciiTheme="minorEastAsia" w:hAnsiTheme="minorEastAsia" w:eastAsiaTheme="minorEastAsia"/>
          <w:sz w:val="24"/>
          <w:szCs w:val="24"/>
        </w:rPr>
        <w:t>管理制度</w:t>
      </w:r>
      <w:r>
        <w:rPr>
          <w:rFonts w:hint="eastAsia" w:cs="微软雅黑" w:asciiTheme="minorEastAsia" w:hAnsiTheme="minorEastAsia" w:eastAsiaTheme="minorEastAsia"/>
          <w:sz w:val="24"/>
          <w:szCs w:val="24"/>
        </w:rPr>
        <w:t>》</w:t>
      </w:r>
      <w:r>
        <w:rPr>
          <w:rFonts w:hint="eastAsia" w:ascii="宋体" w:hAnsi="宋体"/>
          <w:sz w:val="24"/>
          <w:szCs w:val="24"/>
        </w:rPr>
        <w:t>”），该《管理制度》经本公司2022年第三届第十一次董事会审议通过，并业经本公司2022年第一次临时股东大会表决通过。</w:t>
      </w:r>
    </w:p>
    <w:p w14:paraId="74ABBC34">
      <w:pPr>
        <w:spacing w:before="183" w:line="360" w:lineRule="auto"/>
        <w:ind w:firstLine="480" w:firstLineChars="200"/>
        <w:rPr>
          <w:rFonts w:ascii="宋体" w:hAnsi="宋体"/>
          <w:sz w:val="24"/>
          <w:szCs w:val="24"/>
        </w:rPr>
      </w:pPr>
      <w:r>
        <w:rPr>
          <w:rFonts w:hint="eastAsia" w:ascii="宋体" w:hAnsi="宋体"/>
          <w:sz w:val="24"/>
          <w:szCs w:val="24"/>
        </w:rPr>
        <w:t>根据《管理制度》的要求，并结合公司经营需要，本公司分别在招商银行股份有限公司重庆长寿支行（该专户已于2022年6月22日注销）、重庆三峡银行股份有限公司长寿支行、上海浦东发展银行股份有限公司重庆分行、中信银行重庆分行营业部（该专户已于2023年10月13日注销）、中国农业银行股份有限公司重庆长寿支行（该专户已于2023年6月26日注销）、哈尔滨银行股份有限公司重庆分行开设募集资金专项账户，并于2022年4月18日、2022年7月3日与中信证券股份有限公司、招商银行股份有限公司重庆长寿支行（该专户已于2022年6月22日注销）、重庆三峡银行股份有限公司长寿支行、上海浦东发展银行股份有限公司重庆分行、中信银行重庆分行营业部（该专户已于2023年10月13日注销）、中国农业银行股份有限公司重庆长寿支行（该专户已于2023年6月26日注销）、哈尔滨银行股份有限公司重庆分行签署了《募集资金专户存储三方监管协议》，并对募集资金的使用实行严格的审批手续，以保证专款专用；授权保荐代表人可以随时到开设募集资金专户的银行查询募集资金专户资料，并要求保荐代表人每半年对募集资金管理和使用情况至少进行现场调查一次。</w:t>
      </w:r>
    </w:p>
    <w:p w14:paraId="0CF070A2">
      <w:pPr>
        <w:spacing w:before="183" w:line="360" w:lineRule="auto"/>
        <w:ind w:firstLine="480" w:firstLineChars="200"/>
        <w:rPr>
          <w:rFonts w:ascii="宋体" w:hAnsi="宋体"/>
          <w:sz w:val="24"/>
          <w:szCs w:val="24"/>
        </w:rPr>
      </w:pPr>
      <w:r>
        <w:rPr>
          <w:rFonts w:hint="eastAsia" w:ascii="宋体" w:hAnsi="宋体"/>
          <w:sz w:val="24"/>
          <w:szCs w:val="24"/>
        </w:rPr>
        <w:t>公司一直严格按照《管理制度》的规定管理募集资金，募集资金的存放、使用、管理均不存在违反《管理制度》及</w:t>
      </w:r>
      <w:r>
        <w:rPr>
          <w:rFonts w:hint="eastAsia" w:cs="微软雅黑" w:asciiTheme="minorEastAsia" w:hAnsiTheme="minorEastAsia" w:eastAsiaTheme="minorEastAsia"/>
          <w:sz w:val="24"/>
          <w:szCs w:val="24"/>
        </w:rPr>
        <w:t>《上海证券交易所上市公司自律监管指引第</w:t>
      </w:r>
      <w:r>
        <w:rPr>
          <w:rFonts w:asciiTheme="minorEastAsia" w:hAnsiTheme="minorEastAsia" w:eastAsiaTheme="minorEastAsia"/>
          <w:sz w:val="24"/>
          <w:szCs w:val="24"/>
        </w:rPr>
        <w:t>1</w:t>
      </w:r>
      <w:r>
        <w:rPr>
          <w:rFonts w:hint="eastAsia" w:cs="微软雅黑" w:asciiTheme="minorEastAsia" w:hAnsiTheme="minorEastAsia" w:eastAsiaTheme="minorEastAsia"/>
          <w:sz w:val="24"/>
          <w:szCs w:val="24"/>
        </w:rPr>
        <w:t>号</w:t>
      </w:r>
      <w:r>
        <w:rPr>
          <w:rFonts w:hint="eastAsia" w:asciiTheme="minorEastAsia" w:hAnsiTheme="minorEastAsia" w:eastAsiaTheme="minorEastAsia"/>
          <w:sz w:val="24"/>
          <w:szCs w:val="24"/>
        </w:rPr>
        <w:t>——</w:t>
      </w:r>
      <w:r>
        <w:rPr>
          <w:rFonts w:hint="eastAsia" w:cs="微软雅黑" w:asciiTheme="minorEastAsia" w:hAnsiTheme="minorEastAsia" w:eastAsiaTheme="minorEastAsia"/>
          <w:sz w:val="24"/>
          <w:szCs w:val="24"/>
        </w:rPr>
        <w:t>规范运作》《上市公司募集资金</w:t>
      </w:r>
      <w:r>
        <w:rPr>
          <w:rFonts w:hint="eastAsia" w:cs="微软雅黑" w:asciiTheme="minorEastAsia" w:hAnsiTheme="minorEastAsia" w:eastAsiaTheme="minorEastAsia"/>
          <w:sz w:val="24"/>
          <w:szCs w:val="24"/>
          <w:lang w:val="en-US" w:eastAsia="zh-CN"/>
        </w:rPr>
        <w:t>监管规则</w:t>
      </w:r>
      <w:r>
        <w:rPr>
          <w:rFonts w:hint="eastAsia" w:cs="微软雅黑" w:asciiTheme="minorEastAsia" w:hAnsiTheme="minorEastAsia" w:eastAsiaTheme="minorEastAsia"/>
          <w:sz w:val="24"/>
          <w:szCs w:val="24"/>
        </w:rPr>
        <w:t>》等法律法规</w:t>
      </w:r>
      <w:r>
        <w:rPr>
          <w:rFonts w:hint="eastAsia" w:ascii="宋体" w:hAnsi="宋体"/>
          <w:sz w:val="24"/>
          <w:szCs w:val="24"/>
        </w:rPr>
        <w:t>规定的情形。</w:t>
      </w:r>
    </w:p>
    <w:p w14:paraId="4E048F06">
      <w:pPr>
        <w:spacing w:before="183" w:line="360" w:lineRule="auto"/>
        <w:ind w:right="114" w:firstLine="496" w:firstLineChars="200"/>
        <w:rPr>
          <w:rFonts w:ascii="宋体" w:hAnsi="宋体" w:cs="宋体"/>
          <w:spacing w:val="-8"/>
          <w:sz w:val="24"/>
          <w:szCs w:val="24"/>
        </w:rPr>
      </w:pPr>
      <w:r>
        <w:rPr>
          <w:rFonts w:ascii="宋体" w:hAnsi="宋体" w:cs="宋体"/>
          <w:spacing w:val="4"/>
          <w:sz w:val="24"/>
          <w:szCs w:val="24"/>
        </w:rPr>
        <w:t>募集资金专</w:t>
      </w:r>
      <w:r>
        <w:rPr>
          <w:rFonts w:ascii="宋体" w:hAnsi="宋体" w:cs="宋体"/>
          <w:spacing w:val="1"/>
          <w:sz w:val="24"/>
          <w:szCs w:val="24"/>
        </w:rPr>
        <w:t>户</w:t>
      </w:r>
      <w:r>
        <w:rPr>
          <w:rFonts w:ascii="宋体" w:hAnsi="宋体" w:cs="宋体"/>
          <w:sz w:val="24"/>
          <w:szCs w:val="24"/>
        </w:rPr>
        <w:t>的</w:t>
      </w:r>
      <w:r>
        <w:rPr>
          <w:rFonts w:hint="eastAsia" w:ascii="宋体" w:hAnsi="宋体" w:cs="宋体"/>
          <w:spacing w:val="-9"/>
          <w:sz w:val="24"/>
          <w:szCs w:val="24"/>
        </w:rPr>
        <w:t>存储</w:t>
      </w:r>
      <w:r>
        <w:rPr>
          <w:rFonts w:ascii="宋体" w:hAnsi="宋体" w:cs="宋体"/>
          <w:spacing w:val="-8"/>
          <w:sz w:val="24"/>
          <w:szCs w:val="24"/>
        </w:rPr>
        <w:t>情况如下：</w:t>
      </w:r>
    </w:p>
    <w:tbl>
      <w:tblPr>
        <w:tblStyle w:val="7"/>
        <w:tblW w:w="5000" w:type="pct"/>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108" w:type="dxa"/>
          <w:bottom w:w="0" w:type="dxa"/>
          <w:right w:w="108" w:type="dxa"/>
        </w:tblCellMar>
      </w:tblPr>
      <w:tblGrid>
        <w:gridCol w:w="2038"/>
        <w:gridCol w:w="2208"/>
        <w:gridCol w:w="2349"/>
        <w:gridCol w:w="1927"/>
      </w:tblGrid>
      <w:tr w14:paraId="333FE96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auto" w:sz="4" w:space="0"/>
              <w:left w:val="single" w:color="auto" w:sz="4" w:space="0"/>
              <w:bottom w:val="single" w:color="000000" w:sz="2" w:space="0"/>
              <w:right w:val="single" w:color="000000" w:sz="2" w:space="0"/>
              <w:tl2br w:val="nil"/>
              <w:tr2bl w:val="nil"/>
            </w:tcBorders>
            <w:vAlign w:val="center"/>
          </w:tcPr>
          <w:p w14:paraId="4AC78F64">
            <w:pPr>
              <w:spacing w:line="560" w:lineRule="exact"/>
              <w:jc w:val="center"/>
              <w:rPr>
                <w:rFonts w:ascii="宋体" w:hAnsi="宋体"/>
                <w:b/>
                <w:highlight w:val="none"/>
              </w:rPr>
            </w:pPr>
            <w:r>
              <w:rPr>
                <w:rFonts w:hint="eastAsia" w:ascii="宋体" w:hAnsi="宋体"/>
                <w:b/>
                <w:highlight w:val="none"/>
              </w:rPr>
              <w:t>募集资金投资项目</w:t>
            </w:r>
          </w:p>
        </w:tc>
        <w:tc>
          <w:tcPr>
            <w:tcW w:w="1295" w:type="pct"/>
            <w:tcBorders>
              <w:top w:val="single" w:color="auto" w:sz="4" w:space="0"/>
              <w:left w:val="single" w:color="000000" w:sz="2" w:space="0"/>
              <w:bottom w:val="single" w:color="000000" w:sz="2" w:space="0"/>
              <w:right w:val="single" w:color="000000" w:sz="2" w:space="0"/>
              <w:tl2br w:val="nil"/>
              <w:tr2bl w:val="nil"/>
            </w:tcBorders>
            <w:vAlign w:val="center"/>
          </w:tcPr>
          <w:p w14:paraId="6990507F">
            <w:pPr>
              <w:spacing w:line="560" w:lineRule="exact"/>
              <w:jc w:val="center"/>
              <w:rPr>
                <w:rFonts w:ascii="宋体" w:hAnsi="宋体"/>
                <w:b/>
                <w:highlight w:val="none"/>
              </w:rPr>
            </w:pPr>
            <w:r>
              <w:rPr>
                <w:rFonts w:hint="eastAsia" w:ascii="宋体" w:hAnsi="宋体"/>
                <w:b/>
                <w:highlight w:val="none"/>
              </w:rPr>
              <w:t>开户银行</w:t>
            </w:r>
          </w:p>
        </w:tc>
        <w:tc>
          <w:tcPr>
            <w:tcW w:w="1378" w:type="pct"/>
            <w:tcBorders>
              <w:top w:val="single" w:color="auto" w:sz="4" w:space="0"/>
              <w:left w:val="single" w:color="000000" w:sz="2" w:space="0"/>
              <w:bottom w:val="single" w:color="000000" w:sz="2" w:space="0"/>
              <w:right w:val="single" w:color="auto" w:sz="4" w:space="0"/>
              <w:tl2br w:val="nil"/>
              <w:tr2bl w:val="nil"/>
            </w:tcBorders>
            <w:vAlign w:val="center"/>
          </w:tcPr>
          <w:p w14:paraId="3E861C39">
            <w:pPr>
              <w:spacing w:line="560" w:lineRule="exact"/>
              <w:jc w:val="center"/>
              <w:rPr>
                <w:rFonts w:ascii="宋体" w:hAnsi="宋体"/>
                <w:b/>
                <w:highlight w:val="none"/>
              </w:rPr>
            </w:pPr>
            <w:r>
              <w:rPr>
                <w:rFonts w:hint="eastAsia" w:ascii="宋体" w:hAnsi="宋体"/>
                <w:b/>
                <w:highlight w:val="none"/>
              </w:rPr>
              <w:t>募集资金专用账号</w:t>
            </w:r>
          </w:p>
        </w:tc>
        <w:tc>
          <w:tcPr>
            <w:tcW w:w="1130" w:type="pct"/>
            <w:tcBorders>
              <w:top w:val="single" w:color="auto" w:sz="4" w:space="0"/>
              <w:left w:val="single" w:color="000000" w:sz="2" w:space="0"/>
              <w:bottom w:val="single" w:color="000000" w:sz="2" w:space="0"/>
              <w:right w:val="single" w:color="auto" w:sz="4" w:space="0"/>
              <w:tl2br w:val="nil"/>
              <w:tr2bl w:val="nil"/>
            </w:tcBorders>
            <w:vAlign w:val="center"/>
          </w:tcPr>
          <w:p w14:paraId="50AEE066">
            <w:pPr>
              <w:spacing w:line="560" w:lineRule="exact"/>
              <w:jc w:val="center"/>
              <w:rPr>
                <w:rFonts w:asciiTheme="minorEastAsia" w:hAnsiTheme="minorEastAsia" w:eastAsiaTheme="minorEastAsia"/>
                <w:b/>
                <w:highlight w:val="none"/>
              </w:rPr>
            </w:pPr>
            <w:r>
              <w:rPr>
                <w:rFonts w:hint="eastAsia" w:cs="微软雅黑" w:asciiTheme="minorEastAsia" w:hAnsiTheme="minorEastAsia" w:eastAsiaTheme="minorEastAsia"/>
                <w:b/>
                <w:highlight w:val="none"/>
              </w:rPr>
              <w:t>账户状态</w:t>
            </w:r>
          </w:p>
        </w:tc>
      </w:tr>
      <w:tr w14:paraId="10ECD63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46184E82">
            <w:pPr>
              <w:spacing w:line="560" w:lineRule="exact"/>
              <w:jc w:val="center"/>
              <w:rPr>
                <w:rFonts w:hint="eastAsia" w:ascii="Times New Roman" w:hAnsi="Times New Roman" w:eastAsia="宋体"/>
                <w:b/>
                <w:bCs/>
                <w:highlight w:val="none"/>
                <w:lang w:val="en-US" w:eastAsia="zh-CN"/>
              </w:rPr>
            </w:pPr>
            <w:r>
              <w:rPr>
                <w:rFonts w:hint="eastAsia" w:ascii="Times New Roman" w:hAnsi="Times New Roman"/>
                <w:b/>
                <w:bCs/>
                <w:highlight w:val="none"/>
                <w:lang w:val="en-US" w:eastAsia="zh-CN"/>
              </w:rPr>
              <w:t>智控设备及金属制品智能工厂建设项目（一期）</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76DC2F13">
            <w:pPr>
              <w:spacing w:line="560" w:lineRule="exact"/>
              <w:jc w:val="center"/>
              <w:rPr>
                <w:rFonts w:ascii="Times New Roman" w:hAnsi="Times New Roman"/>
                <w:b/>
                <w:bCs/>
                <w:highlight w:val="none"/>
              </w:rPr>
            </w:pPr>
            <w:r>
              <w:rPr>
                <w:rFonts w:hint="eastAsia" w:ascii="Times New Roman" w:hAnsi="Times New Roman"/>
                <w:b/>
                <w:bCs/>
                <w:highlight w:val="none"/>
              </w:rPr>
              <w:t>哈尔滨银行股份有限公司重庆分行</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7A787828">
            <w:pPr>
              <w:jc w:val="center"/>
              <w:rPr>
                <w:rFonts w:hint="eastAsia"/>
                <w:b/>
                <w:bCs/>
                <w:highlight w:val="none"/>
              </w:rPr>
            </w:pPr>
            <w:r>
              <w:rPr>
                <w:rFonts w:hint="eastAsia" w:ascii="宋体" w:hAnsi="宋体"/>
                <w:b/>
                <w:bCs/>
                <w:highlight w:val="none"/>
              </w:rPr>
              <w:t>18010000001689409</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2C30AE5E">
            <w:pPr>
              <w:spacing w:line="560" w:lineRule="exact"/>
              <w:jc w:val="center"/>
              <w:rPr>
                <w:rFonts w:hint="default" w:asciiTheme="minorEastAsia" w:hAnsiTheme="minorEastAsia" w:eastAsiaTheme="minorEastAsia"/>
                <w:b/>
                <w:bCs/>
                <w:highlight w:val="none"/>
                <w:lang w:val="en-US" w:eastAsia="zh-CN"/>
              </w:rPr>
            </w:pPr>
            <w:r>
              <w:rPr>
                <w:rFonts w:hint="eastAsia" w:asciiTheme="minorEastAsia" w:hAnsiTheme="minorEastAsia" w:eastAsiaTheme="minorEastAsia"/>
                <w:b/>
                <w:bCs/>
                <w:highlight w:val="none"/>
                <w:lang w:val="en-US" w:eastAsia="zh-CN"/>
              </w:rPr>
              <w:t>本次注销</w:t>
            </w:r>
          </w:p>
        </w:tc>
      </w:tr>
      <w:tr w14:paraId="5717B63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78BB9726">
            <w:pPr>
              <w:spacing w:line="560" w:lineRule="exact"/>
              <w:jc w:val="center"/>
              <w:rPr>
                <w:rFonts w:ascii="Times New Roman" w:hAnsi="Times New Roman"/>
                <w:b/>
                <w:highlight w:val="none"/>
              </w:rPr>
            </w:pPr>
            <w:r>
              <w:rPr>
                <w:rFonts w:ascii="Times New Roman" w:hAnsi="Times New Roman"/>
                <w:highlight w:val="none"/>
              </w:rPr>
              <w:t>110kV</w:t>
            </w:r>
            <w:r>
              <w:rPr>
                <w:rFonts w:hint="eastAsia" w:ascii="Times New Roman" w:hAnsi="Times New Roman"/>
                <w:highlight w:val="none"/>
              </w:rPr>
              <w:t>及以下节能型变压器智能化工厂技改项目</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2B1FBB4C">
            <w:pPr>
              <w:spacing w:line="560" w:lineRule="exact"/>
              <w:jc w:val="center"/>
              <w:rPr>
                <w:rFonts w:ascii="Times New Roman" w:hAnsi="Times New Roman"/>
                <w:highlight w:val="none"/>
              </w:rPr>
            </w:pPr>
            <w:r>
              <w:rPr>
                <w:rFonts w:hint="eastAsia" w:ascii="Times New Roman" w:hAnsi="Times New Roman"/>
                <w:highlight w:val="none"/>
              </w:rPr>
              <w:t>重庆三峡银行股份有限公司长寿支行</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0D910CBB">
            <w:pPr>
              <w:spacing w:line="560" w:lineRule="exact"/>
              <w:jc w:val="center"/>
              <w:rPr>
                <w:rFonts w:ascii="Times New Roman" w:hAnsi="Times New Roman"/>
                <w:highlight w:val="none"/>
              </w:rPr>
            </w:pPr>
            <w:r>
              <w:rPr>
                <w:rFonts w:ascii="Times New Roman" w:hAnsi="Times New Roman"/>
                <w:highlight w:val="none"/>
              </w:rPr>
              <w:t>0153016820000020</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5124B43B">
            <w:pPr>
              <w:spacing w:line="560" w:lineRule="exact"/>
              <w:jc w:val="center"/>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已注销</w:t>
            </w:r>
          </w:p>
        </w:tc>
      </w:tr>
      <w:tr w14:paraId="7D277F4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3746F4DB">
            <w:pPr>
              <w:spacing w:line="560" w:lineRule="exact"/>
              <w:jc w:val="center"/>
              <w:rPr>
                <w:rFonts w:ascii="Times New Roman" w:hAnsi="Times New Roman"/>
                <w:b/>
                <w:highlight w:val="none"/>
              </w:rPr>
            </w:pPr>
            <w:r>
              <w:rPr>
                <w:rFonts w:hint="eastAsia" w:ascii="Times New Roman" w:hAnsi="Times New Roman"/>
                <w:highlight w:val="none"/>
              </w:rPr>
              <w:t>研发中心及信息化建设项目</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6698B636">
            <w:pPr>
              <w:spacing w:line="560" w:lineRule="exact"/>
              <w:jc w:val="center"/>
              <w:rPr>
                <w:rFonts w:ascii="Times New Roman" w:hAnsi="Times New Roman"/>
                <w:highlight w:val="none"/>
              </w:rPr>
            </w:pPr>
            <w:r>
              <w:rPr>
                <w:rFonts w:hint="eastAsia" w:ascii="Times New Roman" w:hAnsi="Times New Roman"/>
                <w:highlight w:val="none"/>
              </w:rPr>
              <w:t>浦发银行重庆长寿支行</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41F136F9">
            <w:pPr>
              <w:spacing w:line="560" w:lineRule="exact"/>
              <w:jc w:val="center"/>
              <w:rPr>
                <w:rFonts w:ascii="Times New Roman" w:hAnsi="Times New Roman"/>
                <w:highlight w:val="none"/>
              </w:rPr>
            </w:pPr>
            <w:r>
              <w:rPr>
                <w:rFonts w:ascii="Times New Roman" w:hAnsi="Times New Roman"/>
                <w:highlight w:val="none"/>
              </w:rPr>
              <w:t>83260078801700000608</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35D98E14">
            <w:pPr>
              <w:spacing w:line="560" w:lineRule="exact"/>
              <w:jc w:val="center"/>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已注销</w:t>
            </w:r>
          </w:p>
        </w:tc>
      </w:tr>
      <w:tr w14:paraId="2A57A8E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2A3ED811">
            <w:pPr>
              <w:spacing w:line="560" w:lineRule="exact"/>
              <w:jc w:val="center"/>
              <w:rPr>
                <w:rFonts w:hint="eastAsia" w:ascii="Times New Roman" w:hAnsi="Times New Roman" w:eastAsia="宋体" w:cs="Times New Roman"/>
                <w:b/>
                <w:kern w:val="2"/>
                <w:sz w:val="21"/>
                <w:szCs w:val="21"/>
                <w:highlight w:val="none"/>
                <w:lang w:val="en-US" w:eastAsia="zh-CN" w:bidi="ar-SA"/>
              </w:rPr>
            </w:pPr>
            <w:r>
              <w:rPr>
                <w:rFonts w:hint="eastAsia" w:ascii="Times New Roman" w:hAnsi="Times New Roman"/>
                <w:highlight w:val="none"/>
              </w:rPr>
              <w:t>低铁损高磁感硅钢铁心智能制造项目</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3436D271">
            <w:pPr>
              <w:spacing w:line="560" w:lineRule="exact"/>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highlight w:val="none"/>
              </w:rPr>
              <w:t>中信银行重庆分行营业部</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5C904467">
            <w:pPr>
              <w:spacing w:line="560" w:lineRule="exact"/>
              <w:jc w:val="center"/>
              <w:rPr>
                <w:rFonts w:ascii="Times New Roman" w:hAnsi="Times New Roman" w:eastAsia="宋体" w:cs="Times New Roman"/>
                <w:kern w:val="2"/>
                <w:sz w:val="21"/>
                <w:szCs w:val="21"/>
                <w:highlight w:val="none"/>
                <w:lang w:val="en-US" w:eastAsia="zh-CN" w:bidi="ar-SA"/>
              </w:rPr>
            </w:pPr>
            <w:r>
              <w:rPr>
                <w:rFonts w:ascii="Times New Roman" w:hAnsi="Times New Roman"/>
                <w:highlight w:val="none"/>
              </w:rPr>
              <w:t>8111201012200530541</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7C9DAFCB">
            <w:pPr>
              <w:spacing w:line="560" w:lineRule="exact"/>
              <w:jc w:val="cente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highlight w:val="none"/>
                <w:lang w:val="en-US" w:eastAsia="zh-CN"/>
              </w:rPr>
              <w:t>已注销</w:t>
            </w:r>
          </w:p>
        </w:tc>
      </w:tr>
      <w:tr w14:paraId="78AD197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2FF95FE3">
            <w:pPr>
              <w:spacing w:line="560" w:lineRule="exact"/>
              <w:jc w:val="center"/>
              <w:rPr>
                <w:rFonts w:hint="eastAsia" w:ascii="Times New Roman" w:hAnsi="Times New Roman"/>
                <w:highlight w:val="none"/>
              </w:rPr>
            </w:pPr>
            <w:r>
              <w:rPr>
                <w:rFonts w:hint="eastAsia" w:ascii="Times New Roman" w:hAnsi="Times New Roman"/>
                <w:highlight w:val="none"/>
              </w:rPr>
              <w:t>智能成套电气设备产业基地建设项目</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7EC4E13D">
            <w:pPr>
              <w:rPr>
                <w:rFonts w:hint="eastAsia"/>
                <w:highlight w:val="none"/>
              </w:rPr>
            </w:pPr>
            <w:r>
              <w:rPr>
                <w:rFonts w:ascii="宋体" w:hAnsi="宋体"/>
                <w:highlight w:val="none"/>
              </w:rPr>
              <w:t>招商银行重庆分行长寿支行</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48DD2815">
            <w:pPr>
              <w:jc w:val="center"/>
              <w:rPr>
                <w:rFonts w:hint="eastAsia"/>
                <w:highlight w:val="none"/>
              </w:rPr>
            </w:pPr>
            <w:r>
              <w:rPr>
                <w:rFonts w:ascii="Times New Roman" w:hAnsi="Times New Roman"/>
                <w:highlight w:val="none"/>
              </w:rPr>
              <w:t>123905910610303</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77F0C5E2">
            <w:pPr>
              <w:spacing w:line="560" w:lineRule="exact"/>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已注销</w:t>
            </w:r>
          </w:p>
        </w:tc>
      </w:tr>
      <w:tr w14:paraId="7978932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auto" w:sz="4" w:space="0"/>
              <w:right w:val="single" w:color="000000" w:sz="2" w:space="0"/>
              <w:tl2br w:val="nil"/>
              <w:tr2bl w:val="nil"/>
            </w:tcBorders>
            <w:vAlign w:val="center"/>
          </w:tcPr>
          <w:p w14:paraId="029E6C94">
            <w:pPr>
              <w:spacing w:line="560" w:lineRule="exact"/>
              <w:jc w:val="center"/>
              <w:rPr>
                <w:rFonts w:ascii="Times New Roman" w:hAnsi="Times New Roman"/>
                <w:b/>
                <w:highlight w:val="none"/>
              </w:rPr>
            </w:pPr>
            <w:r>
              <w:rPr>
                <w:rFonts w:hint="eastAsia" w:ascii="Times New Roman" w:hAnsi="Times New Roman"/>
                <w:highlight w:val="none"/>
              </w:rPr>
              <w:t>补充流动资金</w:t>
            </w:r>
          </w:p>
        </w:tc>
        <w:tc>
          <w:tcPr>
            <w:tcW w:w="1295" w:type="pct"/>
            <w:tcBorders>
              <w:top w:val="single" w:color="000000" w:sz="2" w:space="0"/>
              <w:left w:val="single" w:color="000000" w:sz="2" w:space="0"/>
              <w:bottom w:val="single" w:color="auto" w:sz="4" w:space="0"/>
              <w:right w:val="single" w:color="000000" w:sz="2" w:space="0"/>
              <w:tl2br w:val="nil"/>
              <w:tr2bl w:val="nil"/>
            </w:tcBorders>
            <w:vAlign w:val="center"/>
          </w:tcPr>
          <w:p w14:paraId="505B9D68">
            <w:pPr>
              <w:spacing w:line="560" w:lineRule="exact"/>
              <w:jc w:val="center"/>
              <w:rPr>
                <w:rFonts w:ascii="Times New Roman" w:hAnsi="Times New Roman"/>
                <w:highlight w:val="none"/>
              </w:rPr>
            </w:pPr>
            <w:r>
              <w:rPr>
                <w:rFonts w:hint="eastAsia" w:ascii="Times New Roman" w:hAnsi="Times New Roman"/>
                <w:highlight w:val="none"/>
              </w:rPr>
              <w:t>中国农业银行股份有限公司重庆长寿支行</w:t>
            </w:r>
          </w:p>
        </w:tc>
        <w:tc>
          <w:tcPr>
            <w:tcW w:w="1378" w:type="pct"/>
            <w:tcBorders>
              <w:top w:val="single" w:color="000000" w:sz="2" w:space="0"/>
              <w:left w:val="single" w:color="000000" w:sz="2" w:space="0"/>
              <w:bottom w:val="single" w:color="auto" w:sz="4" w:space="0"/>
              <w:right w:val="single" w:color="auto" w:sz="4" w:space="0"/>
              <w:tl2br w:val="nil"/>
              <w:tr2bl w:val="nil"/>
            </w:tcBorders>
            <w:vAlign w:val="center"/>
          </w:tcPr>
          <w:p w14:paraId="7924463B">
            <w:pPr>
              <w:spacing w:line="560" w:lineRule="exact"/>
              <w:jc w:val="center"/>
              <w:rPr>
                <w:rFonts w:ascii="Times New Roman" w:hAnsi="Times New Roman"/>
                <w:highlight w:val="none"/>
              </w:rPr>
            </w:pPr>
            <w:r>
              <w:rPr>
                <w:rFonts w:ascii="Times New Roman" w:hAnsi="Times New Roman"/>
                <w:highlight w:val="none"/>
              </w:rPr>
              <w:t>31130101040017435</w:t>
            </w:r>
          </w:p>
        </w:tc>
        <w:tc>
          <w:tcPr>
            <w:tcW w:w="1130" w:type="pct"/>
            <w:tcBorders>
              <w:top w:val="single" w:color="000000" w:sz="2" w:space="0"/>
              <w:left w:val="single" w:color="000000" w:sz="2" w:space="0"/>
              <w:bottom w:val="single" w:color="auto" w:sz="4" w:space="0"/>
              <w:right w:val="single" w:color="auto" w:sz="4" w:space="0"/>
              <w:tl2br w:val="nil"/>
              <w:tr2bl w:val="nil"/>
            </w:tcBorders>
            <w:vAlign w:val="center"/>
          </w:tcPr>
          <w:p w14:paraId="761BEA93">
            <w:pPr>
              <w:spacing w:line="560" w:lineRule="exact"/>
              <w:jc w:val="center"/>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已注销</w:t>
            </w:r>
          </w:p>
        </w:tc>
      </w:tr>
    </w:tbl>
    <w:p w14:paraId="59BCE78A">
      <w:pPr>
        <w:pStyle w:val="11"/>
        <w:jc w:val="right"/>
        <w:rPr>
          <w:sz w:val="18"/>
          <w:szCs w:val="18"/>
        </w:rPr>
      </w:pPr>
    </w:p>
    <w:p w14:paraId="448504FD">
      <w:pPr>
        <w:spacing w:line="68" w:lineRule="exact"/>
      </w:pPr>
    </w:p>
    <w:p w14:paraId="01F8E521">
      <w:pPr>
        <w:spacing w:before="240" w:beforeLines="100" w:line="237" w:lineRule="auto"/>
        <w:ind w:left="604"/>
        <w:outlineLvl w:val="0"/>
        <w:rPr>
          <w:rFonts w:ascii="宋体" w:hAnsi="宋体" w:cs="宋体"/>
          <w:sz w:val="24"/>
          <w:szCs w:val="24"/>
        </w:rPr>
      </w:pPr>
      <w:r>
        <w:rPr>
          <w:rFonts w:ascii="宋体" w:hAnsi="宋体" w:cs="宋体"/>
          <w:spacing w:val="1"/>
          <w:sz w:val="24"/>
          <w:szCs w:val="24"/>
          <w14:textOutline w14:w="4356" w14:cap="flat" w14:cmpd="sng" w14:algn="ctr">
            <w14:solidFill>
              <w14:srgbClr w14:val="000000"/>
            </w14:solidFill>
            <w14:prstDash w14:val="solid"/>
            <w14:miter w14:val="0"/>
          </w14:textOutline>
        </w:rPr>
        <w:t>三、本次募</w:t>
      </w:r>
      <w:r>
        <w:rPr>
          <w:rFonts w:ascii="宋体" w:hAnsi="宋体" w:cs="宋体"/>
          <w:sz w:val="24"/>
          <w:szCs w:val="24"/>
          <w14:textOutline w14:w="4356" w14:cap="flat" w14:cmpd="sng" w14:algn="ctr">
            <w14:solidFill>
              <w14:srgbClr w14:val="000000"/>
            </w14:solidFill>
            <w14:prstDash w14:val="solid"/>
            <w14:miter w14:val="0"/>
          </w14:textOutline>
        </w:rPr>
        <w:t>集资金</w:t>
      </w:r>
      <w:r>
        <w:rPr>
          <w:rFonts w:hint="eastAsia" w:ascii="宋体" w:hAnsi="宋体" w:cs="宋体"/>
          <w:sz w:val="24"/>
          <w:szCs w:val="24"/>
          <w14:textOutline w14:w="4356" w14:cap="flat" w14:cmpd="sng" w14:algn="ctr">
            <w14:solidFill>
              <w14:srgbClr w14:val="000000"/>
            </w14:solidFill>
            <w14:prstDash w14:val="solid"/>
            <w14:miter w14:val="0"/>
          </w14:textOutline>
        </w:rPr>
        <w:t>专</w:t>
      </w:r>
      <w:r>
        <w:rPr>
          <w:rFonts w:ascii="宋体" w:hAnsi="宋体" w:cs="宋体"/>
          <w:sz w:val="24"/>
          <w:szCs w:val="24"/>
          <w14:textOutline w14:w="4356" w14:cap="flat" w14:cmpd="sng" w14:algn="ctr">
            <w14:solidFill>
              <w14:srgbClr w14:val="000000"/>
            </w14:solidFill>
            <w14:prstDash w14:val="solid"/>
            <w14:miter w14:val="0"/>
          </w14:textOutline>
        </w:rPr>
        <w:t>户注销情况</w:t>
      </w:r>
    </w:p>
    <w:p w14:paraId="254E3701">
      <w:pPr>
        <w:spacing w:before="240" w:beforeLines="100" w:line="360" w:lineRule="auto"/>
        <w:ind w:firstLine="472"/>
        <w:rPr>
          <w:rFonts w:ascii="宋体" w:hAnsi="宋体"/>
          <w:sz w:val="24"/>
          <w:szCs w:val="24"/>
        </w:rPr>
      </w:pPr>
      <w:r>
        <w:rPr>
          <w:rFonts w:hint="eastAsia" w:ascii="宋体" w:hAnsi="宋体" w:cs="宋体"/>
          <w:spacing w:val="1"/>
          <w:sz w:val="24"/>
          <w:szCs w:val="24"/>
        </w:rPr>
        <w:t>202</w:t>
      </w:r>
      <w:r>
        <w:rPr>
          <w:rFonts w:ascii="宋体" w:hAnsi="宋体" w:cs="宋体"/>
          <w:spacing w:val="1"/>
          <w:sz w:val="24"/>
          <w:szCs w:val="24"/>
        </w:rPr>
        <w:t>5</w:t>
      </w:r>
      <w:r>
        <w:rPr>
          <w:rFonts w:hint="eastAsia" w:ascii="宋体" w:hAnsi="宋体" w:cs="宋体"/>
          <w:spacing w:val="1"/>
          <w:sz w:val="24"/>
          <w:szCs w:val="24"/>
        </w:rPr>
        <w:t>年1</w:t>
      </w:r>
      <w:r>
        <w:rPr>
          <w:rFonts w:ascii="宋体" w:hAnsi="宋体" w:cs="宋体"/>
          <w:spacing w:val="1"/>
          <w:sz w:val="24"/>
          <w:szCs w:val="24"/>
        </w:rPr>
        <w:t>2</w:t>
      </w:r>
      <w:r>
        <w:rPr>
          <w:rFonts w:hint="eastAsia" w:ascii="宋体" w:hAnsi="宋体" w:cs="宋体"/>
          <w:spacing w:val="1"/>
          <w:sz w:val="24"/>
          <w:szCs w:val="24"/>
        </w:rPr>
        <w:t>月</w:t>
      </w:r>
      <w:r>
        <w:rPr>
          <w:rFonts w:ascii="宋体" w:hAnsi="宋体" w:cs="宋体"/>
          <w:spacing w:val="1"/>
          <w:sz w:val="24"/>
          <w:szCs w:val="24"/>
        </w:rPr>
        <w:t>9</w:t>
      </w:r>
      <w:r>
        <w:rPr>
          <w:rFonts w:hint="eastAsia" w:ascii="宋体" w:hAnsi="宋体" w:cs="宋体"/>
          <w:spacing w:val="1"/>
          <w:sz w:val="24"/>
          <w:szCs w:val="24"/>
        </w:rPr>
        <w:t>日</w:t>
      </w:r>
      <w:r>
        <w:rPr>
          <w:rFonts w:hint="default" w:ascii="宋体" w:hAnsi="宋体" w:cs="宋体"/>
          <w:spacing w:val="1"/>
          <w:sz w:val="24"/>
          <w:szCs w:val="24"/>
          <w:lang w:val="en-US"/>
        </w:rPr>
        <w:t>，公司</w:t>
      </w:r>
      <w:r>
        <w:rPr>
          <w:rFonts w:hint="eastAsia" w:ascii="宋体" w:hAnsi="宋体" w:cs="宋体"/>
          <w:spacing w:val="1"/>
          <w:sz w:val="24"/>
          <w:szCs w:val="24"/>
        </w:rPr>
        <w:t>召开了第四届董事会第十五次会议和第四届监事会第十四次会</w:t>
      </w:r>
      <w:r>
        <w:rPr>
          <w:rFonts w:hint="eastAsia" w:ascii="宋体" w:hAnsi="宋体"/>
          <w:sz w:val="24"/>
          <w:szCs w:val="24"/>
        </w:rPr>
        <w:t>议审议通过了《关于首次公开发行股票募投项目结项并将节余募集资金永久补流及注销募集资金专户的议案》，根据议案内容，公司已于近期将智控设备及金属制品智能工厂建设项目（一期）</w:t>
      </w:r>
      <w:r>
        <w:rPr>
          <w:rFonts w:hint="eastAsia" w:ascii="宋体" w:hAnsi="宋体"/>
          <w:sz w:val="24"/>
          <w:szCs w:val="24"/>
          <w:lang w:eastAsia="zh-CN"/>
        </w:rPr>
        <w:t>（</w:t>
      </w:r>
      <w:r>
        <w:rPr>
          <w:rFonts w:hint="eastAsia" w:ascii="宋体" w:hAnsi="宋体"/>
          <w:sz w:val="24"/>
          <w:szCs w:val="24"/>
          <w:lang w:val="en-US" w:eastAsia="zh-CN"/>
        </w:rPr>
        <w:t>以下简称“智控项目”</w:t>
      </w:r>
      <w:r>
        <w:rPr>
          <w:rFonts w:hint="eastAsia" w:ascii="宋体" w:hAnsi="宋体"/>
          <w:sz w:val="24"/>
          <w:szCs w:val="24"/>
          <w:lang w:eastAsia="zh-CN"/>
        </w:rPr>
        <w:t>）</w:t>
      </w:r>
      <w:r>
        <w:rPr>
          <w:rFonts w:hint="eastAsia" w:ascii="宋体" w:hAnsi="宋体"/>
          <w:sz w:val="24"/>
          <w:szCs w:val="24"/>
        </w:rPr>
        <w:t>进行了结项，并将上述项目</w:t>
      </w:r>
      <w:r>
        <w:rPr>
          <w:rFonts w:hint="default" w:ascii="宋体" w:hAnsi="宋体"/>
          <w:sz w:val="24"/>
          <w:szCs w:val="24"/>
          <w:lang w:val="en-US"/>
        </w:rPr>
        <w:t>截至2025</w:t>
      </w:r>
      <w:r>
        <w:rPr>
          <w:rFonts w:hint="eastAsia" w:ascii="宋体" w:hAnsi="宋体"/>
          <w:sz w:val="24"/>
          <w:szCs w:val="24"/>
          <w:lang w:val="en-US" w:eastAsia="zh-CN"/>
        </w:rPr>
        <w:t>年12月31日的</w:t>
      </w:r>
      <w:r>
        <w:rPr>
          <w:rFonts w:hint="eastAsia" w:ascii="宋体" w:hAnsi="宋体"/>
          <w:sz w:val="24"/>
          <w:szCs w:val="24"/>
        </w:rPr>
        <w:t>结余资金</w:t>
      </w:r>
      <w:r>
        <w:rPr>
          <w:rFonts w:hint="eastAsia" w:ascii="宋体" w:hAnsi="宋体"/>
          <w:sz w:val="24"/>
          <w:szCs w:val="24"/>
          <w:lang w:val="en-US" w:eastAsia="zh-CN"/>
        </w:rPr>
        <w:t>4,669.31万元人民币</w:t>
      </w:r>
      <w:r>
        <w:rPr>
          <w:rFonts w:hint="eastAsia" w:ascii="宋体" w:hAnsi="宋体"/>
          <w:sz w:val="24"/>
          <w:szCs w:val="24"/>
        </w:rPr>
        <w:t>转入</w:t>
      </w:r>
      <w:r>
        <w:rPr>
          <w:rFonts w:hint="eastAsia" w:ascii="宋体" w:hAnsi="宋体"/>
          <w:sz w:val="24"/>
          <w:szCs w:val="24"/>
          <w:lang w:eastAsia="zh-CN"/>
        </w:rPr>
        <w:t>了</w:t>
      </w:r>
      <w:r>
        <w:rPr>
          <w:rFonts w:hint="eastAsia" w:ascii="宋体" w:hAnsi="宋体"/>
          <w:sz w:val="24"/>
          <w:szCs w:val="24"/>
          <w:lang w:val="en-US" w:eastAsia="zh-CN"/>
        </w:rPr>
        <w:t>公司自有资金账户</w:t>
      </w:r>
      <w:r>
        <w:rPr>
          <w:rFonts w:hint="eastAsia" w:ascii="宋体" w:hAnsi="宋体"/>
          <w:sz w:val="24"/>
          <w:szCs w:val="24"/>
        </w:rPr>
        <w:t>。</w:t>
      </w:r>
    </w:p>
    <w:p w14:paraId="2A5576D7">
      <w:pPr>
        <w:spacing w:before="160" w:line="366" w:lineRule="auto"/>
        <w:ind w:left="132" w:right="115" w:firstLine="472"/>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截至本公告披露之日，公司已将智控项目资金专户哈尔滨银行股份有限公司重庆分行进行了注销。注销后公司与该行及保荐代表人签署的募集资金监管协议相应终止。</w:t>
      </w:r>
      <w:bookmarkStart w:id="0" w:name="_GoBack"/>
      <w:bookmarkEnd w:id="0"/>
    </w:p>
    <w:p w14:paraId="467D128F">
      <w:pPr>
        <w:tabs>
          <w:tab w:val="center" w:pos="4568"/>
        </w:tabs>
        <w:spacing w:before="78" w:line="218" w:lineRule="auto"/>
        <w:ind w:left="602"/>
        <w:rPr>
          <w:rFonts w:ascii="宋体" w:hAnsi="宋体" w:cs="宋体"/>
          <w:sz w:val="24"/>
          <w:szCs w:val="24"/>
        </w:rPr>
      </w:pPr>
      <w:r>
        <w:rPr>
          <w:rFonts w:ascii="宋体" w:hAnsi="宋体" w:cs="宋体"/>
          <w:spacing w:val="-8"/>
          <w:sz w:val="24"/>
          <w:szCs w:val="24"/>
        </w:rPr>
        <w:t>特</w:t>
      </w:r>
      <w:r>
        <w:rPr>
          <w:rFonts w:ascii="宋体" w:hAnsi="宋体" w:cs="宋体"/>
          <w:spacing w:val="-7"/>
          <w:sz w:val="24"/>
          <w:szCs w:val="24"/>
        </w:rPr>
        <w:t>此公告。</w:t>
      </w:r>
      <w:r>
        <w:rPr>
          <w:rFonts w:ascii="宋体" w:hAnsi="宋体" w:cs="宋体"/>
          <w:spacing w:val="-7"/>
          <w:sz w:val="24"/>
          <w:szCs w:val="24"/>
        </w:rPr>
        <w:tab/>
      </w:r>
    </w:p>
    <w:p w14:paraId="761C2EC3">
      <w:pPr>
        <w:spacing w:line="258" w:lineRule="auto"/>
      </w:pPr>
    </w:p>
    <w:p w14:paraId="73C7E330">
      <w:pPr>
        <w:spacing w:line="259" w:lineRule="auto"/>
      </w:pPr>
    </w:p>
    <w:p w14:paraId="3A760007">
      <w:pPr>
        <w:spacing w:line="259" w:lineRule="auto"/>
      </w:pPr>
    </w:p>
    <w:p w14:paraId="292F2DA0">
      <w:pPr>
        <w:spacing w:line="259" w:lineRule="auto"/>
      </w:pPr>
    </w:p>
    <w:p w14:paraId="1FCADE5A">
      <w:pPr>
        <w:spacing w:before="78" w:line="369" w:lineRule="auto"/>
        <w:ind w:right="112"/>
        <w:jc w:val="right"/>
        <w:rPr>
          <w:rFonts w:ascii="宋体" w:hAnsi="宋体" w:cs="宋体"/>
          <w:sz w:val="24"/>
          <w:szCs w:val="24"/>
        </w:rPr>
      </w:pPr>
      <w:r>
        <w:rPr>
          <w:rFonts w:hint="eastAsia" w:ascii="宋体" w:hAnsi="宋体" w:cs="宋体"/>
          <w:spacing w:val="-1"/>
          <w:sz w:val="24"/>
          <w:szCs w:val="24"/>
        </w:rPr>
        <w:t>重庆望变电气（集团）</w:t>
      </w:r>
      <w:r>
        <w:rPr>
          <w:rFonts w:ascii="宋体" w:hAnsi="宋体" w:cs="宋体"/>
          <w:spacing w:val="-1"/>
          <w:sz w:val="24"/>
          <w:szCs w:val="24"/>
        </w:rPr>
        <w:t>股份有限公司</w:t>
      </w:r>
      <w:r>
        <w:rPr>
          <w:rFonts w:ascii="宋体" w:hAnsi="宋体" w:cs="宋体"/>
          <w:sz w:val="24"/>
          <w:szCs w:val="24"/>
        </w:rPr>
        <w:t>董事会</w:t>
      </w:r>
    </w:p>
    <w:p w14:paraId="1D61108A">
      <w:pPr>
        <w:spacing w:before="160" w:line="366" w:lineRule="auto"/>
        <w:ind w:left="132" w:right="115" w:firstLine="472"/>
        <w:jc w:val="right"/>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2026年1月1日</w:t>
      </w:r>
    </w:p>
    <w:sectPr>
      <w:pgSz w:w="11907" w:h="16839"/>
      <w:pgMar w:top="1440" w:right="1800" w:bottom="1440" w:left="180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0FD0D"/>
    <w:multiLevelType w:val="singleLevel"/>
    <w:tmpl w:val="D8D0FD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172A27"/>
    <w:rsid w:val="00172A27"/>
    <w:rsid w:val="00180BD5"/>
    <w:rsid w:val="001D2465"/>
    <w:rsid w:val="001D7814"/>
    <w:rsid w:val="00261463"/>
    <w:rsid w:val="002B0B55"/>
    <w:rsid w:val="002B27D3"/>
    <w:rsid w:val="002F79FA"/>
    <w:rsid w:val="003235CA"/>
    <w:rsid w:val="004D7B68"/>
    <w:rsid w:val="005444CD"/>
    <w:rsid w:val="005D15DA"/>
    <w:rsid w:val="005E44BB"/>
    <w:rsid w:val="00662653"/>
    <w:rsid w:val="00693469"/>
    <w:rsid w:val="006D7375"/>
    <w:rsid w:val="007D526D"/>
    <w:rsid w:val="008212DB"/>
    <w:rsid w:val="008A6FAA"/>
    <w:rsid w:val="008C533F"/>
    <w:rsid w:val="008D1AF8"/>
    <w:rsid w:val="009937DC"/>
    <w:rsid w:val="009D0725"/>
    <w:rsid w:val="00BD2023"/>
    <w:rsid w:val="00C0533F"/>
    <w:rsid w:val="00C12339"/>
    <w:rsid w:val="00CC1258"/>
    <w:rsid w:val="00CD7485"/>
    <w:rsid w:val="00D35B3A"/>
    <w:rsid w:val="00D66B14"/>
    <w:rsid w:val="00E45A81"/>
    <w:rsid w:val="00FA1481"/>
    <w:rsid w:val="01D57BD1"/>
    <w:rsid w:val="04E929DB"/>
    <w:rsid w:val="08D80E2E"/>
    <w:rsid w:val="0E975838"/>
    <w:rsid w:val="0FDF7EE3"/>
    <w:rsid w:val="1C900FFB"/>
    <w:rsid w:val="1E991870"/>
    <w:rsid w:val="294A5E46"/>
    <w:rsid w:val="2EF26AB2"/>
    <w:rsid w:val="3C5045F8"/>
    <w:rsid w:val="5075114E"/>
    <w:rsid w:val="5AE74606"/>
    <w:rsid w:val="5C5D127E"/>
    <w:rsid w:val="5CA37379"/>
    <w:rsid w:val="63306094"/>
    <w:rsid w:val="65C17E3A"/>
    <w:rsid w:val="6838670D"/>
    <w:rsid w:val="695C44AA"/>
    <w:rsid w:val="6C32242C"/>
    <w:rsid w:val="766F6899"/>
    <w:rsid w:val="77292904"/>
    <w:rsid w:val="7A8E3135"/>
    <w:rsid w:val="7B96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Balloon Text"/>
    <w:basedOn w:val="1"/>
    <w:link w:val="15"/>
    <w:qFormat/>
    <w:uiPriority w:val="0"/>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Default"/>
    <w:unhideWhenUsed/>
    <w:qFormat/>
    <w:uiPriority w:val="0"/>
    <w:pPr>
      <w:widowControl w:val="0"/>
      <w:autoSpaceDE w:val="0"/>
      <w:autoSpaceDN w:val="0"/>
      <w:adjustRightInd w:val="0"/>
    </w:pPr>
    <w:rPr>
      <w:rFonts w:hint="eastAsia" w:ascii="宋体" w:hAnsi="Calibri" w:eastAsia="宋体" w:cs="宋体"/>
      <w:color w:val="000000"/>
      <w:sz w:val="24"/>
      <w:szCs w:val="24"/>
      <w:lang w:val="en-US" w:eastAsia="zh-CN" w:bidi="ar-SA"/>
    </w:rPr>
  </w:style>
  <w:style w:type="paragraph" w:customStyle="1" w:styleId="12">
    <w:name w:val="修订1"/>
    <w:hidden/>
    <w:unhideWhenUsed/>
    <w:qFormat/>
    <w:uiPriority w:val="99"/>
    <w:rPr>
      <w:rFonts w:ascii="Arial" w:hAnsi="Arial" w:eastAsia="Arial" w:cs="Arial"/>
      <w:snapToGrid w:val="0"/>
      <w:color w:val="000000"/>
      <w:sz w:val="21"/>
      <w:szCs w:val="21"/>
      <w:lang w:val="en-US" w:eastAsia="zh-CN" w:bidi="ar-SA"/>
    </w:rPr>
  </w:style>
  <w:style w:type="character" w:customStyle="1" w:styleId="13">
    <w:name w:val="批注文字 字符"/>
    <w:basedOn w:val="8"/>
    <w:link w:val="2"/>
    <w:qFormat/>
    <w:uiPriority w:val="0"/>
    <w:rPr>
      <w:rFonts w:eastAsia="Arial"/>
      <w:snapToGrid w:val="0"/>
      <w:color w:val="000000"/>
      <w:sz w:val="21"/>
      <w:szCs w:val="21"/>
    </w:rPr>
  </w:style>
  <w:style w:type="character" w:customStyle="1" w:styleId="14">
    <w:name w:val="批注主题 字符"/>
    <w:basedOn w:val="13"/>
    <w:link w:val="6"/>
    <w:qFormat/>
    <w:uiPriority w:val="0"/>
    <w:rPr>
      <w:rFonts w:eastAsia="Arial"/>
      <w:b/>
      <w:bCs/>
      <w:snapToGrid w:val="0"/>
      <w:color w:val="000000"/>
      <w:sz w:val="21"/>
      <w:szCs w:val="21"/>
    </w:rPr>
  </w:style>
  <w:style w:type="character" w:customStyle="1" w:styleId="15">
    <w:name w:val="批注框文本 字符"/>
    <w:basedOn w:val="8"/>
    <w:link w:val="3"/>
    <w:qFormat/>
    <w:uiPriority w:val="0"/>
    <w:rPr>
      <w:rFonts w:eastAsia="Arial"/>
      <w:snapToGrid w:val="0"/>
      <w:color w:val="000000"/>
      <w:sz w:val="18"/>
      <w:szCs w:val="18"/>
    </w:rPr>
  </w:style>
  <w:style w:type="character" w:customStyle="1" w:styleId="16">
    <w:name w:val="页眉 字符"/>
    <w:basedOn w:val="8"/>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89de8143-5b77-4afd-95bb-1165b6c593e7</errorID>
      <errorWord>及</errorWord>
      <group>L1_AI</group>
      <groupName>深度校对</groupName>
      <ability>L2_AI_Word</ability>
      <abilityName>字词纠错</abilityName>
      <candidateList>
        <item>和</item>
      </candidateList>
      <explain/>
      <paraID> 7212D3E</paraID>
      <start>28</start>
      <end>29</end>
      <status>unmodified</status>
      <modifiedWord/>
      <trackRevisions>false</trackRevisions>
    </reviewItem>
    <reviewItem>
      <errorID>e50d5356-e5d1-4697-8a94-d18ab70f11a8</errorID>
      <errorWord>[2022]490号</errorWord>
      <group>L1_Knowledge</group>
      <groupName>知识性问题</groupName>
      <ability>L2_Knowledge</ability>
      <abilityName>其他知识</abilityName>
      <candidateList>
        <item>〔2022〕490号</item>
      </candidateList>
      <explain>发文字号格式错误。</explain>
      <paraID>2002EC2A</paraID>
      <start>49</start>
      <end>59</end>
      <status>unmodified</status>
      <modifiedWord/>
      <trackRevisions>false</trackRevisions>
    </reviewItem>
    <reviewItem>
      <errorID>9da1ab47-7f70-452c-9812-11c85deb7b76</errorID>
      <errorWord>[2022]</errorWord>
      <group>L1_Punc</group>
      <groupName>标点问题</groupName>
      <ability>L2_Punc</ability>
      <abilityName>标点符号检查</abilityName>
      <candidateList>
        <item>〔2022〕</item>
      </candidateList>
      <explain/>
      <paraID>2002EC2A</paraID>
      <start>213</start>
      <end>219</end>
      <status>unmodified</status>
      <modifiedWord/>
      <trackRevisions>false</trackRevisions>
    </reviewItem>
    <reviewItem>
      <errorID>3fd43450-a0f4-4dc4-8970-320e7e88f33c</errorID>
      <errorWord>业经</errorWord>
      <group>L1_Word</group>
      <groupName>字词问题</groupName>
      <ability>L2_Typo</ability>
      <abilityName>字词错误</abilityName>
      <candidateList>
        <item>经</item>
      </candidateList>
      <explain/>
      <paraID>2DCD03D5</paraID>
      <start>186</start>
      <end>188</end>
      <status>unmodified</status>
      <modifiedWord/>
      <trackRevisions>false</trackRevisions>
    </reviewItem>
    <reviewItem>
      <errorID>f38f60b3-3029-4032-ac6f-8cd5cf886584</errorID>
      <errorWord>股东大会</errorWord>
      <group>L1_Word</group>
      <groupName>字词问题</groupName>
      <ability>L2_Typo</ability>
      <abilityName>字词错误</abilityName>
      <candidateList>
        <item>股东会</item>
      </candidateList>
      <explain/>
      <paraID>2DCD03D5</paraID>
      <start>201</start>
      <end>205</end>
      <status>unmodified</status>
      <modifiedWord/>
      <trackRevisions>false</trackRevisions>
    </reviewItem>
    <reviewItem>
      <errorID>9ae0fda0-2681-4b52-94e7-79e584608a9d</errorID>
      <errorWord>公司</errorWord>
      <group>L1_AI</group>
      <groupName>深度校对</groupName>
      <ability>L2_AI_Punc</ability>
      <abilityName>标点纠错</abilityName>
      <candidateList>
        <item>，公司</item>
      </candidateList>
      <explain/>
      <paraID>254E3701</paraID>
      <start>10</start>
      <end>13</end>
      <status>modified</status>
      <modifiedWord>，公司</modifiedWord>
      <trackRevisions>false</trackRevisions>
    </reviewItem>
    <reviewItem>
      <errorID>4f96fff9-c071-45f7-a813-4d39b019443e</errorID>
      <errorWord>审议</errorWord>
      <group>L1_AI</group>
      <groupName>深度校对</groupName>
      <ability>L2_AI_Punc</ability>
      <abilityName>标点纠错</abilityName>
      <candidateList>
        <item>，审议</item>
      </candidateList>
      <explain/>
      <paraID>254E3701</paraID>
      <start>41</start>
      <end>43</end>
      <status>unmodified</status>
      <modifiedWord/>
      <trackRevisions>false</trackRevisions>
    </reviewItem>
    <reviewItem>
      <errorID>cee4e5bd-dbbb-4f6f-b60e-bc5bd706d9c2</errorID>
      <errorWord>截止2025</errorWord>
      <group>L1_Word</group>
      <groupName>字词问题</groupName>
      <ability>L2_Typo</ability>
      <abilityName>字词错误</abilityName>
      <candidateList>
        <item>截至2025</item>
      </candidateList>
      <explain/>
      <paraID>254E3701</paraID>
      <start>148</start>
      <end>154</end>
      <status>modified</status>
      <modifiedWord>截至2025</modifiedWord>
      <trackRevisions>false</trackRevisions>
    </reviewItem>
  </reviewItems>
  <config/>
</contractReview>
</file>

<file path=customXml/itemProps1.xml><?xml version="1.0" encoding="utf-8"?>
<ds:datastoreItem xmlns:ds="http://schemas.openxmlformats.org/officeDocument/2006/customXml" ds:itemID="{d12b44c1-07c9-4e07-9c93-8132ed36e99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1662</Words>
  <Characters>1901</Characters>
  <Lines>14</Lines>
  <Paragraphs>3</Paragraphs>
  <TotalTime>6</TotalTime>
  <ScaleCrop>false</ScaleCrop>
  <LinksUpToDate>false</LinksUpToDate>
  <CharactersWithSpaces>1920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2025-12-31T03:56:00Z</dcterms:created>
  <dc:creator>微软用户</dc:creator>
  <cp:lastModifiedBy>雯亦</cp:lastModifiedBy>
  <dcterms:modified xsi:type="dcterms:W3CDTF">2025-12-31T08:04:49Z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2023-06-05T13:51:38Z</vt:filetime>
  </property>
  <property fmtid="{D5CDD505-2E9C-101B-9397-08002B2CF9AE}" pid="4" name="KSOProductBuildVer">
    <vt:lpwstr>2052-12.1.0.24034</vt:lpwstr>
  </property>
  <property fmtid="{D5CDD505-2E9C-101B-9397-08002B2CF9AE}" pid="5" name="ICV">
    <vt:lpwstr>24A7ECD461484248A3FE2181C989327C_13</vt:lpwstr>
  </property>
  <property fmtid="{D5CDD505-2E9C-101B-9397-08002B2CF9AE}" pid="6" name="KSOTemplateDocerSaveRecord">
    <vt:lpwstr>eyJoZGlkIjoiZTQzZmRmZDMxMjkwMDE2NTk0ZWQ1ZWYwMzRmYjVhNmUiLCJ1c2VySWQiOiI2NDQwNzQxNTQifQ==</vt:lpwstr>
  </property>
</Properties>
</file>