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C35F8">
      <w:pPr>
        <w:rPr>
          <w:rFonts w:hint="eastAsia" w:asciiTheme="minorEastAsia" w:hAnsiTheme="minorEastAsia"/>
          <w:bCs/>
          <w:sz w:val="24"/>
          <w:szCs w:val="24"/>
        </w:rPr>
      </w:pPr>
      <w:r>
        <w:rPr>
          <w:rFonts w:hint="eastAsia" w:asciiTheme="minorEastAsia" w:hAnsiTheme="minorEastAsia"/>
          <w:bCs/>
          <w:sz w:val="24"/>
          <w:szCs w:val="24"/>
        </w:rPr>
        <w:t>证券代码：</w:t>
      </w:r>
      <w:sdt>
        <w:sdtPr>
          <w:rPr>
            <w:rFonts w:hint="eastAsia" w:asciiTheme="minorEastAsia" w:hAnsiTheme="minorEastAsia"/>
            <w:bCs/>
            <w:sz w:val="24"/>
            <w:szCs w:val="24"/>
          </w:rPr>
          <w:alias w:val="公司代码"/>
          <w:tag w:val="_GBC_62ef04c8e14e4c76b304f7775b7d8722"/>
          <w:id w:val="-1"/>
          <w:lock w:val="sdtLocked"/>
          <w:placeholder>
            <w:docPart w:val="GBC22222222222222222222222222222"/>
          </w:placeholder>
        </w:sdtPr>
        <w:sdtEndPr>
          <w:rPr>
            <w:rFonts w:hint="eastAsia" w:asciiTheme="minorEastAsia" w:hAnsiTheme="minorEastAsia"/>
            <w:bCs/>
            <w:sz w:val="24"/>
            <w:szCs w:val="24"/>
          </w:rPr>
        </w:sdtEndPr>
        <w:sdtContent>
          <w:r>
            <w:rPr>
              <w:rFonts w:asciiTheme="minorEastAsia" w:hAnsiTheme="minorEastAsia"/>
              <w:bCs/>
              <w:sz w:val="24"/>
              <w:szCs w:val="24"/>
            </w:rPr>
            <w:t>603191</w:t>
          </w:r>
        </w:sdtContent>
      </w:sdt>
      <w:r>
        <w:rPr>
          <w:rFonts w:hint="eastAsia" w:asciiTheme="minorEastAsia" w:hAnsiTheme="minorEastAsia"/>
          <w:bCs/>
          <w:sz w:val="24"/>
          <w:szCs w:val="24"/>
        </w:rPr>
        <w:t xml:space="preserve">   </w:t>
      </w:r>
      <w:r>
        <w:rPr>
          <w:rFonts w:asciiTheme="minorEastAsia" w:hAnsiTheme="minorEastAsia"/>
          <w:bCs/>
          <w:sz w:val="24"/>
          <w:szCs w:val="24"/>
        </w:rPr>
        <w:t xml:space="preserve">    </w:t>
      </w:r>
      <w:r>
        <w:rPr>
          <w:rFonts w:hint="eastAsia" w:asciiTheme="minorEastAsia" w:hAnsiTheme="minorEastAsia"/>
          <w:bCs/>
          <w:sz w:val="24"/>
          <w:szCs w:val="24"/>
        </w:rPr>
        <w:t>证券简称：</w:t>
      </w:r>
      <w:sdt>
        <w:sdtPr>
          <w:rPr>
            <w:rFonts w:hint="eastAsia" w:asciiTheme="minorEastAsia" w:hAnsiTheme="minorEastAsia"/>
            <w:bCs/>
            <w:sz w:val="24"/>
            <w:szCs w:val="24"/>
          </w:rPr>
          <w:alias w:val="公司简称"/>
          <w:tag w:val="_GBC_81c31f6c68a741c1acb30ff1595bc381"/>
          <w:id w:val="273114740"/>
          <w:lock w:val="sdtLocked"/>
          <w:placeholder>
            <w:docPart w:val="GBC22222222222222222222222222222"/>
          </w:placeholder>
        </w:sdtPr>
        <w:sdtEndPr>
          <w:rPr>
            <w:rFonts w:hint="eastAsia" w:asciiTheme="minorEastAsia" w:hAnsiTheme="minorEastAsia"/>
            <w:bCs/>
            <w:sz w:val="24"/>
            <w:szCs w:val="24"/>
          </w:rPr>
        </w:sdtEndPr>
        <w:sdtContent>
          <w:r>
            <w:rPr>
              <w:rFonts w:hint="eastAsia" w:asciiTheme="minorEastAsia" w:hAnsiTheme="minorEastAsia"/>
              <w:bCs/>
              <w:sz w:val="24"/>
              <w:szCs w:val="24"/>
            </w:rPr>
            <w:t>望变电气</w:t>
          </w:r>
        </w:sdtContent>
      </w:sdt>
      <w:r>
        <w:rPr>
          <w:rFonts w:hint="eastAsia" w:asciiTheme="minorEastAsia" w:hAnsiTheme="minorEastAsia"/>
          <w:bCs/>
          <w:sz w:val="24"/>
          <w:szCs w:val="24"/>
        </w:rPr>
        <w:t xml:space="preserve">   </w:t>
      </w:r>
      <w:r>
        <w:rPr>
          <w:rFonts w:asciiTheme="minorEastAsia" w:hAnsiTheme="minorEastAsia"/>
          <w:bCs/>
          <w:sz w:val="24"/>
          <w:szCs w:val="24"/>
        </w:rPr>
        <w:t xml:space="preserve">     </w:t>
      </w:r>
      <w:r>
        <w:rPr>
          <w:rFonts w:hint="eastAsia" w:asciiTheme="minorEastAsia" w:hAnsiTheme="minorEastAsia"/>
          <w:bCs/>
          <w:sz w:val="24"/>
          <w:szCs w:val="24"/>
        </w:rPr>
        <w:t>公告编号：</w:t>
      </w:r>
      <w:sdt>
        <w:sdtPr>
          <w:rPr>
            <w:rFonts w:hint="eastAsia" w:asciiTheme="minorEastAsia" w:hAnsiTheme="minorEastAsia"/>
            <w:bCs/>
            <w:sz w:val="24"/>
            <w:szCs w:val="24"/>
          </w:rPr>
          <w:alias w:val="临时公告编号"/>
          <w:tag w:val="_GBC_51438e46cb944a2bb6b9cb5e9d53d512"/>
          <w:id w:val="1376890213"/>
          <w:lock w:val="sdtLocked"/>
          <w:placeholder>
            <w:docPart w:val="GBC22222222222222222222222222222"/>
          </w:placeholder>
        </w:sdtPr>
        <w:sdtEndPr>
          <w:rPr>
            <w:rFonts w:hint="default" w:asciiTheme="minorEastAsia" w:hAnsiTheme="minorEastAsia"/>
            <w:bCs/>
            <w:sz w:val="24"/>
            <w:szCs w:val="24"/>
          </w:rPr>
        </w:sdtEndPr>
        <w:sdtContent>
          <w:r>
            <w:rPr>
              <w:rFonts w:hint="eastAsia" w:asciiTheme="minorEastAsia" w:hAnsiTheme="minorEastAsia"/>
              <w:bCs/>
              <w:sz w:val="24"/>
              <w:szCs w:val="24"/>
            </w:rPr>
            <w:t>2026-001</w:t>
          </w:r>
        </w:sdtContent>
      </w:sdt>
    </w:p>
    <w:p w14:paraId="587F7689">
      <w:pPr>
        <w:jc w:val="right"/>
        <w:rPr>
          <w:rFonts w:hint="eastAsia" w:asciiTheme="minorEastAsia" w:hAnsiTheme="minorEastAsia"/>
          <w:b/>
          <w:sz w:val="24"/>
          <w:szCs w:val="24"/>
        </w:rPr>
      </w:pPr>
    </w:p>
    <w:p w14:paraId="5680CDEA">
      <w:pPr>
        <w:jc w:val="right"/>
        <w:rPr>
          <w:rFonts w:hint="eastAsia" w:asciiTheme="minorEastAsia" w:hAnsiTheme="minorEastAsia"/>
          <w:b/>
          <w:sz w:val="24"/>
          <w:szCs w:val="24"/>
        </w:rPr>
      </w:pPr>
    </w:p>
    <w:p w14:paraId="16CA3FB6">
      <w:pPr>
        <w:adjustRightInd w:val="0"/>
        <w:snapToGrid w:val="0"/>
        <w:spacing w:line="360" w:lineRule="auto"/>
        <w:jc w:val="center"/>
        <w:rPr>
          <w:rFonts w:hint="eastAsia" w:ascii="黑体" w:hAnsi="黑体" w:eastAsia="黑体"/>
          <w:b/>
          <w:color w:val="FF0000"/>
          <w:sz w:val="36"/>
          <w:szCs w:val="24"/>
        </w:rPr>
      </w:pPr>
      <w:r>
        <w:rPr>
          <w:rFonts w:hint="eastAsia" w:ascii="黑体" w:hAnsi="黑体" w:eastAsia="黑体"/>
          <w:b/>
          <w:color w:val="FF0000"/>
          <w:sz w:val="36"/>
          <w:szCs w:val="24"/>
        </w:rPr>
        <w:t>重庆望变电气（集团）股份有限公司</w:t>
      </w:r>
    </w:p>
    <w:p w14:paraId="490E0E67">
      <w:pPr>
        <w:adjustRightInd w:val="0"/>
        <w:snapToGrid w:val="0"/>
        <w:spacing w:line="360" w:lineRule="auto"/>
        <w:jc w:val="center"/>
        <w:rPr>
          <w:rFonts w:hint="eastAsia" w:ascii="黑体" w:hAnsi="黑体" w:eastAsia="黑体"/>
          <w:b/>
          <w:color w:val="FF0000"/>
          <w:sz w:val="36"/>
          <w:szCs w:val="24"/>
        </w:rPr>
      </w:pPr>
      <w:r>
        <w:rPr>
          <w:rFonts w:hint="eastAsia" w:ascii="黑体" w:hAnsi="黑体" w:eastAsia="黑体"/>
          <w:b/>
          <w:color w:val="FF0000"/>
          <w:sz w:val="36"/>
          <w:szCs w:val="24"/>
        </w:rPr>
        <w:t>2025年</w:t>
      </w:r>
      <w:r>
        <w:rPr>
          <w:rFonts w:ascii="黑体" w:hAnsi="黑体" w:eastAsia="黑体"/>
          <w:b/>
          <w:color w:val="FF0000"/>
          <w:sz w:val="36"/>
          <w:szCs w:val="24"/>
        </w:rPr>
        <w:t>12</w:t>
      </w:r>
      <w:r>
        <w:rPr>
          <w:rFonts w:hint="eastAsia" w:ascii="黑体" w:hAnsi="黑体" w:eastAsia="黑体"/>
          <w:b/>
          <w:color w:val="FF0000"/>
          <w:sz w:val="36"/>
          <w:szCs w:val="24"/>
        </w:rPr>
        <w:t>月对子公司提供担保的进展公告</w:t>
      </w:r>
    </w:p>
    <w:p w14:paraId="1FE22859">
      <w:pPr>
        <w:pBdr>
          <w:top w:val="single" w:color="auto" w:sz="4" w:space="4"/>
          <w:left w:val="single" w:color="auto" w:sz="4" w:space="3"/>
          <w:bottom w:val="single" w:color="auto" w:sz="4" w:space="1"/>
          <w:right w:val="single" w:color="auto" w:sz="4" w:space="4"/>
        </w:pBdr>
        <w:adjustRightInd w:val="0"/>
        <w:snapToGrid w:val="0"/>
        <w:spacing w:line="360" w:lineRule="auto"/>
        <w:ind w:firstLine="480" w:firstLineChars="200"/>
        <w:rPr>
          <w:rFonts w:hint="eastAsia" w:asciiTheme="minorEastAsia" w:hAnsiTheme="minorEastAsia"/>
          <w:color w:val="000000"/>
          <w:sz w:val="24"/>
          <w:szCs w:val="24"/>
        </w:rPr>
      </w:pPr>
      <w:r>
        <w:rPr>
          <w:rFonts w:hint="eastAsia" w:asciiTheme="minorEastAsia" w:hAnsiTheme="minorEastAsia"/>
          <w:color w:val="000000"/>
          <w:sz w:val="24"/>
          <w:szCs w:val="24"/>
        </w:rPr>
        <w:t>本公司董事会及全体董事保证本公告内容不存在任何虚假记载、误导性陈述或者重大遗漏，并对其内容的真实性、准确性和完整性承担法律责任。</w:t>
      </w:r>
    </w:p>
    <w:p w14:paraId="4232B147">
      <w:pPr>
        <w:widowControl/>
        <w:adjustRightInd w:val="0"/>
        <w:snapToGrid w:val="0"/>
        <w:spacing w:line="560" w:lineRule="exact"/>
        <w:ind w:firstLine="600"/>
        <w:jc w:val="right"/>
        <w:rPr>
          <w:rFonts w:hint="eastAsia" w:cs="仿宋_GB2312" w:asciiTheme="minorEastAsia" w:hAnsiTheme="minorEastAsia"/>
          <w:sz w:val="24"/>
          <w:szCs w:val="24"/>
        </w:rPr>
      </w:pPr>
    </w:p>
    <w:p w14:paraId="2DC7CD8E">
      <w:pPr>
        <w:widowControl/>
        <w:adjustRightInd w:val="0"/>
        <w:snapToGrid w:val="0"/>
        <w:spacing w:line="560" w:lineRule="exact"/>
        <w:jc w:val="left"/>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重要内容提示：</w:t>
      </w:r>
    </w:p>
    <w:p w14:paraId="6525957A">
      <w:pPr>
        <w:widowControl/>
        <w:numPr>
          <w:ilvl w:val="0"/>
          <w:numId w:val="1"/>
        </w:numPr>
        <w:adjustRightInd w:val="0"/>
        <w:snapToGrid w:val="0"/>
        <w:spacing w:line="560" w:lineRule="exact"/>
        <w:ind w:left="0" w:firstLine="482" w:firstLineChars="200"/>
        <w:jc w:val="left"/>
        <w:rPr>
          <w:rFonts w:hint="eastAsia" w:asciiTheme="minorEastAsia" w:hAnsiTheme="minorEastAsia" w:cstheme="minorEastAsia"/>
          <w:b/>
          <w:bCs/>
          <w:sz w:val="24"/>
          <w:szCs w:val="24"/>
        </w:rPr>
      </w:pPr>
      <w:r>
        <w:rPr>
          <w:rFonts w:hint="eastAsia" w:asciiTheme="minorEastAsia" w:hAnsiTheme="minorEastAsia" w:cstheme="minorEastAsia"/>
          <w:b/>
          <w:bCs/>
          <w:sz w:val="24"/>
          <w:szCs w:val="24"/>
        </w:rPr>
        <w:t>担保对象及基本情况</w:t>
      </w:r>
    </w:p>
    <w:tbl>
      <w:tblPr>
        <w:tblStyle w:val="12"/>
        <w:tblW w:w="4991" w:type="pct"/>
        <w:tblInd w:w="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4"/>
        <w:gridCol w:w="3490"/>
        <w:gridCol w:w="3913"/>
      </w:tblGrid>
      <w:tr w14:paraId="5BD49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8" w:hRule="atLeast"/>
        </w:trPr>
        <w:tc>
          <w:tcPr>
            <w:tcW w:w="1075" w:type="dxa"/>
            <w:vMerge w:val="restart"/>
            <w:vAlign w:val="center"/>
          </w:tcPr>
          <w:p w14:paraId="6FDC8488">
            <w:pPr>
              <w:widowControl/>
              <w:adjustRightInd w:val="0"/>
              <w:snapToGrid w:val="0"/>
              <w:rPr>
                <w:rFonts w:hint="eastAsia" w:asciiTheme="minorEastAsia" w:hAnsiTheme="minorEastAsia" w:cstheme="minorEastAsia"/>
                <w:b/>
                <w:bCs/>
                <w:color w:val="000000"/>
                <w:kern w:val="0"/>
                <w:sz w:val="24"/>
                <w:szCs w:val="24"/>
              </w:rPr>
            </w:pPr>
            <w:bookmarkStart w:id="0" w:name="OLE_LINK11"/>
            <w:bookmarkStart w:id="1" w:name="OLE_LINK10"/>
            <w:r>
              <w:rPr>
                <w:rFonts w:hint="eastAsia" w:asciiTheme="minorEastAsia" w:hAnsiTheme="minorEastAsia" w:cstheme="minorEastAsia"/>
                <w:b/>
                <w:bCs/>
                <w:color w:val="000000"/>
                <w:kern w:val="0"/>
                <w:sz w:val="24"/>
                <w:szCs w:val="24"/>
              </w:rPr>
              <w:t xml:space="preserve">担 </w:t>
            </w:r>
            <w:r>
              <w:rPr>
                <w:rFonts w:asciiTheme="minorEastAsia" w:hAnsiTheme="minorEastAsia" w:cstheme="minorEastAsia"/>
                <w:b/>
                <w:bCs/>
                <w:color w:val="000000"/>
                <w:kern w:val="0"/>
                <w:sz w:val="24"/>
                <w:szCs w:val="24"/>
              </w:rPr>
              <w:t xml:space="preserve"> </w:t>
            </w:r>
            <w:r>
              <w:rPr>
                <w:rFonts w:hint="eastAsia" w:asciiTheme="minorEastAsia" w:hAnsiTheme="minorEastAsia" w:cstheme="minorEastAsia"/>
                <w:b/>
                <w:bCs/>
                <w:color w:val="000000"/>
                <w:kern w:val="0"/>
                <w:sz w:val="24"/>
                <w:szCs w:val="24"/>
              </w:rPr>
              <w:t>保</w:t>
            </w:r>
          </w:p>
          <w:p w14:paraId="6DE461CD">
            <w:pPr>
              <w:widowControl/>
              <w:adjustRightInd w:val="0"/>
              <w:snapToGrid w:val="0"/>
              <w:rPr>
                <w:rFonts w:hint="eastAsia"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 xml:space="preserve">对 </w:t>
            </w:r>
            <w:r>
              <w:rPr>
                <w:rFonts w:asciiTheme="minorEastAsia" w:hAnsiTheme="minorEastAsia" w:cstheme="minorEastAsia"/>
                <w:b/>
                <w:bCs/>
                <w:color w:val="000000"/>
                <w:kern w:val="0"/>
                <w:sz w:val="24"/>
                <w:szCs w:val="24"/>
              </w:rPr>
              <w:t xml:space="preserve"> </w:t>
            </w:r>
            <w:r>
              <w:rPr>
                <w:rFonts w:hint="eastAsia" w:asciiTheme="minorEastAsia" w:hAnsiTheme="minorEastAsia" w:cstheme="minorEastAsia"/>
                <w:b/>
                <w:bCs/>
                <w:color w:val="000000"/>
                <w:kern w:val="0"/>
                <w:sz w:val="24"/>
                <w:szCs w:val="24"/>
              </w:rPr>
              <w:t xml:space="preserve">象 </w:t>
            </w:r>
            <w:bookmarkEnd w:id="0"/>
            <w:bookmarkEnd w:id="1"/>
          </w:p>
        </w:tc>
        <w:tc>
          <w:tcPr>
            <w:tcW w:w="3397" w:type="dxa"/>
            <w:vAlign w:val="center"/>
          </w:tcPr>
          <w:p w14:paraId="6D88F8AB">
            <w:pPr>
              <w:widowControl/>
              <w:adjustRightInd w:val="0"/>
              <w:snapToGrid w:val="0"/>
              <w:rPr>
                <w:rFonts w:hint="eastAsia"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rPr>
              <w:t>被担保人名称</w:t>
            </w:r>
          </w:p>
        </w:tc>
        <w:tc>
          <w:tcPr>
            <w:tcW w:w="3809" w:type="dxa"/>
            <w:vAlign w:val="center"/>
          </w:tcPr>
          <w:p w14:paraId="3AB8BA6C">
            <w:pPr>
              <w:widowControl/>
              <w:adjustRightInd w:val="0"/>
              <w:snapToGrid w:val="0"/>
              <w:rPr>
                <w:rFonts w:hint="eastAsia" w:asciiTheme="minorEastAsia" w:hAnsiTheme="minorEastAsia" w:cstheme="minorEastAsia"/>
                <w:color w:val="000000"/>
                <w:sz w:val="24"/>
                <w:szCs w:val="24"/>
              </w:rPr>
            </w:pPr>
            <w:r>
              <w:rPr>
                <w:rFonts w:hint="eastAsia" w:ascii="宋体" w:hAnsi="宋体" w:cs="宋体"/>
                <w:sz w:val="24"/>
                <w:szCs w:val="24"/>
              </w:rPr>
              <w:t>重庆惠泽电器有限公司（以下简称“惠泽电器”）</w:t>
            </w:r>
          </w:p>
        </w:tc>
      </w:tr>
      <w:tr w14:paraId="2EF5B6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075" w:type="dxa"/>
            <w:vMerge w:val="continue"/>
            <w:vAlign w:val="center"/>
          </w:tcPr>
          <w:p w14:paraId="059601DB">
            <w:pPr>
              <w:widowControl/>
              <w:adjustRightInd w:val="0"/>
              <w:snapToGrid w:val="0"/>
              <w:rPr>
                <w:rFonts w:hint="eastAsia" w:asciiTheme="minorEastAsia" w:hAnsiTheme="minorEastAsia" w:cstheme="minorEastAsia"/>
                <w:color w:val="000000"/>
                <w:sz w:val="24"/>
                <w:szCs w:val="24"/>
              </w:rPr>
            </w:pPr>
            <w:bookmarkStart w:id="2" w:name="_Hlk210917321"/>
          </w:p>
        </w:tc>
        <w:tc>
          <w:tcPr>
            <w:tcW w:w="3397" w:type="dxa"/>
            <w:vAlign w:val="center"/>
          </w:tcPr>
          <w:p w14:paraId="66D1DCCA">
            <w:pPr>
              <w:widowControl/>
              <w:adjustRightInd w:val="0"/>
              <w:snapToGrid w:val="0"/>
              <w:rPr>
                <w:rFonts w:hint="eastAsia"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rPr>
              <w:t>本次担保金额</w:t>
            </w:r>
          </w:p>
        </w:tc>
        <w:tc>
          <w:tcPr>
            <w:tcW w:w="3809" w:type="dxa"/>
            <w:vAlign w:val="center"/>
          </w:tcPr>
          <w:p w14:paraId="1C100DFF">
            <w:pPr>
              <w:widowControl/>
              <w:adjustRightInd w:val="0"/>
              <w:snapToGrid w:val="0"/>
              <w:rPr>
                <w:rFonts w:hint="eastAsia" w:asciiTheme="minorEastAsia" w:hAnsiTheme="minorEastAsia" w:cstheme="minorEastAsia"/>
                <w:sz w:val="24"/>
                <w:szCs w:val="24"/>
              </w:rPr>
            </w:pPr>
            <w:r>
              <w:rPr>
                <w:rFonts w:asciiTheme="minorEastAsia" w:hAnsiTheme="minorEastAsia"/>
                <w:bCs/>
                <w:sz w:val="24"/>
                <w:szCs w:val="24"/>
              </w:rPr>
              <w:t>900.00</w:t>
            </w:r>
            <w:r>
              <w:rPr>
                <w:rFonts w:hint="eastAsia" w:asciiTheme="minorEastAsia" w:hAnsiTheme="minorEastAsia"/>
                <w:bCs/>
                <w:sz w:val="24"/>
                <w:szCs w:val="24"/>
              </w:rPr>
              <w:t>万元</w:t>
            </w:r>
          </w:p>
        </w:tc>
      </w:tr>
      <w:tr w14:paraId="30F9E0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8" w:hRule="atLeast"/>
        </w:trPr>
        <w:tc>
          <w:tcPr>
            <w:tcW w:w="1075" w:type="dxa"/>
            <w:vMerge w:val="continue"/>
            <w:vAlign w:val="center"/>
          </w:tcPr>
          <w:p w14:paraId="236ABF96">
            <w:pPr>
              <w:widowControl/>
              <w:adjustRightInd w:val="0"/>
              <w:snapToGrid w:val="0"/>
              <w:rPr>
                <w:rFonts w:hint="eastAsia" w:asciiTheme="minorEastAsia" w:hAnsiTheme="minorEastAsia" w:cstheme="minorEastAsia"/>
                <w:color w:val="000000"/>
                <w:sz w:val="24"/>
                <w:szCs w:val="24"/>
              </w:rPr>
            </w:pPr>
          </w:p>
        </w:tc>
        <w:tc>
          <w:tcPr>
            <w:tcW w:w="3397" w:type="dxa"/>
            <w:vAlign w:val="center"/>
          </w:tcPr>
          <w:p w14:paraId="51449337">
            <w:pPr>
              <w:widowControl/>
              <w:adjustRightInd w:val="0"/>
              <w:snapToGrid w:val="0"/>
              <w:rPr>
                <w:rFonts w:hint="eastAsia"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rPr>
              <w:t>实际为其提供的担保余额</w:t>
            </w:r>
          </w:p>
        </w:tc>
        <w:tc>
          <w:tcPr>
            <w:tcW w:w="3809" w:type="dxa"/>
            <w:vAlign w:val="center"/>
          </w:tcPr>
          <w:p w14:paraId="4ED087E3">
            <w:pPr>
              <w:widowControl/>
              <w:adjustRightInd w:val="0"/>
              <w:snapToGrid w:val="0"/>
              <w:rPr>
                <w:rFonts w:hint="eastAsia" w:asciiTheme="minorEastAsia" w:hAnsiTheme="minorEastAsia" w:cstheme="minorEastAsia"/>
                <w:sz w:val="24"/>
                <w:szCs w:val="24"/>
              </w:rPr>
            </w:pPr>
            <w:r>
              <w:rPr>
                <w:rFonts w:asciiTheme="minorEastAsia" w:hAnsiTheme="minorEastAsia"/>
                <w:bCs/>
                <w:sz w:val="24"/>
                <w:szCs w:val="24"/>
              </w:rPr>
              <w:t>1,033.75</w:t>
            </w:r>
            <w:r>
              <w:rPr>
                <w:rFonts w:hint="eastAsia" w:asciiTheme="minorEastAsia" w:hAnsiTheme="minorEastAsia"/>
                <w:bCs/>
                <w:sz w:val="24"/>
                <w:szCs w:val="24"/>
              </w:rPr>
              <w:t>万元</w:t>
            </w:r>
          </w:p>
        </w:tc>
      </w:tr>
      <w:tr w14:paraId="2E9814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8" w:hRule="atLeast"/>
        </w:trPr>
        <w:tc>
          <w:tcPr>
            <w:tcW w:w="1075" w:type="dxa"/>
            <w:vMerge w:val="continue"/>
            <w:vAlign w:val="center"/>
          </w:tcPr>
          <w:p w14:paraId="7D1F3686">
            <w:pPr>
              <w:widowControl/>
              <w:adjustRightInd w:val="0"/>
              <w:snapToGrid w:val="0"/>
              <w:rPr>
                <w:rFonts w:hint="eastAsia" w:asciiTheme="minorEastAsia" w:hAnsiTheme="minorEastAsia" w:cstheme="minorEastAsia"/>
                <w:color w:val="000000"/>
                <w:sz w:val="24"/>
                <w:szCs w:val="24"/>
              </w:rPr>
            </w:pPr>
          </w:p>
        </w:tc>
        <w:tc>
          <w:tcPr>
            <w:tcW w:w="3397" w:type="dxa"/>
            <w:vAlign w:val="center"/>
          </w:tcPr>
          <w:p w14:paraId="317BAE3D">
            <w:pPr>
              <w:widowControl/>
              <w:adjustRightInd w:val="0"/>
              <w:snapToGrid w:val="0"/>
              <w:rPr>
                <w:rFonts w:hint="eastAsia"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rPr>
              <w:t>是否在前期预计额度内</w:t>
            </w:r>
          </w:p>
        </w:tc>
        <w:tc>
          <w:tcPr>
            <w:tcW w:w="3809" w:type="dxa"/>
            <w:vAlign w:val="center"/>
          </w:tcPr>
          <w:p w14:paraId="70D821DD">
            <w:pPr>
              <w:widowControl/>
              <w:adjustRightInd w:val="0"/>
              <w:snapToGrid w:val="0"/>
              <w:rPr>
                <w:rFonts w:hint="eastAsia" w:asciiTheme="minorEastAsia" w:hAnsiTheme="minorEastAsia" w:cstheme="minorEastAsia"/>
                <w:sz w:val="24"/>
                <w:szCs w:val="24"/>
              </w:rPr>
            </w:pPr>
            <w:r>
              <w:rPr>
                <w:rFonts w:hint="eastAsia" w:ascii="宋体" w:hAnsi="宋体" w:eastAsia="宋体"/>
                <w:sz w:val="24"/>
                <w:szCs w:val="24"/>
              </w:rPr>
              <w:sym w:font="Wingdings 2" w:char="F052"/>
            </w:r>
            <w:r>
              <w:rPr>
                <w:rFonts w:hint="eastAsia" w:asciiTheme="minorEastAsia" w:hAnsiTheme="minorEastAsia" w:cstheme="minorEastAsia"/>
                <w:sz w:val="24"/>
                <w:szCs w:val="24"/>
              </w:rPr>
              <w:t>是  □否</w:t>
            </w:r>
            <w:r>
              <w:rPr>
                <w:rFonts w:hint="eastAsia" w:asciiTheme="minorEastAsia" w:hAnsiTheme="minorEastAsia" w:cstheme="minorEastAsia"/>
                <w:kern w:val="0"/>
                <w:sz w:val="24"/>
                <w:szCs w:val="24"/>
              </w:rPr>
              <w:t xml:space="preserve">  □不适用：</w:t>
            </w:r>
            <w:r>
              <w:rPr>
                <w:rFonts w:hint="eastAsia" w:ascii="宋体" w:hAnsi="宋体" w:eastAsia="宋体"/>
                <w:sz w:val="24"/>
                <w:szCs w:val="24"/>
              </w:rPr>
              <w:t>_________</w:t>
            </w:r>
          </w:p>
        </w:tc>
      </w:tr>
      <w:tr w14:paraId="0308D9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4" w:hRule="atLeast"/>
        </w:trPr>
        <w:tc>
          <w:tcPr>
            <w:tcW w:w="1075" w:type="dxa"/>
            <w:vMerge w:val="continue"/>
            <w:vAlign w:val="center"/>
          </w:tcPr>
          <w:p w14:paraId="1B694756">
            <w:pPr>
              <w:widowControl/>
              <w:adjustRightInd w:val="0"/>
              <w:snapToGrid w:val="0"/>
              <w:rPr>
                <w:rFonts w:hint="eastAsia" w:asciiTheme="minorEastAsia" w:hAnsiTheme="minorEastAsia" w:cstheme="minorEastAsia"/>
                <w:color w:val="000000"/>
                <w:sz w:val="24"/>
                <w:szCs w:val="24"/>
              </w:rPr>
            </w:pPr>
          </w:p>
        </w:tc>
        <w:tc>
          <w:tcPr>
            <w:tcW w:w="3397" w:type="dxa"/>
            <w:vAlign w:val="center"/>
          </w:tcPr>
          <w:p w14:paraId="30E26E88">
            <w:pPr>
              <w:widowControl/>
              <w:adjustRightInd w:val="0"/>
              <w:snapToGrid w:val="0"/>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本次担保是否有反担保</w:t>
            </w:r>
          </w:p>
        </w:tc>
        <w:tc>
          <w:tcPr>
            <w:tcW w:w="3809" w:type="dxa"/>
            <w:vAlign w:val="center"/>
          </w:tcPr>
          <w:p w14:paraId="79B72B66">
            <w:pPr>
              <w:widowControl/>
              <w:adjustRightInd w:val="0"/>
              <w:snapToGrid w:val="0"/>
              <w:rPr>
                <w:rFonts w:hint="eastAsia" w:asciiTheme="minorEastAsia" w:hAnsiTheme="minorEastAsia" w:cstheme="minorEastAsia"/>
                <w:sz w:val="24"/>
                <w:szCs w:val="24"/>
              </w:rPr>
            </w:pPr>
            <w:r>
              <w:rPr>
                <w:rFonts w:hint="eastAsia" w:ascii="宋体" w:hAnsi="宋体" w:eastAsia="宋体" w:cstheme="minorEastAsia"/>
                <w:sz w:val="24"/>
                <w:szCs w:val="24"/>
              </w:rPr>
              <w:sym w:font="Wingdings 2" w:char="00A3"/>
            </w:r>
            <w:r>
              <w:rPr>
                <w:rFonts w:hint="eastAsia" w:asciiTheme="minorEastAsia" w:hAnsiTheme="minorEastAsia" w:cstheme="minorEastAsia"/>
                <w:sz w:val="24"/>
                <w:szCs w:val="24"/>
              </w:rPr>
              <w:t xml:space="preserve">是  </w:t>
            </w:r>
            <w:r>
              <w:rPr>
                <w:rFonts w:hint="eastAsia" w:asciiTheme="minorEastAsia" w:hAnsiTheme="minorEastAsia" w:cstheme="minorEastAsia"/>
                <w:sz w:val="24"/>
                <w:szCs w:val="24"/>
              </w:rPr>
              <w:sym w:font="Wingdings 2" w:char="0052"/>
            </w:r>
            <w:r>
              <w:rPr>
                <w:rFonts w:hint="eastAsia" w:asciiTheme="minorEastAsia" w:hAnsiTheme="minorEastAsia" w:cstheme="minorEastAsia"/>
                <w:sz w:val="24"/>
                <w:szCs w:val="24"/>
              </w:rPr>
              <w:t>否</w:t>
            </w:r>
            <w:r>
              <w:rPr>
                <w:rFonts w:hint="eastAsia" w:asciiTheme="minorEastAsia" w:hAnsiTheme="minorEastAsia" w:cstheme="minorEastAsia"/>
                <w:kern w:val="0"/>
                <w:sz w:val="24"/>
                <w:szCs w:val="24"/>
              </w:rPr>
              <w:t xml:space="preserve"> □不适用：</w:t>
            </w:r>
            <w:r>
              <w:rPr>
                <w:rFonts w:hint="eastAsia" w:ascii="宋体" w:hAnsi="宋体" w:eastAsia="宋体"/>
                <w:sz w:val="24"/>
                <w:szCs w:val="24"/>
              </w:rPr>
              <w:t>_________</w:t>
            </w:r>
          </w:p>
        </w:tc>
      </w:tr>
      <w:bookmarkEnd w:id="2"/>
    </w:tbl>
    <w:p w14:paraId="208E4C03"/>
    <w:p w14:paraId="00387C7D">
      <w:pPr>
        <w:widowControl/>
        <w:numPr>
          <w:ilvl w:val="0"/>
          <w:numId w:val="1"/>
        </w:numPr>
        <w:adjustRightInd w:val="0"/>
        <w:snapToGrid w:val="0"/>
        <w:spacing w:line="560" w:lineRule="exact"/>
        <w:ind w:left="0" w:firstLine="482" w:firstLineChars="200"/>
        <w:jc w:val="left"/>
        <w:rPr>
          <w:rFonts w:hint="eastAsia" w:asciiTheme="minorEastAsia" w:hAnsiTheme="minorEastAsia" w:cstheme="minorEastAsia"/>
          <w:b/>
          <w:bCs/>
          <w:sz w:val="24"/>
          <w:szCs w:val="24"/>
        </w:rPr>
      </w:pPr>
      <w:r>
        <w:rPr>
          <w:rFonts w:hint="eastAsia" w:asciiTheme="minorEastAsia" w:hAnsiTheme="minorEastAsia" w:cstheme="minorEastAsia"/>
          <w:b/>
          <w:bCs/>
          <w:sz w:val="24"/>
          <w:szCs w:val="24"/>
        </w:rPr>
        <w:t>累计担保情况</w:t>
      </w:r>
    </w:p>
    <w:tbl>
      <w:tblPr>
        <w:tblStyle w:val="12"/>
        <w:tblW w:w="4990" w:type="pct"/>
        <w:tblInd w:w="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642"/>
        <w:gridCol w:w="4863"/>
      </w:tblGrid>
      <w:tr w14:paraId="5E533E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3" w:hRule="atLeast"/>
        </w:trPr>
        <w:tc>
          <w:tcPr>
            <w:tcW w:w="3642" w:type="dxa"/>
            <w:vAlign w:val="center"/>
          </w:tcPr>
          <w:p w14:paraId="120C85AE">
            <w:pPr>
              <w:widowControl/>
              <w:adjustRightInd w:val="0"/>
              <w:snapToGrid w:val="0"/>
              <w:rPr>
                <w:rFonts w:hint="eastAsia" w:asciiTheme="minorEastAsia" w:hAnsiTheme="minorEastAsia" w:cstheme="minorEastAsia"/>
                <w:b/>
                <w:bCs/>
                <w:sz w:val="24"/>
                <w:szCs w:val="24"/>
              </w:rPr>
            </w:pPr>
            <w:r>
              <w:rPr>
                <w:rFonts w:hint="eastAsia" w:asciiTheme="minorEastAsia" w:hAnsiTheme="minorEastAsia" w:cstheme="minorEastAsia"/>
                <w:b/>
                <w:bCs/>
                <w:color w:val="000000"/>
                <w:kern w:val="0"/>
                <w:sz w:val="24"/>
                <w:szCs w:val="24"/>
              </w:rPr>
              <w:t>对外担保逾期的累计金额（万元）</w:t>
            </w:r>
          </w:p>
        </w:tc>
        <w:tc>
          <w:tcPr>
            <w:tcW w:w="4863" w:type="dxa"/>
            <w:vAlign w:val="center"/>
          </w:tcPr>
          <w:p w14:paraId="05711585">
            <w:pPr>
              <w:widowControl/>
              <w:adjustRightInd w:val="0"/>
              <w:snapToGrid w:val="0"/>
              <w:jc w:val="right"/>
              <w:rPr>
                <w:rFonts w:hint="eastAsia" w:asciiTheme="minorEastAsia" w:hAnsiTheme="minorEastAsia" w:cstheme="minorEastAsia"/>
                <w:sz w:val="24"/>
                <w:szCs w:val="24"/>
              </w:rPr>
            </w:pPr>
            <w:r>
              <w:rPr>
                <w:rFonts w:hint="eastAsia" w:asciiTheme="minorEastAsia" w:hAnsiTheme="minorEastAsia" w:cstheme="minorEastAsia"/>
                <w:sz w:val="24"/>
                <w:szCs w:val="24"/>
              </w:rPr>
              <w:t>0.00</w:t>
            </w:r>
          </w:p>
        </w:tc>
      </w:tr>
      <w:tr w14:paraId="7861DA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2" w:hRule="atLeast"/>
        </w:trPr>
        <w:tc>
          <w:tcPr>
            <w:tcW w:w="3642" w:type="dxa"/>
            <w:vAlign w:val="center"/>
          </w:tcPr>
          <w:p w14:paraId="3A9A466F">
            <w:pPr>
              <w:widowControl/>
              <w:adjustRightInd w:val="0"/>
              <w:snapToGrid w:val="0"/>
              <w:rPr>
                <w:rFonts w:hint="eastAsia"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截至</w:t>
            </w:r>
            <w:r>
              <w:rPr>
                <w:rFonts w:asciiTheme="minorEastAsia" w:hAnsiTheme="minorEastAsia" w:cstheme="minorEastAsia"/>
                <w:b/>
                <w:bCs/>
                <w:color w:val="000000"/>
                <w:kern w:val="0"/>
                <w:sz w:val="24"/>
                <w:szCs w:val="24"/>
              </w:rPr>
              <w:t>12</w:t>
            </w:r>
            <w:r>
              <w:rPr>
                <w:rFonts w:hint="eastAsia" w:asciiTheme="minorEastAsia" w:hAnsiTheme="minorEastAsia" w:cstheme="minorEastAsia"/>
                <w:b/>
                <w:bCs/>
                <w:color w:val="000000"/>
                <w:kern w:val="0"/>
                <w:sz w:val="24"/>
                <w:szCs w:val="24"/>
              </w:rPr>
              <w:t>月末上市公司及其控股子公司对外担保总额（万元）</w:t>
            </w:r>
          </w:p>
        </w:tc>
        <w:tc>
          <w:tcPr>
            <w:tcW w:w="4863" w:type="dxa"/>
            <w:vAlign w:val="center"/>
          </w:tcPr>
          <w:p w14:paraId="4B8CECB6">
            <w:pPr>
              <w:widowControl/>
              <w:adjustRightInd w:val="0"/>
              <w:snapToGrid w:val="0"/>
              <w:jc w:val="right"/>
              <w:rPr>
                <w:rFonts w:hint="eastAsia" w:asciiTheme="minorEastAsia" w:hAnsiTheme="minorEastAsia" w:cstheme="minorEastAsia"/>
                <w:color w:val="000000"/>
                <w:kern w:val="0"/>
                <w:sz w:val="24"/>
                <w:szCs w:val="24"/>
                <w:highlight w:val="none"/>
              </w:rPr>
            </w:pPr>
            <w:r>
              <w:rPr>
                <w:rFonts w:asciiTheme="minorEastAsia" w:hAnsiTheme="minorEastAsia" w:cstheme="minorEastAsia"/>
                <w:color w:val="000000"/>
                <w:kern w:val="0"/>
                <w:sz w:val="24"/>
                <w:szCs w:val="24"/>
                <w:highlight w:val="none"/>
              </w:rPr>
              <w:t>130</w:t>
            </w:r>
            <w:r>
              <w:rPr>
                <w:rFonts w:hint="eastAsia" w:asciiTheme="minorEastAsia" w:hAnsiTheme="minorEastAsia" w:cstheme="minorEastAsia"/>
                <w:color w:val="000000"/>
                <w:kern w:val="0"/>
                <w:sz w:val="24"/>
                <w:szCs w:val="24"/>
                <w:highlight w:val="none"/>
              </w:rPr>
              <w:t>,</w:t>
            </w:r>
            <w:r>
              <w:rPr>
                <w:rFonts w:asciiTheme="minorEastAsia" w:hAnsiTheme="minorEastAsia" w:cstheme="minorEastAsia"/>
                <w:color w:val="000000"/>
                <w:kern w:val="0"/>
                <w:sz w:val="24"/>
                <w:szCs w:val="24"/>
                <w:highlight w:val="none"/>
              </w:rPr>
              <w:t>374.10</w:t>
            </w:r>
            <w:r>
              <w:rPr>
                <w:rFonts w:hint="eastAsia" w:asciiTheme="minorEastAsia" w:hAnsiTheme="minorEastAsia" w:cstheme="minorEastAsia"/>
                <w:color w:val="000000"/>
                <w:kern w:val="0"/>
                <w:sz w:val="24"/>
                <w:szCs w:val="24"/>
                <w:highlight w:val="none"/>
              </w:rPr>
              <w:t xml:space="preserve">  </w:t>
            </w:r>
          </w:p>
        </w:tc>
      </w:tr>
      <w:tr w14:paraId="2C35DB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3642" w:type="dxa"/>
            <w:vAlign w:val="center"/>
          </w:tcPr>
          <w:p w14:paraId="5D097A22">
            <w:pPr>
              <w:widowControl/>
              <w:adjustRightInd w:val="0"/>
              <w:snapToGrid w:val="0"/>
              <w:rPr>
                <w:rFonts w:hint="eastAsia"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对外担保总额占上市公司最近一期</w:t>
            </w:r>
            <w:bookmarkStart w:id="3" w:name="OLE_LINK5"/>
            <w:r>
              <w:rPr>
                <w:rFonts w:hint="eastAsia" w:asciiTheme="minorEastAsia" w:hAnsiTheme="minorEastAsia" w:cstheme="minorEastAsia"/>
                <w:b/>
                <w:bCs/>
                <w:color w:val="000000"/>
                <w:kern w:val="0"/>
                <w:sz w:val="24"/>
                <w:szCs w:val="24"/>
              </w:rPr>
              <w:t>经审计净资产</w:t>
            </w:r>
            <w:bookmarkEnd w:id="3"/>
            <w:r>
              <w:rPr>
                <w:rFonts w:hint="eastAsia" w:asciiTheme="minorEastAsia" w:hAnsiTheme="minorEastAsia" w:cstheme="minorEastAsia"/>
                <w:b/>
                <w:bCs/>
                <w:color w:val="000000"/>
                <w:kern w:val="0"/>
                <w:sz w:val="24"/>
                <w:szCs w:val="24"/>
              </w:rPr>
              <w:t>的比例（%）</w:t>
            </w:r>
          </w:p>
        </w:tc>
        <w:tc>
          <w:tcPr>
            <w:tcW w:w="4863" w:type="dxa"/>
            <w:vAlign w:val="center"/>
          </w:tcPr>
          <w:p w14:paraId="4F9F4564">
            <w:pPr>
              <w:widowControl/>
              <w:adjustRightInd w:val="0"/>
              <w:snapToGrid w:val="0"/>
              <w:jc w:val="right"/>
              <w:rPr>
                <w:rFonts w:hint="eastAsia" w:asciiTheme="minorEastAsia" w:hAnsiTheme="minorEastAsia" w:cstheme="minorEastAsia"/>
                <w:color w:val="000000"/>
                <w:kern w:val="0"/>
                <w:sz w:val="24"/>
                <w:szCs w:val="24"/>
                <w:highlight w:val="none"/>
              </w:rPr>
            </w:pPr>
            <w:r>
              <w:rPr>
                <w:rFonts w:asciiTheme="minorEastAsia" w:hAnsiTheme="minorEastAsia" w:cstheme="minorEastAsia"/>
                <w:color w:val="000000"/>
                <w:kern w:val="0"/>
                <w:sz w:val="24"/>
                <w:szCs w:val="24"/>
                <w:highlight w:val="none"/>
              </w:rPr>
              <w:t>54.02</w:t>
            </w:r>
          </w:p>
        </w:tc>
      </w:tr>
      <w:tr w14:paraId="2A86B3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98" w:hRule="atLeast"/>
        </w:trPr>
        <w:tc>
          <w:tcPr>
            <w:tcW w:w="3642" w:type="dxa"/>
            <w:vAlign w:val="center"/>
          </w:tcPr>
          <w:p w14:paraId="292EE299">
            <w:pPr>
              <w:widowControl/>
              <w:adjustRightInd w:val="0"/>
              <w:snapToGrid w:val="0"/>
              <w:rPr>
                <w:rFonts w:hint="eastAsia"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特别风险提示（如有请勾选）</w:t>
            </w:r>
          </w:p>
        </w:tc>
        <w:tc>
          <w:tcPr>
            <w:tcW w:w="4863" w:type="dxa"/>
            <w:vAlign w:val="center"/>
          </w:tcPr>
          <w:p w14:paraId="06B7DBCE">
            <w:pPr>
              <w:widowControl/>
              <w:adjustRightInd w:val="0"/>
              <w:snapToGrid w:val="0"/>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w:t>
            </w:r>
            <w:r>
              <w:rPr>
                <w:rFonts w:hint="eastAsia" w:asciiTheme="minorEastAsia" w:hAnsiTheme="minorEastAsia" w:cstheme="minorEastAsia"/>
                <w:color w:val="000000"/>
                <w:kern w:val="0"/>
                <w:sz w:val="24"/>
                <w:szCs w:val="24"/>
              </w:rPr>
              <w:t>对外担保总额超过最近一期经审计净资产100%</w:t>
            </w:r>
          </w:p>
          <w:p w14:paraId="5678279B">
            <w:pPr>
              <w:widowControl/>
              <w:adjustRightInd w:val="0"/>
              <w:snapToGrid w:val="0"/>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w:t>
            </w:r>
            <w:r>
              <w:rPr>
                <w:rFonts w:hint="eastAsia" w:asciiTheme="minorEastAsia" w:hAnsiTheme="minorEastAsia" w:cstheme="minorEastAsia"/>
                <w:color w:val="000000"/>
                <w:kern w:val="0"/>
                <w:sz w:val="24"/>
                <w:szCs w:val="24"/>
              </w:rPr>
              <w:t>担保金额超过上市公司最近一期经审计净资产50%</w:t>
            </w:r>
          </w:p>
          <w:p w14:paraId="5A9440DF">
            <w:pPr>
              <w:widowControl/>
              <w:adjustRightInd w:val="0"/>
              <w:snapToGrid w:val="0"/>
              <w:rPr>
                <w:rFonts w:hint="eastAsia" w:asciiTheme="minorEastAsia" w:hAnsiTheme="minorEastAsia" w:cstheme="minorEastAsia"/>
                <w:color w:val="000000"/>
                <w:kern w:val="0"/>
                <w:sz w:val="24"/>
                <w:szCs w:val="24"/>
              </w:rPr>
            </w:pPr>
            <w:bookmarkStart w:id="4" w:name="OLE_LINK3"/>
            <w:bookmarkStart w:id="5" w:name="OLE_LINK4"/>
            <w:r>
              <w:rPr>
                <w:rFonts w:hint="eastAsia" w:asciiTheme="minorEastAsia" w:hAnsiTheme="minorEastAsia" w:cstheme="minorEastAsia"/>
                <w:color w:val="000000"/>
                <w:sz w:val="24"/>
                <w:szCs w:val="24"/>
              </w:rPr>
              <w:t>□</w:t>
            </w:r>
            <w:bookmarkEnd w:id="4"/>
            <w:bookmarkEnd w:id="5"/>
            <w:r>
              <w:rPr>
                <w:rFonts w:hint="eastAsia" w:asciiTheme="minorEastAsia" w:hAnsiTheme="minorEastAsia" w:cstheme="minorEastAsia"/>
                <w:color w:val="000000"/>
                <w:kern w:val="0"/>
                <w:sz w:val="24"/>
                <w:szCs w:val="24"/>
              </w:rPr>
              <w:t>对合并报表外单位担保金额达到或超过最近一期经审计净资产30%的情况下</w:t>
            </w:r>
          </w:p>
          <w:p w14:paraId="04898382">
            <w:pPr>
              <w:widowControl/>
              <w:adjustRightInd w:val="0"/>
              <w:snapToGrid w:val="0"/>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w:t>
            </w:r>
            <w:r>
              <w:rPr>
                <w:rFonts w:hint="eastAsia" w:asciiTheme="minorEastAsia" w:hAnsiTheme="minorEastAsia" w:cstheme="minorEastAsia"/>
                <w:color w:val="000000"/>
                <w:kern w:val="0"/>
                <w:sz w:val="24"/>
                <w:szCs w:val="24"/>
              </w:rPr>
              <w:t>对资产负债率超过70%的单位提供担保</w:t>
            </w:r>
          </w:p>
        </w:tc>
      </w:tr>
      <w:tr w14:paraId="29FE56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3" w:hRule="atLeast"/>
        </w:trPr>
        <w:tc>
          <w:tcPr>
            <w:tcW w:w="3642" w:type="dxa"/>
            <w:vAlign w:val="center"/>
          </w:tcPr>
          <w:p w14:paraId="0C955C02">
            <w:pPr>
              <w:widowControl/>
              <w:adjustRightInd w:val="0"/>
              <w:snapToGrid w:val="0"/>
              <w:rPr>
                <w:rFonts w:hint="eastAsia"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其他风险提示（如有）</w:t>
            </w:r>
          </w:p>
        </w:tc>
        <w:tc>
          <w:tcPr>
            <w:tcW w:w="4863" w:type="dxa"/>
            <w:vAlign w:val="center"/>
          </w:tcPr>
          <w:p w14:paraId="58F78035">
            <w:pPr>
              <w:widowControl/>
              <w:adjustRightInd w:val="0"/>
              <w:snapToGrid w:val="0"/>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无</w:t>
            </w:r>
          </w:p>
        </w:tc>
      </w:tr>
    </w:tbl>
    <w:p w14:paraId="1D375683">
      <w:pPr>
        <w:widowControl/>
        <w:adjustRightInd w:val="0"/>
        <w:snapToGrid w:val="0"/>
        <w:spacing w:line="560" w:lineRule="exact"/>
        <w:ind w:firstLine="600"/>
        <w:jc w:val="left"/>
        <w:rPr>
          <w:rFonts w:hint="eastAsia" w:asciiTheme="minorEastAsia" w:hAnsiTheme="minorEastAsia" w:cstheme="minorEastAsia"/>
          <w:kern w:val="0"/>
          <w:sz w:val="24"/>
          <w:szCs w:val="24"/>
        </w:rPr>
      </w:pPr>
    </w:p>
    <w:p w14:paraId="6EFE9EC0">
      <w:pPr>
        <w:widowControl/>
        <w:numPr>
          <w:ilvl w:val="0"/>
          <w:numId w:val="2"/>
        </w:numPr>
        <w:adjustRightInd w:val="0"/>
        <w:snapToGrid w:val="0"/>
        <w:spacing w:line="560" w:lineRule="exact"/>
        <w:ind w:firstLine="562" w:firstLineChars="200"/>
        <w:jc w:val="left"/>
        <w:outlineLvl w:val="0"/>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担保情况概述</w:t>
      </w:r>
    </w:p>
    <w:p w14:paraId="391D30AC">
      <w:pPr>
        <w:pStyle w:val="17"/>
        <w:widowControl/>
        <w:numPr>
          <w:ilvl w:val="0"/>
          <w:numId w:val="3"/>
        </w:numPr>
        <w:adjustRightInd w:val="0"/>
        <w:snapToGrid w:val="0"/>
        <w:spacing w:line="560" w:lineRule="exact"/>
        <w:ind w:firstLineChars="0"/>
        <w:jc w:val="left"/>
        <w:outlineLvl w:val="1"/>
        <w:rPr>
          <w:rFonts w:hint="eastAsia" w:asciiTheme="minorEastAsia" w:hAnsiTheme="minorEastAsia" w:cstheme="minorEastAsia"/>
          <w:sz w:val="24"/>
          <w:szCs w:val="24"/>
        </w:rPr>
      </w:pPr>
      <w:r>
        <w:rPr>
          <w:rFonts w:hint="eastAsia" w:asciiTheme="minorEastAsia" w:hAnsiTheme="minorEastAsia" w:cstheme="minorEastAsia"/>
          <w:sz w:val="24"/>
          <w:szCs w:val="24"/>
        </w:rPr>
        <w:t>担保的基本情况</w:t>
      </w:r>
    </w:p>
    <w:p w14:paraId="550EFE75">
      <w:pPr>
        <w:widowControl/>
        <w:adjustRightInd w:val="0"/>
        <w:snapToGrid w:val="0"/>
        <w:spacing w:line="560" w:lineRule="exact"/>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2025年</w:t>
      </w:r>
      <w:r>
        <w:rPr>
          <w:rFonts w:asciiTheme="minorEastAsia" w:hAnsiTheme="minorEastAsia" w:cstheme="minorEastAsia"/>
          <w:sz w:val="24"/>
          <w:szCs w:val="24"/>
        </w:rPr>
        <w:t>12</w:t>
      </w:r>
      <w:r>
        <w:rPr>
          <w:rFonts w:hint="eastAsia" w:asciiTheme="minorEastAsia" w:hAnsiTheme="minorEastAsia" w:cstheme="minorEastAsia"/>
          <w:sz w:val="24"/>
          <w:szCs w:val="24"/>
        </w:rPr>
        <w:t>月，公司及下属子公司新增对外担保人民币</w:t>
      </w:r>
      <w:r>
        <w:rPr>
          <w:rFonts w:asciiTheme="minorEastAsia" w:hAnsiTheme="minorEastAsia" w:cstheme="minorEastAsia"/>
          <w:sz w:val="24"/>
          <w:szCs w:val="24"/>
        </w:rPr>
        <w:t>900.00</w:t>
      </w:r>
      <w:r>
        <w:rPr>
          <w:rFonts w:hint="eastAsia" w:asciiTheme="minorEastAsia" w:hAnsiTheme="minorEastAsia" w:cstheme="minorEastAsia"/>
          <w:sz w:val="24"/>
          <w:szCs w:val="24"/>
        </w:rPr>
        <w:t>万元,系公司于2</w:t>
      </w:r>
      <w:r>
        <w:rPr>
          <w:rFonts w:asciiTheme="minorEastAsia" w:hAnsiTheme="minorEastAsia" w:cstheme="minorEastAsia"/>
          <w:sz w:val="24"/>
          <w:szCs w:val="24"/>
        </w:rPr>
        <w:t>025</w:t>
      </w:r>
      <w:r>
        <w:rPr>
          <w:rFonts w:hint="eastAsia" w:asciiTheme="minorEastAsia" w:hAnsiTheme="minorEastAsia" w:cstheme="minorEastAsia"/>
          <w:sz w:val="24"/>
          <w:szCs w:val="24"/>
        </w:rPr>
        <w:t>年</w:t>
      </w:r>
      <w:r>
        <w:rPr>
          <w:rFonts w:asciiTheme="minorEastAsia" w:hAnsiTheme="minorEastAsia" w:cstheme="minorEastAsia"/>
          <w:sz w:val="24"/>
          <w:szCs w:val="24"/>
        </w:rPr>
        <w:t>12</w:t>
      </w:r>
      <w:r>
        <w:rPr>
          <w:rFonts w:hint="eastAsia" w:asciiTheme="minorEastAsia" w:hAnsiTheme="minorEastAsia" w:cstheme="minorEastAsia"/>
          <w:sz w:val="24"/>
          <w:szCs w:val="24"/>
        </w:rPr>
        <w:t>月</w:t>
      </w:r>
      <w:r>
        <w:rPr>
          <w:rFonts w:asciiTheme="minorEastAsia" w:hAnsiTheme="minorEastAsia" w:cstheme="minorEastAsia"/>
          <w:sz w:val="24"/>
          <w:szCs w:val="24"/>
        </w:rPr>
        <w:t>1</w:t>
      </w:r>
      <w:r>
        <w:rPr>
          <w:rFonts w:hint="eastAsia" w:asciiTheme="minorEastAsia" w:hAnsiTheme="minorEastAsia" w:cstheme="minorEastAsia"/>
          <w:sz w:val="24"/>
          <w:szCs w:val="24"/>
        </w:rPr>
        <w:t>日与重庆银行股份有限公司长寿支行（以下简称“重庆银行长寿支行”）签署《保证合同》为全资子公司惠泽电器与重庆银行长寿支行签署《流动资金贷款合同》（以下简称“贷款合同”）提供不超过</w:t>
      </w:r>
      <w:r>
        <w:rPr>
          <w:rFonts w:hint="eastAsia" w:asciiTheme="minorEastAsia" w:hAnsiTheme="minorEastAsia" w:cstheme="minorEastAsia"/>
          <w:color w:val="000000"/>
          <w:kern w:val="0"/>
          <w:sz w:val="24"/>
          <w:szCs w:val="24"/>
        </w:rPr>
        <w:t>最高本金余额</w:t>
      </w:r>
      <w:r>
        <w:rPr>
          <w:rFonts w:hint="eastAsia" w:asciiTheme="minorEastAsia" w:hAnsiTheme="minorEastAsia" w:cstheme="minorEastAsia"/>
          <w:sz w:val="24"/>
          <w:szCs w:val="24"/>
        </w:rPr>
        <w:t>人民币</w:t>
      </w:r>
      <w:r>
        <w:rPr>
          <w:rFonts w:asciiTheme="minorEastAsia" w:hAnsiTheme="minorEastAsia" w:cstheme="minorEastAsia"/>
          <w:sz w:val="24"/>
          <w:szCs w:val="24"/>
        </w:rPr>
        <w:t>900.00</w:t>
      </w:r>
      <w:r>
        <w:rPr>
          <w:rFonts w:hint="eastAsia" w:asciiTheme="minorEastAsia" w:hAnsiTheme="minorEastAsia" w:cstheme="minorEastAsia"/>
          <w:sz w:val="24"/>
          <w:szCs w:val="24"/>
        </w:rPr>
        <w:t>万元的连带责任保证。</w:t>
      </w:r>
    </w:p>
    <w:p w14:paraId="148647ED">
      <w:pPr>
        <w:widowControl/>
        <w:adjustRightInd w:val="0"/>
        <w:snapToGrid w:val="0"/>
        <w:spacing w:line="560" w:lineRule="exact"/>
        <w:ind w:firstLine="480" w:firstLineChars="200"/>
        <w:rPr>
          <w:rFonts w:hint="eastAsia" w:asciiTheme="minorEastAsia" w:hAnsiTheme="minorEastAsia" w:cstheme="minorEastAsia"/>
          <w:color w:val="000000"/>
          <w:kern w:val="0"/>
          <w:sz w:val="24"/>
          <w:szCs w:val="24"/>
        </w:rPr>
      </w:pPr>
      <w:r>
        <w:rPr>
          <w:rFonts w:hint="eastAsia" w:asciiTheme="minorEastAsia" w:hAnsiTheme="minorEastAsia" w:cstheme="minorEastAsia"/>
          <w:sz w:val="24"/>
          <w:szCs w:val="24"/>
        </w:rPr>
        <w:t>上述担保无反担保，上述担保事项属于公司2024年第三次临时股东会授权范围并在有效期内,无需再次提交公司董事会、股东会审议。</w:t>
      </w:r>
    </w:p>
    <w:p w14:paraId="7E81FD8D">
      <w:pPr>
        <w:pStyle w:val="17"/>
        <w:widowControl/>
        <w:numPr>
          <w:ilvl w:val="0"/>
          <w:numId w:val="3"/>
        </w:numPr>
        <w:adjustRightInd w:val="0"/>
        <w:snapToGrid w:val="0"/>
        <w:spacing w:line="560" w:lineRule="exact"/>
        <w:ind w:firstLineChars="0"/>
        <w:jc w:val="left"/>
        <w:outlineLvl w:val="1"/>
        <w:rPr>
          <w:rFonts w:hint="eastAsia" w:asciiTheme="minorEastAsia" w:hAnsiTheme="minorEastAsia" w:cstheme="minorEastAsia"/>
          <w:sz w:val="24"/>
          <w:szCs w:val="24"/>
        </w:rPr>
      </w:pPr>
      <w:r>
        <w:rPr>
          <w:rFonts w:hint="eastAsia" w:asciiTheme="minorEastAsia" w:hAnsiTheme="minorEastAsia" w:cstheme="minorEastAsia"/>
          <w:sz w:val="24"/>
          <w:szCs w:val="24"/>
        </w:rPr>
        <w:t>内部决策程序</w:t>
      </w:r>
    </w:p>
    <w:p w14:paraId="06ED02C3">
      <w:pPr>
        <w:widowControl/>
        <w:adjustRightInd w:val="0"/>
        <w:snapToGrid w:val="0"/>
        <w:spacing w:line="560" w:lineRule="exact"/>
        <w:ind w:firstLine="480" w:firstLineChars="200"/>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公司于2024年11月26日召开第四届董事会第九次会议审议通过《</w:t>
      </w:r>
      <w:bookmarkStart w:id="6" w:name="OLE_LINK6"/>
      <w:r>
        <w:rPr>
          <w:rFonts w:hint="eastAsia" w:asciiTheme="minorEastAsia" w:hAnsiTheme="minorEastAsia" w:cstheme="minorEastAsia"/>
          <w:color w:val="000000"/>
          <w:kern w:val="0"/>
          <w:sz w:val="24"/>
          <w:szCs w:val="24"/>
        </w:rPr>
        <w:t>关于2025年度向银行等金融机构申请综合授信额度及为子公司提供融资担保额度的议案</w:t>
      </w:r>
      <w:bookmarkEnd w:id="6"/>
      <w:r>
        <w:rPr>
          <w:rFonts w:hint="eastAsia" w:asciiTheme="minorEastAsia" w:hAnsiTheme="minorEastAsia" w:cstheme="minorEastAsia"/>
          <w:color w:val="000000"/>
          <w:kern w:val="0"/>
          <w:sz w:val="24"/>
          <w:szCs w:val="24"/>
        </w:rPr>
        <w:t>》，同意2025年度为子公司重庆惠泽电器有限公司（以下简称“惠泽电器”）向银行等金融机构申请综合授信或借款提供新增额度不超过1亿元人民币（或等值外币）的担保；同意2025年度为资产负债率超过70%的子公司黔南望江变压器有限公司（以下简称“黔南望江”）向银行等金融机构申请综合授信或借款提供新增额度不超过2亿元人民币（或等值外币）的担保；同意2025年度为子公司云变电气向银行等金融机构申请综合授信或借款提供新增额度不超过12亿元人民币（或等值外币）的担保。上述担保额度有效期自2025年1月1日至2025年12月31日。该担保事项已提交公司2024年第三次临时股东会审议通过。具体情况详见公司在上海证券交易所官网披露的《关于预计2025年度对子公司新增担保额度的公告》（公告编号：2024-075）和《2024年第三次临时股东会决议公告》（公告编号：2024-082）。</w:t>
      </w:r>
    </w:p>
    <w:p w14:paraId="713749B7">
      <w:pPr>
        <w:pStyle w:val="17"/>
        <w:widowControl/>
        <w:numPr>
          <w:ilvl w:val="0"/>
          <w:numId w:val="3"/>
        </w:numPr>
        <w:adjustRightInd w:val="0"/>
        <w:snapToGrid w:val="0"/>
        <w:spacing w:line="560" w:lineRule="exact"/>
        <w:ind w:firstLineChars="0"/>
        <w:jc w:val="left"/>
        <w:outlineLvl w:val="1"/>
        <w:rPr>
          <w:rFonts w:hint="eastAsia" w:asciiTheme="minorEastAsia" w:hAnsiTheme="minorEastAsia" w:cstheme="minorEastAsia"/>
          <w:sz w:val="24"/>
          <w:szCs w:val="24"/>
        </w:rPr>
      </w:pPr>
      <w:r>
        <w:rPr>
          <w:rFonts w:hint="eastAsia" w:asciiTheme="minorEastAsia" w:hAnsiTheme="minorEastAsia" w:cstheme="minorEastAsia"/>
          <w:sz w:val="24"/>
          <w:szCs w:val="24"/>
        </w:rPr>
        <w:t>担保预计基本情况</w:t>
      </w:r>
    </w:p>
    <w:tbl>
      <w:tblPr>
        <w:tblStyle w:val="12"/>
        <w:tblW w:w="5261"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67"/>
        <w:gridCol w:w="573"/>
        <w:gridCol w:w="894"/>
        <w:gridCol w:w="728"/>
        <w:gridCol w:w="1067"/>
        <w:gridCol w:w="971"/>
        <w:gridCol w:w="1002"/>
        <w:gridCol w:w="794"/>
        <w:gridCol w:w="1219"/>
        <w:gridCol w:w="441"/>
        <w:gridCol w:w="711"/>
      </w:tblGrid>
      <w:tr w14:paraId="445B15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7" w:hRule="atLeast"/>
        </w:trPr>
        <w:tc>
          <w:tcPr>
            <w:tcW w:w="552" w:type="dxa"/>
            <w:vAlign w:val="center"/>
          </w:tcPr>
          <w:p w14:paraId="190F1892">
            <w:pPr>
              <w:widowControl/>
              <w:adjustRightInd w:val="0"/>
              <w:snapToGrid w:val="0"/>
              <w:jc w:val="center"/>
              <w:rPr>
                <w:rFonts w:hint="eastAsia"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担保方</w:t>
            </w:r>
          </w:p>
        </w:tc>
        <w:tc>
          <w:tcPr>
            <w:tcW w:w="558" w:type="dxa"/>
            <w:vAlign w:val="center"/>
          </w:tcPr>
          <w:p w14:paraId="732E459E">
            <w:pPr>
              <w:widowControl/>
              <w:adjustRightInd w:val="0"/>
              <w:snapToGrid w:val="0"/>
              <w:jc w:val="center"/>
              <w:rPr>
                <w:rFonts w:hint="eastAsia"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被担保方</w:t>
            </w:r>
          </w:p>
        </w:tc>
        <w:tc>
          <w:tcPr>
            <w:tcW w:w="870" w:type="dxa"/>
            <w:vAlign w:val="center"/>
          </w:tcPr>
          <w:p w14:paraId="5131C186">
            <w:pPr>
              <w:widowControl/>
              <w:adjustRightInd w:val="0"/>
              <w:snapToGrid w:val="0"/>
              <w:jc w:val="center"/>
              <w:rPr>
                <w:rFonts w:hint="eastAsia"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担保方持股比例</w:t>
            </w:r>
          </w:p>
        </w:tc>
        <w:tc>
          <w:tcPr>
            <w:tcW w:w="709" w:type="dxa"/>
            <w:vAlign w:val="center"/>
          </w:tcPr>
          <w:p w14:paraId="79A0B6A6">
            <w:pPr>
              <w:widowControl/>
              <w:adjustRightInd w:val="0"/>
              <w:snapToGrid w:val="0"/>
              <w:jc w:val="center"/>
              <w:rPr>
                <w:rFonts w:hint="eastAsia"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被担</w:t>
            </w:r>
          </w:p>
          <w:p w14:paraId="7CDA06B8">
            <w:pPr>
              <w:widowControl/>
              <w:adjustRightInd w:val="0"/>
              <w:snapToGrid w:val="0"/>
              <w:jc w:val="center"/>
              <w:rPr>
                <w:rFonts w:hint="eastAsia"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保方</w:t>
            </w:r>
            <w:r>
              <w:rPr>
                <w:rFonts w:asciiTheme="minorEastAsia" w:hAnsiTheme="minorEastAsia" w:cstheme="minorEastAsia"/>
                <w:b/>
                <w:bCs/>
                <w:color w:val="000000"/>
                <w:kern w:val="0"/>
                <w:sz w:val="16"/>
                <w:szCs w:val="16"/>
              </w:rPr>
              <w:t>2025.09.30</w:t>
            </w:r>
            <w:r>
              <w:rPr>
                <w:rFonts w:hint="eastAsia" w:asciiTheme="minorEastAsia" w:hAnsiTheme="minorEastAsia" w:cstheme="minorEastAsia"/>
                <w:b/>
                <w:bCs/>
                <w:color w:val="000000"/>
                <w:kern w:val="0"/>
                <w:sz w:val="16"/>
                <w:szCs w:val="16"/>
              </w:rPr>
              <w:t>资产负债率（未经审计）</w:t>
            </w:r>
          </w:p>
        </w:tc>
        <w:tc>
          <w:tcPr>
            <w:tcW w:w="1039" w:type="dxa"/>
            <w:vAlign w:val="center"/>
          </w:tcPr>
          <w:p w14:paraId="616E4A4A">
            <w:pPr>
              <w:widowControl/>
              <w:adjustRightInd w:val="0"/>
              <w:snapToGrid w:val="0"/>
              <w:jc w:val="center"/>
              <w:rPr>
                <w:rFonts w:hint="eastAsia"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2025年预计担保额度</w:t>
            </w:r>
          </w:p>
          <w:p w14:paraId="4C19E76D">
            <w:pPr>
              <w:widowControl/>
              <w:adjustRightInd w:val="0"/>
              <w:snapToGrid w:val="0"/>
              <w:jc w:val="center"/>
              <w:rPr>
                <w:rFonts w:hint="eastAsia"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（万元）</w:t>
            </w:r>
          </w:p>
        </w:tc>
        <w:tc>
          <w:tcPr>
            <w:tcW w:w="945" w:type="dxa"/>
            <w:vAlign w:val="center"/>
          </w:tcPr>
          <w:p w14:paraId="138D620A">
            <w:pPr>
              <w:widowControl/>
              <w:adjustRightInd w:val="0"/>
              <w:snapToGrid w:val="0"/>
              <w:jc w:val="center"/>
              <w:rPr>
                <w:rFonts w:hint="eastAsia"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截至2025年</w:t>
            </w:r>
            <w:r>
              <w:rPr>
                <w:rFonts w:asciiTheme="minorEastAsia" w:hAnsiTheme="minorEastAsia" w:cstheme="minorEastAsia"/>
                <w:b/>
                <w:bCs/>
                <w:color w:val="000000"/>
                <w:kern w:val="0"/>
                <w:sz w:val="16"/>
                <w:szCs w:val="16"/>
              </w:rPr>
              <w:t>12</w:t>
            </w:r>
            <w:r>
              <w:rPr>
                <w:rFonts w:hint="eastAsia" w:asciiTheme="minorEastAsia" w:hAnsiTheme="minorEastAsia" w:cstheme="minorEastAsia"/>
                <w:b/>
                <w:bCs/>
                <w:color w:val="000000"/>
                <w:kern w:val="0"/>
                <w:sz w:val="16"/>
                <w:szCs w:val="16"/>
              </w:rPr>
              <w:t>月末担保余额</w:t>
            </w:r>
          </w:p>
          <w:p w14:paraId="5301E1B6">
            <w:pPr>
              <w:widowControl/>
              <w:adjustRightInd w:val="0"/>
              <w:snapToGrid w:val="0"/>
              <w:jc w:val="center"/>
              <w:rPr>
                <w:rFonts w:hint="eastAsia"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（万元）</w:t>
            </w:r>
          </w:p>
        </w:tc>
        <w:tc>
          <w:tcPr>
            <w:tcW w:w="975" w:type="dxa"/>
            <w:vAlign w:val="center"/>
          </w:tcPr>
          <w:p w14:paraId="77295072">
            <w:pPr>
              <w:widowControl/>
              <w:adjustRightInd w:val="0"/>
              <w:snapToGrid w:val="0"/>
              <w:jc w:val="center"/>
              <w:rPr>
                <w:rFonts w:hint="eastAsia" w:asciiTheme="minorEastAsia" w:hAnsiTheme="minorEastAsia" w:cstheme="minorEastAsia"/>
                <w:b/>
                <w:bCs/>
                <w:color w:val="000000"/>
                <w:kern w:val="0"/>
                <w:sz w:val="16"/>
                <w:szCs w:val="16"/>
              </w:rPr>
            </w:pPr>
            <w:r>
              <w:rPr>
                <w:rFonts w:asciiTheme="minorEastAsia" w:hAnsiTheme="minorEastAsia" w:cstheme="minorEastAsia"/>
                <w:b/>
                <w:bCs/>
                <w:color w:val="000000"/>
                <w:kern w:val="0"/>
                <w:sz w:val="16"/>
                <w:szCs w:val="16"/>
              </w:rPr>
              <w:t>12</w:t>
            </w:r>
            <w:r>
              <w:rPr>
                <w:rFonts w:hint="eastAsia" w:asciiTheme="minorEastAsia" w:hAnsiTheme="minorEastAsia" w:cstheme="minorEastAsia"/>
                <w:b/>
                <w:bCs/>
                <w:color w:val="000000"/>
                <w:kern w:val="0"/>
                <w:sz w:val="16"/>
                <w:szCs w:val="16"/>
              </w:rPr>
              <w:t>月新增担保额度</w:t>
            </w:r>
          </w:p>
          <w:p w14:paraId="1D521F69">
            <w:pPr>
              <w:widowControl/>
              <w:adjustRightInd w:val="0"/>
              <w:snapToGrid w:val="0"/>
              <w:jc w:val="center"/>
              <w:rPr>
                <w:rFonts w:hint="eastAsia"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（万元）</w:t>
            </w:r>
          </w:p>
        </w:tc>
        <w:tc>
          <w:tcPr>
            <w:tcW w:w="773" w:type="dxa"/>
            <w:vAlign w:val="center"/>
          </w:tcPr>
          <w:p w14:paraId="07000FF7">
            <w:pPr>
              <w:widowControl/>
              <w:adjustRightInd w:val="0"/>
              <w:snapToGrid w:val="0"/>
              <w:jc w:val="center"/>
              <w:rPr>
                <w:rFonts w:hint="eastAsia" w:asciiTheme="minorEastAsia" w:hAnsiTheme="minorEastAsia" w:cstheme="minorEastAsia"/>
                <w:b/>
                <w:bCs/>
                <w:color w:val="000000"/>
                <w:kern w:val="0"/>
                <w:sz w:val="16"/>
                <w:szCs w:val="16"/>
              </w:rPr>
            </w:pPr>
            <w:r>
              <w:rPr>
                <w:rFonts w:asciiTheme="minorEastAsia" w:hAnsiTheme="minorEastAsia" w:cstheme="minorEastAsia"/>
                <w:b/>
                <w:bCs/>
                <w:color w:val="000000"/>
                <w:kern w:val="0"/>
                <w:sz w:val="16"/>
                <w:szCs w:val="16"/>
              </w:rPr>
              <w:t>截至2025年12月末担保余额</w:t>
            </w:r>
            <w:r>
              <w:rPr>
                <w:rFonts w:hint="eastAsia" w:asciiTheme="minorEastAsia" w:hAnsiTheme="minorEastAsia" w:cstheme="minorEastAsia"/>
                <w:b/>
                <w:bCs/>
                <w:color w:val="000000"/>
                <w:kern w:val="0"/>
                <w:sz w:val="16"/>
                <w:szCs w:val="16"/>
              </w:rPr>
              <w:t>占上市公司最近一期经审计净资产比例</w:t>
            </w:r>
          </w:p>
        </w:tc>
        <w:tc>
          <w:tcPr>
            <w:tcW w:w="1187" w:type="dxa"/>
            <w:vAlign w:val="center"/>
          </w:tcPr>
          <w:p w14:paraId="28713599">
            <w:pPr>
              <w:widowControl/>
              <w:adjustRightInd w:val="0"/>
              <w:snapToGrid w:val="0"/>
              <w:jc w:val="center"/>
              <w:rPr>
                <w:rFonts w:hint="eastAsia"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担保预计有效期</w:t>
            </w:r>
          </w:p>
        </w:tc>
        <w:tc>
          <w:tcPr>
            <w:tcW w:w="429" w:type="dxa"/>
            <w:vAlign w:val="center"/>
          </w:tcPr>
          <w:p w14:paraId="1A21F145">
            <w:pPr>
              <w:widowControl/>
              <w:adjustRightInd w:val="0"/>
              <w:snapToGrid w:val="0"/>
              <w:jc w:val="center"/>
              <w:rPr>
                <w:rFonts w:hint="eastAsia"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是否关联担保</w:t>
            </w:r>
          </w:p>
        </w:tc>
        <w:tc>
          <w:tcPr>
            <w:tcW w:w="692" w:type="dxa"/>
            <w:vAlign w:val="center"/>
          </w:tcPr>
          <w:p w14:paraId="2331B0DF">
            <w:pPr>
              <w:widowControl/>
              <w:adjustRightInd w:val="0"/>
              <w:snapToGrid w:val="0"/>
              <w:jc w:val="center"/>
              <w:rPr>
                <w:rFonts w:hint="eastAsia" w:asciiTheme="minorEastAsia" w:hAnsiTheme="minorEastAsia" w:cstheme="minorEastAsia"/>
                <w:b/>
                <w:bCs/>
                <w:color w:val="000000"/>
                <w:kern w:val="0"/>
                <w:sz w:val="16"/>
                <w:szCs w:val="16"/>
              </w:rPr>
            </w:pPr>
            <w:r>
              <w:rPr>
                <w:rFonts w:hint="eastAsia" w:asciiTheme="minorEastAsia" w:hAnsiTheme="minorEastAsia" w:cstheme="minorEastAsia"/>
                <w:b/>
                <w:bCs/>
                <w:color w:val="000000"/>
                <w:kern w:val="0"/>
                <w:sz w:val="16"/>
                <w:szCs w:val="16"/>
              </w:rPr>
              <w:t>是否有反担保</w:t>
            </w:r>
          </w:p>
        </w:tc>
      </w:tr>
      <w:tr w14:paraId="27BBC8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8729" w:type="dxa"/>
            <w:gridSpan w:val="11"/>
            <w:vAlign w:val="center"/>
          </w:tcPr>
          <w:p w14:paraId="6FD1BBFE">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对控股子公司</w:t>
            </w:r>
          </w:p>
        </w:tc>
      </w:tr>
      <w:tr w14:paraId="342464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8729" w:type="dxa"/>
            <w:gridSpan w:val="11"/>
            <w:vAlign w:val="center"/>
          </w:tcPr>
          <w:p w14:paraId="5D983B36">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1.资产负债率为70%以上的控股子公司</w:t>
            </w:r>
          </w:p>
        </w:tc>
      </w:tr>
      <w:tr w14:paraId="132CB6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552" w:type="dxa"/>
            <w:vAlign w:val="center"/>
          </w:tcPr>
          <w:p w14:paraId="3BE263EE">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望变</w:t>
            </w:r>
          </w:p>
          <w:p w14:paraId="43F54CCF">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电气</w:t>
            </w:r>
          </w:p>
        </w:tc>
        <w:tc>
          <w:tcPr>
            <w:tcW w:w="558" w:type="dxa"/>
            <w:vAlign w:val="center"/>
          </w:tcPr>
          <w:p w14:paraId="6F9E1BAF">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黔南</w:t>
            </w:r>
          </w:p>
          <w:p w14:paraId="34907139">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望江</w:t>
            </w:r>
          </w:p>
        </w:tc>
        <w:tc>
          <w:tcPr>
            <w:tcW w:w="870" w:type="dxa"/>
            <w:vAlign w:val="center"/>
          </w:tcPr>
          <w:p w14:paraId="24547140">
            <w:pPr>
              <w:widowControl/>
              <w:adjustRightInd w:val="0"/>
              <w:snapToGrid w:val="0"/>
              <w:rPr>
                <w:rFonts w:hint="eastAsia" w:asciiTheme="minorEastAsia" w:hAnsiTheme="minorEastAsia" w:cstheme="minorEastAsia"/>
                <w:kern w:val="0"/>
                <w:sz w:val="16"/>
                <w:szCs w:val="16"/>
              </w:rPr>
            </w:pPr>
            <w:r>
              <w:rPr>
                <w:rFonts w:eastAsia="宋体" w:asciiTheme="minorEastAsia" w:hAnsiTheme="minorEastAsia" w:cstheme="minorEastAsia"/>
                <w:kern w:val="0"/>
                <w:sz w:val="16"/>
                <w:szCs w:val="16"/>
              </w:rPr>
              <w:t>100.00%</w:t>
            </w:r>
          </w:p>
        </w:tc>
        <w:tc>
          <w:tcPr>
            <w:tcW w:w="709" w:type="dxa"/>
            <w:vAlign w:val="center"/>
          </w:tcPr>
          <w:p w14:paraId="56895A0C">
            <w:pPr>
              <w:widowControl/>
              <w:jc w:val="right"/>
              <w:rPr>
                <w:rFonts w:hint="eastAsia" w:asciiTheme="minorEastAsia" w:hAnsiTheme="minorEastAsia" w:cstheme="minorEastAsia"/>
                <w:kern w:val="0"/>
                <w:sz w:val="16"/>
                <w:szCs w:val="16"/>
              </w:rPr>
            </w:pPr>
            <w:r>
              <w:rPr>
                <w:rFonts w:asciiTheme="minorEastAsia" w:hAnsiTheme="minorEastAsia" w:cstheme="minorEastAsia"/>
                <w:kern w:val="0"/>
                <w:sz w:val="16"/>
                <w:szCs w:val="16"/>
              </w:rPr>
              <w:t>75.84</w:t>
            </w:r>
            <w:r>
              <w:rPr>
                <w:rFonts w:hint="eastAsia" w:asciiTheme="minorEastAsia" w:hAnsiTheme="minorEastAsia" w:cstheme="minorEastAsia"/>
                <w:kern w:val="0"/>
                <w:sz w:val="16"/>
                <w:szCs w:val="16"/>
              </w:rPr>
              <w:t>%</w:t>
            </w:r>
          </w:p>
        </w:tc>
        <w:tc>
          <w:tcPr>
            <w:tcW w:w="1039" w:type="dxa"/>
            <w:vAlign w:val="center"/>
          </w:tcPr>
          <w:p w14:paraId="6E50683B">
            <w:pPr>
              <w:pStyle w:val="33"/>
              <w:widowControl/>
              <w:spacing w:line="240" w:lineRule="auto"/>
              <w:jc w:val="right"/>
              <w:rPr>
                <w:rFonts w:asciiTheme="minorEastAsia" w:hAnsiTheme="minorEastAsia" w:cstheme="minorEastAsia"/>
                <w:kern w:val="0"/>
                <w:sz w:val="16"/>
                <w:szCs w:val="16"/>
              </w:rPr>
            </w:pPr>
            <w:r>
              <w:rPr>
                <w:rFonts w:hint="eastAsia" w:ascii="宋体" w:hAnsi="宋体" w:eastAsia="宋体"/>
                <w:sz w:val="16"/>
                <w:szCs w:val="16"/>
                <w:lang w:eastAsia="zh-CN"/>
              </w:rPr>
              <w:t>20,000.00</w:t>
            </w:r>
          </w:p>
        </w:tc>
        <w:tc>
          <w:tcPr>
            <w:tcW w:w="945" w:type="dxa"/>
            <w:vAlign w:val="center"/>
          </w:tcPr>
          <w:p w14:paraId="3494520D">
            <w:pPr>
              <w:pStyle w:val="33"/>
              <w:widowControl/>
              <w:spacing w:line="240" w:lineRule="auto"/>
              <w:jc w:val="center"/>
              <w:rPr>
                <w:rFonts w:hint="eastAsia" w:ascii="宋体" w:hAnsi="宋体" w:eastAsia="宋体"/>
                <w:sz w:val="16"/>
                <w:szCs w:val="16"/>
                <w:lang w:eastAsia="zh-CN"/>
              </w:rPr>
            </w:pPr>
            <w:r>
              <w:rPr>
                <w:rFonts w:ascii="宋体" w:hAnsi="宋体" w:eastAsia="宋体"/>
                <w:sz w:val="16"/>
                <w:szCs w:val="16"/>
                <w:lang w:eastAsia="zh-CN"/>
              </w:rPr>
              <w:t>4,391.71</w:t>
            </w:r>
          </w:p>
        </w:tc>
        <w:tc>
          <w:tcPr>
            <w:tcW w:w="975" w:type="dxa"/>
            <w:vAlign w:val="center"/>
          </w:tcPr>
          <w:p w14:paraId="1DBB9287">
            <w:pPr>
              <w:pStyle w:val="33"/>
              <w:widowControl/>
              <w:spacing w:line="240" w:lineRule="auto"/>
              <w:jc w:val="center"/>
              <w:rPr>
                <w:rFonts w:asciiTheme="minorEastAsia" w:hAnsiTheme="minorEastAsia" w:cstheme="minorEastAsia"/>
                <w:kern w:val="0"/>
                <w:sz w:val="16"/>
                <w:szCs w:val="16"/>
              </w:rPr>
            </w:pPr>
            <w:r>
              <w:rPr>
                <w:rFonts w:ascii="宋体" w:hAnsi="宋体" w:eastAsia="宋体"/>
                <w:sz w:val="16"/>
                <w:szCs w:val="16"/>
                <w:lang w:eastAsia="zh-CN"/>
              </w:rPr>
              <w:t>0</w:t>
            </w:r>
            <w:r>
              <w:rPr>
                <w:rFonts w:hint="eastAsia" w:ascii="宋体" w:hAnsi="宋体" w:eastAsia="宋体"/>
                <w:sz w:val="16"/>
                <w:szCs w:val="16"/>
                <w:lang w:eastAsia="zh-CN"/>
              </w:rPr>
              <w:t>.00</w:t>
            </w:r>
          </w:p>
        </w:tc>
        <w:tc>
          <w:tcPr>
            <w:tcW w:w="773" w:type="dxa"/>
            <w:vAlign w:val="center"/>
          </w:tcPr>
          <w:p w14:paraId="3FF0F885">
            <w:pPr>
              <w:widowControl/>
              <w:adjustRightInd w:val="0"/>
              <w:snapToGrid w:val="0"/>
              <w:jc w:val="center"/>
              <w:rPr>
                <w:rFonts w:hint="eastAsia" w:asciiTheme="minorEastAsia" w:hAnsiTheme="minorEastAsia" w:cstheme="minorEastAsia"/>
                <w:kern w:val="0"/>
                <w:sz w:val="16"/>
                <w:szCs w:val="16"/>
              </w:rPr>
            </w:pPr>
            <w:r>
              <w:rPr>
                <w:rFonts w:asciiTheme="minorEastAsia" w:hAnsiTheme="minorEastAsia" w:cstheme="minorEastAsia"/>
                <w:kern w:val="0"/>
                <w:sz w:val="16"/>
                <w:szCs w:val="16"/>
              </w:rPr>
              <w:t>1.82%</w:t>
            </w:r>
          </w:p>
        </w:tc>
        <w:tc>
          <w:tcPr>
            <w:tcW w:w="1187" w:type="dxa"/>
            <w:vAlign w:val="center"/>
          </w:tcPr>
          <w:p w14:paraId="1A7AD7FE">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w:t>
            </w:r>
          </w:p>
        </w:tc>
        <w:tc>
          <w:tcPr>
            <w:tcW w:w="429" w:type="dxa"/>
            <w:vAlign w:val="center"/>
          </w:tcPr>
          <w:p w14:paraId="75BCDE4C">
            <w:pPr>
              <w:widowControl/>
              <w:adjustRightInd w:val="0"/>
              <w:snapToGrid w:val="0"/>
              <w:jc w:val="center"/>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否</w:t>
            </w:r>
          </w:p>
        </w:tc>
        <w:tc>
          <w:tcPr>
            <w:tcW w:w="692" w:type="dxa"/>
            <w:vAlign w:val="center"/>
          </w:tcPr>
          <w:p w14:paraId="69A8FE32">
            <w:pPr>
              <w:widowControl/>
              <w:adjustRightInd w:val="0"/>
              <w:snapToGrid w:val="0"/>
              <w:jc w:val="center"/>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否</w:t>
            </w:r>
          </w:p>
        </w:tc>
      </w:tr>
      <w:tr w14:paraId="3A3228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8729" w:type="dxa"/>
            <w:gridSpan w:val="11"/>
            <w:vAlign w:val="center"/>
          </w:tcPr>
          <w:p w14:paraId="2968F2AA">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2.资产负债率为70%以下的控股子公司</w:t>
            </w:r>
          </w:p>
        </w:tc>
      </w:tr>
      <w:tr w14:paraId="720980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552" w:type="dxa"/>
            <w:vAlign w:val="center"/>
          </w:tcPr>
          <w:p w14:paraId="661C67BE">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望变</w:t>
            </w:r>
          </w:p>
          <w:p w14:paraId="04E59B52">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电气</w:t>
            </w:r>
          </w:p>
        </w:tc>
        <w:tc>
          <w:tcPr>
            <w:tcW w:w="558" w:type="dxa"/>
            <w:vAlign w:val="center"/>
          </w:tcPr>
          <w:p w14:paraId="433F1E97">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云变</w:t>
            </w:r>
          </w:p>
          <w:p w14:paraId="77844811">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电气</w:t>
            </w:r>
          </w:p>
        </w:tc>
        <w:tc>
          <w:tcPr>
            <w:tcW w:w="870" w:type="dxa"/>
            <w:vAlign w:val="center"/>
          </w:tcPr>
          <w:p w14:paraId="28CDA59E">
            <w:pPr>
              <w:widowControl/>
              <w:adjustRightInd w:val="0"/>
              <w:snapToGrid w:val="0"/>
              <w:rPr>
                <w:rFonts w:hint="eastAsia" w:asciiTheme="minorEastAsia" w:hAnsiTheme="minorEastAsia" w:cstheme="minorEastAsia"/>
                <w:kern w:val="0"/>
                <w:sz w:val="16"/>
                <w:szCs w:val="16"/>
              </w:rPr>
            </w:pPr>
            <w:r>
              <w:rPr>
                <w:rFonts w:hint="eastAsia" w:eastAsia="宋体" w:asciiTheme="minorEastAsia" w:hAnsiTheme="minorEastAsia" w:cstheme="minorEastAsia"/>
                <w:kern w:val="0"/>
                <w:sz w:val="16"/>
                <w:szCs w:val="16"/>
              </w:rPr>
              <w:t>100.00</w:t>
            </w:r>
            <w:r>
              <w:rPr>
                <w:rFonts w:eastAsia="宋体" w:asciiTheme="minorEastAsia" w:hAnsiTheme="minorEastAsia" w:cstheme="minorEastAsia"/>
                <w:kern w:val="0"/>
                <w:sz w:val="16"/>
                <w:szCs w:val="16"/>
              </w:rPr>
              <w:t>%</w:t>
            </w:r>
          </w:p>
        </w:tc>
        <w:tc>
          <w:tcPr>
            <w:tcW w:w="709" w:type="dxa"/>
            <w:vAlign w:val="center"/>
          </w:tcPr>
          <w:p w14:paraId="74577889">
            <w:pPr>
              <w:widowControl/>
              <w:jc w:val="right"/>
              <w:rPr>
                <w:rFonts w:hint="eastAsia" w:asciiTheme="minorEastAsia" w:hAnsiTheme="minorEastAsia" w:cstheme="minorEastAsia"/>
                <w:kern w:val="0"/>
                <w:sz w:val="16"/>
                <w:szCs w:val="16"/>
                <w:highlight w:val="yellow"/>
              </w:rPr>
            </w:pPr>
            <w:r>
              <w:rPr>
                <w:rFonts w:asciiTheme="minorEastAsia" w:hAnsiTheme="minorEastAsia" w:cstheme="minorEastAsia"/>
                <w:kern w:val="0"/>
                <w:sz w:val="16"/>
                <w:szCs w:val="16"/>
                <w:lang w:bidi="ar"/>
              </w:rPr>
              <w:t>65.41</w:t>
            </w:r>
            <w:r>
              <w:rPr>
                <w:rFonts w:hint="eastAsia" w:asciiTheme="minorEastAsia" w:hAnsiTheme="minorEastAsia" w:cstheme="minorEastAsia"/>
                <w:kern w:val="0"/>
                <w:sz w:val="16"/>
                <w:szCs w:val="16"/>
                <w:lang w:bidi="ar"/>
              </w:rPr>
              <w:t>%</w:t>
            </w:r>
          </w:p>
        </w:tc>
        <w:tc>
          <w:tcPr>
            <w:tcW w:w="1039" w:type="dxa"/>
            <w:vAlign w:val="center"/>
          </w:tcPr>
          <w:p w14:paraId="5AB80D50">
            <w:pPr>
              <w:widowControl/>
              <w:adjustRightInd w:val="0"/>
              <w:snapToGrid w:val="0"/>
              <w:jc w:val="right"/>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120,000.00</w:t>
            </w:r>
          </w:p>
        </w:tc>
        <w:tc>
          <w:tcPr>
            <w:tcW w:w="945" w:type="dxa"/>
            <w:vAlign w:val="center"/>
          </w:tcPr>
          <w:p w14:paraId="69FA56C6">
            <w:pPr>
              <w:widowControl/>
              <w:adjustRightInd w:val="0"/>
              <w:snapToGrid w:val="0"/>
              <w:jc w:val="right"/>
              <w:rPr>
                <w:rFonts w:hint="eastAsia" w:asciiTheme="minorEastAsia" w:hAnsiTheme="minorEastAsia" w:cstheme="minorEastAsia"/>
                <w:kern w:val="0"/>
                <w:sz w:val="16"/>
                <w:szCs w:val="16"/>
              </w:rPr>
            </w:pPr>
            <w:r>
              <w:rPr>
                <w:rFonts w:asciiTheme="minorEastAsia" w:hAnsiTheme="minorEastAsia" w:cstheme="minorEastAsia"/>
                <w:kern w:val="0"/>
                <w:sz w:val="16"/>
                <w:szCs w:val="16"/>
              </w:rPr>
              <w:t>57,272.91</w:t>
            </w:r>
          </w:p>
        </w:tc>
        <w:tc>
          <w:tcPr>
            <w:tcW w:w="975" w:type="dxa"/>
            <w:vAlign w:val="center"/>
          </w:tcPr>
          <w:p w14:paraId="3E481204">
            <w:pPr>
              <w:widowControl/>
              <w:adjustRightInd w:val="0"/>
              <w:snapToGrid w:val="0"/>
              <w:jc w:val="right"/>
              <w:rPr>
                <w:rFonts w:hint="eastAsia" w:asciiTheme="minorEastAsia" w:hAnsiTheme="minorEastAsia" w:cstheme="minorEastAsia"/>
                <w:kern w:val="0"/>
                <w:sz w:val="16"/>
                <w:szCs w:val="16"/>
              </w:rPr>
            </w:pPr>
            <w:r>
              <w:rPr>
                <w:rFonts w:asciiTheme="minorEastAsia" w:hAnsiTheme="minorEastAsia" w:cstheme="minorEastAsia"/>
                <w:kern w:val="0"/>
                <w:sz w:val="16"/>
                <w:szCs w:val="16"/>
              </w:rPr>
              <w:t>0.00</w:t>
            </w:r>
          </w:p>
        </w:tc>
        <w:tc>
          <w:tcPr>
            <w:tcW w:w="773" w:type="dxa"/>
            <w:vAlign w:val="center"/>
          </w:tcPr>
          <w:p w14:paraId="75503D57">
            <w:pPr>
              <w:widowControl/>
              <w:adjustRightInd w:val="0"/>
              <w:snapToGrid w:val="0"/>
              <w:jc w:val="right"/>
              <w:rPr>
                <w:rFonts w:hint="eastAsia" w:asciiTheme="minorEastAsia" w:hAnsiTheme="minorEastAsia" w:cstheme="minorEastAsia"/>
                <w:kern w:val="0"/>
                <w:sz w:val="16"/>
                <w:szCs w:val="16"/>
              </w:rPr>
            </w:pPr>
            <w:r>
              <w:rPr>
                <w:rFonts w:asciiTheme="minorEastAsia" w:hAnsiTheme="minorEastAsia" w:cstheme="minorEastAsia"/>
                <w:kern w:val="0"/>
                <w:sz w:val="16"/>
                <w:szCs w:val="16"/>
              </w:rPr>
              <w:t>23.73%</w:t>
            </w:r>
          </w:p>
        </w:tc>
        <w:tc>
          <w:tcPr>
            <w:tcW w:w="1187" w:type="dxa"/>
            <w:vAlign w:val="center"/>
          </w:tcPr>
          <w:p w14:paraId="224E34C2">
            <w:pPr>
              <w:widowControl/>
              <w:adjustRightInd w:val="0"/>
              <w:snapToGrid w:val="0"/>
              <w:rPr>
                <w:rFonts w:hint="eastAsia" w:asciiTheme="minorEastAsia" w:hAnsiTheme="minorEastAsia" w:cstheme="minorEastAsia"/>
                <w:kern w:val="0"/>
                <w:sz w:val="16"/>
                <w:szCs w:val="16"/>
              </w:rPr>
            </w:pPr>
            <w:r>
              <w:rPr>
                <w:rFonts w:hint="default" w:asciiTheme="minorEastAsia" w:hAnsiTheme="minorEastAsia" w:cstheme="minorEastAsia"/>
                <w:kern w:val="0"/>
                <w:sz w:val="16"/>
                <w:szCs w:val="16"/>
                <w:lang w:val="en-US"/>
              </w:rPr>
              <w:t>-</w:t>
            </w:r>
          </w:p>
        </w:tc>
        <w:tc>
          <w:tcPr>
            <w:tcW w:w="429" w:type="dxa"/>
            <w:vAlign w:val="center"/>
          </w:tcPr>
          <w:p w14:paraId="2D4ABD96">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否</w:t>
            </w:r>
          </w:p>
        </w:tc>
        <w:tc>
          <w:tcPr>
            <w:tcW w:w="692" w:type="dxa"/>
            <w:vAlign w:val="center"/>
          </w:tcPr>
          <w:p w14:paraId="2757E56E">
            <w:pPr>
              <w:widowControl/>
              <w:adjustRightInd w:val="0"/>
              <w:snapToGrid w:val="0"/>
              <w:jc w:val="center"/>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否</w:t>
            </w:r>
          </w:p>
        </w:tc>
      </w:tr>
      <w:tr w14:paraId="6F2A5C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552" w:type="dxa"/>
            <w:vAlign w:val="center"/>
          </w:tcPr>
          <w:p w14:paraId="4F019FA7">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望变</w:t>
            </w:r>
          </w:p>
          <w:p w14:paraId="237F05FB">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电气</w:t>
            </w:r>
          </w:p>
        </w:tc>
        <w:tc>
          <w:tcPr>
            <w:tcW w:w="558" w:type="dxa"/>
            <w:vAlign w:val="center"/>
          </w:tcPr>
          <w:p w14:paraId="0553C1E3">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惠泽</w:t>
            </w:r>
          </w:p>
          <w:p w14:paraId="19C645B4">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电器</w:t>
            </w:r>
          </w:p>
        </w:tc>
        <w:tc>
          <w:tcPr>
            <w:tcW w:w="870" w:type="dxa"/>
            <w:vAlign w:val="center"/>
          </w:tcPr>
          <w:p w14:paraId="2AF06E3D">
            <w:pPr>
              <w:widowControl/>
              <w:adjustRightInd w:val="0"/>
              <w:snapToGrid w:val="0"/>
              <w:rPr>
                <w:rFonts w:hint="eastAsia" w:asciiTheme="minorEastAsia" w:hAnsiTheme="minorEastAsia" w:cstheme="minorEastAsia"/>
                <w:kern w:val="0"/>
                <w:sz w:val="16"/>
                <w:szCs w:val="16"/>
              </w:rPr>
            </w:pPr>
            <w:r>
              <w:rPr>
                <w:rFonts w:eastAsia="宋体" w:asciiTheme="minorEastAsia" w:hAnsiTheme="minorEastAsia" w:cstheme="minorEastAsia"/>
                <w:kern w:val="0"/>
                <w:sz w:val="16"/>
                <w:szCs w:val="16"/>
              </w:rPr>
              <w:t>100.00%</w:t>
            </w:r>
          </w:p>
        </w:tc>
        <w:tc>
          <w:tcPr>
            <w:tcW w:w="709" w:type="dxa"/>
            <w:vAlign w:val="center"/>
          </w:tcPr>
          <w:p w14:paraId="62301A6A">
            <w:pPr>
              <w:widowControl/>
              <w:jc w:val="right"/>
              <w:rPr>
                <w:rFonts w:hint="eastAsia" w:asciiTheme="minorEastAsia" w:hAnsiTheme="minorEastAsia" w:cstheme="minorEastAsia"/>
                <w:kern w:val="0"/>
                <w:sz w:val="16"/>
                <w:szCs w:val="16"/>
                <w:highlight w:val="yellow"/>
              </w:rPr>
            </w:pPr>
            <w:r>
              <w:rPr>
                <w:rFonts w:asciiTheme="minorEastAsia" w:hAnsiTheme="minorEastAsia" w:cstheme="minorEastAsia"/>
                <w:kern w:val="0"/>
                <w:sz w:val="16"/>
                <w:szCs w:val="16"/>
              </w:rPr>
              <w:t>52.19</w:t>
            </w:r>
            <w:r>
              <w:rPr>
                <w:rFonts w:hint="eastAsia" w:asciiTheme="minorEastAsia" w:hAnsiTheme="minorEastAsia" w:cstheme="minorEastAsia"/>
                <w:kern w:val="0"/>
                <w:sz w:val="16"/>
                <w:szCs w:val="16"/>
              </w:rPr>
              <w:t>%</w:t>
            </w:r>
          </w:p>
        </w:tc>
        <w:tc>
          <w:tcPr>
            <w:tcW w:w="1039" w:type="dxa"/>
            <w:vAlign w:val="center"/>
          </w:tcPr>
          <w:p w14:paraId="57739795">
            <w:pPr>
              <w:widowControl/>
              <w:adjustRightInd w:val="0"/>
              <w:snapToGrid w:val="0"/>
              <w:jc w:val="right"/>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1</w:t>
            </w:r>
            <w:r>
              <w:rPr>
                <w:rFonts w:asciiTheme="minorEastAsia" w:hAnsiTheme="minorEastAsia" w:cstheme="minorEastAsia"/>
                <w:kern w:val="0"/>
                <w:sz w:val="16"/>
                <w:szCs w:val="16"/>
              </w:rPr>
              <w:t>0,000.00</w:t>
            </w:r>
          </w:p>
        </w:tc>
        <w:tc>
          <w:tcPr>
            <w:tcW w:w="945" w:type="dxa"/>
            <w:vAlign w:val="center"/>
          </w:tcPr>
          <w:p w14:paraId="15F0B127">
            <w:pPr>
              <w:widowControl/>
              <w:adjustRightInd w:val="0"/>
              <w:snapToGrid w:val="0"/>
              <w:jc w:val="right"/>
              <w:rPr>
                <w:rFonts w:hint="eastAsia" w:asciiTheme="minorEastAsia" w:hAnsiTheme="minorEastAsia" w:cstheme="minorEastAsia"/>
                <w:kern w:val="0"/>
                <w:sz w:val="16"/>
                <w:szCs w:val="16"/>
              </w:rPr>
            </w:pPr>
            <w:r>
              <w:rPr>
                <w:rFonts w:asciiTheme="minorEastAsia" w:hAnsiTheme="minorEastAsia" w:cstheme="minorEastAsia"/>
                <w:kern w:val="0"/>
                <w:sz w:val="16"/>
                <w:szCs w:val="16"/>
              </w:rPr>
              <w:t>1,033.75</w:t>
            </w:r>
          </w:p>
        </w:tc>
        <w:tc>
          <w:tcPr>
            <w:tcW w:w="975" w:type="dxa"/>
            <w:vAlign w:val="center"/>
          </w:tcPr>
          <w:p w14:paraId="22FDC457">
            <w:pPr>
              <w:widowControl/>
              <w:adjustRightInd w:val="0"/>
              <w:snapToGrid w:val="0"/>
              <w:jc w:val="right"/>
              <w:rPr>
                <w:rFonts w:hint="eastAsia" w:asciiTheme="minorEastAsia" w:hAnsiTheme="minorEastAsia" w:cstheme="minorEastAsia"/>
                <w:kern w:val="0"/>
                <w:sz w:val="16"/>
                <w:szCs w:val="16"/>
              </w:rPr>
            </w:pPr>
            <w:r>
              <w:rPr>
                <w:rFonts w:asciiTheme="minorEastAsia" w:hAnsiTheme="minorEastAsia" w:cstheme="minorEastAsia"/>
                <w:kern w:val="0"/>
                <w:sz w:val="16"/>
                <w:szCs w:val="16"/>
              </w:rPr>
              <w:t>900.00</w:t>
            </w:r>
          </w:p>
        </w:tc>
        <w:tc>
          <w:tcPr>
            <w:tcW w:w="773" w:type="dxa"/>
            <w:vAlign w:val="center"/>
          </w:tcPr>
          <w:p w14:paraId="10318ADC">
            <w:pPr>
              <w:widowControl/>
              <w:adjustRightInd w:val="0"/>
              <w:snapToGrid w:val="0"/>
              <w:jc w:val="right"/>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0.4</w:t>
            </w:r>
            <w:r>
              <w:rPr>
                <w:rFonts w:asciiTheme="minorEastAsia" w:hAnsiTheme="minorEastAsia" w:cstheme="minorEastAsia"/>
                <w:kern w:val="0"/>
                <w:sz w:val="16"/>
                <w:szCs w:val="16"/>
              </w:rPr>
              <w:t>3</w:t>
            </w:r>
            <w:r>
              <w:rPr>
                <w:rFonts w:hint="eastAsia" w:asciiTheme="minorEastAsia" w:hAnsiTheme="minorEastAsia" w:cstheme="minorEastAsia"/>
                <w:kern w:val="0"/>
                <w:sz w:val="16"/>
                <w:szCs w:val="16"/>
              </w:rPr>
              <w:t>%</w:t>
            </w:r>
          </w:p>
        </w:tc>
        <w:tc>
          <w:tcPr>
            <w:tcW w:w="1187" w:type="dxa"/>
            <w:vAlign w:val="center"/>
          </w:tcPr>
          <w:p w14:paraId="768C3608">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主债权届满之日起三年</w:t>
            </w:r>
          </w:p>
        </w:tc>
        <w:tc>
          <w:tcPr>
            <w:tcW w:w="429" w:type="dxa"/>
            <w:vAlign w:val="center"/>
          </w:tcPr>
          <w:p w14:paraId="0F113E52">
            <w:pPr>
              <w:widowControl/>
              <w:adjustRightInd w:val="0"/>
              <w:snapToGrid w:val="0"/>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否</w:t>
            </w:r>
          </w:p>
        </w:tc>
        <w:tc>
          <w:tcPr>
            <w:tcW w:w="692" w:type="dxa"/>
            <w:vAlign w:val="center"/>
          </w:tcPr>
          <w:p w14:paraId="39B237F4">
            <w:pPr>
              <w:widowControl/>
              <w:adjustRightInd w:val="0"/>
              <w:snapToGrid w:val="0"/>
              <w:jc w:val="center"/>
              <w:rPr>
                <w:rFonts w:hint="eastAsia" w:asciiTheme="minorEastAsia" w:hAnsiTheme="minorEastAsia" w:cstheme="minorEastAsia"/>
                <w:kern w:val="0"/>
                <w:sz w:val="16"/>
                <w:szCs w:val="16"/>
              </w:rPr>
            </w:pPr>
            <w:r>
              <w:rPr>
                <w:rFonts w:hint="eastAsia" w:asciiTheme="minorEastAsia" w:hAnsiTheme="minorEastAsia" w:cstheme="minorEastAsia"/>
                <w:kern w:val="0"/>
                <w:sz w:val="16"/>
                <w:szCs w:val="16"/>
              </w:rPr>
              <w:t>否</w:t>
            </w:r>
          </w:p>
        </w:tc>
      </w:tr>
      <w:tr w14:paraId="4D71B0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10" w:type="dxa"/>
            <w:gridSpan w:val="2"/>
            <w:vAlign w:val="center"/>
          </w:tcPr>
          <w:p w14:paraId="2324A370">
            <w:pPr>
              <w:widowControl/>
              <w:adjustRightInd w:val="0"/>
              <w:snapToGrid w:val="0"/>
              <w:jc w:val="center"/>
              <w:rPr>
                <w:rFonts w:hint="eastAsia" w:ascii="宋体" w:hAnsi="宋体"/>
                <w:b/>
                <w:bCs/>
                <w:sz w:val="16"/>
                <w:szCs w:val="16"/>
              </w:rPr>
            </w:pPr>
            <w:r>
              <w:rPr>
                <w:rFonts w:hint="eastAsia" w:ascii="宋体" w:hAnsi="宋体"/>
                <w:b/>
                <w:bCs/>
                <w:sz w:val="16"/>
                <w:szCs w:val="16"/>
              </w:rPr>
              <w:t>合计</w:t>
            </w:r>
          </w:p>
        </w:tc>
        <w:tc>
          <w:tcPr>
            <w:tcW w:w="870" w:type="dxa"/>
            <w:vAlign w:val="center"/>
          </w:tcPr>
          <w:p w14:paraId="7BCF6D4B">
            <w:pPr>
              <w:pStyle w:val="33"/>
              <w:widowControl/>
              <w:spacing w:line="240" w:lineRule="auto"/>
              <w:jc w:val="right"/>
              <w:rPr>
                <w:rFonts w:hint="eastAsia" w:ascii="宋体" w:hAnsi="宋体" w:eastAsia="宋体"/>
                <w:b/>
                <w:bCs/>
                <w:sz w:val="16"/>
                <w:szCs w:val="16"/>
                <w:lang w:eastAsia="zh-CN"/>
              </w:rPr>
            </w:pPr>
            <w:r>
              <w:rPr>
                <w:rFonts w:hint="eastAsia" w:ascii="宋体" w:hAnsi="宋体" w:eastAsia="宋体"/>
                <w:b/>
                <w:bCs/>
                <w:sz w:val="16"/>
                <w:szCs w:val="16"/>
                <w:lang w:eastAsia="zh-CN"/>
              </w:rPr>
              <w:t>-</w:t>
            </w:r>
          </w:p>
        </w:tc>
        <w:tc>
          <w:tcPr>
            <w:tcW w:w="709" w:type="dxa"/>
            <w:vAlign w:val="center"/>
          </w:tcPr>
          <w:p w14:paraId="300A7246">
            <w:pPr>
              <w:widowControl/>
              <w:jc w:val="right"/>
              <w:rPr>
                <w:rFonts w:hint="eastAsia" w:asciiTheme="minorEastAsia" w:hAnsiTheme="minorEastAsia" w:cstheme="minorEastAsia"/>
                <w:b/>
                <w:bCs/>
                <w:kern w:val="0"/>
                <w:sz w:val="16"/>
                <w:szCs w:val="16"/>
              </w:rPr>
            </w:pPr>
            <w:r>
              <w:rPr>
                <w:rFonts w:hint="eastAsia" w:asciiTheme="minorEastAsia" w:hAnsiTheme="minorEastAsia" w:cstheme="minorEastAsia"/>
                <w:b/>
                <w:bCs/>
                <w:kern w:val="0"/>
                <w:sz w:val="16"/>
                <w:szCs w:val="16"/>
              </w:rPr>
              <w:t>-</w:t>
            </w:r>
          </w:p>
        </w:tc>
        <w:tc>
          <w:tcPr>
            <w:tcW w:w="1039" w:type="dxa"/>
            <w:vAlign w:val="center"/>
          </w:tcPr>
          <w:p w14:paraId="63D38824">
            <w:pPr>
              <w:widowControl/>
              <w:adjustRightInd w:val="0"/>
              <w:snapToGrid w:val="0"/>
              <w:jc w:val="right"/>
              <w:rPr>
                <w:rFonts w:hint="eastAsia" w:asciiTheme="minorEastAsia" w:hAnsiTheme="minorEastAsia" w:cstheme="minorEastAsia"/>
                <w:b/>
                <w:bCs/>
                <w:kern w:val="0"/>
                <w:sz w:val="16"/>
                <w:szCs w:val="16"/>
              </w:rPr>
            </w:pPr>
            <w:r>
              <w:rPr>
                <w:rFonts w:hint="eastAsia" w:asciiTheme="minorEastAsia" w:hAnsiTheme="minorEastAsia" w:cstheme="minorEastAsia"/>
                <w:b/>
                <w:bCs/>
                <w:kern w:val="0"/>
                <w:sz w:val="16"/>
                <w:szCs w:val="16"/>
              </w:rPr>
              <w:t>150,000.00</w:t>
            </w:r>
          </w:p>
        </w:tc>
        <w:tc>
          <w:tcPr>
            <w:tcW w:w="945" w:type="dxa"/>
            <w:vAlign w:val="center"/>
          </w:tcPr>
          <w:p w14:paraId="08567FD7">
            <w:pPr>
              <w:widowControl/>
              <w:adjustRightInd w:val="0"/>
              <w:snapToGrid w:val="0"/>
              <w:jc w:val="right"/>
              <w:rPr>
                <w:rFonts w:hint="eastAsia" w:asciiTheme="minorEastAsia" w:hAnsiTheme="minorEastAsia" w:cstheme="minorEastAsia"/>
                <w:b/>
                <w:bCs/>
                <w:kern w:val="0"/>
                <w:sz w:val="16"/>
                <w:szCs w:val="16"/>
              </w:rPr>
            </w:pPr>
            <w:r>
              <w:rPr>
                <w:rFonts w:asciiTheme="minorEastAsia" w:hAnsiTheme="minorEastAsia" w:cstheme="minorEastAsia"/>
                <w:b/>
                <w:bCs/>
                <w:kern w:val="0"/>
                <w:sz w:val="16"/>
                <w:szCs w:val="16"/>
              </w:rPr>
              <w:t>62,698.37</w:t>
            </w:r>
          </w:p>
        </w:tc>
        <w:tc>
          <w:tcPr>
            <w:tcW w:w="975" w:type="dxa"/>
            <w:vAlign w:val="center"/>
          </w:tcPr>
          <w:p w14:paraId="3C287889">
            <w:pPr>
              <w:widowControl/>
              <w:adjustRightInd w:val="0"/>
              <w:snapToGrid w:val="0"/>
              <w:jc w:val="right"/>
              <w:rPr>
                <w:rFonts w:hint="eastAsia" w:asciiTheme="minorEastAsia" w:hAnsiTheme="minorEastAsia" w:cstheme="minorEastAsia"/>
                <w:b/>
                <w:bCs/>
                <w:kern w:val="0"/>
                <w:sz w:val="16"/>
                <w:szCs w:val="16"/>
              </w:rPr>
            </w:pPr>
            <w:r>
              <w:rPr>
                <w:rFonts w:asciiTheme="minorEastAsia" w:hAnsiTheme="minorEastAsia" w:cstheme="minorEastAsia"/>
                <w:b/>
                <w:bCs/>
                <w:kern w:val="0"/>
                <w:sz w:val="16"/>
                <w:szCs w:val="16"/>
              </w:rPr>
              <w:t>900.00</w:t>
            </w:r>
          </w:p>
        </w:tc>
        <w:tc>
          <w:tcPr>
            <w:tcW w:w="773" w:type="dxa"/>
            <w:vAlign w:val="center"/>
          </w:tcPr>
          <w:p w14:paraId="05968C1C">
            <w:pPr>
              <w:widowControl/>
              <w:adjustRightInd w:val="0"/>
              <w:snapToGrid w:val="0"/>
              <w:jc w:val="right"/>
              <w:rPr>
                <w:rFonts w:hint="eastAsia" w:asciiTheme="minorEastAsia" w:hAnsiTheme="minorEastAsia" w:cstheme="minorEastAsia"/>
                <w:b/>
                <w:bCs/>
                <w:kern w:val="0"/>
                <w:sz w:val="16"/>
                <w:szCs w:val="16"/>
              </w:rPr>
            </w:pPr>
            <w:r>
              <w:rPr>
                <w:rFonts w:asciiTheme="minorEastAsia" w:hAnsiTheme="minorEastAsia" w:cstheme="minorEastAsia"/>
                <w:b/>
                <w:bCs/>
                <w:kern w:val="0"/>
                <w:sz w:val="16"/>
                <w:szCs w:val="16"/>
              </w:rPr>
              <w:t>25.98%</w:t>
            </w:r>
          </w:p>
        </w:tc>
        <w:tc>
          <w:tcPr>
            <w:tcW w:w="1187" w:type="dxa"/>
            <w:vAlign w:val="center"/>
          </w:tcPr>
          <w:p w14:paraId="40090B0C">
            <w:pPr>
              <w:widowControl/>
              <w:adjustRightInd w:val="0"/>
              <w:snapToGrid w:val="0"/>
              <w:rPr>
                <w:rFonts w:hint="eastAsia" w:asciiTheme="minorEastAsia" w:hAnsiTheme="minorEastAsia" w:cstheme="minorEastAsia"/>
                <w:b/>
                <w:bCs/>
                <w:kern w:val="0"/>
                <w:sz w:val="16"/>
                <w:szCs w:val="16"/>
              </w:rPr>
            </w:pPr>
            <w:r>
              <w:rPr>
                <w:rFonts w:hint="eastAsia" w:asciiTheme="minorEastAsia" w:hAnsiTheme="minorEastAsia" w:cstheme="minorEastAsia"/>
                <w:kern w:val="0"/>
                <w:sz w:val="16"/>
                <w:szCs w:val="16"/>
              </w:rPr>
              <w:t>-</w:t>
            </w:r>
          </w:p>
        </w:tc>
        <w:tc>
          <w:tcPr>
            <w:tcW w:w="429" w:type="dxa"/>
            <w:vAlign w:val="center"/>
          </w:tcPr>
          <w:p w14:paraId="79DFDEFE">
            <w:pPr>
              <w:widowControl/>
              <w:adjustRightInd w:val="0"/>
              <w:snapToGrid w:val="0"/>
              <w:rPr>
                <w:rFonts w:hint="eastAsia" w:asciiTheme="minorEastAsia" w:hAnsiTheme="minorEastAsia" w:cstheme="minorEastAsia"/>
                <w:b/>
                <w:bCs/>
                <w:kern w:val="0"/>
                <w:sz w:val="16"/>
                <w:szCs w:val="16"/>
              </w:rPr>
            </w:pPr>
            <w:r>
              <w:rPr>
                <w:rFonts w:hint="eastAsia" w:asciiTheme="minorEastAsia" w:hAnsiTheme="minorEastAsia" w:cstheme="minorEastAsia"/>
                <w:b/>
                <w:bCs/>
                <w:kern w:val="0"/>
                <w:sz w:val="16"/>
                <w:szCs w:val="16"/>
              </w:rPr>
              <w:t>-</w:t>
            </w:r>
          </w:p>
        </w:tc>
        <w:tc>
          <w:tcPr>
            <w:tcW w:w="692" w:type="dxa"/>
            <w:vAlign w:val="center"/>
          </w:tcPr>
          <w:p w14:paraId="65E930CC">
            <w:pPr>
              <w:widowControl/>
              <w:adjustRightInd w:val="0"/>
              <w:snapToGrid w:val="0"/>
              <w:rPr>
                <w:rFonts w:hint="eastAsia" w:asciiTheme="minorEastAsia" w:hAnsiTheme="minorEastAsia" w:cstheme="minorEastAsia"/>
                <w:b/>
                <w:bCs/>
                <w:kern w:val="0"/>
                <w:sz w:val="16"/>
                <w:szCs w:val="16"/>
              </w:rPr>
            </w:pPr>
            <w:r>
              <w:rPr>
                <w:rFonts w:hint="eastAsia" w:asciiTheme="minorEastAsia" w:hAnsiTheme="minorEastAsia" w:cstheme="minorEastAsia"/>
                <w:b/>
                <w:bCs/>
                <w:kern w:val="0"/>
                <w:sz w:val="16"/>
                <w:szCs w:val="16"/>
              </w:rPr>
              <w:t>-</w:t>
            </w:r>
          </w:p>
        </w:tc>
      </w:tr>
    </w:tbl>
    <w:p w14:paraId="0C85CEC4">
      <w:pPr>
        <w:widowControl/>
        <w:adjustRightInd w:val="0"/>
        <w:snapToGrid w:val="0"/>
        <w:spacing w:line="560" w:lineRule="exact"/>
        <w:jc w:val="left"/>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说明：本表尾差系四舍五入所致。</w:t>
      </w:r>
    </w:p>
    <w:p w14:paraId="3AC1D2D0">
      <w:pPr>
        <w:widowControl/>
        <w:numPr>
          <w:ilvl w:val="0"/>
          <w:numId w:val="2"/>
        </w:numPr>
        <w:adjustRightInd w:val="0"/>
        <w:snapToGrid w:val="0"/>
        <w:spacing w:line="560" w:lineRule="exact"/>
        <w:ind w:firstLine="562" w:firstLineChars="200"/>
        <w:jc w:val="left"/>
        <w:outlineLvl w:val="0"/>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被担保人基本情况</w:t>
      </w:r>
    </w:p>
    <w:p w14:paraId="6BAF9C4A">
      <w:pPr>
        <w:pStyle w:val="17"/>
        <w:widowControl/>
        <w:numPr>
          <w:ilvl w:val="0"/>
          <w:numId w:val="4"/>
        </w:numPr>
        <w:adjustRightInd w:val="0"/>
        <w:snapToGrid w:val="0"/>
        <w:spacing w:line="560" w:lineRule="exact"/>
        <w:ind w:firstLineChars="0"/>
        <w:jc w:val="left"/>
        <w:outlineLvl w:val="1"/>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基本情况 </w:t>
      </w:r>
    </w:p>
    <w:p w14:paraId="31AE0064">
      <w:pPr>
        <w:widowControl/>
        <w:adjustRightInd w:val="0"/>
        <w:snapToGrid w:val="0"/>
        <w:spacing w:line="560" w:lineRule="exact"/>
        <w:ind w:left="480"/>
        <w:jc w:val="left"/>
        <w:outlineLvl w:val="1"/>
        <w:rPr>
          <w:rFonts w:hint="eastAsia" w:asciiTheme="minorEastAsia" w:hAnsiTheme="minorEastAsia" w:cstheme="minorEastAsia"/>
          <w:sz w:val="24"/>
          <w:szCs w:val="24"/>
        </w:rPr>
      </w:pPr>
      <w:r>
        <w:rPr>
          <w:rFonts w:asciiTheme="minorEastAsia" w:hAnsiTheme="minorEastAsia" w:cstheme="minorEastAsia"/>
          <w:sz w:val="24"/>
          <w:szCs w:val="24"/>
        </w:rPr>
        <w:t>1</w:t>
      </w:r>
      <w:r>
        <w:rPr>
          <w:rFonts w:hint="eastAsia" w:asciiTheme="minorEastAsia" w:hAnsiTheme="minorEastAsia" w:cstheme="minorEastAsia"/>
          <w:sz w:val="24"/>
          <w:szCs w:val="24"/>
        </w:rPr>
        <w:t>、</w:t>
      </w:r>
      <w:r>
        <w:rPr>
          <w:rFonts w:hint="eastAsia" w:ascii="宋体" w:hAnsi="宋体" w:eastAsia="宋体" w:cstheme="minorEastAsia"/>
          <w:sz w:val="24"/>
          <w:szCs w:val="24"/>
        </w:rPr>
        <w:t>重庆惠泽电器有限公司</w:t>
      </w:r>
    </w:p>
    <w:tbl>
      <w:tblPr>
        <w:tblStyle w:val="11"/>
        <w:tblW w:w="5000" w:type="pct"/>
        <w:tblInd w:w="0" w:type="dxa"/>
        <w:tblLayout w:type="autofit"/>
        <w:tblCellMar>
          <w:top w:w="0" w:type="dxa"/>
          <w:left w:w="0" w:type="dxa"/>
          <w:bottom w:w="0" w:type="dxa"/>
          <w:right w:w="0" w:type="dxa"/>
        </w:tblCellMar>
      </w:tblPr>
      <w:tblGrid>
        <w:gridCol w:w="2512"/>
        <w:gridCol w:w="1512"/>
        <w:gridCol w:w="2127"/>
        <w:gridCol w:w="2267"/>
      </w:tblGrid>
      <w:tr w14:paraId="68673D50">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7B51D45E">
            <w:pPr>
              <w:widowControl/>
              <w:adjustRightInd w:val="0"/>
              <w:snapToGrid w:val="0"/>
              <w:rPr>
                <w:rFonts w:hint="eastAsia"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被担保人类型</w:t>
            </w:r>
          </w:p>
        </w:tc>
        <w:tc>
          <w:tcPr>
            <w:tcW w:w="3507" w:type="pct"/>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0D4D0466">
            <w:pPr>
              <w:adjustRightInd w:val="0"/>
              <w:snapToGrid w:val="0"/>
              <w:rPr>
                <w:rFonts w:hint="eastAsia" w:asciiTheme="minorEastAsia" w:hAnsiTheme="minorEastAsia" w:cstheme="minorEastAsia"/>
                <w:color w:val="000000"/>
                <w:sz w:val="16"/>
                <w:szCs w:val="16"/>
              </w:rPr>
            </w:pPr>
            <w:r>
              <w:rPr>
                <w:rFonts w:ascii="Segoe UI Symbol" w:hAnsi="Segoe UI Symbol" w:cs="Segoe UI Symbol"/>
                <w:color w:val="000000"/>
                <w:sz w:val="16"/>
                <w:szCs w:val="16"/>
              </w:rPr>
              <w:t>☑</w:t>
            </w:r>
            <w:r>
              <w:rPr>
                <w:rFonts w:hint="eastAsia" w:ascii="宋体" w:hAnsi="宋体" w:eastAsia="宋体" w:cs="宋体"/>
                <w:color w:val="000000"/>
                <w:sz w:val="16"/>
                <w:szCs w:val="16"/>
              </w:rPr>
              <w:t>法人</w:t>
            </w:r>
          </w:p>
          <w:p w14:paraId="5EAE8668">
            <w:pPr>
              <w:widowControl/>
              <w:adjustRightInd w:val="0"/>
              <w:snapToGrid w:val="0"/>
              <w:rPr>
                <w:rFonts w:hint="eastAsia" w:asciiTheme="minorEastAsia" w:hAnsiTheme="minorEastAsia" w:cstheme="minorEastAsia"/>
                <w:color w:val="000000"/>
                <w:kern w:val="0"/>
                <w:sz w:val="16"/>
                <w:szCs w:val="16"/>
              </w:rPr>
            </w:pPr>
            <w:r>
              <w:rPr>
                <w:rFonts w:hint="eastAsia" w:asciiTheme="minorEastAsia" w:hAnsiTheme="minorEastAsia" w:cstheme="minorEastAsia"/>
                <w:color w:val="000000"/>
                <w:sz w:val="16"/>
                <w:szCs w:val="16"/>
              </w:rPr>
              <w:t>□其他</w:t>
            </w:r>
            <w:r>
              <w:rPr>
                <w:rFonts w:hint="eastAsia" w:asciiTheme="minorEastAsia" w:hAnsiTheme="minorEastAsia" w:cstheme="minorEastAsia"/>
                <w:sz w:val="16"/>
                <w:szCs w:val="16"/>
              </w:rPr>
              <w:t>______________</w:t>
            </w:r>
            <w:r>
              <w:rPr>
                <w:rFonts w:hint="eastAsia" w:asciiTheme="minorEastAsia" w:hAnsiTheme="minorEastAsia" w:cstheme="minorEastAsia"/>
                <w:color w:val="000000"/>
                <w:sz w:val="16"/>
                <w:szCs w:val="16"/>
              </w:rPr>
              <w:t>（请注明）</w:t>
            </w:r>
          </w:p>
        </w:tc>
      </w:tr>
      <w:tr w14:paraId="407A8D7A">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5BA817BA">
            <w:pPr>
              <w:widowControl/>
              <w:adjustRightInd w:val="0"/>
              <w:snapToGrid w:val="0"/>
              <w:rPr>
                <w:rFonts w:hint="eastAsia" w:asciiTheme="minorEastAsia" w:hAnsiTheme="minorEastAsia" w:cstheme="minorEastAsia"/>
                <w:color w:val="000000"/>
                <w:kern w:val="0"/>
                <w:sz w:val="16"/>
                <w:szCs w:val="16"/>
              </w:rPr>
            </w:pPr>
            <w:r>
              <w:rPr>
                <w:rFonts w:hint="eastAsia" w:asciiTheme="minorEastAsia" w:hAnsiTheme="minorEastAsia" w:cstheme="minorEastAsia"/>
                <w:color w:val="000000"/>
                <w:sz w:val="16"/>
                <w:szCs w:val="16"/>
              </w:rPr>
              <w:t>被担保人名称</w:t>
            </w:r>
          </w:p>
        </w:tc>
        <w:tc>
          <w:tcPr>
            <w:tcW w:w="3507" w:type="pct"/>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5AA32976">
            <w:pPr>
              <w:widowControl/>
              <w:adjustRightInd w:val="0"/>
              <w:snapToGrid w:val="0"/>
              <w:rPr>
                <w:rFonts w:hint="eastAsia"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重庆惠泽电器有限公司</w:t>
            </w:r>
          </w:p>
        </w:tc>
      </w:tr>
      <w:tr w14:paraId="0652106A">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38925398">
            <w:pPr>
              <w:widowControl/>
              <w:adjustRightInd w:val="0"/>
              <w:snapToGrid w:val="0"/>
              <w:rPr>
                <w:rFonts w:hint="eastAsia" w:asciiTheme="minorEastAsia" w:hAnsiTheme="minorEastAsia" w:cstheme="minorEastAsia"/>
                <w:color w:val="000000"/>
                <w:sz w:val="16"/>
                <w:szCs w:val="16"/>
              </w:rPr>
            </w:pPr>
            <w:r>
              <w:rPr>
                <w:rFonts w:hint="eastAsia" w:asciiTheme="minorEastAsia" w:hAnsiTheme="minorEastAsia" w:cstheme="minorEastAsia"/>
                <w:color w:val="000000"/>
                <w:sz w:val="16"/>
                <w:szCs w:val="16"/>
              </w:rPr>
              <w:t>被担保人类型及上市公司持股情况</w:t>
            </w:r>
          </w:p>
        </w:tc>
        <w:tc>
          <w:tcPr>
            <w:tcW w:w="3507" w:type="pct"/>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609DB2A0">
            <w:pPr>
              <w:widowControl/>
              <w:adjustRightInd w:val="0"/>
              <w:snapToGrid w:val="0"/>
              <w:rPr>
                <w:rFonts w:hint="eastAsia" w:asciiTheme="minorEastAsia" w:hAnsiTheme="minorEastAsia" w:cstheme="minorEastAsia"/>
                <w:color w:val="000000"/>
                <w:sz w:val="16"/>
                <w:szCs w:val="16"/>
              </w:rPr>
            </w:pPr>
            <w:r>
              <w:rPr>
                <w:rFonts w:ascii="Segoe UI Symbol" w:hAnsi="Segoe UI Symbol" w:cs="Segoe UI Symbol"/>
                <w:color w:val="000000"/>
                <w:sz w:val="16"/>
                <w:szCs w:val="16"/>
              </w:rPr>
              <w:t>☑</w:t>
            </w:r>
            <w:r>
              <w:rPr>
                <w:rFonts w:hint="eastAsia" w:ascii="宋体" w:hAnsi="宋体" w:eastAsia="宋体" w:cs="宋体"/>
                <w:color w:val="000000"/>
                <w:sz w:val="16"/>
                <w:szCs w:val="16"/>
              </w:rPr>
              <w:t>全资子公司</w:t>
            </w:r>
          </w:p>
          <w:p w14:paraId="1CDA9E1C">
            <w:pPr>
              <w:widowControl/>
              <w:adjustRightInd w:val="0"/>
              <w:snapToGrid w:val="0"/>
              <w:rPr>
                <w:rFonts w:hint="eastAsia" w:asciiTheme="minorEastAsia" w:hAnsiTheme="minorEastAsia" w:cstheme="minorEastAsia"/>
                <w:color w:val="000000"/>
                <w:sz w:val="16"/>
                <w:szCs w:val="16"/>
              </w:rPr>
            </w:pPr>
            <w:r>
              <w:rPr>
                <w:rFonts w:hint="eastAsia" w:asciiTheme="minorEastAsia" w:hAnsiTheme="minorEastAsia" w:cstheme="minorEastAsia"/>
                <w:color w:val="000000"/>
                <w:sz w:val="16"/>
                <w:szCs w:val="16"/>
              </w:rPr>
              <w:t>□控股子公司</w:t>
            </w:r>
          </w:p>
          <w:p w14:paraId="09F066ED">
            <w:pPr>
              <w:widowControl/>
              <w:adjustRightInd w:val="0"/>
              <w:snapToGrid w:val="0"/>
              <w:rPr>
                <w:rFonts w:hint="eastAsia" w:asciiTheme="minorEastAsia" w:hAnsiTheme="minorEastAsia" w:cstheme="minorEastAsia"/>
                <w:color w:val="000000"/>
                <w:sz w:val="16"/>
                <w:szCs w:val="16"/>
              </w:rPr>
            </w:pPr>
            <w:r>
              <w:rPr>
                <w:rFonts w:hint="eastAsia" w:asciiTheme="minorEastAsia" w:hAnsiTheme="minorEastAsia" w:cstheme="minorEastAsia"/>
                <w:color w:val="000000"/>
                <w:sz w:val="16"/>
                <w:szCs w:val="16"/>
              </w:rPr>
              <w:t>□参股公司</w:t>
            </w:r>
          </w:p>
          <w:p w14:paraId="66A941E6">
            <w:pPr>
              <w:widowControl/>
              <w:adjustRightInd w:val="0"/>
              <w:snapToGrid w:val="0"/>
              <w:rPr>
                <w:rFonts w:hint="eastAsia" w:asciiTheme="minorEastAsia" w:hAnsiTheme="minorEastAsia" w:cstheme="minorEastAsia"/>
                <w:color w:val="000000"/>
                <w:sz w:val="16"/>
                <w:szCs w:val="16"/>
              </w:rPr>
            </w:pPr>
            <w:r>
              <w:rPr>
                <w:rFonts w:hint="eastAsia" w:asciiTheme="minorEastAsia" w:hAnsiTheme="minorEastAsia" w:cstheme="minorEastAsia"/>
                <w:color w:val="000000"/>
                <w:sz w:val="16"/>
                <w:szCs w:val="16"/>
              </w:rPr>
              <w:t>□其他</w:t>
            </w:r>
            <w:r>
              <w:rPr>
                <w:rFonts w:hint="eastAsia" w:asciiTheme="minorEastAsia" w:hAnsiTheme="minorEastAsia" w:cstheme="minorEastAsia"/>
                <w:sz w:val="16"/>
                <w:szCs w:val="16"/>
              </w:rPr>
              <w:t>_______</w:t>
            </w:r>
            <w:r>
              <w:rPr>
                <w:rFonts w:asciiTheme="minorEastAsia" w:hAnsiTheme="minorEastAsia" w:cstheme="minorEastAsia"/>
                <w:sz w:val="16"/>
                <w:szCs w:val="16"/>
              </w:rPr>
              <w:t>_</w:t>
            </w:r>
            <w:r>
              <w:rPr>
                <w:rFonts w:hint="eastAsia" w:asciiTheme="minorEastAsia" w:hAnsiTheme="minorEastAsia" w:cstheme="minorEastAsia"/>
                <w:sz w:val="16"/>
                <w:szCs w:val="16"/>
              </w:rPr>
              <w:t>______</w:t>
            </w:r>
            <w:r>
              <w:rPr>
                <w:rFonts w:hint="eastAsia" w:asciiTheme="minorEastAsia" w:hAnsiTheme="minorEastAsia" w:cstheme="minorEastAsia"/>
                <w:color w:val="000000"/>
                <w:sz w:val="16"/>
                <w:szCs w:val="16"/>
              </w:rPr>
              <w:t>（请注明）</w:t>
            </w:r>
          </w:p>
        </w:tc>
      </w:tr>
      <w:tr w14:paraId="0A9B07A2">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154C6FA7">
            <w:pPr>
              <w:widowControl/>
              <w:adjustRightInd w:val="0"/>
              <w:snapToGrid w:val="0"/>
              <w:rPr>
                <w:rFonts w:hint="eastAsia" w:asciiTheme="minorEastAsia" w:hAnsiTheme="minorEastAsia" w:cstheme="minorEastAsia"/>
                <w:color w:val="000000"/>
                <w:sz w:val="16"/>
                <w:szCs w:val="16"/>
              </w:rPr>
            </w:pPr>
            <w:r>
              <w:rPr>
                <w:rFonts w:hint="eastAsia" w:asciiTheme="minorEastAsia" w:hAnsiTheme="minorEastAsia" w:cstheme="minorEastAsia"/>
                <w:color w:val="000000"/>
                <w:sz w:val="16"/>
                <w:szCs w:val="16"/>
              </w:rPr>
              <w:t>主要股东及持股比例</w:t>
            </w:r>
          </w:p>
        </w:tc>
        <w:tc>
          <w:tcPr>
            <w:tcW w:w="3507" w:type="pct"/>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30641589">
            <w:pPr>
              <w:widowControl/>
              <w:adjustRightInd w:val="0"/>
              <w:snapToGrid w:val="0"/>
              <w:rPr>
                <w:rFonts w:hint="eastAsia"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望变电气持股100%</w:t>
            </w:r>
          </w:p>
        </w:tc>
      </w:tr>
      <w:tr w14:paraId="78CB263B">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788083AD">
            <w:pPr>
              <w:widowControl/>
              <w:adjustRightInd w:val="0"/>
              <w:snapToGrid w:val="0"/>
              <w:rPr>
                <w:rFonts w:hint="eastAsia" w:asciiTheme="minorEastAsia" w:hAnsiTheme="minorEastAsia" w:cstheme="minorEastAsia"/>
                <w:color w:val="000000"/>
                <w:kern w:val="0"/>
                <w:sz w:val="16"/>
                <w:szCs w:val="16"/>
              </w:rPr>
            </w:pPr>
            <w:r>
              <w:rPr>
                <w:rFonts w:hint="eastAsia" w:asciiTheme="minorEastAsia" w:hAnsiTheme="minorEastAsia" w:cstheme="minorEastAsia"/>
                <w:color w:val="000000"/>
                <w:sz w:val="16"/>
                <w:szCs w:val="16"/>
              </w:rPr>
              <w:t>法定代表人</w:t>
            </w:r>
          </w:p>
        </w:tc>
        <w:tc>
          <w:tcPr>
            <w:tcW w:w="3507" w:type="pct"/>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75487C08">
            <w:pPr>
              <w:widowControl/>
              <w:adjustRightInd w:val="0"/>
              <w:snapToGrid w:val="0"/>
              <w:rPr>
                <w:rFonts w:hint="eastAsia"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皮统政</w:t>
            </w:r>
          </w:p>
        </w:tc>
      </w:tr>
      <w:tr w14:paraId="76D89D96">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248691DB">
            <w:pPr>
              <w:widowControl/>
              <w:adjustRightInd w:val="0"/>
              <w:snapToGrid w:val="0"/>
              <w:rPr>
                <w:rFonts w:hint="eastAsia"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统一社会信用代码</w:t>
            </w:r>
          </w:p>
        </w:tc>
        <w:tc>
          <w:tcPr>
            <w:tcW w:w="3507" w:type="pct"/>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5996521A">
            <w:pPr>
              <w:widowControl/>
              <w:adjustRightInd w:val="0"/>
              <w:snapToGrid w:val="0"/>
              <w:rPr>
                <w:rFonts w:hint="eastAsia" w:asciiTheme="minorEastAsia" w:hAnsiTheme="minorEastAsia" w:cstheme="minorEastAsia"/>
                <w:color w:val="000000"/>
                <w:kern w:val="0"/>
                <w:sz w:val="16"/>
                <w:szCs w:val="16"/>
              </w:rPr>
            </w:pPr>
            <w:r>
              <w:rPr>
                <w:rFonts w:ascii="宋体" w:hAnsi="宋体" w:cs="宋体"/>
                <w:bCs/>
                <w:snapToGrid w:val="0"/>
                <w:kern w:val="0"/>
                <w:sz w:val="16"/>
                <w:szCs w:val="16"/>
              </w:rPr>
              <w:t>91500115745302994P</w:t>
            </w:r>
          </w:p>
        </w:tc>
      </w:tr>
      <w:tr w14:paraId="649FB8EB">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6F228424">
            <w:pPr>
              <w:widowControl/>
              <w:adjustRightInd w:val="0"/>
              <w:snapToGrid w:val="0"/>
              <w:rPr>
                <w:rFonts w:hint="eastAsia"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成立时间</w:t>
            </w:r>
          </w:p>
        </w:tc>
        <w:tc>
          <w:tcPr>
            <w:tcW w:w="3507" w:type="pct"/>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1A3454A3">
            <w:pPr>
              <w:widowControl/>
              <w:adjustRightInd w:val="0"/>
              <w:snapToGrid w:val="0"/>
              <w:rPr>
                <w:rFonts w:hint="eastAsia" w:asciiTheme="minorEastAsia" w:hAnsiTheme="minorEastAsia" w:cstheme="minorEastAsia"/>
                <w:color w:val="000000"/>
                <w:kern w:val="0"/>
                <w:sz w:val="16"/>
                <w:szCs w:val="16"/>
              </w:rPr>
            </w:pPr>
            <w:r>
              <w:rPr>
                <w:rFonts w:ascii="宋体" w:hAnsi="宋体" w:cs="宋体"/>
                <w:bCs/>
                <w:snapToGrid w:val="0"/>
                <w:kern w:val="0"/>
                <w:sz w:val="16"/>
                <w:szCs w:val="16"/>
              </w:rPr>
              <w:t>2002</w:t>
            </w:r>
            <w:r>
              <w:rPr>
                <w:rFonts w:hint="eastAsia" w:ascii="宋体" w:hAnsi="宋体" w:cs="宋体"/>
                <w:bCs/>
                <w:snapToGrid w:val="0"/>
                <w:kern w:val="0"/>
                <w:sz w:val="16"/>
                <w:szCs w:val="16"/>
              </w:rPr>
              <w:t>年1</w:t>
            </w:r>
            <w:r>
              <w:rPr>
                <w:rFonts w:ascii="宋体" w:hAnsi="宋体" w:cs="宋体"/>
                <w:bCs/>
                <w:snapToGrid w:val="0"/>
                <w:kern w:val="0"/>
                <w:sz w:val="16"/>
                <w:szCs w:val="16"/>
              </w:rPr>
              <w:t>1</w:t>
            </w:r>
            <w:r>
              <w:rPr>
                <w:rFonts w:hint="eastAsia" w:ascii="宋体" w:hAnsi="宋体" w:cs="宋体"/>
                <w:bCs/>
                <w:snapToGrid w:val="0"/>
                <w:kern w:val="0"/>
                <w:sz w:val="16"/>
                <w:szCs w:val="16"/>
              </w:rPr>
              <w:t>月</w:t>
            </w:r>
            <w:r>
              <w:rPr>
                <w:rFonts w:ascii="宋体" w:hAnsi="宋体" w:cs="宋体"/>
                <w:bCs/>
                <w:snapToGrid w:val="0"/>
                <w:kern w:val="0"/>
                <w:sz w:val="16"/>
                <w:szCs w:val="16"/>
              </w:rPr>
              <w:t>15</w:t>
            </w:r>
            <w:r>
              <w:rPr>
                <w:rFonts w:hint="eastAsia" w:ascii="宋体" w:hAnsi="宋体" w:cs="宋体"/>
                <w:bCs/>
                <w:snapToGrid w:val="0"/>
                <w:kern w:val="0"/>
                <w:sz w:val="16"/>
                <w:szCs w:val="16"/>
              </w:rPr>
              <w:t>日</w:t>
            </w:r>
          </w:p>
        </w:tc>
      </w:tr>
      <w:tr w14:paraId="0A5551CF">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5E86090E">
            <w:pPr>
              <w:widowControl/>
              <w:adjustRightInd w:val="0"/>
              <w:snapToGrid w:val="0"/>
              <w:rPr>
                <w:rFonts w:hint="eastAsia"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注册地</w:t>
            </w:r>
          </w:p>
        </w:tc>
        <w:tc>
          <w:tcPr>
            <w:tcW w:w="3507" w:type="pct"/>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57163753">
            <w:pPr>
              <w:widowControl/>
              <w:adjustRightInd w:val="0"/>
              <w:snapToGrid w:val="0"/>
              <w:jc w:val="left"/>
              <w:rPr>
                <w:rFonts w:hint="eastAsia"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重庆市长寿区凤城轻化路（彭家坪）</w:t>
            </w:r>
          </w:p>
        </w:tc>
      </w:tr>
      <w:tr w14:paraId="2111973D">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06301FD6">
            <w:pPr>
              <w:widowControl/>
              <w:adjustRightInd w:val="0"/>
              <w:snapToGrid w:val="0"/>
              <w:rPr>
                <w:rFonts w:hint="eastAsia"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注册资本</w:t>
            </w:r>
          </w:p>
        </w:tc>
        <w:tc>
          <w:tcPr>
            <w:tcW w:w="3507" w:type="pct"/>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7F41F99A">
            <w:pPr>
              <w:widowControl/>
              <w:adjustRightInd w:val="0"/>
              <w:snapToGrid w:val="0"/>
              <w:jc w:val="left"/>
              <w:rPr>
                <w:rFonts w:hint="eastAsia"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人民币</w:t>
            </w:r>
            <w:r>
              <w:rPr>
                <w:rFonts w:asciiTheme="minorEastAsia" w:hAnsiTheme="minorEastAsia" w:cstheme="minorEastAsia"/>
                <w:color w:val="000000"/>
                <w:kern w:val="0"/>
                <w:sz w:val="16"/>
                <w:szCs w:val="16"/>
              </w:rPr>
              <w:t>4,000.00万元</w:t>
            </w:r>
          </w:p>
        </w:tc>
      </w:tr>
      <w:tr w14:paraId="5B4DE95A">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3AE3B03D">
            <w:pPr>
              <w:widowControl/>
              <w:adjustRightInd w:val="0"/>
              <w:snapToGrid w:val="0"/>
              <w:rPr>
                <w:rFonts w:hint="eastAsia"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公司类型</w:t>
            </w:r>
          </w:p>
        </w:tc>
        <w:tc>
          <w:tcPr>
            <w:tcW w:w="3507" w:type="pct"/>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4BECED06">
            <w:pPr>
              <w:widowControl/>
              <w:adjustRightInd w:val="0"/>
              <w:snapToGrid w:val="0"/>
              <w:rPr>
                <w:rFonts w:hint="eastAsia"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有限责任公司（法人独资）</w:t>
            </w:r>
          </w:p>
        </w:tc>
      </w:tr>
      <w:tr w14:paraId="5A59ACE6">
        <w:tblPrEx>
          <w:tblCellMar>
            <w:top w:w="0" w:type="dxa"/>
            <w:left w:w="0" w:type="dxa"/>
            <w:bottom w:w="0" w:type="dxa"/>
            <w:right w:w="0" w:type="dxa"/>
          </w:tblCellMar>
        </w:tblPrEx>
        <w:trPr>
          <w:trHeight w:val="397" w:hRule="atLeast"/>
        </w:trPr>
        <w:tc>
          <w:tcPr>
            <w:tcW w:w="1492" w:type="pct"/>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56FE0A4B">
            <w:pPr>
              <w:widowControl/>
              <w:adjustRightInd w:val="0"/>
              <w:snapToGrid w:val="0"/>
              <w:rPr>
                <w:rFonts w:hint="eastAsia"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经营范围</w:t>
            </w:r>
          </w:p>
        </w:tc>
        <w:tc>
          <w:tcPr>
            <w:tcW w:w="3507" w:type="pct"/>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6ADDCEF6">
            <w:pPr>
              <w:widowControl/>
              <w:adjustRightInd w:val="0"/>
              <w:snapToGrid w:val="0"/>
              <w:jc w:val="left"/>
              <w:rPr>
                <w:rFonts w:hint="eastAsia"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许可项目：建设工程施工，输电、供电、受电电力设施的安装、维修和试验（依法须经批准的项目，经相关部门批准后方可开展经营活动，具体经营项目以相关部门批准文件或许可证件为准）一般项目：制造、销售：开关柜屏、变压器、箱变外壳、电线；修理变压器；输配电及控制设备制造、安装、修试、运维；普通机械设备加工；水利电力工程安装及技术咨询；销售：建材；再生资源回收、加工（不含固体废物、危险废物、报废汽车等需经相关部门批准的项目），磁性材料销售（除依法须经批准的项目外，凭营业执照依法自主开展经营活动）</w:t>
            </w:r>
          </w:p>
        </w:tc>
      </w:tr>
      <w:tr w14:paraId="7DB8A8BC">
        <w:tblPrEx>
          <w:tblCellMar>
            <w:top w:w="0" w:type="dxa"/>
            <w:left w:w="0" w:type="dxa"/>
            <w:bottom w:w="0" w:type="dxa"/>
            <w:right w:w="0" w:type="dxa"/>
          </w:tblCellMar>
        </w:tblPrEx>
        <w:trPr>
          <w:trHeight w:val="397" w:hRule="atLeast"/>
        </w:trPr>
        <w:tc>
          <w:tcPr>
            <w:tcW w:w="1492" w:type="pct"/>
            <w:vMerge w:val="restart"/>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3D4AE55F">
            <w:pPr>
              <w:widowControl/>
              <w:adjustRightInd w:val="0"/>
              <w:snapToGrid w:val="0"/>
              <w:jc w:val="left"/>
              <w:rPr>
                <w:rFonts w:hint="eastAsia"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主要财务指标（万元）</w:t>
            </w:r>
          </w:p>
        </w:tc>
        <w:tc>
          <w:tcPr>
            <w:tcW w:w="898" w:type="pct"/>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7D4E43FA">
            <w:pPr>
              <w:widowControl/>
              <w:adjustRightInd w:val="0"/>
              <w:snapToGrid w:val="0"/>
              <w:jc w:val="center"/>
              <w:rPr>
                <w:rFonts w:hint="eastAsia"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项目</w:t>
            </w:r>
          </w:p>
        </w:tc>
        <w:tc>
          <w:tcPr>
            <w:tcW w:w="1263" w:type="pct"/>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3E92BF30">
            <w:pPr>
              <w:widowControl/>
              <w:adjustRightInd w:val="0"/>
              <w:snapToGrid w:val="0"/>
              <w:jc w:val="center"/>
              <w:rPr>
                <w:rFonts w:hint="eastAsia" w:ascii="宋体" w:hAnsi="宋体" w:cs="宋体"/>
                <w:kern w:val="0"/>
                <w:sz w:val="16"/>
                <w:szCs w:val="16"/>
              </w:rPr>
            </w:pPr>
            <w:r>
              <w:rPr>
                <w:rFonts w:hint="eastAsia" w:ascii="宋体" w:hAnsi="宋体" w:cs="宋体"/>
                <w:kern w:val="0"/>
                <w:sz w:val="16"/>
                <w:szCs w:val="16"/>
              </w:rPr>
              <w:t>2025年</w:t>
            </w:r>
            <w:r>
              <w:rPr>
                <w:rFonts w:ascii="宋体" w:hAnsi="宋体" w:cs="宋体"/>
                <w:kern w:val="0"/>
                <w:sz w:val="16"/>
                <w:szCs w:val="16"/>
              </w:rPr>
              <w:t>9</w:t>
            </w:r>
            <w:r>
              <w:rPr>
                <w:rFonts w:hint="eastAsia" w:ascii="宋体" w:hAnsi="宋体" w:cs="宋体"/>
                <w:kern w:val="0"/>
                <w:sz w:val="16"/>
                <w:szCs w:val="16"/>
              </w:rPr>
              <w:t>月</w:t>
            </w:r>
            <w:r>
              <w:rPr>
                <w:rFonts w:ascii="宋体" w:hAnsi="宋体" w:cs="宋体"/>
                <w:kern w:val="0"/>
                <w:sz w:val="16"/>
                <w:szCs w:val="16"/>
              </w:rPr>
              <w:t>30</w:t>
            </w:r>
            <w:r>
              <w:rPr>
                <w:rFonts w:hint="eastAsia" w:ascii="宋体" w:hAnsi="宋体" w:cs="宋体"/>
                <w:kern w:val="0"/>
                <w:sz w:val="16"/>
                <w:szCs w:val="16"/>
              </w:rPr>
              <w:t>日</w:t>
            </w:r>
          </w:p>
          <w:p w14:paraId="1EBD6789">
            <w:pPr>
              <w:widowControl/>
              <w:adjustRightInd w:val="0"/>
              <w:snapToGrid w:val="0"/>
              <w:jc w:val="center"/>
              <w:rPr>
                <w:rFonts w:hint="eastAsia" w:asciiTheme="minorEastAsia" w:hAnsiTheme="minorEastAsia" w:cstheme="minorEastAsia"/>
                <w:color w:val="FF0000"/>
                <w:kern w:val="0"/>
                <w:sz w:val="16"/>
                <w:szCs w:val="16"/>
              </w:rPr>
            </w:pPr>
            <w:r>
              <w:rPr>
                <w:rFonts w:hint="eastAsia" w:ascii="宋体" w:hAnsi="宋体" w:cs="宋体"/>
                <w:kern w:val="0"/>
                <w:sz w:val="16"/>
                <w:szCs w:val="16"/>
              </w:rPr>
              <w:t>（未经审计）</w:t>
            </w:r>
          </w:p>
        </w:tc>
        <w:tc>
          <w:tcPr>
            <w:tcW w:w="1346" w:type="pct"/>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6339B71A">
            <w:pPr>
              <w:widowControl/>
              <w:adjustRightInd w:val="0"/>
              <w:snapToGrid w:val="0"/>
              <w:jc w:val="center"/>
              <w:rPr>
                <w:rFonts w:hint="eastAsia" w:ascii="宋体" w:hAnsi="宋体" w:cs="宋体"/>
                <w:kern w:val="0"/>
                <w:sz w:val="16"/>
                <w:szCs w:val="16"/>
              </w:rPr>
            </w:pPr>
            <w:r>
              <w:rPr>
                <w:rFonts w:hint="eastAsia" w:ascii="宋体" w:hAnsi="宋体" w:cs="宋体"/>
                <w:kern w:val="0"/>
                <w:sz w:val="16"/>
                <w:szCs w:val="16"/>
              </w:rPr>
              <w:t>2024年12月31日</w:t>
            </w:r>
          </w:p>
          <w:p w14:paraId="38325376">
            <w:pPr>
              <w:widowControl/>
              <w:adjustRightInd w:val="0"/>
              <w:snapToGrid w:val="0"/>
              <w:jc w:val="center"/>
              <w:rPr>
                <w:rFonts w:hint="eastAsia" w:asciiTheme="minorEastAsia" w:hAnsiTheme="minorEastAsia" w:cstheme="minorEastAsia"/>
                <w:color w:val="FF0000"/>
                <w:kern w:val="0"/>
                <w:sz w:val="16"/>
                <w:szCs w:val="16"/>
              </w:rPr>
            </w:pPr>
            <w:r>
              <w:rPr>
                <w:rFonts w:hint="eastAsia" w:ascii="宋体" w:hAnsi="宋体" w:cs="宋体"/>
                <w:kern w:val="0"/>
                <w:sz w:val="16"/>
                <w:szCs w:val="16"/>
              </w:rPr>
              <w:t>（经审计）</w:t>
            </w:r>
          </w:p>
        </w:tc>
      </w:tr>
      <w:tr w14:paraId="7A8B8D79">
        <w:tblPrEx>
          <w:tblCellMar>
            <w:top w:w="0" w:type="dxa"/>
            <w:left w:w="0" w:type="dxa"/>
            <w:bottom w:w="0" w:type="dxa"/>
            <w:right w:w="0" w:type="dxa"/>
          </w:tblCellMar>
        </w:tblPrEx>
        <w:trPr>
          <w:trHeight w:val="397" w:hRule="atLeast"/>
        </w:trPr>
        <w:tc>
          <w:tcPr>
            <w:tcW w:w="1492" w:type="pct"/>
            <w:vMerge w:val="continue"/>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302E3074">
            <w:pPr>
              <w:widowControl/>
              <w:adjustRightInd w:val="0"/>
              <w:snapToGrid w:val="0"/>
              <w:jc w:val="left"/>
              <w:rPr>
                <w:rFonts w:hint="eastAsia" w:asciiTheme="minorEastAsia" w:hAnsiTheme="minorEastAsia" w:cstheme="minorEastAsia"/>
                <w:color w:val="000000"/>
                <w:kern w:val="0"/>
                <w:sz w:val="16"/>
                <w:szCs w:val="16"/>
              </w:rPr>
            </w:pPr>
          </w:p>
        </w:tc>
        <w:tc>
          <w:tcPr>
            <w:tcW w:w="898" w:type="pct"/>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7705AB3A">
            <w:pPr>
              <w:widowControl/>
              <w:adjustRightInd w:val="0"/>
              <w:snapToGrid w:val="0"/>
              <w:jc w:val="left"/>
              <w:rPr>
                <w:rFonts w:hint="eastAsia"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资产总额</w:t>
            </w:r>
          </w:p>
        </w:tc>
        <w:tc>
          <w:tcPr>
            <w:tcW w:w="1263" w:type="pct"/>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2F86CF26">
            <w:pPr>
              <w:widowControl/>
              <w:jc w:val="right"/>
              <w:textAlignment w:val="center"/>
              <w:rPr>
                <w:rFonts w:hint="eastAsia" w:asciiTheme="minorEastAsia" w:hAnsiTheme="minorEastAsia" w:cstheme="minorEastAsia"/>
                <w:kern w:val="0"/>
                <w:sz w:val="16"/>
                <w:szCs w:val="16"/>
              </w:rPr>
            </w:pPr>
            <w:r>
              <w:rPr>
                <w:rFonts w:ascii="宋体" w:hAnsi="宋体" w:cs="宋体"/>
                <w:kern w:val="0"/>
                <w:sz w:val="16"/>
                <w:szCs w:val="16"/>
                <w:lang w:bidi="ar"/>
              </w:rPr>
              <w:t>7,468.15</w:t>
            </w:r>
          </w:p>
        </w:tc>
        <w:tc>
          <w:tcPr>
            <w:tcW w:w="1346" w:type="pct"/>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61C5C10A">
            <w:pPr>
              <w:widowControl/>
              <w:jc w:val="right"/>
              <w:textAlignment w:val="center"/>
              <w:rPr>
                <w:rFonts w:hint="eastAsia"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4</w:t>
            </w:r>
            <w:r>
              <w:rPr>
                <w:rFonts w:asciiTheme="minorEastAsia" w:hAnsiTheme="minorEastAsia" w:cstheme="minorEastAsia"/>
                <w:color w:val="000000"/>
                <w:kern w:val="0"/>
                <w:sz w:val="16"/>
                <w:szCs w:val="16"/>
              </w:rPr>
              <w:t>,769.74</w:t>
            </w:r>
          </w:p>
        </w:tc>
      </w:tr>
      <w:tr w14:paraId="50A60B94">
        <w:tblPrEx>
          <w:tblCellMar>
            <w:top w:w="0" w:type="dxa"/>
            <w:left w:w="0" w:type="dxa"/>
            <w:bottom w:w="0" w:type="dxa"/>
            <w:right w:w="0" w:type="dxa"/>
          </w:tblCellMar>
        </w:tblPrEx>
        <w:trPr>
          <w:trHeight w:val="397" w:hRule="atLeast"/>
        </w:trPr>
        <w:tc>
          <w:tcPr>
            <w:tcW w:w="1492" w:type="pct"/>
            <w:vMerge w:val="continue"/>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56BF49ED">
            <w:pPr>
              <w:widowControl/>
              <w:adjustRightInd w:val="0"/>
              <w:snapToGrid w:val="0"/>
              <w:jc w:val="left"/>
              <w:rPr>
                <w:rFonts w:hint="eastAsia" w:asciiTheme="minorEastAsia" w:hAnsiTheme="minorEastAsia" w:cstheme="minorEastAsia"/>
                <w:color w:val="000000"/>
                <w:kern w:val="0"/>
                <w:sz w:val="16"/>
                <w:szCs w:val="16"/>
              </w:rPr>
            </w:pPr>
          </w:p>
        </w:tc>
        <w:tc>
          <w:tcPr>
            <w:tcW w:w="898" w:type="pct"/>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0383E364">
            <w:pPr>
              <w:widowControl/>
              <w:adjustRightInd w:val="0"/>
              <w:snapToGrid w:val="0"/>
              <w:jc w:val="left"/>
              <w:rPr>
                <w:rFonts w:hint="eastAsia"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负债总额</w:t>
            </w:r>
          </w:p>
        </w:tc>
        <w:tc>
          <w:tcPr>
            <w:tcW w:w="1263" w:type="pct"/>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75B72215">
            <w:pPr>
              <w:widowControl/>
              <w:jc w:val="right"/>
              <w:textAlignment w:val="center"/>
              <w:rPr>
                <w:rFonts w:hint="eastAsia" w:asciiTheme="minorEastAsia" w:hAnsiTheme="minorEastAsia" w:cstheme="minorEastAsia"/>
                <w:kern w:val="0"/>
                <w:sz w:val="16"/>
                <w:szCs w:val="16"/>
              </w:rPr>
            </w:pPr>
            <w:r>
              <w:rPr>
                <w:rFonts w:ascii="宋体" w:hAnsi="宋体" w:cs="宋体"/>
                <w:kern w:val="0"/>
                <w:sz w:val="16"/>
                <w:szCs w:val="16"/>
                <w:lang w:bidi="ar"/>
              </w:rPr>
              <w:t>3,897.98</w:t>
            </w:r>
          </w:p>
        </w:tc>
        <w:tc>
          <w:tcPr>
            <w:tcW w:w="1346" w:type="pct"/>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0DA366A9">
            <w:pPr>
              <w:widowControl/>
              <w:jc w:val="right"/>
              <w:textAlignment w:val="center"/>
              <w:rPr>
                <w:rFonts w:hint="eastAsia"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9</w:t>
            </w:r>
            <w:r>
              <w:rPr>
                <w:rFonts w:asciiTheme="minorEastAsia" w:hAnsiTheme="minorEastAsia" w:cstheme="minorEastAsia"/>
                <w:color w:val="000000"/>
                <w:kern w:val="0"/>
                <w:sz w:val="16"/>
                <w:szCs w:val="16"/>
              </w:rPr>
              <w:t>56.66</w:t>
            </w:r>
          </w:p>
        </w:tc>
      </w:tr>
      <w:tr w14:paraId="3B7AA30E">
        <w:tblPrEx>
          <w:tblCellMar>
            <w:top w:w="0" w:type="dxa"/>
            <w:left w:w="0" w:type="dxa"/>
            <w:bottom w:w="0" w:type="dxa"/>
            <w:right w:w="0" w:type="dxa"/>
          </w:tblCellMar>
        </w:tblPrEx>
        <w:trPr>
          <w:trHeight w:val="397" w:hRule="atLeast"/>
        </w:trPr>
        <w:tc>
          <w:tcPr>
            <w:tcW w:w="1492" w:type="pct"/>
            <w:vMerge w:val="continue"/>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0D1710B9">
            <w:pPr>
              <w:widowControl/>
              <w:adjustRightInd w:val="0"/>
              <w:snapToGrid w:val="0"/>
              <w:jc w:val="left"/>
              <w:rPr>
                <w:rFonts w:hint="eastAsia" w:asciiTheme="minorEastAsia" w:hAnsiTheme="minorEastAsia" w:cstheme="minorEastAsia"/>
                <w:color w:val="000000"/>
                <w:kern w:val="0"/>
                <w:sz w:val="16"/>
                <w:szCs w:val="16"/>
              </w:rPr>
            </w:pPr>
          </w:p>
        </w:tc>
        <w:tc>
          <w:tcPr>
            <w:tcW w:w="898" w:type="pct"/>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48E94885">
            <w:pPr>
              <w:widowControl/>
              <w:adjustRightInd w:val="0"/>
              <w:snapToGrid w:val="0"/>
              <w:jc w:val="left"/>
              <w:rPr>
                <w:rFonts w:hint="eastAsia"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资产净额</w:t>
            </w:r>
          </w:p>
        </w:tc>
        <w:tc>
          <w:tcPr>
            <w:tcW w:w="1263" w:type="pct"/>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389002D0">
            <w:pPr>
              <w:widowControl/>
              <w:jc w:val="right"/>
              <w:textAlignment w:val="center"/>
              <w:rPr>
                <w:rFonts w:hint="eastAsia" w:asciiTheme="minorEastAsia" w:hAnsiTheme="minorEastAsia" w:cstheme="minorEastAsia"/>
                <w:kern w:val="0"/>
                <w:sz w:val="16"/>
                <w:szCs w:val="16"/>
              </w:rPr>
            </w:pPr>
            <w:r>
              <w:rPr>
                <w:rFonts w:ascii="宋体" w:hAnsi="宋体" w:cs="宋体"/>
                <w:kern w:val="0"/>
                <w:sz w:val="16"/>
                <w:szCs w:val="16"/>
                <w:lang w:bidi="ar"/>
              </w:rPr>
              <w:t>3,570.17</w:t>
            </w:r>
          </w:p>
        </w:tc>
        <w:tc>
          <w:tcPr>
            <w:tcW w:w="1346" w:type="pct"/>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07C8C001">
            <w:pPr>
              <w:widowControl/>
              <w:jc w:val="right"/>
              <w:textAlignment w:val="center"/>
              <w:rPr>
                <w:rFonts w:hint="eastAsia"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3</w:t>
            </w:r>
            <w:r>
              <w:rPr>
                <w:rFonts w:asciiTheme="minorEastAsia" w:hAnsiTheme="minorEastAsia" w:cstheme="minorEastAsia"/>
                <w:color w:val="000000"/>
                <w:kern w:val="0"/>
                <w:sz w:val="16"/>
                <w:szCs w:val="16"/>
              </w:rPr>
              <w:t>,813.08</w:t>
            </w:r>
          </w:p>
        </w:tc>
      </w:tr>
      <w:tr w14:paraId="39F1427C">
        <w:tblPrEx>
          <w:tblCellMar>
            <w:top w:w="0" w:type="dxa"/>
            <w:left w:w="0" w:type="dxa"/>
            <w:bottom w:w="0" w:type="dxa"/>
            <w:right w:w="0" w:type="dxa"/>
          </w:tblCellMar>
        </w:tblPrEx>
        <w:trPr>
          <w:trHeight w:val="397" w:hRule="atLeast"/>
        </w:trPr>
        <w:tc>
          <w:tcPr>
            <w:tcW w:w="1492" w:type="pct"/>
            <w:vMerge w:val="continue"/>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6ACE2EDE">
            <w:pPr>
              <w:widowControl/>
              <w:adjustRightInd w:val="0"/>
              <w:snapToGrid w:val="0"/>
              <w:jc w:val="left"/>
              <w:rPr>
                <w:rFonts w:hint="eastAsia" w:asciiTheme="minorEastAsia" w:hAnsiTheme="minorEastAsia" w:cstheme="minorEastAsia"/>
                <w:color w:val="000000"/>
                <w:kern w:val="0"/>
                <w:sz w:val="16"/>
                <w:szCs w:val="16"/>
              </w:rPr>
            </w:pPr>
          </w:p>
        </w:tc>
        <w:tc>
          <w:tcPr>
            <w:tcW w:w="898" w:type="pct"/>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02E8F23D">
            <w:pPr>
              <w:widowControl/>
              <w:adjustRightInd w:val="0"/>
              <w:snapToGrid w:val="0"/>
              <w:jc w:val="left"/>
              <w:rPr>
                <w:rFonts w:hint="eastAsia" w:asciiTheme="minorEastAsia" w:hAnsiTheme="minorEastAsia" w:cstheme="minorEastAsia"/>
                <w:color w:val="000000"/>
                <w:kern w:val="0"/>
                <w:sz w:val="16"/>
                <w:szCs w:val="16"/>
              </w:rPr>
            </w:pPr>
          </w:p>
        </w:tc>
        <w:tc>
          <w:tcPr>
            <w:tcW w:w="1263" w:type="pct"/>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3DA1BDBD">
            <w:pPr>
              <w:widowControl/>
              <w:jc w:val="center"/>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2025年1-</w:t>
            </w:r>
            <w:r>
              <w:rPr>
                <w:rFonts w:ascii="宋体" w:hAnsi="宋体" w:cs="宋体"/>
                <w:color w:val="000000"/>
                <w:kern w:val="0"/>
                <w:sz w:val="16"/>
                <w:szCs w:val="16"/>
                <w:lang w:bidi="ar"/>
              </w:rPr>
              <w:t>9</w:t>
            </w:r>
            <w:r>
              <w:rPr>
                <w:rFonts w:hint="eastAsia" w:ascii="宋体" w:hAnsi="宋体" w:cs="宋体"/>
                <w:color w:val="000000"/>
                <w:kern w:val="0"/>
                <w:sz w:val="16"/>
                <w:szCs w:val="16"/>
                <w:lang w:bidi="ar"/>
              </w:rPr>
              <w:t>月</w:t>
            </w:r>
          </w:p>
          <w:p w14:paraId="00F8E29E">
            <w:pPr>
              <w:widowControl/>
              <w:jc w:val="center"/>
              <w:textAlignment w:val="center"/>
              <w:rPr>
                <w:rFonts w:hint="eastAsia" w:asciiTheme="minorEastAsia" w:hAnsiTheme="minorEastAsia" w:cstheme="minorEastAsia"/>
                <w:color w:val="000000"/>
                <w:kern w:val="0"/>
                <w:sz w:val="16"/>
                <w:szCs w:val="16"/>
              </w:rPr>
            </w:pPr>
            <w:r>
              <w:rPr>
                <w:rFonts w:hint="eastAsia" w:ascii="宋体" w:hAnsi="宋体" w:cs="宋体"/>
                <w:color w:val="000000"/>
                <w:kern w:val="0"/>
                <w:sz w:val="16"/>
                <w:szCs w:val="16"/>
                <w:lang w:bidi="ar"/>
              </w:rPr>
              <w:t>（未经审计）</w:t>
            </w:r>
          </w:p>
        </w:tc>
        <w:tc>
          <w:tcPr>
            <w:tcW w:w="1346" w:type="pct"/>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671A818A">
            <w:pPr>
              <w:widowControl/>
              <w:jc w:val="center"/>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2024年1-12月</w:t>
            </w:r>
          </w:p>
          <w:p w14:paraId="7EE88989">
            <w:pPr>
              <w:widowControl/>
              <w:jc w:val="center"/>
              <w:textAlignment w:val="center"/>
              <w:rPr>
                <w:rFonts w:hint="eastAsia" w:asciiTheme="minorEastAsia" w:hAnsiTheme="minorEastAsia" w:cstheme="minorEastAsia"/>
                <w:color w:val="000000"/>
                <w:kern w:val="0"/>
                <w:sz w:val="16"/>
                <w:szCs w:val="16"/>
              </w:rPr>
            </w:pPr>
            <w:r>
              <w:rPr>
                <w:rFonts w:hint="eastAsia" w:ascii="宋体" w:hAnsi="宋体" w:cs="宋体"/>
                <w:color w:val="000000"/>
                <w:kern w:val="0"/>
                <w:sz w:val="16"/>
                <w:szCs w:val="16"/>
                <w:lang w:bidi="ar"/>
              </w:rPr>
              <w:t>（经审计）</w:t>
            </w:r>
          </w:p>
        </w:tc>
      </w:tr>
      <w:tr w14:paraId="0BC907A6">
        <w:tblPrEx>
          <w:tblCellMar>
            <w:top w:w="0" w:type="dxa"/>
            <w:left w:w="0" w:type="dxa"/>
            <w:bottom w:w="0" w:type="dxa"/>
            <w:right w:w="0" w:type="dxa"/>
          </w:tblCellMar>
        </w:tblPrEx>
        <w:trPr>
          <w:trHeight w:val="397" w:hRule="atLeast"/>
        </w:trPr>
        <w:tc>
          <w:tcPr>
            <w:tcW w:w="1492" w:type="pct"/>
            <w:vMerge w:val="continue"/>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7790504E">
            <w:pPr>
              <w:widowControl/>
              <w:adjustRightInd w:val="0"/>
              <w:snapToGrid w:val="0"/>
              <w:jc w:val="left"/>
              <w:rPr>
                <w:rFonts w:hint="eastAsia" w:asciiTheme="minorEastAsia" w:hAnsiTheme="minorEastAsia" w:cstheme="minorEastAsia"/>
                <w:color w:val="000000"/>
                <w:kern w:val="0"/>
                <w:sz w:val="16"/>
                <w:szCs w:val="16"/>
              </w:rPr>
            </w:pPr>
          </w:p>
        </w:tc>
        <w:tc>
          <w:tcPr>
            <w:tcW w:w="898" w:type="pct"/>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7665C88D">
            <w:pPr>
              <w:widowControl/>
              <w:adjustRightInd w:val="0"/>
              <w:snapToGrid w:val="0"/>
              <w:jc w:val="left"/>
              <w:rPr>
                <w:rFonts w:hint="eastAsia"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营业收入</w:t>
            </w:r>
          </w:p>
        </w:tc>
        <w:tc>
          <w:tcPr>
            <w:tcW w:w="1263" w:type="pct"/>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39CBD21E">
            <w:pPr>
              <w:widowControl/>
              <w:jc w:val="right"/>
              <w:textAlignment w:val="center"/>
              <w:rPr>
                <w:rFonts w:hint="eastAsia" w:asciiTheme="minorEastAsia" w:hAnsiTheme="minorEastAsia" w:cstheme="minorEastAsia"/>
                <w:kern w:val="0"/>
                <w:sz w:val="16"/>
                <w:szCs w:val="16"/>
              </w:rPr>
            </w:pPr>
            <w:r>
              <w:rPr>
                <w:rFonts w:ascii="宋体" w:hAnsi="宋体" w:cs="宋体"/>
                <w:kern w:val="0"/>
                <w:sz w:val="16"/>
                <w:szCs w:val="16"/>
                <w:lang w:bidi="ar"/>
              </w:rPr>
              <w:t>4,214.00</w:t>
            </w:r>
          </w:p>
        </w:tc>
        <w:tc>
          <w:tcPr>
            <w:tcW w:w="1346" w:type="pct"/>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5B489D57">
            <w:pPr>
              <w:widowControl/>
              <w:jc w:val="right"/>
              <w:textAlignment w:val="center"/>
              <w:rPr>
                <w:rFonts w:hint="eastAsia"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5</w:t>
            </w:r>
            <w:r>
              <w:rPr>
                <w:rFonts w:asciiTheme="minorEastAsia" w:hAnsiTheme="minorEastAsia" w:cstheme="minorEastAsia"/>
                <w:color w:val="000000"/>
                <w:kern w:val="0"/>
                <w:sz w:val="16"/>
                <w:szCs w:val="16"/>
              </w:rPr>
              <w:t>,775.55</w:t>
            </w:r>
          </w:p>
        </w:tc>
      </w:tr>
      <w:tr w14:paraId="24825187">
        <w:tblPrEx>
          <w:tblCellMar>
            <w:top w:w="0" w:type="dxa"/>
            <w:left w:w="0" w:type="dxa"/>
            <w:bottom w:w="0" w:type="dxa"/>
            <w:right w:w="0" w:type="dxa"/>
          </w:tblCellMar>
        </w:tblPrEx>
        <w:trPr>
          <w:trHeight w:val="397" w:hRule="atLeast"/>
        </w:trPr>
        <w:tc>
          <w:tcPr>
            <w:tcW w:w="1492" w:type="pct"/>
            <w:vMerge w:val="continue"/>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3A371424">
            <w:pPr>
              <w:widowControl/>
              <w:adjustRightInd w:val="0"/>
              <w:snapToGrid w:val="0"/>
              <w:jc w:val="left"/>
              <w:rPr>
                <w:rFonts w:hint="eastAsia" w:asciiTheme="minorEastAsia" w:hAnsiTheme="minorEastAsia" w:cstheme="minorEastAsia"/>
                <w:color w:val="000000"/>
                <w:kern w:val="0"/>
                <w:sz w:val="16"/>
                <w:szCs w:val="16"/>
              </w:rPr>
            </w:pPr>
          </w:p>
        </w:tc>
        <w:tc>
          <w:tcPr>
            <w:tcW w:w="898" w:type="pct"/>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6E0C82B1">
            <w:pPr>
              <w:widowControl/>
              <w:adjustRightInd w:val="0"/>
              <w:snapToGrid w:val="0"/>
              <w:jc w:val="left"/>
              <w:rPr>
                <w:rFonts w:hint="eastAsia"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净利润</w:t>
            </w:r>
          </w:p>
        </w:tc>
        <w:tc>
          <w:tcPr>
            <w:tcW w:w="1263" w:type="pct"/>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70FEA36E">
            <w:pPr>
              <w:widowControl/>
              <w:jc w:val="right"/>
              <w:textAlignment w:val="center"/>
              <w:rPr>
                <w:rFonts w:hint="eastAsia" w:asciiTheme="minorEastAsia" w:hAnsiTheme="minorEastAsia" w:cstheme="minorEastAsia"/>
                <w:kern w:val="0"/>
                <w:sz w:val="16"/>
                <w:szCs w:val="16"/>
              </w:rPr>
            </w:pPr>
            <w:r>
              <w:rPr>
                <w:rFonts w:ascii="宋体" w:hAnsi="宋体" w:cs="宋体"/>
                <w:kern w:val="0"/>
                <w:sz w:val="16"/>
                <w:szCs w:val="16"/>
                <w:lang w:bidi="ar"/>
              </w:rPr>
              <w:t>-279.23</w:t>
            </w:r>
          </w:p>
        </w:tc>
        <w:tc>
          <w:tcPr>
            <w:tcW w:w="1346" w:type="pct"/>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14:paraId="73D098C9">
            <w:pPr>
              <w:widowControl/>
              <w:jc w:val="right"/>
              <w:textAlignment w:val="center"/>
              <w:rPr>
                <w:rFonts w:hint="eastAsia" w:asciiTheme="minorEastAsia" w:hAnsiTheme="minorEastAsia" w:cstheme="minorEastAsia"/>
                <w:color w:val="000000"/>
                <w:kern w:val="0"/>
                <w:sz w:val="16"/>
                <w:szCs w:val="16"/>
              </w:rPr>
            </w:pPr>
            <w:r>
              <w:rPr>
                <w:rFonts w:hint="eastAsia" w:asciiTheme="minorEastAsia" w:hAnsiTheme="minorEastAsia" w:cstheme="minorEastAsia"/>
                <w:color w:val="000000"/>
                <w:kern w:val="0"/>
                <w:sz w:val="16"/>
                <w:szCs w:val="16"/>
              </w:rPr>
              <w:t>-</w:t>
            </w:r>
            <w:r>
              <w:rPr>
                <w:rFonts w:asciiTheme="minorEastAsia" w:hAnsiTheme="minorEastAsia" w:cstheme="minorEastAsia"/>
                <w:color w:val="000000"/>
                <w:kern w:val="0"/>
                <w:sz w:val="16"/>
                <w:szCs w:val="16"/>
              </w:rPr>
              <w:t>311.09</w:t>
            </w:r>
          </w:p>
        </w:tc>
      </w:tr>
    </w:tbl>
    <w:p w14:paraId="5A024DC6"/>
    <w:p w14:paraId="6035A8D5">
      <w:pPr>
        <w:widowControl/>
        <w:numPr>
          <w:ilvl w:val="0"/>
          <w:numId w:val="2"/>
        </w:numPr>
        <w:adjustRightInd w:val="0"/>
        <w:snapToGrid w:val="0"/>
        <w:spacing w:line="560" w:lineRule="exact"/>
        <w:ind w:firstLine="562" w:firstLineChars="200"/>
        <w:jc w:val="left"/>
        <w:outlineLvl w:val="0"/>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担保协议的主要内容</w:t>
      </w:r>
    </w:p>
    <w:p w14:paraId="6F22CB51">
      <w:pPr>
        <w:widowControl/>
        <w:adjustRightInd w:val="0"/>
        <w:snapToGrid w:val="0"/>
        <w:spacing w:line="560" w:lineRule="exact"/>
        <w:ind w:firstLine="480" w:firstLineChars="200"/>
        <w:jc w:val="left"/>
        <w:outlineLvl w:val="0"/>
        <w:rPr>
          <w:rFonts w:hint="eastAsia" w:ascii="宋体" w:hAnsi="宋体" w:cs="宋体"/>
          <w:kern w:val="0"/>
          <w:sz w:val="22"/>
          <w:szCs w:val="24"/>
        </w:rPr>
      </w:pPr>
      <w:r>
        <w:rPr>
          <w:rFonts w:hint="eastAsia" w:asciiTheme="minorEastAsia" w:hAnsiTheme="minorEastAsia" w:cstheme="minorEastAsia"/>
          <w:sz w:val="24"/>
          <w:szCs w:val="28"/>
        </w:rPr>
        <w:t>重庆银行股份有限公司长寿支行</w:t>
      </w:r>
      <w:r>
        <w:rPr>
          <w:rFonts w:hint="eastAsia" w:ascii="宋体" w:hAnsi="宋体" w:cs="宋体"/>
          <w:kern w:val="0"/>
          <w:sz w:val="24"/>
          <w:szCs w:val="28"/>
        </w:rPr>
        <w:t>《保证合同》（以下简称“本合同”）</w:t>
      </w:r>
    </w:p>
    <w:p w14:paraId="1824BC30">
      <w:pPr>
        <w:pStyle w:val="9"/>
        <w:spacing w:beforeAutospacing="0" w:afterAutospacing="0" w:line="560" w:lineRule="exact"/>
        <w:ind w:firstLine="480" w:firstLineChars="200"/>
        <w:rPr>
          <w:rFonts w:hint="eastAsia" w:ascii="宋体" w:hAnsi="宋体" w:cs="宋体"/>
          <w:szCs w:val="24"/>
        </w:rPr>
      </w:pPr>
      <w:r>
        <w:rPr>
          <w:rFonts w:hint="eastAsia" w:ascii="宋体" w:hAnsi="宋体" w:cs="宋体"/>
          <w:bCs/>
          <w:snapToGrid w:val="0"/>
          <w:szCs w:val="24"/>
        </w:rPr>
        <w:t>1、</w:t>
      </w:r>
      <w:r>
        <w:rPr>
          <w:rFonts w:hint="eastAsia" w:ascii="宋体" w:hAnsi="宋体" w:cs="宋体"/>
          <w:szCs w:val="24"/>
        </w:rPr>
        <w:t>保证人：重庆望变电气（集团）股份有限公司</w:t>
      </w:r>
    </w:p>
    <w:p w14:paraId="1E735603">
      <w:pPr>
        <w:numPr>
          <w:ilvl w:val="255"/>
          <w:numId w:val="0"/>
        </w:numPr>
        <w:autoSpaceDE w:val="0"/>
        <w:autoSpaceDN w:val="0"/>
        <w:adjustRightInd w:val="0"/>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2、保证方式：连带责任保证</w:t>
      </w:r>
    </w:p>
    <w:p w14:paraId="49C75333">
      <w:pPr>
        <w:numPr>
          <w:ilvl w:val="255"/>
          <w:numId w:val="0"/>
        </w:numPr>
        <w:autoSpaceDE w:val="0"/>
        <w:autoSpaceDN w:val="0"/>
        <w:adjustRightInd w:val="0"/>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3、保证范围：</w:t>
      </w:r>
    </w:p>
    <w:p w14:paraId="4875CBC0">
      <w:pPr>
        <w:numPr>
          <w:ilvl w:val="255"/>
          <w:numId w:val="0"/>
        </w:numPr>
        <w:autoSpaceDE w:val="0"/>
        <w:autoSpaceDN w:val="0"/>
        <w:adjustRightInd w:val="0"/>
        <w:spacing w:line="560" w:lineRule="exact"/>
        <w:ind w:firstLine="480"/>
        <w:rPr>
          <w:rFonts w:hint="eastAsia" w:ascii="宋体" w:hAnsi="宋体" w:cs="宋体"/>
          <w:kern w:val="0"/>
          <w:sz w:val="24"/>
          <w:szCs w:val="24"/>
        </w:rPr>
      </w:pPr>
      <w:bookmarkStart w:id="7" w:name="OLE_LINK1"/>
      <w:r>
        <w:rPr>
          <w:rFonts w:hint="eastAsia" w:ascii="宋体" w:hAnsi="宋体" w:cs="宋体"/>
          <w:kern w:val="0"/>
          <w:sz w:val="24"/>
          <w:szCs w:val="24"/>
        </w:rPr>
        <w:t>(1)、本合同项下</w:t>
      </w:r>
      <w:bookmarkEnd w:id="7"/>
      <w:r>
        <w:rPr>
          <w:rFonts w:hint="eastAsia" w:ascii="宋体" w:hAnsi="宋体" w:cs="宋体"/>
          <w:kern w:val="0"/>
          <w:sz w:val="24"/>
          <w:szCs w:val="24"/>
        </w:rPr>
        <w:t>惠泽电器所应承担的全部债务本金、利息、罚息及复利、判决书或调解书等生效法律文书迟延履行期间应加倍支付的债务利息、实现债权的费用(包括但不限于催收费、诉讼费(或仲裁费)、律师费、差旅费及其他费用)。利息及罚息、复利按贷款</w:t>
      </w:r>
      <w:r>
        <w:rPr>
          <w:rFonts w:hint="eastAsia" w:asciiTheme="minorEastAsia" w:hAnsiTheme="minorEastAsia" w:cstheme="minorEastAsia"/>
          <w:sz w:val="24"/>
          <w:szCs w:val="24"/>
        </w:rPr>
        <w:t>合同</w:t>
      </w:r>
      <w:r>
        <w:rPr>
          <w:rFonts w:hint="eastAsia" w:ascii="宋体" w:hAnsi="宋体" w:cs="宋体"/>
          <w:kern w:val="0"/>
          <w:sz w:val="24"/>
          <w:szCs w:val="24"/>
        </w:rPr>
        <w:t>的约定计算。</w:t>
      </w:r>
    </w:p>
    <w:p w14:paraId="700B1969">
      <w:pPr>
        <w:numPr>
          <w:ilvl w:val="255"/>
          <w:numId w:val="0"/>
        </w:num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(2)、重庆银行长寿支行在</w:t>
      </w:r>
      <w:r>
        <w:rPr>
          <w:rFonts w:hint="eastAsia" w:asciiTheme="minorEastAsia" w:hAnsiTheme="minorEastAsia" w:cstheme="minorEastAsia"/>
          <w:sz w:val="24"/>
          <w:szCs w:val="24"/>
        </w:rPr>
        <w:t>贷款合同</w:t>
      </w:r>
      <w:r>
        <w:rPr>
          <w:rFonts w:hint="eastAsia" w:ascii="宋体" w:hAnsi="宋体" w:cs="宋体"/>
          <w:kern w:val="0"/>
          <w:sz w:val="24"/>
          <w:szCs w:val="24"/>
        </w:rPr>
        <w:t>下提供的系保函、信用证等具体融资业务时，望变电气依本合同约定提供担保的，双方确认，下列情形产生的金额属于上述约定的担保范围：</w:t>
      </w:r>
      <w:r>
        <w:rPr>
          <w:rFonts w:ascii="Calibri" w:hAnsi="Calibri" w:cs="Calibri"/>
          <w:kern w:val="0"/>
          <w:sz w:val="24"/>
          <w:szCs w:val="24"/>
        </w:rPr>
        <w:t>①</w:t>
      </w:r>
      <w:r>
        <w:rPr>
          <w:rFonts w:hint="eastAsia" w:ascii="宋体" w:hAnsi="宋体" w:cs="宋体"/>
          <w:kern w:val="0"/>
          <w:sz w:val="24"/>
          <w:szCs w:val="24"/>
        </w:rPr>
        <w:t>重庆银行长寿支行因支付利息、税收、汇率变动、法律规定(包括国内外法律)、法院判决、仲裁机构裁决等原因导致重庆银行长寿支行承担超过上述具体融资业务项下责任限额、有效期限的赔付金额；</w:t>
      </w:r>
      <w:r>
        <w:rPr>
          <w:rFonts w:ascii="Calibri" w:hAnsi="Calibri" w:cs="Calibri"/>
          <w:kern w:val="0"/>
          <w:sz w:val="24"/>
          <w:szCs w:val="24"/>
        </w:rPr>
        <w:t>②</w:t>
      </w:r>
      <w:r>
        <w:rPr>
          <w:rFonts w:hint="eastAsia" w:ascii="宋体" w:hAnsi="宋体" w:cs="宋体"/>
          <w:kern w:val="0"/>
          <w:sz w:val="24"/>
          <w:szCs w:val="24"/>
        </w:rPr>
        <w:t>因上述具体融资业务项下意思表示无效导致</w:t>
      </w:r>
      <w:bookmarkStart w:id="8" w:name="OLE_LINK2"/>
      <w:r>
        <w:rPr>
          <w:rFonts w:hint="eastAsia" w:ascii="宋体" w:hAnsi="宋体" w:cs="宋体"/>
          <w:kern w:val="0"/>
          <w:sz w:val="24"/>
          <w:szCs w:val="24"/>
        </w:rPr>
        <w:t>重庆银行长寿支行</w:t>
      </w:r>
      <w:bookmarkEnd w:id="8"/>
      <w:r>
        <w:rPr>
          <w:rFonts w:hint="eastAsia" w:ascii="宋体" w:hAnsi="宋体" w:cs="宋体"/>
          <w:kern w:val="0"/>
          <w:sz w:val="24"/>
          <w:szCs w:val="24"/>
        </w:rPr>
        <w:t>承担的赔偿责任；</w:t>
      </w:r>
      <w:r>
        <w:rPr>
          <w:rFonts w:ascii="Calibri" w:hAnsi="Calibri" w:cs="Calibri"/>
          <w:kern w:val="0"/>
          <w:sz w:val="24"/>
          <w:szCs w:val="24"/>
        </w:rPr>
        <w:t>③</w:t>
      </w:r>
      <w:r>
        <w:rPr>
          <w:rFonts w:hint="eastAsia" w:ascii="宋体" w:hAnsi="宋体" w:cs="宋体"/>
          <w:kern w:val="0"/>
          <w:sz w:val="24"/>
          <w:szCs w:val="24"/>
        </w:rPr>
        <w:t>其他重庆银行长寿支行在上述融资业务项下承担的担保、代偿、赔偿责任。</w:t>
      </w:r>
    </w:p>
    <w:p w14:paraId="0617B1C4">
      <w:pPr>
        <w:numPr>
          <w:ilvl w:val="255"/>
          <w:numId w:val="0"/>
        </w:num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4、保证期限：</w:t>
      </w:r>
    </w:p>
    <w:p w14:paraId="52D9CCE5">
      <w:pPr>
        <w:widowControl/>
        <w:adjustRightInd w:val="0"/>
        <w:snapToGrid w:val="0"/>
        <w:spacing w:line="560" w:lineRule="exact"/>
        <w:ind w:firstLine="480" w:firstLineChars="200"/>
        <w:outlineLvl w:val="0"/>
        <w:rPr>
          <w:rFonts w:hint="eastAsia" w:ascii="宋体" w:hAnsi="宋体" w:cs="宋体"/>
          <w:kern w:val="0"/>
          <w:sz w:val="24"/>
          <w:szCs w:val="24"/>
        </w:rPr>
      </w:pPr>
      <w:r>
        <w:rPr>
          <w:rFonts w:hint="eastAsia" w:ascii="宋体" w:hAnsi="宋体" w:cs="宋体"/>
          <w:kern w:val="0"/>
          <w:sz w:val="24"/>
          <w:szCs w:val="24"/>
        </w:rPr>
        <w:t>本合同的保证期间从合同生效日起直至贷款合同履行期限届满(含重庆银行长寿支行宣布贷款提前到期)之日起三年。</w:t>
      </w:r>
      <w:bookmarkStart w:id="9" w:name="_GoBack"/>
      <w:bookmarkEnd w:id="9"/>
    </w:p>
    <w:p w14:paraId="543E37F1">
      <w:pPr>
        <w:widowControl/>
        <w:adjustRightInd w:val="0"/>
        <w:snapToGrid w:val="0"/>
        <w:spacing w:line="560" w:lineRule="exact"/>
        <w:ind w:firstLine="480" w:firstLineChars="200"/>
        <w:outlineLvl w:val="0"/>
        <w:rPr>
          <w:rFonts w:hint="eastAsia" w:ascii="宋体" w:hAnsi="宋体" w:cs="宋体"/>
          <w:kern w:val="0"/>
          <w:sz w:val="24"/>
          <w:szCs w:val="24"/>
        </w:rPr>
      </w:pPr>
      <w:r>
        <w:rPr>
          <w:rFonts w:hint="eastAsia" w:ascii="宋体" w:hAnsi="宋体" w:cs="宋体"/>
          <w:kern w:val="0"/>
          <w:sz w:val="24"/>
          <w:szCs w:val="24"/>
        </w:rPr>
        <w:t>保证期间内重庆银行长寿支行依法将其债权转让给第三人的，望变电气应依本合同约定继续承担保证责任。</w:t>
      </w:r>
    </w:p>
    <w:p w14:paraId="658595F3">
      <w:pPr>
        <w:widowControl/>
        <w:adjustRightInd w:val="0"/>
        <w:snapToGrid w:val="0"/>
        <w:spacing w:line="560" w:lineRule="exact"/>
        <w:ind w:firstLine="562" w:firstLineChars="200"/>
        <w:outlineLvl w:val="0"/>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三、担保的必要性和合理性</w:t>
      </w:r>
    </w:p>
    <w:p w14:paraId="41B94172">
      <w:pPr>
        <w:widowControl/>
        <w:adjustRightInd w:val="0"/>
        <w:snapToGrid w:val="0"/>
        <w:spacing w:line="560" w:lineRule="exact"/>
        <w:ind w:firstLine="480" w:firstLineChars="200"/>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公司本月新增的对外担保主要为满足子公司日常生产经营需要，保证其生产经营活动的顺利开展，符合公司实际经营情况和整体发展战略，具有必要性和合理性。被担保对象为公司全资子公司，公司对其日常经营活动和资信状况能够及时掌握，担保风险总体可控，不会对公司及股东特别是中小股东利益造成重大不利影响。</w:t>
      </w:r>
    </w:p>
    <w:p w14:paraId="3B1F2497">
      <w:pPr>
        <w:widowControl/>
        <w:numPr>
          <w:ilvl w:val="0"/>
          <w:numId w:val="2"/>
        </w:numPr>
        <w:adjustRightInd w:val="0"/>
        <w:snapToGrid w:val="0"/>
        <w:spacing w:line="560" w:lineRule="exact"/>
        <w:ind w:firstLine="562" w:firstLineChars="200"/>
        <w:jc w:val="left"/>
        <w:outlineLvl w:val="0"/>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董事会意见</w:t>
      </w:r>
    </w:p>
    <w:p w14:paraId="3281E74F">
      <w:pPr>
        <w:widowControl/>
        <w:adjustRightInd w:val="0"/>
        <w:snapToGrid w:val="0"/>
        <w:spacing w:line="560" w:lineRule="exact"/>
        <w:ind w:firstLine="480" w:firstLineChars="200"/>
        <w:rPr>
          <w:sz w:val="24"/>
          <w:szCs w:val="24"/>
        </w:rPr>
      </w:pPr>
      <w:r>
        <w:rPr>
          <w:rFonts w:hint="eastAsia" w:asciiTheme="minorEastAsia" w:hAnsiTheme="minorEastAsia" w:cstheme="minorEastAsia"/>
          <w:sz w:val="24"/>
          <w:szCs w:val="24"/>
        </w:rPr>
        <w:t>上述担保事项属于公司2024年第三次临时股东会授权范围并在有效期内，无需再次提交公司董事会、股东会审议。</w:t>
      </w:r>
    </w:p>
    <w:p w14:paraId="0A1B5923">
      <w:pPr>
        <w:widowControl/>
        <w:numPr>
          <w:ilvl w:val="0"/>
          <w:numId w:val="2"/>
        </w:numPr>
        <w:adjustRightInd w:val="0"/>
        <w:snapToGrid w:val="0"/>
        <w:spacing w:line="560" w:lineRule="exact"/>
        <w:ind w:firstLine="562" w:firstLineChars="200"/>
        <w:jc w:val="left"/>
        <w:outlineLvl w:val="0"/>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累计对外担保数量及逾期担保的数量</w:t>
      </w:r>
    </w:p>
    <w:p w14:paraId="1E47E60B">
      <w:pPr>
        <w:autoSpaceDE w:val="0"/>
        <w:autoSpaceDN w:val="0"/>
        <w:adjustRightInd w:val="0"/>
        <w:spacing w:before="156" w:beforeLines="50" w:line="360" w:lineRule="auto"/>
        <w:ind w:firstLine="480" w:firstLineChars="200"/>
        <w:rPr>
          <w:rFonts w:hint="eastAsia" w:ascii="宋体" w:hAnsi="宋体" w:cs="宋体"/>
          <w:bCs/>
          <w:sz w:val="24"/>
          <w:szCs w:val="24"/>
        </w:rPr>
      </w:pPr>
      <w:r>
        <w:rPr>
          <w:rFonts w:hint="eastAsia" w:ascii="宋体" w:hAnsi="宋体" w:cs="宋体"/>
          <w:bCs/>
          <w:sz w:val="24"/>
          <w:szCs w:val="24"/>
        </w:rPr>
        <w:t>截至2025年</w:t>
      </w:r>
      <w:r>
        <w:rPr>
          <w:rFonts w:ascii="宋体" w:hAnsi="宋体" w:cs="宋体"/>
          <w:bCs/>
          <w:sz w:val="24"/>
          <w:szCs w:val="24"/>
        </w:rPr>
        <w:t>12</w:t>
      </w:r>
      <w:r>
        <w:rPr>
          <w:rFonts w:hint="eastAsia" w:ascii="宋体" w:hAnsi="宋体" w:cs="宋体"/>
          <w:bCs/>
          <w:sz w:val="24"/>
          <w:szCs w:val="24"/>
        </w:rPr>
        <w:t>月末，公司对外担保均为对子公司的担保，累计担保总额为150,000万元（其中已签署担保合同的担保总额为</w:t>
      </w:r>
      <w:r>
        <w:rPr>
          <w:rFonts w:ascii="宋体" w:hAnsi="宋体" w:cs="宋体"/>
          <w:bCs/>
          <w:sz w:val="24"/>
          <w:szCs w:val="24"/>
        </w:rPr>
        <w:t>130,374.10</w:t>
      </w:r>
      <w:r>
        <w:rPr>
          <w:rFonts w:hint="eastAsia" w:ascii="宋体" w:hAnsi="宋体" w:cs="宋体"/>
          <w:bCs/>
          <w:sz w:val="24"/>
          <w:szCs w:val="24"/>
        </w:rPr>
        <w:t>万元），担保余额为</w:t>
      </w:r>
      <w:r>
        <w:rPr>
          <w:rFonts w:ascii="宋体" w:hAnsi="宋体" w:cs="宋体"/>
          <w:bCs/>
          <w:sz w:val="24"/>
          <w:szCs w:val="24"/>
        </w:rPr>
        <w:t>62,698.37</w:t>
      </w:r>
      <w:r>
        <w:rPr>
          <w:rFonts w:hint="eastAsia" w:ascii="宋体" w:hAnsi="宋体" w:cs="宋体"/>
          <w:bCs/>
          <w:sz w:val="24"/>
          <w:szCs w:val="24"/>
        </w:rPr>
        <w:t>元，已签署担保合同的担保总额占公司最近一期经审计净资产的</w:t>
      </w:r>
      <w:r>
        <w:rPr>
          <w:rFonts w:ascii="宋体" w:hAnsi="宋体" w:cs="宋体"/>
          <w:bCs/>
          <w:sz w:val="24"/>
          <w:szCs w:val="24"/>
        </w:rPr>
        <w:t>54.02%</w:t>
      </w:r>
      <w:r>
        <w:rPr>
          <w:rFonts w:hint="eastAsia" w:ascii="宋体" w:hAnsi="宋体" w:cs="宋体"/>
          <w:bCs/>
          <w:sz w:val="24"/>
          <w:szCs w:val="24"/>
        </w:rPr>
        <w:t>，担保余额占公司最近一期经审计净资产的</w:t>
      </w:r>
      <w:r>
        <w:rPr>
          <w:rFonts w:ascii="宋体" w:hAnsi="宋体" w:cs="宋体"/>
          <w:bCs/>
          <w:sz w:val="24"/>
          <w:szCs w:val="24"/>
        </w:rPr>
        <w:t>25.98%</w:t>
      </w:r>
      <w:r>
        <w:rPr>
          <w:rFonts w:hint="eastAsia" w:ascii="宋体" w:hAnsi="宋体" w:cs="宋体"/>
          <w:bCs/>
          <w:sz w:val="24"/>
          <w:szCs w:val="24"/>
        </w:rPr>
        <w:t>；不存在逾期担保。</w:t>
      </w:r>
    </w:p>
    <w:p w14:paraId="4ECF296E">
      <w:pPr>
        <w:adjustRightInd w:val="0"/>
        <w:snapToGrid w:val="0"/>
        <w:spacing w:line="360" w:lineRule="auto"/>
        <w:rPr>
          <w:rFonts w:hint="eastAsia" w:asciiTheme="minorEastAsia" w:hAnsiTheme="minorEastAsia"/>
          <w:bCs/>
          <w:sz w:val="24"/>
          <w:szCs w:val="24"/>
        </w:rPr>
      </w:pPr>
    </w:p>
    <w:p w14:paraId="06C02516">
      <w:pPr>
        <w:adjustRightInd w:val="0"/>
        <w:snapToGrid w:val="0"/>
        <w:spacing w:line="360" w:lineRule="auto"/>
        <w:ind w:firstLine="480" w:firstLineChars="200"/>
        <w:rPr>
          <w:rFonts w:hint="eastAsia" w:asciiTheme="minorEastAsia" w:hAnsiTheme="minorEastAsia"/>
          <w:bCs/>
          <w:sz w:val="24"/>
          <w:szCs w:val="24"/>
        </w:rPr>
      </w:pPr>
      <w:r>
        <w:rPr>
          <w:rFonts w:hint="eastAsia" w:asciiTheme="minorEastAsia" w:hAnsiTheme="minorEastAsia"/>
          <w:bCs/>
          <w:sz w:val="24"/>
          <w:szCs w:val="24"/>
        </w:rPr>
        <w:t>特此公告。</w:t>
      </w:r>
    </w:p>
    <w:p w14:paraId="6A887C0A">
      <w:pPr>
        <w:adjustRightInd w:val="0"/>
        <w:snapToGrid w:val="0"/>
        <w:spacing w:line="360" w:lineRule="auto"/>
        <w:rPr>
          <w:rFonts w:hint="eastAsia" w:asciiTheme="minorEastAsia" w:hAnsiTheme="minorEastAsia"/>
          <w:bCs/>
          <w:sz w:val="24"/>
          <w:szCs w:val="24"/>
        </w:rPr>
      </w:pPr>
    </w:p>
    <w:p w14:paraId="110B83AC">
      <w:pPr>
        <w:adjustRightInd w:val="0"/>
        <w:snapToGrid w:val="0"/>
        <w:spacing w:line="360" w:lineRule="auto"/>
        <w:jc w:val="right"/>
        <w:rPr>
          <w:rFonts w:hint="eastAsia" w:asciiTheme="minorEastAsia" w:hAnsiTheme="minorEastAsia"/>
          <w:bCs/>
          <w:sz w:val="24"/>
          <w:szCs w:val="24"/>
        </w:rPr>
      </w:pPr>
      <w:r>
        <w:rPr>
          <w:rFonts w:hint="eastAsia" w:asciiTheme="minorEastAsia" w:hAnsiTheme="minorEastAsia"/>
          <w:bCs/>
          <w:sz w:val="24"/>
          <w:szCs w:val="24"/>
        </w:rPr>
        <w:t>重庆望变电气（集团）股份有限公司董事会</w:t>
      </w:r>
    </w:p>
    <w:p w14:paraId="1376CADD">
      <w:pPr>
        <w:adjustRightInd w:val="0"/>
        <w:snapToGrid w:val="0"/>
        <w:spacing w:line="360" w:lineRule="auto"/>
        <w:jc w:val="right"/>
        <w:rPr>
          <w:rFonts w:hint="eastAsia" w:asciiTheme="minorEastAsia" w:hAnsiTheme="minorEastAsia"/>
          <w:b/>
          <w:sz w:val="24"/>
          <w:szCs w:val="24"/>
        </w:rPr>
      </w:pPr>
      <w:r>
        <w:rPr>
          <w:rFonts w:hint="eastAsia" w:asciiTheme="minorEastAsia" w:hAnsiTheme="minorEastAsia"/>
          <w:bCs/>
          <w:sz w:val="24"/>
          <w:szCs w:val="24"/>
        </w:rPr>
        <w:t>202</w:t>
      </w:r>
      <w:r>
        <w:rPr>
          <w:rFonts w:asciiTheme="minorEastAsia" w:hAnsiTheme="minorEastAsia"/>
          <w:bCs/>
          <w:sz w:val="24"/>
          <w:szCs w:val="24"/>
        </w:rPr>
        <w:t>6</w:t>
      </w:r>
      <w:r>
        <w:rPr>
          <w:rFonts w:hint="eastAsia" w:asciiTheme="minorEastAsia" w:hAnsiTheme="minorEastAsia"/>
          <w:bCs/>
          <w:sz w:val="24"/>
          <w:szCs w:val="24"/>
        </w:rPr>
        <w:t>年</w:t>
      </w:r>
      <w:r>
        <w:rPr>
          <w:rFonts w:asciiTheme="minorEastAsia" w:hAnsiTheme="minorEastAsia"/>
          <w:bCs/>
          <w:sz w:val="24"/>
          <w:szCs w:val="24"/>
        </w:rPr>
        <w:t>1</w:t>
      </w:r>
      <w:r>
        <w:rPr>
          <w:rFonts w:hint="eastAsia" w:asciiTheme="minorEastAsia" w:hAnsiTheme="minorEastAsia"/>
          <w:bCs/>
          <w:sz w:val="24"/>
          <w:szCs w:val="24"/>
        </w:rPr>
        <w:t>月6</w:t>
      </w:r>
      <w:r>
        <w:rPr>
          <w:rFonts w:asciiTheme="minorEastAsia" w:hAnsiTheme="minorEastAsia"/>
          <w:bCs/>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041D5"/>
    <w:multiLevelType w:val="multilevel"/>
    <w:tmpl w:val="00E041D5"/>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
    <w:nsid w:val="168B4FAA"/>
    <w:multiLevelType w:val="singleLevel"/>
    <w:tmpl w:val="168B4FAA"/>
    <w:lvl w:ilvl="0" w:tentative="0">
      <w:start w:val="1"/>
      <w:numFmt w:val="bullet"/>
      <w:lvlText w:val=""/>
      <w:lvlJc w:val="left"/>
      <w:pPr>
        <w:ind w:left="420" w:hanging="420"/>
      </w:pPr>
      <w:rPr>
        <w:rFonts w:hint="default" w:ascii="Wingdings" w:hAnsi="Wingdings"/>
      </w:rPr>
    </w:lvl>
  </w:abstractNum>
  <w:abstractNum w:abstractNumId="2">
    <w:nsid w:val="52EA2A72"/>
    <w:multiLevelType w:val="singleLevel"/>
    <w:tmpl w:val="52EA2A72"/>
    <w:lvl w:ilvl="0" w:tentative="0">
      <w:start w:val="1"/>
      <w:numFmt w:val="chineseCounting"/>
      <w:suff w:val="nothing"/>
      <w:lvlText w:val="%1、"/>
      <w:lvlJc w:val="left"/>
      <w:rPr>
        <w:rFonts w:hint="eastAsia"/>
      </w:rPr>
    </w:lvl>
  </w:abstractNum>
  <w:abstractNum w:abstractNumId="3">
    <w:nsid w:val="580E64DF"/>
    <w:multiLevelType w:val="multilevel"/>
    <w:tmpl w:val="580E64DF"/>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attachedTemplate r:id="rId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8C5DB8"/>
    <w:rsid w:val="00004EF0"/>
    <w:rsid w:val="0000622B"/>
    <w:rsid w:val="00007894"/>
    <w:rsid w:val="00011B58"/>
    <w:rsid w:val="00011D6B"/>
    <w:rsid w:val="00011E7C"/>
    <w:rsid w:val="000134A9"/>
    <w:rsid w:val="00013C7A"/>
    <w:rsid w:val="00014DAA"/>
    <w:rsid w:val="0001513D"/>
    <w:rsid w:val="00015213"/>
    <w:rsid w:val="00016A68"/>
    <w:rsid w:val="000209EB"/>
    <w:rsid w:val="00023FE2"/>
    <w:rsid w:val="00024791"/>
    <w:rsid w:val="00024B0F"/>
    <w:rsid w:val="000316A0"/>
    <w:rsid w:val="000316DE"/>
    <w:rsid w:val="000320FF"/>
    <w:rsid w:val="00036E39"/>
    <w:rsid w:val="000415E2"/>
    <w:rsid w:val="00041AFF"/>
    <w:rsid w:val="00041B70"/>
    <w:rsid w:val="00046446"/>
    <w:rsid w:val="0005296D"/>
    <w:rsid w:val="0005330F"/>
    <w:rsid w:val="000552DE"/>
    <w:rsid w:val="00055BB1"/>
    <w:rsid w:val="00055D12"/>
    <w:rsid w:val="0005649D"/>
    <w:rsid w:val="00057954"/>
    <w:rsid w:val="00057AAF"/>
    <w:rsid w:val="0006154D"/>
    <w:rsid w:val="0006356A"/>
    <w:rsid w:val="00064281"/>
    <w:rsid w:val="000657A0"/>
    <w:rsid w:val="00071209"/>
    <w:rsid w:val="00071335"/>
    <w:rsid w:val="00071DCE"/>
    <w:rsid w:val="00071DFD"/>
    <w:rsid w:val="00071EFB"/>
    <w:rsid w:val="0007584E"/>
    <w:rsid w:val="0007700C"/>
    <w:rsid w:val="00083DB8"/>
    <w:rsid w:val="000843BF"/>
    <w:rsid w:val="000847A8"/>
    <w:rsid w:val="0008599D"/>
    <w:rsid w:val="0008617F"/>
    <w:rsid w:val="00091B04"/>
    <w:rsid w:val="00091E1F"/>
    <w:rsid w:val="00093210"/>
    <w:rsid w:val="00093A5E"/>
    <w:rsid w:val="00094CDA"/>
    <w:rsid w:val="00095035"/>
    <w:rsid w:val="0009529B"/>
    <w:rsid w:val="0009688B"/>
    <w:rsid w:val="00097314"/>
    <w:rsid w:val="00097EF7"/>
    <w:rsid w:val="000A0447"/>
    <w:rsid w:val="000A0B83"/>
    <w:rsid w:val="000A0BA2"/>
    <w:rsid w:val="000A2CC0"/>
    <w:rsid w:val="000A2F81"/>
    <w:rsid w:val="000A3309"/>
    <w:rsid w:val="000A5346"/>
    <w:rsid w:val="000A581B"/>
    <w:rsid w:val="000A777E"/>
    <w:rsid w:val="000A779D"/>
    <w:rsid w:val="000B1C0F"/>
    <w:rsid w:val="000B26F4"/>
    <w:rsid w:val="000B5402"/>
    <w:rsid w:val="000B61DD"/>
    <w:rsid w:val="000B6EFB"/>
    <w:rsid w:val="000C126A"/>
    <w:rsid w:val="000C1CD5"/>
    <w:rsid w:val="000C26F1"/>
    <w:rsid w:val="000C2BA7"/>
    <w:rsid w:val="000C4D9C"/>
    <w:rsid w:val="000C4F6E"/>
    <w:rsid w:val="000D0554"/>
    <w:rsid w:val="000D408E"/>
    <w:rsid w:val="000D4135"/>
    <w:rsid w:val="000D46D2"/>
    <w:rsid w:val="000D70E1"/>
    <w:rsid w:val="000D71C2"/>
    <w:rsid w:val="000E2BD7"/>
    <w:rsid w:val="000E4C4B"/>
    <w:rsid w:val="000E5CEE"/>
    <w:rsid w:val="000E5D69"/>
    <w:rsid w:val="000E607B"/>
    <w:rsid w:val="000E65BF"/>
    <w:rsid w:val="000F2FE3"/>
    <w:rsid w:val="000F32A6"/>
    <w:rsid w:val="000F39F7"/>
    <w:rsid w:val="000F4243"/>
    <w:rsid w:val="000F590A"/>
    <w:rsid w:val="00102EE0"/>
    <w:rsid w:val="00105374"/>
    <w:rsid w:val="00110400"/>
    <w:rsid w:val="00110C53"/>
    <w:rsid w:val="00110FD3"/>
    <w:rsid w:val="00111FD6"/>
    <w:rsid w:val="00117BC7"/>
    <w:rsid w:val="00120E15"/>
    <w:rsid w:val="001211A0"/>
    <w:rsid w:val="00123A27"/>
    <w:rsid w:val="0013329D"/>
    <w:rsid w:val="001337D8"/>
    <w:rsid w:val="001345D6"/>
    <w:rsid w:val="00135412"/>
    <w:rsid w:val="00136B4D"/>
    <w:rsid w:val="00142572"/>
    <w:rsid w:val="00142BE7"/>
    <w:rsid w:val="00144A2D"/>
    <w:rsid w:val="00145904"/>
    <w:rsid w:val="00145AE4"/>
    <w:rsid w:val="00146AE6"/>
    <w:rsid w:val="00147BA3"/>
    <w:rsid w:val="001509BD"/>
    <w:rsid w:val="00151523"/>
    <w:rsid w:val="00152CD1"/>
    <w:rsid w:val="00153D9F"/>
    <w:rsid w:val="00154ECD"/>
    <w:rsid w:val="00154F63"/>
    <w:rsid w:val="00157662"/>
    <w:rsid w:val="0016101B"/>
    <w:rsid w:val="001627BA"/>
    <w:rsid w:val="001635C5"/>
    <w:rsid w:val="001656ED"/>
    <w:rsid w:val="001745A0"/>
    <w:rsid w:val="00174FAC"/>
    <w:rsid w:val="001763D0"/>
    <w:rsid w:val="00180494"/>
    <w:rsid w:val="00183AD3"/>
    <w:rsid w:val="001868A3"/>
    <w:rsid w:val="00186AC7"/>
    <w:rsid w:val="0019044B"/>
    <w:rsid w:val="00191AE4"/>
    <w:rsid w:val="00192312"/>
    <w:rsid w:val="00192FA9"/>
    <w:rsid w:val="001953C1"/>
    <w:rsid w:val="00196816"/>
    <w:rsid w:val="001A2E2D"/>
    <w:rsid w:val="001A3084"/>
    <w:rsid w:val="001A41D6"/>
    <w:rsid w:val="001A4B40"/>
    <w:rsid w:val="001A5AD2"/>
    <w:rsid w:val="001A6EA4"/>
    <w:rsid w:val="001B0753"/>
    <w:rsid w:val="001B0861"/>
    <w:rsid w:val="001B0FAE"/>
    <w:rsid w:val="001B11FC"/>
    <w:rsid w:val="001B3894"/>
    <w:rsid w:val="001B39F3"/>
    <w:rsid w:val="001C0B03"/>
    <w:rsid w:val="001C1F7E"/>
    <w:rsid w:val="001C2826"/>
    <w:rsid w:val="001C2A00"/>
    <w:rsid w:val="001C3E4D"/>
    <w:rsid w:val="001C3E6D"/>
    <w:rsid w:val="001C61C9"/>
    <w:rsid w:val="001C6DB0"/>
    <w:rsid w:val="001D05A4"/>
    <w:rsid w:val="001D091E"/>
    <w:rsid w:val="001D157D"/>
    <w:rsid w:val="001D269D"/>
    <w:rsid w:val="001D5956"/>
    <w:rsid w:val="001D5AFC"/>
    <w:rsid w:val="001D5BCD"/>
    <w:rsid w:val="001D6ABC"/>
    <w:rsid w:val="001E0E4D"/>
    <w:rsid w:val="001E1D88"/>
    <w:rsid w:val="001E6D93"/>
    <w:rsid w:val="001E75C4"/>
    <w:rsid w:val="001F00E1"/>
    <w:rsid w:val="001F2083"/>
    <w:rsid w:val="001F422F"/>
    <w:rsid w:val="001F6B2B"/>
    <w:rsid w:val="00202534"/>
    <w:rsid w:val="002048A3"/>
    <w:rsid w:val="00206BC7"/>
    <w:rsid w:val="00207652"/>
    <w:rsid w:val="00207743"/>
    <w:rsid w:val="00213781"/>
    <w:rsid w:val="00214ACE"/>
    <w:rsid w:val="00215E68"/>
    <w:rsid w:val="002160DD"/>
    <w:rsid w:val="00216775"/>
    <w:rsid w:val="002217D3"/>
    <w:rsid w:val="00224529"/>
    <w:rsid w:val="0022784F"/>
    <w:rsid w:val="00230F96"/>
    <w:rsid w:val="00231D36"/>
    <w:rsid w:val="0023362A"/>
    <w:rsid w:val="00235F3E"/>
    <w:rsid w:val="002370D9"/>
    <w:rsid w:val="002432E5"/>
    <w:rsid w:val="00244577"/>
    <w:rsid w:val="00244EAA"/>
    <w:rsid w:val="00250A64"/>
    <w:rsid w:val="00254100"/>
    <w:rsid w:val="00254558"/>
    <w:rsid w:val="0025534A"/>
    <w:rsid w:val="0026315D"/>
    <w:rsid w:val="00264A3A"/>
    <w:rsid w:val="00264CAD"/>
    <w:rsid w:val="002659BF"/>
    <w:rsid w:val="00265D6C"/>
    <w:rsid w:val="00265E5F"/>
    <w:rsid w:val="0026718A"/>
    <w:rsid w:val="00272C91"/>
    <w:rsid w:val="00272F07"/>
    <w:rsid w:val="00275078"/>
    <w:rsid w:val="00276EB0"/>
    <w:rsid w:val="00277C1E"/>
    <w:rsid w:val="00281CD4"/>
    <w:rsid w:val="002820C2"/>
    <w:rsid w:val="0028573B"/>
    <w:rsid w:val="002859DB"/>
    <w:rsid w:val="00290FC6"/>
    <w:rsid w:val="002930BD"/>
    <w:rsid w:val="002948E5"/>
    <w:rsid w:val="00295147"/>
    <w:rsid w:val="00295A30"/>
    <w:rsid w:val="00296B71"/>
    <w:rsid w:val="002A0D99"/>
    <w:rsid w:val="002A2075"/>
    <w:rsid w:val="002A20B3"/>
    <w:rsid w:val="002A3368"/>
    <w:rsid w:val="002A40E8"/>
    <w:rsid w:val="002A5BD6"/>
    <w:rsid w:val="002A6062"/>
    <w:rsid w:val="002B03CC"/>
    <w:rsid w:val="002B0DEC"/>
    <w:rsid w:val="002B3462"/>
    <w:rsid w:val="002B5FF1"/>
    <w:rsid w:val="002B7FB0"/>
    <w:rsid w:val="002C07EF"/>
    <w:rsid w:val="002C0A13"/>
    <w:rsid w:val="002C1998"/>
    <w:rsid w:val="002C4298"/>
    <w:rsid w:val="002C51A6"/>
    <w:rsid w:val="002C578E"/>
    <w:rsid w:val="002C73D0"/>
    <w:rsid w:val="002D11F5"/>
    <w:rsid w:val="002D1C0D"/>
    <w:rsid w:val="002D3246"/>
    <w:rsid w:val="002D7A46"/>
    <w:rsid w:val="002E0F85"/>
    <w:rsid w:val="002E17BB"/>
    <w:rsid w:val="002E3CFE"/>
    <w:rsid w:val="002E5862"/>
    <w:rsid w:val="002E5ACE"/>
    <w:rsid w:val="002E6FED"/>
    <w:rsid w:val="002F0218"/>
    <w:rsid w:val="002F4615"/>
    <w:rsid w:val="002F7887"/>
    <w:rsid w:val="00300E0C"/>
    <w:rsid w:val="003068DE"/>
    <w:rsid w:val="00306CA5"/>
    <w:rsid w:val="003071F3"/>
    <w:rsid w:val="003102ED"/>
    <w:rsid w:val="00313D6A"/>
    <w:rsid w:val="00317BC2"/>
    <w:rsid w:val="003216A9"/>
    <w:rsid w:val="003216CC"/>
    <w:rsid w:val="0032367F"/>
    <w:rsid w:val="00323A21"/>
    <w:rsid w:val="0032458D"/>
    <w:rsid w:val="003253F1"/>
    <w:rsid w:val="00325654"/>
    <w:rsid w:val="0032604F"/>
    <w:rsid w:val="003315CC"/>
    <w:rsid w:val="00331C12"/>
    <w:rsid w:val="00333180"/>
    <w:rsid w:val="00335113"/>
    <w:rsid w:val="00337BE0"/>
    <w:rsid w:val="003402FE"/>
    <w:rsid w:val="003428F3"/>
    <w:rsid w:val="0034755D"/>
    <w:rsid w:val="00352FEF"/>
    <w:rsid w:val="0035344A"/>
    <w:rsid w:val="00353872"/>
    <w:rsid w:val="00354510"/>
    <w:rsid w:val="00355E1B"/>
    <w:rsid w:val="00356E10"/>
    <w:rsid w:val="00357EA0"/>
    <w:rsid w:val="00361700"/>
    <w:rsid w:val="003651DF"/>
    <w:rsid w:val="00366CCD"/>
    <w:rsid w:val="00367453"/>
    <w:rsid w:val="00370B90"/>
    <w:rsid w:val="00374A19"/>
    <w:rsid w:val="00375B9C"/>
    <w:rsid w:val="00376606"/>
    <w:rsid w:val="003766EF"/>
    <w:rsid w:val="003834BA"/>
    <w:rsid w:val="003843C8"/>
    <w:rsid w:val="0038738F"/>
    <w:rsid w:val="003914D9"/>
    <w:rsid w:val="00393988"/>
    <w:rsid w:val="00394A8C"/>
    <w:rsid w:val="00395F09"/>
    <w:rsid w:val="003966B0"/>
    <w:rsid w:val="003A016D"/>
    <w:rsid w:val="003A041B"/>
    <w:rsid w:val="003A3353"/>
    <w:rsid w:val="003A5862"/>
    <w:rsid w:val="003A594F"/>
    <w:rsid w:val="003A6E06"/>
    <w:rsid w:val="003B142A"/>
    <w:rsid w:val="003B5C0B"/>
    <w:rsid w:val="003B6F09"/>
    <w:rsid w:val="003B772C"/>
    <w:rsid w:val="003C0DA5"/>
    <w:rsid w:val="003C16A8"/>
    <w:rsid w:val="003C2A48"/>
    <w:rsid w:val="003C419C"/>
    <w:rsid w:val="003C6D08"/>
    <w:rsid w:val="003D0C6A"/>
    <w:rsid w:val="003D2966"/>
    <w:rsid w:val="003D4895"/>
    <w:rsid w:val="003D508E"/>
    <w:rsid w:val="003E1749"/>
    <w:rsid w:val="003E2F2A"/>
    <w:rsid w:val="003E2F5B"/>
    <w:rsid w:val="003E4198"/>
    <w:rsid w:val="003E4F31"/>
    <w:rsid w:val="003E6330"/>
    <w:rsid w:val="003F333E"/>
    <w:rsid w:val="003F59BF"/>
    <w:rsid w:val="003F619C"/>
    <w:rsid w:val="003F651E"/>
    <w:rsid w:val="00404DF5"/>
    <w:rsid w:val="00405849"/>
    <w:rsid w:val="00405F2E"/>
    <w:rsid w:val="0040650F"/>
    <w:rsid w:val="00410144"/>
    <w:rsid w:val="004119E8"/>
    <w:rsid w:val="00413896"/>
    <w:rsid w:val="004150E8"/>
    <w:rsid w:val="00423B5B"/>
    <w:rsid w:val="004240D4"/>
    <w:rsid w:val="00424E22"/>
    <w:rsid w:val="00425642"/>
    <w:rsid w:val="00426491"/>
    <w:rsid w:val="00427543"/>
    <w:rsid w:val="00430B69"/>
    <w:rsid w:val="0043754A"/>
    <w:rsid w:val="00437CE1"/>
    <w:rsid w:val="0044168F"/>
    <w:rsid w:val="00442A1B"/>
    <w:rsid w:val="004443A8"/>
    <w:rsid w:val="00444D15"/>
    <w:rsid w:val="004452CF"/>
    <w:rsid w:val="00445C36"/>
    <w:rsid w:val="004462D1"/>
    <w:rsid w:val="00447880"/>
    <w:rsid w:val="004544C4"/>
    <w:rsid w:val="00456A7E"/>
    <w:rsid w:val="0046022C"/>
    <w:rsid w:val="00460544"/>
    <w:rsid w:val="0046389B"/>
    <w:rsid w:val="004640B3"/>
    <w:rsid w:val="004677A9"/>
    <w:rsid w:val="004700D5"/>
    <w:rsid w:val="00471C18"/>
    <w:rsid w:val="00472CF3"/>
    <w:rsid w:val="004770E5"/>
    <w:rsid w:val="00481F48"/>
    <w:rsid w:val="00482007"/>
    <w:rsid w:val="004824A9"/>
    <w:rsid w:val="0048261B"/>
    <w:rsid w:val="0048475F"/>
    <w:rsid w:val="00484A20"/>
    <w:rsid w:val="00484CD8"/>
    <w:rsid w:val="00490CC5"/>
    <w:rsid w:val="00491A22"/>
    <w:rsid w:val="00491D85"/>
    <w:rsid w:val="004923D4"/>
    <w:rsid w:val="00493080"/>
    <w:rsid w:val="00496916"/>
    <w:rsid w:val="00497DCE"/>
    <w:rsid w:val="004A1747"/>
    <w:rsid w:val="004A1FDB"/>
    <w:rsid w:val="004A2D0E"/>
    <w:rsid w:val="004A330D"/>
    <w:rsid w:val="004A3F7D"/>
    <w:rsid w:val="004A4875"/>
    <w:rsid w:val="004A4FC9"/>
    <w:rsid w:val="004A6E8A"/>
    <w:rsid w:val="004B1154"/>
    <w:rsid w:val="004B1C50"/>
    <w:rsid w:val="004B35E5"/>
    <w:rsid w:val="004B6EAD"/>
    <w:rsid w:val="004B72D1"/>
    <w:rsid w:val="004B735F"/>
    <w:rsid w:val="004B744D"/>
    <w:rsid w:val="004C2C49"/>
    <w:rsid w:val="004C7913"/>
    <w:rsid w:val="004D2D6C"/>
    <w:rsid w:val="004D2FF1"/>
    <w:rsid w:val="004D4A66"/>
    <w:rsid w:val="004D55A9"/>
    <w:rsid w:val="004D6C6D"/>
    <w:rsid w:val="004D6D5C"/>
    <w:rsid w:val="004D76A4"/>
    <w:rsid w:val="004E35CE"/>
    <w:rsid w:val="004E6841"/>
    <w:rsid w:val="004F0C29"/>
    <w:rsid w:val="004F0C8D"/>
    <w:rsid w:val="004F383D"/>
    <w:rsid w:val="004F3E45"/>
    <w:rsid w:val="004F5D84"/>
    <w:rsid w:val="004F75C1"/>
    <w:rsid w:val="004F7871"/>
    <w:rsid w:val="005008F9"/>
    <w:rsid w:val="00501DE4"/>
    <w:rsid w:val="00502892"/>
    <w:rsid w:val="00503448"/>
    <w:rsid w:val="00503EC5"/>
    <w:rsid w:val="00504C06"/>
    <w:rsid w:val="0050528F"/>
    <w:rsid w:val="0050633D"/>
    <w:rsid w:val="00507910"/>
    <w:rsid w:val="0051261C"/>
    <w:rsid w:val="0051318F"/>
    <w:rsid w:val="00513AA2"/>
    <w:rsid w:val="005173B0"/>
    <w:rsid w:val="00520E8A"/>
    <w:rsid w:val="00521184"/>
    <w:rsid w:val="005223BE"/>
    <w:rsid w:val="0052623E"/>
    <w:rsid w:val="00526671"/>
    <w:rsid w:val="00530B9D"/>
    <w:rsid w:val="00530BC3"/>
    <w:rsid w:val="0053277A"/>
    <w:rsid w:val="00533839"/>
    <w:rsid w:val="0053497E"/>
    <w:rsid w:val="00536579"/>
    <w:rsid w:val="00536BBF"/>
    <w:rsid w:val="00537CD7"/>
    <w:rsid w:val="00540BFA"/>
    <w:rsid w:val="00541D93"/>
    <w:rsid w:val="00543F21"/>
    <w:rsid w:val="00544318"/>
    <w:rsid w:val="005443EB"/>
    <w:rsid w:val="00545344"/>
    <w:rsid w:val="005465C2"/>
    <w:rsid w:val="00547C23"/>
    <w:rsid w:val="0055150E"/>
    <w:rsid w:val="00552D74"/>
    <w:rsid w:val="005543F1"/>
    <w:rsid w:val="00554723"/>
    <w:rsid w:val="0055573D"/>
    <w:rsid w:val="00555DE5"/>
    <w:rsid w:val="005568D3"/>
    <w:rsid w:val="00557E2E"/>
    <w:rsid w:val="00560B7B"/>
    <w:rsid w:val="00561A5A"/>
    <w:rsid w:val="005633F3"/>
    <w:rsid w:val="005658C9"/>
    <w:rsid w:val="005755D1"/>
    <w:rsid w:val="00580A5C"/>
    <w:rsid w:val="0058191C"/>
    <w:rsid w:val="00581D6A"/>
    <w:rsid w:val="005876FC"/>
    <w:rsid w:val="0059056B"/>
    <w:rsid w:val="00591B49"/>
    <w:rsid w:val="0059356D"/>
    <w:rsid w:val="00594A91"/>
    <w:rsid w:val="00595464"/>
    <w:rsid w:val="005970A7"/>
    <w:rsid w:val="005A1457"/>
    <w:rsid w:val="005A1EDA"/>
    <w:rsid w:val="005A26F2"/>
    <w:rsid w:val="005A2FBD"/>
    <w:rsid w:val="005A53C1"/>
    <w:rsid w:val="005A5B25"/>
    <w:rsid w:val="005A5C2E"/>
    <w:rsid w:val="005B0EDC"/>
    <w:rsid w:val="005B236C"/>
    <w:rsid w:val="005B2BCD"/>
    <w:rsid w:val="005B4D00"/>
    <w:rsid w:val="005B4EB2"/>
    <w:rsid w:val="005B5F6B"/>
    <w:rsid w:val="005C0F43"/>
    <w:rsid w:val="005C1B88"/>
    <w:rsid w:val="005C5D26"/>
    <w:rsid w:val="005D4820"/>
    <w:rsid w:val="005D5B49"/>
    <w:rsid w:val="005D6A27"/>
    <w:rsid w:val="005D7D35"/>
    <w:rsid w:val="005E05A5"/>
    <w:rsid w:val="005E0600"/>
    <w:rsid w:val="005E0636"/>
    <w:rsid w:val="005E1DCC"/>
    <w:rsid w:val="005E1F3C"/>
    <w:rsid w:val="005E2BF5"/>
    <w:rsid w:val="005E344D"/>
    <w:rsid w:val="005E70DF"/>
    <w:rsid w:val="005F0F25"/>
    <w:rsid w:val="005F0FC0"/>
    <w:rsid w:val="005F24D8"/>
    <w:rsid w:val="005F5073"/>
    <w:rsid w:val="005F6043"/>
    <w:rsid w:val="006026D7"/>
    <w:rsid w:val="00603347"/>
    <w:rsid w:val="00604BA9"/>
    <w:rsid w:val="00606026"/>
    <w:rsid w:val="0060615A"/>
    <w:rsid w:val="00607A44"/>
    <w:rsid w:val="00610692"/>
    <w:rsid w:val="00610DA7"/>
    <w:rsid w:val="00611348"/>
    <w:rsid w:val="006136ED"/>
    <w:rsid w:val="006149BA"/>
    <w:rsid w:val="00617BE8"/>
    <w:rsid w:val="006208E7"/>
    <w:rsid w:val="00621CB3"/>
    <w:rsid w:val="00622196"/>
    <w:rsid w:val="00624BC4"/>
    <w:rsid w:val="00630145"/>
    <w:rsid w:val="006310D7"/>
    <w:rsid w:val="006315A8"/>
    <w:rsid w:val="00637BBF"/>
    <w:rsid w:val="00637D27"/>
    <w:rsid w:val="00637D82"/>
    <w:rsid w:val="00640106"/>
    <w:rsid w:val="00643A3E"/>
    <w:rsid w:val="00644C25"/>
    <w:rsid w:val="0064661F"/>
    <w:rsid w:val="0064773D"/>
    <w:rsid w:val="0064798C"/>
    <w:rsid w:val="00650B0F"/>
    <w:rsid w:val="00652AAD"/>
    <w:rsid w:val="00654590"/>
    <w:rsid w:val="00654F20"/>
    <w:rsid w:val="0065550D"/>
    <w:rsid w:val="006634E1"/>
    <w:rsid w:val="00674103"/>
    <w:rsid w:val="00674AEB"/>
    <w:rsid w:val="00675CB6"/>
    <w:rsid w:val="006775D3"/>
    <w:rsid w:val="006800B3"/>
    <w:rsid w:val="00681310"/>
    <w:rsid w:val="00681474"/>
    <w:rsid w:val="00681F63"/>
    <w:rsid w:val="00684C23"/>
    <w:rsid w:val="00686268"/>
    <w:rsid w:val="00691E10"/>
    <w:rsid w:val="00692118"/>
    <w:rsid w:val="00692532"/>
    <w:rsid w:val="00694107"/>
    <w:rsid w:val="00695C7D"/>
    <w:rsid w:val="0069742F"/>
    <w:rsid w:val="006A0A03"/>
    <w:rsid w:val="006A2470"/>
    <w:rsid w:val="006A2D38"/>
    <w:rsid w:val="006A7E6C"/>
    <w:rsid w:val="006B040A"/>
    <w:rsid w:val="006B3409"/>
    <w:rsid w:val="006B56A9"/>
    <w:rsid w:val="006B6815"/>
    <w:rsid w:val="006C1BEB"/>
    <w:rsid w:val="006C3189"/>
    <w:rsid w:val="006C6684"/>
    <w:rsid w:val="006C6BCF"/>
    <w:rsid w:val="006C6E81"/>
    <w:rsid w:val="006D219E"/>
    <w:rsid w:val="006D26B5"/>
    <w:rsid w:val="006D2DEE"/>
    <w:rsid w:val="006D420A"/>
    <w:rsid w:val="006D47BA"/>
    <w:rsid w:val="006D4D88"/>
    <w:rsid w:val="006D553C"/>
    <w:rsid w:val="006D6908"/>
    <w:rsid w:val="006D6B22"/>
    <w:rsid w:val="006E4344"/>
    <w:rsid w:val="006E58EC"/>
    <w:rsid w:val="006E5D45"/>
    <w:rsid w:val="006E5EA3"/>
    <w:rsid w:val="006E6123"/>
    <w:rsid w:val="006E6358"/>
    <w:rsid w:val="006F42F8"/>
    <w:rsid w:val="006F53B5"/>
    <w:rsid w:val="006F6D69"/>
    <w:rsid w:val="006F7462"/>
    <w:rsid w:val="00700132"/>
    <w:rsid w:val="007014E3"/>
    <w:rsid w:val="00702F53"/>
    <w:rsid w:val="007030FE"/>
    <w:rsid w:val="00703E29"/>
    <w:rsid w:val="0070411A"/>
    <w:rsid w:val="00704EED"/>
    <w:rsid w:val="00707527"/>
    <w:rsid w:val="0071102F"/>
    <w:rsid w:val="00713304"/>
    <w:rsid w:val="007138A7"/>
    <w:rsid w:val="007138E6"/>
    <w:rsid w:val="00714974"/>
    <w:rsid w:val="00715DED"/>
    <w:rsid w:val="00722B3D"/>
    <w:rsid w:val="0072538A"/>
    <w:rsid w:val="0072567D"/>
    <w:rsid w:val="007258B1"/>
    <w:rsid w:val="00730012"/>
    <w:rsid w:val="007303A5"/>
    <w:rsid w:val="007313FD"/>
    <w:rsid w:val="007324A9"/>
    <w:rsid w:val="007360F2"/>
    <w:rsid w:val="00740988"/>
    <w:rsid w:val="00740AA9"/>
    <w:rsid w:val="007456C7"/>
    <w:rsid w:val="007475E2"/>
    <w:rsid w:val="0075159E"/>
    <w:rsid w:val="00751CB0"/>
    <w:rsid w:val="007530BA"/>
    <w:rsid w:val="00754B42"/>
    <w:rsid w:val="0075511E"/>
    <w:rsid w:val="00755AB7"/>
    <w:rsid w:val="00760C74"/>
    <w:rsid w:val="00761840"/>
    <w:rsid w:val="00764B52"/>
    <w:rsid w:val="00765194"/>
    <w:rsid w:val="007664EE"/>
    <w:rsid w:val="00766608"/>
    <w:rsid w:val="007672B9"/>
    <w:rsid w:val="0077016A"/>
    <w:rsid w:val="00772113"/>
    <w:rsid w:val="007755A3"/>
    <w:rsid w:val="00775E7C"/>
    <w:rsid w:val="00781F4C"/>
    <w:rsid w:val="00783EEA"/>
    <w:rsid w:val="00783FAF"/>
    <w:rsid w:val="00792C7B"/>
    <w:rsid w:val="00794DE8"/>
    <w:rsid w:val="007951BF"/>
    <w:rsid w:val="0079698F"/>
    <w:rsid w:val="007A02EA"/>
    <w:rsid w:val="007A1462"/>
    <w:rsid w:val="007A1EA2"/>
    <w:rsid w:val="007A4620"/>
    <w:rsid w:val="007A4CF8"/>
    <w:rsid w:val="007A580E"/>
    <w:rsid w:val="007A5EEB"/>
    <w:rsid w:val="007A63DB"/>
    <w:rsid w:val="007B0851"/>
    <w:rsid w:val="007B1BBD"/>
    <w:rsid w:val="007B2222"/>
    <w:rsid w:val="007B40F7"/>
    <w:rsid w:val="007B54AA"/>
    <w:rsid w:val="007C0558"/>
    <w:rsid w:val="007C270D"/>
    <w:rsid w:val="007C28AA"/>
    <w:rsid w:val="007C2908"/>
    <w:rsid w:val="007C3027"/>
    <w:rsid w:val="007C4C7C"/>
    <w:rsid w:val="007C4D82"/>
    <w:rsid w:val="007C5260"/>
    <w:rsid w:val="007C6C50"/>
    <w:rsid w:val="007D43E7"/>
    <w:rsid w:val="007D6893"/>
    <w:rsid w:val="007E01D7"/>
    <w:rsid w:val="007E26F1"/>
    <w:rsid w:val="007E275A"/>
    <w:rsid w:val="007E57E6"/>
    <w:rsid w:val="007E5D35"/>
    <w:rsid w:val="007F1A07"/>
    <w:rsid w:val="007F23D2"/>
    <w:rsid w:val="007F2DFB"/>
    <w:rsid w:val="007F2F92"/>
    <w:rsid w:val="007F3AEE"/>
    <w:rsid w:val="007F4653"/>
    <w:rsid w:val="007F471F"/>
    <w:rsid w:val="00800893"/>
    <w:rsid w:val="00801DB9"/>
    <w:rsid w:val="00801EFA"/>
    <w:rsid w:val="00803176"/>
    <w:rsid w:val="008037AC"/>
    <w:rsid w:val="00806033"/>
    <w:rsid w:val="0080670C"/>
    <w:rsid w:val="00806E59"/>
    <w:rsid w:val="008073A7"/>
    <w:rsid w:val="00807B57"/>
    <w:rsid w:val="00810BF8"/>
    <w:rsid w:val="008113D9"/>
    <w:rsid w:val="00813917"/>
    <w:rsid w:val="00813F09"/>
    <w:rsid w:val="00814CAB"/>
    <w:rsid w:val="0081586E"/>
    <w:rsid w:val="00816032"/>
    <w:rsid w:val="00820210"/>
    <w:rsid w:val="00820C09"/>
    <w:rsid w:val="00821EE5"/>
    <w:rsid w:val="008222E6"/>
    <w:rsid w:val="008224C8"/>
    <w:rsid w:val="00822AA8"/>
    <w:rsid w:val="008240B5"/>
    <w:rsid w:val="00824D3A"/>
    <w:rsid w:val="008264FB"/>
    <w:rsid w:val="0083010A"/>
    <w:rsid w:val="00831FC0"/>
    <w:rsid w:val="008328FA"/>
    <w:rsid w:val="0083307E"/>
    <w:rsid w:val="0083648C"/>
    <w:rsid w:val="008367F5"/>
    <w:rsid w:val="008442E4"/>
    <w:rsid w:val="00846D95"/>
    <w:rsid w:val="008531D2"/>
    <w:rsid w:val="008573C5"/>
    <w:rsid w:val="00861AE5"/>
    <w:rsid w:val="00862B46"/>
    <w:rsid w:val="00862EC3"/>
    <w:rsid w:val="00865F95"/>
    <w:rsid w:val="0087074B"/>
    <w:rsid w:val="00871507"/>
    <w:rsid w:val="00873ADE"/>
    <w:rsid w:val="0087601E"/>
    <w:rsid w:val="00876218"/>
    <w:rsid w:val="00876CAD"/>
    <w:rsid w:val="00876D1B"/>
    <w:rsid w:val="008804AB"/>
    <w:rsid w:val="00882C4D"/>
    <w:rsid w:val="0088305F"/>
    <w:rsid w:val="00885291"/>
    <w:rsid w:val="0088596B"/>
    <w:rsid w:val="00895C85"/>
    <w:rsid w:val="00895E83"/>
    <w:rsid w:val="008A2795"/>
    <w:rsid w:val="008A2A43"/>
    <w:rsid w:val="008A402C"/>
    <w:rsid w:val="008A5DB4"/>
    <w:rsid w:val="008A5F7E"/>
    <w:rsid w:val="008A6969"/>
    <w:rsid w:val="008A7CCB"/>
    <w:rsid w:val="008A7D7C"/>
    <w:rsid w:val="008B188A"/>
    <w:rsid w:val="008B379F"/>
    <w:rsid w:val="008B3809"/>
    <w:rsid w:val="008B5D12"/>
    <w:rsid w:val="008B74D6"/>
    <w:rsid w:val="008C1E16"/>
    <w:rsid w:val="008C2F86"/>
    <w:rsid w:val="008C307D"/>
    <w:rsid w:val="008C441C"/>
    <w:rsid w:val="008C4C7B"/>
    <w:rsid w:val="008C5451"/>
    <w:rsid w:val="008C5DB8"/>
    <w:rsid w:val="008C6A69"/>
    <w:rsid w:val="008C6EF5"/>
    <w:rsid w:val="008C7C1D"/>
    <w:rsid w:val="008D068D"/>
    <w:rsid w:val="008D0764"/>
    <w:rsid w:val="008D27ED"/>
    <w:rsid w:val="008D3A24"/>
    <w:rsid w:val="008D75D1"/>
    <w:rsid w:val="008E2909"/>
    <w:rsid w:val="008E371A"/>
    <w:rsid w:val="008E4F0C"/>
    <w:rsid w:val="008E596B"/>
    <w:rsid w:val="008F054A"/>
    <w:rsid w:val="008F15CA"/>
    <w:rsid w:val="008F2ACB"/>
    <w:rsid w:val="008F3D66"/>
    <w:rsid w:val="008F7EB1"/>
    <w:rsid w:val="009003F6"/>
    <w:rsid w:val="00902240"/>
    <w:rsid w:val="00904E4D"/>
    <w:rsid w:val="00913296"/>
    <w:rsid w:val="009154D9"/>
    <w:rsid w:val="00916FD9"/>
    <w:rsid w:val="009174BD"/>
    <w:rsid w:val="009178E3"/>
    <w:rsid w:val="00926436"/>
    <w:rsid w:val="009278A1"/>
    <w:rsid w:val="00927CC9"/>
    <w:rsid w:val="00930785"/>
    <w:rsid w:val="00930E04"/>
    <w:rsid w:val="00931325"/>
    <w:rsid w:val="0093179D"/>
    <w:rsid w:val="00932D84"/>
    <w:rsid w:val="00933ABB"/>
    <w:rsid w:val="00933BFC"/>
    <w:rsid w:val="00935948"/>
    <w:rsid w:val="00941234"/>
    <w:rsid w:val="0094186D"/>
    <w:rsid w:val="00942575"/>
    <w:rsid w:val="0094357B"/>
    <w:rsid w:val="00945D56"/>
    <w:rsid w:val="00946D24"/>
    <w:rsid w:val="00947FFA"/>
    <w:rsid w:val="00950AAF"/>
    <w:rsid w:val="00951D84"/>
    <w:rsid w:val="0095268E"/>
    <w:rsid w:val="009540D5"/>
    <w:rsid w:val="0095546D"/>
    <w:rsid w:val="00955841"/>
    <w:rsid w:val="0095624A"/>
    <w:rsid w:val="00961884"/>
    <w:rsid w:val="009620A2"/>
    <w:rsid w:val="009628E8"/>
    <w:rsid w:val="00966207"/>
    <w:rsid w:val="00966C93"/>
    <w:rsid w:val="00966D57"/>
    <w:rsid w:val="00967711"/>
    <w:rsid w:val="00967785"/>
    <w:rsid w:val="009704A2"/>
    <w:rsid w:val="00970E60"/>
    <w:rsid w:val="009717F8"/>
    <w:rsid w:val="00971E03"/>
    <w:rsid w:val="009722CB"/>
    <w:rsid w:val="00974212"/>
    <w:rsid w:val="009753BB"/>
    <w:rsid w:val="00975A09"/>
    <w:rsid w:val="0097707A"/>
    <w:rsid w:val="00977C25"/>
    <w:rsid w:val="009828C4"/>
    <w:rsid w:val="00983F0D"/>
    <w:rsid w:val="0099203A"/>
    <w:rsid w:val="0099345F"/>
    <w:rsid w:val="00996537"/>
    <w:rsid w:val="00997254"/>
    <w:rsid w:val="009A1B98"/>
    <w:rsid w:val="009A240C"/>
    <w:rsid w:val="009A415C"/>
    <w:rsid w:val="009A5C7D"/>
    <w:rsid w:val="009A5DAF"/>
    <w:rsid w:val="009A6862"/>
    <w:rsid w:val="009A6874"/>
    <w:rsid w:val="009A7601"/>
    <w:rsid w:val="009B026F"/>
    <w:rsid w:val="009B3ABD"/>
    <w:rsid w:val="009B7AEF"/>
    <w:rsid w:val="009B7EEF"/>
    <w:rsid w:val="009C16F8"/>
    <w:rsid w:val="009D3111"/>
    <w:rsid w:val="009D3181"/>
    <w:rsid w:val="009D334A"/>
    <w:rsid w:val="009D6FBE"/>
    <w:rsid w:val="009E0F21"/>
    <w:rsid w:val="009E13E0"/>
    <w:rsid w:val="009E1B59"/>
    <w:rsid w:val="009E2422"/>
    <w:rsid w:val="009E3118"/>
    <w:rsid w:val="009E3815"/>
    <w:rsid w:val="009E3C2D"/>
    <w:rsid w:val="009E3F9D"/>
    <w:rsid w:val="009E5CAD"/>
    <w:rsid w:val="009E714A"/>
    <w:rsid w:val="009F0C0E"/>
    <w:rsid w:val="009F0CC1"/>
    <w:rsid w:val="009F0D77"/>
    <w:rsid w:val="009F1A88"/>
    <w:rsid w:val="009F36BE"/>
    <w:rsid w:val="009F3885"/>
    <w:rsid w:val="009F3DA9"/>
    <w:rsid w:val="009F43ED"/>
    <w:rsid w:val="009F505D"/>
    <w:rsid w:val="009F5743"/>
    <w:rsid w:val="009F5C91"/>
    <w:rsid w:val="009F5CB0"/>
    <w:rsid w:val="009F61D8"/>
    <w:rsid w:val="00A00EF8"/>
    <w:rsid w:val="00A056CC"/>
    <w:rsid w:val="00A06C7A"/>
    <w:rsid w:val="00A10C5C"/>
    <w:rsid w:val="00A11286"/>
    <w:rsid w:val="00A11394"/>
    <w:rsid w:val="00A12811"/>
    <w:rsid w:val="00A203FC"/>
    <w:rsid w:val="00A20428"/>
    <w:rsid w:val="00A2230A"/>
    <w:rsid w:val="00A2244E"/>
    <w:rsid w:val="00A23612"/>
    <w:rsid w:val="00A23A2C"/>
    <w:rsid w:val="00A24451"/>
    <w:rsid w:val="00A25B82"/>
    <w:rsid w:val="00A3014C"/>
    <w:rsid w:val="00A304A8"/>
    <w:rsid w:val="00A31830"/>
    <w:rsid w:val="00A327AA"/>
    <w:rsid w:val="00A3732D"/>
    <w:rsid w:val="00A409D2"/>
    <w:rsid w:val="00A4105C"/>
    <w:rsid w:val="00A41507"/>
    <w:rsid w:val="00A41B30"/>
    <w:rsid w:val="00A41D14"/>
    <w:rsid w:val="00A4206C"/>
    <w:rsid w:val="00A455B0"/>
    <w:rsid w:val="00A473BE"/>
    <w:rsid w:val="00A47ADF"/>
    <w:rsid w:val="00A51842"/>
    <w:rsid w:val="00A52454"/>
    <w:rsid w:val="00A52A9E"/>
    <w:rsid w:val="00A530BC"/>
    <w:rsid w:val="00A5503D"/>
    <w:rsid w:val="00A62093"/>
    <w:rsid w:val="00A625EC"/>
    <w:rsid w:val="00A670B9"/>
    <w:rsid w:val="00A72546"/>
    <w:rsid w:val="00A74559"/>
    <w:rsid w:val="00A7526A"/>
    <w:rsid w:val="00A75709"/>
    <w:rsid w:val="00A8232E"/>
    <w:rsid w:val="00A84995"/>
    <w:rsid w:val="00A85E4A"/>
    <w:rsid w:val="00A86143"/>
    <w:rsid w:val="00A86B82"/>
    <w:rsid w:val="00A87A5F"/>
    <w:rsid w:val="00A92E02"/>
    <w:rsid w:val="00A93829"/>
    <w:rsid w:val="00A94E34"/>
    <w:rsid w:val="00A964BD"/>
    <w:rsid w:val="00A979DD"/>
    <w:rsid w:val="00AA1C47"/>
    <w:rsid w:val="00AA3C83"/>
    <w:rsid w:val="00AA5E72"/>
    <w:rsid w:val="00AA6069"/>
    <w:rsid w:val="00AA7102"/>
    <w:rsid w:val="00AA7415"/>
    <w:rsid w:val="00AB0831"/>
    <w:rsid w:val="00AB1F2F"/>
    <w:rsid w:val="00AB4698"/>
    <w:rsid w:val="00AB6B5F"/>
    <w:rsid w:val="00AB6CDA"/>
    <w:rsid w:val="00AC0223"/>
    <w:rsid w:val="00AC0EEE"/>
    <w:rsid w:val="00AC14B1"/>
    <w:rsid w:val="00AC4F9E"/>
    <w:rsid w:val="00AC6058"/>
    <w:rsid w:val="00AD1B3E"/>
    <w:rsid w:val="00AD1D01"/>
    <w:rsid w:val="00AD2B2A"/>
    <w:rsid w:val="00AD3237"/>
    <w:rsid w:val="00AD5304"/>
    <w:rsid w:val="00AD589B"/>
    <w:rsid w:val="00AD70C1"/>
    <w:rsid w:val="00AE16B6"/>
    <w:rsid w:val="00AE24BF"/>
    <w:rsid w:val="00AE34ED"/>
    <w:rsid w:val="00AF1BCF"/>
    <w:rsid w:val="00AF3530"/>
    <w:rsid w:val="00AF519C"/>
    <w:rsid w:val="00AF6BD7"/>
    <w:rsid w:val="00AF78B6"/>
    <w:rsid w:val="00B00964"/>
    <w:rsid w:val="00B0118B"/>
    <w:rsid w:val="00B02A59"/>
    <w:rsid w:val="00B03C06"/>
    <w:rsid w:val="00B079F8"/>
    <w:rsid w:val="00B1112F"/>
    <w:rsid w:val="00B12B9F"/>
    <w:rsid w:val="00B16B54"/>
    <w:rsid w:val="00B21775"/>
    <w:rsid w:val="00B220C8"/>
    <w:rsid w:val="00B232A4"/>
    <w:rsid w:val="00B2503F"/>
    <w:rsid w:val="00B25514"/>
    <w:rsid w:val="00B30E28"/>
    <w:rsid w:val="00B335A3"/>
    <w:rsid w:val="00B33BF1"/>
    <w:rsid w:val="00B413F2"/>
    <w:rsid w:val="00B423B7"/>
    <w:rsid w:val="00B46BAB"/>
    <w:rsid w:val="00B47730"/>
    <w:rsid w:val="00B47C6F"/>
    <w:rsid w:val="00B47D6F"/>
    <w:rsid w:val="00B47F45"/>
    <w:rsid w:val="00B50D6B"/>
    <w:rsid w:val="00B523BF"/>
    <w:rsid w:val="00B5278E"/>
    <w:rsid w:val="00B53A02"/>
    <w:rsid w:val="00B555DE"/>
    <w:rsid w:val="00B6051E"/>
    <w:rsid w:val="00B6154C"/>
    <w:rsid w:val="00B70394"/>
    <w:rsid w:val="00B72F06"/>
    <w:rsid w:val="00B73783"/>
    <w:rsid w:val="00B73C2D"/>
    <w:rsid w:val="00B74DC3"/>
    <w:rsid w:val="00B76C1C"/>
    <w:rsid w:val="00B82274"/>
    <w:rsid w:val="00B82B7A"/>
    <w:rsid w:val="00B82C84"/>
    <w:rsid w:val="00B84BB2"/>
    <w:rsid w:val="00B85437"/>
    <w:rsid w:val="00B95321"/>
    <w:rsid w:val="00B96BA1"/>
    <w:rsid w:val="00B97B6F"/>
    <w:rsid w:val="00B97E3A"/>
    <w:rsid w:val="00BA07DF"/>
    <w:rsid w:val="00BA1185"/>
    <w:rsid w:val="00BA1417"/>
    <w:rsid w:val="00BA14CF"/>
    <w:rsid w:val="00BA17EA"/>
    <w:rsid w:val="00BA230D"/>
    <w:rsid w:val="00BA2515"/>
    <w:rsid w:val="00BA25D9"/>
    <w:rsid w:val="00BA31C0"/>
    <w:rsid w:val="00BA5867"/>
    <w:rsid w:val="00BA58FD"/>
    <w:rsid w:val="00BA5B70"/>
    <w:rsid w:val="00BA7382"/>
    <w:rsid w:val="00BA7EBC"/>
    <w:rsid w:val="00BB0850"/>
    <w:rsid w:val="00BB0AB1"/>
    <w:rsid w:val="00BB2FFC"/>
    <w:rsid w:val="00BB496A"/>
    <w:rsid w:val="00BB6105"/>
    <w:rsid w:val="00BB76A0"/>
    <w:rsid w:val="00BB7816"/>
    <w:rsid w:val="00BC2958"/>
    <w:rsid w:val="00BC33E9"/>
    <w:rsid w:val="00BC4521"/>
    <w:rsid w:val="00BC5DE4"/>
    <w:rsid w:val="00BC7D3B"/>
    <w:rsid w:val="00BD129B"/>
    <w:rsid w:val="00BD13DC"/>
    <w:rsid w:val="00BD27AB"/>
    <w:rsid w:val="00BD42DE"/>
    <w:rsid w:val="00BD4E92"/>
    <w:rsid w:val="00BD5079"/>
    <w:rsid w:val="00BD574A"/>
    <w:rsid w:val="00BD5E7C"/>
    <w:rsid w:val="00BE062F"/>
    <w:rsid w:val="00BE14A3"/>
    <w:rsid w:val="00BE17F4"/>
    <w:rsid w:val="00BE22B3"/>
    <w:rsid w:val="00BE3BA4"/>
    <w:rsid w:val="00BE422C"/>
    <w:rsid w:val="00BE614C"/>
    <w:rsid w:val="00BE67AE"/>
    <w:rsid w:val="00BF17E1"/>
    <w:rsid w:val="00BF1E70"/>
    <w:rsid w:val="00BF2FE9"/>
    <w:rsid w:val="00BF47CB"/>
    <w:rsid w:val="00C01659"/>
    <w:rsid w:val="00C02066"/>
    <w:rsid w:val="00C027BB"/>
    <w:rsid w:val="00C034E6"/>
    <w:rsid w:val="00C062AE"/>
    <w:rsid w:val="00C06B3F"/>
    <w:rsid w:val="00C13F3C"/>
    <w:rsid w:val="00C144FC"/>
    <w:rsid w:val="00C154E0"/>
    <w:rsid w:val="00C1607F"/>
    <w:rsid w:val="00C16743"/>
    <w:rsid w:val="00C17235"/>
    <w:rsid w:val="00C176BF"/>
    <w:rsid w:val="00C17AE0"/>
    <w:rsid w:val="00C3028C"/>
    <w:rsid w:val="00C3055C"/>
    <w:rsid w:val="00C30D11"/>
    <w:rsid w:val="00C31861"/>
    <w:rsid w:val="00C3330C"/>
    <w:rsid w:val="00C356F5"/>
    <w:rsid w:val="00C36CB8"/>
    <w:rsid w:val="00C415DA"/>
    <w:rsid w:val="00C446BC"/>
    <w:rsid w:val="00C448F8"/>
    <w:rsid w:val="00C44970"/>
    <w:rsid w:val="00C44CAA"/>
    <w:rsid w:val="00C4655E"/>
    <w:rsid w:val="00C47C71"/>
    <w:rsid w:val="00C50EFF"/>
    <w:rsid w:val="00C52357"/>
    <w:rsid w:val="00C525BD"/>
    <w:rsid w:val="00C52D17"/>
    <w:rsid w:val="00C53580"/>
    <w:rsid w:val="00C5731A"/>
    <w:rsid w:val="00C57A49"/>
    <w:rsid w:val="00C6058E"/>
    <w:rsid w:val="00C60C47"/>
    <w:rsid w:val="00C6371D"/>
    <w:rsid w:val="00C6533B"/>
    <w:rsid w:val="00C65853"/>
    <w:rsid w:val="00C65A02"/>
    <w:rsid w:val="00C67A0D"/>
    <w:rsid w:val="00C7509C"/>
    <w:rsid w:val="00C76965"/>
    <w:rsid w:val="00C76AE5"/>
    <w:rsid w:val="00C7718C"/>
    <w:rsid w:val="00C81131"/>
    <w:rsid w:val="00C823BD"/>
    <w:rsid w:val="00C823C0"/>
    <w:rsid w:val="00C82ADF"/>
    <w:rsid w:val="00C85898"/>
    <w:rsid w:val="00C85AB9"/>
    <w:rsid w:val="00C85B23"/>
    <w:rsid w:val="00C85DFC"/>
    <w:rsid w:val="00C87D04"/>
    <w:rsid w:val="00C87EFC"/>
    <w:rsid w:val="00C914B2"/>
    <w:rsid w:val="00C93E0F"/>
    <w:rsid w:val="00C96AA0"/>
    <w:rsid w:val="00C96B4E"/>
    <w:rsid w:val="00C9754C"/>
    <w:rsid w:val="00CA0B24"/>
    <w:rsid w:val="00CA2A83"/>
    <w:rsid w:val="00CA40B0"/>
    <w:rsid w:val="00CA5963"/>
    <w:rsid w:val="00CA5F3C"/>
    <w:rsid w:val="00CA6285"/>
    <w:rsid w:val="00CA62D8"/>
    <w:rsid w:val="00CB23BD"/>
    <w:rsid w:val="00CB3998"/>
    <w:rsid w:val="00CB5618"/>
    <w:rsid w:val="00CB577A"/>
    <w:rsid w:val="00CC290D"/>
    <w:rsid w:val="00CC483E"/>
    <w:rsid w:val="00CD0519"/>
    <w:rsid w:val="00CD09B1"/>
    <w:rsid w:val="00CD2075"/>
    <w:rsid w:val="00CD4232"/>
    <w:rsid w:val="00CD4E82"/>
    <w:rsid w:val="00CD5F14"/>
    <w:rsid w:val="00CD6A04"/>
    <w:rsid w:val="00CE00E1"/>
    <w:rsid w:val="00CE374C"/>
    <w:rsid w:val="00CE4A6D"/>
    <w:rsid w:val="00CE5795"/>
    <w:rsid w:val="00CE63C1"/>
    <w:rsid w:val="00CF18C5"/>
    <w:rsid w:val="00CF1E4D"/>
    <w:rsid w:val="00CF2A56"/>
    <w:rsid w:val="00CF44E4"/>
    <w:rsid w:val="00CF46A3"/>
    <w:rsid w:val="00CF5FE7"/>
    <w:rsid w:val="00D07067"/>
    <w:rsid w:val="00D075AA"/>
    <w:rsid w:val="00D101BD"/>
    <w:rsid w:val="00D10370"/>
    <w:rsid w:val="00D11861"/>
    <w:rsid w:val="00D11D57"/>
    <w:rsid w:val="00D15067"/>
    <w:rsid w:val="00D1557F"/>
    <w:rsid w:val="00D16C7C"/>
    <w:rsid w:val="00D16E03"/>
    <w:rsid w:val="00D17158"/>
    <w:rsid w:val="00D200F8"/>
    <w:rsid w:val="00D208E9"/>
    <w:rsid w:val="00D2146D"/>
    <w:rsid w:val="00D234C0"/>
    <w:rsid w:val="00D23EC6"/>
    <w:rsid w:val="00D25D68"/>
    <w:rsid w:val="00D2601F"/>
    <w:rsid w:val="00D27CC0"/>
    <w:rsid w:val="00D30E41"/>
    <w:rsid w:val="00D31534"/>
    <w:rsid w:val="00D32EF8"/>
    <w:rsid w:val="00D338A7"/>
    <w:rsid w:val="00D35734"/>
    <w:rsid w:val="00D35A83"/>
    <w:rsid w:val="00D40975"/>
    <w:rsid w:val="00D40E5E"/>
    <w:rsid w:val="00D41A97"/>
    <w:rsid w:val="00D42DF0"/>
    <w:rsid w:val="00D432B7"/>
    <w:rsid w:val="00D526AB"/>
    <w:rsid w:val="00D56390"/>
    <w:rsid w:val="00D564D7"/>
    <w:rsid w:val="00D5664C"/>
    <w:rsid w:val="00D578DE"/>
    <w:rsid w:val="00D605E6"/>
    <w:rsid w:val="00D62577"/>
    <w:rsid w:val="00D62CAD"/>
    <w:rsid w:val="00D6300E"/>
    <w:rsid w:val="00D662D3"/>
    <w:rsid w:val="00D6663F"/>
    <w:rsid w:val="00D6718D"/>
    <w:rsid w:val="00D67AAC"/>
    <w:rsid w:val="00D70021"/>
    <w:rsid w:val="00D70156"/>
    <w:rsid w:val="00D72C3E"/>
    <w:rsid w:val="00D72E1C"/>
    <w:rsid w:val="00D74508"/>
    <w:rsid w:val="00D75432"/>
    <w:rsid w:val="00D776E0"/>
    <w:rsid w:val="00D81B90"/>
    <w:rsid w:val="00D81E99"/>
    <w:rsid w:val="00D83B77"/>
    <w:rsid w:val="00D83E3D"/>
    <w:rsid w:val="00D84631"/>
    <w:rsid w:val="00D9330E"/>
    <w:rsid w:val="00DA0D71"/>
    <w:rsid w:val="00DA3E29"/>
    <w:rsid w:val="00DA40EF"/>
    <w:rsid w:val="00DA50DD"/>
    <w:rsid w:val="00DA57AB"/>
    <w:rsid w:val="00DA5B2E"/>
    <w:rsid w:val="00DA6098"/>
    <w:rsid w:val="00DA7208"/>
    <w:rsid w:val="00DB0709"/>
    <w:rsid w:val="00DB091D"/>
    <w:rsid w:val="00DB42D3"/>
    <w:rsid w:val="00DB4607"/>
    <w:rsid w:val="00DB6A1E"/>
    <w:rsid w:val="00DB77A2"/>
    <w:rsid w:val="00DC13DB"/>
    <w:rsid w:val="00DC3E00"/>
    <w:rsid w:val="00DC50E2"/>
    <w:rsid w:val="00DC5BD7"/>
    <w:rsid w:val="00DC678B"/>
    <w:rsid w:val="00DD0F39"/>
    <w:rsid w:val="00DD1C1A"/>
    <w:rsid w:val="00DD1D73"/>
    <w:rsid w:val="00DD24C7"/>
    <w:rsid w:val="00DD2C71"/>
    <w:rsid w:val="00DD402D"/>
    <w:rsid w:val="00DD5114"/>
    <w:rsid w:val="00DD63D0"/>
    <w:rsid w:val="00DD6882"/>
    <w:rsid w:val="00DE1E8E"/>
    <w:rsid w:val="00DE4050"/>
    <w:rsid w:val="00DE6293"/>
    <w:rsid w:val="00DE6C13"/>
    <w:rsid w:val="00DE71AD"/>
    <w:rsid w:val="00DF0B58"/>
    <w:rsid w:val="00DF13E9"/>
    <w:rsid w:val="00DF3259"/>
    <w:rsid w:val="00DF3935"/>
    <w:rsid w:val="00DF66F8"/>
    <w:rsid w:val="00E00586"/>
    <w:rsid w:val="00E03013"/>
    <w:rsid w:val="00E05768"/>
    <w:rsid w:val="00E06E01"/>
    <w:rsid w:val="00E07261"/>
    <w:rsid w:val="00E10295"/>
    <w:rsid w:val="00E163F5"/>
    <w:rsid w:val="00E16CF4"/>
    <w:rsid w:val="00E17AAA"/>
    <w:rsid w:val="00E2023C"/>
    <w:rsid w:val="00E22FD2"/>
    <w:rsid w:val="00E254DE"/>
    <w:rsid w:val="00E279C7"/>
    <w:rsid w:val="00E27F47"/>
    <w:rsid w:val="00E30737"/>
    <w:rsid w:val="00E337B2"/>
    <w:rsid w:val="00E36046"/>
    <w:rsid w:val="00E368C1"/>
    <w:rsid w:val="00E36F0D"/>
    <w:rsid w:val="00E42686"/>
    <w:rsid w:val="00E45713"/>
    <w:rsid w:val="00E46E94"/>
    <w:rsid w:val="00E5141A"/>
    <w:rsid w:val="00E525EF"/>
    <w:rsid w:val="00E52B61"/>
    <w:rsid w:val="00E542ED"/>
    <w:rsid w:val="00E54D91"/>
    <w:rsid w:val="00E54EA4"/>
    <w:rsid w:val="00E551C4"/>
    <w:rsid w:val="00E5608B"/>
    <w:rsid w:val="00E564F8"/>
    <w:rsid w:val="00E56FD8"/>
    <w:rsid w:val="00E57237"/>
    <w:rsid w:val="00E57487"/>
    <w:rsid w:val="00E57F99"/>
    <w:rsid w:val="00E61E73"/>
    <w:rsid w:val="00E64429"/>
    <w:rsid w:val="00E646EE"/>
    <w:rsid w:val="00E65054"/>
    <w:rsid w:val="00E6534B"/>
    <w:rsid w:val="00E66780"/>
    <w:rsid w:val="00E6678D"/>
    <w:rsid w:val="00E705B8"/>
    <w:rsid w:val="00E711DA"/>
    <w:rsid w:val="00E7715F"/>
    <w:rsid w:val="00E773DC"/>
    <w:rsid w:val="00E810AC"/>
    <w:rsid w:val="00E828AC"/>
    <w:rsid w:val="00E87CC3"/>
    <w:rsid w:val="00E90841"/>
    <w:rsid w:val="00E91098"/>
    <w:rsid w:val="00E9210B"/>
    <w:rsid w:val="00EA3AE2"/>
    <w:rsid w:val="00EA4CD3"/>
    <w:rsid w:val="00EA4FFB"/>
    <w:rsid w:val="00EA6164"/>
    <w:rsid w:val="00EA7A01"/>
    <w:rsid w:val="00EA7CCD"/>
    <w:rsid w:val="00EB154B"/>
    <w:rsid w:val="00EB234D"/>
    <w:rsid w:val="00EB3F6F"/>
    <w:rsid w:val="00EB5C44"/>
    <w:rsid w:val="00EB5FE0"/>
    <w:rsid w:val="00EC185B"/>
    <w:rsid w:val="00EC3165"/>
    <w:rsid w:val="00EC428E"/>
    <w:rsid w:val="00EC50AD"/>
    <w:rsid w:val="00EC6872"/>
    <w:rsid w:val="00ED0449"/>
    <w:rsid w:val="00ED1087"/>
    <w:rsid w:val="00ED5A7B"/>
    <w:rsid w:val="00ED769C"/>
    <w:rsid w:val="00EE1525"/>
    <w:rsid w:val="00EE1C35"/>
    <w:rsid w:val="00EE2292"/>
    <w:rsid w:val="00EE372B"/>
    <w:rsid w:val="00EE4651"/>
    <w:rsid w:val="00EE7822"/>
    <w:rsid w:val="00EE7ED0"/>
    <w:rsid w:val="00EF09B7"/>
    <w:rsid w:val="00EF16B0"/>
    <w:rsid w:val="00EF18F6"/>
    <w:rsid w:val="00EF6CA7"/>
    <w:rsid w:val="00EF7B9C"/>
    <w:rsid w:val="00F00F7F"/>
    <w:rsid w:val="00F02848"/>
    <w:rsid w:val="00F03447"/>
    <w:rsid w:val="00F05B1C"/>
    <w:rsid w:val="00F119AC"/>
    <w:rsid w:val="00F12B7F"/>
    <w:rsid w:val="00F135AB"/>
    <w:rsid w:val="00F14B55"/>
    <w:rsid w:val="00F154D3"/>
    <w:rsid w:val="00F15DF3"/>
    <w:rsid w:val="00F16609"/>
    <w:rsid w:val="00F16AE3"/>
    <w:rsid w:val="00F2023C"/>
    <w:rsid w:val="00F20512"/>
    <w:rsid w:val="00F23425"/>
    <w:rsid w:val="00F23596"/>
    <w:rsid w:val="00F244D4"/>
    <w:rsid w:val="00F26062"/>
    <w:rsid w:val="00F30CEE"/>
    <w:rsid w:val="00F330F8"/>
    <w:rsid w:val="00F33971"/>
    <w:rsid w:val="00F34586"/>
    <w:rsid w:val="00F350B8"/>
    <w:rsid w:val="00F378BC"/>
    <w:rsid w:val="00F37EDA"/>
    <w:rsid w:val="00F4014E"/>
    <w:rsid w:val="00F41415"/>
    <w:rsid w:val="00F437CD"/>
    <w:rsid w:val="00F4394B"/>
    <w:rsid w:val="00F44A63"/>
    <w:rsid w:val="00F45334"/>
    <w:rsid w:val="00F476B3"/>
    <w:rsid w:val="00F477AC"/>
    <w:rsid w:val="00F479E9"/>
    <w:rsid w:val="00F51A25"/>
    <w:rsid w:val="00F533E4"/>
    <w:rsid w:val="00F5587C"/>
    <w:rsid w:val="00F56CFF"/>
    <w:rsid w:val="00F57183"/>
    <w:rsid w:val="00F600C5"/>
    <w:rsid w:val="00F618BE"/>
    <w:rsid w:val="00F63E7B"/>
    <w:rsid w:val="00F65DB9"/>
    <w:rsid w:val="00F6669E"/>
    <w:rsid w:val="00F666D6"/>
    <w:rsid w:val="00F67D23"/>
    <w:rsid w:val="00F7320A"/>
    <w:rsid w:val="00F74046"/>
    <w:rsid w:val="00F74414"/>
    <w:rsid w:val="00F75D20"/>
    <w:rsid w:val="00F80FF3"/>
    <w:rsid w:val="00F82D72"/>
    <w:rsid w:val="00F83E12"/>
    <w:rsid w:val="00F85225"/>
    <w:rsid w:val="00F87EFB"/>
    <w:rsid w:val="00F90C71"/>
    <w:rsid w:val="00F91F35"/>
    <w:rsid w:val="00F922A6"/>
    <w:rsid w:val="00F94792"/>
    <w:rsid w:val="00F96A74"/>
    <w:rsid w:val="00FA2572"/>
    <w:rsid w:val="00FA28FE"/>
    <w:rsid w:val="00FA4372"/>
    <w:rsid w:val="00FA5CE2"/>
    <w:rsid w:val="00FB0403"/>
    <w:rsid w:val="00FB33C3"/>
    <w:rsid w:val="00FB5F54"/>
    <w:rsid w:val="00FB6C04"/>
    <w:rsid w:val="00FC4C29"/>
    <w:rsid w:val="00FD1625"/>
    <w:rsid w:val="00FD179F"/>
    <w:rsid w:val="00FD1905"/>
    <w:rsid w:val="00FD20A5"/>
    <w:rsid w:val="00FD3374"/>
    <w:rsid w:val="00FD7736"/>
    <w:rsid w:val="00FE102D"/>
    <w:rsid w:val="00FE1CA2"/>
    <w:rsid w:val="00FE4655"/>
    <w:rsid w:val="00FE46A9"/>
    <w:rsid w:val="00FE4A6A"/>
    <w:rsid w:val="00FE6863"/>
    <w:rsid w:val="00FF1D89"/>
    <w:rsid w:val="00FF1E2E"/>
    <w:rsid w:val="00FF22CF"/>
    <w:rsid w:val="00FF2991"/>
    <w:rsid w:val="00FF4DF1"/>
    <w:rsid w:val="00FF5B20"/>
    <w:rsid w:val="00FF5D8D"/>
    <w:rsid w:val="052B38A3"/>
    <w:rsid w:val="082F25E4"/>
    <w:rsid w:val="0A8F5D00"/>
    <w:rsid w:val="0D75742F"/>
    <w:rsid w:val="0E552DBD"/>
    <w:rsid w:val="0EA7186A"/>
    <w:rsid w:val="0EE330C9"/>
    <w:rsid w:val="10C04E65"/>
    <w:rsid w:val="10D017D9"/>
    <w:rsid w:val="1348114C"/>
    <w:rsid w:val="138B5786"/>
    <w:rsid w:val="1CA0145B"/>
    <w:rsid w:val="1E1E31CB"/>
    <w:rsid w:val="21603540"/>
    <w:rsid w:val="24011B01"/>
    <w:rsid w:val="261F3F85"/>
    <w:rsid w:val="27F7686E"/>
    <w:rsid w:val="29E03A2B"/>
    <w:rsid w:val="2B7ED06F"/>
    <w:rsid w:val="2D3D4257"/>
    <w:rsid w:val="2DDA0928"/>
    <w:rsid w:val="32B41128"/>
    <w:rsid w:val="35DE565D"/>
    <w:rsid w:val="369547EC"/>
    <w:rsid w:val="37AE5168"/>
    <w:rsid w:val="3A3D4F53"/>
    <w:rsid w:val="3D3A7EAF"/>
    <w:rsid w:val="3EA0216F"/>
    <w:rsid w:val="3F7E74F8"/>
    <w:rsid w:val="448B464D"/>
    <w:rsid w:val="4B887C1D"/>
    <w:rsid w:val="4C115F9A"/>
    <w:rsid w:val="4C2537F3"/>
    <w:rsid w:val="4EE778FC"/>
    <w:rsid w:val="50446580"/>
    <w:rsid w:val="513525FF"/>
    <w:rsid w:val="520934A3"/>
    <w:rsid w:val="53093721"/>
    <w:rsid w:val="535029F5"/>
    <w:rsid w:val="53B322F3"/>
    <w:rsid w:val="5CDE4274"/>
    <w:rsid w:val="5DFE4393"/>
    <w:rsid w:val="5DFF29E0"/>
    <w:rsid w:val="5EDF3AF6"/>
    <w:rsid w:val="5FD94BDB"/>
    <w:rsid w:val="615835BC"/>
    <w:rsid w:val="62FA5B29"/>
    <w:rsid w:val="64632CB3"/>
    <w:rsid w:val="68B41309"/>
    <w:rsid w:val="68FF6CAB"/>
    <w:rsid w:val="69CA7F8E"/>
    <w:rsid w:val="6B32428E"/>
    <w:rsid w:val="6B9F0575"/>
    <w:rsid w:val="6D464B59"/>
    <w:rsid w:val="739E1612"/>
    <w:rsid w:val="73EF1F12"/>
    <w:rsid w:val="75AF62D4"/>
    <w:rsid w:val="760E16AB"/>
    <w:rsid w:val="784244D4"/>
    <w:rsid w:val="7BC14284"/>
    <w:rsid w:val="7F921D31"/>
    <w:rsid w:val="AEFF9737"/>
    <w:rsid w:val="AEFFAB2F"/>
    <w:rsid w:val="DDFFD477"/>
    <w:rsid w:val="FADAB0B6"/>
    <w:rsid w:val="FFBBF84C"/>
    <w:rsid w:val="FFED0BA2"/>
    <w:rsid w:val="FFFB1921"/>
    <w:rsid w:val="FFFFE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2"/>
    <w:semiHidden/>
    <w:unhideWhenUsed/>
    <w:qFormat/>
    <w:uiPriority w:val="99"/>
    <w:rPr>
      <w:rFonts w:ascii="宋体" w:eastAsia="宋体"/>
      <w:sz w:val="18"/>
      <w:szCs w:val="18"/>
    </w:rPr>
  </w:style>
  <w:style w:type="paragraph" w:styleId="5">
    <w:name w:val="annotation text"/>
    <w:basedOn w:val="1"/>
    <w:link w:val="30"/>
    <w:unhideWhenUsed/>
    <w:qFormat/>
    <w:uiPriority w:val="99"/>
    <w:pPr>
      <w:jc w:val="left"/>
    </w:pPr>
  </w:style>
  <w:style w:type="paragraph" w:styleId="6">
    <w:name w:val="Balloon Text"/>
    <w:basedOn w:val="1"/>
    <w:link w:val="15"/>
    <w:semiHidden/>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Autospacing="1" w:afterAutospacing="1"/>
      <w:jc w:val="left"/>
    </w:pPr>
    <w:rPr>
      <w:kern w:val="0"/>
      <w:sz w:val="24"/>
    </w:rPr>
  </w:style>
  <w:style w:type="paragraph" w:styleId="10">
    <w:name w:val="annotation subject"/>
    <w:basedOn w:val="5"/>
    <w:next w:val="5"/>
    <w:link w:val="32"/>
    <w:semiHidden/>
    <w:unhideWhenUsed/>
    <w:qFormat/>
    <w:uiPriority w:val="99"/>
    <w:rPr>
      <w:b/>
      <w:bCs/>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basedOn w:val="13"/>
    <w:semiHidden/>
    <w:unhideWhenUsed/>
    <w:qFormat/>
    <w:uiPriority w:val="99"/>
    <w:rPr>
      <w:sz w:val="21"/>
      <w:szCs w:val="21"/>
    </w:rPr>
  </w:style>
  <w:style w:type="character" w:customStyle="1" w:styleId="15">
    <w:name w:val="批注框文本 字符"/>
    <w:basedOn w:val="13"/>
    <w:link w:val="6"/>
    <w:semiHidden/>
    <w:qFormat/>
    <w:uiPriority w:val="99"/>
    <w:rPr>
      <w:sz w:val="18"/>
      <w:szCs w:val="18"/>
    </w:rPr>
  </w:style>
  <w:style w:type="character" w:customStyle="1" w:styleId="16">
    <w:name w:val="标题 1 字符"/>
    <w:basedOn w:val="13"/>
    <w:link w:val="2"/>
    <w:qFormat/>
    <w:uiPriority w:val="9"/>
    <w:rPr>
      <w:b/>
      <w:bCs/>
      <w:kern w:val="44"/>
      <w:sz w:val="44"/>
      <w:szCs w:val="44"/>
    </w:rPr>
  </w:style>
  <w:style w:type="paragraph" w:styleId="17">
    <w:name w:val="List Paragraph"/>
    <w:basedOn w:val="1"/>
    <w:qFormat/>
    <w:uiPriority w:val="34"/>
    <w:pPr>
      <w:ind w:firstLine="420" w:firstLineChars="200"/>
    </w:pPr>
  </w:style>
  <w:style w:type="character" w:styleId="18">
    <w:name w:val="Placeholder Text"/>
    <w:basedOn w:val="13"/>
    <w:semiHidden/>
    <w:qFormat/>
    <w:uiPriority w:val="99"/>
    <w:rPr>
      <w:color w:val="auto"/>
    </w:rPr>
  </w:style>
  <w:style w:type="character" w:customStyle="1" w:styleId="19">
    <w:name w:val="页眉 字符"/>
    <w:basedOn w:val="13"/>
    <w:link w:val="8"/>
    <w:qFormat/>
    <w:uiPriority w:val="99"/>
    <w:rPr>
      <w:sz w:val="18"/>
      <w:szCs w:val="18"/>
    </w:rPr>
  </w:style>
  <w:style w:type="character" w:customStyle="1" w:styleId="20">
    <w:name w:val="页脚 字符"/>
    <w:basedOn w:val="13"/>
    <w:link w:val="7"/>
    <w:qFormat/>
    <w:uiPriority w:val="99"/>
    <w:rPr>
      <w:sz w:val="18"/>
      <w:szCs w:val="18"/>
    </w:rPr>
  </w:style>
  <w:style w:type="character" w:customStyle="1" w:styleId="21">
    <w:name w:val="标题 2 字符"/>
    <w:basedOn w:val="13"/>
    <w:link w:val="3"/>
    <w:qFormat/>
    <w:uiPriority w:val="9"/>
    <w:rPr>
      <w:rFonts w:asciiTheme="majorHAnsi" w:hAnsiTheme="majorHAnsi" w:eastAsiaTheme="majorEastAsia" w:cstheme="majorBidi"/>
      <w:b/>
      <w:bCs/>
      <w:sz w:val="32"/>
      <w:szCs w:val="32"/>
    </w:rPr>
  </w:style>
  <w:style w:type="character" w:customStyle="1" w:styleId="22">
    <w:name w:val="文档结构图 字符"/>
    <w:basedOn w:val="13"/>
    <w:link w:val="4"/>
    <w:semiHidden/>
    <w:qFormat/>
    <w:uiPriority w:val="99"/>
    <w:rPr>
      <w:rFonts w:ascii="宋体" w:eastAsia="宋体"/>
      <w:sz w:val="18"/>
      <w:szCs w:val="18"/>
    </w:rPr>
  </w:style>
  <w:style w:type="character" w:customStyle="1" w:styleId="23">
    <w:name w:val="样式1"/>
    <w:qFormat/>
    <w:uiPriority w:val="1"/>
  </w:style>
  <w:style w:type="character" w:customStyle="1" w:styleId="24">
    <w:name w:val="样式2"/>
    <w:basedOn w:val="23"/>
    <w:qFormat/>
    <w:uiPriority w:val="1"/>
  </w:style>
  <w:style w:type="character" w:customStyle="1" w:styleId="25">
    <w:name w:val="样式3"/>
    <w:basedOn w:val="23"/>
    <w:qFormat/>
    <w:uiPriority w:val="1"/>
  </w:style>
  <w:style w:type="character" w:customStyle="1" w:styleId="26">
    <w:name w:val="样式4"/>
    <w:basedOn w:val="23"/>
    <w:qFormat/>
    <w:uiPriority w:val="1"/>
  </w:style>
  <w:style w:type="character" w:customStyle="1" w:styleId="27">
    <w:name w:val="样式5"/>
    <w:basedOn w:val="23"/>
    <w:qFormat/>
    <w:uiPriority w:val="1"/>
  </w:style>
  <w:style w:type="character" w:customStyle="1" w:styleId="28">
    <w:name w:val="样式6"/>
    <w:basedOn w:val="26"/>
    <w:qFormat/>
    <w:uiPriority w:val="1"/>
  </w:style>
  <w:style w:type="character" w:customStyle="1" w:styleId="29">
    <w:name w:val="样式7"/>
    <w:basedOn w:val="26"/>
    <w:qFormat/>
    <w:uiPriority w:val="1"/>
  </w:style>
  <w:style w:type="character" w:customStyle="1" w:styleId="30">
    <w:name w:val="批注文字 字符"/>
    <w:basedOn w:val="13"/>
    <w:link w:val="5"/>
    <w:qFormat/>
    <w:uiPriority w:val="99"/>
  </w:style>
  <w:style w:type="paragraph" w:customStyle="1" w:styleId="31">
    <w:name w:val="p0"/>
    <w:basedOn w:val="1"/>
    <w:qFormat/>
    <w:uiPriority w:val="0"/>
    <w:pPr>
      <w:widowControl/>
    </w:pPr>
    <w:rPr>
      <w:rFonts w:ascii="Book Antiqua" w:hAnsi="Book Antiqua" w:eastAsia="宋体" w:cs="宋体"/>
      <w:kern w:val="0"/>
      <w:sz w:val="24"/>
      <w:szCs w:val="24"/>
    </w:rPr>
  </w:style>
  <w:style w:type="character" w:customStyle="1" w:styleId="32">
    <w:name w:val="批注主题 字符"/>
    <w:basedOn w:val="30"/>
    <w:link w:val="10"/>
    <w:semiHidden/>
    <w:qFormat/>
    <w:uiPriority w:val="99"/>
    <w:rPr>
      <w:b/>
      <w:bCs/>
    </w:rPr>
  </w:style>
  <w:style w:type="paragraph" w:customStyle="1" w:styleId="33">
    <w:name w:val="Table Text"/>
    <w:basedOn w:val="1"/>
    <w:autoRedefine/>
    <w:semiHidden/>
    <w:qFormat/>
    <w:uiPriority w:val="0"/>
    <w:pPr>
      <w:spacing w:before="64" w:line="284" w:lineRule="auto"/>
      <w:ind w:left="18" w:right="30" w:hanging="7"/>
      <w:jc w:val="left"/>
    </w:pPr>
    <w:rPr>
      <w:rFonts w:ascii="Times New Roman" w:hAnsi="Times New Roman" w:eastAsia="Times New Roman"/>
      <w:sz w:val="24"/>
      <w:szCs w:val="24"/>
      <w:lang w:eastAsia="en-US"/>
    </w:rPr>
  </w:style>
  <w:style w:type="table" w:customStyle="1" w:styleId="34">
    <w:name w:val="Table Normal"/>
    <w:autoRedefine/>
    <w:semiHidden/>
    <w:unhideWhenUsed/>
    <w:qFormat/>
    <w:uiPriority w:val="0"/>
    <w:tblPr>
      <w:tblCellMar>
        <w:top w:w="0" w:type="dxa"/>
        <w:left w:w="0" w:type="dxa"/>
        <w:bottom w:w="0" w:type="dxa"/>
        <w:right w:w="0" w:type="dxa"/>
      </w:tblCellMar>
    </w:tblPr>
  </w:style>
  <w:style w:type="paragraph" w:customStyle="1" w:styleId="35">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22222222222222222222222222222"/>
        <w:style w:val=""/>
        <w:category>
          <w:name w:val="常规"/>
          <w:gallery w:val="placeholder"/>
        </w:category>
        <w:types>
          <w:type w:val="bbPlcHdr"/>
        </w:types>
        <w:behaviors>
          <w:behavior w:val="content"/>
        </w:behaviors>
        <w:description w:val=""/>
        <w:guid w:val="{E8975CD8-AA4F-4D77-B72C-58EE482ADE73}"/>
      </w:docPartPr>
      <w:docPartBody>
        <w:p w14:paraId="0C5DBF4F">
          <w:pPr>
            <w:pStyle w:val="5"/>
            <w:rPr>
              <w:rFonts w:hint="eastAsia"/>
            </w:rPr>
          </w:pPr>
          <w:r>
            <w:rPr>
              <w:rFonts w:hint="eastAsia" w:asciiTheme="majorEastAsia" w:hAnsiTheme="majorEastAsia" w:eastAsiaTheme="majorEastAsia"/>
              <w:b/>
              <w:color w:val="333399"/>
              <w:szCs w:val="36"/>
              <w:u w:val="single"/>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E8A"/>
    <w:rsid w:val="00017C2E"/>
    <w:rsid w:val="00032CF6"/>
    <w:rsid w:val="000343D6"/>
    <w:rsid w:val="0004422D"/>
    <w:rsid w:val="00046446"/>
    <w:rsid w:val="00051238"/>
    <w:rsid w:val="00064914"/>
    <w:rsid w:val="000777D0"/>
    <w:rsid w:val="00091B04"/>
    <w:rsid w:val="000927E9"/>
    <w:rsid w:val="000A06CA"/>
    <w:rsid w:val="000A3E63"/>
    <w:rsid w:val="000B72CA"/>
    <w:rsid w:val="000D5200"/>
    <w:rsid w:val="000E3071"/>
    <w:rsid w:val="0011090A"/>
    <w:rsid w:val="00111BD1"/>
    <w:rsid w:val="0013460A"/>
    <w:rsid w:val="00145670"/>
    <w:rsid w:val="00151523"/>
    <w:rsid w:val="0016580D"/>
    <w:rsid w:val="0019225F"/>
    <w:rsid w:val="001D5BCD"/>
    <w:rsid w:val="001D6115"/>
    <w:rsid w:val="001E3EA0"/>
    <w:rsid w:val="002143E6"/>
    <w:rsid w:val="00216D18"/>
    <w:rsid w:val="00256D89"/>
    <w:rsid w:val="00267098"/>
    <w:rsid w:val="00282A8F"/>
    <w:rsid w:val="002E4793"/>
    <w:rsid w:val="002E6255"/>
    <w:rsid w:val="00306E3D"/>
    <w:rsid w:val="00316D69"/>
    <w:rsid w:val="00341B55"/>
    <w:rsid w:val="0036106E"/>
    <w:rsid w:val="00376DD0"/>
    <w:rsid w:val="003810DE"/>
    <w:rsid w:val="003906EF"/>
    <w:rsid w:val="003A17F8"/>
    <w:rsid w:val="003B04EC"/>
    <w:rsid w:val="003B50D8"/>
    <w:rsid w:val="003D385E"/>
    <w:rsid w:val="003E041E"/>
    <w:rsid w:val="00421A1B"/>
    <w:rsid w:val="0043069B"/>
    <w:rsid w:val="00495DE2"/>
    <w:rsid w:val="004A1379"/>
    <w:rsid w:val="004A2790"/>
    <w:rsid w:val="004A4D38"/>
    <w:rsid w:val="004B104B"/>
    <w:rsid w:val="004B2A73"/>
    <w:rsid w:val="004B46C6"/>
    <w:rsid w:val="004B72D1"/>
    <w:rsid w:val="004E2C00"/>
    <w:rsid w:val="004F1BA3"/>
    <w:rsid w:val="00505B16"/>
    <w:rsid w:val="00524560"/>
    <w:rsid w:val="0052623E"/>
    <w:rsid w:val="00535D5C"/>
    <w:rsid w:val="005409B4"/>
    <w:rsid w:val="00541ABD"/>
    <w:rsid w:val="00554BBA"/>
    <w:rsid w:val="00564EDE"/>
    <w:rsid w:val="0058791E"/>
    <w:rsid w:val="005A02F7"/>
    <w:rsid w:val="005B1E3A"/>
    <w:rsid w:val="005D54A9"/>
    <w:rsid w:val="00602E7D"/>
    <w:rsid w:val="00633C9B"/>
    <w:rsid w:val="00645CB1"/>
    <w:rsid w:val="00650792"/>
    <w:rsid w:val="00687612"/>
    <w:rsid w:val="006B7BE4"/>
    <w:rsid w:val="0072633B"/>
    <w:rsid w:val="00734AD3"/>
    <w:rsid w:val="00752860"/>
    <w:rsid w:val="00765580"/>
    <w:rsid w:val="00774D22"/>
    <w:rsid w:val="00777D46"/>
    <w:rsid w:val="00780325"/>
    <w:rsid w:val="00781254"/>
    <w:rsid w:val="00781F4C"/>
    <w:rsid w:val="007857F3"/>
    <w:rsid w:val="0078693E"/>
    <w:rsid w:val="007A02EA"/>
    <w:rsid w:val="007A0348"/>
    <w:rsid w:val="007A4890"/>
    <w:rsid w:val="007B1DA5"/>
    <w:rsid w:val="007B3C12"/>
    <w:rsid w:val="007B4410"/>
    <w:rsid w:val="007C7D34"/>
    <w:rsid w:val="00800822"/>
    <w:rsid w:val="00807700"/>
    <w:rsid w:val="00846FD4"/>
    <w:rsid w:val="00851D98"/>
    <w:rsid w:val="00932870"/>
    <w:rsid w:val="0095546D"/>
    <w:rsid w:val="009830BF"/>
    <w:rsid w:val="00985796"/>
    <w:rsid w:val="00996F77"/>
    <w:rsid w:val="0099798A"/>
    <w:rsid w:val="009A3853"/>
    <w:rsid w:val="009C514E"/>
    <w:rsid w:val="009D0A97"/>
    <w:rsid w:val="00A10E8A"/>
    <w:rsid w:val="00A214F0"/>
    <w:rsid w:val="00A3150D"/>
    <w:rsid w:val="00A41B15"/>
    <w:rsid w:val="00A650F6"/>
    <w:rsid w:val="00A76F92"/>
    <w:rsid w:val="00A808AB"/>
    <w:rsid w:val="00A86D8A"/>
    <w:rsid w:val="00AA1850"/>
    <w:rsid w:val="00AA1CD6"/>
    <w:rsid w:val="00AA5D37"/>
    <w:rsid w:val="00AA6A65"/>
    <w:rsid w:val="00AB46B1"/>
    <w:rsid w:val="00B84331"/>
    <w:rsid w:val="00BA1417"/>
    <w:rsid w:val="00BD5113"/>
    <w:rsid w:val="00BD611D"/>
    <w:rsid w:val="00C01254"/>
    <w:rsid w:val="00C1573E"/>
    <w:rsid w:val="00C173EB"/>
    <w:rsid w:val="00C24685"/>
    <w:rsid w:val="00C278FF"/>
    <w:rsid w:val="00CA0358"/>
    <w:rsid w:val="00CB6A47"/>
    <w:rsid w:val="00CE00E1"/>
    <w:rsid w:val="00CE3E32"/>
    <w:rsid w:val="00D047C8"/>
    <w:rsid w:val="00D179CB"/>
    <w:rsid w:val="00D26A94"/>
    <w:rsid w:val="00D316FF"/>
    <w:rsid w:val="00D711C1"/>
    <w:rsid w:val="00D74505"/>
    <w:rsid w:val="00D839D6"/>
    <w:rsid w:val="00DB1BD1"/>
    <w:rsid w:val="00DB5C2D"/>
    <w:rsid w:val="00DC38EF"/>
    <w:rsid w:val="00DD166E"/>
    <w:rsid w:val="00DF2409"/>
    <w:rsid w:val="00E00DD3"/>
    <w:rsid w:val="00E717CD"/>
    <w:rsid w:val="00E93D68"/>
    <w:rsid w:val="00EA05B6"/>
    <w:rsid w:val="00F143C9"/>
    <w:rsid w:val="00F476B3"/>
    <w:rsid w:val="00F774E5"/>
    <w:rsid w:val="00FA2FFB"/>
    <w:rsid w:val="00FB76F7"/>
    <w:rsid w:val="00FD227C"/>
    <w:rsid w:val="00FD6572"/>
    <w:rsid w:val="00FF0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9F3DF1A127DD4BAF8FE0AECC20C4822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]]></m:sse>
</m:mapping>
</file>

<file path=customXml/item3.xml><?xml version="1.0" encoding="utf-8"?>
<b:binding xmlns:clcta-gie="clcta-gie" xmlns:b="http://mapping.word.org/2012/binding" xmlns:clcta-taf="clcta-taf" xmlns:clcta-fte="clcta-fte" xmlns:xlink="xlink" xmlns:clcta-be="clcta-be" xmlns:clcta-ci="clcta-ci">
  <clcta-gie:GongSiFaDingZhongWenMingCheng xmlns:clcta-gie="clcta-gie">股份有限公司</clcta-gie:GongSiFaDingZhongWenMingCheng>
  <clcta-be:GuDongDaHuiZhaoKaiNianDu xmlns:clcta-be="clcta-be"/>
  <clcta-be:GuDongDaHuiJieCi xmlns:clcta-be="clcta-be"/>
  <clcta-be:GuDongDaHuiZhaoKaiShiJian xmlns:clcta-be="clcta-be"/>
</b:binding>
</file>

<file path=customXml/item4.xml><?xml version="1.0" encoding="utf-8"?>
<t:template xmlns:t="http://mapping.word.org/2012/template">
  <t:sse><![CDATA[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]]></t:sse>
</t:template>
</file>

<file path=customXml/itemProps1.xml><?xml version="1.0" encoding="utf-8"?>
<ds:datastoreItem xmlns:ds="http://schemas.openxmlformats.org/officeDocument/2006/customXml" ds:itemID="{4511FAB5-2CDB-48CD-B312-58EE4B3BFC5C}">
  <ds:schemaRefs/>
</ds:datastoreItem>
</file>

<file path=customXml/itemProps2.xml><?xml version="1.0" encoding="utf-8"?>
<ds:datastoreItem xmlns:ds="http://schemas.openxmlformats.org/officeDocument/2006/customXml" ds:itemID="{6946C436-FBFE-4818-858F-57D7285C98D3}">
  <ds:schemaRefs/>
</ds:datastoreItem>
</file>

<file path=customXml/itemProps3.xml><?xml version="1.0" encoding="utf-8"?>
<ds:datastoreItem xmlns:ds="http://schemas.openxmlformats.org/officeDocument/2006/customXml" ds:itemID="{BA98B501-917D-472D-AC19-F30F1EB82784}">
  <ds:schemaRefs/>
</ds:datastoreItem>
</file>

<file path=customXml/itemProps4.xml><?xml version="1.0" encoding="utf-8"?>
<ds:datastoreItem xmlns:ds="http://schemas.openxmlformats.org/officeDocument/2006/customXml" ds:itemID="{A00C5999-7F3E-41FB-B9D3-53037C101C00}">
  <ds:schemaRefs/>
</ds:datastoreItem>
</file>

<file path=docProps/app.xml><?xml version="1.0" encoding="utf-8"?>
<Properties xmlns="http://schemas.openxmlformats.org/officeDocument/2006/extended-properties" xmlns:vt="http://schemas.openxmlformats.org/officeDocument/2006/docPropsVTypes">
  <Template>SSEReport</Template>
  <Company>HP</Company>
  <Pages>5</Pages>
  <Words>2734</Words>
  <Characters>3225</Characters>
  <Lines>182</Lines>
  <Paragraphs>195</Paragraphs>
  <TotalTime>1</TotalTime>
  <ScaleCrop>false</ScaleCrop>
  <LinksUpToDate>false</LinksUpToDate>
  <CharactersWithSpaces>3255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2025-07-03T01:10:00Z</dcterms:created>
  <dc:creator>yangzhiquan</dc:creator>
  <cp:lastModifiedBy>雯亦</cp:lastModifiedBy>
  <dcterms:modified xsi:type="dcterms:W3CDTF">2026-01-05T09:31:45Z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eyJoZGlkIjoiZTQzZmRmZDMxMjkwMDE2NTk0ZWQ1ZWYwMzRmYjVhNmUiLCJ1c2VySWQiOiI2NDQwNzQxNTQifQ==</vt:lpwstr>
  </property>
  <property fmtid="{D5CDD505-2E9C-101B-9397-08002B2CF9AE}" pid="3" name="KSOProductBuildVer">
    <vt:lpwstr>2052-12.1.0.24034</vt:lpwstr>
  </property>
  <property fmtid="{D5CDD505-2E9C-101B-9397-08002B2CF9AE}" pid="4" name="ICV">
    <vt:lpwstr>448A1244BF5D4802B4D3CCDF3997D613_13</vt:lpwstr>
  </property>
</Properties>
</file>