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73DB7E">
      <w:pPr>
        <w:adjustRightInd w:val="0"/>
        <w:snapToGrid w:val="0"/>
        <w:spacing w:line="560" w:lineRule="exact"/>
        <w:ind w:firstLine="420"/>
        <w:jc w:val="left"/>
        <w:rPr>
          <w:rFonts w:hint="eastAsia" w:ascii="宋体" w:hAnsi="宋体"/>
          <w:b/>
          <w:sz w:val="24"/>
          <w:szCs w:val="24"/>
        </w:rPr>
      </w:pPr>
      <w:r>
        <w:rPr>
          <w:rFonts w:hint="eastAsia" w:ascii="宋体" w:hAnsi="宋体"/>
          <w:b/>
          <w:sz w:val="24"/>
          <w:szCs w:val="24"/>
        </w:rPr>
        <w:t>证券代码：</w:t>
      </w:r>
      <w:r>
        <w:rPr>
          <w:rFonts w:ascii="宋体" w:hAnsi="宋体"/>
          <w:b/>
          <w:sz w:val="24"/>
          <w:szCs w:val="24"/>
        </w:rPr>
        <w:t xml:space="preserve">603191        </w:t>
      </w:r>
      <w:r>
        <w:rPr>
          <w:rFonts w:hint="eastAsia" w:ascii="宋体" w:hAnsi="宋体"/>
          <w:b/>
          <w:sz w:val="24"/>
          <w:szCs w:val="24"/>
        </w:rPr>
        <w:t xml:space="preserve">证券简称：望变电气 </w:t>
      </w:r>
      <w:r>
        <w:rPr>
          <w:rFonts w:ascii="宋体" w:hAnsi="宋体"/>
          <w:b/>
          <w:sz w:val="24"/>
          <w:szCs w:val="24"/>
        </w:rPr>
        <w:t xml:space="preserve">       </w:t>
      </w:r>
      <w:r>
        <w:rPr>
          <w:rFonts w:hint="eastAsia" w:ascii="宋体" w:hAnsi="宋体"/>
          <w:b/>
          <w:sz w:val="24"/>
          <w:szCs w:val="24"/>
        </w:rPr>
        <w:t>公告编号：2</w:t>
      </w:r>
      <w:r>
        <w:rPr>
          <w:rFonts w:ascii="宋体" w:hAnsi="宋体"/>
          <w:b/>
          <w:sz w:val="24"/>
          <w:szCs w:val="24"/>
        </w:rPr>
        <w:t>02</w:t>
      </w:r>
      <w:r>
        <w:rPr>
          <w:rFonts w:hint="eastAsia" w:ascii="宋体" w:hAnsi="宋体"/>
          <w:b/>
          <w:sz w:val="24"/>
          <w:szCs w:val="24"/>
        </w:rPr>
        <w:t>5-062</w:t>
      </w:r>
    </w:p>
    <w:p w14:paraId="3CCB20DF">
      <w:pPr>
        <w:adjustRightInd w:val="0"/>
        <w:snapToGrid w:val="0"/>
        <w:spacing w:line="560" w:lineRule="exact"/>
        <w:jc w:val="left"/>
        <w:rPr>
          <w:rFonts w:hint="eastAsia" w:ascii="仿宋" w:hAnsi="仿宋" w:eastAsia="仿宋_GB2312"/>
          <w:sz w:val="30"/>
          <w:szCs w:val="30"/>
        </w:rPr>
      </w:pPr>
    </w:p>
    <w:p w14:paraId="44EEC80E">
      <w:pPr>
        <w:adjustRightInd w:val="0"/>
        <w:snapToGrid w:val="0"/>
        <w:spacing w:before="156" w:beforeLines="50" w:line="560" w:lineRule="exact"/>
        <w:jc w:val="center"/>
        <w:rPr>
          <w:rFonts w:hint="eastAsia" w:ascii="宋体" w:hAnsi="宋体" w:cs="仿宋_GB2312"/>
          <w:b/>
          <w:bCs/>
          <w:color w:val="FF0000"/>
          <w:sz w:val="36"/>
          <w:szCs w:val="36"/>
        </w:rPr>
      </w:pPr>
      <w:r>
        <w:rPr>
          <w:rFonts w:hint="eastAsia" w:ascii="宋体" w:hAnsi="宋体" w:cs="仿宋_GB2312"/>
          <w:b/>
          <w:bCs/>
          <w:color w:val="FF0000"/>
          <w:sz w:val="36"/>
          <w:szCs w:val="36"/>
        </w:rPr>
        <w:t>重庆望变电气（集团）股份有限公司</w:t>
      </w:r>
    </w:p>
    <w:p w14:paraId="780A05D8">
      <w:pPr>
        <w:adjustRightInd w:val="0"/>
        <w:snapToGrid w:val="0"/>
        <w:spacing w:before="156" w:beforeLines="50" w:line="560" w:lineRule="exact"/>
        <w:jc w:val="center"/>
        <w:rPr>
          <w:rFonts w:hint="eastAsia" w:ascii="宋体" w:hAnsi="宋体" w:cs="仿宋_GB2312"/>
          <w:b/>
          <w:bCs/>
          <w:color w:val="FF0000"/>
          <w:sz w:val="36"/>
          <w:szCs w:val="36"/>
        </w:rPr>
      </w:pPr>
      <w:r>
        <w:rPr>
          <w:rFonts w:hint="eastAsia" w:ascii="宋体" w:hAnsi="宋体" w:cs="仿宋_GB2312"/>
          <w:b/>
          <w:bCs/>
          <w:color w:val="FF0000"/>
          <w:sz w:val="36"/>
          <w:szCs w:val="36"/>
        </w:rPr>
        <w:t>关于预计2026年度对子公司新增</w:t>
      </w:r>
      <w:bookmarkStart w:id="0" w:name="OLE_LINK1"/>
      <w:r>
        <w:rPr>
          <w:rFonts w:hint="eastAsia" w:ascii="宋体" w:hAnsi="宋体" w:cs="仿宋_GB2312"/>
          <w:b/>
          <w:bCs/>
          <w:color w:val="FF0000"/>
          <w:sz w:val="36"/>
          <w:szCs w:val="36"/>
        </w:rPr>
        <w:t>担保</w:t>
      </w:r>
      <w:bookmarkEnd w:id="0"/>
      <w:r>
        <w:rPr>
          <w:rFonts w:hint="eastAsia" w:ascii="宋体" w:hAnsi="宋体" w:cs="仿宋_GB2312"/>
          <w:b/>
          <w:bCs/>
          <w:color w:val="FF0000"/>
          <w:sz w:val="36"/>
          <w:szCs w:val="36"/>
        </w:rPr>
        <w:t>额度的公告</w:t>
      </w:r>
    </w:p>
    <w:p w14:paraId="214FEFBE">
      <w:pPr>
        <w:adjustRightInd w:val="0"/>
        <w:snapToGrid w:val="0"/>
        <w:spacing w:before="156" w:beforeLines="50" w:line="560" w:lineRule="exact"/>
        <w:jc w:val="center"/>
        <w:rPr>
          <w:rFonts w:hint="eastAsia" w:ascii="仿宋_GB2312" w:hAnsi="仿宋_GB2312" w:eastAsia="仿宋_GB2312" w:cs="仿宋_GB2312"/>
          <w:b/>
          <w:bCs/>
          <w:sz w:val="30"/>
          <w:szCs w:val="30"/>
        </w:rPr>
      </w:pPr>
    </w:p>
    <w:p w14:paraId="514E957D">
      <w:pPr>
        <w:pBdr>
          <w:top w:val="single" w:color="auto" w:sz="4" w:space="1"/>
          <w:left w:val="single" w:color="auto" w:sz="4" w:space="4"/>
          <w:bottom w:val="single" w:color="auto" w:sz="4" w:space="1"/>
          <w:right w:val="single" w:color="auto" w:sz="4" w:space="4"/>
        </w:pBdr>
        <w:adjustRightInd w:val="0"/>
        <w:snapToGrid w:val="0"/>
        <w:spacing w:line="560" w:lineRule="exact"/>
        <w:ind w:firstLine="480" w:firstLineChars="200"/>
        <w:rPr>
          <w:rFonts w:hint="eastAsia" w:ascii="宋体" w:hAnsi="宋体"/>
          <w:sz w:val="24"/>
          <w:szCs w:val="24"/>
        </w:rPr>
      </w:pPr>
      <w:r>
        <w:rPr>
          <w:rFonts w:hint="eastAsia" w:ascii="仿宋" w:hAnsi="仿宋" w:eastAsia="仿宋"/>
          <w:sz w:val="24"/>
          <w:szCs w:val="24"/>
        </w:rPr>
        <w:t>本公司董事会及全体董事保证本公告内容不存在任何虚假记载、误导性陈述或者重大遗漏，并对其内容的真实性、准确性和完整性承担法律责任</w:t>
      </w:r>
      <w:r>
        <w:rPr>
          <w:rFonts w:hint="eastAsia" w:ascii="宋体" w:hAnsi="宋体"/>
          <w:sz w:val="24"/>
          <w:szCs w:val="24"/>
        </w:rPr>
        <w:t>。</w:t>
      </w:r>
    </w:p>
    <w:p w14:paraId="3D697BAC">
      <w:pPr>
        <w:adjustRightInd w:val="0"/>
        <w:snapToGrid w:val="0"/>
        <w:spacing w:line="560" w:lineRule="exact"/>
        <w:rPr>
          <w:rFonts w:hint="eastAsia" w:ascii="宋体" w:hAnsi="宋体" w:cs="宋体"/>
          <w:sz w:val="24"/>
          <w:szCs w:val="24"/>
        </w:rPr>
      </w:pPr>
    </w:p>
    <w:p w14:paraId="0A667766">
      <w:pPr>
        <w:adjustRightInd w:val="0"/>
        <w:snapToGrid w:val="0"/>
        <w:spacing w:line="560" w:lineRule="exact"/>
        <w:rPr>
          <w:rFonts w:hint="eastAsia" w:ascii="宋体" w:hAnsi="宋体" w:cs="宋体"/>
          <w:b/>
          <w:sz w:val="24"/>
          <w:szCs w:val="24"/>
        </w:rPr>
      </w:pPr>
      <w:r>
        <w:rPr>
          <w:rFonts w:hint="eastAsia" w:ascii="宋体" w:hAnsi="宋体" w:cs="宋体"/>
          <w:b/>
          <w:sz w:val="24"/>
          <w:szCs w:val="24"/>
        </w:rPr>
        <w:t>重要内容提示：</w:t>
      </w:r>
    </w:p>
    <w:p w14:paraId="26F7A0CC">
      <w:pPr>
        <w:pStyle w:val="25"/>
        <w:rPr>
          <w:rFonts w:hint="eastAsia" w:ascii="宋体" w:hAnsi="宋体" w:cs="宋体"/>
          <w:sz w:val="24"/>
          <w:szCs w:val="24"/>
        </w:rPr>
      </w:pPr>
      <w:r>
        <w:rPr>
          <w:rFonts w:hint="eastAsia" w:ascii="宋体" w:hAnsi="宋体" w:cs="宋体"/>
          <w:sz w:val="24"/>
          <w:szCs w:val="24"/>
        </w:rPr>
        <w:t>被担保人：全资子公司云南变压器电气股份有限公司（以下简称“云变电气”）、望来充（重庆）科技有限责任公司及其子公司（以下简称“望来充”）、重庆惠泽电器有限公司（以下简称“惠泽电器”）及黔南望江变压器有限公司（以下简称“黔南望江”）</w:t>
      </w:r>
    </w:p>
    <w:p w14:paraId="2BC54D0E">
      <w:pPr>
        <w:pStyle w:val="25"/>
        <w:rPr>
          <w:rFonts w:hint="eastAsia" w:ascii="宋体" w:hAnsi="宋体" w:cs="宋体"/>
          <w:sz w:val="24"/>
          <w:szCs w:val="24"/>
        </w:rPr>
      </w:pPr>
      <w:r>
        <w:rPr>
          <w:rFonts w:hint="eastAsia" w:ascii="宋体" w:hAnsi="宋体" w:cs="宋体"/>
          <w:sz w:val="24"/>
          <w:szCs w:val="24"/>
        </w:rPr>
        <w:t>本次担保金额：公司同意2026年度为云变电气向银行等金融机构申请综合授信或借款提供新增额度不超过18亿元人民币（或等值外币）的担保；同意2026年度为望来充向银行等金融机构申请综合授信或借款提供新增额度不超过6亿元人民币（或等值外币）的担保；同意2026年度惠泽电器向银行等金融机构申请综合授信或借款提供新增额度不超过4亿元人民币（或等值外币）的担保；同意2026年度为黔南望江向银行等金融机构申请综合授信或借款提供新增额度不超过2亿元人民币（或等值外币）的担保；截至2025年11月30日公司已实际为云变电气提供的担保余额为</w:t>
      </w:r>
      <w:r>
        <w:rPr>
          <w:rFonts w:ascii="宋体" w:hAnsi="宋体" w:cs="宋体"/>
          <w:sz w:val="24"/>
          <w:szCs w:val="24"/>
        </w:rPr>
        <w:t>59,078.21</w:t>
      </w:r>
      <w:r>
        <w:rPr>
          <w:rFonts w:hint="eastAsia" w:ascii="宋体" w:hAnsi="宋体" w:cs="宋体"/>
          <w:sz w:val="24"/>
          <w:szCs w:val="24"/>
        </w:rPr>
        <w:t>万元；为望来充提供的担保余额为0万元；为惠泽电器提供的担保余额为</w:t>
      </w:r>
      <w:r>
        <w:rPr>
          <w:rFonts w:ascii="宋体" w:hAnsi="宋体" w:cs="宋体"/>
          <w:sz w:val="24"/>
          <w:szCs w:val="24"/>
        </w:rPr>
        <w:t>1,000.19</w:t>
      </w:r>
      <w:r>
        <w:rPr>
          <w:rFonts w:hint="eastAsia" w:ascii="宋体" w:hAnsi="宋体" w:cs="宋体"/>
          <w:sz w:val="24"/>
          <w:szCs w:val="24"/>
        </w:rPr>
        <w:t>万元；为黔南望江提供的担保余额为人民币</w:t>
      </w:r>
      <w:r>
        <w:rPr>
          <w:rFonts w:ascii="宋体" w:hAnsi="宋体" w:cs="宋体"/>
          <w:sz w:val="24"/>
          <w:szCs w:val="24"/>
          <w:lang w:bidi="ar"/>
        </w:rPr>
        <w:t>4,094.19</w:t>
      </w:r>
      <w:r>
        <w:rPr>
          <w:rFonts w:hint="eastAsia" w:ascii="宋体" w:hAnsi="宋体" w:cs="宋体"/>
          <w:sz w:val="24"/>
          <w:szCs w:val="24"/>
        </w:rPr>
        <w:t>万元。</w:t>
      </w:r>
    </w:p>
    <w:p w14:paraId="2CAE4DD6">
      <w:pPr>
        <w:pStyle w:val="25"/>
        <w:rPr>
          <w:rFonts w:hint="eastAsia" w:ascii="宋体" w:hAnsi="宋体" w:cs="宋体"/>
          <w:sz w:val="24"/>
          <w:szCs w:val="24"/>
        </w:rPr>
      </w:pPr>
      <w:r>
        <w:rPr>
          <w:rFonts w:hint="eastAsia" w:ascii="宋体" w:hAnsi="宋体" w:cs="宋体"/>
          <w:sz w:val="24"/>
          <w:szCs w:val="24"/>
        </w:rPr>
        <w:t>本次担保有无反担保：无</w:t>
      </w:r>
    </w:p>
    <w:p w14:paraId="1B0EF3D1">
      <w:pPr>
        <w:pStyle w:val="25"/>
        <w:rPr>
          <w:rFonts w:hint="eastAsia" w:ascii="宋体" w:hAnsi="宋体" w:cs="宋体"/>
          <w:sz w:val="24"/>
          <w:szCs w:val="24"/>
        </w:rPr>
      </w:pPr>
      <w:r>
        <w:rPr>
          <w:rFonts w:hint="eastAsia" w:ascii="宋体" w:hAnsi="宋体" w:cs="宋体"/>
          <w:sz w:val="24"/>
          <w:szCs w:val="24"/>
        </w:rPr>
        <w:t>公司无逾期对外担保的情况：无</w:t>
      </w:r>
    </w:p>
    <w:p w14:paraId="74F4DF6A">
      <w:pPr>
        <w:pStyle w:val="25"/>
        <w:rPr>
          <w:rFonts w:hint="eastAsia" w:ascii="宋体" w:hAnsi="宋体" w:cs="宋体"/>
          <w:sz w:val="24"/>
          <w:szCs w:val="24"/>
        </w:rPr>
      </w:pPr>
      <w:r>
        <w:rPr>
          <w:rFonts w:hint="eastAsia" w:ascii="宋体" w:hAnsi="宋体" w:cs="宋体"/>
          <w:sz w:val="24"/>
          <w:szCs w:val="24"/>
        </w:rPr>
        <w:t>特别风险提示：本次被担保对象黔南望江资产负债率超过70%（未经审计），请广大投资者关注担保风险。</w:t>
      </w:r>
    </w:p>
    <w:p w14:paraId="72134DFA">
      <w:pPr>
        <w:autoSpaceDE w:val="0"/>
        <w:autoSpaceDN w:val="0"/>
        <w:adjustRightInd w:val="0"/>
        <w:spacing w:line="560" w:lineRule="exact"/>
        <w:rPr>
          <w:rFonts w:hint="eastAsia" w:ascii="宋体" w:hAnsi="宋体" w:cs="宋体"/>
          <w:b/>
          <w:sz w:val="24"/>
          <w:szCs w:val="24"/>
        </w:rPr>
      </w:pPr>
      <w:r>
        <w:rPr>
          <w:rFonts w:hint="eastAsia" w:ascii="宋体" w:hAnsi="宋体" w:cs="宋体"/>
          <w:b/>
          <w:sz w:val="24"/>
          <w:szCs w:val="24"/>
        </w:rPr>
        <w:t>一、担保情况概述</w:t>
      </w:r>
    </w:p>
    <w:p w14:paraId="3910F1E1">
      <w:pPr>
        <w:autoSpaceDE w:val="0"/>
        <w:autoSpaceDN w:val="0"/>
        <w:adjustRightInd w:val="0"/>
        <w:spacing w:line="560" w:lineRule="exact"/>
        <w:rPr>
          <w:rFonts w:hint="eastAsia" w:ascii="宋体" w:hAnsi="宋体" w:cs="宋体"/>
          <w:kern w:val="0"/>
          <w:sz w:val="24"/>
          <w:szCs w:val="24"/>
        </w:rPr>
      </w:pPr>
      <w:r>
        <w:rPr>
          <w:rFonts w:hint="eastAsia" w:ascii="宋体" w:hAnsi="宋体" w:cs="宋体"/>
          <w:kern w:val="0"/>
          <w:sz w:val="24"/>
          <w:szCs w:val="24"/>
        </w:rPr>
        <w:t>（一）本次担保基本情况</w:t>
      </w:r>
    </w:p>
    <w:p w14:paraId="1BB9B5F7">
      <w:pPr>
        <w:adjustRightInd w:val="0"/>
        <w:snapToGrid w:val="0"/>
        <w:spacing w:line="560" w:lineRule="exact"/>
        <w:ind w:firstLine="480" w:firstLineChars="200"/>
        <w:rPr>
          <w:rFonts w:hint="eastAsia" w:ascii="宋体" w:hAnsi="宋体" w:cs="宋体"/>
          <w:sz w:val="24"/>
          <w:szCs w:val="24"/>
        </w:rPr>
      </w:pPr>
      <w:r>
        <w:rPr>
          <w:rFonts w:hint="eastAsia" w:ascii="宋体" w:hAnsi="宋体" w:cs="宋体"/>
          <w:sz w:val="24"/>
          <w:szCs w:val="24"/>
        </w:rPr>
        <w:t>根据《上海证券交易所股票上市规则》等相关法律法规要求，为满足公司日常生产经营及业务发展需要，预计2026年度为子公司向银行等金融机构申请综合授信或借款提供新增额度的担保如下，下述担保额度有效期自2026年1月1日至2026年12月31日。</w:t>
      </w:r>
    </w:p>
    <w:p w14:paraId="4B1A751A">
      <w:pPr>
        <w:ind w:firstLine="4410" w:firstLineChars="2100"/>
        <w:jc w:val="right"/>
        <w:rPr>
          <w:rFonts w:hint="eastAsia" w:ascii="仿宋" w:hAnsi="仿宋" w:eastAsia="仿宋" w:cstheme="minorBidi"/>
          <w:sz w:val="24"/>
          <w:szCs w:val="28"/>
        </w:rPr>
      </w:pPr>
      <w:r>
        <w:rPr>
          <w:rFonts w:hint="eastAsia" w:ascii="仿宋" w:hAnsi="仿宋" w:eastAsia="仿宋" w:cstheme="minorBidi"/>
          <w:szCs w:val="21"/>
        </w:rPr>
        <w:t>单位：万元  币种：人民币</w:t>
      </w:r>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39"/>
        <w:gridCol w:w="2783"/>
      </w:tblGrid>
      <w:tr w14:paraId="68AD3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67" w:type="pct"/>
            <w:vAlign w:val="center"/>
          </w:tcPr>
          <w:p w14:paraId="19FE742F">
            <w:pPr>
              <w:adjustRightInd w:val="0"/>
              <w:snapToGrid w:val="0"/>
              <w:jc w:val="center"/>
              <w:rPr>
                <w:rFonts w:hint="eastAsia" w:ascii="宋体" w:hAnsi="宋体" w:cs="宋体"/>
                <w:b/>
                <w:bCs/>
                <w:sz w:val="18"/>
                <w:szCs w:val="18"/>
              </w:rPr>
            </w:pPr>
            <w:r>
              <w:rPr>
                <w:rFonts w:hint="eastAsia" w:ascii="宋体" w:hAnsi="宋体" w:cs="宋体"/>
                <w:b/>
                <w:bCs/>
                <w:sz w:val="18"/>
                <w:szCs w:val="18"/>
              </w:rPr>
              <w:t>公 司 名 称</w:t>
            </w:r>
          </w:p>
        </w:tc>
        <w:tc>
          <w:tcPr>
            <w:tcW w:w="1633" w:type="pct"/>
            <w:vAlign w:val="center"/>
          </w:tcPr>
          <w:p w14:paraId="70C5AE42">
            <w:pPr>
              <w:adjustRightInd w:val="0"/>
              <w:snapToGrid w:val="0"/>
              <w:jc w:val="center"/>
              <w:rPr>
                <w:rFonts w:hint="eastAsia" w:ascii="宋体" w:hAnsi="宋体" w:cs="宋体"/>
                <w:b/>
                <w:bCs/>
                <w:sz w:val="18"/>
                <w:szCs w:val="18"/>
              </w:rPr>
            </w:pPr>
            <w:r>
              <w:rPr>
                <w:rFonts w:hint="eastAsia" w:ascii="宋体" w:hAnsi="宋体" w:cs="宋体"/>
                <w:b/>
                <w:bCs/>
                <w:sz w:val="18"/>
                <w:szCs w:val="18"/>
              </w:rPr>
              <w:t>新增担保额度</w:t>
            </w:r>
          </w:p>
        </w:tc>
      </w:tr>
      <w:tr w14:paraId="4B49D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67" w:type="pct"/>
            <w:vAlign w:val="center"/>
          </w:tcPr>
          <w:p w14:paraId="47976E23">
            <w:pPr>
              <w:adjustRightInd w:val="0"/>
              <w:snapToGrid w:val="0"/>
              <w:rPr>
                <w:rFonts w:hint="eastAsia" w:ascii="宋体" w:hAnsi="宋体" w:cs="宋体"/>
                <w:sz w:val="18"/>
                <w:szCs w:val="18"/>
              </w:rPr>
            </w:pPr>
            <w:r>
              <w:rPr>
                <w:rFonts w:hint="eastAsia" w:ascii="宋体" w:hAnsi="宋体" w:cs="宋体"/>
                <w:sz w:val="18"/>
                <w:szCs w:val="18"/>
              </w:rPr>
              <w:t>云南变压器电气股份有限公司</w:t>
            </w:r>
          </w:p>
        </w:tc>
        <w:tc>
          <w:tcPr>
            <w:tcW w:w="1633" w:type="pct"/>
            <w:vAlign w:val="center"/>
          </w:tcPr>
          <w:p w14:paraId="3A02C585">
            <w:pPr>
              <w:adjustRightInd w:val="0"/>
              <w:snapToGrid w:val="0"/>
              <w:jc w:val="right"/>
              <w:rPr>
                <w:rFonts w:hint="eastAsia" w:ascii="宋体" w:hAnsi="宋体" w:cs="宋体"/>
                <w:sz w:val="18"/>
                <w:szCs w:val="18"/>
              </w:rPr>
            </w:pPr>
            <w:r>
              <w:rPr>
                <w:rFonts w:hint="eastAsia" w:ascii="宋体" w:hAnsi="宋体" w:cs="宋体"/>
                <w:sz w:val="18"/>
                <w:szCs w:val="18"/>
              </w:rPr>
              <w:t>180,000</w:t>
            </w:r>
          </w:p>
        </w:tc>
      </w:tr>
      <w:tr w14:paraId="68D16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67" w:type="pct"/>
            <w:vAlign w:val="center"/>
          </w:tcPr>
          <w:p w14:paraId="504F04E6">
            <w:pPr>
              <w:adjustRightInd w:val="0"/>
              <w:snapToGrid w:val="0"/>
              <w:rPr>
                <w:rFonts w:hint="eastAsia" w:ascii="宋体" w:hAnsi="宋体" w:cs="宋体"/>
                <w:sz w:val="18"/>
                <w:szCs w:val="18"/>
              </w:rPr>
            </w:pPr>
            <w:r>
              <w:rPr>
                <w:rFonts w:hint="eastAsia" w:ascii="宋体" w:hAnsi="宋体" w:cs="宋体"/>
                <w:sz w:val="18"/>
                <w:szCs w:val="18"/>
              </w:rPr>
              <w:t>望来充（重庆）科技有限责任公司及子公司</w:t>
            </w:r>
          </w:p>
        </w:tc>
        <w:tc>
          <w:tcPr>
            <w:tcW w:w="1633" w:type="pct"/>
            <w:vAlign w:val="center"/>
          </w:tcPr>
          <w:p w14:paraId="641945AB">
            <w:pPr>
              <w:adjustRightInd w:val="0"/>
              <w:snapToGrid w:val="0"/>
              <w:jc w:val="right"/>
              <w:rPr>
                <w:rFonts w:hint="eastAsia" w:ascii="宋体" w:hAnsi="宋体" w:cs="宋体"/>
                <w:sz w:val="18"/>
                <w:szCs w:val="18"/>
              </w:rPr>
            </w:pPr>
            <w:r>
              <w:rPr>
                <w:rFonts w:hint="eastAsia" w:ascii="宋体" w:hAnsi="宋体" w:cs="宋体"/>
                <w:sz w:val="18"/>
                <w:szCs w:val="18"/>
              </w:rPr>
              <w:t>60,000</w:t>
            </w:r>
          </w:p>
        </w:tc>
      </w:tr>
      <w:tr w14:paraId="02CE0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67" w:type="pct"/>
            <w:vAlign w:val="center"/>
          </w:tcPr>
          <w:p w14:paraId="461BB6DF">
            <w:pPr>
              <w:adjustRightInd w:val="0"/>
              <w:snapToGrid w:val="0"/>
              <w:rPr>
                <w:rFonts w:hint="eastAsia" w:ascii="宋体" w:hAnsi="宋体" w:cs="宋体"/>
                <w:sz w:val="18"/>
                <w:szCs w:val="18"/>
              </w:rPr>
            </w:pPr>
            <w:bookmarkStart w:id="1" w:name="_Hlk214977323"/>
            <w:r>
              <w:rPr>
                <w:rFonts w:hint="eastAsia" w:ascii="宋体" w:hAnsi="宋体" w:cs="宋体"/>
                <w:sz w:val="18"/>
                <w:szCs w:val="18"/>
              </w:rPr>
              <w:t>重庆惠泽电器有限公司</w:t>
            </w:r>
          </w:p>
        </w:tc>
        <w:tc>
          <w:tcPr>
            <w:tcW w:w="1633" w:type="pct"/>
            <w:vAlign w:val="center"/>
          </w:tcPr>
          <w:p w14:paraId="15E759E0">
            <w:pPr>
              <w:adjustRightInd w:val="0"/>
              <w:snapToGrid w:val="0"/>
              <w:jc w:val="right"/>
              <w:rPr>
                <w:rFonts w:hint="eastAsia" w:ascii="宋体" w:hAnsi="宋体" w:cs="宋体"/>
                <w:sz w:val="18"/>
                <w:szCs w:val="18"/>
              </w:rPr>
            </w:pPr>
            <w:r>
              <w:rPr>
                <w:rFonts w:hint="eastAsia" w:ascii="宋体" w:hAnsi="宋体" w:cs="宋体"/>
                <w:sz w:val="18"/>
                <w:szCs w:val="18"/>
              </w:rPr>
              <w:t>40,000</w:t>
            </w:r>
          </w:p>
        </w:tc>
      </w:tr>
      <w:bookmarkEnd w:id="1"/>
      <w:tr w14:paraId="0770B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67" w:type="pct"/>
            <w:vAlign w:val="center"/>
          </w:tcPr>
          <w:p w14:paraId="5A7E0A47">
            <w:pPr>
              <w:adjustRightInd w:val="0"/>
              <w:snapToGrid w:val="0"/>
              <w:rPr>
                <w:rFonts w:hint="eastAsia" w:ascii="宋体" w:hAnsi="宋体" w:cs="宋体"/>
                <w:sz w:val="18"/>
                <w:szCs w:val="18"/>
              </w:rPr>
            </w:pPr>
            <w:r>
              <w:rPr>
                <w:rFonts w:hint="eastAsia" w:ascii="宋体" w:hAnsi="宋体" w:cs="宋体"/>
                <w:sz w:val="18"/>
                <w:szCs w:val="18"/>
              </w:rPr>
              <w:t>黔南望江变压器有限公司</w:t>
            </w:r>
          </w:p>
        </w:tc>
        <w:tc>
          <w:tcPr>
            <w:tcW w:w="1633" w:type="pct"/>
            <w:vAlign w:val="center"/>
          </w:tcPr>
          <w:p w14:paraId="5DAC4D9B">
            <w:pPr>
              <w:adjustRightInd w:val="0"/>
              <w:snapToGrid w:val="0"/>
              <w:jc w:val="right"/>
              <w:rPr>
                <w:rFonts w:hint="eastAsia" w:ascii="宋体" w:hAnsi="宋体" w:cs="宋体"/>
                <w:sz w:val="18"/>
                <w:szCs w:val="18"/>
              </w:rPr>
            </w:pPr>
            <w:r>
              <w:rPr>
                <w:rFonts w:hint="eastAsia" w:ascii="宋体" w:hAnsi="宋体" w:cs="宋体"/>
                <w:sz w:val="18"/>
                <w:szCs w:val="18"/>
              </w:rPr>
              <w:t>20,000</w:t>
            </w:r>
          </w:p>
        </w:tc>
      </w:tr>
      <w:tr w14:paraId="4D5B3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67" w:type="pct"/>
            <w:vAlign w:val="center"/>
          </w:tcPr>
          <w:p w14:paraId="6C0A9241">
            <w:pPr>
              <w:adjustRightInd w:val="0"/>
              <w:snapToGrid w:val="0"/>
              <w:rPr>
                <w:rFonts w:hint="eastAsia" w:ascii="宋体" w:hAnsi="宋体" w:cs="宋体"/>
                <w:b/>
                <w:bCs/>
                <w:sz w:val="18"/>
                <w:szCs w:val="18"/>
              </w:rPr>
            </w:pPr>
            <w:r>
              <w:rPr>
                <w:rFonts w:hint="eastAsia" w:ascii="宋体" w:hAnsi="宋体" w:cs="宋体"/>
                <w:b/>
                <w:bCs/>
                <w:sz w:val="18"/>
                <w:szCs w:val="18"/>
              </w:rPr>
              <w:t>合  计</w:t>
            </w:r>
          </w:p>
        </w:tc>
        <w:tc>
          <w:tcPr>
            <w:tcW w:w="1633" w:type="pct"/>
            <w:vAlign w:val="center"/>
          </w:tcPr>
          <w:p w14:paraId="22C8E7F3">
            <w:pPr>
              <w:adjustRightInd w:val="0"/>
              <w:snapToGrid w:val="0"/>
              <w:jc w:val="right"/>
              <w:rPr>
                <w:rFonts w:hint="eastAsia" w:ascii="宋体" w:hAnsi="宋体" w:cs="宋体"/>
                <w:b/>
                <w:bCs/>
                <w:sz w:val="18"/>
                <w:szCs w:val="18"/>
              </w:rPr>
            </w:pPr>
            <w:r>
              <w:rPr>
                <w:rFonts w:hint="eastAsia" w:ascii="宋体" w:hAnsi="宋体" w:cs="宋体"/>
                <w:b/>
                <w:bCs/>
                <w:sz w:val="18"/>
                <w:szCs w:val="18"/>
              </w:rPr>
              <w:fldChar w:fldCharType="begin"/>
            </w:r>
            <w:r>
              <w:rPr>
                <w:rFonts w:hint="eastAsia" w:ascii="宋体" w:hAnsi="宋体" w:cs="宋体"/>
                <w:b/>
                <w:bCs/>
                <w:sz w:val="18"/>
                <w:szCs w:val="18"/>
              </w:rPr>
              <w:instrText xml:space="preserve"> =Sum(above) \# "#,##0.00" </w:instrText>
            </w:r>
            <w:r>
              <w:rPr>
                <w:rFonts w:hint="eastAsia" w:ascii="宋体" w:hAnsi="宋体" w:cs="宋体"/>
                <w:b/>
                <w:bCs/>
                <w:sz w:val="18"/>
                <w:szCs w:val="18"/>
              </w:rPr>
              <w:fldChar w:fldCharType="separate"/>
            </w:r>
            <w:r>
              <w:rPr>
                <w:rFonts w:hint="eastAsia" w:ascii="宋体" w:hAnsi="宋体" w:cs="宋体"/>
                <w:b/>
                <w:bCs/>
                <w:sz w:val="18"/>
                <w:szCs w:val="18"/>
              </w:rPr>
              <w:t>300,000</w:t>
            </w:r>
            <w:r>
              <w:rPr>
                <w:rFonts w:hint="eastAsia" w:ascii="宋体" w:hAnsi="宋体" w:cs="宋体"/>
                <w:b/>
                <w:bCs/>
                <w:sz w:val="18"/>
                <w:szCs w:val="18"/>
              </w:rPr>
              <w:fldChar w:fldCharType="end"/>
            </w:r>
          </w:p>
        </w:tc>
      </w:tr>
    </w:tbl>
    <w:p w14:paraId="65AA3DE0">
      <w:pPr>
        <w:adjustRightInd w:val="0"/>
        <w:snapToGrid w:val="0"/>
        <w:spacing w:line="560" w:lineRule="exact"/>
        <w:ind w:firstLine="480" w:firstLineChars="200"/>
        <w:rPr>
          <w:rFonts w:hint="eastAsia" w:ascii="宋体" w:hAnsi="宋体" w:cs="宋体"/>
          <w:sz w:val="24"/>
          <w:szCs w:val="24"/>
        </w:rPr>
      </w:pPr>
      <w:r>
        <w:rPr>
          <w:rFonts w:hint="eastAsia" w:ascii="宋体" w:hAnsi="宋体" w:cs="宋体"/>
          <w:sz w:val="24"/>
          <w:szCs w:val="24"/>
        </w:rPr>
        <w:t>本次担保授权公司总经理在上述额度范围内实施与申请综合授信额度及借款事项有关的担保一切事宜，包括但不限于办理并签署有关合同、协议等文件。</w:t>
      </w:r>
    </w:p>
    <w:p w14:paraId="4E1D43F4">
      <w:pPr>
        <w:adjustRightInd w:val="0"/>
        <w:snapToGrid w:val="0"/>
        <w:spacing w:line="560" w:lineRule="exact"/>
        <w:ind w:firstLine="480" w:firstLineChars="200"/>
        <w:outlineLvl w:val="1"/>
        <w:rPr>
          <w:rFonts w:hint="eastAsia" w:ascii="宋体" w:hAnsi="宋体" w:cs="宋体"/>
          <w:sz w:val="24"/>
          <w:szCs w:val="24"/>
        </w:rPr>
      </w:pPr>
      <w:r>
        <w:rPr>
          <w:rFonts w:hint="eastAsia" w:ascii="宋体" w:hAnsi="宋体" w:cs="宋体"/>
          <w:sz w:val="24"/>
          <w:szCs w:val="24"/>
        </w:rPr>
        <w:t>（二）担保预计基本情况</w:t>
      </w:r>
    </w:p>
    <w:p w14:paraId="4B2C3DAF">
      <w:pPr>
        <w:jc w:val="right"/>
        <w:rPr>
          <w:rFonts w:hint="eastAsia" w:ascii="仿宋" w:hAnsi="仿宋" w:eastAsia="仿宋"/>
          <w:color w:val="000000"/>
        </w:rPr>
      </w:pPr>
      <w:bookmarkStart w:id="2" w:name="OLE_LINK9"/>
      <w:r>
        <w:rPr>
          <w:rFonts w:hint="eastAsia" w:ascii="仿宋" w:hAnsi="仿宋" w:eastAsia="仿宋"/>
          <w:color w:val="000000"/>
        </w:rPr>
        <w:t>单位：万元  币种：人民币</w:t>
      </w:r>
    </w:p>
    <w:bookmarkEnd w:id="2"/>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710"/>
        <w:gridCol w:w="710"/>
        <w:gridCol w:w="1138"/>
        <w:gridCol w:w="1177"/>
        <w:gridCol w:w="906"/>
        <w:gridCol w:w="1120"/>
        <w:gridCol w:w="1173"/>
        <w:gridCol w:w="481"/>
        <w:gridCol w:w="397"/>
      </w:tblGrid>
      <w:tr w14:paraId="3A4ED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7" w:type="pct"/>
            <w:vAlign w:val="center"/>
          </w:tcPr>
          <w:p w14:paraId="2DC32FE7">
            <w:pPr>
              <w:autoSpaceDE w:val="0"/>
              <w:autoSpaceDN w:val="0"/>
              <w:adjustRightInd w:val="0"/>
              <w:jc w:val="center"/>
              <w:rPr>
                <w:rFonts w:hint="eastAsia" w:ascii="宋体" w:hAnsi="宋体" w:cs="宋体"/>
                <w:b/>
                <w:kern w:val="0"/>
                <w:sz w:val="18"/>
                <w:szCs w:val="18"/>
              </w:rPr>
            </w:pPr>
            <w:r>
              <w:rPr>
                <w:rFonts w:hint="eastAsia" w:ascii="宋体" w:hAnsi="宋体" w:cs="宋体"/>
                <w:b/>
                <w:color w:val="000000"/>
                <w:kern w:val="0"/>
                <w:sz w:val="18"/>
                <w:szCs w:val="18"/>
              </w:rPr>
              <w:t>担</w:t>
            </w:r>
            <w:r>
              <w:rPr>
                <w:rFonts w:hint="eastAsia" w:ascii="宋体" w:hAnsi="宋体" w:cs="宋体"/>
                <w:b/>
                <w:kern w:val="0"/>
                <w:sz w:val="18"/>
                <w:szCs w:val="18"/>
              </w:rPr>
              <w:t>保方</w:t>
            </w:r>
          </w:p>
        </w:tc>
        <w:tc>
          <w:tcPr>
            <w:tcW w:w="417" w:type="pct"/>
            <w:vAlign w:val="center"/>
          </w:tcPr>
          <w:p w14:paraId="3230AFC1">
            <w:pPr>
              <w:autoSpaceDE w:val="0"/>
              <w:autoSpaceDN w:val="0"/>
              <w:adjustRightInd w:val="0"/>
              <w:jc w:val="center"/>
              <w:rPr>
                <w:rFonts w:hint="eastAsia" w:ascii="宋体" w:hAnsi="宋体" w:cs="宋体"/>
                <w:b/>
                <w:kern w:val="0"/>
                <w:sz w:val="18"/>
                <w:szCs w:val="18"/>
              </w:rPr>
            </w:pPr>
            <w:r>
              <w:rPr>
                <w:rFonts w:hint="eastAsia" w:ascii="宋体" w:hAnsi="宋体" w:cs="宋体"/>
                <w:b/>
                <w:kern w:val="0"/>
                <w:sz w:val="18"/>
                <w:szCs w:val="18"/>
              </w:rPr>
              <w:t>被担保方</w:t>
            </w:r>
          </w:p>
        </w:tc>
        <w:tc>
          <w:tcPr>
            <w:tcW w:w="417" w:type="pct"/>
            <w:vAlign w:val="center"/>
          </w:tcPr>
          <w:p w14:paraId="425C9962">
            <w:pPr>
              <w:autoSpaceDE w:val="0"/>
              <w:autoSpaceDN w:val="0"/>
              <w:adjustRightInd w:val="0"/>
              <w:jc w:val="center"/>
              <w:rPr>
                <w:rFonts w:hint="eastAsia" w:ascii="宋体" w:hAnsi="宋体" w:cs="宋体"/>
                <w:b/>
                <w:kern w:val="0"/>
                <w:sz w:val="18"/>
                <w:szCs w:val="18"/>
              </w:rPr>
            </w:pPr>
            <w:r>
              <w:rPr>
                <w:rFonts w:hint="eastAsia" w:ascii="宋体" w:hAnsi="宋体" w:cs="宋体"/>
                <w:b/>
                <w:kern w:val="0"/>
                <w:sz w:val="18"/>
                <w:szCs w:val="18"/>
              </w:rPr>
              <w:t>担保方持股比例</w:t>
            </w:r>
          </w:p>
        </w:tc>
        <w:tc>
          <w:tcPr>
            <w:tcW w:w="668" w:type="pct"/>
            <w:vAlign w:val="center"/>
          </w:tcPr>
          <w:p w14:paraId="4AB7493C">
            <w:pPr>
              <w:autoSpaceDE w:val="0"/>
              <w:autoSpaceDN w:val="0"/>
              <w:adjustRightInd w:val="0"/>
              <w:jc w:val="center"/>
              <w:rPr>
                <w:rFonts w:hint="eastAsia" w:ascii="宋体" w:hAnsi="宋体" w:cs="宋体"/>
                <w:b/>
                <w:kern w:val="0"/>
                <w:sz w:val="18"/>
                <w:szCs w:val="18"/>
                <w:highlight w:val="green"/>
              </w:rPr>
            </w:pPr>
            <w:r>
              <w:rPr>
                <w:rFonts w:hint="eastAsia" w:ascii="宋体" w:hAnsi="宋体" w:cs="宋体"/>
                <w:b/>
                <w:kern w:val="0"/>
                <w:sz w:val="18"/>
                <w:szCs w:val="18"/>
              </w:rPr>
              <w:t>被担保方</w:t>
            </w:r>
            <w:r>
              <w:rPr>
                <w:rFonts w:hint="eastAsia" w:ascii="宋体" w:hAnsi="宋体" w:cs="宋体"/>
                <w:b/>
                <w:sz w:val="18"/>
                <w:szCs w:val="18"/>
              </w:rPr>
              <w:t>2025.09.30</w:t>
            </w:r>
            <w:r>
              <w:rPr>
                <w:rFonts w:hint="eastAsia" w:ascii="宋体" w:hAnsi="宋体" w:cs="宋体"/>
                <w:b/>
                <w:kern w:val="0"/>
                <w:sz w:val="18"/>
                <w:szCs w:val="18"/>
              </w:rPr>
              <w:t>资产负债率（</w:t>
            </w:r>
            <w:r>
              <w:rPr>
                <w:rFonts w:hint="eastAsia" w:ascii="宋体" w:hAnsi="宋体" w:cs="宋体"/>
                <w:b/>
                <w:sz w:val="18"/>
                <w:szCs w:val="18"/>
              </w:rPr>
              <w:t>未经审计）</w:t>
            </w:r>
          </w:p>
        </w:tc>
        <w:tc>
          <w:tcPr>
            <w:tcW w:w="691" w:type="pct"/>
            <w:vAlign w:val="center"/>
          </w:tcPr>
          <w:p w14:paraId="4AA379AB">
            <w:pPr>
              <w:autoSpaceDE w:val="0"/>
              <w:autoSpaceDN w:val="0"/>
              <w:adjustRightInd w:val="0"/>
              <w:jc w:val="center"/>
              <w:rPr>
                <w:rFonts w:hint="eastAsia" w:ascii="宋体" w:hAnsi="宋体" w:cs="宋体"/>
                <w:b/>
                <w:kern w:val="0"/>
                <w:sz w:val="18"/>
                <w:szCs w:val="18"/>
              </w:rPr>
            </w:pPr>
            <w:r>
              <w:rPr>
                <w:rFonts w:hint="eastAsia" w:ascii="宋体" w:hAnsi="宋体" w:cs="宋体"/>
                <w:b/>
                <w:kern w:val="0"/>
                <w:sz w:val="18"/>
                <w:szCs w:val="18"/>
              </w:rPr>
              <w:t>截至2025年9月末担保余额</w:t>
            </w:r>
          </w:p>
          <w:p w14:paraId="11CFC136">
            <w:pPr>
              <w:autoSpaceDE w:val="0"/>
              <w:autoSpaceDN w:val="0"/>
              <w:adjustRightInd w:val="0"/>
              <w:jc w:val="center"/>
              <w:rPr>
                <w:rFonts w:hint="eastAsia" w:ascii="宋体" w:hAnsi="宋体" w:cs="宋体"/>
                <w:b/>
                <w:kern w:val="0"/>
                <w:sz w:val="18"/>
                <w:szCs w:val="18"/>
                <w:highlight w:val="green"/>
              </w:rPr>
            </w:pPr>
            <w:r>
              <w:rPr>
                <w:rFonts w:hint="eastAsia" w:ascii="宋体" w:hAnsi="宋体" w:cs="宋体"/>
                <w:b/>
                <w:kern w:val="0"/>
                <w:sz w:val="18"/>
                <w:szCs w:val="18"/>
              </w:rPr>
              <w:t>（万元）</w:t>
            </w:r>
          </w:p>
        </w:tc>
        <w:tc>
          <w:tcPr>
            <w:tcW w:w="532" w:type="pct"/>
            <w:vAlign w:val="center"/>
          </w:tcPr>
          <w:p w14:paraId="7134F4BA">
            <w:pPr>
              <w:autoSpaceDE w:val="0"/>
              <w:autoSpaceDN w:val="0"/>
              <w:adjustRightInd w:val="0"/>
              <w:jc w:val="center"/>
              <w:rPr>
                <w:rFonts w:hint="eastAsia" w:ascii="宋体" w:hAnsi="宋体" w:cs="宋体"/>
                <w:b/>
                <w:kern w:val="0"/>
                <w:sz w:val="18"/>
                <w:szCs w:val="18"/>
              </w:rPr>
            </w:pPr>
            <w:r>
              <w:rPr>
                <w:rFonts w:hint="eastAsia" w:ascii="宋体" w:hAnsi="宋体" w:cs="宋体"/>
                <w:b/>
                <w:kern w:val="0"/>
                <w:sz w:val="18"/>
                <w:szCs w:val="18"/>
              </w:rPr>
              <w:t>本次新增担保额度</w:t>
            </w:r>
          </w:p>
        </w:tc>
        <w:tc>
          <w:tcPr>
            <w:tcW w:w="657" w:type="pct"/>
            <w:vAlign w:val="center"/>
          </w:tcPr>
          <w:p w14:paraId="3D430024">
            <w:pPr>
              <w:autoSpaceDE w:val="0"/>
              <w:autoSpaceDN w:val="0"/>
              <w:adjustRightInd w:val="0"/>
              <w:jc w:val="center"/>
              <w:rPr>
                <w:rFonts w:hint="eastAsia" w:ascii="宋体" w:hAnsi="宋体" w:cs="宋体"/>
                <w:b/>
                <w:kern w:val="0"/>
                <w:sz w:val="18"/>
                <w:szCs w:val="18"/>
              </w:rPr>
            </w:pPr>
            <w:r>
              <w:rPr>
                <w:rFonts w:hint="eastAsia" w:ascii="宋体" w:hAnsi="宋体" w:cs="宋体"/>
                <w:b/>
                <w:kern w:val="0"/>
                <w:sz w:val="18"/>
                <w:szCs w:val="18"/>
              </w:rPr>
              <w:t>新增担保额度占上市公司最近一期经审计净资产比例</w:t>
            </w:r>
          </w:p>
        </w:tc>
        <w:tc>
          <w:tcPr>
            <w:tcW w:w="688" w:type="pct"/>
            <w:vAlign w:val="center"/>
          </w:tcPr>
          <w:p w14:paraId="2BC0D367">
            <w:pPr>
              <w:autoSpaceDE w:val="0"/>
              <w:autoSpaceDN w:val="0"/>
              <w:adjustRightInd w:val="0"/>
              <w:jc w:val="center"/>
              <w:rPr>
                <w:rFonts w:hint="eastAsia" w:ascii="宋体" w:hAnsi="宋体" w:cs="宋体"/>
                <w:b/>
                <w:kern w:val="0"/>
                <w:sz w:val="18"/>
                <w:szCs w:val="18"/>
              </w:rPr>
            </w:pPr>
            <w:r>
              <w:rPr>
                <w:rFonts w:hint="eastAsia" w:ascii="宋体" w:hAnsi="宋体" w:cs="宋体"/>
                <w:b/>
                <w:kern w:val="0"/>
                <w:sz w:val="18"/>
                <w:szCs w:val="18"/>
              </w:rPr>
              <w:t>担保额度预计有效期</w:t>
            </w:r>
          </w:p>
        </w:tc>
        <w:tc>
          <w:tcPr>
            <w:tcW w:w="282" w:type="pct"/>
            <w:vAlign w:val="center"/>
          </w:tcPr>
          <w:p w14:paraId="6C9B3CB2">
            <w:pPr>
              <w:autoSpaceDE w:val="0"/>
              <w:autoSpaceDN w:val="0"/>
              <w:adjustRightInd w:val="0"/>
              <w:jc w:val="center"/>
              <w:rPr>
                <w:rFonts w:hint="eastAsia" w:ascii="宋体" w:hAnsi="宋体" w:cs="宋体"/>
                <w:b/>
                <w:kern w:val="0"/>
                <w:sz w:val="18"/>
                <w:szCs w:val="18"/>
              </w:rPr>
            </w:pPr>
            <w:r>
              <w:rPr>
                <w:rFonts w:hint="eastAsia" w:ascii="宋体" w:hAnsi="宋体" w:cs="宋体"/>
                <w:b/>
                <w:kern w:val="0"/>
                <w:sz w:val="18"/>
                <w:szCs w:val="18"/>
              </w:rPr>
              <w:t>是否关联担保</w:t>
            </w:r>
          </w:p>
        </w:tc>
        <w:tc>
          <w:tcPr>
            <w:tcW w:w="233" w:type="pct"/>
            <w:vAlign w:val="center"/>
          </w:tcPr>
          <w:p w14:paraId="0431EDA2">
            <w:pPr>
              <w:autoSpaceDE w:val="0"/>
              <w:autoSpaceDN w:val="0"/>
              <w:adjustRightInd w:val="0"/>
              <w:jc w:val="center"/>
              <w:rPr>
                <w:rFonts w:hint="eastAsia" w:ascii="宋体" w:hAnsi="宋体" w:cs="宋体"/>
                <w:b/>
                <w:kern w:val="0"/>
                <w:sz w:val="18"/>
                <w:szCs w:val="18"/>
              </w:rPr>
            </w:pPr>
            <w:r>
              <w:rPr>
                <w:rFonts w:hint="eastAsia" w:ascii="宋体" w:hAnsi="宋体" w:cs="宋体"/>
                <w:b/>
                <w:kern w:val="0"/>
                <w:sz w:val="18"/>
                <w:szCs w:val="18"/>
              </w:rPr>
              <w:t>是否有反担保</w:t>
            </w:r>
          </w:p>
        </w:tc>
      </w:tr>
      <w:tr w14:paraId="5BF81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10"/>
            <w:vAlign w:val="center"/>
          </w:tcPr>
          <w:p w14:paraId="3A1645B7">
            <w:pPr>
              <w:autoSpaceDE w:val="0"/>
              <w:autoSpaceDN w:val="0"/>
              <w:adjustRightInd w:val="0"/>
              <w:jc w:val="left"/>
              <w:rPr>
                <w:rFonts w:hint="eastAsia" w:ascii="宋体" w:hAnsi="宋体" w:cs="宋体"/>
                <w:kern w:val="0"/>
                <w:sz w:val="18"/>
                <w:szCs w:val="18"/>
                <w:highlight w:val="yellow"/>
              </w:rPr>
            </w:pPr>
            <w:r>
              <w:rPr>
                <w:rFonts w:hint="eastAsia" w:ascii="宋体" w:hAnsi="宋体" w:cs="宋体"/>
                <w:kern w:val="0"/>
                <w:sz w:val="18"/>
                <w:szCs w:val="18"/>
              </w:rPr>
              <w:t>对控股子公司的担保预计</w:t>
            </w:r>
          </w:p>
        </w:tc>
      </w:tr>
      <w:tr w14:paraId="0FE05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10"/>
            <w:vAlign w:val="center"/>
          </w:tcPr>
          <w:p w14:paraId="50BF0F12">
            <w:pPr>
              <w:autoSpaceDE w:val="0"/>
              <w:autoSpaceDN w:val="0"/>
              <w:adjustRightInd w:val="0"/>
              <w:jc w:val="left"/>
              <w:rPr>
                <w:rFonts w:hint="eastAsia" w:ascii="宋体" w:hAnsi="宋体" w:cs="宋体"/>
                <w:kern w:val="0"/>
                <w:sz w:val="18"/>
                <w:szCs w:val="18"/>
                <w:highlight w:val="yellow"/>
              </w:rPr>
            </w:pPr>
            <w:r>
              <w:rPr>
                <w:rFonts w:hint="eastAsia" w:ascii="宋体" w:hAnsi="宋体" w:cs="宋体"/>
                <w:kern w:val="0"/>
                <w:sz w:val="18"/>
                <w:szCs w:val="18"/>
              </w:rPr>
              <w:t>1.资产负债率为70%以上的控股子公司</w:t>
            </w:r>
          </w:p>
        </w:tc>
      </w:tr>
      <w:tr w14:paraId="46F84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7" w:type="pct"/>
            <w:vAlign w:val="center"/>
          </w:tcPr>
          <w:p w14:paraId="75D3220B">
            <w:pPr>
              <w:widowControl/>
              <w:jc w:val="center"/>
              <w:textAlignment w:val="center"/>
              <w:rPr>
                <w:rFonts w:hint="eastAsia" w:ascii="宋体" w:hAnsi="宋体" w:cs="宋体"/>
                <w:kern w:val="0"/>
                <w:sz w:val="18"/>
                <w:szCs w:val="18"/>
              </w:rPr>
            </w:pPr>
            <w:r>
              <w:rPr>
                <w:rFonts w:hint="eastAsia" w:ascii="宋体" w:hAnsi="宋体" w:cs="宋体"/>
                <w:kern w:val="0"/>
                <w:sz w:val="18"/>
                <w:szCs w:val="18"/>
              </w:rPr>
              <w:t>望变电气</w:t>
            </w:r>
          </w:p>
        </w:tc>
        <w:tc>
          <w:tcPr>
            <w:tcW w:w="417" w:type="pct"/>
            <w:vAlign w:val="center"/>
          </w:tcPr>
          <w:p w14:paraId="14B46670">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黔南望江</w:t>
            </w:r>
          </w:p>
        </w:tc>
        <w:tc>
          <w:tcPr>
            <w:tcW w:w="417" w:type="pct"/>
            <w:vAlign w:val="center"/>
          </w:tcPr>
          <w:p w14:paraId="42AA2092">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100%</w:t>
            </w:r>
          </w:p>
        </w:tc>
        <w:tc>
          <w:tcPr>
            <w:tcW w:w="668" w:type="pct"/>
            <w:vAlign w:val="center"/>
          </w:tcPr>
          <w:p w14:paraId="0A66EF4F">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75.84%</w:t>
            </w:r>
          </w:p>
        </w:tc>
        <w:tc>
          <w:tcPr>
            <w:tcW w:w="691" w:type="pct"/>
            <w:vAlign w:val="center"/>
          </w:tcPr>
          <w:p w14:paraId="543DFB4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4,003.80</w:t>
            </w:r>
          </w:p>
        </w:tc>
        <w:tc>
          <w:tcPr>
            <w:tcW w:w="532" w:type="pct"/>
            <w:vAlign w:val="center"/>
          </w:tcPr>
          <w:p w14:paraId="30F056E1">
            <w:pPr>
              <w:widowControl/>
              <w:jc w:val="center"/>
              <w:textAlignment w:val="center"/>
              <w:rPr>
                <w:rFonts w:hint="eastAsia" w:ascii="宋体" w:hAnsi="宋体" w:cs="宋体"/>
                <w:sz w:val="18"/>
                <w:szCs w:val="18"/>
                <w:highlight w:val="yellow"/>
              </w:rPr>
            </w:pPr>
            <w:r>
              <w:rPr>
                <w:rFonts w:hint="eastAsia" w:ascii="宋体" w:hAnsi="宋体" w:cs="宋体"/>
                <w:sz w:val="18"/>
                <w:szCs w:val="18"/>
              </w:rPr>
              <w:t>20,000</w:t>
            </w:r>
          </w:p>
        </w:tc>
        <w:tc>
          <w:tcPr>
            <w:tcW w:w="657" w:type="pct"/>
            <w:vAlign w:val="center"/>
          </w:tcPr>
          <w:p w14:paraId="644C8691">
            <w:pPr>
              <w:widowControl/>
              <w:jc w:val="center"/>
              <w:textAlignment w:val="center"/>
              <w:rPr>
                <w:rFonts w:hint="eastAsia" w:ascii="宋体" w:hAnsi="宋体" w:cs="宋体"/>
                <w:sz w:val="18"/>
                <w:szCs w:val="18"/>
                <w:highlight w:val="yellow"/>
              </w:rPr>
            </w:pPr>
            <w:r>
              <w:rPr>
                <w:rFonts w:hint="eastAsia" w:ascii="宋体" w:hAnsi="宋体" w:cs="宋体"/>
                <w:sz w:val="18"/>
                <w:szCs w:val="18"/>
              </w:rPr>
              <w:t>8.29%</w:t>
            </w:r>
          </w:p>
        </w:tc>
        <w:tc>
          <w:tcPr>
            <w:tcW w:w="688" w:type="pct"/>
            <w:vAlign w:val="center"/>
          </w:tcPr>
          <w:p w14:paraId="7606E7B7">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2026.12.31</w:t>
            </w:r>
          </w:p>
        </w:tc>
        <w:tc>
          <w:tcPr>
            <w:tcW w:w="282" w:type="pct"/>
            <w:vAlign w:val="center"/>
          </w:tcPr>
          <w:p w14:paraId="26472D08">
            <w:pPr>
              <w:widowControl/>
              <w:jc w:val="center"/>
              <w:textAlignment w:val="center"/>
              <w:rPr>
                <w:rFonts w:hint="eastAsia" w:ascii="宋体" w:hAnsi="宋体" w:cs="宋体"/>
                <w:kern w:val="0"/>
                <w:sz w:val="18"/>
                <w:szCs w:val="18"/>
              </w:rPr>
            </w:pPr>
            <w:r>
              <w:rPr>
                <w:rFonts w:hint="eastAsia" w:ascii="宋体" w:hAnsi="宋体" w:cs="宋体"/>
                <w:kern w:val="0"/>
                <w:sz w:val="18"/>
                <w:szCs w:val="18"/>
                <w:lang w:bidi="ar"/>
              </w:rPr>
              <w:t>否</w:t>
            </w:r>
          </w:p>
        </w:tc>
        <w:tc>
          <w:tcPr>
            <w:tcW w:w="233" w:type="pct"/>
            <w:vAlign w:val="center"/>
          </w:tcPr>
          <w:p w14:paraId="2928FDC6">
            <w:pPr>
              <w:widowControl/>
              <w:jc w:val="center"/>
              <w:textAlignment w:val="center"/>
              <w:rPr>
                <w:rFonts w:hint="eastAsia" w:ascii="宋体" w:hAnsi="宋体" w:cs="宋体"/>
                <w:kern w:val="0"/>
                <w:sz w:val="18"/>
                <w:szCs w:val="18"/>
              </w:rPr>
            </w:pPr>
            <w:r>
              <w:rPr>
                <w:rFonts w:hint="eastAsia" w:ascii="宋体" w:hAnsi="宋体" w:cs="宋体"/>
                <w:kern w:val="0"/>
                <w:sz w:val="18"/>
                <w:szCs w:val="18"/>
                <w:lang w:bidi="ar"/>
              </w:rPr>
              <w:t>否</w:t>
            </w:r>
          </w:p>
        </w:tc>
      </w:tr>
      <w:tr w14:paraId="477D4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10"/>
            <w:vAlign w:val="center"/>
          </w:tcPr>
          <w:p w14:paraId="26DF7643">
            <w:pPr>
              <w:autoSpaceDE w:val="0"/>
              <w:autoSpaceDN w:val="0"/>
              <w:adjustRightInd w:val="0"/>
              <w:jc w:val="left"/>
              <w:rPr>
                <w:rFonts w:hint="eastAsia" w:ascii="宋体" w:hAnsi="宋体" w:cs="宋体"/>
                <w:kern w:val="0"/>
                <w:sz w:val="18"/>
                <w:szCs w:val="18"/>
              </w:rPr>
            </w:pPr>
            <w:r>
              <w:rPr>
                <w:rFonts w:hint="eastAsia" w:ascii="宋体" w:hAnsi="宋体" w:cs="宋体"/>
                <w:kern w:val="0"/>
                <w:sz w:val="18"/>
                <w:szCs w:val="18"/>
              </w:rPr>
              <w:t>2.资产负债率为70%以下的控股子公司</w:t>
            </w:r>
          </w:p>
        </w:tc>
      </w:tr>
      <w:tr w14:paraId="5A6CE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7" w:type="pct"/>
            <w:vAlign w:val="center"/>
          </w:tcPr>
          <w:p w14:paraId="43430532">
            <w:pPr>
              <w:widowControl/>
              <w:jc w:val="center"/>
              <w:textAlignment w:val="center"/>
              <w:rPr>
                <w:rFonts w:hint="eastAsia" w:ascii="宋体" w:hAnsi="宋体" w:cs="宋体"/>
                <w:kern w:val="0"/>
                <w:sz w:val="18"/>
                <w:szCs w:val="18"/>
              </w:rPr>
            </w:pPr>
            <w:r>
              <w:rPr>
                <w:rFonts w:hint="eastAsia" w:ascii="宋体" w:hAnsi="宋体" w:cs="宋体"/>
                <w:kern w:val="0"/>
                <w:sz w:val="18"/>
                <w:szCs w:val="18"/>
              </w:rPr>
              <w:t>望变电气</w:t>
            </w:r>
          </w:p>
        </w:tc>
        <w:tc>
          <w:tcPr>
            <w:tcW w:w="417" w:type="pct"/>
            <w:vAlign w:val="center"/>
          </w:tcPr>
          <w:p w14:paraId="321C9E5E">
            <w:pPr>
              <w:widowControl/>
              <w:jc w:val="center"/>
              <w:textAlignment w:val="center"/>
              <w:rPr>
                <w:rFonts w:hint="eastAsia" w:ascii="宋体" w:hAnsi="宋体" w:cs="宋体"/>
                <w:kern w:val="0"/>
                <w:sz w:val="18"/>
                <w:szCs w:val="18"/>
              </w:rPr>
            </w:pPr>
            <w:r>
              <w:rPr>
                <w:rFonts w:hint="eastAsia" w:ascii="宋体" w:hAnsi="宋体" w:cs="宋体"/>
                <w:kern w:val="0"/>
                <w:sz w:val="18"/>
                <w:szCs w:val="18"/>
              </w:rPr>
              <w:t>云变电气</w:t>
            </w:r>
          </w:p>
        </w:tc>
        <w:tc>
          <w:tcPr>
            <w:tcW w:w="417" w:type="pct"/>
            <w:vAlign w:val="center"/>
          </w:tcPr>
          <w:p w14:paraId="13E9242D">
            <w:pPr>
              <w:widowControl/>
              <w:jc w:val="center"/>
              <w:textAlignment w:val="center"/>
              <w:rPr>
                <w:rFonts w:hint="eastAsia" w:ascii="宋体" w:hAnsi="宋体" w:cs="宋体"/>
                <w:kern w:val="0"/>
                <w:sz w:val="18"/>
                <w:szCs w:val="18"/>
              </w:rPr>
            </w:pPr>
            <w:r>
              <w:rPr>
                <w:rFonts w:hint="eastAsia" w:ascii="宋体" w:hAnsi="宋体" w:cs="宋体"/>
                <w:kern w:val="0"/>
                <w:sz w:val="18"/>
                <w:szCs w:val="18"/>
              </w:rPr>
              <w:t>100%</w:t>
            </w:r>
          </w:p>
        </w:tc>
        <w:tc>
          <w:tcPr>
            <w:tcW w:w="668" w:type="pct"/>
            <w:vAlign w:val="center"/>
          </w:tcPr>
          <w:p w14:paraId="2B4F87C6">
            <w:pPr>
              <w:widowControl/>
              <w:jc w:val="center"/>
              <w:textAlignment w:val="center"/>
              <w:rPr>
                <w:rFonts w:hint="eastAsia" w:ascii="宋体" w:hAnsi="宋体" w:cs="宋体"/>
                <w:kern w:val="0"/>
                <w:sz w:val="18"/>
                <w:szCs w:val="18"/>
              </w:rPr>
            </w:pPr>
            <w:r>
              <w:rPr>
                <w:rFonts w:hint="eastAsia" w:ascii="宋体" w:hAnsi="宋体" w:cs="宋体"/>
                <w:kern w:val="0"/>
                <w:sz w:val="18"/>
                <w:szCs w:val="18"/>
              </w:rPr>
              <w:t>65.41%</w:t>
            </w:r>
          </w:p>
        </w:tc>
        <w:tc>
          <w:tcPr>
            <w:tcW w:w="691" w:type="pct"/>
            <w:vAlign w:val="center"/>
          </w:tcPr>
          <w:p w14:paraId="215D06FF">
            <w:pPr>
              <w:widowControl/>
              <w:jc w:val="center"/>
              <w:textAlignment w:val="center"/>
              <w:rPr>
                <w:rFonts w:hint="eastAsia" w:ascii="宋体" w:hAnsi="宋体" w:cs="宋体"/>
                <w:kern w:val="0"/>
                <w:sz w:val="18"/>
                <w:szCs w:val="18"/>
              </w:rPr>
            </w:pPr>
            <w:r>
              <w:rPr>
                <w:rFonts w:hint="eastAsia" w:ascii="宋体" w:hAnsi="宋体" w:cs="宋体"/>
                <w:kern w:val="0"/>
                <w:sz w:val="18"/>
                <w:szCs w:val="18"/>
              </w:rPr>
              <w:t>56,412.95</w:t>
            </w:r>
          </w:p>
        </w:tc>
        <w:tc>
          <w:tcPr>
            <w:tcW w:w="532" w:type="pct"/>
            <w:vAlign w:val="center"/>
          </w:tcPr>
          <w:p w14:paraId="4E4AF4D7">
            <w:pPr>
              <w:widowControl/>
              <w:jc w:val="center"/>
              <w:textAlignment w:val="center"/>
              <w:rPr>
                <w:rFonts w:hint="eastAsia" w:ascii="宋体" w:hAnsi="宋体" w:cs="宋体"/>
                <w:kern w:val="0"/>
                <w:sz w:val="18"/>
                <w:szCs w:val="18"/>
                <w:highlight w:val="yellow"/>
              </w:rPr>
            </w:pPr>
            <w:r>
              <w:rPr>
                <w:rFonts w:hint="eastAsia" w:ascii="宋体" w:hAnsi="宋体" w:cs="宋体"/>
                <w:kern w:val="0"/>
                <w:sz w:val="18"/>
                <w:szCs w:val="18"/>
              </w:rPr>
              <w:t>180,000</w:t>
            </w:r>
          </w:p>
        </w:tc>
        <w:tc>
          <w:tcPr>
            <w:tcW w:w="657" w:type="pct"/>
            <w:vAlign w:val="center"/>
          </w:tcPr>
          <w:p w14:paraId="258FA063">
            <w:pPr>
              <w:widowControl/>
              <w:jc w:val="center"/>
              <w:textAlignment w:val="center"/>
              <w:rPr>
                <w:rFonts w:hint="eastAsia" w:ascii="宋体" w:hAnsi="宋体" w:cs="宋体"/>
                <w:kern w:val="0"/>
                <w:sz w:val="18"/>
                <w:szCs w:val="18"/>
                <w:highlight w:val="yellow"/>
              </w:rPr>
            </w:pPr>
            <w:r>
              <w:rPr>
                <w:rFonts w:hint="eastAsia" w:ascii="宋体" w:hAnsi="宋体" w:cs="宋体"/>
                <w:kern w:val="0"/>
                <w:sz w:val="18"/>
                <w:szCs w:val="18"/>
              </w:rPr>
              <w:t>74.59%</w:t>
            </w:r>
          </w:p>
        </w:tc>
        <w:tc>
          <w:tcPr>
            <w:tcW w:w="688" w:type="pct"/>
            <w:vAlign w:val="center"/>
          </w:tcPr>
          <w:p w14:paraId="75228CF4">
            <w:pPr>
              <w:widowControl/>
              <w:jc w:val="center"/>
              <w:textAlignment w:val="center"/>
              <w:rPr>
                <w:rFonts w:hint="eastAsia" w:ascii="宋体" w:hAnsi="宋体" w:cs="宋体"/>
                <w:kern w:val="0"/>
                <w:sz w:val="18"/>
                <w:szCs w:val="18"/>
              </w:rPr>
            </w:pPr>
            <w:r>
              <w:rPr>
                <w:rFonts w:hint="eastAsia" w:ascii="宋体" w:hAnsi="宋体" w:cs="宋体"/>
                <w:kern w:val="0"/>
                <w:sz w:val="18"/>
                <w:szCs w:val="18"/>
              </w:rPr>
              <w:t>2026.12.31</w:t>
            </w:r>
          </w:p>
        </w:tc>
        <w:tc>
          <w:tcPr>
            <w:tcW w:w="282" w:type="pct"/>
            <w:vAlign w:val="center"/>
          </w:tcPr>
          <w:p w14:paraId="47DFC35D">
            <w:pPr>
              <w:widowControl/>
              <w:jc w:val="center"/>
              <w:textAlignment w:val="center"/>
              <w:rPr>
                <w:rFonts w:hint="eastAsia" w:ascii="宋体" w:hAnsi="宋体" w:cs="宋体"/>
                <w:kern w:val="0"/>
                <w:sz w:val="18"/>
                <w:szCs w:val="18"/>
              </w:rPr>
            </w:pPr>
            <w:r>
              <w:rPr>
                <w:rFonts w:hint="eastAsia" w:ascii="宋体" w:hAnsi="宋体" w:cs="宋体"/>
                <w:kern w:val="0"/>
                <w:sz w:val="18"/>
                <w:szCs w:val="18"/>
              </w:rPr>
              <w:t>否</w:t>
            </w:r>
          </w:p>
        </w:tc>
        <w:tc>
          <w:tcPr>
            <w:tcW w:w="233" w:type="pct"/>
            <w:vAlign w:val="center"/>
          </w:tcPr>
          <w:p w14:paraId="0F97C6DE">
            <w:pPr>
              <w:widowControl/>
              <w:jc w:val="center"/>
              <w:textAlignment w:val="center"/>
              <w:rPr>
                <w:rFonts w:hint="eastAsia" w:ascii="宋体" w:hAnsi="宋体" w:cs="宋体"/>
                <w:kern w:val="0"/>
                <w:sz w:val="18"/>
                <w:szCs w:val="18"/>
              </w:rPr>
            </w:pPr>
            <w:r>
              <w:rPr>
                <w:rFonts w:hint="eastAsia" w:ascii="宋体" w:hAnsi="宋体" w:cs="宋体"/>
                <w:kern w:val="0"/>
                <w:sz w:val="18"/>
                <w:szCs w:val="18"/>
              </w:rPr>
              <w:t>否</w:t>
            </w:r>
          </w:p>
        </w:tc>
      </w:tr>
      <w:tr w14:paraId="496E4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7" w:type="pct"/>
            <w:vAlign w:val="center"/>
          </w:tcPr>
          <w:p w14:paraId="2F5CE109">
            <w:pPr>
              <w:widowControl/>
              <w:jc w:val="center"/>
              <w:textAlignment w:val="center"/>
              <w:rPr>
                <w:rFonts w:hint="eastAsia" w:ascii="宋体" w:hAnsi="宋体" w:cs="宋体"/>
                <w:kern w:val="0"/>
                <w:sz w:val="18"/>
                <w:szCs w:val="18"/>
              </w:rPr>
            </w:pPr>
            <w:r>
              <w:rPr>
                <w:rFonts w:hint="eastAsia" w:ascii="宋体" w:hAnsi="宋体" w:cs="宋体"/>
                <w:kern w:val="0"/>
                <w:sz w:val="18"/>
                <w:szCs w:val="18"/>
              </w:rPr>
              <w:t>望变电气</w:t>
            </w:r>
          </w:p>
        </w:tc>
        <w:tc>
          <w:tcPr>
            <w:tcW w:w="417" w:type="pct"/>
            <w:vAlign w:val="center"/>
          </w:tcPr>
          <w:p w14:paraId="05A3897E">
            <w:pPr>
              <w:widowControl/>
              <w:jc w:val="center"/>
              <w:textAlignment w:val="center"/>
              <w:rPr>
                <w:rFonts w:hint="eastAsia" w:ascii="宋体" w:hAnsi="宋体" w:cs="宋体"/>
                <w:kern w:val="0"/>
                <w:sz w:val="18"/>
                <w:szCs w:val="18"/>
              </w:rPr>
            </w:pPr>
            <w:r>
              <w:rPr>
                <w:rFonts w:hint="eastAsia" w:ascii="宋体" w:hAnsi="宋体" w:cs="宋体"/>
                <w:kern w:val="0"/>
                <w:sz w:val="18"/>
                <w:szCs w:val="18"/>
              </w:rPr>
              <w:t>望来充</w:t>
            </w:r>
          </w:p>
        </w:tc>
        <w:tc>
          <w:tcPr>
            <w:tcW w:w="417" w:type="pct"/>
            <w:vAlign w:val="center"/>
          </w:tcPr>
          <w:p w14:paraId="49DABC9C">
            <w:pPr>
              <w:widowControl/>
              <w:jc w:val="center"/>
              <w:textAlignment w:val="center"/>
              <w:rPr>
                <w:rFonts w:hint="eastAsia" w:ascii="宋体" w:hAnsi="宋体" w:cs="宋体"/>
                <w:kern w:val="0"/>
                <w:sz w:val="18"/>
                <w:szCs w:val="18"/>
              </w:rPr>
            </w:pPr>
            <w:r>
              <w:rPr>
                <w:rFonts w:hint="eastAsia" w:ascii="宋体" w:hAnsi="宋体" w:cs="宋体"/>
                <w:kern w:val="0"/>
                <w:sz w:val="18"/>
                <w:szCs w:val="18"/>
              </w:rPr>
              <w:t>100%</w:t>
            </w:r>
          </w:p>
        </w:tc>
        <w:tc>
          <w:tcPr>
            <w:tcW w:w="668" w:type="pct"/>
            <w:vAlign w:val="center"/>
          </w:tcPr>
          <w:p w14:paraId="27A46F9E">
            <w:pPr>
              <w:widowControl/>
              <w:jc w:val="center"/>
              <w:textAlignment w:val="center"/>
              <w:rPr>
                <w:rFonts w:hint="eastAsia" w:ascii="宋体" w:hAnsi="宋体" w:cs="宋体"/>
                <w:kern w:val="0"/>
                <w:sz w:val="18"/>
                <w:szCs w:val="18"/>
              </w:rPr>
            </w:pPr>
            <w:r>
              <w:rPr>
                <w:rFonts w:hint="eastAsia" w:ascii="宋体" w:hAnsi="宋体" w:cs="宋体"/>
                <w:kern w:val="0"/>
                <w:sz w:val="18"/>
                <w:szCs w:val="18"/>
              </w:rPr>
              <w:t>0.09%</w:t>
            </w:r>
          </w:p>
        </w:tc>
        <w:tc>
          <w:tcPr>
            <w:tcW w:w="691" w:type="pct"/>
            <w:vAlign w:val="center"/>
          </w:tcPr>
          <w:p w14:paraId="7CF64FFC">
            <w:pPr>
              <w:widowControl/>
              <w:jc w:val="center"/>
              <w:textAlignment w:val="center"/>
              <w:rPr>
                <w:rFonts w:hint="eastAsia" w:ascii="宋体" w:hAnsi="宋体" w:cs="宋体"/>
                <w:kern w:val="0"/>
                <w:sz w:val="18"/>
                <w:szCs w:val="18"/>
              </w:rPr>
            </w:pPr>
            <w:r>
              <w:rPr>
                <w:rFonts w:hint="eastAsia" w:ascii="宋体" w:hAnsi="宋体" w:cs="宋体"/>
                <w:kern w:val="0"/>
                <w:sz w:val="18"/>
                <w:szCs w:val="18"/>
              </w:rPr>
              <w:t>-</w:t>
            </w:r>
          </w:p>
        </w:tc>
        <w:tc>
          <w:tcPr>
            <w:tcW w:w="532" w:type="pct"/>
            <w:vAlign w:val="center"/>
          </w:tcPr>
          <w:p w14:paraId="791D8016">
            <w:pPr>
              <w:widowControl/>
              <w:jc w:val="center"/>
              <w:textAlignment w:val="center"/>
              <w:rPr>
                <w:rFonts w:hint="eastAsia" w:ascii="宋体" w:hAnsi="宋体" w:cs="宋体"/>
                <w:kern w:val="0"/>
                <w:sz w:val="18"/>
                <w:szCs w:val="18"/>
              </w:rPr>
            </w:pPr>
            <w:r>
              <w:rPr>
                <w:rFonts w:hint="eastAsia" w:ascii="宋体" w:hAnsi="宋体" w:cs="宋体"/>
                <w:kern w:val="0"/>
                <w:sz w:val="18"/>
                <w:szCs w:val="18"/>
              </w:rPr>
              <w:t>60,000</w:t>
            </w:r>
          </w:p>
        </w:tc>
        <w:tc>
          <w:tcPr>
            <w:tcW w:w="657" w:type="pct"/>
            <w:vAlign w:val="center"/>
          </w:tcPr>
          <w:p w14:paraId="1540E46E">
            <w:pPr>
              <w:widowControl/>
              <w:jc w:val="center"/>
              <w:textAlignment w:val="center"/>
              <w:rPr>
                <w:rFonts w:hint="eastAsia" w:ascii="宋体" w:hAnsi="宋体" w:cs="宋体"/>
                <w:kern w:val="0"/>
                <w:sz w:val="18"/>
                <w:szCs w:val="18"/>
                <w:highlight w:val="yellow"/>
              </w:rPr>
            </w:pPr>
            <w:r>
              <w:rPr>
                <w:rFonts w:hint="eastAsia" w:ascii="宋体" w:hAnsi="宋体" w:cs="宋体"/>
                <w:kern w:val="0"/>
                <w:sz w:val="18"/>
                <w:szCs w:val="18"/>
              </w:rPr>
              <w:t>24.86%</w:t>
            </w:r>
          </w:p>
        </w:tc>
        <w:tc>
          <w:tcPr>
            <w:tcW w:w="688" w:type="pct"/>
            <w:vAlign w:val="center"/>
          </w:tcPr>
          <w:p w14:paraId="245A267E">
            <w:pPr>
              <w:widowControl/>
              <w:jc w:val="center"/>
              <w:textAlignment w:val="center"/>
              <w:rPr>
                <w:rFonts w:hint="eastAsia" w:ascii="宋体" w:hAnsi="宋体" w:cs="宋体"/>
                <w:kern w:val="0"/>
                <w:sz w:val="18"/>
                <w:szCs w:val="18"/>
              </w:rPr>
            </w:pPr>
            <w:r>
              <w:rPr>
                <w:rFonts w:hint="eastAsia" w:ascii="宋体" w:hAnsi="宋体" w:cs="宋体"/>
                <w:kern w:val="0"/>
                <w:sz w:val="18"/>
                <w:szCs w:val="18"/>
              </w:rPr>
              <w:t>2026.12.31</w:t>
            </w:r>
          </w:p>
        </w:tc>
        <w:tc>
          <w:tcPr>
            <w:tcW w:w="282" w:type="pct"/>
            <w:vAlign w:val="center"/>
          </w:tcPr>
          <w:p w14:paraId="0E836ED7">
            <w:pPr>
              <w:widowControl/>
              <w:jc w:val="center"/>
              <w:textAlignment w:val="center"/>
              <w:rPr>
                <w:rFonts w:hint="eastAsia" w:ascii="宋体" w:hAnsi="宋体" w:cs="宋体"/>
                <w:kern w:val="0"/>
                <w:sz w:val="18"/>
                <w:szCs w:val="18"/>
              </w:rPr>
            </w:pPr>
            <w:r>
              <w:rPr>
                <w:rFonts w:hint="eastAsia" w:ascii="宋体" w:hAnsi="宋体" w:cs="宋体"/>
                <w:kern w:val="0"/>
                <w:sz w:val="18"/>
                <w:szCs w:val="18"/>
              </w:rPr>
              <w:t>否</w:t>
            </w:r>
          </w:p>
        </w:tc>
        <w:tc>
          <w:tcPr>
            <w:tcW w:w="233" w:type="pct"/>
            <w:vAlign w:val="center"/>
          </w:tcPr>
          <w:p w14:paraId="63242C6D">
            <w:pPr>
              <w:widowControl/>
              <w:jc w:val="center"/>
              <w:textAlignment w:val="center"/>
              <w:rPr>
                <w:rFonts w:hint="eastAsia" w:ascii="宋体" w:hAnsi="宋体" w:cs="宋体"/>
                <w:kern w:val="0"/>
                <w:sz w:val="18"/>
                <w:szCs w:val="18"/>
              </w:rPr>
            </w:pPr>
            <w:r>
              <w:rPr>
                <w:rFonts w:hint="eastAsia" w:ascii="宋体" w:hAnsi="宋体" w:cs="宋体"/>
                <w:kern w:val="0"/>
                <w:sz w:val="18"/>
                <w:szCs w:val="18"/>
              </w:rPr>
              <w:t>否</w:t>
            </w:r>
          </w:p>
        </w:tc>
      </w:tr>
      <w:tr w14:paraId="2099D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7" w:type="pct"/>
            <w:vAlign w:val="center"/>
          </w:tcPr>
          <w:p w14:paraId="108C5A0F">
            <w:pPr>
              <w:widowControl/>
              <w:jc w:val="center"/>
              <w:textAlignment w:val="center"/>
              <w:rPr>
                <w:rFonts w:hint="eastAsia" w:ascii="宋体" w:hAnsi="宋体" w:cs="宋体"/>
                <w:kern w:val="0"/>
                <w:sz w:val="18"/>
                <w:szCs w:val="18"/>
              </w:rPr>
            </w:pPr>
            <w:r>
              <w:rPr>
                <w:rFonts w:hint="eastAsia" w:ascii="宋体" w:hAnsi="宋体" w:cs="宋体"/>
                <w:kern w:val="0"/>
                <w:sz w:val="18"/>
                <w:szCs w:val="18"/>
              </w:rPr>
              <w:t>望变电气</w:t>
            </w:r>
          </w:p>
        </w:tc>
        <w:tc>
          <w:tcPr>
            <w:tcW w:w="417" w:type="pct"/>
            <w:vAlign w:val="center"/>
          </w:tcPr>
          <w:p w14:paraId="10BDAB33">
            <w:pPr>
              <w:widowControl/>
              <w:jc w:val="center"/>
              <w:textAlignment w:val="center"/>
              <w:rPr>
                <w:rFonts w:hint="eastAsia" w:ascii="宋体" w:hAnsi="宋体" w:cs="宋体"/>
                <w:kern w:val="0"/>
                <w:sz w:val="18"/>
                <w:szCs w:val="18"/>
              </w:rPr>
            </w:pPr>
            <w:r>
              <w:rPr>
                <w:rFonts w:hint="eastAsia" w:ascii="宋体" w:hAnsi="宋体" w:cs="宋体"/>
                <w:kern w:val="0"/>
                <w:sz w:val="18"/>
                <w:szCs w:val="18"/>
              </w:rPr>
              <w:t>惠泽电器</w:t>
            </w:r>
          </w:p>
        </w:tc>
        <w:tc>
          <w:tcPr>
            <w:tcW w:w="417" w:type="pct"/>
            <w:vAlign w:val="center"/>
          </w:tcPr>
          <w:p w14:paraId="0E51CD8A">
            <w:pPr>
              <w:widowControl/>
              <w:jc w:val="center"/>
              <w:textAlignment w:val="center"/>
              <w:rPr>
                <w:rFonts w:hint="eastAsia" w:ascii="宋体" w:hAnsi="宋体" w:cs="宋体"/>
                <w:kern w:val="0"/>
                <w:sz w:val="18"/>
                <w:szCs w:val="18"/>
              </w:rPr>
            </w:pPr>
            <w:r>
              <w:rPr>
                <w:rFonts w:hint="eastAsia" w:ascii="宋体" w:hAnsi="宋体" w:cs="宋体"/>
                <w:kern w:val="0"/>
                <w:sz w:val="18"/>
                <w:szCs w:val="18"/>
              </w:rPr>
              <w:t>100%</w:t>
            </w:r>
          </w:p>
        </w:tc>
        <w:tc>
          <w:tcPr>
            <w:tcW w:w="668" w:type="pct"/>
            <w:vAlign w:val="center"/>
          </w:tcPr>
          <w:p w14:paraId="55218163">
            <w:pPr>
              <w:widowControl/>
              <w:jc w:val="center"/>
              <w:textAlignment w:val="center"/>
              <w:rPr>
                <w:rFonts w:hint="eastAsia" w:ascii="宋体" w:hAnsi="宋体" w:cs="宋体"/>
                <w:kern w:val="0"/>
                <w:sz w:val="18"/>
                <w:szCs w:val="18"/>
              </w:rPr>
            </w:pPr>
            <w:r>
              <w:rPr>
                <w:rFonts w:hint="eastAsia" w:ascii="宋体" w:hAnsi="宋体" w:cs="宋体"/>
                <w:kern w:val="0"/>
                <w:sz w:val="18"/>
                <w:szCs w:val="18"/>
              </w:rPr>
              <w:t>52.19%</w:t>
            </w:r>
          </w:p>
        </w:tc>
        <w:tc>
          <w:tcPr>
            <w:tcW w:w="691" w:type="pct"/>
            <w:vAlign w:val="center"/>
          </w:tcPr>
          <w:p w14:paraId="648777A5">
            <w:pPr>
              <w:widowControl/>
              <w:jc w:val="center"/>
              <w:textAlignment w:val="center"/>
              <w:rPr>
                <w:rFonts w:hint="eastAsia" w:ascii="宋体" w:hAnsi="宋体" w:cs="宋体"/>
                <w:kern w:val="0"/>
                <w:sz w:val="18"/>
                <w:szCs w:val="18"/>
              </w:rPr>
            </w:pPr>
            <w:r>
              <w:rPr>
                <w:rFonts w:hint="eastAsia" w:ascii="宋体" w:hAnsi="宋体" w:cs="宋体"/>
                <w:kern w:val="0"/>
                <w:sz w:val="18"/>
                <w:szCs w:val="18"/>
              </w:rPr>
              <w:t>1,000.19</w:t>
            </w:r>
          </w:p>
        </w:tc>
        <w:tc>
          <w:tcPr>
            <w:tcW w:w="532" w:type="pct"/>
            <w:vAlign w:val="center"/>
          </w:tcPr>
          <w:p w14:paraId="49F21EEC">
            <w:pPr>
              <w:widowControl/>
              <w:jc w:val="center"/>
              <w:textAlignment w:val="center"/>
              <w:rPr>
                <w:rFonts w:hint="eastAsia" w:ascii="宋体" w:hAnsi="宋体" w:cs="宋体"/>
                <w:kern w:val="0"/>
                <w:sz w:val="18"/>
                <w:szCs w:val="18"/>
                <w:highlight w:val="yellow"/>
              </w:rPr>
            </w:pPr>
            <w:r>
              <w:rPr>
                <w:rFonts w:hint="eastAsia" w:ascii="宋体" w:hAnsi="宋体" w:cs="宋体"/>
                <w:kern w:val="0"/>
                <w:sz w:val="18"/>
                <w:szCs w:val="18"/>
              </w:rPr>
              <w:t>40,000</w:t>
            </w:r>
          </w:p>
        </w:tc>
        <w:tc>
          <w:tcPr>
            <w:tcW w:w="657" w:type="pct"/>
            <w:vAlign w:val="center"/>
          </w:tcPr>
          <w:p w14:paraId="5AC11F5F">
            <w:pPr>
              <w:widowControl/>
              <w:jc w:val="center"/>
              <w:textAlignment w:val="center"/>
              <w:rPr>
                <w:rFonts w:hint="eastAsia" w:ascii="宋体" w:hAnsi="宋体" w:cs="宋体"/>
                <w:kern w:val="0"/>
                <w:sz w:val="18"/>
                <w:szCs w:val="18"/>
                <w:highlight w:val="yellow"/>
              </w:rPr>
            </w:pPr>
            <w:r>
              <w:rPr>
                <w:rFonts w:hint="eastAsia" w:ascii="宋体" w:hAnsi="宋体" w:cs="宋体"/>
                <w:kern w:val="0"/>
                <w:sz w:val="18"/>
                <w:szCs w:val="18"/>
              </w:rPr>
              <w:t>16.58%</w:t>
            </w:r>
          </w:p>
        </w:tc>
        <w:tc>
          <w:tcPr>
            <w:tcW w:w="688" w:type="pct"/>
            <w:vAlign w:val="center"/>
          </w:tcPr>
          <w:p w14:paraId="432BAA90">
            <w:pPr>
              <w:widowControl/>
              <w:jc w:val="center"/>
              <w:textAlignment w:val="center"/>
              <w:rPr>
                <w:rFonts w:hint="eastAsia" w:ascii="宋体" w:hAnsi="宋体" w:cs="宋体"/>
                <w:kern w:val="0"/>
                <w:sz w:val="18"/>
                <w:szCs w:val="18"/>
              </w:rPr>
            </w:pPr>
            <w:r>
              <w:rPr>
                <w:rFonts w:hint="eastAsia" w:ascii="宋体" w:hAnsi="宋体" w:cs="宋体"/>
                <w:kern w:val="0"/>
                <w:sz w:val="18"/>
                <w:szCs w:val="18"/>
              </w:rPr>
              <w:t>2026.12.31</w:t>
            </w:r>
          </w:p>
        </w:tc>
        <w:tc>
          <w:tcPr>
            <w:tcW w:w="282" w:type="pct"/>
            <w:vAlign w:val="center"/>
          </w:tcPr>
          <w:p w14:paraId="09F66882">
            <w:pPr>
              <w:widowControl/>
              <w:jc w:val="center"/>
              <w:textAlignment w:val="center"/>
              <w:rPr>
                <w:rFonts w:hint="eastAsia" w:ascii="宋体" w:hAnsi="宋体" w:cs="宋体"/>
                <w:kern w:val="0"/>
                <w:sz w:val="18"/>
                <w:szCs w:val="18"/>
              </w:rPr>
            </w:pPr>
            <w:r>
              <w:rPr>
                <w:rFonts w:hint="eastAsia" w:ascii="宋体" w:hAnsi="宋体" w:cs="宋体"/>
                <w:kern w:val="0"/>
                <w:sz w:val="18"/>
                <w:szCs w:val="18"/>
              </w:rPr>
              <w:t>否</w:t>
            </w:r>
          </w:p>
        </w:tc>
        <w:tc>
          <w:tcPr>
            <w:tcW w:w="233" w:type="pct"/>
            <w:vAlign w:val="center"/>
          </w:tcPr>
          <w:p w14:paraId="3CEFC5EB">
            <w:pPr>
              <w:widowControl/>
              <w:jc w:val="center"/>
              <w:textAlignment w:val="center"/>
              <w:rPr>
                <w:rFonts w:hint="eastAsia" w:ascii="宋体" w:hAnsi="宋体" w:cs="宋体"/>
                <w:kern w:val="0"/>
                <w:sz w:val="18"/>
                <w:szCs w:val="18"/>
              </w:rPr>
            </w:pPr>
            <w:r>
              <w:rPr>
                <w:rFonts w:hint="eastAsia" w:ascii="宋体" w:hAnsi="宋体" w:cs="宋体"/>
                <w:kern w:val="0"/>
                <w:sz w:val="18"/>
                <w:szCs w:val="18"/>
              </w:rPr>
              <w:t>否</w:t>
            </w:r>
          </w:p>
        </w:tc>
      </w:tr>
      <w:tr w14:paraId="3FA17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18" w:type="pct"/>
            <w:gridSpan w:val="4"/>
            <w:vAlign w:val="center"/>
          </w:tcPr>
          <w:p w14:paraId="70CBFB81">
            <w:pPr>
              <w:widowControl/>
              <w:jc w:val="center"/>
              <w:textAlignment w:val="center"/>
              <w:rPr>
                <w:rFonts w:hint="eastAsia" w:ascii="宋体" w:hAnsi="宋体" w:cs="宋体"/>
                <w:kern w:val="0"/>
                <w:sz w:val="18"/>
                <w:szCs w:val="18"/>
              </w:rPr>
            </w:pPr>
            <w:r>
              <w:rPr>
                <w:rFonts w:hint="eastAsia" w:ascii="宋体" w:hAnsi="宋体" w:cs="宋体"/>
                <w:kern w:val="0"/>
                <w:sz w:val="18"/>
                <w:szCs w:val="18"/>
              </w:rPr>
              <w:t>总计</w:t>
            </w:r>
          </w:p>
        </w:tc>
        <w:tc>
          <w:tcPr>
            <w:tcW w:w="691" w:type="pct"/>
            <w:vAlign w:val="center"/>
          </w:tcPr>
          <w:p w14:paraId="6166A526">
            <w:pPr>
              <w:widowControl/>
              <w:jc w:val="center"/>
              <w:textAlignment w:val="center"/>
              <w:rPr>
                <w:rFonts w:hint="eastAsia" w:ascii="宋体" w:hAnsi="宋体" w:cs="宋体"/>
                <w:kern w:val="0"/>
                <w:sz w:val="18"/>
                <w:szCs w:val="18"/>
              </w:rPr>
            </w:pPr>
          </w:p>
        </w:tc>
        <w:tc>
          <w:tcPr>
            <w:tcW w:w="532" w:type="pct"/>
            <w:vAlign w:val="center"/>
          </w:tcPr>
          <w:p w14:paraId="02852CB2">
            <w:pPr>
              <w:widowControl/>
              <w:jc w:val="center"/>
              <w:textAlignment w:val="center"/>
              <w:rPr>
                <w:rFonts w:hint="eastAsia" w:ascii="宋体" w:hAnsi="宋体" w:cs="宋体"/>
                <w:kern w:val="0"/>
                <w:sz w:val="18"/>
                <w:szCs w:val="18"/>
              </w:rPr>
            </w:pPr>
          </w:p>
        </w:tc>
        <w:tc>
          <w:tcPr>
            <w:tcW w:w="657" w:type="pct"/>
            <w:vAlign w:val="center"/>
          </w:tcPr>
          <w:p w14:paraId="5C9CB825">
            <w:pPr>
              <w:widowControl/>
              <w:jc w:val="center"/>
              <w:textAlignment w:val="center"/>
              <w:rPr>
                <w:rFonts w:hint="eastAsia" w:ascii="宋体" w:hAnsi="宋体" w:cs="宋体"/>
                <w:kern w:val="0"/>
                <w:sz w:val="18"/>
                <w:szCs w:val="18"/>
              </w:rPr>
            </w:pPr>
          </w:p>
        </w:tc>
        <w:tc>
          <w:tcPr>
            <w:tcW w:w="688" w:type="pct"/>
            <w:vAlign w:val="center"/>
          </w:tcPr>
          <w:p w14:paraId="1FF17EB1">
            <w:pPr>
              <w:widowControl/>
              <w:jc w:val="center"/>
              <w:textAlignment w:val="center"/>
              <w:rPr>
                <w:rFonts w:hint="eastAsia" w:ascii="宋体" w:hAnsi="宋体" w:cs="宋体"/>
                <w:kern w:val="0"/>
                <w:sz w:val="18"/>
                <w:szCs w:val="18"/>
              </w:rPr>
            </w:pPr>
          </w:p>
        </w:tc>
        <w:tc>
          <w:tcPr>
            <w:tcW w:w="282" w:type="pct"/>
            <w:vAlign w:val="center"/>
          </w:tcPr>
          <w:p w14:paraId="576631F8">
            <w:pPr>
              <w:widowControl/>
              <w:jc w:val="center"/>
              <w:textAlignment w:val="center"/>
              <w:rPr>
                <w:rFonts w:hint="eastAsia" w:ascii="宋体" w:hAnsi="宋体" w:cs="宋体"/>
                <w:kern w:val="0"/>
                <w:sz w:val="18"/>
                <w:szCs w:val="18"/>
              </w:rPr>
            </w:pPr>
          </w:p>
        </w:tc>
        <w:tc>
          <w:tcPr>
            <w:tcW w:w="233" w:type="pct"/>
            <w:vAlign w:val="center"/>
          </w:tcPr>
          <w:p w14:paraId="4692CB0C">
            <w:pPr>
              <w:widowControl/>
              <w:jc w:val="center"/>
              <w:textAlignment w:val="center"/>
              <w:rPr>
                <w:rFonts w:hint="eastAsia" w:ascii="宋体" w:hAnsi="宋体" w:cs="宋体"/>
                <w:kern w:val="0"/>
                <w:sz w:val="18"/>
                <w:szCs w:val="18"/>
              </w:rPr>
            </w:pPr>
          </w:p>
        </w:tc>
      </w:tr>
    </w:tbl>
    <w:p w14:paraId="6F5A3098">
      <w:pPr>
        <w:pStyle w:val="23"/>
        <w:spacing w:line="560" w:lineRule="exact"/>
        <w:rPr>
          <w:rFonts w:hint="eastAsia" w:hAnsi="宋体"/>
          <w:color w:val="auto"/>
        </w:rPr>
      </w:pPr>
    </w:p>
    <w:p w14:paraId="645A590E">
      <w:pPr>
        <w:autoSpaceDE w:val="0"/>
        <w:autoSpaceDN w:val="0"/>
        <w:adjustRightInd w:val="0"/>
        <w:spacing w:line="560" w:lineRule="exact"/>
      </w:pPr>
      <w:r>
        <w:rPr>
          <w:rFonts w:hint="eastAsia" w:ascii="宋体" w:hAnsi="宋体" w:cs="宋体"/>
          <w:b/>
          <w:sz w:val="24"/>
          <w:szCs w:val="24"/>
        </w:rPr>
        <w:t>二、被担保人基本情况</w:t>
      </w:r>
    </w:p>
    <w:p w14:paraId="31F77BD2">
      <w:pPr>
        <w:adjustRightInd w:val="0"/>
        <w:snapToGrid w:val="0"/>
        <w:spacing w:line="560" w:lineRule="exact"/>
        <w:ind w:firstLine="480" w:firstLineChars="200"/>
        <w:outlineLvl w:val="1"/>
        <w:rPr>
          <w:rFonts w:hint="eastAsia" w:ascii="仿宋" w:hAnsi="仿宋" w:eastAsia="仿宋" w:cstheme="minorBidi"/>
          <w:sz w:val="24"/>
          <w:szCs w:val="24"/>
        </w:rPr>
      </w:pPr>
      <w:r>
        <w:rPr>
          <w:rFonts w:hint="eastAsia" w:ascii="仿宋" w:hAnsi="仿宋" w:eastAsia="仿宋" w:cstheme="minorBidi"/>
          <w:sz w:val="24"/>
          <w:szCs w:val="24"/>
        </w:rPr>
        <w:t>（一）云变电气</w:t>
      </w:r>
    </w:p>
    <w:p w14:paraId="67409EAD">
      <w:pPr>
        <w:adjustRightInd w:val="0"/>
        <w:snapToGrid w:val="0"/>
        <w:spacing w:line="560" w:lineRule="exact"/>
        <w:ind w:firstLine="480" w:firstLineChars="200"/>
        <w:rPr>
          <w:rFonts w:hint="eastAsia" w:ascii="仿宋" w:hAnsi="仿宋" w:eastAsia="仿宋" w:cstheme="minorBidi"/>
          <w:sz w:val="24"/>
          <w:szCs w:val="24"/>
        </w:rPr>
      </w:pPr>
      <w:r>
        <w:rPr>
          <w:rFonts w:hint="eastAsia" w:ascii="仿宋" w:hAnsi="仿宋" w:eastAsia="仿宋" w:cstheme="minorBidi"/>
          <w:sz w:val="24"/>
          <w:szCs w:val="24"/>
        </w:rPr>
        <w:t xml:space="preserve">公司名称：云南变压器电气股份有限公司 </w:t>
      </w:r>
    </w:p>
    <w:p w14:paraId="2773F138">
      <w:pPr>
        <w:adjustRightInd w:val="0"/>
        <w:snapToGrid w:val="0"/>
        <w:spacing w:line="560" w:lineRule="exact"/>
        <w:ind w:firstLine="480" w:firstLineChars="200"/>
        <w:rPr>
          <w:rFonts w:hint="eastAsia" w:ascii="仿宋" w:hAnsi="仿宋" w:eastAsia="仿宋" w:cstheme="minorBidi"/>
          <w:sz w:val="24"/>
          <w:szCs w:val="24"/>
        </w:rPr>
      </w:pPr>
      <w:r>
        <w:rPr>
          <w:rFonts w:hint="eastAsia" w:ascii="仿宋" w:hAnsi="仿宋" w:eastAsia="仿宋" w:cstheme="minorBidi"/>
          <w:sz w:val="24"/>
          <w:szCs w:val="24"/>
        </w:rPr>
        <w:t>统一社会信用代码：91530000713402501X</w:t>
      </w:r>
    </w:p>
    <w:p w14:paraId="42733C9A">
      <w:pPr>
        <w:adjustRightInd w:val="0"/>
        <w:snapToGrid w:val="0"/>
        <w:spacing w:line="560" w:lineRule="exact"/>
        <w:ind w:firstLine="480" w:firstLineChars="200"/>
        <w:rPr>
          <w:rFonts w:hint="eastAsia" w:ascii="仿宋" w:hAnsi="仿宋" w:eastAsia="仿宋" w:cstheme="minorBidi"/>
          <w:sz w:val="24"/>
          <w:szCs w:val="24"/>
        </w:rPr>
      </w:pPr>
      <w:r>
        <w:rPr>
          <w:rFonts w:hint="eastAsia" w:ascii="仿宋" w:hAnsi="仿宋" w:eastAsia="仿宋" w:cstheme="minorBidi"/>
          <w:sz w:val="24"/>
          <w:szCs w:val="24"/>
        </w:rPr>
        <w:t>成立时间：1999年01月23日</w:t>
      </w:r>
    </w:p>
    <w:p w14:paraId="5C57A89B">
      <w:pPr>
        <w:adjustRightInd w:val="0"/>
        <w:snapToGrid w:val="0"/>
        <w:spacing w:line="560" w:lineRule="exact"/>
        <w:ind w:firstLine="480" w:firstLineChars="200"/>
        <w:rPr>
          <w:rFonts w:hint="eastAsia" w:ascii="仿宋" w:hAnsi="仿宋" w:eastAsia="仿宋" w:cstheme="minorBidi"/>
          <w:sz w:val="24"/>
          <w:szCs w:val="24"/>
        </w:rPr>
      </w:pPr>
      <w:r>
        <w:rPr>
          <w:rFonts w:hint="eastAsia" w:ascii="仿宋" w:hAnsi="仿宋" w:eastAsia="仿宋" w:cstheme="minorBidi"/>
          <w:sz w:val="24"/>
          <w:szCs w:val="24"/>
        </w:rPr>
        <w:t xml:space="preserve">注册地点：中国（云南）自由贸易试验区昆明片区经开区洛羊街道办事处拓翔路212号 </w:t>
      </w:r>
    </w:p>
    <w:p w14:paraId="2F83742C">
      <w:pPr>
        <w:adjustRightInd w:val="0"/>
        <w:snapToGrid w:val="0"/>
        <w:spacing w:line="560" w:lineRule="exact"/>
        <w:ind w:firstLine="480" w:firstLineChars="200"/>
        <w:rPr>
          <w:rFonts w:hint="eastAsia" w:ascii="仿宋" w:hAnsi="仿宋" w:eastAsia="仿宋" w:cstheme="minorBidi"/>
          <w:sz w:val="24"/>
          <w:szCs w:val="24"/>
        </w:rPr>
      </w:pPr>
      <w:r>
        <w:rPr>
          <w:rFonts w:hint="eastAsia" w:ascii="仿宋" w:hAnsi="仿宋" w:eastAsia="仿宋" w:cstheme="minorBidi"/>
          <w:sz w:val="24"/>
          <w:szCs w:val="24"/>
        </w:rPr>
        <w:t>法定代表人：肖斌</w:t>
      </w:r>
    </w:p>
    <w:p w14:paraId="56FFDB0C">
      <w:pPr>
        <w:adjustRightInd w:val="0"/>
        <w:snapToGrid w:val="0"/>
        <w:spacing w:line="560" w:lineRule="exact"/>
        <w:ind w:firstLine="480" w:firstLineChars="200"/>
        <w:rPr>
          <w:rFonts w:hint="eastAsia" w:ascii="仿宋" w:hAnsi="仿宋" w:eastAsia="仿宋" w:cstheme="minorBidi"/>
          <w:sz w:val="24"/>
          <w:szCs w:val="24"/>
        </w:rPr>
      </w:pPr>
      <w:r>
        <w:rPr>
          <w:rFonts w:hint="eastAsia" w:ascii="仿宋" w:hAnsi="仿宋" w:eastAsia="仿宋" w:cstheme="minorBidi"/>
          <w:sz w:val="24"/>
          <w:szCs w:val="24"/>
        </w:rPr>
        <w:t>注册资本：10041.3641万人民币</w:t>
      </w:r>
    </w:p>
    <w:p w14:paraId="1774CD31">
      <w:pPr>
        <w:adjustRightInd w:val="0"/>
        <w:snapToGrid w:val="0"/>
        <w:spacing w:line="560" w:lineRule="exact"/>
        <w:ind w:firstLine="480" w:firstLineChars="200"/>
        <w:rPr>
          <w:rFonts w:hint="eastAsia" w:ascii="仿宋" w:hAnsi="仿宋" w:eastAsia="仿宋" w:cstheme="minorBidi"/>
          <w:sz w:val="24"/>
          <w:szCs w:val="24"/>
        </w:rPr>
      </w:pPr>
      <w:r>
        <w:rPr>
          <w:rFonts w:hint="eastAsia" w:ascii="仿宋" w:hAnsi="仿宋" w:eastAsia="仿宋" w:cstheme="minorBidi"/>
          <w:sz w:val="24"/>
          <w:szCs w:val="24"/>
        </w:rPr>
        <w:t>经营范围：各种变压器的生产制造、销售；变压器产品生产所需的原辅助材料、电磁线、硅钢片、机械设备、仪器仪表、备品、备件、零配件、高低压开关柜、箱式变电站、电线电缆及相关技术，变压器修理，电子电器产品；货物进出口、技术进出口业务；电力工程施工总承包；电力设施承装（修、试）业务。</w:t>
      </w:r>
    </w:p>
    <w:p w14:paraId="485F8225">
      <w:pPr>
        <w:adjustRightInd w:val="0"/>
        <w:snapToGrid w:val="0"/>
        <w:spacing w:line="560" w:lineRule="exact"/>
        <w:ind w:firstLine="480" w:firstLineChars="200"/>
        <w:rPr>
          <w:rFonts w:hint="eastAsia" w:ascii="仿宋" w:hAnsi="仿宋" w:eastAsia="仿宋" w:cstheme="minorBidi"/>
          <w:sz w:val="24"/>
          <w:szCs w:val="24"/>
        </w:rPr>
      </w:pPr>
      <w:r>
        <w:rPr>
          <w:rFonts w:hint="eastAsia" w:ascii="仿宋" w:hAnsi="仿宋" w:eastAsia="仿宋" w:cstheme="minorBidi"/>
          <w:sz w:val="24"/>
          <w:szCs w:val="24"/>
        </w:rPr>
        <w:t>主要股东情况：重庆望变电气（集团）股份有限公司（100%）</w:t>
      </w:r>
    </w:p>
    <w:p w14:paraId="78064A13">
      <w:pPr>
        <w:adjustRightInd w:val="0"/>
        <w:snapToGrid w:val="0"/>
        <w:spacing w:line="560" w:lineRule="exact"/>
        <w:ind w:firstLine="480" w:firstLineChars="200"/>
        <w:rPr>
          <w:rFonts w:hint="eastAsia" w:ascii="仿宋" w:hAnsi="仿宋" w:eastAsia="仿宋" w:cstheme="minorBidi"/>
          <w:sz w:val="24"/>
          <w:szCs w:val="24"/>
        </w:rPr>
      </w:pPr>
      <w:r>
        <w:rPr>
          <w:rFonts w:hint="eastAsia" w:ascii="仿宋" w:hAnsi="仿宋" w:eastAsia="仿宋" w:cstheme="minorBidi"/>
          <w:sz w:val="24"/>
          <w:szCs w:val="24"/>
        </w:rPr>
        <w:t>关联关系：云变电气系公司全资子公司。</w:t>
      </w:r>
    </w:p>
    <w:p w14:paraId="2F1C725C">
      <w:pPr>
        <w:adjustRightInd w:val="0"/>
        <w:snapToGrid w:val="0"/>
        <w:spacing w:line="560" w:lineRule="exact"/>
        <w:ind w:firstLine="480" w:firstLineChars="200"/>
        <w:rPr>
          <w:rFonts w:hint="eastAsia" w:ascii="仿宋" w:hAnsi="仿宋" w:eastAsia="仿宋" w:cstheme="minorBidi"/>
          <w:sz w:val="24"/>
          <w:szCs w:val="24"/>
        </w:rPr>
      </w:pPr>
      <w:r>
        <w:rPr>
          <w:rFonts w:hint="eastAsia" w:ascii="仿宋" w:hAnsi="仿宋" w:eastAsia="仿宋" w:cstheme="minorBidi"/>
          <w:sz w:val="24"/>
          <w:szCs w:val="24"/>
        </w:rPr>
        <w:t>最近一年及一期的财务数据：</w:t>
      </w:r>
    </w:p>
    <w:p w14:paraId="2B46FBC0">
      <w:pPr>
        <w:jc w:val="right"/>
        <w:rPr>
          <w:rFonts w:hint="eastAsia" w:ascii="仿宋" w:hAnsi="仿宋" w:eastAsia="仿宋"/>
          <w:color w:val="000000"/>
          <w:szCs w:val="21"/>
        </w:rPr>
      </w:pPr>
      <w:r>
        <w:rPr>
          <w:rFonts w:hint="eastAsia" w:ascii="仿宋" w:hAnsi="仿宋" w:eastAsia="仿宋"/>
          <w:color w:val="000000"/>
          <w:szCs w:val="21"/>
        </w:rPr>
        <w:t>单位：万元  币种：人民币</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3"/>
        <w:gridCol w:w="3417"/>
        <w:gridCol w:w="2922"/>
      </w:tblGrid>
      <w:tr w14:paraId="6AA9F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281" w:type="pct"/>
            <w:vAlign w:val="center"/>
          </w:tcPr>
          <w:p w14:paraId="70ADFBFD">
            <w:pPr>
              <w:spacing w:line="400" w:lineRule="exact"/>
              <w:jc w:val="center"/>
              <w:rPr>
                <w:rFonts w:hint="eastAsia" w:ascii="宋体" w:hAnsi="宋体" w:cs="宋体"/>
                <w:b/>
                <w:bCs/>
                <w:color w:val="000000"/>
                <w:sz w:val="18"/>
                <w:szCs w:val="18"/>
              </w:rPr>
            </w:pPr>
            <w:r>
              <w:rPr>
                <w:rFonts w:hint="eastAsia" w:ascii="宋体" w:hAnsi="宋体" w:cs="宋体"/>
                <w:b/>
                <w:bCs/>
                <w:sz w:val="18"/>
                <w:szCs w:val="18"/>
              </w:rPr>
              <w:t>财务指标</w:t>
            </w:r>
          </w:p>
        </w:tc>
        <w:tc>
          <w:tcPr>
            <w:tcW w:w="2005" w:type="pct"/>
            <w:vAlign w:val="center"/>
          </w:tcPr>
          <w:p w14:paraId="4359F6AE">
            <w:pPr>
              <w:spacing w:line="400" w:lineRule="exact"/>
              <w:jc w:val="center"/>
              <w:rPr>
                <w:rFonts w:hint="eastAsia" w:ascii="宋体" w:hAnsi="宋体" w:cs="宋体"/>
                <w:b/>
                <w:bCs/>
                <w:color w:val="000000"/>
                <w:sz w:val="18"/>
                <w:szCs w:val="18"/>
              </w:rPr>
            </w:pPr>
            <w:r>
              <w:rPr>
                <w:rFonts w:hint="eastAsia" w:ascii="宋体" w:hAnsi="宋体" w:cs="宋体"/>
                <w:b/>
                <w:bCs/>
                <w:sz w:val="18"/>
                <w:szCs w:val="18"/>
              </w:rPr>
              <w:t>2025年9月30日（未经审计）</w:t>
            </w:r>
          </w:p>
        </w:tc>
        <w:tc>
          <w:tcPr>
            <w:tcW w:w="1714" w:type="pct"/>
            <w:vAlign w:val="center"/>
          </w:tcPr>
          <w:p w14:paraId="4FE65678">
            <w:pPr>
              <w:spacing w:line="400" w:lineRule="exact"/>
              <w:jc w:val="center"/>
              <w:rPr>
                <w:rFonts w:hint="eastAsia" w:ascii="宋体" w:hAnsi="宋体" w:cs="宋体"/>
                <w:b/>
                <w:bCs/>
                <w:color w:val="000000"/>
                <w:sz w:val="18"/>
                <w:szCs w:val="18"/>
              </w:rPr>
            </w:pPr>
            <w:r>
              <w:rPr>
                <w:rFonts w:hint="eastAsia" w:ascii="宋体" w:hAnsi="宋体" w:cs="宋体"/>
                <w:b/>
                <w:bCs/>
                <w:sz w:val="18"/>
                <w:szCs w:val="18"/>
              </w:rPr>
              <w:t>2024年12月31日(经审计)</w:t>
            </w:r>
          </w:p>
        </w:tc>
      </w:tr>
      <w:tr w14:paraId="66A7E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281" w:type="pct"/>
            <w:vAlign w:val="center"/>
          </w:tcPr>
          <w:p w14:paraId="6C3430CB">
            <w:pPr>
              <w:spacing w:line="400" w:lineRule="exact"/>
              <w:jc w:val="left"/>
              <w:rPr>
                <w:rFonts w:hint="eastAsia" w:ascii="宋体" w:hAnsi="宋体" w:cs="宋体"/>
                <w:color w:val="000000"/>
                <w:sz w:val="18"/>
                <w:szCs w:val="18"/>
              </w:rPr>
            </w:pPr>
            <w:r>
              <w:rPr>
                <w:rFonts w:hint="eastAsia" w:ascii="宋体" w:hAnsi="宋体" w:cs="宋体"/>
                <w:color w:val="000000"/>
                <w:sz w:val="18"/>
                <w:szCs w:val="18"/>
              </w:rPr>
              <w:t>资产总额</w:t>
            </w:r>
          </w:p>
        </w:tc>
        <w:tc>
          <w:tcPr>
            <w:tcW w:w="2005" w:type="pct"/>
          </w:tcPr>
          <w:p w14:paraId="45C72957">
            <w:pPr>
              <w:spacing w:line="400" w:lineRule="exact"/>
              <w:jc w:val="right"/>
              <w:rPr>
                <w:rFonts w:hint="eastAsia" w:ascii="宋体" w:hAnsi="宋体" w:cs="宋体"/>
                <w:color w:val="000000"/>
                <w:sz w:val="18"/>
                <w:szCs w:val="18"/>
              </w:rPr>
            </w:pPr>
            <w:r>
              <w:rPr>
                <w:rFonts w:hint="eastAsia" w:ascii="宋体" w:hAnsi="宋体" w:cs="宋体"/>
                <w:color w:val="000000"/>
                <w:sz w:val="18"/>
                <w:szCs w:val="18"/>
              </w:rPr>
              <w:t>203,825.30</w:t>
            </w:r>
          </w:p>
        </w:tc>
        <w:tc>
          <w:tcPr>
            <w:tcW w:w="1714" w:type="pct"/>
          </w:tcPr>
          <w:p w14:paraId="74A8E40F">
            <w:pPr>
              <w:spacing w:line="400" w:lineRule="exact"/>
              <w:jc w:val="right"/>
              <w:rPr>
                <w:rFonts w:hint="eastAsia" w:ascii="宋体" w:hAnsi="宋体" w:cs="宋体"/>
                <w:color w:val="000000"/>
                <w:sz w:val="18"/>
                <w:szCs w:val="18"/>
              </w:rPr>
            </w:pPr>
            <w:r>
              <w:rPr>
                <w:rFonts w:hint="eastAsia" w:ascii="宋体" w:hAnsi="宋体" w:cs="宋体"/>
                <w:color w:val="000000"/>
                <w:sz w:val="18"/>
                <w:szCs w:val="18"/>
              </w:rPr>
              <w:t>175,671.19</w:t>
            </w:r>
          </w:p>
        </w:tc>
      </w:tr>
      <w:tr w14:paraId="3F04C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281" w:type="pct"/>
            <w:vAlign w:val="center"/>
          </w:tcPr>
          <w:p w14:paraId="68D44EF1">
            <w:pPr>
              <w:spacing w:line="400" w:lineRule="exact"/>
              <w:jc w:val="left"/>
              <w:rPr>
                <w:rFonts w:hint="eastAsia" w:ascii="宋体" w:hAnsi="宋体" w:cs="宋体"/>
                <w:color w:val="000000"/>
                <w:sz w:val="18"/>
                <w:szCs w:val="18"/>
              </w:rPr>
            </w:pPr>
            <w:r>
              <w:rPr>
                <w:rFonts w:hint="eastAsia" w:ascii="宋体" w:hAnsi="宋体" w:cs="宋体"/>
                <w:color w:val="000000"/>
                <w:sz w:val="18"/>
                <w:szCs w:val="18"/>
              </w:rPr>
              <w:t>负债总额</w:t>
            </w:r>
          </w:p>
        </w:tc>
        <w:tc>
          <w:tcPr>
            <w:tcW w:w="2005" w:type="pct"/>
          </w:tcPr>
          <w:p w14:paraId="6B9D9AC0">
            <w:pPr>
              <w:spacing w:line="400" w:lineRule="exact"/>
              <w:jc w:val="right"/>
              <w:rPr>
                <w:rFonts w:hint="eastAsia" w:ascii="宋体" w:hAnsi="宋体" w:cs="宋体"/>
                <w:color w:val="000000"/>
                <w:sz w:val="18"/>
                <w:szCs w:val="18"/>
              </w:rPr>
            </w:pPr>
            <w:r>
              <w:rPr>
                <w:rFonts w:hint="eastAsia" w:ascii="宋体" w:hAnsi="宋体" w:cs="宋体"/>
                <w:color w:val="000000"/>
                <w:sz w:val="18"/>
                <w:szCs w:val="18"/>
              </w:rPr>
              <w:t>138,571.00</w:t>
            </w:r>
          </w:p>
        </w:tc>
        <w:tc>
          <w:tcPr>
            <w:tcW w:w="1714" w:type="pct"/>
          </w:tcPr>
          <w:p w14:paraId="595A854E">
            <w:pPr>
              <w:spacing w:line="400" w:lineRule="exact"/>
              <w:jc w:val="right"/>
              <w:rPr>
                <w:rFonts w:hint="eastAsia" w:ascii="宋体" w:hAnsi="宋体" w:cs="宋体"/>
                <w:color w:val="000000"/>
                <w:sz w:val="18"/>
                <w:szCs w:val="18"/>
              </w:rPr>
            </w:pPr>
            <w:r>
              <w:rPr>
                <w:rFonts w:hint="eastAsia" w:ascii="宋体" w:hAnsi="宋体" w:cs="宋体"/>
                <w:color w:val="000000"/>
                <w:sz w:val="18"/>
                <w:szCs w:val="18"/>
              </w:rPr>
              <w:t>113,687.77</w:t>
            </w:r>
          </w:p>
        </w:tc>
      </w:tr>
      <w:tr w14:paraId="3972A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281" w:type="pct"/>
            <w:vAlign w:val="center"/>
          </w:tcPr>
          <w:p w14:paraId="49BC4780">
            <w:pPr>
              <w:spacing w:line="400" w:lineRule="exact"/>
              <w:jc w:val="left"/>
              <w:rPr>
                <w:rFonts w:hint="eastAsia" w:ascii="宋体" w:hAnsi="宋体" w:cs="宋体"/>
                <w:color w:val="000000"/>
                <w:sz w:val="18"/>
                <w:szCs w:val="18"/>
              </w:rPr>
            </w:pPr>
            <w:r>
              <w:rPr>
                <w:rFonts w:hint="eastAsia" w:ascii="宋体" w:hAnsi="宋体" w:cs="宋体"/>
                <w:color w:val="000000"/>
                <w:sz w:val="18"/>
                <w:szCs w:val="18"/>
              </w:rPr>
              <w:t>净资产</w:t>
            </w:r>
          </w:p>
        </w:tc>
        <w:tc>
          <w:tcPr>
            <w:tcW w:w="2005" w:type="pct"/>
          </w:tcPr>
          <w:p w14:paraId="1289C10A">
            <w:pPr>
              <w:spacing w:line="400" w:lineRule="exact"/>
              <w:jc w:val="right"/>
              <w:rPr>
                <w:rFonts w:hint="eastAsia" w:ascii="宋体" w:hAnsi="宋体" w:cs="宋体"/>
                <w:color w:val="000000"/>
                <w:sz w:val="18"/>
                <w:szCs w:val="18"/>
              </w:rPr>
            </w:pPr>
            <w:r>
              <w:rPr>
                <w:rFonts w:hint="eastAsia" w:ascii="宋体" w:hAnsi="宋体" w:cs="宋体"/>
                <w:color w:val="000000"/>
                <w:sz w:val="18"/>
                <w:szCs w:val="18"/>
              </w:rPr>
              <w:t>65,254.30</w:t>
            </w:r>
          </w:p>
        </w:tc>
        <w:tc>
          <w:tcPr>
            <w:tcW w:w="1714" w:type="pct"/>
          </w:tcPr>
          <w:p w14:paraId="6050DB18">
            <w:pPr>
              <w:spacing w:line="400" w:lineRule="exact"/>
              <w:jc w:val="right"/>
              <w:rPr>
                <w:rFonts w:hint="eastAsia" w:ascii="宋体" w:hAnsi="宋体" w:cs="宋体"/>
                <w:color w:val="000000"/>
                <w:sz w:val="18"/>
                <w:szCs w:val="18"/>
              </w:rPr>
            </w:pPr>
            <w:r>
              <w:rPr>
                <w:rFonts w:hint="eastAsia" w:ascii="宋体" w:hAnsi="宋体" w:cs="宋体"/>
                <w:color w:val="000000"/>
                <w:sz w:val="18"/>
                <w:szCs w:val="18"/>
              </w:rPr>
              <w:t>61,983.42</w:t>
            </w:r>
          </w:p>
        </w:tc>
      </w:tr>
      <w:tr w14:paraId="036E9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281" w:type="pct"/>
            <w:vAlign w:val="center"/>
          </w:tcPr>
          <w:p w14:paraId="33B50CF5">
            <w:pPr>
              <w:spacing w:line="400" w:lineRule="exact"/>
              <w:jc w:val="left"/>
              <w:rPr>
                <w:rFonts w:hint="eastAsia" w:ascii="宋体" w:hAnsi="宋体" w:cs="宋体"/>
                <w:b/>
                <w:bCs/>
                <w:color w:val="000000"/>
                <w:sz w:val="18"/>
                <w:szCs w:val="18"/>
              </w:rPr>
            </w:pPr>
          </w:p>
        </w:tc>
        <w:tc>
          <w:tcPr>
            <w:tcW w:w="2005" w:type="pct"/>
            <w:vAlign w:val="center"/>
          </w:tcPr>
          <w:p w14:paraId="099AE606">
            <w:pPr>
              <w:spacing w:line="400" w:lineRule="exact"/>
              <w:jc w:val="center"/>
              <w:rPr>
                <w:rFonts w:hint="eastAsia" w:ascii="宋体" w:hAnsi="宋体" w:cs="宋体"/>
                <w:b/>
                <w:bCs/>
                <w:color w:val="000000"/>
                <w:sz w:val="18"/>
                <w:szCs w:val="18"/>
              </w:rPr>
            </w:pPr>
            <w:r>
              <w:rPr>
                <w:rFonts w:hint="eastAsia" w:ascii="宋体" w:hAnsi="宋体" w:cs="宋体"/>
                <w:b/>
                <w:bCs/>
                <w:color w:val="000000"/>
                <w:sz w:val="18"/>
                <w:szCs w:val="18"/>
              </w:rPr>
              <w:t>2025年1-9月（未经审计）</w:t>
            </w:r>
          </w:p>
        </w:tc>
        <w:tc>
          <w:tcPr>
            <w:tcW w:w="1714" w:type="pct"/>
            <w:vAlign w:val="center"/>
          </w:tcPr>
          <w:p w14:paraId="5B064D77">
            <w:pPr>
              <w:spacing w:line="400" w:lineRule="exact"/>
              <w:jc w:val="center"/>
              <w:rPr>
                <w:rFonts w:hint="eastAsia" w:ascii="宋体" w:hAnsi="宋体" w:cs="宋体"/>
                <w:b/>
                <w:bCs/>
                <w:color w:val="000000"/>
                <w:sz w:val="18"/>
                <w:szCs w:val="18"/>
              </w:rPr>
            </w:pPr>
            <w:r>
              <w:rPr>
                <w:rFonts w:hint="eastAsia" w:ascii="宋体" w:hAnsi="宋体" w:cs="宋体"/>
                <w:b/>
                <w:bCs/>
                <w:color w:val="000000"/>
                <w:sz w:val="18"/>
                <w:szCs w:val="18"/>
              </w:rPr>
              <w:t>2024年4-12月（经审计）</w:t>
            </w:r>
          </w:p>
        </w:tc>
      </w:tr>
      <w:tr w14:paraId="67C24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281" w:type="pct"/>
            <w:vAlign w:val="center"/>
          </w:tcPr>
          <w:p w14:paraId="7AE549A7">
            <w:pPr>
              <w:spacing w:line="400" w:lineRule="exact"/>
              <w:jc w:val="left"/>
              <w:rPr>
                <w:rFonts w:hint="eastAsia" w:ascii="宋体" w:hAnsi="宋体" w:cs="宋体"/>
                <w:color w:val="000000"/>
                <w:sz w:val="18"/>
                <w:szCs w:val="18"/>
              </w:rPr>
            </w:pPr>
            <w:r>
              <w:rPr>
                <w:rFonts w:hint="eastAsia" w:ascii="宋体" w:hAnsi="宋体" w:cs="宋体"/>
                <w:color w:val="000000"/>
                <w:sz w:val="18"/>
                <w:szCs w:val="18"/>
              </w:rPr>
              <w:t>营业收入</w:t>
            </w:r>
          </w:p>
        </w:tc>
        <w:tc>
          <w:tcPr>
            <w:tcW w:w="2005" w:type="pct"/>
          </w:tcPr>
          <w:p w14:paraId="120A1423">
            <w:pPr>
              <w:spacing w:line="400" w:lineRule="exact"/>
              <w:jc w:val="right"/>
              <w:rPr>
                <w:rFonts w:hint="eastAsia" w:ascii="宋体" w:hAnsi="宋体" w:cs="宋体"/>
                <w:color w:val="000000"/>
                <w:sz w:val="18"/>
                <w:szCs w:val="18"/>
              </w:rPr>
            </w:pPr>
            <w:r>
              <w:rPr>
                <w:rFonts w:hint="eastAsia" w:ascii="宋体" w:hAnsi="宋体" w:cs="宋体"/>
                <w:color w:val="000000"/>
                <w:sz w:val="18"/>
                <w:szCs w:val="18"/>
              </w:rPr>
              <w:t>89,093.03</w:t>
            </w:r>
          </w:p>
        </w:tc>
        <w:tc>
          <w:tcPr>
            <w:tcW w:w="1714" w:type="pct"/>
          </w:tcPr>
          <w:p w14:paraId="24C3F56B">
            <w:pPr>
              <w:spacing w:line="400" w:lineRule="exact"/>
              <w:jc w:val="right"/>
              <w:rPr>
                <w:rFonts w:hint="eastAsia" w:ascii="宋体" w:hAnsi="宋体" w:cs="宋体"/>
                <w:color w:val="000000"/>
                <w:sz w:val="18"/>
                <w:szCs w:val="18"/>
              </w:rPr>
            </w:pPr>
            <w:r>
              <w:rPr>
                <w:rFonts w:hint="eastAsia" w:ascii="宋体" w:hAnsi="宋体" w:cs="宋体"/>
                <w:color w:val="000000"/>
                <w:sz w:val="18"/>
                <w:szCs w:val="18"/>
              </w:rPr>
              <w:t xml:space="preserve"> 82,015.42 </w:t>
            </w:r>
          </w:p>
        </w:tc>
      </w:tr>
      <w:tr w14:paraId="4CA34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281" w:type="pct"/>
            <w:vAlign w:val="center"/>
          </w:tcPr>
          <w:p w14:paraId="5E6B4242">
            <w:pPr>
              <w:spacing w:line="400" w:lineRule="exact"/>
              <w:jc w:val="left"/>
              <w:rPr>
                <w:rFonts w:hint="eastAsia" w:ascii="宋体" w:hAnsi="宋体" w:cs="宋体"/>
                <w:color w:val="000000"/>
                <w:sz w:val="18"/>
                <w:szCs w:val="18"/>
              </w:rPr>
            </w:pPr>
            <w:r>
              <w:rPr>
                <w:rFonts w:hint="eastAsia" w:ascii="宋体" w:hAnsi="宋体" w:cs="宋体"/>
                <w:color w:val="000000"/>
                <w:sz w:val="18"/>
                <w:szCs w:val="18"/>
              </w:rPr>
              <w:t>净利润</w:t>
            </w:r>
          </w:p>
        </w:tc>
        <w:tc>
          <w:tcPr>
            <w:tcW w:w="2005" w:type="pct"/>
          </w:tcPr>
          <w:p w14:paraId="36591F43">
            <w:pPr>
              <w:spacing w:line="400" w:lineRule="exact"/>
              <w:jc w:val="right"/>
              <w:rPr>
                <w:rFonts w:hint="eastAsia" w:ascii="宋体" w:hAnsi="宋体" w:cs="宋体"/>
                <w:color w:val="000000"/>
                <w:sz w:val="18"/>
                <w:szCs w:val="18"/>
              </w:rPr>
            </w:pPr>
            <w:r>
              <w:rPr>
                <w:rFonts w:hint="eastAsia" w:ascii="宋体" w:hAnsi="宋体" w:cs="宋体"/>
                <w:color w:val="000000"/>
                <w:sz w:val="18"/>
                <w:szCs w:val="18"/>
              </w:rPr>
              <w:t xml:space="preserve"> 3,718.50 </w:t>
            </w:r>
          </w:p>
        </w:tc>
        <w:tc>
          <w:tcPr>
            <w:tcW w:w="1714" w:type="pct"/>
          </w:tcPr>
          <w:p w14:paraId="07817AB2">
            <w:pPr>
              <w:spacing w:line="400" w:lineRule="exact"/>
              <w:jc w:val="right"/>
              <w:rPr>
                <w:rFonts w:hint="eastAsia" w:ascii="宋体" w:hAnsi="宋体" w:cs="宋体"/>
                <w:color w:val="000000"/>
                <w:sz w:val="18"/>
                <w:szCs w:val="18"/>
              </w:rPr>
            </w:pPr>
            <w:r>
              <w:rPr>
                <w:rFonts w:hint="eastAsia" w:ascii="宋体" w:hAnsi="宋体" w:cs="宋体"/>
                <w:color w:val="000000"/>
                <w:sz w:val="18"/>
                <w:szCs w:val="18"/>
              </w:rPr>
              <w:t xml:space="preserve"> 6,493.51 </w:t>
            </w:r>
          </w:p>
        </w:tc>
      </w:tr>
    </w:tbl>
    <w:p w14:paraId="610D6AC7">
      <w:pPr>
        <w:adjustRightInd w:val="0"/>
        <w:snapToGrid w:val="0"/>
        <w:spacing w:line="560" w:lineRule="exact"/>
        <w:ind w:firstLine="480" w:firstLineChars="200"/>
        <w:outlineLvl w:val="1"/>
        <w:rPr>
          <w:rFonts w:hint="eastAsia" w:ascii="仿宋" w:hAnsi="仿宋" w:eastAsia="仿宋" w:cstheme="minorBidi"/>
          <w:sz w:val="24"/>
          <w:szCs w:val="24"/>
        </w:rPr>
      </w:pPr>
      <w:r>
        <w:rPr>
          <w:rFonts w:hint="eastAsia" w:ascii="仿宋" w:hAnsi="仿宋" w:eastAsia="仿宋" w:cstheme="minorBidi"/>
          <w:sz w:val="24"/>
          <w:szCs w:val="24"/>
        </w:rPr>
        <w:t>（二）望来充</w:t>
      </w:r>
    </w:p>
    <w:p w14:paraId="611053DA">
      <w:pPr>
        <w:adjustRightInd w:val="0"/>
        <w:snapToGrid w:val="0"/>
        <w:spacing w:line="560" w:lineRule="exact"/>
        <w:ind w:firstLine="480" w:firstLineChars="200"/>
        <w:rPr>
          <w:rFonts w:hint="eastAsia" w:ascii="仿宋" w:hAnsi="仿宋" w:eastAsia="仿宋" w:cstheme="minorBidi"/>
          <w:sz w:val="24"/>
          <w:szCs w:val="24"/>
        </w:rPr>
      </w:pPr>
      <w:r>
        <w:rPr>
          <w:rFonts w:hint="eastAsia" w:ascii="仿宋" w:hAnsi="仿宋" w:eastAsia="仿宋" w:cstheme="minorBidi"/>
          <w:sz w:val="24"/>
          <w:szCs w:val="24"/>
        </w:rPr>
        <w:t>公司名称：</w:t>
      </w:r>
      <w:bookmarkStart w:id="3" w:name="OLE_LINK11"/>
      <w:r>
        <w:rPr>
          <w:rFonts w:hint="eastAsia" w:ascii="仿宋" w:hAnsi="仿宋" w:eastAsia="仿宋" w:cstheme="minorBidi"/>
          <w:sz w:val="24"/>
          <w:szCs w:val="24"/>
        </w:rPr>
        <w:t>望来充（重庆）科技有限责任公司</w:t>
      </w:r>
      <w:bookmarkEnd w:id="3"/>
      <w:r>
        <w:rPr>
          <w:rFonts w:hint="eastAsia" w:ascii="仿宋" w:hAnsi="仿宋" w:eastAsia="仿宋" w:cstheme="minorBidi"/>
          <w:sz w:val="24"/>
          <w:szCs w:val="24"/>
        </w:rPr>
        <w:t xml:space="preserve"> </w:t>
      </w:r>
    </w:p>
    <w:p w14:paraId="70C64287">
      <w:pPr>
        <w:adjustRightInd w:val="0"/>
        <w:snapToGrid w:val="0"/>
        <w:spacing w:line="560" w:lineRule="exact"/>
        <w:ind w:firstLine="480" w:firstLineChars="200"/>
        <w:rPr>
          <w:rFonts w:hint="eastAsia" w:ascii="仿宋" w:hAnsi="仿宋" w:eastAsia="仿宋" w:cstheme="minorBidi"/>
          <w:sz w:val="24"/>
          <w:szCs w:val="24"/>
        </w:rPr>
      </w:pPr>
      <w:r>
        <w:rPr>
          <w:rFonts w:hint="eastAsia" w:ascii="仿宋" w:hAnsi="仿宋" w:eastAsia="仿宋" w:cstheme="minorBidi"/>
          <w:sz w:val="24"/>
          <w:szCs w:val="24"/>
        </w:rPr>
        <w:t>统一社会信用代码：91500103MAEQ9Y6M66</w:t>
      </w:r>
    </w:p>
    <w:p w14:paraId="72DA6372">
      <w:pPr>
        <w:adjustRightInd w:val="0"/>
        <w:snapToGrid w:val="0"/>
        <w:spacing w:line="560" w:lineRule="exact"/>
        <w:ind w:firstLine="480" w:firstLineChars="200"/>
        <w:rPr>
          <w:rFonts w:hint="eastAsia" w:ascii="仿宋" w:hAnsi="仿宋" w:eastAsia="仿宋" w:cstheme="minorBidi"/>
          <w:sz w:val="24"/>
          <w:szCs w:val="24"/>
        </w:rPr>
      </w:pPr>
      <w:r>
        <w:rPr>
          <w:rFonts w:hint="eastAsia" w:ascii="仿宋" w:hAnsi="仿宋" w:eastAsia="仿宋" w:cstheme="minorBidi"/>
          <w:sz w:val="24"/>
          <w:szCs w:val="24"/>
        </w:rPr>
        <w:t>成立时间：2025年07月21日</w:t>
      </w:r>
    </w:p>
    <w:p w14:paraId="60707ACC">
      <w:pPr>
        <w:adjustRightInd w:val="0"/>
        <w:snapToGrid w:val="0"/>
        <w:spacing w:line="560" w:lineRule="exact"/>
        <w:ind w:firstLine="480" w:firstLineChars="200"/>
        <w:rPr>
          <w:rFonts w:hint="eastAsia" w:ascii="仿宋" w:hAnsi="仿宋" w:eastAsia="仿宋" w:cstheme="minorBidi"/>
          <w:sz w:val="24"/>
          <w:szCs w:val="24"/>
        </w:rPr>
      </w:pPr>
      <w:r>
        <w:rPr>
          <w:rFonts w:hint="eastAsia" w:ascii="仿宋" w:hAnsi="仿宋" w:eastAsia="仿宋" w:cstheme="minorBidi"/>
          <w:sz w:val="24"/>
          <w:szCs w:val="24"/>
        </w:rPr>
        <w:t xml:space="preserve">注册地点：重庆市渝中区石油路街道经纬大道789号10-6#（自编号14号） </w:t>
      </w:r>
    </w:p>
    <w:p w14:paraId="3C32DFBF">
      <w:pPr>
        <w:adjustRightInd w:val="0"/>
        <w:snapToGrid w:val="0"/>
        <w:spacing w:line="560" w:lineRule="exact"/>
        <w:ind w:firstLine="480" w:firstLineChars="200"/>
        <w:rPr>
          <w:rFonts w:hint="eastAsia" w:ascii="仿宋" w:hAnsi="仿宋" w:eastAsia="仿宋" w:cstheme="minorBidi"/>
          <w:sz w:val="24"/>
          <w:szCs w:val="24"/>
        </w:rPr>
      </w:pPr>
      <w:r>
        <w:rPr>
          <w:rFonts w:hint="eastAsia" w:ascii="仿宋" w:hAnsi="仿宋" w:eastAsia="仿宋" w:cstheme="minorBidi"/>
          <w:sz w:val="24"/>
          <w:szCs w:val="24"/>
        </w:rPr>
        <w:t>法定代表人：杨耀</w:t>
      </w:r>
    </w:p>
    <w:p w14:paraId="1707DF1E">
      <w:pPr>
        <w:adjustRightInd w:val="0"/>
        <w:snapToGrid w:val="0"/>
        <w:spacing w:line="560" w:lineRule="exact"/>
        <w:ind w:firstLine="480" w:firstLineChars="200"/>
        <w:rPr>
          <w:rFonts w:hint="eastAsia" w:ascii="仿宋" w:hAnsi="仿宋" w:eastAsia="仿宋" w:cstheme="minorBidi"/>
          <w:sz w:val="24"/>
          <w:szCs w:val="24"/>
        </w:rPr>
      </w:pPr>
      <w:r>
        <w:rPr>
          <w:rFonts w:hint="eastAsia" w:ascii="仿宋" w:hAnsi="仿宋" w:eastAsia="仿宋" w:cstheme="minorBidi"/>
          <w:sz w:val="24"/>
          <w:szCs w:val="24"/>
        </w:rPr>
        <w:t>注册资本：5000万人民币</w:t>
      </w:r>
    </w:p>
    <w:p w14:paraId="50B942FE">
      <w:pPr>
        <w:adjustRightInd w:val="0"/>
        <w:snapToGrid w:val="0"/>
        <w:spacing w:line="560" w:lineRule="exact"/>
        <w:ind w:firstLine="480" w:firstLineChars="200"/>
        <w:rPr>
          <w:rFonts w:hint="eastAsia" w:ascii="仿宋" w:hAnsi="仿宋" w:eastAsia="仿宋" w:cstheme="minorBidi"/>
          <w:sz w:val="24"/>
          <w:szCs w:val="24"/>
        </w:rPr>
      </w:pPr>
      <w:r>
        <w:rPr>
          <w:rFonts w:hint="eastAsia" w:ascii="仿宋" w:hAnsi="仿宋" w:eastAsia="仿宋" w:cstheme="minorBidi"/>
          <w:sz w:val="24"/>
          <w:szCs w:val="24"/>
        </w:rPr>
        <w:t>经营范围：许可项目：道路货物运输（不含危险货物）；道路危险货物运输；输电、供电、受电电力设施的安装、维修和试验；供电业务。（依法须经批准的项目，经相关部门批准后方可开展经营活动，具体经营项目以相关部门批准文件或许可证件为准） ；一般项目：软件开发；技术服务、技术开发、技术咨询、技术交流、技术转让、技术推广；电动汽车充电基础设施运营；机动车充电销售；充电控制设备租赁；充电桩销售；集中式快速充电站；输配电及控制设备制造；智能输配电及控制设备销售；新能源汽车电附件销售；新能源汽车换电设施销售；配电开关控制设备销售；配电开关控制设备研发；光伏设备及元器件销售；数字技术服务；信息系统运行维护服务；信息技术咨询服务；软件销售；基于云平台的业务外包服务；电池销售；电线、电缆经营；电力行业高效节能技术研发；停车场服务；租赁服务（不含许可类租赁服务）；电力电子元器件销售；节能管理服务；太阳能发电技术服务；人工智能硬件销售；先进电力电子装置销售；互联网数据服务；大数据服务；人工智能应用软件开发；网络与信息安全软件开发；物联网技术研发；物联网应用服务；物联网设备销售；互联网销售（除销售需要许可的商品）；信息系统集成服务；运行效能评估服务。（除依法须经批准的项目外，凭营业执照依法自主开展经营活动）。</w:t>
      </w:r>
    </w:p>
    <w:p w14:paraId="32FC64B0">
      <w:pPr>
        <w:adjustRightInd w:val="0"/>
        <w:snapToGrid w:val="0"/>
        <w:spacing w:line="560" w:lineRule="exact"/>
        <w:ind w:firstLine="480" w:firstLineChars="200"/>
        <w:rPr>
          <w:rFonts w:hint="eastAsia" w:ascii="仿宋" w:hAnsi="仿宋" w:eastAsia="仿宋" w:cstheme="minorBidi"/>
          <w:sz w:val="24"/>
          <w:szCs w:val="24"/>
        </w:rPr>
      </w:pPr>
      <w:r>
        <w:rPr>
          <w:rFonts w:hint="eastAsia" w:ascii="仿宋" w:hAnsi="仿宋" w:eastAsia="仿宋" w:cstheme="minorBidi"/>
          <w:sz w:val="24"/>
          <w:szCs w:val="24"/>
        </w:rPr>
        <w:t>主要股东情况：重庆望变电气（集团）股份有限公司（100%）</w:t>
      </w:r>
    </w:p>
    <w:p w14:paraId="1907C010">
      <w:pPr>
        <w:adjustRightInd w:val="0"/>
        <w:snapToGrid w:val="0"/>
        <w:spacing w:line="560" w:lineRule="exact"/>
        <w:ind w:firstLine="480" w:firstLineChars="200"/>
        <w:rPr>
          <w:rFonts w:hint="eastAsia" w:ascii="仿宋" w:hAnsi="仿宋" w:eastAsia="仿宋" w:cstheme="minorBidi"/>
          <w:sz w:val="24"/>
          <w:szCs w:val="24"/>
        </w:rPr>
      </w:pPr>
      <w:r>
        <w:rPr>
          <w:rFonts w:hint="eastAsia" w:ascii="仿宋" w:hAnsi="仿宋" w:eastAsia="仿宋" w:cstheme="minorBidi"/>
          <w:sz w:val="24"/>
          <w:szCs w:val="24"/>
        </w:rPr>
        <w:t>关联关系：望来充系公司全资子公司。</w:t>
      </w:r>
    </w:p>
    <w:p w14:paraId="3DD52BD4">
      <w:pPr>
        <w:adjustRightInd w:val="0"/>
        <w:snapToGrid w:val="0"/>
        <w:spacing w:line="560" w:lineRule="exact"/>
        <w:ind w:firstLine="480" w:firstLineChars="200"/>
        <w:rPr>
          <w:rFonts w:hint="eastAsia" w:ascii="仿宋" w:hAnsi="仿宋" w:eastAsia="仿宋" w:cstheme="minorBidi"/>
          <w:sz w:val="24"/>
          <w:szCs w:val="24"/>
        </w:rPr>
      </w:pPr>
      <w:r>
        <w:rPr>
          <w:rFonts w:hint="eastAsia" w:ascii="仿宋" w:hAnsi="仿宋" w:eastAsia="仿宋" w:cstheme="minorBidi"/>
          <w:sz w:val="24"/>
          <w:szCs w:val="24"/>
        </w:rPr>
        <w:t>最近一期财务数据（含下属子公司）：</w:t>
      </w:r>
    </w:p>
    <w:p w14:paraId="04A19254">
      <w:pPr>
        <w:jc w:val="right"/>
        <w:rPr>
          <w:rFonts w:hint="eastAsia" w:ascii="仿宋" w:hAnsi="仿宋" w:eastAsia="仿宋"/>
          <w:color w:val="000000"/>
          <w:sz w:val="18"/>
          <w:szCs w:val="18"/>
        </w:rPr>
      </w:pPr>
      <w:r>
        <w:rPr>
          <w:rFonts w:hint="eastAsia" w:ascii="仿宋" w:hAnsi="仿宋" w:eastAsia="仿宋"/>
          <w:color w:val="000000"/>
          <w:szCs w:val="21"/>
        </w:rPr>
        <w:t>单位：万元  币种：人民币</w:t>
      </w:r>
    </w:p>
    <w:tbl>
      <w:tblPr>
        <w:tblStyle w:val="18"/>
        <w:tblW w:w="43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43"/>
        <w:gridCol w:w="3921"/>
      </w:tblGrid>
      <w:tr w14:paraId="7A848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jc w:val="center"/>
        </w:trPr>
        <w:tc>
          <w:tcPr>
            <w:tcW w:w="2373" w:type="pct"/>
            <w:vAlign w:val="center"/>
          </w:tcPr>
          <w:p w14:paraId="677BB5C2">
            <w:pPr>
              <w:spacing w:line="400" w:lineRule="exact"/>
              <w:jc w:val="center"/>
              <w:rPr>
                <w:rFonts w:hint="eastAsia" w:ascii="宋体" w:hAnsi="宋体" w:cs="宋体"/>
                <w:b/>
                <w:bCs/>
                <w:color w:val="000000"/>
                <w:sz w:val="18"/>
                <w:szCs w:val="18"/>
              </w:rPr>
            </w:pPr>
            <w:r>
              <w:rPr>
                <w:rFonts w:hint="eastAsia" w:ascii="宋体" w:hAnsi="宋体" w:cs="宋体"/>
                <w:b/>
                <w:bCs/>
                <w:sz w:val="18"/>
                <w:szCs w:val="18"/>
              </w:rPr>
              <w:t>财务指标</w:t>
            </w:r>
          </w:p>
        </w:tc>
        <w:tc>
          <w:tcPr>
            <w:tcW w:w="2626" w:type="pct"/>
            <w:vAlign w:val="center"/>
          </w:tcPr>
          <w:p w14:paraId="269172F4">
            <w:pPr>
              <w:spacing w:line="400" w:lineRule="exact"/>
              <w:jc w:val="center"/>
              <w:rPr>
                <w:rFonts w:hint="eastAsia" w:ascii="宋体" w:hAnsi="宋体" w:cs="宋体"/>
                <w:b/>
                <w:bCs/>
                <w:color w:val="000000"/>
                <w:sz w:val="18"/>
                <w:szCs w:val="18"/>
              </w:rPr>
            </w:pPr>
            <w:r>
              <w:rPr>
                <w:rFonts w:hint="eastAsia" w:ascii="宋体" w:hAnsi="宋体" w:cs="宋体"/>
                <w:b/>
                <w:bCs/>
                <w:sz w:val="18"/>
                <w:szCs w:val="18"/>
              </w:rPr>
              <w:t>2025年9月30日（未经审计）</w:t>
            </w:r>
          </w:p>
        </w:tc>
      </w:tr>
      <w:tr w14:paraId="10F38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jc w:val="center"/>
        </w:trPr>
        <w:tc>
          <w:tcPr>
            <w:tcW w:w="2373" w:type="pct"/>
            <w:vAlign w:val="center"/>
          </w:tcPr>
          <w:p w14:paraId="38ED5D26">
            <w:pPr>
              <w:spacing w:line="400" w:lineRule="exact"/>
              <w:jc w:val="left"/>
              <w:rPr>
                <w:rFonts w:hint="eastAsia" w:ascii="宋体" w:hAnsi="宋体" w:cs="宋体"/>
                <w:color w:val="000000"/>
                <w:sz w:val="18"/>
                <w:szCs w:val="18"/>
              </w:rPr>
            </w:pPr>
            <w:r>
              <w:rPr>
                <w:rFonts w:hint="eastAsia" w:ascii="宋体" w:hAnsi="宋体" w:cs="宋体"/>
                <w:color w:val="000000"/>
                <w:sz w:val="18"/>
                <w:szCs w:val="18"/>
              </w:rPr>
              <w:t>资产总额</w:t>
            </w:r>
          </w:p>
        </w:tc>
        <w:tc>
          <w:tcPr>
            <w:tcW w:w="2626" w:type="pct"/>
          </w:tcPr>
          <w:p w14:paraId="2C03CD38">
            <w:pPr>
              <w:spacing w:line="400" w:lineRule="exact"/>
              <w:jc w:val="right"/>
              <w:rPr>
                <w:rFonts w:hint="eastAsia" w:ascii="宋体" w:hAnsi="宋体" w:cs="宋体"/>
                <w:color w:val="000000"/>
                <w:sz w:val="18"/>
                <w:szCs w:val="18"/>
              </w:rPr>
            </w:pPr>
            <w:r>
              <w:rPr>
                <w:rFonts w:hint="eastAsia" w:ascii="宋体" w:hAnsi="宋体" w:cs="宋体"/>
                <w:color w:val="000000"/>
                <w:sz w:val="18"/>
                <w:szCs w:val="18"/>
              </w:rPr>
              <w:t>499.79</w:t>
            </w:r>
          </w:p>
        </w:tc>
      </w:tr>
      <w:tr w14:paraId="1DD9F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jc w:val="center"/>
        </w:trPr>
        <w:tc>
          <w:tcPr>
            <w:tcW w:w="2373" w:type="pct"/>
            <w:vAlign w:val="center"/>
          </w:tcPr>
          <w:p w14:paraId="75ECFB2D">
            <w:pPr>
              <w:spacing w:line="400" w:lineRule="exact"/>
              <w:jc w:val="left"/>
              <w:rPr>
                <w:rFonts w:hint="eastAsia" w:ascii="宋体" w:hAnsi="宋体" w:cs="宋体"/>
                <w:color w:val="000000"/>
                <w:sz w:val="18"/>
                <w:szCs w:val="18"/>
              </w:rPr>
            </w:pPr>
            <w:r>
              <w:rPr>
                <w:rFonts w:hint="eastAsia" w:ascii="宋体" w:hAnsi="宋体" w:cs="宋体"/>
                <w:color w:val="000000"/>
                <w:sz w:val="18"/>
                <w:szCs w:val="18"/>
              </w:rPr>
              <w:t>负债总额</w:t>
            </w:r>
          </w:p>
        </w:tc>
        <w:tc>
          <w:tcPr>
            <w:tcW w:w="2626" w:type="pct"/>
          </w:tcPr>
          <w:p w14:paraId="7FB10235">
            <w:pPr>
              <w:spacing w:line="400" w:lineRule="exact"/>
              <w:jc w:val="right"/>
              <w:rPr>
                <w:rFonts w:hint="eastAsia" w:ascii="宋体" w:hAnsi="宋体" w:cs="宋体"/>
                <w:color w:val="000000"/>
                <w:sz w:val="18"/>
                <w:szCs w:val="18"/>
              </w:rPr>
            </w:pPr>
            <w:r>
              <w:rPr>
                <w:rFonts w:hint="eastAsia" w:ascii="宋体" w:hAnsi="宋体" w:cs="宋体"/>
                <w:color w:val="000000"/>
                <w:sz w:val="18"/>
                <w:szCs w:val="18"/>
              </w:rPr>
              <w:t>0.87</w:t>
            </w:r>
          </w:p>
        </w:tc>
      </w:tr>
      <w:tr w14:paraId="7D376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jc w:val="center"/>
        </w:trPr>
        <w:tc>
          <w:tcPr>
            <w:tcW w:w="2373" w:type="pct"/>
            <w:vAlign w:val="center"/>
          </w:tcPr>
          <w:p w14:paraId="471D48AA">
            <w:pPr>
              <w:spacing w:line="400" w:lineRule="exact"/>
              <w:jc w:val="left"/>
              <w:rPr>
                <w:rFonts w:hint="eastAsia" w:ascii="宋体" w:hAnsi="宋体" w:cs="宋体"/>
                <w:color w:val="000000"/>
                <w:sz w:val="18"/>
                <w:szCs w:val="18"/>
              </w:rPr>
            </w:pPr>
            <w:r>
              <w:rPr>
                <w:rFonts w:hint="eastAsia" w:ascii="宋体" w:hAnsi="宋体" w:cs="宋体"/>
                <w:color w:val="000000"/>
                <w:sz w:val="18"/>
                <w:szCs w:val="18"/>
              </w:rPr>
              <w:t>净资产</w:t>
            </w:r>
          </w:p>
        </w:tc>
        <w:tc>
          <w:tcPr>
            <w:tcW w:w="2626" w:type="pct"/>
          </w:tcPr>
          <w:p w14:paraId="4964DBA2">
            <w:pPr>
              <w:spacing w:line="400" w:lineRule="exact"/>
              <w:jc w:val="right"/>
              <w:rPr>
                <w:rFonts w:hint="eastAsia" w:ascii="宋体" w:hAnsi="宋体" w:cs="宋体"/>
                <w:color w:val="000000"/>
                <w:sz w:val="18"/>
                <w:szCs w:val="18"/>
              </w:rPr>
            </w:pPr>
            <w:r>
              <w:rPr>
                <w:rFonts w:hint="eastAsia" w:ascii="宋体" w:hAnsi="宋体" w:cs="宋体"/>
                <w:color w:val="000000"/>
                <w:sz w:val="18"/>
                <w:szCs w:val="18"/>
              </w:rPr>
              <w:t>498.91</w:t>
            </w:r>
          </w:p>
        </w:tc>
      </w:tr>
      <w:tr w14:paraId="59591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jc w:val="center"/>
        </w:trPr>
        <w:tc>
          <w:tcPr>
            <w:tcW w:w="2373" w:type="pct"/>
            <w:vAlign w:val="center"/>
          </w:tcPr>
          <w:p w14:paraId="57604379">
            <w:pPr>
              <w:spacing w:line="400" w:lineRule="exact"/>
              <w:jc w:val="left"/>
              <w:rPr>
                <w:rFonts w:hint="eastAsia" w:ascii="宋体" w:hAnsi="宋体" w:cs="宋体"/>
                <w:b/>
                <w:bCs/>
                <w:color w:val="000000"/>
                <w:sz w:val="18"/>
                <w:szCs w:val="18"/>
              </w:rPr>
            </w:pPr>
          </w:p>
        </w:tc>
        <w:tc>
          <w:tcPr>
            <w:tcW w:w="2626" w:type="pct"/>
            <w:vAlign w:val="center"/>
          </w:tcPr>
          <w:p w14:paraId="4508EA0B">
            <w:pPr>
              <w:spacing w:line="400" w:lineRule="exact"/>
              <w:jc w:val="center"/>
              <w:rPr>
                <w:rFonts w:hint="eastAsia" w:ascii="宋体" w:hAnsi="宋体" w:cs="宋体"/>
                <w:b/>
                <w:bCs/>
                <w:color w:val="000000"/>
                <w:sz w:val="18"/>
                <w:szCs w:val="18"/>
              </w:rPr>
            </w:pPr>
            <w:r>
              <w:rPr>
                <w:rFonts w:hint="eastAsia" w:ascii="宋体" w:hAnsi="宋体" w:cs="宋体"/>
                <w:b/>
                <w:bCs/>
                <w:color w:val="000000"/>
                <w:sz w:val="18"/>
                <w:szCs w:val="18"/>
              </w:rPr>
              <w:t>2025年1-9月（未经审计）</w:t>
            </w:r>
          </w:p>
        </w:tc>
      </w:tr>
      <w:tr w14:paraId="07E3C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jc w:val="center"/>
        </w:trPr>
        <w:tc>
          <w:tcPr>
            <w:tcW w:w="2373" w:type="pct"/>
            <w:vAlign w:val="center"/>
          </w:tcPr>
          <w:p w14:paraId="674A8694">
            <w:pPr>
              <w:spacing w:line="400" w:lineRule="exact"/>
              <w:jc w:val="left"/>
              <w:rPr>
                <w:rFonts w:hint="eastAsia" w:ascii="宋体" w:hAnsi="宋体" w:cs="宋体"/>
                <w:color w:val="000000"/>
                <w:sz w:val="18"/>
                <w:szCs w:val="18"/>
              </w:rPr>
            </w:pPr>
            <w:r>
              <w:rPr>
                <w:rFonts w:hint="eastAsia" w:ascii="宋体" w:hAnsi="宋体" w:cs="宋体"/>
                <w:color w:val="000000"/>
                <w:sz w:val="18"/>
                <w:szCs w:val="18"/>
              </w:rPr>
              <w:t>营业收入</w:t>
            </w:r>
          </w:p>
        </w:tc>
        <w:tc>
          <w:tcPr>
            <w:tcW w:w="2626" w:type="pct"/>
          </w:tcPr>
          <w:p w14:paraId="30DE38F5">
            <w:pPr>
              <w:spacing w:line="400" w:lineRule="exact"/>
              <w:jc w:val="right"/>
              <w:rPr>
                <w:rFonts w:hint="eastAsia" w:ascii="宋体" w:hAnsi="宋体" w:cs="宋体"/>
                <w:color w:val="000000"/>
                <w:sz w:val="18"/>
                <w:szCs w:val="18"/>
              </w:rPr>
            </w:pPr>
            <w:r>
              <w:rPr>
                <w:rFonts w:hint="eastAsia" w:ascii="宋体" w:hAnsi="宋体" w:cs="宋体"/>
                <w:color w:val="000000"/>
                <w:sz w:val="18"/>
                <w:szCs w:val="18"/>
              </w:rPr>
              <w:t xml:space="preserve"> -   </w:t>
            </w:r>
          </w:p>
        </w:tc>
      </w:tr>
      <w:tr w14:paraId="5AD01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2373" w:type="pct"/>
            <w:vAlign w:val="center"/>
          </w:tcPr>
          <w:p w14:paraId="3515DDAC">
            <w:pPr>
              <w:spacing w:line="400" w:lineRule="exact"/>
              <w:jc w:val="left"/>
              <w:rPr>
                <w:rFonts w:hint="eastAsia" w:ascii="宋体" w:hAnsi="宋体" w:cs="宋体"/>
                <w:color w:val="000000"/>
                <w:sz w:val="18"/>
                <w:szCs w:val="18"/>
              </w:rPr>
            </w:pPr>
            <w:r>
              <w:rPr>
                <w:rFonts w:hint="eastAsia" w:ascii="宋体" w:hAnsi="宋体" w:cs="宋体"/>
                <w:color w:val="000000"/>
                <w:sz w:val="18"/>
                <w:szCs w:val="18"/>
              </w:rPr>
              <w:t>净利润</w:t>
            </w:r>
          </w:p>
        </w:tc>
        <w:tc>
          <w:tcPr>
            <w:tcW w:w="2626" w:type="pct"/>
          </w:tcPr>
          <w:p w14:paraId="7808960F">
            <w:pPr>
              <w:spacing w:line="400" w:lineRule="exact"/>
              <w:jc w:val="right"/>
              <w:rPr>
                <w:rFonts w:hint="eastAsia" w:ascii="宋体" w:hAnsi="宋体" w:cs="宋体"/>
                <w:color w:val="000000"/>
                <w:sz w:val="18"/>
                <w:szCs w:val="18"/>
              </w:rPr>
            </w:pPr>
            <w:r>
              <w:rPr>
                <w:rFonts w:hint="eastAsia" w:ascii="宋体" w:hAnsi="宋体" w:cs="宋体"/>
                <w:color w:val="000000"/>
                <w:sz w:val="18"/>
                <w:szCs w:val="18"/>
              </w:rPr>
              <w:t>-1.09</w:t>
            </w:r>
          </w:p>
        </w:tc>
      </w:tr>
    </w:tbl>
    <w:p w14:paraId="6BA999D7">
      <w:pPr>
        <w:adjustRightInd w:val="0"/>
        <w:snapToGrid w:val="0"/>
        <w:spacing w:line="560" w:lineRule="exact"/>
        <w:ind w:firstLine="480" w:firstLineChars="200"/>
        <w:outlineLvl w:val="1"/>
        <w:rPr>
          <w:rFonts w:hint="eastAsia" w:ascii="仿宋" w:hAnsi="仿宋" w:eastAsia="仿宋" w:cstheme="minorBidi"/>
          <w:sz w:val="24"/>
          <w:szCs w:val="24"/>
        </w:rPr>
      </w:pPr>
      <w:r>
        <w:rPr>
          <w:rFonts w:hint="eastAsia" w:ascii="仿宋" w:hAnsi="仿宋" w:eastAsia="仿宋" w:cstheme="minorBidi"/>
          <w:sz w:val="24"/>
          <w:szCs w:val="24"/>
        </w:rPr>
        <w:t>（三）惠泽电器</w:t>
      </w:r>
    </w:p>
    <w:p w14:paraId="50F7D327">
      <w:pPr>
        <w:adjustRightInd w:val="0"/>
        <w:snapToGrid w:val="0"/>
        <w:spacing w:line="560" w:lineRule="exact"/>
        <w:ind w:firstLine="480" w:firstLineChars="200"/>
        <w:rPr>
          <w:rFonts w:hint="eastAsia" w:ascii="仿宋" w:hAnsi="仿宋" w:eastAsia="仿宋" w:cstheme="minorBidi"/>
          <w:sz w:val="24"/>
          <w:szCs w:val="24"/>
        </w:rPr>
      </w:pPr>
      <w:r>
        <w:rPr>
          <w:rFonts w:hint="eastAsia" w:ascii="仿宋" w:hAnsi="仿宋" w:eastAsia="仿宋" w:cstheme="minorBidi"/>
          <w:sz w:val="24"/>
          <w:szCs w:val="24"/>
        </w:rPr>
        <w:t>公司名称：重庆惠泽电器有限公司</w:t>
      </w:r>
    </w:p>
    <w:p w14:paraId="7D2B30FF">
      <w:pPr>
        <w:adjustRightInd w:val="0"/>
        <w:snapToGrid w:val="0"/>
        <w:spacing w:line="560" w:lineRule="exact"/>
        <w:ind w:firstLine="480" w:firstLineChars="200"/>
        <w:rPr>
          <w:rFonts w:hint="eastAsia" w:ascii="仿宋" w:hAnsi="仿宋" w:eastAsia="仿宋" w:cstheme="minorBidi"/>
          <w:sz w:val="24"/>
          <w:szCs w:val="24"/>
        </w:rPr>
      </w:pPr>
      <w:r>
        <w:rPr>
          <w:rFonts w:hint="eastAsia" w:ascii="仿宋" w:hAnsi="仿宋" w:eastAsia="仿宋" w:cstheme="minorBidi"/>
          <w:sz w:val="24"/>
          <w:szCs w:val="24"/>
        </w:rPr>
        <w:t>统一社会信用代码：91500115745302994P</w:t>
      </w:r>
    </w:p>
    <w:p w14:paraId="5568A59F">
      <w:pPr>
        <w:adjustRightInd w:val="0"/>
        <w:snapToGrid w:val="0"/>
        <w:spacing w:line="560" w:lineRule="exact"/>
        <w:ind w:firstLine="480" w:firstLineChars="200"/>
        <w:rPr>
          <w:rFonts w:hint="eastAsia" w:ascii="仿宋" w:hAnsi="仿宋" w:eastAsia="仿宋" w:cstheme="minorBidi"/>
          <w:sz w:val="24"/>
          <w:szCs w:val="24"/>
        </w:rPr>
      </w:pPr>
      <w:r>
        <w:rPr>
          <w:rFonts w:hint="eastAsia" w:ascii="仿宋" w:hAnsi="仿宋" w:eastAsia="仿宋" w:cstheme="minorBidi"/>
          <w:sz w:val="24"/>
          <w:szCs w:val="24"/>
        </w:rPr>
        <w:t>成立时间：2002年11月15日</w:t>
      </w:r>
    </w:p>
    <w:p w14:paraId="5BCE53E3">
      <w:pPr>
        <w:adjustRightInd w:val="0"/>
        <w:snapToGrid w:val="0"/>
        <w:spacing w:line="560" w:lineRule="exact"/>
        <w:ind w:firstLine="480" w:firstLineChars="200"/>
        <w:rPr>
          <w:rFonts w:hint="eastAsia" w:ascii="仿宋" w:hAnsi="仿宋" w:eastAsia="仿宋" w:cstheme="minorBidi"/>
          <w:sz w:val="24"/>
          <w:szCs w:val="24"/>
        </w:rPr>
      </w:pPr>
      <w:r>
        <w:rPr>
          <w:rFonts w:hint="eastAsia" w:ascii="仿宋" w:hAnsi="仿宋" w:eastAsia="仿宋" w:cstheme="minorBidi"/>
          <w:sz w:val="24"/>
          <w:szCs w:val="24"/>
        </w:rPr>
        <w:t>注册地：重庆市长寿区凤城轻化路（彭家坪）</w:t>
      </w:r>
    </w:p>
    <w:p w14:paraId="780A28EC">
      <w:pPr>
        <w:adjustRightInd w:val="0"/>
        <w:snapToGrid w:val="0"/>
        <w:spacing w:line="560" w:lineRule="exact"/>
        <w:ind w:firstLine="480" w:firstLineChars="200"/>
        <w:rPr>
          <w:rFonts w:hint="eastAsia" w:ascii="仿宋" w:hAnsi="仿宋" w:eastAsia="仿宋" w:cstheme="minorBidi"/>
          <w:sz w:val="24"/>
          <w:szCs w:val="24"/>
        </w:rPr>
      </w:pPr>
      <w:r>
        <w:rPr>
          <w:rFonts w:hint="eastAsia" w:ascii="仿宋" w:hAnsi="仿宋" w:eastAsia="仿宋" w:cstheme="minorBidi"/>
          <w:sz w:val="24"/>
          <w:szCs w:val="24"/>
        </w:rPr>
        <w:t>主要办公地点：重庆市长寿区凤城轻化路（彭家坪）</w:t>
      </w:r>
    </w:p>
    <w:p w14:paraId="436D6E0A">
      <w:pPr>
        <w:adjustRightInd w:val="0"/>
        <w:snapToGrid w:val="0"/>
        <w:spacing w:line="560" w:lineRule="exact"/>
        <w:ind w:firstLine="480" w:firstLineChars="200"/>
        <w:rPr>
          <w:rFonts w:hint="eastAsia" w:ascii="仿宋" w:hAnsi="仿宋" w:eastAsia="仿宋" w:cstheme="minorBidi"/>
          <w:sz w:val="24"/>
          <w:szCs w:val="24"/>
        </w:rPr>
      </w:pPr>
      <w:r>
        <w:rPr>
          <w:rFonts w:hint="eastAsia" w:ascii="仿宋" w:hAnsi="仿宋" w:eastAsia="仿宋" w:cstheme="minorBidi"/>
          <w:sz w:val="24"/>
          <w:szCs w:val="24"/>
        </w:rPr>
        <w:t>法定代表人：皮统政</w:t>
      </w:r>
    </w:p>
    <w:p w14:paraId="37141C3E">
      <w:pPr>
        <w:adjustRightInd w:val="0"/>
        <w:snapToGrid w:val="0"/>
        <w:spacing w:line="560" w:lineRule="exact"/>
        <w:ind w:firstLine="480" w:firstLineChars="200"/>
        <w:rPr>
          <w:rFonts w:hint="eastAsia" w:ascii="仿宋" w:hAnsi="仿宋" w:eastAsia="仿宋" w:cstheme="minorBidi"/>
          <w:sz w:val="24"/>
          <w:szCs w:val="24"/>
        </w:rPr>
      </w:pPr>
      <w:r>
        <w:rPr>
          <w:rFonts w:hint="eastAsia" w:ascii="仿宋" w:hAnsi="仿宋" w:eastAsia="仿宋" w:cstheme="minorBidi"/>
          <w:sz w:val="24"/>
          <w:szCs w:val="24"/>
        </w:rPr>
        <w:t>注册资本：4000万人民币</w:t>
      </w:r>
    </w:p>
    <w:p w14:paraId="1810EE9B">
      <w:pPr>
        <w:adjustRightInd w:val="0"/>
        <w:snapToGrid w:val="0"/>
        <w:spacing w:line="560" w:lineRule="exact"/>
        <w:ind w:firstLine="480" w:firstLineChars="200"/>
        <w:rPr>
          <w:rFonts w:hint="eastAsia" w:ascii="仿宋" w:hAnsi="仿宋" w:eastAsia="仿宋" w:cstheme="minorBidi"/>
          <w:sz w:val="24"/>
          <w:szCs w:val="24"/>
        </w:rPr>
      </w:pPr>
      <w:r>
        <w:rPr>
          <w:rFonts w:hint="eastAsia" w:ascii="仿宋" w:hAnsi="仿宋" w:eastAsia="仿宋" w:cstheme="minorBidi"/>
          <w:sz w:val="24"/>
          <w:szCs w:val="24"/>
        </w:rPr>
        <w:t>经营范围：许可项目：建设工程施工，输电、供电、受电电力设施的安装、维修和试验（依法须经批准的项目，经相关部门批准后方可开展经营活动，具体经营项目以相关部门批准文件或许可证件为准）；一般项目：制造、销售：开关柜屏、变压器、箱变外壳、电线；修理变压器；输配电及控制设备制造、安装、修试、运维；普通机械设备加工；水利电力工程安装及技术咨询；销售：建材；再生资源回收、加工（不含固体废物、危险废物、报废汽车等需经相关部门批准的项目），磁性材料销售（除依法须经批准的项目外，凭营业执照依法自主开展经营活动）。</w:t>
      </w:r>
    </w:p>
    <w:p w14:paraId="2D135E29">
      <w:pPr>
        <w:adjustRightInd w:val="0"/>
        <w:snapToGrid w:val="0"/>
        <w:spacing w:line="560" w:lineRule="exact"/>
        <w:ind w:firstLine="480" w:firstLineChars="200"/>
        <w:rPr>
          <w:rFonts w:hint="eastAsia" w:ascii="仿宋" w:hAnsi="仿宋" w:eastAsia="仿宋" w:cstheme="minorBidi"/>
          <w:sz w:val="24"/>
          <w:szCs w:val="24"/>
        </w:rPr>
      </w:pPr>
      <w:r>
        <w:rPr>
          <w:rFonts w:hint="eastAsia" w:ascii="仿宋" w:hAnsi="仿宋" w:eastAsia="仿宋" w:cstheme="minorBidi"/>
          <w:sz w:val="24"/>
          <w:szCs w:val="24"/>
        </w:rPr>
        <w:t>股东情况：重庆望变电气（集团）股份有限公司（100%）</w:t>
      </w:r>
    </w:p>
    <w:p w14:paraId="4AFF5A3D">
      <w:pPr>
        <w:adjustRightInd w:val="0"/>
        <w:snapToGrid w:val="0"/>
        <w:spacing w:line="560" w:lineRule="exact"/>
        <w:ind w:firstLine="480" w:firstLineChars="200"/>
        <w:rPr>
          <w:rFonts w:hint="eastAsia" w:ascii="仿宋" w:hAnsi="仿宋" w:eastAsia="仿宋" w:cstheme="minorBidi"/>
          <w:sz w:val="24"/>
          <w:szCs w:val="24"/>
        </w:rPr>
      </w:pPr>
      <w:r>
        <w:rPr>
          <w:rFonts w:hint="eastAsia" w:ascii="仿宋" w:hAnsi="仿宋" w:eastAsia="仿宋" w:cstheme="minorBidi"/>
          <w:sz w:val="24"/>
          <w:szCs w:val="24"/>
        </w:rPr>
        <w:t>关联关系：惠泽电器系公司全资子公司。</w:t>
      </w:r>
    </w:p>
    <w:p w14:paraId="6CAA9D5C">
      <w:pPr>
        <w:adjustRightInd w:val="0"/>
        <w:snapToGrid w:val="0"/>
        <w:spacing w:line="560" w:lineRule="exact"/>
        <w:ind w:firstLine="480" w:firstLineChars="200"/>
        <w:rPr>
          <w:rFonts w:hint="eastAsia" w:ascii="仿宋" w:hAnsi="仿宋" w:eastAsia="仿宋" w:cstheme="minorBidi"/>
          <w:sz w:val="24"/>
          <w:szCs w:val="24"/>
        </w:rPr>
      </w:pPr>
      <w:r>
        <w:rPr>
          <w:rFonts w:hint="eastAsia" w:ascii="仿宋" w:hAnsi="仿宋" w:eastAsia="仿宋" w:cstheme="minorBidi"/>
          <w:sz w:val="24"/>
          <w:szCs w:val="24"/>
        </w:rPr>
        <w:t>最近一年及一期主要财务指标如下：</w:t>
      </w:r>
    </w:p>
    <w:p w14:paraId="1F7E74A0">
      <w:pPr>
        <w:jc w:val="right"/>
        <w:rPr>
          <w:rFonts w:hint="eastAsia" w:ascii="仿宋" w:hAnsi="仿宋" w:eastAsia="仿宋"/>
          <w:color w:val="000000"/>
          <w:sz w:val="24"/>
          <w:szCs w:val="36"/>
        </w:rPr>
      </w:pPr>
      <w:r>
        <w:rPr>
          <w:rFonts w:hint="eastAsia" w:ascii="仿宋" w:hAnsi="仿宋" w:eastAsia="仿宋"/>
          <w:color w:val="000000"/>
          <w:szCs w:val="21"/>
        </w:rPr>
        <w:t>单位：万元  币种：人民币</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3"/>
        <w:gridCol w:w="3417"/>
        <w:gridCol w:w="2922"/>
      </w:tblGrid>
      <w:tr w14:paraId="2F7C7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281" w:type="pct"/>
            <w:vAlign w:val="center"/>
          </w:tcPr>
          <w:p w14:paraId="7BC4B460">
            <w:pPr>
              <w:spacing w:line="400" w:lineRule="exact"/>
              <w:jc w:val="center"/>
              <w:rPr>
                <w:rFonts w:hint="eastAsia" w:ascii="宋体" w:hAnsi="宋体" w:cs="宋体"/>
                <w:b/>
                <w:bCs/>
                <w:color w:val="000000"/>
                <w:sz w:val="18"/>
                <w:szCs w:val="18"/>
              </w:rPr>
            </w:pPr>
            <w:r>
              <w:rPr>
                <w:rFonts w:hint="eastAsia" w:ascii="宋体" w:hAnsi="宋体" w:cs="宋体"/>
                <w:b/>
                <w:bCs/>
                <w:sz w:val="18"/>
                <w:szCs w:val="18"/>
              </w:rPr>
              <w:t>财务指标</w:t>
            </w:r>
          </w:p>
        </w:tc>
        <w:tc>
          <w:tcPr>
            <w:tcW w:w="2005" w:type="pct"/>
            <w:vAlign w:val="center"/>
          </w:tcPr>
          <w:p w14:paraId="5FBFADFB">
            <w:pPr>
              <w:spacing w:line="400" w:lineRule="exact"/>
              <w:jc w:val="center"/>
              <w:rPr>
                <w:rFonts w:hint="eastAsia" w:ascii="宋体" w:hAnsi="宋体" w:cs="宋体"/>
                <w:b/>
                <w:bCs/>
                <w:color w:val="000000"/>
                <w:sz w:val="18"/>
                <w:szCs w:val="18"/>
              </w:rPr>
            </w:pPr>
            <w:r>
              <w:rPr>
                <w:rFonts w:hint="eastAsia" w:ascii="宋体" w:hAnsi="宋体" w:cs="宋体"/>
                <w:b/>
                <w:bCs/>
                <w:sz w:val="18"/>
                <w:szCs w:val="18"/>
              </w:rPr>
              <w:t>2025年9月30日（未经审计）</w:t>
            </w:r>
          </w:p>
        </w:tc>
        <w:tc>
          <w:tcPr>
            <w:tcW w:w="1714" w:type="pct"/>
            <w:vAlign w:val="center"/>
          </w:tcPr>
          <w:p w14:paraId="7DE4E3D3">
            <w:pPr>
              <w:spacing w:line="400" w:lineRule="exact"/>
              <w:jc w:val="center"/>
              <w:rPr>
                <w:rFonts w:hint="eastAsia" w:ascii="宋体" w:hAnsi="宋体" w:cs="宋体"/>
                <w:b/>
                <w:bCs/>
                <w:color w:val="000000"/>
                <w:sz w:val="18"/>
                <w:szCs w:val="18"/>
              </w:rPr>
            </w:pPr>
            <w:r>
              <w:rPr>
                <w:rFonts w:hint="eastAsia" w:ascii="宋体" w:hAnsi="宋体" w:cs="宋体"/>
                <w:b/>
                <w:bCs/>
                <w:sz w:val="18"/>
                <w:szCs w:val="18"/>
              </w:rPr>
              <w:t>2024年12月31日(经审计)</w:t>
            </w:r>
          </w:p>
        </w:tc>
      </w:tr>
      <w:tr w14:paraId="13AD9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281" w:type="pct"/>
            <w:vAlign w:val="center"/>
          </w:tcPr>
          <w:p w14:paraId="0D33DB90">
            <w:pPr>
              <w:spacing w:line="400" w:lineRule="exact"/>
              <w:jc w:val="left"/>
              <w:rPr>
                <w:rFonts w:hint="eastAsia" w:ascii="宋体" w:hAnsi="宋体" w:cs="宋体"/>
                <w:color w:val="000000"/>
                <w:sz w:val="18"/>
                <w:szCs w:val="18"/>
              </w:rPr>
            </w:pPr>
            <w:r>
              <w:rPr>
                <w:rFonts w:hint="eastAsia" w:ascii="宋体" w:hAnsi="宋体" w:cs="宋体"/>
                <w:color w:val="000000"/>
                <w:sz w:val="18"/>
                <w:szCs w:val="18"/>
              </w:rPr>
              <w:t>资产总额</w:t>
            </w:r>
          </w:p>
        </w:tc>
        <w:tc>
          <w:tcPr>
            <w:tcW w:w="2005" w:type="pct"/>
          </w:tcPr>
          <w:p w14:paraId="0179194E">
            <w:pPr>
              <w:spacing w:line="400" w:lineRule="exact"/>
              <w:jc w:val="right"/>
              <w:rPr>
                <w:rFonts w:hint="eastAsia" w:ascii="宋体" w:hAnsi="宋体" w:cs="宋体"/>
                <w:color w:val="000000"/>
                <w:sz w:val="18"/>
                <w:szCs w:val="18"/>
              </w:rPr>
            </w:pPr>
            <w:r>
              <w:rPr>
                <w:rFonts w:hint="eastAsia" w:ascii="宋体" w:hAnsi="宋体" w:cs="宋体"/>
                <w:color w:val="000000"/>
                <w:sz w:val="18"/>
                <w:szCs w:val="18"/>
              </w:rPr>
              <w:t>7,468.15</w:t>
            </w:r>
          </w:p>
        </w:tc>
        <w:tc>
          <w:tcPr>
            <w:tcW w:w="1714" w:type="pct"/>
          </w:tcPr>
          <w:p w14:paraId="337D31E7">
            <w:pPr>
              <w:spacing w:line="400" w:lineRule="exact"/>
              <w:jc w:val="right"/>
              <w:rPr>
                <w:rFonts w:hint="eastAsia" w:ascii="宋体" w:hAnsi="宋体" w:cs="宋体"/>
                <w:color w:val="000000"/>
                <w:sz w:val="18"/>
                <w:szCs w:val="18"/>
              </w:rPr>
            </w:pPr>
            <w:r>
              <w:rPr>
                <w:rFonts w:hint="eastAsia" w:ascii="宋体" w:hAnsi="宋体" w:cs="宋体"/>
                <w:color w:val="000000"/>
                <w:sz w:val="18"/>
                <w:szCs w:val="18"/>
              </w:rPr>
              <w:t>4,769.74</w:t>
            </w:r>
          </w:p>
        </w:tc>
      </w:tr>
      <w:tr w14:paraId="02E1A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281" w:type="pct"/>
            <w:vAlign w:val="center"/>
          </w:tcPr>
          <w:p w14:paraId="407850FA">
            <w:pPr>
              <w:spacing w:line="400" w:lineRule="exact"/>
              <w:jc w:val="left"/>
              <w:rPr>
                <w:rFonts w:hint="eastAsia" w:ascii="宋体" w:hAnsi="宋体" w:cs="宋体"/>
                <w:color w:val="000000"/>
                <w:sz w:val="18"/>
                <w:szCs w:val="18"/>
              </w:rPr>
            </w:pPr>
            <w:r>
              <w:rPr>
                <w:rFonts w:hint="eastAsia" w:ascii="宋体" w:hAnsi="宋体" w:cs="宋体"/>
                <w:color w:val="000000"/>
                <w:sz w:val="18"/>
                <w:szCs w:val="18"/>
              </w:rPr>
              <w:t>负债总额</w:t>
            </w:r>
          </w:p>
        </w:tc>
        <w:tc>
          <w:tcPr>
            <w:tcW w:w="2005" w:type="pct"/>
          </w:tcPr>
          <w:p w14:paraId="12A49DAD">
            <w:pPr>
              <w:spacing w:line="400" w:lineRule="exact"/>
              <w:jc w:val="right"/>
              <w:rPr>
                <w:rFonts w:hint="eastAsia" w:ascii="宋体" w:hAnsi="宋体" w:cs="宋体"/>
                <w:color w:val="000000"/>
                <w:sz w:val="18"/>
                <w:szCs w:val="18"/>
              </w:rPr>
            </w:pPr>
            <w:r>
              <w:rPr>
                <w:rFonts w:hint="eastAsia" w:ascii="宋体" w:hAnsi="宋体" w:cs="宋体"/>
                <w:color w:val="000000"/>
                <w:sz w:val="18"/>
                <w:szCs w:val="18"/>
              </w:rPr>
              <w:t>3,897.98</w:t>
            </w:r>
          </w:p>
        </w:tc>
        <w:tc>
          <w:tcPr>
            <w:tcW w:w="1714" w:type="pct"/>
          </w:tcPr>
          <w:p w14:paraId="75AD0834">
            <w:pPr>
              <w:spacing w:line="400" w:lineRule="exact"/>
              <w:jc w:val="right"/>
              <w:rPr>
                <w:rFonts w:hint="eastAsia" w:ascii="宋体" w:hAnsi="宋体" w:cs="宋体"/>
                <w:color w:val="000000"/>
                <w:sz w:val="18"/>
                <w:szCs w:val="18"/>
              </w:rPr>
            </w:pPr>
            <w:r>
              <w:rPr>
                <w:rFonts w:hint="eastAsia" w:ascii="宋体" w:hAnsi="宋体" w:cs="宋体"/>
                <w:color w:val="000000"/>
                <w:sz w:val="18"/>
                <w:szCs w:val="18"/>
              </w:rPr>
              <w:t>956.67</w:t>
            </w:r>
          </w:p>
        </w:tc>
      </w:tr>
      <w:tr w14:paraId="5B55F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281" w:type="pct"/>
            <w:vAlign w:val="center"/>
          </w:tcPr>
          <w:p w14:paraId="38E1C07E">
            <w:pPr>
              <w:spacing w:line="400" w:lineRule="exact"/>
              <w:jc w:val="left"/>
              <w:rPr>
                <w:rFonts w:hint="eastAsia" w:ascii="宋体" w:hAnsi="宋体" w:cs="宋体"/>
                <w:color w:val="000000"/>
                <w:sz w:val="18"/>
                <w:szCs w:val="18"/>
              </w:rPr>
            </w:pPr>
            <w:r>
              <w:rPr>
                <w:rFonts w:hint="eastAsia" w:ascii="宋体" w:hAnsi="宋体" w:cs="宋体"/>
                <w:color w:val="000000"/>
                <w:sz w:val="18"/>
                <w:szCs w:val="18"/>
              </w:rPr>
              <w:t>净资产</w:t>
            </w:r>
          </w:p>
        </w:tc>
        <w:tc>
          <w:tcPr>
            <w:tcW w:w="2005" w:type="pct"/>
          </w:tcPr>
          <w:p w14:paraId="5E70C53C">
            <w:pPr>
              <w:spacing w:line="400" w:lineRule="exact"/>
              <w:jc w:val="right"/>
              <w:rPr>
                <w:rFonts w:hint="eastAsia" w:ascii="宋体" w:hAnsi="宋体" w:cs="宋体"/>
                <w:color w:val="000000"/>
                <w:sz w:val="18"/>
                <w:szCs w:val="18"/>
              </w:rPr>
            </w:pPr>
            <w:r>
              <w:rPr>
                <w:rFonts w:hint="eastAsia" w:ascii="宋体" w:hAnsi="宋体" w:cs="宋体"/>
                <w:color w:val="000000"/>
                <w:sz w:val="18"/>
                <w:szCs w:val="18"/>
              </w:rPr>
              <w:t>3,570.17</w:t>
            </w:r>
          </w:p>
        </w:tc>
        <w:tc>
          <w:tcPr>
            <w:tcW w:w="1714" w:type="pct"/>
          </w:tcPr>
          <w:p w14:paraId="49A98952">
            <w:pPr>
              <w:spacing w:line="400" w:lineRule="exact"/>
              <w:jc w:val="right"/>
              <w:rPr>
                <w:rFonts w:hint="eastAsia" w:ascii="宋体" w:hAnsi="宋体" w:cs="宋体"/>
                <w:color w:val="000000"/>
                <w:sz w:val="18"/>
                <w:szCs w:val="18"/>
              </w:rPr>
            </w:pPr>
            <w:r>
              <w:rPr>
                <w:rFonts w:hint="eastAsia" w:ascii="宋体" w:hAnsi="宋体" w:cs="宋体"/>
                <w:color w:val="000000"/>
                <w:sz w:val="18"/>
                <w:szCs w:val="18"/>
              </w:rPr>
              <w:t>3,813.08</w:t>
            </w:r>
          </w:p>
        </w:tc>
      </w:tr>
      <w:tr w14:paraId="4F984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281" w:type="pct"/>
            <w:vAlign w:val="center"/>
          </w:tcPr>
          <w:p w14:paraId="03EC2E97">
            <w:pPr>
              <w:spacing w:line="400" w:lineRule="exact"/>
              <w:jc w:val="left"/>
              <w:rPr>
                <w:rFonts w:hint="eastAsia" w:ascii="宋体" w:hAnsi="宋体" w:cs="宋体"/>
                <w:b/>
                <w:bCs/>
                <w:color w:val="000000"/>
                <w:sz w:val="18"/>
                <w:szCs w:val="18"/>
              </w:rPr>
            </w:pPr>
          </w:p>
        </w:tc>
        <w:tc>
          <w:tcPr>
            <w:tcW w:w="2005" w:type="pct"/>
            <w:vAlign w:val="center"/>
          </w:tcPr>
          <w:p w14:paraId="4A41B5BF">
            <w:pPr>
              <w:spacing w:line="400" w:lineRule="exact"/>
              <w:jc w:val="center"/>
              <w:rPr>
                <w:rFonts w:hint="eastAsia" w:ascii="宋体" w:hAnsi="宋体" w:cs="宋体"/>
                <w:b/>
                <w:bCs/>
                <w:color w:val="000000"/>
                <w:sz w:val="18"/>
                <w:szCs w:val="18"/>
              </w:rPr>
            </w:pPr>
            <w:r>
              <w:rPr>
                <w:rFonts w:hint="eastAsia" w:ascii="宋体" w:hAnsi="宋体" w:cs="宋体"/>
                <w:b/>
                <w:bCs/>
                <w:color w:val="000000"/>
                <w:sz w:val="18"/>
                <w:szCs w:val="18"/>
              </w:rPr>
              <w:t>2025年1-9月（未经审计）</w:t>
            </w:r>
          </w:p>
        </w:tc>
        <w:tc>
          <w:tcPr>
            <w:tcW w:w="1714" w:type="pct"/>
            <w:vAlign w:val="center"/>
          </w:tcPr>
          <w:p w14:paraId="5FC4F0C6">
            <w:pPr>
              <w:spacing w:line="400" w:lineRule="exact"/>
              <w:jc w:val="center"/>
              <w:rPr>
                <w:rFonts w:hint="eastAsia" w:ascii="宋体" w:hAnsi="宋体" w:cs="宋体"/>
                <w:b/>
                <w:bCs/>
                <w:color w:val="000000"/>
                <w:sz w:val="18"/>
                <w:szCs w:val="18"/>
              </w:rPr>
            </w:pPr>
            <w:r>
              <w:rPr>
                <w:rFonts w:hint="eastAsia" w:ascii="宋体" w:hAnsi="宋体" w:cs="宋体"/>
                <w:b/>
                <w:bCs/>
                <w:color w:val="000000"/>
                <w:sz w:val="18"/>
                <w:szCs w:val="18"/>
              </w:rPr>
              <w:t>2024年1-12月（经审计）</w:t>
            </w:r>
          </w:p>
        </w:tc>
      </w:tr>
      <w:tr w14:paraId="45F77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281" w:type="pct"/>
            <w:vAlign w:val="center"/>
          </w:tcPr>
          <w:p w14:paraId="47131191">
            <w:pPr>
              <w:spacing w:line="400" w:lineRule="exact"/>
              <w:jc w:val="left"/>
              <w:rPr>
                <w:rFonts w:hint="eastAsia" w:ascii="宋体" w:hAnsi="宋体" w:cs="宋体"/>
                <w:color w:val="000000"/>
                <w:sz w:val="18"/>
                <w:szCs w:val="18"/>
              </w:rPr>
            </w:pPr>
            <w:r>
              <w:rPr>
                <w:rFonts w:hint="eastAsia" w:ascii="宋体" w:hAnsi="宋体" w:cs="宋体"/>
                <w:color w:val="000000"/>
                <w:sz w:val="18"/>
                <w:szCs w:val="18"/>
              </w:rPr>
              <w:t>营业收入</w:t>
            </w:r>
          </w:p>
        </w:tc>
        <w:tc>
          <w:tcPr>
            <w:tcW w:w="2005" w:type="pct"/>
          </w:tcPr>
          <w:p w14:paraId="390FD6A4">
            <w:pPr>
              <w:spacing w:line="400" w:lineRule="exact"/>
              <w:jc w:val="right"/>
              <w:rPr>
                <w:rFonts w:hint="eastAsia" w:ascii="宋体" w:hAnsi="宋体" w:cs="宋体"/>
                <w:color w:val="000000"/>
                <w:sz w:val="18"/>
                <w:szCs w:val="18"/>
              </w:rPr>
            </w:pPr>
            <w:r>
              <w:rPr>
                <w:rFonts w:hint="eastAsia" w:ascii="宋体" w:hAnsi="宋体" w:cs="宋体"/>
                <w:color w:val="000000"/>
                <w:sz w:val="18"/>
                <w:szCs w:val="18"/>
              </w:rPr>
              <w:t>4,214.00</w:t>
            </w:r>
          </w:p>
        </w:tc>
        <w:tc>
          <w:tcPr>
            <w:tcW w:w="1714" w:type="pct"/>
          </w:tcPr>
          <w:p w14:paraId="5803306B">
            <w:pPr>
              <w:spacing w:line="400" w:lineRule="exact"/>
              <w:jc w:val="right"/>
              <w:rPr>
                <w:rFonts w:hint="eastAsia" w:ascii="宋体" w:hAnsi="宋体" w:cs="宋体"/>
                <w:color w:val="000000"/>
                <w:sz w:val="18"/>
                <w:szCs w:val="18"/>
              </w:rPr>
            </w:pPr>
            <w:r>
              <w:rPr>
                <w:rFonts w:hint="eastAsia" w:ascii="宋体" w:hAnsi="宋体" w:cs="宋体"/>
                <w:color w:val="000000"/>
                <w:sz w:val="18"/>
                <w:szCs w:val="18"/>
              </w:rPr>
              <w:t xml:space="preserve"> 5,775.55 </w:t>
            </w:r>
          </w:p>
        </w:tc>
      </w:tr>
      <w:tr w14:paraId="18DA4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281" w:type="pct"/>
            <w:vAlign w:val="center"/>
          </w:tcPr>
          <w:p w14:paraId="1F01F811">
            <w:pPr>
              <w:spacing w:line="400" w:lineRule="exact"/>
              <w:jc w:val="left"/>
              <w:rPr>
                <w:rFonts w:hint="eastAsia" w:ascii="宋体" w:hAnsi="宋体" w:cs="宋体"/>
                <w:color w:val="000000"/>
                <w:sz w:val="18"/>
                <w:szCs w:val="18"/>
              </w:rPr>
            </w:pPr>
            <w:r>
              <w:rPr>
                <w:rFonts w:hint="eastAsia" w:ascii="宋体" w:hAnsi="宋体" w:cs="宋体"/>
                <w:color w:val="000000"/>
                <w:sz w:val="18"/>
                <w:szCs w:val="18"/>
              </w:rPr>
              <w:t>净利润</w:t>
            </w:r>
          </w:p>
        </w:tc>
        <w:tc>
          <w:tcPr>
            <w:tcW w:w="2005" w:type="pct"/>
          </w:tcPr>
          <w:p w14:paraId="5C72F9C5">
            <w:pPr>
              <w:spacing w:line="400" w:lineRule="exact"/>
              <w:jc w:val="right"/>
              <w:rPr>
                <w:rFonts w:hint="eastAsia" w:ascii="宋体" w:hAnsi="宋体" w:cs="宋体"/>
                <w:color w:val="000000"/>
                <w:sz w:val="18"/>
                <w:szCs w:val="18"/>
              </w:rPr>
            </w:pPr>
            <w:r>
              <w:rPr>
                <w:rFonts w:hint="eastAsia" w:ascii="宋体" w:hAnsi="宋体" w:cs="宋体"/>
                <w:color w:val="000000"/>
                <w:sz w:val="18"/>
                <w:szCs w:val="18"/>
              </w:rPr>
              <w:t xml:space="preserve"> -279.23 </w:t>
            </w:r>
          </w:p>
        </w:tc>
        <w:tc>
          <w:tcPr>
            <w:tcW w:w="1714" w:type="pct"/>
          </w:tcPr>
          <w:p w14:paraId="5E809D88">
            <w:pPr>
              <w:spacing w:line="400" w:lineRule="exact"/>
              <w:jc w:val="right"/>
              <w:rPr>
                <w:rFonts w:hint="eastAsia" w:ascii="宋体" w:hAnsi="宋体" w:cs="宋体"/>
                <w:color w:val="000000"/>
                <w:sz w:val="18"/>
                <w:szCs w:val="18"/>
              </w:rPr>
            </w:pPr>
            <w:r>
              <w:rPr>
                <w:rFonts w:hint="eastAsia" w:ascii="宋体" w:hAnsi="宋体" w:cs="宋体"/>
                <w:color w:val="000000"/>
                <w:sz w:val="18"/>
                <w:szCs w:val="18"/>
              </w:rPr>
              <w:t xml:space="preserve"> -311.09 </w:t>
            </w:r>
          </w:p>
        </w:tc>
      </w:tr>
    </w:tbl>
    <w:p w14:paraId="059FA239">
      <w:pPr>
        <w:adjustRightInd w:val="0"/>
        <w:snapToGrid w:val="0"/>
        <w:spacing w:line="560" w:lineRule="exact"/>
        <w:ind w:firstLine="480" w:firstLineChars="200"/>
        <w:outlineLvl w:val="1"/>
        <w:rPr>
          <w:rFonts w:hint="eastAsia" w:ascii="宋体" w:hAnsi="宋体" w:cs="宋体"/>
          <w:sz w:val="24"/>
          <w:szCs w:val="24"/>
        </w:rPr>
      </w:pPr>
      <w:r>
        <w:rPr>
          <w:rFonts w:hint="eastAsia" w:ascii="宋体" w:hAnsi="宋体" w:cs="宋体"/>
          <w:sz w:val="24"/>
          <w:szCs w:val="24"/>
        </w:rPr>
        <w:t>（四）黔南望江</w:t>
      </w:r>
    </w:p>
    <w:p w14:paraId="42653D49">
      <w:pPr>
        <w:adjustRightInd w:val="0"/>
        <w:snapToGrid w:val="0"/>
        <w:spacing w:line="560" w:lineRule="exact"/>
        <w:ind w:firstLine="480" w:firstLineChars="200"/>
        <w:rPr>
          <w:rFonts w:hint="eastAsia" w:ascii="宋体" w:hAnsi="宋体" w:cs="宋体"/>
          <w:sz w:val="24"/>
          <w:szCs w:val="24"/>
        </w:rPr>
      </w:pPr>
      <w:r>
        <w:rPr>
          <w:rFonts w:hint="eastAsia" w:ascii="宋体" w:hAnsi="宋体" w:cs="宋体"/>
          <w:sz w:val="24"/>
          <w:szCs w:val="24"/>
        </w:rPr>
        <w:t>公司名称：黔南望江变压器有限公司</w:t>
      </w:r>
    </w:p>
    <w:p w14:paraId="3353D16E">
      <w:pPr>
        <w:adjustRightInd w:val="0"/>
        <w:snapToGrid w:val="0"/>
        <w:spacing w:line="560" w:lineRule="exact"/>
        <w:ind w:firstLine="480" w:firstLineChars="200"/>
        <w:rPr>
          <w:rFonts w:hint="eastAsia" w:ascii="宋体" w:hAnsi="宋体" w:cs="宋体"/>
          <w:sz w:val="24"/>
          <w:szCs w:val="24"/>
        </w:rPr>
      </w:pPr>
      <w:r>
        <w:rPr>
          <w:rFonts w:hint="eastAsia" w:ascii="宋体" w:hAnsi="宋体" w:cs="宋体"/>
          <w:sz w:val="24"/>
          <w:szCs w:val="24"/>
        </w:rPr>
        <w:t>统一社会信用代码：91522701789761914Q</w:t>
      </w:r>
    </w:p>
    <w:p w14:paraId="1AA9E01A">
      <w:pPr>
        <w:adjustRightInd w:val="0"/>
        <w:snapToGrid w:val="0"/>
        <w:spacing w:line="560" w:lineRule="exact"/>
        <w:ind w:firstLine="480" w:firstLineChars="200"/>
        <w:rPr>
          <w:rFonts w:hint="eastAsia" w:ascii="宋体" w:hAnsi="宋体" w:cs="宋体"/>
          <w:sz w:val="24"/>
          <w:szCs w:val="24"/>
        </w:rPr>
      </w:pPr>
      <w:r>
        <w:rPr>
          <w:rFonts w:hint="eastAsia" w:ascii="宋体" w:hAnsi="宋体" w:cs="宋体"/>
          <w:sz w:val="24"/>
          <w:szCs w:val="24"/>
        </w:rPr>
        <w:t>成立时间：2007年8月21日</w:t>
      </w:r>
    </w:p>
    <w:p w14:paraId="3E3054A7">
      <w:pPr>
        <w:adjustRightInd w:val="0"/>
        <w:snapToGrid w:val="0"/>
        <w:spacing w:line="560" w:lineRule="exact"/>
        <w:ind w:firstLine="480" w:firstLineChars="200"/>
        <w:rPr>
          <w:rFonts w:hint="eastAsia" w:ascii="宋体" w:hAnsi="宋体" w:cs="宋体"/>
          <w:sz w:val="24"/>
          <w:szCs w:val="24"/>
        </w:rPr>
      </w:pPr>
      <w:r>
        <w:rPr>
          <w:rFonts w:hint="eastAsia" w:ascii="宋体" w:hAnsi="宋体" w:cs="宋体"/>
          <w:sz w:val="24"/>
          <w:szCs w:val="24"/>
        </w:rPr>
        <w:t>注册地：贵州省黔南州都匀市绿茵湖街道红朗路8号</w:t>
      </w:r>
    </w:p>
    <w:p w14:paraId="5E8A6659">
      <w:pPr>
        <w:adjustRightInd w:val="0"/>
        <w:snapToGrid w:val="0"/>
        <w:spacing w:line="560" w:lineRule="exact"/>
        <w:ind w:firstLine="480" w:firstLineChars="200"/>
        <w:rPr>
          <w:rFonts w:hint="eastAsia" w:ascii="宋体" w:hAnsi="宋体" w:cs="宋体"/>
          <w:sz w:val="24"/>
          <w:szCs w:val="24"/>
        </w:rPr>
      </w:pPr>
      <w:r>
        <w:rPr>
          <w:rFonts w:hint="eastAsia" w:ascii="宋体" w:hAnsi="宋体" w:cs="宋体"/>
          <w:sz w:val="24"/>
          <w:szCs w:val="24"/>
        </w:rPr>
        <w:t>主要办公地点：贵州省黔南州都匀市绿茵湖街道红朗路8号</w:t>
      </w:r>
    </w:p>
    <w:p w14:paraId="2601CEDA">
      <w:pPr>
        <w:adjustRightInd w:val="0"/>
        <w:snapToGrid w:val="0"/>
        <w:spacing w:line="560" w:lineRule="exact"/>
        <w:ind w:firstLine="480" w:firstLineChars="200"/>
        <w:rPr>
          <w:rFonts w:hint="eastAsia" w:ascii="宋体" w:hAnsi="宋体" w:cs="宋体"/>
          <w:sz w:val="24"/>
          <w:szCs w:val="24"/>
        </w:rPr>
      </w:pPr>
      <w:r>
        <w:rPr>
          <w:rFonts w:hint="eastAsia" w:ascii="宋体" w:hAnsi="宋体" w:cs="宋体"/>
          <w:sz w:val="24"/>
          <w:szCs w:val="24"/>
        </w:rPr>
        <w:t>法定代表人：王海波</w:t>
      </w:r>
    </w:p>
    <w:p w14:paraId="3A893E15">
      <w:pPr>
        <w:adjustRightInd w:val="0"/>
        <w:snapToGrid w:val="0"/>
        <w:spacing w:line="560" w:lineRule="exact"/>
        <w:ind w:firstLine="480" w:firstLineChars="200"/>
        <w:rPr>
          <w:rFonts w:hint="eastAsia" w:ascii="宋体" w:hAnsi="宋体" w:cs="宋体"/>
          <w:sz w:val="24"/>
          <w:szCs w:val="24"/>
        </w:rPr>
      </w:pPr>
      <w:r>
        <w:rPr>
          <w:rFonts w:hint="eastAsia" w:ascii="宋体" w:hAnsi="宋体" w:cs="宋体"/>
          <w:sz w:val="24"/>
          <w:szCs w:val="24"/>
        </w:rPr>
        <w:t>注册资本：6000万人民币</w:t>
      </w:r>
    </w:p>
    <w:p w14:paraId="50F29AE4">
      <w:pPr>
        <w:adjustRightInd w:val="0"/>
        <w:snapToGrid w:val="0"/>
        <w:spacing w:line="560" w:lineRule="exact"/>
        <w:ind w:firstLine="480" w:firstLineChars="200"/>
        <w:rPr>
          <w:rFonts w:hint="eastAsia" w:ascii="宋体" w:hAnsi="宋体" w:cs="宋体"/>
          <w:sz w:val="24"/>
          <w:szCs w:val="24"/>
        </w:rPr>
      </w:pPr>
      <w:r>
        <w:rPr>
          <w:rFonts w:hint="eastAsia" w:ascii="宋体" w:hAnsi="宋体" w:cs="宋体"/>
          <w:sz w:val="24"/>
          <w:szCs w:val="24"/>
        </w:rPr>
        <w:t>经营范围：法律、法规、国务院决定规定禁止的不得经营；法律、法规、国务院决定规定应当许可（审批）的，经审批机关批准后凭许可（审批）文件经营；法律、法规、国务院决定规定无需许可（审批）的，市场主体自主选择经营。（电力变压器、矿用变压器、各种高低压成套电力设备及配件、低压无功补偿装置、各类特种变压器与配电设备的制造、销售和改造维修，普通道路货物运输（不含危险品）涉及许可经营项目，应取得相关部门许可后方可经营）。</w:t>
      </w:r>
    </w:p>
    <w:p w14:paraId="4AF3CD3A">
      <w:pPr>
        <w:adjustRightInd w:val="0"/>
        <w:snapToGrid w:val="0"/>
        <w:spacing w:line="560" w:lineRule="exact"/>
        <w:ind w:firstLine="480" w:firstLineChars="200"/>
        <w:rPr>
          <w:rFonts w:hint="eastAsia" w:ascii="宋体" w:hAnsi="宋体" w:cs="宋体"/>
          <w:sz w:val="24"/>
          <w:szCs w:val="24"/>
        </w:rPr>
      </w:pPr>
      <w:r>
        <w:rPr>
          <w:rFonts w:hint="eastAsia" w:ascii="宋体" w:hAnsi="宋体" w:cs="宋体"/>
          <w:sz w:val="24"/>
          <w:szCs w:val="24"/>
        </w:rPr>
        <w:t>股东情况：重庆望变电气（集团）股份有限公司（100%）</w:t>
      </w:r>
    </w:p>
    <w:p w14:paraId="088DD30A">
      <w:pPr>
        <w:adjustRightInd w:val="0"/>
        <w:snapToGrid w:val="0"/>
        <w:spacing w:line="560" w:lineRule="exact"/>
        <w:ind w:firstLine="480" w:firstLineChars="200"/>
        <w:rPr>
          <w:rFonts w:hint="eastAsia" w:ascii="宋体" w:hAnsi="宋体" w:cs="宋体"/>
          <w:sz w:val="24"/>
          <w:szCs w:val="24"/>
        </w:rPr>
      </w:pPr>
      <w:r>
        <w:rPr>
          <w:rFonts w:hint="eastAsia" w:ascii="宋体" w:hAnsi="宋体" w:cs="宋体"/>
          <w:sz w:val="24"/>
          <w:szCs w:val="24"/>
        </w:rPr>
        <w:t>关联关系：黔南望江系公司全资子公司。</w:t>
      </w:r>
    </w:p>
    <w:p w14:paraId="5CAC349F">
      <w:pPr>
        <w:adjustRightInd w:val="0"/>
        <w:snapToGrid w:val="0"/>
        <w:spacing w:line="560" w:lineRule="exact"/>
        <w:ind w:firstLine="480" w:firstLineChars="200"/>
        <w:rPr>
          <w:rFonts w:hint="eastAsia" w:ascii="宋体" w:hAnsi="宋体" w:cs="宋体"/>
          <w:sz w:val="24"/>
          <w:szCs w:val="24"/>
        </w:rPr>
      </w:pPr>
      <w:r>
        <w:rPr>
          <w:rFonts w:hint="eastAsia" w:ascii="宋体" w:hAnsi="宋体" w:cs="宋体"/>
          <w:sz w:val="24"/>
          <w:szCs w:val="24"/>
        </w:rPr>
        <w:t>最近一年及一期主要财务指标如下：</w:t>
      </w:r>
    </w:p>
    <w:p w14:paraId="4C4BD1E8">
      <w:pPr>
        <w:jc w:val="right"/>
        <w:rPr>
          <w:rFonts w:hint="eastAsia" w:ascii="仿宋" w:hAnsi="仿宋" w:eastAsia="仿宋"/>
          <w:color w:val="000000"/>
          <w:szCs w:val="21"/>
        </w:rPr>
      </w:pPr>
      <w:r>
        <w:rPr>
          <w:rFonts w:hint="eastAsia" w:ascii="仿宋" w:hAnsi="仿宋" w:eastAsia="仿宋"/>
          <w:color w:val="000000"/>
          <w:szCs w:val="21"/>
        </w:rPr>
        <w:t>单位：万元  币种：人民币</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3"/>
        <w:gridCol w:w="3417"/>
        <w:gridCol w:w="2922"/>
      </w:tblGrid>
      <w:tr w14:paraId="38BEE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281" w:type="pct"/>
            <w:vAlign w:val="center"/>
          </w:tcPr>
          <w:p w14:paraId="44FA4D31">
            <w:pPr>
              <w:spacing w:line="400" w:lineRule="exact"/>
              <w:jc w:val="center"/>
              <w:rPr>
                <w:rFonts w:hint="eastAsia" w:ascii="宋体" w:hAnsi="宋体" w:cs="宋体"/>
                <w:b/>
                <w:bCs/>
                <w:color w:val="000000"/>
                <w:sz w:val="18"/>
                <w:szCs w:val="18"/>
              </w:rPr>
            </w:pPr>
            <w:r>
              <w:rPr>
                <w:rFonts w:hint="eastAsia" w:ascii="宋体" w:hAnsi="宋体" w:cs="宋体"/>
                <w:b/>
                <w:bCs/>
                <w:sz w:val="18"/>
                <w:szCs w:val="18"/>
              </w:rPr>
              <w:t>财务指标</w:t>
            </w:r>
          </w:p>
        </w:tc>
        <w:tc>
          <w:tcPr>
            <w:tcW w:w="2005" w:type="pct"/>
            <w:vAlign w:val="center"/>
          </w:tcPr>
          <w:p w14:paraId="01CD3B0B">
            <w:pPr>
              <w:spacing w:line="400" w:lineRule="exact"/>
              <w:jc w:val="center"/>
              <w:rPr>
                <w:rFonts w:hint="eastAsia" w:ascii="宋体" w:hAnsi="宋体" w:cs="宋体"/>
                <w:b/>
                <w:bCs/>
                <w:color w:val="000000"/>
                <w:sz w:val="18"/>
                <w:szCs w:val="18"/>
              </w:rPr>
            </w:pPr>
            <w:r>
              <w:rPr>
                <w:rFonts w:hint="eastAsia" w:ascii="宋体" w:hAnsi="宋体" w:cs="宋体"/>
                <w:b/>
                <w:bCs/>
                <w:sz w:val="18"/>
                <w:szCs w:val="18"/>
              </w:rPr>
              <w:t>2025年9月30日（未经审计）</w:t>
            </w:r>
          </w:p>
        </w:tc>
        <w:tc>
          <w:tcPr>
            <w:tcW w:w="1714" w:type="pct"/>
            <w:vAlign w:val="center"/>
          </w:tcPr>
          <w:p w14:paraId="1E9661B9">
            <w:pPr>
              <w:spacing w:line="400" w:lineRule="exact"/>
              <w:jc w:val="center"/>
              <w:rPr>
                <w:rFonts w:hint="eastAsia" w:ascii="宋体" w:hAnsi="宋体" w:cs="宋体"/>
                <w:b/>
                <w:bCs/>
                <w:color w:val="000000"/>
                <w:sz w:val="18"/>
                <w:szCs w:val="18"/>
              </w:rPr>
            </w:pPr>
            <w:r>
              <w:rPr>
                <w:rFonts w:hint="eastAsia" w:ascii="宋体" w:hAnsi="宋体" w:cs="宋体"/>
                <w:b/>
                <w:bCs/>
                <w:sz w:val="18"/>
                <w:szCs w:val="18"/>
              </w:rPr>
              <w:t>2024年12月31日(经审计)</w:t>
            </w:r>
          </w:p>
        </w:tc>
      </w:tr>
      <w:tr w14:paraId="0EFF7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281" w:type="pct"/>
            <w:vAlign w:val="center"/>
          </w:tcPr>
          <w:p w14:paraId="5B420458">
            <w:pPr>
              <w:spacing w:line="400" w:lineRule="exact"/>
              <w:jc w:val="left"/>
              <w:rPr>
                <w:rFonts w:hint="eastAsia" w:ascii="宋体" w:hAnsi="宋体" w:cs="宋体"/>
                <w:color w:val="000000"/>
                <w:sz w:val="18"/>
                <w:szCs w:val="18"/>
              </w:rPr>
            </w:pPr>
            <w:r>
              <w:rPr>
                <w:rFonts w:hint="eastAsia" w:ascii="宋体" w:hAnsi="宋体" w:cs="宋体"/>
                <w:color w:val="000000"/>
                <w:sz w:val="18"/>
                <w:szCs w:val="18"/>
              </w:rPr>
              <w:t>资产总额</w:t>
            </w:r>
          </w:p>
        </w:tc>
        <w:tc>
          <w:tcPr>
            <w:tcW w:w="2005" w:type="pct"/>
          </w:tcPr>
          <w:p w14:paraId="13C95335">
            <w:pPr>
              <w:spacing w:line="400" w:lineRule="exact"/>
              <w:jc w:val="right"/>
              <w:rPr>
                <w:rFonts w:hint="eastAsia" w:ascii="宋体" w:hAnsi="宋体" w:cs="宋体"/>
                <w:color w:val="000000"/>
                <w:sz w:val="18"/>
                <w:szCs w:val="18"/>
              </w:rPr>
            </w:pPr>
            <w:r>
              <w:rPr>
                <w:rFonts w:hint="eastAsia" w:ascii="宋体" w:hAnsi="宋体" w:cs="宋体"/>
                <w:color w:val="000000"/>
                <w:sz w:val="18"/>
                <w:szCs w:val="18"/>
              </w:rPr>
              <w:t>18,581.49</w:t>
            </w:r>
          </w:p>
        </w:tc>
        <w:tc>
          <w:tcPr>
            <w:tcW w:w="1714" w:type="pct"/>
          </w:tcPr>
          <w:p w14:paraId="72AD3522">
            <w:pPr>
              <w:spacing w:line="400" w:lineRule="exact"/>
              <w:jc w:val="right"/>
              <w:rPr>
                <w:rFonts w:hint="eastAsia" w:ascii="宋体" w:hAnsi="宋体" w:cs="宋体"/>
                <w:color w:val="000000"/>
                <w:sz w:val="18"/>
                <w:szCs w:val="18"/>
              </w:rPr>
            </w:pPr>
            <w:r>
              <w:rPr>
                <w:rFonts w:hint="eastAsia" w:ascii="宋体" w:hAnsi="宋体" w:cs="宋体"/>
                <w:color w:val="000000"/>
                <w:sz w:val="18"/>
                <w:szCs w:val="18"/>
              </w:rPr>
              <w:t>18,438.98</w:t>
            </w:r>
          </w:p>
        </w:tc>
      </w:tr>
      <w:tr w14:paraId="2E1CE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281" w:type="pct"/>
            <w:vAlign w:val="center"/>
          </w:tcPr>
          <w:p w14:paraId="3590E0B3">
            <w:pPr>
              <w:spacing w:line="400" w:lineRule="exact"/>
              <w:jc w:val="left"/>
              <w:rPr>
                <w:rFonts w:hint="eastAsia" w:ascii="宋体" w:hAnsi="宋体" w:cs="宋体"/>
                <w:color w:val="000000"/>
                <w:sz w:val="18"/>
                <w:szCs w:val="18"/>
              </w:rPr>
            </w:pPr>
            <w:r>
              <w:rPr>
                <w:rFonts w:hint="eastAsia" w:ascii="宋体" w:hAnsi="宋体" w:cs="宋体"/>
                <w:color w:val="000000"/>
                <w:sz w:val="18"/>
                <w:szCs w:val="18"/>
              </w:rPr>
              <w:t>负债总额</w:t>
            </w:r>
          </w:p>
        </w:tc>
        <w:tc>
          <w:tcPr>
            <w:tcW w:w="2005" w:type="pct"/>
          </w:tcPr>
          <w:p w14:paraId="17BC1BA7">
            <w:pPr>
              <w:spacing w:line="400" w:lineRule="exact"/>
              <w:jc w:val="right"/>
              <w:rPr>
                <w:rFonts w:hint="eastAsia" w:ascii="宋体" w:hAnsi="宋体" w:cs="宋体"/>
                <w:color w:val="000000"/>
                <w:sz w:val="18"/>
                <w:szCs w:val="18"/>
              </w:rPr>
            </w:pPr>
            <w:r>
              <w:rPr>
                <w:rFonts w:hint="eastAsia" w:ascii="宋体" w:hAnsi="宋体" w:cs="宋体"/>
                <w:color w:val="000000"/>
                <w:sz w:val="18"/>
                <w:szCs w:val="18"/>
              </w:rPr>
              <w:t>14,092.22</w:t>
            </w:r>
          </w:p>
        </w:tc>
        <w:tc>
          <w:tcPr>
            <w:tcW w:w="1714" w:type="pct"/>
          </w:tcPr>
          <w:p w14:paraId="2BDAD7C9">
            <w:pPr>
              <w:spacing w:line="400" w:lineRule="exact"/>
              <w:jc w:val="right"/>
              <w:rPr>
                <w:rFonts w:hint="eastAsia" w:ascii="宋体" w:hAnsi="宋体" w:cs="宋体"/>
                <w:color w:val="000000"/>
                <w:sz w:val="18"/>
                <w:szCs w:val="18"/>
              </w:rPr>
            </w:pPr>
            <w:r>
              <w:rPr>
                <w:rFonts w:hint="eastAsia" w:ascii="宋体" w:hAnsi="宋体" w:cs="宋体"/>
                <w:color w:val="000000"/>
                <w:sz w:val="18"/>
                <w:szCs w:val="18"/>
              </w:rPr>
              <w:t>14,025.05</w:t>
            </w:r>
          </w:p>
        </w:tc>
      </w:tr>
      <w:tr w14:paraId="281DE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281" w:type="pct"/>
            <w:vAlign w:val="center"/>
          </w:tcPr>
          <w:p w14:paraId="64DE441D">
            <w:pPr>
              <w:spacing w:line="400" w:lineRule="exact"/>
              <w:jc w:val="left"/>
              <w:rPr>
                <w:rFonts w:hint="eastAsia" w:ascii="宋体" w:hAnsi="宋体" w:cs="宋体"/>
                <w:color w:val="000000"/>
                <w:sz w:val="18"/>
                <w:szCs w:val="18"/>
              </w:rPr>
            </w:pPr>
            <w:r>
              <w:rPr>
                <w:rFonts w:hint="eastAsia" w:ascii="宋体" w:hAnsi="宋体" w:cs="宋体"/>
                <w:color w:val="000000"/>
                <w:sz w:val="18"/>
                <w:szCs w:val="18"/>
              </w:rPr>
              <w:t>净资产</w:t>
            </w:r>
          </w:p>
        </w:tc>
        <w:tc>
          <w:tcPr>
            <w:tcW w:w="2005" w:type="pct"/>
          </w:tcPr>
          <w:p w14:paraId="58645F72">
            <w:pPr>
              <w:spacing w:line="400" w:lineRule="exact"/>
              <w:jc w:val="right"/>
              <w:rPr>
                <w:rFonts w:hint="eastAsia" w:ascii="宋体" w:hAnsi="宋体" w:cs="宋体"/>
                <w:color w:val="000000"/>
                <w:sz w:val="18"/>
                <w:szCs w:val="18"/>
              </w:rPr>
            </w:pPr>
            <w:r>
              <w:rPr>
                <w:rFonts w:hint="eastAsia" w:ascii="宋体" w:hAnsi="宋体" w:cs="宋体"/>
                <w:color w:val="000000"/>
                <w:sz w:val="18"/>
                <w:szCs w:val="18"/>
              </w:rPr>
              <w:t>4,489.26</w:t>
            </w:r>
          </w:p>
        </w:tc>
        <w:tc>
          <w:tcPr>
            <w:tcW w:w="1714" w:type="pct"/>
          </w:tcPr>
          <w:p w14:paraId="49756E5B">
            <w:pPr>
              <w:spacing w:line="400" w:lineRule="exact"/>
              <w:jc w:val="right"/>
              <w:rPr>
                <w:rFonts w:hint="eastAsia" w:ascii="宋体" w:hAnsi="宋体" w:cs="宋体"/>
                <w:color w:val="000000"/>
                <w:sz w:val="18"/>
                <w:szCs w:val="18"/>
              </w:rPr>
            </w:pPr>
            <w:r>
              <w:rPr>
                <w:rFonts w:hint="eastAsia" w:ascii="宋体" w:hAnsi="宋体" w:cs="宋体"/>
                <w:color w:val="000000"/>
                <w:sz w:val="18"/>
                <w:szCs w:val="18"/>
              </w:rPr>
              <w:t>4,413.92</w:t>
            </w:r>
          </w:p>
        </w:tc>
      </w:tr>
      <w:tr w14:paraId="65D1B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281" w:type="pct"/>
            <w:vAlign w:val="center"/>
          </w:tcPr>
          <w:p w14:paraId="5237E5CE">
            <w:pPr>
              <w:spacing w:line="400" w:lineRule="exact"/>
              <w:jc w:val="left"/>
              <w:rPr>
                <w:rFonts w:hint="eastAsia" w:ascii="宋体" w:hAnsi="宋体" w:cs="宋体"/>
                <w:b/>
                <w:bCs/>
                <w:color w:val="000000"/>
                <w:sz w:val="18"/>
                <w:szCs w:val="18"/>
              </w:rPr>
            </w:pPr>
          </w:p>
        </w:tc>
        <w:tc>
          <w:tcPr>
            <w:tcW w:w="2005" w:type="pct"/>
            <w:vAlign w:val="center"/>
          </w:tcPr>
          <w:p w14:paraId="6C555F33">
            <w:pPr>
              <w:spacing w:line="400" w:lineRule="exact"/>
              <w:jc w:val="center"/>
              <w:rPr>
                <w:rFonts w:hint="eastAsia" w:ascii="宋体" w:hAnsi="宋体" w:cs="宋体"/>
                <w:b/>
                <w:bCs/>
                <w:color w:val="000000"/>
                <w:sz w:val="18"/>
                <w:szCs w:val="18"/>
              </w:rPr>
            </w:pPr>
            <w:r>
              <w:rPr>
                <w:rFonts w:hint="eastAsia" w:ascii="宋体" w:hAnsi="宋体" w:cs="宋体"/>
                <w:b/>
                <w:bCs/>
                <w:color w:val="000000"/>
                <w:sz w:val="18"/>
                <w:szCs w:val="18"/>
              </w:rPr>
              <w:t>2025年1-9月（未经审计）</w:t>
            </w:r>
          </w:p>
        </w:tc>
        <w:tc>
          <w:tcPr>
            <w:tcW w:w="1714" w:type="pct"/>
            <w:vAlign w:val="center"/>
          </w:tcPr>
          <w:p w14:paraId="1C826AF8">
            <w:pPr>
              <w:spacing w:line="400" w:lineRule="exact"/>
              <w:jc w:val="center"/>
              <w:rPr>
                <w:rFonts w:hint="eastAsia" w:ascii="宋体" w:hAnsi="宋体" w:cs="宋体"/>
                <w:b/>
                <w:bCs/>
                <w:color w:val="000000"/>
                <w:sz w:val="18"/>
                <w:szCs w:val="18"/>
              </w:rPr>
            </w:pPr>
            <w:r>
              <w:rPr>
                <w:rFonts w:hint="eastAsia" w:ascii="宋体" w:hAnsi="宋体" w:cs="宋体"/>
                <w:b/>
                <w:bCs/>
                <w:color w:val="000000"/>
                <w:sz w:val="18"/>
                <w:szCs w:val="18"/>
              </w:rPr>
              <w:t>2024年1-12月（经审计）</w:t>
            </w:r>
          </w:p>
        </w:tc>
      </w:tr>
      <w:tr w14:paraId="00F4D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281" w:type="pct"/>
            <w:vAlign w:val="center"/>
          </w:tcPr>
          <w:p w14:paraId="22F01EB3">
            <w:pPr>
              <w:spacing w:line="400" w:lineRule="exact"/>
              <w:jc w:val="left"/>
              <w:rPr>
                <w:rFonts w:hint="eastAsia" w:ascii="宋体" w:hAnsi="宋体" w:cs="宋体"/>
                <w:color w:val="000000"/>
                <w:sz w:val="18"/>
                <w:szCs w:val="18"/>
              </w:rPr>
            </w:pPr>
            <w:r>
              <w:rPr>
                <w:rFonts w:hint="eastAsia" w:ascii="宋体" w:hAnsi="宋体" w:cs="宋体"/>
                <w:color w:val="000000"/>
                <w:sz w:val="18"/>
                <w:szCs w:val="18"/>
              </w:rPr>
              <w:t>营业收入</w:t>
            </w:r>
          </w:p>
        </w:tc>
        <w:tc>
          <w:tcPr>
            <w:tcW w:w="2005" w:type="pct"/>
          </w:tcPr>
          <w:p w14:paraId="5ABAD18E">
            <w:pPr>
              <w:spacing w:line="400" w:lineRule="exact"/>
              <w:jc w:val="right"/>
              <w:rPr>
                <w:rFonts w:hint="eastAsia" w:ascii="宋体" w:hAnsi="宋体" w:cs="宋体"/>
                <w:color w:val="000000"/>
                <w:sz w:val="18"/>
                <w:szCs w:val="18"/>
              </w:rPr>
            </w:pPr>
            <w:r>
              <w:rPr>
                <w:rFonts w:hint="eastAsia" w:ascii="宋体" w:hAnsi="宋体" w:cs="宋体"/>
                <w:color w:val="000000"/>
                <w:sz w:val="18"/>
                <w:szCs w:val="18"/>
              </w:rPr>
              <w:t>6,777.33</w:t>
            </w:r>
          </w:p>
        </w:tc>
        <w:tc>
          <w:tcPr>
            <w:tcW w:w="1714" w:type="pct"/>
          </w:tcPr>
          <w:p w14:paraId="3CFB1133">
            <w:pPr>
              <w:spacing w:line="400" w:lineRule="exact"/>
              <w:jc w:val="right"/>
              <w:rPr>
                <w:rFonts w:hint="eastAsia" w:ascii="宋体" w:hAnsi="宋体" w:cs="宋体"/>
                <w:color w:val="000000"/>
                <w:sz w:val="18"/>
                <w:szCs w:val="18"/>
              </w:rPr>
            </w:pPr>
            <w:r>
              <w:rPr>
                <w:rFonts w:hint="eastAsia" w:ascii="宋体" w:hAnsi="宋体" w:cs="宋体"/>
                <w:color w:val="000000"/>
                <w:sz w:val="18"/>
                <w:szCs w:val="18"/>
              </w:rPr>
              <w:t xml:space="preserve"> 10,800.54 </w:t>
            </w:r>
          </w:p>
        </w:tc>
      </w:tr>
      <w:tr w14:paraId="3504D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281" w:type="pct"/>
            <w:vAlign w:val="center"/>
          </w:tcPr>
          <w:p w14:paraId="707F6FFF">
            <w:pPr>
              <w:spacing w:line="400" w:lineRule="exact"/>
              <w:jc w:val="left"/>
              <w:rPr>
                <w:rFonts w:hint="eastAsia" w:ascii="宋体" w:hAnsi="宋体" w:cs="宋体"/>
                <w:color w:val="000000"/>
                <w:sz w:val="18"/>
                <w:szCs w:val="18"/>
              </w:rPr>
            </w:pPr>
            <w:r>
              <w:rPr>
                <w:rFonts w:hint="eastAsia" w:ascii="宋体" w:hAnsi="宋体" w:cs="宋体"/>
                <w:color w:val="000000"/>
                <w:sz w:val="18"/>
                <w:szCs w:val="18"/>
              </w:rPr>
              <w:t>净利润</w:t>
            </w:r>
          </w:p>
        </w:tc>
        <w:tc>
          <w:tcPr>
            <w:tcW w:w="2005" w:type="pct"/>
          </w:tcPr>
          <w:p w14:paraId="66C15C1F">
            <w:pPr>
              <w:spacing w:line="400" w:lineRule="exact"/>
              <w:jc w:val="right"/>
              <w:rPr>
                <w:rFonts w:hint="eastAsia" w:ascii="宋体" w:hAnsi="宋体" w:cs="宋体"/>
                <w:color w:val="000000"/>
                <w:sz w:val="18"/>
                <w:szCs w:val="18"/>
              </w:rPr>
            </w:pPr>
            <w:r>
              <w:rPr>
                <w:rFonts w:hint="eastAsia" w:ascii="宋体" w:hAnsi="宋体" w:cs="宋体"/>
                <w:color w:val="000000"/>
                <w:sz w:val="18"/>
                <w:szCs w:val="18"/>
              </w:rPr>
              <w:t xml:space="preserve"> -16.40 </w:t>
            </w:r>
          </w:p>
        </w:tc>
        <w:tc>
          <w:tcPr>
            <w:tcW w:w="1714" w:type="pct"/>
          </w:tcPr>
          <w:p w14:paraId="0ED5F23F">
            <w:pPr>
              <w:spacing w:line="400" w:lineRule="exact"/>
              <w:jc w:val="right"/>
              <w:rPr>
                <w:rFonts w:hint="eastAsia" w:ascii="宋体" w:hAnsi="宋体" w:cs="宋体"/>
                <w:color w:val="000000"/>
                <w:sz w:val="18"/>
                <w:szCs w:val="18"/>
              </w:rPr>
            </w:pPr>
            <w:r>
              <w:rPr>
                <w:rFonts w:hint="eastAsia" w:ascii="宋体" w:hAnsi="宋体" w:cs="宋体"/>
                <w:color w:val="000000"/>
                <w:sz w:val="18"/>
                <w:szCs w:val="18"/>
              </w:rPr>
              <w:t xml:space="preserve"> 38.61 </w:t>
            </w:r>
          </w:p>
        </w:tc>
      </w:tr>
    </w:tbl>
    <w:p w14:paraId="1C97D4AE">
      <w:pPr>
        <w:pStyle w:val="23"/>
        <w:numPr>
          <w:ilvl w:val="255"/>
          <w:numId w:val="0"/>
        </w:numPr>
        <w:rPr>
          <w:color w:val="auto"/>
        </w:rPr>
      </w:pPr>
    </w:p>
    <w:p w14:paraId="1926A78C">
      <w:pPr>
        <w:autoSpaceDE w:val="0"/>
        <w:autoSpaceDN w:val="0"/>
        <w:adjustRightInd w:val="0"/>
        <w:spacing w:line="560" w:lineRule="exact"/>
        <w:rPr>
          <w:rFonts w:hint="eastAsia" w:ascii="宋体" w:hAnsi="宋体" w:cs="宋体"/>
          <w:b/>
          <w:kern w:val="0"/>
          <w:sz w:val="24"/>
          <w:szCs w:val="24"/>
        </w:rPr>
      </w:pPr>
      <w:r>
        <w:rPr>
          <w:rFonts w:hint="eastAsia" w:ascii="宋体" w:hAnsi="宋体" w:cs="宋体"/>
          <w:b/>
          <w:kern w:val="0"/>
          <w:sz w:val="24"/>
          <w:szCs w:val="24"/>
        </w:rPr>
        <w:t>三、担保协议的主要内容</w:t>
      </w:r>
    </w:p>
    <w:p w14:paraId="4FFE3075">
      <w:pPr>
        <w:autoSpaceDE w:val="0"/>
        <w:autoSpaceDN w:val="0"/>
        <w:adjustRightInd w:val="0"/>
        <w:spacing w:line="560" w:lineRule="exact"/>
        <w:ind w:firstLine="480" w:firstLineChars="200"/>
        <w:rPr>
          <w:rFonts w:hint="eastAsia" w:ascii="宋体" w:hAnsi="宋体" w:cs="宋体"/>
          <w:kern w:val="0"/>
          <w:sz w:val="24"/>
          <w:szCs w:val="24"/>
        </w:rPr>
      </w:pPr>
      <w:r>
        <w:rPr>
          <w:rFonts w:hint="eastAsia" w:ascii="宋体" w:hAnsi="宋体" w:cs="宋体"/>
          <w:kern w:val="0"/>
          <w:sz w:val="24"/>
          <w:szCs w:val="24"/>
        </w:rPr>
        <w:t>本次担保预计系为子公司提供的最高担保额度，在该担保额度内，公司将根据实际发生的担保在定期报告或进展公告中披露相应内容。</w:t>
      </w:r>
    </w:p>
    <w:p w14:paraId="0F9B5459">
      <w:pPr>
        <w:autoSpaceDE w:val="0"/>
        <w:autoSpaceDN w:val="0"/>
        <w:adjustRightInd w:val="0"/>
        <w:spacing w:line="560" w:lineRule="exact"/>
        <w:rPr>
          <w:rFonts w:hint="eastAsia" w:ascii="宋体" w:hAnsi="宋体" w:cs="宋体"/>
          <w:b/>
          <w:sz w:val="24"/>
          <w:szCs w:val="24"/>
        </w:rPr>
      </w:pPr>
      <w:r>
        <w:rPr>
          <w:rFonts w:hint="eastAsia" w:ascii="宋体" w:hAnsi="宋体" w:cs="宋体"/>
          <w:b/>
          <w:sz w:val="24"/>
          <w:szCs w:val="24"/>
        </w:rPr>
        <w:t>四、担保的必要性和合理性</w:t>
      </w:r>
    </w:p>
    <w:p w14:paraId="50071305">
      <w:pPr>
        <w:autoSpaceDE w:val="0"/>
        <w:autoSpaceDN w:val="0"/>
        <w:adjustRightInd w:val="0"/>
        <w:spacing w:line="560" w:lineRule="exact"/>
        <w:ind w:firstLine="480" w:firstLineChars="200"/>
        <w:rPr>
          <w:rFonts w:hint="eastAsia" w:ascii="宋体" w:hAnsi="宋体" w:cs="宋体"/>
          <w:kern w:val="0"/>
          <w:sz w:val="24"/>
          <w:szCs w:val="24"/>
        </w:rPr>
      </w:pPr>
      <w:r>
        <w:rPr>
          <w:rFonts w:hint="eastAsia" w:ascii="宋体" w:hAnsi="宋体" w:cs="宋体"/>
          <w:kern w:val="0"/>
          <w:sz w:val="24"/>
          <w:szCs w:val="24"/>
        </w:rPr>
        <w:t>本次担保主要为满足子公司日常生产经营需要，保证其生产经营活动的顺利开展，符合公司实际经营情况和整体发展战略，具有必要性和合理性。被担保对象为公司全资子公司，公司对其日常经营活动和资信状况能够及时掌握，担保风险总体可控，不存在损害公司及股东特别是中小股东利益的情形。</w:t>
      </w:r>
    </w:p>
    <w:p w14:paraId="63F6E830">
      <w:pPr>
        <w:autoSpaceDE w:val="0"/>
        <w:autoSpaceDN w:val="0"/>
        <w:adjustRightInd w:val="0"/>
        <w:spacing w:line="560" w:lineRule="exact"/>
        <w:rPr>
          <w:rFonts w:hint="eastAsia" w:ascii="宋体" w:hAnsi="宋体" w:cs="宋体"/>
          <w:b/>
          <w:sz w:val="24"/>
          <w:szCs w:val="24"/>
        </w:rPr>
      </w:pPr>
      <w:r>
        <w:rPr>
          <w:rFonts w:hint="eastAsia" w:ascii="宋体" w:hAnsi="宋体" w:cs="宋体"/>
          <w:b/>
          <w:sz w:val="24"/>
          <w:szCs w:val="24"/>
        </w:rPr>
        <w:t>五、董事会意见</w:t>
      </w:r>
    </w:p>
    <w:p w14:paraId="1CF69BBF">
      <w:pPr>
        <w:tabs>
          <w:tab w:val="left" w:pos="3468"/>
        </w:tabs>
        <w:autoSpaceDE w:val="0"/>
        <w:autoSpaceDN w:val="0"/>
        <w:adjustRightInd w:val="0"/>
        <w:spacing w:line="560" w:lineRule="exact"/>
        <w:ind w:firstLine="460" w:firstLineChars="192"/>
        <w:rPr>
          <w:rFonts w:hint="eastAsia" w:ascii="宋体" w:hAnsi="宋体" w:cs="宋体"/>
          <w:sz w:val="24"/>
          <w:szCs w:val="24"/>
        </w:rPr>
      </w:pPr>
      <w:r>
        <w:rPr>
          <w:rFonts w:ascii="宋体" w:hAnsi="宋体" w:cs="宋体"/>
          <w:sz w:val="24"/>
          <w:szCs w:val="24"/>
        </w:rPr>
        <w:t>董事会认为</w:t>
      </w:r>
      <w:r>
        <w:rPr>
          <w:rFonts w:hint="eastAsia" w:ascii="宋体" w:hAnsi="宋体" w:cs="宋体"/>
          <w:sz w:val="24"/>
          <w:szCs w:val="24"/>
        </w:rPr>
        <w:t>，</w:t>
      </w:r>
      <w:r>
        <w:rPr>
          <w:rFonts w:ascii="宋体" w:hAnsi="宋体" w:cs="宋体"/>
          <w:sz w:val="24"/>
          <w:szCs w:val="24"/>
        </w:rPr>
        <w:t>本次担保预计是考虑子公司日常经营需求，符合相关法律法规及公司章程的规定，担保风险总体可控，有利于公司的生产经营和长远发展，董事会同意上述担保</w:t>
      </w:r>
      <w:r>
        <w:rPr>
          <w:rFonts w:hint="eastAsia" w:ascii="宋体" w:hAnsi="宋体" w:cs="宋体"/>
          <w:sz w:val="24"/>
          <w:szCs w:val="24"/>
        </w:rPr>
        <w:t>事宜并同意提交公司股东会进行审议</w:t>
      </w:r>
      <w:r>
        <w:rPr>
          <w:rFonts w:ascii="宋体" w:hAnsi="宋体" w:cs="宋体"/>
          <w:sz w:val="24"/>
          <w:szCs w:val="24"/>
        </w:rPr>
        <w:t>。</w:t>
      </w:r>
    </w:p>
    <w:p w14:paraId="7B46C9CA">
      <w:pPr>
        <w:pStyle w:val="16"/>
        <w:widowControl/>
        <w:numPr>
          <w:ilvl w:val="0"/>
          <w:numId w:val="2"/>
        </w:numPr>
        <w:ind w:firstLine="482"/>
        <w:rPr>
          <w:rFonts w:hint="eastAsia" w:ascii="宋体" w:hAnsi="宋体" w:cs="宋体"/>
          <w:b/>
          <w:kern w:val="2"/>
          <w:szCs w:val="24"/>
        </w:rPr>
      </w:pPr>
      <w:r>
        <w:rPr>
          <w:rFonts w:hint="eastAsia" w:ascii="宋体" w:hAnsi="宋体" w:cs="宋体"/>
          <w:b/>
          <w:kern w:val="2"/>
          <w:szCs w:val="24"/>
        </w:rPr>
        <w:t>累计对外担保数量及逾期担保的数量</w:t>
      </w:r>
    </w:p>
    <w:p w14:paraId="03321A94">
      <w:pPr>
        <w:pStyle w:val="16"/>
        <w:widowControl/>
        <w:numPr>
          <w:ilvl w:val="255"/>
          <w:numId w:val="0"/>
        </w:numPr>
        <w:autoSpaceDE w:val="0"/>
        <w:autoSpaceDN w:val="0"/>
        <w:spacing w:beforeAutospacing="0" w:afterAutospacing="0" w:line="560" w:lineRule="exact"/>
        <w:ind w:firstLine="480" w:firstLineChars="200"/>
        <w:jc w:val="both"/>
        <w:rPr>
          <w:rFonts w:hint="eastAsia" w:ascii="宋体" w:hAnsi="宋体" w:cs="宋体"/>
          <w:b/>
          <w:kern w:val="2"/>
          <w:szCs w:val="24"/>
          <w:lang w:val="zh-TW" w:eastAsia="zh-TW"/>
        </w:rPr>
      </w:pPr>
      <w:r>
        <w:rPr>
          <w:rFonts w:hint="eastAsia" w:ascii="宋体" w:hAnsi="宋体" w:cs="宋体"/>
          <w:szCs w:val="24"/>
        </w:rPr>
        <w:t>截至2025年11月30日，公司及子公司担保总额为150,000万元</w:t>
      </w:r>
      <w:r>
        <w:rPr>
          <w:rFonts w:hint="eastAsia" w:ascii="宋体" w:hAnsi="宋体" w:cs="宋体"/>
          <w:kern w:val="0"/>
          <w:szCs w:val="24"/>
          <w:lang w:eastAsia="zh-CN"/>
        </w:rPr>
        <w:t>（</w:t>
      </w:r>
      <w:r>
        <w:rPr>
          <w:rFonts w:hint="eastAsia" w:ascii="宋体" w:hAnsi="宋体" w:cs="宋体"/>
          <w:kern w:val="0"/>
          <w:szCs w:val="24"/>
          <w:lang w:val="en-US" w:eastAsia="zh-CN"/>
        </w:rPr>
        <w:t>其中已签署担保合同的担保总额为129,474.10万元</w:t>
      </w:r>
      <w:r>
        <w:rPr>
          <w:rFonts w:hint="eastAsia" w:ascii="宋体" w:hAnsi="宋体" w:cs="宋体"/>
          <w:kern w:val="0"/>
          <w:szCs w:val="24"/>
          <w:lang w:eastAsia="zh-CN"/>
        </w:rPr>
        <w:t>）</w:t>
      </w:r>
      <w:r>
        <w:rPr>
          <w:rFonts w:hint="eastAsia" w:ascii="宋体" w:hAnsi="宋体" w:cs="宋体"/>
          <w:szCs w:val="24"/>
        </w:rPr>
        <w:t>，担保余额为64,</w:t>
      </w:r>
      <w:bookmarkStart w:id="4" w:name="_GoBack"/>
      <w:bookmarkEnd w:id="4"/>
      <w:r>
        <w:rPr>
          <w:rFonts w:hint="eastAsia" w:ascii="宋体" w:hAnsi="宋体" w:cs="宋体"/>
          <w:szCs w:val="24"/>
        </w:rPr>
        <w:t>172.59万元，系公司为子公司云变电气、惠泽电器及黔南望江提供的担保，担保总额占公司最近一期经审计归属于上市公司股东的净资产的</w:t>
      </w:r>
      <w:r>
        <w:rPr>
          <w:rFonts w:ascii="宋体" w:hAnsi="宋体" w:cs="宋体"/>
          <w:szCs w:val="24"/>
        </w:rPr>
        <w:t>62.1</w:t>
      </w:r>
      <w:r>
        <w:rPr>
          <w:rFonts w:hint="eastAsia" w:ascii="宋体" w:hAnsi="宋体" w:cs="宋体"/>
          <w:szCs w:val="24"/>
          <w:lang w:val="en-US" w:eastAsia="zh-CN"/>
        </w:rPr>
        <w:t>6</w:t>
      </w:r>
      <w:r>
        <w:rPr>
          <w:rFonts w:ascii="宋体" w:hAnsi="宋体" w:cs="宋体"/>
          <w:szCs w:val="24"/>
        </w:rPr>
        <w:t>%</w:t>
      </w:r>
      <w:r>
        <w:rPr>
          <w:rFonts w:hint="eastAsia" w:ascii="宋体" w:hAnsi="宋体" w:cs="宋体"/>
          <w:szCs w:val="24"/>
        </w:rPr>
        <w:t>，担保余额占公司最近一期经审计归属于上市公司股东的净资产的26.59%，不存在逾期担保。</w:t>
      </w:r>
    </w:p>
    <w:p w14:paraId="3ED6D8C8">
      <w:pPr>
        <w:autoSpaceDE w:val="0"/>
        <w:autoSpaceDN w:val="0"/>
        <w:adjustRightInd w:val="0"/>
        <w:spacing w:line="560" w:lineRule="exact"/>
        <w:ind w:firstLine="460" w:firstLineChars="192"/>
        <w:rPr>
          <w:rFonts w:hint="eastAsia" w:ascii="宋体" w:hAnsi="宋体" w:cs="宋体"/>
          <w:b/>
          <w:sz w:val="24"/>
          <w:szCs w:val="24"/>
        </w:rPr>
      </w:pPr>
      <w:r>
        <w:rPr>
          <w:rFonts w:hint="eastAsia" w:ascii="宋体" w:hAnsi="宋体" w:cs="宋体"/>
          <w:kern w:val="0"/>
          <w:sz w:val="24"/>
          <w:szCs w:val="24"/>
        </w:rPr>
        <w:t>特此公告。</w:t>
      </w:r>
    </w:p>
    <w:p w14:paraId="49FF2F2F">
      <w:pPr>
        <w:autoSpaceDE w:val="0"/>
        <w:autoSpaceDN w:val="0"/>
        <w:adjustRightInd w:val="0"/>
        <w:spacing w:line="560" w:lineRule="exact"/>
        <w:jc w:val="left"/>
        <w:rPr>
          <w:rFonts w:hint="eastAsia" w:ascii="宋体" w:hAnsi="宋体" w:cs="宋体"/>
          <w:kern w:val="0"/>
          <w:sz w:val="24"/>
          <w:szCs w:val="24"/>
        </w:rPr>
      </w:pPr>
    </w:p>
    <w:p w14:paraId="4A3E5C17">
      <w:pPr>
        <w:adjustRightInd w:val="0"/>
        <w:snapToGrid w:val="0"/>
        <w:spacing w:line="560" w:lineRule="exact"/>
        <w:ind w:firstLine="480" w:firstLineChars="200"/>
        <w:jc w:val="right"/>
        <w:rPr>
          <w:rFonts w:hint="eastAsia" w:ascii="宋体" w:hAnsi="宋体"/>
          <w:sz w:val="24"/>
          <w:szCs w:val="24"/>
        </w:rPr>
      </w:pPr>
      <w:r>
        <w:rPr>
          <w:rFonts w:hint="eastAsia" w:ascii="宋体" w:hAnsi="宋体" w:cs="宋体"/>
          <w:kern w:val="0"/>
          <w:sz w:val="24"/>
          <w:szCs w:val="24"/>
        </w:rPr>
        <w:t>重庆望变电气（集团）</w:t>
      </w:r>
      <w:r>
        <w:rPr>
          <w:rFonts w:hint="eastAsia" w:ascii="宋体" w:hAnsi="宋体" w:cs="仿宋_GB2312"/>
          <w:sz w:val="24"/>
          <w:szCs w:val="24"/>
        </w:rPr>
        <w:t>股</w:t>
      </w:r>
      <w:r>
        <w:rPr>
          <w:rFonts w:hint="eastAsia" w:ascii="宋体" w:hAnsi="宋体"/>
          <w:sz w:val="24"/>
          <w:szCs w:val="24"/>
        </w:rPr>
        <w:t>份有限公司董事会</w:t>
      </w:r>
    </w:p>
    <w:p w14:paraId="45FE9C53">
      <w:pPr>
        <w:adjustRightInd w:val="0"/>
        <w:snapToGrid w:val="0"/>
        <w:spacing w:line="560" w:lineRule="exact"/>
        <w:ind w:firstLine="480" w:firstLineChars="200"/>
        <w:jc w:val="right"/>
        <w:rPr>
          <w:rFonts w:hint="eastAsia" w:ascii="宋体" w:hAnsi="宋体" w:cs="宋体"/>
          <w:sz w:val="24"/>
          <w:szCs w:val="24"/>
        </w:rPr>
      </w:pPr>
      <w:r>
        <w:rPr>
          <w:rFonts w:ascii="宋体" w:hAnsi="宋体"/>
          <w:sz w:val="24"/>
          <w:szCs w:val="24"/>
        </w:rPr>
        <w:t>202</w:t>
      </w:r>
      <w:r>
        <w:rPr>
          <w:rFonts w:hint="eastAsia" w:ascii="宋体" w:hAnsi="宋体"/>
          <w:sz w:val="24"/>
          <w:szCs w:val="24"/>
        </w:rPr>
        <w:t>5年12月11日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5501252"/>
    </w:sdtPr>
    <w:sdtContent>
      <w:p w14:paraId="6EF9853B">
        <w:pPr>
          <w:pStyle w:val="9"/>
          <w:jc w:val="center"/>
        </w:pPr>
        <w:r>
          <w:fldChar w:fldCharType="begin"/>
        </w:r>
        <w:r>
          <w:instrText xml:space="preserve"> PAGE   \* MERGEFORMAT </w:instrText>
        </w:r>
        <w:r>
          <w:fldChar w:fldCharType="separate"/>
        </w:r>
        <w:r>
          <w:rPr>
            <w:lang w:val="zh-CN"/>
          </w:rPr>
          <w:t>4</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F92DDF"/>
    <w:multiLevelType w:val="singleLevel"/>
    <w:tmpl w:val="B8F92DDF"/>
    <w:lvl w:ilvl="0" w:tentative="0">
      <w:start w:val="6"/>
      <w:numFmt w:val="chineseCounting"/>
      <w:suff w:val="nothing"/>
      <w:lvlText w:val="%1、"/>
      <w:lvlJc w:val="left"/>
      <w:rPr>
        <w:rFonts w:hint="eastAsia"/>
      </w:rPr>
    </w:lvl>
  </w:abstractNum>
  <w:abstractNum w:abstractNumId="1">
    <w:nsid w:val="22712713"/>
    <w:multiLevelType w:val="singleLevel"/>
    <w:tmpl w:val="22712713"/>
    <w:lvl w:ilvl="0" w:tentative="0">
      <w:start w:val="1"/>
      <w:numFmt w:val="bullet"/>
      <w:pStyle w:val="25"/>
      <w:lvlText w:val=""/>
      <w:lvlJc w:val="left"/>
      <w:pPr>
        <w:ind w:left="42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kMTYzODhjYTIzN2VlNWE1ZmU0YTU0NTgxMDI4MDMifQ=="/>
  </w:docVars>
  <w:rsids>
    <w:rsidRoot w:val="00BF2ECD"/>
    <w:rsid w:val="00000558"/>
    <w:rsid w:val="00000BC9"/>
    <w:rsid w:val="00037429"/>
    <w:rsid w:val="00044B7A"/>
    <w:rsid w:val="000507FA"/>
    <w:rsid w:val="00050D8C"/>
    <w:rsid w:val="00051D15"/>
    <w:rsid w:val="00054EEE"/>
    <w:rsid w:val="00060DFA"/>
    <w:rsid w:val="00064333"/>
    <w:rsid w:val="000671F4"/>
    <w:rsid w:val="0007156E"/>
    <w:rsid w:val="000764C3"/>
    <w:rsid w:val="00082408"/>
    <w:rsid w:val="00087F94"/>
    <w:rsid w:val="00095674"/>
    <w:rsid w:val="000A490B"/>
    <w:rsid w:val="000A5568"/>
    <w:rsid w:val="000B677B"/>
    <w:rsid w:val="000E2A8D"/>
    <w:rsid w:val="000F2338"/>
    <w:rsid w:val="00124FA5"/>
    <w:rsid w:val="00125C8C"/>
    <w:rsid w:val="00126188"/>
    <w:rsid w:val="001335CF"/>
    <w:rsid w:val="001368F4"/>
    <w:rsid w:val="001619B6"/>
    <w:rsid w:val="00161C50"/>
    <w:rsid w:val="001631B1"/>
    <w:rsid w:val="00172339"/>
    <w:rsid w:val="00177222"/>
    <w:rsid w:val="001903B0"/>
    <w:rsid w:val="001B2B9A"/>
    <w:rsid w:val="001B5730"/>
    <w:rsid w:val="001C165F"/>
    <w:rsid w:val="001C235A"/>
    <w:rsid w:val="001D0405"/>
    <w:rsid w:val="001E4E44"/>
    <w:rsid w:val="001E7562"/>
    <w:rsid w:val="001F0293"/>
    <w:rsid w:val="001F3BAD"/>
    <w:rsid w:val="002032FC"/>
    <w:rsid w:val="002051AC"/>
    <w:rsid w:val="00207506"/>
    <w:rsid w:val="002114BE"/>
    <w:rsid w:val="00222403"/>
    <w:rsid w:val="00224E96"/>
    <w:rsid w:val="00234702"/>
    <w:rsid w:val="00246976"/>
    <w:rsid w:val="00266A7C"/>
    <w:rsid w:val="00272D61"/>
    <w:rsid w:val="002878A7"/>
    <w:rsid w:val="00294DFB"/>
    <w:rsid w:val="002A3C59"/>
    <w:rsid w:val="002B1A65"/>
    <w:rsid w:val="002B291C"/>
    <w:rsid w:val="002C32E2"/>
    <w:rsid w:val="002C3AF3"/>
    <w:rsid w:val="002C5387"/>
    <w:rsid w:val="002D1984"/>
    <w:rsid w:val="002D51F5"/>
    <w:rsid w:val="002D6A43"/>
    <w:rsid w:val="002E2215"/>
    <w:rsid w:val="002F1340"/>
    <w:rsid w:val="002F33C4"/>
    <w:rsid w:val="002F6DC2"/>
    <w:rsid w:val="002F6FD5"/>
    <w:rsid w:val="0030115C"/>
    <w:rsid w:val="003051B5"/>
    <w:rsid w:val="00313A26"/>
    <w:rsid w:val="00335DCA"/>
    <w:rsid w:val="00342251"/>
    <w:rsid w:val="00343F60"/>
    <w:rsid w:val="00352F3F"/>
    <w:rsid w:val="00385A69"/>
    <w:rsid w:val="003A3C4B"/>
    <w:rsid w:val="003A4934"/>
    <w:rsid w:val="003A6877"/>
    <w:rsid w:val="003B5E5C"/>
    <w:rsid w:val="003C13ED"/>
    <w:rsid w:val="003D1D39"/>
    <w:rsid w:val="003D4987"/>
    <w:rsid w:val="003D500E"/>
    <w:rsid w:val="003E399E"/>
    <w:rsid w:val="003F26EB"/>
    <w:rsid w:val="00412966"/>
    <w:rsid w:val="004166FA"/>
    <w:rsid w:val="004216D6"/>
    <w:rsid w:val="00421FBB"/>
    <w:rsid w:val="00432414"/>
    <w:rsid w:val="004417CE"/>
    <w:rsid w:val="00452302"/>
    <w:rsid w:val="004617FD"/>
    <w:rsid w:val="00481530"/>
    <w:rsid w:val="004A27BC"/>
    <w:rsid w:val="004B6940"/>
    <w:rsid w:val="004C3D35"/>
    <w:rsid w:val="004E11B1"/>
    <w:rsid w:val="004F4D81"/>
    <w:rsid w:val="004F792E"/>
    <w:rsid w:val="00501890"/>
    <w:rsid w:val="0050197F"/>
    <w:rsid w:val="00503B40"/>
    <w:rsid w:val="00507042"/>
    <w:rsid w:val="0052284A"/>
    <w:rsid w:val="00522DE7"/>
    <w:rsid w:val="0052751C"/>
    <w:rsid w:val="00530DCA"/>
    <w:rsid w:val="0055741E"/>
    <w:rsid w:val="00563DEF"/>
    <w:rsid w:val="00583455"/>
    <w:rsid w:val="00593D94"/>
    <w:rsid w:val="005950D7"/>
    <w:rsid w:val="005A5697"/>
    <w:rsid w:val="005B06D0"/>
    <w:rsid w:val="005B1790"/>
    <w:rsid w:val="005B1CE9"/>
    <w:rsid w:val="005E015E"/>
    <w:rsid w:val="005E0D94"/>
    <w:rsid w:val="006004F3"/>
    <w:rsid w:val="0061300F"/>
    <w:rsid w:val="0061302E"/>
    <w:rsid w:val="00616B8A"/>
    <w:rsid w:val="00621D2E"/>
    <w:rsid w:val="00623320"/>
    <w:rsid w:val="006233E1"/>
    <w:rsid w:val="00631267"/>
    <w:rsid w:val="006414A6"/>
    <w:rsid w:val="006556BD"/>
    <w:rsid w:val="00656B76"/>
    <w:rsid w:val="0065737B"/>
    <w:rsid w:val="0066481A"/>
    <w:rsid w:val="006754DD"/>
    <w:rsid w:val="00692CB8"/>
    <w:rsid w:val="00693570"/>
    <w:rsid w:val="006B13DA"/>
    <w:rsid w:val="006B2315"/>
    <w:rsid w:val="006B45CE"/>
    <w:rsid w:val="006B6910"/>
    <w:rsid w:val="006C4014"/>
    <w:rsid w:val="006C6811"/>
    <w:rsid w:val="006D1676"/>
    <w:rsid w:val="006D6459"/>
    <w:rsid w:val="007041A1"/>
    <w:rsid w:val="00713C80"/>
    <w:rsid w:val="00732D11"/>
    <w:rsid w:val="0073774F"/>
    <w:rsid w:val="00745B5F"/>
    <w:rsid w:val="0076073C"/>
    <w:rsid w:val="00776B0C"/>
    <w:rsid w:val="007946B0"/>
    <w:rsid w:val="007A42EC"/>
    <w:rsid w:val="007A54FF"/>
    <w:rsid w:val="007B4990"/>
    <w:rsid w:val="007C343C"/>
    <w:rsid w:val="007C655F"/>
    <w:rsid w:val="007D3D15"/>
    <w:rsid w:val="007D539C"/>
    <w:rsid w:val="007F4CED"/>
    <w:rsid w:val="00816C8F"/>
    <w:rsid w:val="00826B51"/>
    <w:rsid w:val="0083455D"/>
    <w:rsid w:val="008625FB"/>
    <w:rsid w:val="00866013"/>
    <w:rsid w:val="00885E01"/>
    <w:rsid w:val="00891EE8"/>
    <w:rsid w:val="008A76CD"/>
    <w:rsid w:val="008B360D"/>
    <w:rsid w:val="008B4652"/>
    <w:rsid w:val="008C75E8"/>
    <w:rsid w:val="008D10ED"/>
    <w:rsid w:val="008D7908"/>
    <w:rsid w:val="008D7D16"/>
    <w:rsid w:val="008E2FF0"/>
    <w:rsid w:val="00910565"/>
    <w:rsid w:val="00912197"/>
    <w:rsid w:val="00913A1A"/>
    <w:rsid w:val="009238FB"/>
    <w:rsid w:val="009477DC"/>
    <w:rsid w:val="009536D8"/>
    <w:rsid w:val="00955454"/>
    <w:rsid w:val="00955DC4"/>
    <w:rsid w:val="00960BDB"/>
    <w:rsid w:val="00962784"/>
    <w:rsid w:val="0096329B"/>
    <w:rsid w:val="0097194D"/>
    <w:rsid w:val="009752E9"/>
    <w:rsid w:val="00977420"/>
    <w:rsid w:val="0099027E"/>
    <w:rsid w:val="00992A41"/>
    <w:rsid w:val="009A242D"/>
    <w:rsid w:val="009A3EBC"/>
    <w:rsid w:val="009C3379"/>
    <w:rsid w:val="00A06636"/>
    <w:rsid w:val="00A20224"/>
    <w:rsid w:val="00A317FA"/>
    <w:rsid w:val="00A369A9"/>
    <w:rsid w:val="00A4773A"/>
    <w:rsid w:val="00A50776"/>
    <w:rsid w:val="00A56BD4"/>
    <w:rsid w:val="00A60EBF"/>
    <w:rsid w:val="00A80442"/>
    <w:rsid w:val="00A87F63"/>
    <w:rsid w:val="00A9108C"/>
    <w:rsid w:val="00AA1DF6"/>
    <w:rsid w:val="00AA36C5"/>
    <w:rsid w:val="00AC6182"/>
    <w:rsid w:val="00AD2992"/>
    <w:rsid w:val="00AD7080"/>
    <w:rsid w:val="00AF4CB2"/>
    <w:rsid w:val="00B10348"/>
    <w:rsid w:val="00B10A2A"/>
    <w:rsid w:val="00B12308"/>
    <w:rsid w:val="00B13505"/>
    <w:rsid w:val="00B152B7"/>
    <w:rsid w:val="00B253D1"/>
    <w:rsid w:val="00B25554"/>
    <w:rsid w:val="00B3338B"/>
    <w:rsid w:val="00B35C9C"/>
    <w:rsid w:val="00B51B1B"/>
    <w:rsid w:val="00B575AF"/>
    <w:rsid w:val="00B65460"/>
    <w:rsid w:val="00B656C4"/>
    <w:rsid w:val="00B66D7C"/>
    <w:rsid w:val="00B90010"/>
    <w:rsid w:val="00B96BB6"/>
    <w:rsid w:val="00BC4BBB"/>
    <w:rsid w:val="00BD7901"/>
    <w:rsid w:val="00BE0431"/>
    <w:rsid w:val="00BE7AC6"/>
    <w:rsid w:val="00BF2ECD"/>
    <w:rsid w:val="00BF54FF"/>
    <w:rsid w:val="00C061F6"/>
    <w:rsid w:val="00C11DBC"/>
    <w:rsid w:val="00C21159"/>
    <w:rsid w:val="00C2610B"/>
    <w:rsid w:val="00C321FA"/>
    <w:rsid w:val="00C335E9"/>
    <w:rsid w:val="00C37A23"/>
    <w:rsid w:val="00C5077D"/>
    <w:rsid w:val="00C515E8"/>
    <w:rsid w:val="00C55AA9"/>
    <w:rsid w:val="00C578DC"/>
    <w:rsid w:val="00C57B6A"/>
    <w:rsid w:val="00C64E83"/>
    <w:rsid w:val="00C800AF"/>
    <w:rsid w:val="00C85BA6"/>
    <w:rsid w:val="00CA5962"/>
    <w:rsid w:val="00CA5E22"/>
    <w:rsid w:val="00CC2A94"/>
    <w:rsid w:val="00CC6A06"/>
    <w:rsid w:val="00CD0630"/>
    <w:rsid w:val="00CE38B0"/>
    <w:rsid w:val="00D0021B"/>
    <w:rsid w:val="00D0047A"/>
    <w:rsid w:val="00D060E9"/>
    <w:rsid w:val="00D061EC"/>
    <w:rsid w:val="00D12713"/>
    <w:rsid w:val="00D14999"/>
    <w:rsid w:val="00D20476"/>
    <w:rsid w:val="00D348AE"/>
    <w:rsid w:val="00D36CEC"/>
    <w:rsid w:val="00D37022"/>
    <w:rsid w:val="00D40D5F"/>
    <w:rsid w:val="00D42243"/>
    <w:rsid w:val="00D51495"/>
    <w:rsid w:val="00D6642E"/>
    <w:rsid w:val="00DA6BAB"/>
    <w:rsid w:val="00DB4349"/>
    <w:rsid w:val="00DC7D90"/>
    <w:rsid w:val="00DD1465"/>
    <w:rsid w:val="00DD3A5B"/>
    <w:rsid w:val="00DD5D73"/>
    <w:rsid w:val="00DE0D68"/>
    <w:rsid w:val="00DE24A1"/>
    <w:rsid w:val="00DE2FB4"/>
    <w:rsid w:val="00E1723F"/>
    <w:rsid w:val="00E2700A"/>
    <w:rsid w:val="00E313D8"/>
    <w:rsid w:val="00E3553B"/>
    <w:rsid w:val="00E35CC1"/>
    <w:rsid w:val="00E360F6"/>
    <w:rsid w:val="00E50EF5"/>
    <w:rsid w:val="00E54250"/>
    <w:rsid w:val="00E62DAF"/>
    <w:rsid w:val="00E92E43"/>
    <w:rsid w:val="00E97E71"/>
    <w:rsid w:val="00EA34E8"/>
    <w:rsid w:val="00EC5C5A"/>
    <w:rsid w:val="00ED0055"/>
    <w:rsid w:val="00ED63A9"/>
    <w:rsid w:val="00EF138E"/>
    <w:rsid w:val="00EF74FD"/>
    <w:rsid w:val="00F16E07"/>
    <w:rsid w:val="00F2365C"/>
    <w:rsid w:val="00F34FFB"/>
    <w:rsid w:val="00F3617A"/>
    <w:rsid w:val="00F60665"/>
    <w:rsid w:val="00F64DA3"/>
    <w:rsid w:val="00F65A6F"/>
    <w:rsid w:val="00F77490"/>
    <w:rsid w:val="00F84CFA"/>
    <w:rsid w:val="00F967B2"/>
    <w:rsid w:val="00FA1CAB"/>
    <w:rsid w:val="00FD1980"/>
    <w:rsid w:val="00FE0712"/>
    <w:rsid w:val="02066364"/>
    <w:rsid w:val="02815CE9"/>
    <w:rsid w:val="03134C0F"/>
    <w:rsid w:val="032D4E3E"/>
    <w:rsid w:val="06574CAB"/>
    <w:rsid w:val="06643DC2"/>
    <w:rsid w:val="073B5BC9"/>
    <w:rsid w:val="07BE292C"/>
    <w:rsid w:val="07C65CA5"/>
    <w:rsid w:val="08514037"/>
    <w:rsid w:val="096251C7"/>
    <w:rsid w:val="0D955F12"/>
    <w:rsid w:val="0F0C6523"/>
    <w:rsid w:val="10BB6389"/>
    <w:rsid w:val="11F04FB0"/>
    <w:rsid w:val="11FD41AB"/>
    <w:rsid w:val="174148EA"/>
    <w:rsid w:val="1E79312C"/>
    <w:rsid w:val="20AB2712"/>
    <w:rsid w:val="213B1B76"/>
    <w:rsid w:val="230A0721"/>
    <w:rsid w:val="24100647"/>
    <w:rsid w:val="24BC60E2"/>
    <w:rsid w:val="251B37E1"/>
    <w:rsid w:val="26401ABD"/>
    <w:rsid w:val="2AAC23F9"/>
    <w:rsid w:val="2C422599"/>
    <w:rsid w:val="2FB04883"/>
    <w:rsid w:val="30FC41DF"/>
    <w:rsid w:val="36372CA9"/>
    <w:rsid w:val="381C2D1C"/>
    <w:rsid w:val="39E2569B"/>
    <w:rsid w:val="3A8D0F72"/>
    <w:rsid w:val="3A960DE3"/>
    <w:rsid w:val="3ADF8039"/>
    <w:rsid w:val="3C6F4907"/>
    <w:rsid w:val="3CF573AA"/>
    <w:rsid w:val="3D624079"/>
    <w:rsid w:val="3DFF1026"/>
    <w:rsid w:val="3FFBD36B"/>
    <w:rsid w:val="42275509"/>
    <w:rsid w:val="4611554A"/>
    <w:rsid w:val="499F1D78"/>
    <w:rsid w:val="4A983129"/>
    <w:rsid w:val="4D556624"/>
    <w:rsid w:val="524C7FC2"/>
    <w:rsid w:val="52E00474"/>
    <w:rsid w:val="52EA1CBB"/>
    <w:rsid w:val="53202F13"/>
    <w:rsid w:val="565D3A9C"/>
    <w:rsid w:val="577DB925"/>
    <w:rsid w:val="57C86637"/>
    <w:rsid w:val="59531228"/>
    <w:rsid w:val="5BA66D99"/>
    <w:rsid w:val="5C6B3487"/>
    <w:rsid w:val="5C7436E9"/>
    <w:rsid w:val="5C8255FD"/>
    <w:rsid w:val="5CEE2784"/>
    <w:rsid w:val="5D0E2A44"/>
    <w:rsid w:val="5DB669CE"/>
    <w:rsid w:val="5FE3F82D"/>
    <w:rsid w:val="610E4A4B"/>
    <w:rsid w:val="611F29C3"/>
    <w:rsid w:val="61316624"/>
    <w:rsid w:val="61AD670E"/>
    <w:rsid w:val="620A112B"/>
    <w:rsid w:val="66F9576C"/>
    <w:rsid w:val="67DC6589"/>
    <w:rsid w:val="69D24BFB"/>
    <w:rsid w:val="6A982891"/>
    <w:rsid w:val="6B352872"/>
    <w:rsid w:val="6BE74894"/>
    <w:rsid w:val="6EEE5B5B"/>
    <w:rsid w:val="6F6946EC"/>
    <w:rsid w:val="6F8D7841"/>
    <w:rsid w:val="757F06CF"/>
    <w:rsid w:val="75B740CF"/>
    <w:rsid w:val="78852C26"/>
    <w:rsid w:val="794B6266"/>
    <w:rsid w:val="7CD367EE"/>
    <w:rsid w:val="7E0457F8"/>
    <w:rsid w:val="7EFD57C1"/>
    <w:rsid w:val="7FB341D1"/>
    <w:rsid w:val="7FE01AFA"/>
    <w:rsid w:val="9FBE9639"/>
    <w:rsid w:val="A66F6701"/>
    <w:rsid w:val="ABAB6B84"/>
    <w:rsid w:val="D3DF2B1A"/>
    <w:rsid w:val="EF3BAB14"/>
    <w:rsid w:val="FDA7D4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qFormat="1" w:uiPriority="39" w:name="toc 4"/>
    <w:lsdException w:qFormat="1" w:uiPriority="39" w:name="toc 5"/>
    <w:lsdException w:qFormat="1" w:uiPriority="39" w:name="toc 6"/>
    <w:lsdException w:qFormat="1" w:uiPriority="39" w:name="toc 7"/>
    <w:lsdException w:qFormat="1" w:uiPriority="39" w:name="toc 8"/>
    <w:lsdException w:qFormat="1"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toc 7"/>
    <w:basedOn w:val="1"/>
    <w:next w:val="1"/>
    <w:autoRedefine/>
    <w:semiHidden/>
    <w:unhideWhenUsed/>
    <w:qFormat/>
    <w:uiPriority w:val="39"/>
    <w:pPr>
      <w:ind w:left="2520" w:leftChars="1200"/>
    </w:pPr>
  </w:style>
  <w:style w:type="paragraph" w:styleId="3">
    <w:name w:val="annotation text"/>
    <w:basedOn w:val="1"/>
    <w:link w:val="30"/>
    <w:autoRedefine/>
    <w:unhideWhenUsed/>
    <w:qFormat/>
    <w:uiPriority w:val="0"/>
    <w:pPr>
      <w:jc w:val="left"/>
    </w:pPr>
  </w:style>
  <w:style w:type="paragraph" w:styleId="4">
    <w:name w:val="Body Text"/>
    <w:basedOn w:val="1"/>
    <w:autoRedefine/>
    <w:semiHidden/>
    <w:qFormat/>
    <w:uiPriority w:val="0"/>
    <w:rPr>
      <w:rFonts w:ascii="宋体" w:hAnsi="宋体" w:cs="宋体"/>
      <w:sz w:val="35"/>
      <w:szCs w:val="35"/>
      <w:lang w:eastAsia="en-US"/>
    </w:rPr>
  </w:style>
  <w:style w:type="paragraph" w:styleId="5">
    <w:name w:val="toc 5"/>
    <w:basedOn w:val="1"/>
    <w:next w:val="1"/>
    <w:autoRedefine/>
    <w:semiHidden/>
    <w:unhideWhenUsed/>
    <w:qFormat/>
    <w:uiPriority w:val="39"/>
    <w:pPr>
      <w:ind w:left="1680" w:leftChars="800"/>
    </w:pPr>
  </w:style>
  <w:style w:type="paragraph" w:styleId="6">
    <w:name w:val="toc 3"/>
    <w:basedOn w:val="1"/>
    <w:next w:val="1"/>
    <w:autoRedefine/>
    <w:semiHidden/>
    <w:unhideWhenUsed/>
    <w:qFormat/>
    <w:uiPriority w:val="39"/>
    <w:pPr>
      <w:ind w:left="840" w:leftChars="400"/>
    </w:pPr>
  </w:style>
  <w:style w:type="paragraph" w:styleId="7">
    <w:name w:val="toc 8"/>
    <w:basedOn w:val="1"/>
    <w:next w:val="1"/>
    <w:autoRedefine/>
    <w:semiHidden/>
    <w:unhideWhenUsed/>
    <w:qFormat/>
    <w:uiPriority w:val="39"/>
    <w:pPr>
      <w:ind w:left="2940" w:leftChars="1400"/>
    </w:pPr>
  </w:style>
  <w:style w:type="paragraph" w:styleId="8">
    <w:name w:val="Balloon Text"/>
    <w:basedOn w:val="1"/>
    <w:link w:val="27"/>
    <w:autoRedefine/>
    <w:unhideWhenUsed/>
    <w:qFormat/>
    <w:uiPriority w:val="99"/>
    <w:rPr>
      <w:sz w:val="18"/>
      <w:szCs w:val="18"/>
    </w:rPr>
  </w:style>
  <w:style w:type="paragraph" w:styleId="9">
    <w:name w:val="footer"/>
    <w:basedOn w:val="1"/>
    <w:link w:val="24"/>
    <w:autoRedefine/>
    <w:unhideWhenUsed/>
    <w:qFormat/>
    <w:uiPriority w:val="99"/>
    <w:pPr>
      <w:tabs>
        <w:tab w:val="center" w:pos="4153"/>
        <w:tab w:val="right" w:pos="8306"/>
      </w:tabs>
      <w:snapToGrid w:val="0"/>
      <w:jc w:val="left"/>
    </w:pPr>
    <w:rPr>
      <w:sz w:val="18"/>
      <w:szCs w:val="18"/>
    </w:rPr>
  </w:style>
  <w:style w:type="paragraph" w:styleId="10">
    <w:name w:val="header"/>
    <w:basedOn w:val="1"/>
    <w:link w:val="2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semiHidden/>
    <w:unhideWhenUsed/>
    <w:qFormat/>
    <w:uiPriority w:val="39"/>
  </w:style>
  <w:style w:type="paragraph" w:styleId="12">
    <w:name w:val="toc 4"/>
    <w:basedOn w:val="1"/>
    <w:next w:val="1"/>
    <w:autoRedefine/>
    <w:semiHidden/>
    <w:unhideWhenUsed/>
    <w:qFormat/>
    <w:uiPriority w:val="39"/>
    <w:pPr>
      <w:ind w:left="1260" w:leftChars="600"/>
    </w:pPr>
  </w:style>
  <w:style w:type="paragraph" w:styleId="13">
    <w:name w:val="toc 6"/>
    <w:basedOn w:val="1"/>
    <w:next w:val="1"/>
    <w:autoRedefine/>
    <w:semiHidden/>
    <w:unhideWhenUsed/>
    <w:qFormat/>
    <w:uiPriority w:val="39"/>
    <w:pPr>
      <w:ind w:left="2100" w:leftChars="1000"/>
    </w:pPr>
  </w:style>
  <w:style w:type="paragraph" w:styleId="14">
    <w:name w:val="toc 2"/>
    <w:basedOn w:val="1"/>
    <w:next w:val="1"/>
    <w:autoRedefine/>
    <w:semiHidden/>
    <w:unhideWhenUsed/>
    <w:qFormat/>
    <w:uiPriority w:val="39"/>
    <w:pPr>
      <w:ind w:left="420" w:leftChars="200"/>
    </w:pPr>
  </w:style>
  <w:style w:type="paragraph" w:styleId="15">
    <w:name w:val="toc 9"/>
    <w:basedOn w:val="1"/>
    <w:next w:val="1"/>
    <w:autoRedefine/>
    <w:semiHidden/>
    <w:unhideWhenUsed/>
    <w:qFormat/>
    <w:uiPriority w:val="39"/>
    <w:pPr>
      <w:ind w:left="3360" w:leftChars="1600"/>
    </w:pPr>
  </w:style>
  <w:style w:type="paragraph" w:styleId="16">
    <w:name w:val="Normal (Web)"/>
    <w:basedOn w:val="1"/>
    <w:autoRedefine/>
    <w:semiHidden/>
    <w:unhideWhenUsed/>
    <w:qFormat/>
    <w:uiPriority w:val="99"/>
    <w:pPr>
      <w:spacing w:beforeAutospacing="1" w:afterAutospacing="1"/>
      <w:jc w:val="left"/>
    </w:pPr>
    <w:rPr>
      <w:kern w:val="0"/>
      <w:sz w:val="24"/>
    </w:rPr>
  </w:style>
  <w:style w:type="paragraph" w:styleId="17">
    <w:name w:val="annotation subject"/>
    <w:basedOn w:val="3"/>
    <w:next w:val="3"/>
    <w:link w:val="31"/>
    <w:autoRedefine/>
    <w:semiHidden/>
    <w:unhideWhenUsed/>
    <w:qFormat/>
    <w:uiPriority w:val="99"/>
    <w:rPr>
      <w:b/>
      <w:bCs/>
    </w:rPr>
  </w:style>
  <w:style w:type="table" w:styleId="19">
    <w:name w:val="Table Grid"/>
    <w:basedOn w:val="18"/>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Emphasis"/>
    <w:basedOn w:val="20"/>
    <w:qFormat/>
    <w:uiPriority w:val="0"/>
    <w:rPr>
      <w:i/>
    </w:rPr>
  </w:style>
  <w:style w:type="character" w:styleId="22">
    <w:name w:val="annotation reference"/>
    <w:basedOn w:val="20"/>
    <w:autoRedefine/>
    <w:semiHidden/>
    <w:unhideWhenUsed/>
    <w:qFormat/>
    <w:uiPriority w:val="0"/>
    <w:rPr>
      <w:sz w:val="21"/>
      <w:szCs w:val="21"/>
    </w:rPr>
  </w:style>
  <w:style w:type="paragraph" w:customStyle="1" w:styleId="23">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4">
    <w:name w:val="页脚 字符"/>
    <w:basedOn w:val="20"/>
    <w:link w:val="9"/>
    <w:autoRedefine/>
    <w:qFormat/>
    <w:uiPriority w:val="99"/>
    <w:rPr>
      <w:rFonts w:ascii="Calibri" w:hAnsi="Calibri" w:eastAsia="宋体" w:cs="Times New Roman"/>
      <w:sz w:val="18"/>
      <w:szCs w:val="18"/>
    </w:rPr>
  </w:style>
  <w:style w:type="paragraph" w:customStyle="1" w:styleId="25">
    <w:name w:val="列出段落1"/>
    <w:basedOn w:val="1"/>
    <w:autoRedefine/>
    <w:qFormat/>
    <w:uiPriority w:val="34"/>
    <w:pPr>
      <w:numPr>
        <w:ilvl w:val="0"/>
        <w:numId w:val="1"/>
      </w:numPr>
      <w:adjustRightInd w:val="0"/>
      <w:snapToGrid w:val="0"/>
      <w:spacing w:line="560" w:lineRule="exact"/>
    </w:pPr>
  </w:style>
  <w:style w:type="character" w:customStyle="1" w:styleId="26">
    <w:name w:val="页眉 字符"/>
    <w:basedOn w:val="20"/>
    <w:link w:val="10"/>
    <w:autoRedefine/>
    <w:semiHidden/>
    <w:qFormat/>
    <w:uiPriority w:val="99"/>
    <w:rPr>
      <w:rFonts w:ascii="Calibri" w:hAnsi="Calibri" w:eastAsia="宋体" w:cs="Times New Roman"/>
      <w:sz w:val="18"/>
      <w:szCs w:val="18"/>
    </w:rPr>
  </w:style>
  <w:style w:type="character" w:customStyle="1" w:styleId="27">
    <w:name w:val="批注框文本 字符"/>
    <w:basedOn w:val="20"/>
    <w:link w:val="8"/>
    <w:autoRedefine/>
    <w:semiHidden/>
    <w:qFormat/>
    <w:uiPriority w:val="99"/>
    <w:rPr>
      <w:rFonts w:ascii="Calibri" w:hAnsi="Calibri" w:eastAsia="宋体" w:cs="Times New Roman"/>
      <w:sz w:val="18"/>
      <w:szCs w:val="18"/>
    </w:rPr>
  </w:style>
  <w:style w:type="paragraph" w:customStyle="1" w:styleId="28">
    <w:name w:val="修订1"/>
    <w:autoRedefine/>
    <w:hidden/>
    <w:semiHidden/>
    <w:qFormat/>
    <w:uiPriority w:val="99"/>
    <w:rPr>
      <w:rFonts w:ascii="Calibri" w:hAnsi="Calibri" w:eastAsia="宋体" w:cs="Times New Roman"/>
      <w:kern w:val="2"/>
      <w:sz w:val="21"/>
      <w:szCs w:val="22"/>
      <w:lang w:val="en-US" w:eastAsia="zh-CN" w:bidi="ar-SA"/>
    </w:rPr>
  </w:style>
  <w:style w:type="paragraph" w:styleId="29">
    <w:name w:val="List Paragraph"/>
    <w:basedOn w:val="1"/>
    <w:autoRedefine/>
    <w:qFormat/>
    <w:uiPriority w:val="99"/>
    <w:pPr>
      <w:ind w:firstLine="420" w:firstLineChars="200"/>
    </w:pPr>
  </w:style>
  <w:style w:type="character" w:customStyle="1" w:styleId="30">
    <w:name w:val="批注文字 字符"/>
    <w:basedOn w:val="20"/>
    <w:link w:val="3"/>
    <w:autoRedefine/>
    <w:qFormat/>
    <w:uiPriority w:val="0"/>
    <w:rPr>
      <w:rFonts w:ascii="Calibri" w:hAnsi="Calibri"/>
      <w:kern w:val="2"/>
      <w:sz w:val="21"/>
      <w:szCs w:val="22"/>
    </w:rPr>
  </w:style>
  <w:style w:type="character" w:customStyle="1" w:styleId="31">
    <w:name w:val="批注主题 字符"/>
    <w:basedOn w:val="30"/>
    <w:link w:val="17"/>
    <w:autoRedefine/>
    <w:qFormat/>
    <w:uiPriority w:val="0"/>
    <w:rPr>
      <w:rFonts w:ascii="Calibri" w:hAnsi="Calibri" w:eastAsia="宋体" w:cs="Times New Roman"/>
      <w:kern w:val="2"/>
      <w:sz w:val="21"/>
      <w:szCs w:val="22"/>
    </w:rPr>
  </w:style>
  <w:style w:type="paragraph" w:customStyle="1" w:styleId="32">
    <w:name w:val="修订2"/>
    <w:autoRedefine/>
    <w:hidden/>
    <w:semiHidden/>
    <w:qFormat/>
    <w:uiPriority w:val="99"/>
    <w:rPr>
      <w:rFonts w:ascii="Calibri" w:hAnsi="Calibri" w:eastAsia="宋体" w:cs="Times New Roman"/>
      <w:kern w:val="2"/>
      <w:sz w:val="21"/>
      <w:szCs w:val="22"/>
      <w:lang w:val="en-US" w:eastAsia="zh-CN" w:bidi="ar-SA"/>
    </w:rPr>
  </w:style>
  <w:style w:type="paragraph" w:customStyle="1" w:styleId="33">
    <w:name w:val="修订3"/>
    <w:autoRedefine/>
    <w:hidden/>
    <w:unhideWhenUsed/>
    <w:qFormat/>
    <w:uiPriority w:val="99"/>
    <w:rPr>
      <w:rFonts w:ascii="Calibri" w:hAnsi="Calibri" w:eastAsia="宋体" w:cs="Times New Roman"/>
      <w:kern w:val="2"/>
      <w:sz w:val="21"/>
      <w:szCs w:val="22"/>
      <w:lang w:val="en-US" w:eastAsia="zh-CN" w:bidi="ar-SA"/>
    </w:rPr>
  </w:style>
  <w:style w:type="paragraph" w:customStyle="1" w:styleId="34">
    <w:name w:val="修订4"/>
    <w:autoRedefine/>
    <w:hidden/>
    <w:unhideWhenUsed/>
    <w:qFormat/>
    <w:uiPriority w:val="99"/>
    <w:rPr>
      <w:rFonts w:ascii="Calibri" w:hAnsi="Calibri" w:eastAsia="宋体" w:cs="Times New Roman"/>
      <w:kern w:val="2"/>
      <w:sz w:val="21"/>
      <w:szCs w:val="22"/>
      <w:lang w:val="en-US" w:eastAsia="zh-CN" w:bidi="ar-SA"/>
    </w:rPr>
  </w:style>
  <w:style w:type="character" w:customStyle="1" w:styleId="35">
    <w:name w:val="font11"/>
    <w:basedOn w:val="20"/>
    <w:qFormat/>
    <w:uiPriority w:val="0"/>
    <w:rPr>
      <w:rFonts w:hint="eastAsia" w:ascii="宋体" w:hAnsi="宋体" w:eastAsia="宋体" w:cs="宋体"/>
      <w:b/>
      <w:bCs/>
      <w:color w:val="000000"/>
      <w:sz w:val="21"/>
      <w:szCs w:val="21"/>
      <w:u w:val="none"/>
    </w:rPr>
  </w:style>
  <w:style w:type="paragraph" w:customStyle="1" w:styleId="36">
    <w:name w:val="Revision"/>
    <w:hidden/>
    <w:unhideWhenUsed/>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3842</Words>
  <Characters>4584</Characters>
  <Lines>207</Lines>
  <Paragraphs>235</Paragraphs>
  <TotalTime>100</TotalTime>
  <ScaleCrop>false</ScaleCrop>
  <LinksUpToDate>false</LinksUpToDate>
  <CharactersWithSpaces>4645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2022-04-26T04:27:00Z</dcterms:created>
  <dc:creator>tek</dc:creator>
  <cp:lastModifiedBy>雯亦</cp:lastModifiedBy>
  <dcterms:modified xsi:type="dcterms:W3CDTF">2025-12-10T05:09:13Z</dcterms:modified>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C3AF4A269103462E9AAA466271DBD277_13</vt:lpwstr>
  </property>
  <property fmtid="{D5CDD505-2E9C-101B-9397-08002B2CF9AE}" pid="4" name="KSOTemplateDocerSaveRecord">
    <vt:lpwstr>eyJoZGlkIjoiZTQzZmRmZDMxMjkwMDE2NTk0ZWQ1ZWYwMzRmYjVhNmUiLCJ1c2VySWQiOiI2NDQwNzQxNTQifQ==</vt:lpwstr>
  </property>
</Properties>
</file>