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3B1FD">
      <w:pPr>
        <w:adjustRightInd w:val="0"/>
        <w:snapToGrid w:val="0"/>
        <w:spacing w:line="560" w:lineRule="exact"/>
        <w:rPr>
          <w:rFonts w:ascii="宋体" w:hAnsi="宋体" w:eastAsia="宋体"/>
          <w:b/>
          <w:sz w:val="24"/>
          <w:szCs w:val="24"/>
        </w:rPr>
      </w:pPr>
      <w:r>
        <w:rPr>
          <w:rFonts w:hint="eastAsia" w:ascii="宋体" w:hAnsi="宋体" w:eastAsia="宋体"/>
          <w:b/>
          <w:sz w:val="24"/>
          <w:szCs w:val="24"/>
        </w:rPr>
        <w:t>证券代码：</w:t>
      </w:r>
      <w:r>
        <w:rPr>
          <w:rFonts w:ascii="宋体" w:hAnsi="宋体" w:eastAsia="宋体"/>
          <w:b/>
          <w:sz w:val="24"/>
          <w:szCs w:val="24"/>
        </w:rPr>
        <w:t xml:space="preserve">603191         </w:t>
      </w:r>
      <w:r>
        <w:rPr>
          <w:rFonts w:hint="eastAsia" w:ascii="宋体" w:hAnsi="宋体" w:eastAsia="宋体"/>
          <w:b/>
          <w:sz w:val="24"/>
          <w:szCs w:val="24"/>
        </w:rPr>
        <w:t xml:space="preserve">证券简称：望变电气 </w:t>
      </w:r>
      <w:r>
        <w:rPr>
          <w:rFonts w:ascii="宋体" w:hAnsi="宋体" w:eastAsia="宋体"/>
          <w:b/>
          <w:sz w:val="24"/>
          <w:szCs w:val="24"/>
        </w:rPr>
        <w:t xml:space="preserve">      </w:t>
      </w:r>
      <w:r>
        <w:rPr>
          <w:rFonts w:hint="eastAsia" w:ascii="宋体" w:hAnsi="宋体" w:eastAsia="宋体"/>
          <w:b/>
          <w:sz w:val="24"/>
          <w:szCs w:val="24"/>
        </w:rPr>
        <w:t>公告编号：2</w:t>
      </w:r>
      <w:r>
        <w:rPr>
          <w:rFonts w:ascii="宋体" w:hAnsi="宋体" w:eastAsia="宋体"/>
          <w:b/>
          <w:sz w:val="24"/>
          <w:szCs w:val="24"/>
        </w:rPr>
        <w:t>02</w:t>
      </w:r>
      <w:r>
        <w:rPr>
          <w:rFonts w:hint="eastAsia" w:ascii="宋体" w:hAnsi="宋体" w:eastAsia="宋体"/>
          <w:b/>
          <w:sz w:val="24"/>
          <w:szCs w:val="24"/>
        </w:rPr>
        <w:t>5-0</w:t>
      </w:r>
      <w:r>
        <w:rPr>
          <w:rFonts w:ascii="宋体" w:hAnsi="宋体" w:eastAsia="宋体"/>
          <w:b/>
          <w:sz w:val="24"/>
          <w:szCs w:val="24"/>
        </w:rPr>
        <w:t>51</w:t>
      </w:r>
    </w:p>
    <w:p w14:paraId="2DA52D67">
      <w:pPr>
        <w:adjustRightInd w:val="0"/>
        <w:snapToGrid w:val="0"/>
        <w:spacing w:line="560" w:lineRule="exact"/>
        <w:ind w:firstLine="600" w:firstLineChars="200"/>
        <w:jc w:val="left"/>
        <w:rPr>
          <w:rFonts w:ascii="仿宋_GB2312" w:hAnsi="仿宋_GB2312" w:eastAsia="仿宋_GB2312" w:cs="仿宋_GB2312"/>
          <w:sz w:val="30"/>
          <w:szCs w:val="30"/>
        </w:rPr>
      </w:pPr>
    </w:p>
    <w:p w14:paraId="271F2540">
      <w:pPr>
        <w:adjustRightInd w:val="0"/>
        <w:snapToGrid w:val="0"/>
        <w:spacing w:line="560" w:lineRule="exact"/>
        <w:jc w:val="center"/>
        <w:rPr>
          <w:rFonts w:ascii="宋体" w:hAnsi="宋体" w:eastAsia="宋体" w:cs="仿宋_GB2312"/>
          <w:b/>
          <w:color w:val="FF0000"/>
          <w:sz w:val="36"/>
          <w:szCs w:val="36"/>
        </w:rPr>
      </w:pPr>
      <w:r>
        <w:rPr>
          <w:rFonts w:hint="eastAsia" w:ascii="宋体" w:hAnsi="宋体" w:eastAsia="宋体" w:cs="仿宋_GB2312"/>
          <w:b/>
          <w:color w:val="FF0000"/>
          <w:sz w:val="36"/>
          <w:szCs w:val="36"/>
        </w:rPr>
        <w:t>重庆望变电气（集团）股份有限公司</w:t>
      </w:r>
    </w:p>
    <w:p w14:paraId="788648DA">
      <w:pPr>
        <w:adjustRightInd w:val="0"/>
        <w:snapToGrid w:val="0"/>
        <w:spacing w:line="560" w:lineRule="exact"/>
        <w:jc w:val="center"/>
        <w:rPr>
          <w:rFonts w:ascii="宋体" w:hAnsi="宋体" w:eastAsia="宋体" w:cs="仿宋_GB2312"/>
          <w:b/>
          <w:color w:val="FF0000"/>
          <w:sz w:val="36"/>
          <w:szCs w:val="36"/>
        </w:rPr>
      </w:pPr>
      <w:r>
        <w:rPr>
          <w:rFonts w:hint="eastAsia" w:ascii="宋体" w:hAnsi="宋体" w:eastAsia="宋体" w:cs="仿宋_GB2312"/>
          <w:b/>
          <w:color w:val="FF0000"/>
          <w:sz w:val="36"/>
          <w:szCs w:val="36"/>
        </w:rPr>
        <w:t>第四届监事会第十三次会议决议公告</w:t>
      </w:r>
    </w:p>
    <w:p w14:paraId="268761C6">
      <w:pPr>
        <w:adjustRightInd w:val="0"/>
        <w:snapToGrid w:val="0"/>
        <w:spacing w:line="560" w:lineRule="exact"/>
        <w:ind w:firstLine="562" w:firstLineChars="200"/>
        <w:jc w:val="center"/>
        <w:rPr>
          <w:rFonts w:ascii="宋体" w:hAnsi="宋体" w:eastAsia="宋体" w:cs="仿宋_GB2312"/>
          <w:b/>
          <w:color w:val="FF0000"/>
          <w:sz w:val="28"/>
          <w:szCs w:val="28"/>
        </w:rPr>
      </w:pPr>
    </w:p>
    <w:p w14:paraId="4A719FA2">
      <w:pPr>
        <w:pStyle w:val="11"/>
        <w:pBdr>
          <w:top w:val="single" w:color="000000" w:sz="4" w:space="1"/>
          <w:left w:val="single" w:color="000000" w:sz="4" w:space="4"/>
          <w:bottom w:val="single" w:color="000000" w:sz="4" w:space="1"/>
          <w:right w:val="single" w:color="000000" w:sz="4" w:space="4"/>
        </w:pBdr>
        <w:adjustRightInd w:val="0"/>
        <w:snapToGrid w:val="0"/>
        <w:spacing w:line="560" w:lineRule="exact"/>
        <w:ind w:firstLine="480" w:firstLineChars="200"/>
        <w:rPr>
          <w:rFonts w:ascii="仿宋" w:hAnsi="仿宋" w:eastAsia="仿宋"/>
          <w:color w:val="000000"/>
        </w:rPr>
      </w:pPr>
      <w:r>
        <w:rPr>
          <w:rFonts w:hint="eastAsia" w:ascii="仿宋" w:hAnsi="仿宋" w:eastAsia="仿宋"/>
          <w:color w:val="000000"/>
        </w:rPr>
        <w:t>本公司监事会及全体监事保证本公告内容不存在任何虚假记载、误导性陈述或者重大遗漏，并对其内容的真实性、准确性和完整性承担法律责任。</w:t>
      </w:r>
    </w:p>
    <w:p w14:paraId="53A22A80">
      <w:pPr>
        <w:pStyle w:val="11"/>
        <w:adjustRightInd w:val="0"/>
        <w:snapToGrid w:val="0"/>
        <w:spacing w:line="560" w:lineRule="exact"/>
        <w:rPr>
          <w:rFonts w:ascii="宋体" w:hAnsi="宋体"/>
        </w:rPr>
      </w:pPr>
    </w:p>
    <w:p w14:paraId="6627F7E9">
      <w:pPr>
        <w:autoSpaceDE w:val="0"/>
        <w:autoSpaceDN w:val="0"/>
        <w:adjustRightInd w:val="0"/>
        <w:spacing w:line="560" w:lineRule="exact"/>
        <w:ind w:firstLine="463" w:firstLineChars="192"/>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一、 监事会会议召开情况</w:t>
      </w:r>
    </w:p>
    <w:p w14:paraId="03401759">
      <w:pPr>
        <w:pStyle w:val="11"/>
        <w:adjustRightInd w:val="0"/>
        <w:snapToGrid w:val="0"/>
        <w:spacing w:line="560" w:lineRule="exact"/>
        <w:ind w:firstLine="480" w:firstLineChars="200"/>
        <w:rPr>
          <w:rFonts w:ascii="宋体" w:hAnsi="宋体"/>
          <w:color w:val="000000"/>
        </w:rPr>
      </w:pPr>
      <w:r>
        <w:rPr>
          <w:rFonts w:hint="eastAsia" w:ascii="宋体" w:hAnsi="宋体"/>
          <w:color w:val="000000"/>
        </w:rPr>
        <w:t>重庆望变电气（集团）股份有限公司（以下简称“公司”）第四届监事会第十三次会议于2025年</w:t>
      </w:r>
      <w:r>
        <w:rPr>
          <w:rFonts w:ascii="宋体" w:hAnsi="宋体"/>
          <w:color w:val="000000"/>
        </w:rPr>
        <w:t>10</w:t>
      </w:r>
      <w:r>
        <w:rPr>
          <w:rFonts w:hint="eastAsia" w:ascii="宋体" w:hAnsi="宋体"/>
          <w:color w:val="000000"/>
        </w:rPr>
        <w:t>月</w:t>
      </w:r>
      <w:r>
        <w:rPr>
          <w:rFonts w:ascii="宋体" w:hAnsi="宋体"/>
          <w:color w:val="000000"/>
        </w:rPr>
        <w:t>28</w:t>
      </w:r>
      <w:r>
        <w:rPr>
          <w:rFonts w:hint="eastAsia" w:ascii="宋体" w:hAnsi="宋体"/>
          <w:color w:val="000000"/>
        </w:rPr>
        <w:t>日在公司会议室以现场的方式召开。会议通知于2025年</w:t>
      </w:r>
      <w:r>
        <w:rPr>
          <w:rFonts w:ascii="宋体" w:hAnsi="宋体"/>
          <w:color w:val="000000"/>
        </w:rPr>
        <w:t>10</w:t>
      </w:r>
      <w:r>
        <w:rPr>
          <w:rFonts w:hint="eastAsia" w:ascii="宋体" w:hAnsi="宋体"/>
          <w:color w:val="000000"/>
        </w:rPr>
        <w:t>月</w:t>
      </w:r>
      <w:r>
        <w:rPr>
          <w:rFonts w:ascii="宋体" w:hAnsi="宋体"/>
          <w:color w:val="000000"/>
        </w:rPr>
        <w:t>18</w:t>
      </w:r>
      <w:r>
        <w:rPr>
          <w:rFonts w:hint="eastAsia" w:ascii="宋体" w:hAnsi="宋体"/>
          <w:color w:val="000000"/>
        </w:rPr>
        <w:t>日以邮件的方式发出。本次会议应出席监事3名，实际出席监事3名。本次会议由监事会主席李长平先生召集并主持。本次会议的召集、召开符合《中华人民共和国公司法》等有关法律、行政法规、部门规章、规范性文件和《公司章程》的相关规定，会议形成的决议合法、有效。</w:t>
      </w:r>
    </w:p>
    <w:p w14:paraId="1C84B2D0">
      <w:pPr>
        <w:pStyle w:val="11"/>
        <w:adjustRightInd w:val="0"/>
        <w:snapToGrid w:val="0"/>
        <w:spacing w:line="560" w:lineRule="exact"/>
        <w:ind w:firstLine="482" w:firstLineChars="200"/>
        <w:rPr>
          <w:rFonts w:ascii="宋体" w:hAnsi="宋体"/>
          <w:b/>
          <w:color w:val="000000"/>
        </w:rPr>
      </w:pPr>
      <w:r>
        <w:rPr>
          <w:rFonts w:hint="eastAsia" w:ascii="宋体" w:hAnsi="宋体"/>
          <w:b/>
          <w:color w:val="000000"/>
        </w:rPr>
        <w:t>二、监事会会议审议情况</w:t>
      </w:r>
    </w:p>
    <w:p w14:paraId="23D931BA">
      <w:pPr>
        <w:pStyle w:val="11"/>
        <w:adjustRightInd w:val="0"/>
        <w:snapToGrid w:val="0"/>
        <w:spacing w:line="560" w:lineRule="exact"/>
        <w:ind w:firstLine="482" w:firstLineChars="200"/>
        <w:rPr>
          <w:rFonts w:ascii="宋体" w:hAnsi="宋体"/>
          <w:b/>
          <w:color w:val="000000"/>
        </w:rPr>
      </w:pPr>
      <w:r>
        <w:rPr>
          <w:rFonts w:hint="eastAsia" w:ascii="宋体" w:hAnsi="宋体"/>
          <w:b/>
          <w:color w:val="000000"/>
        </w:rPr>
        <w:t>（一）审议通过《关于公司&lt;2025年第三季度报告&gt;的议案》</w:t>
      </w:r>
    </w:p>
    <w:p w14:paraId="47D9656F">
      <w:pPr>
        <w:pStyle w:val="11"/>
        <w:adjustRightInd w:val="0"/>
        <w:snapToGrid w:val="0"/>
        <w:spacing w:line="560" w:lineRule="exact"/>
        <w:ind w:firstLine="480" w:firstLineChars="200"/>
        <w:rPr>
          <w:rFonts w:hint="eastAsia" w:ascii="宋体" w:hAnsi="宋体"/>
          <w:bCs/>
          <w:color w:val="000000"/>
        </w:rPr>
      </w:pPr>
      <w:r>
        <w:rPr>
          <w:rFonts w:hint="eastAsia" w:ascii="宋体" w:hAnsi="宋体"/>
          <w:bCs/>
          <w:color w:val="000000"/>
        </w:rPr>
        <w:t>相关内容详见2025年</w:t>
      </w:r>
      <w:r>
        <w:rPr>
          <w:rFonts w:ascii="宋体" w:hAnsi="宋体"/>
          <w:bCs/>
          <w:color w:val="000000"/>
        </w:rPr>
        <w:t>10</w:t>
      </w:r>
      <w:r>
        <w:rPr>
          <w:rFonts w:hint="eastAsia" w:ascii="宋体" w:hAnsi="宋体"/>
          <w:bCs/>
          <w:color w:val="000000"/>
        </w:rPr>
        <w:t>月</w:t>
      </w:r>
      <w:r>
        <w:rPr>
          <w:rFonts w:ascii="宋体" w:hAnsi="宋体"/>
          <w:bCs/>
          <w:color w:val="000000"/>
        </w:rPr>
        <w:t>30</w:t>
      </w:r>
      <w:r>
        <w:rPr>
          <w:rFonts w:hint="eastAsia" w:ascii="宋体" w:hAnsi="宋体"/>
          <w:bCs/>
          <w:color w:val="000000"/>
        </w:rPr>
        <w:t>日刊登于上海证券交易所网站 www.sse.com.cn的《2025年第三季度报告》。</w:t>
      </w:r>
    </w:p>
    <w:p w14:paraId="08EDC700">
      <w:pPr>
        <w:pStyle w:val="11"/>
        <w:adjustRightInd w:val="0"/>
        <w:snapToGrid w:val="0"/>
        <w:spacing w:line="560" w:lineRule="exact"/>
        <w:ind w:firstLine="480" w:firstLineChars="200"/>
        <w:rPr>
          <w:rFonts w:hint="eastAsia" w:ascii="宋体" w:hAnsi="宋体"/>
          <w:bCs/>
          <w:color w:val="000000"/>
        </w:rPr>
      </w:pPr>
      <w:r>
        <w:rPr>
          <w:rFonts w:hint="eastAsia" w:ascii="宋体" w:hAnsi="宋体"/>
          <w:bCs/>
          <w:color w:val="000000"/>
        </w:rPr>
        <w:t>监事会认为公司2025年度第三季度报告公允地反映了公司报告期内的财务状况和经营成果，所包含的信息能从各个方面真实地反映出公司报告期内的经营管理和财务状况等事项。</w:t>
      </w:r>
      <w:bookmarkStart w:id="0" w:name="_GoBack"/>
      <w:bookmarkEnd w:id="0"/>
    </w:p>
    <w:p w14:paraId="2800D6D7">
      <w:pPr>
        <w:pStyle w:val="11"/>
        <w:adjustRightInd w:val="0"/>
        <w:snapToGrid w:val="0"/>
        <w:spacing w:line="560" w:lineRule="exact"/>
        <w:ind w:firstLine="480" w:firstLineChars="200"/>
        <w:rPr>
          <w:rFonts w:hint="eastAsia" w:ascii="宋体" w:hAnsi="宋体"/>
          <w:bCs/>
          <w:color w:val="000000"/>
        </w:rPr>
      </w:pPr>
      <w:r>
        <w:rPr>
          <w:rFonts w:hint="eastAsia" w:ascii="宋体" w:hAnsi="宋体"/>
          <w:bCs/>
          <w:color w:val="000000"/>
        </w:rPr>
        <w:t>监事会成员保证公司2025年度第三季度报告所披露的信息真实、准确、完整，承诺其中不存在虚假记载、误导性陈述或重大遗漏，并对其内容的真实性、准确性和完整性承担个别和连带的法律责任。</w:t>
      </w:r>
    </w:p>
    <w:p w14:paraId="1D9E8722">
      <w:pPr>
        <w:pStyle w:val="11"/>
        <w:adjustRightInd w:val="0"/>
        <w:snapToGrid w:val="0"/>
        <w:spacing w:line="560" w:lineRule="exact"/>
        <w:ind w:firstLine="480" w:firstLineChars="200"/>
        <w:rPr>
          <w:rFonts w:ascii="宋体" w:hAnsi="宋体"/>
          <w:bCs/>
          <w:color w:val="000000"/>
        </w:rPr>
      </w:pPr>
      <w:r>
        <w:rPr>
          <w:rFonts w:hint="eastAsia" w:ascii="宋体" w:hAnsi="宋体"/>
          <w:bCs/>
          <w:color w:val="000000"/>
        </w:rPr>
        <w:t xml:space="preserve">表决结果：同意3票；反对0票；弃权0票。 </w:t>
      </w:r>
    </w:p>
    <w:p w14:paraId="073B6FFA">
      <w:pPr>
        <w:pStyle w:val="11"/>
        <w:adjustRightInd w:val="0"/>
        <w:snapToGrid w:val="0"/>
        <w:spacing w:line="560" w:lineRule="exact"/>
        <w:rPr>
          <w:rFonts w:hint="eastAsia" w:ascii="宋体" w:hAnsi="宋体"/>
          <w:bCs/>
          <w:color w:val="000000"/>
        </w:rPr>
      </w:pPr>
    </w:p>
    <w:p w14:paraId="7E0638C5">
      <w:pPr>
        <w:pStyle w:val="11"/>
        <w:adjustRightInd w:val="0"/>
        <w:snapToGrid w:val="0"/>
        <w:spacing w:line="560" w:lineRule="exact"/>
        <w:ind w:firstLine="480" w:firstLineChars="200"/>
        <w:rPr>
          <w:rFonts w:ascii="宋体" w:hAnsi="宋体"/>
          <w:color w:val="000000"/>
        </w:rPr>
      </w:pPr>
      <w:r>
        <w:rPr>
          <w:rFonts w:hint="eastAsia" w:ascii="宋体" w:hAnsi="宋体"/>
          <w:color w:val="000000"/>
        </w:rPr>
        <w:t>特此公告。</w:t>
      </w:r>
    </w:p>
    <w:p w14:paraId="161CB3C5">
      <w:pPr>
        <w:pStyle w:val="11"/>
        <w:adjustRightInd w:val="0"/>
        <w:snapToGrid w:val="0"/>
        <w:spacing w:line="560" w:lineRule="exact"/>
        <w:ind w:firstLine="480" w:firstLineChars="200"/>
        <w:jc w:val="right"/>
        <w:rPr>
          <w:rFonts w:ascii="宋体" w:hAnsi="宋体"/>
          <w:color w:val="000000"/>
        </w:rPr>
      </w:pPr>
      <w:r>
        <w:rPr>
          <w:rFonts w:hint="eastAsia" w:ascii="宋体" w:hAnsi="宋体"/>
          <w:color w:val="000000"/>
        </w:rPr>
        <w:t>重庆望变电气（集团）股份有限公司监事会</w:t>
      </w:r>
    </w:p>
    <w:p w14:paraId="0148DFEE">
      <w:pPr>
        <w:pStyle w:val="11"/>
        <w:adjustRightInd w:val="0"/>
        <w:snapToGrid w:val="0"/>
        <w:spacing w:line="560" w:lineRule="exact"/>
        <w:ind w:firstLine="480" w:firstLineChars="200"/>
        <w:jc w:val="right"/>
        <w:rPr>
          <w:rFonts w:ascii="宋体" w:hAnsi="宋体"/>
          <w:highlight w:val="yellow"/>
        </w:rPr>
      </w:pPr>
      <w:r>
        <w:rPr>
          <w:rFonts w:hint="eastAsia" w:ascii="宋体" w:hAnsi="宋体"/>
          <w:color w:val="000000"/>
        </w:rPr>
        <w:t>2</w:t>
      </w:r>
      <w:r>
        <w:rPr>
          <w:rFonts w:ascii="宋体" w:hAnsi="宋体"/>
          <w:color w:val="000000"/>
        </w:rPr>
        <w:t>02</w:t>
      </w:r>
      <w:r>
        <w:rPr>
          <w:rFonts w:hint="eastAsia" w:ascii="宋体" w:hAnsi="宋体"/>
          <w:color w:val="000000"/>
        </w:rPr>
        <w:t>5年</w:t>
      </w:r>
      <w:r>
        <w:rPr>
          <w:rFonts w:ascii="宋体" w:hAnsi="宋体"/>
          <w:color w:val="000000"/>
        </w:rPr>
        <w:t>10</w:t>
      </w:r>
      <w:r>
        <w:rPr>
          <w:rFonts w:hint="eastAsia" w:ascii="宋体" w:hAnsi="宋体"/>
          <w:color w:val="000000"/>
        </w:rPr>
        <w:t>月</w:t>
      </w:r>
      <w:r>
        <w:rPr>
          <w:rFonts w:ascii="宋体" w:hAnsi="宋体"/>
          <w:color w:val="000000"/>
        </w:rPr>
        <w:t>30</w:t>
      </w:r>
      <w:r>
        <w:rPr>
          <w:rFonts w:hint="eastAsia" w:ascii="宋体" w:hAnsi="宋体"/>
          <w:color w:val="000000"/>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04718E5A">
        <w:pPr>
          <w:pStyle w:val="4"/>
          <w:jc w:val="center"/>
        </w:pPr>
        <w:r>
          <w:fldChar w:fldCharType="begin"/>
        </w:r>
        <w:r>
          <w:instrText xml:space="preserve">PAGE   \* MERGEFORMAT</w:instrText>
        </w:r>
        <w:r>
          <w:fldChar w:fldCharType="separate"/>
        </w:r>
        <w:r>
          <w:rPr>
            <w:lang w:val="zh-CN"/>
          </w:rPr>
          <w:t>1</w:t>
        </w:r>
        <w:r>
          <w:fldChar w:fldCharType="end"/>
        </w:r>
      </w:p>
    </w:sdtContent>
  </w:sdt>
  <w:p w14:paraId="09319D3A"/>
  <w:p w14:paraId="09002BB4"/>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250648DF"/>
    <w:rsid w:val="0000560A"/>
    <w:rsid w:val="00017EDF"/>
    <w:rsid w:val="00030173"/>
    <w:rsid w:val="00034097"/>
    <w:rsid w:val="00071422"/>
    <w:rsid w:val="000C14F3"/>
    <w:rsid w:val="000E2D2B"/>
    <w:rsid w:val="0014314D"/>
    <w:rsid w:val="00145376"/>
    <w:rsid w:val="0015522E"/>
    <w:rsid w:val="00172278"/>
    <w:rsid w:val="00182597"/>
    <w:rsid w:val="00197F58"/>
    <w:rsid w:val="001A19AA"/>
    <w:rsid w:val="001E5B6D"/>
    <w:rsid w:val="0026231B"/>
    <w:rsid w:val="00263A11"/>
    <w:rsid w:val="00265CEB"/>
    <w:rsid w:val="00294FA7"/>
    <w:rsid w:val="002A4A5F"/>
    <w:rsid w:val="002D4803"/>
    <w:rsid w:val="002E4BAE"/>
    <w:rsid w:val="00313FED"/>
    <w:rsid w:val="003503E2"/>
    <w:rsid w:val="003B505E"/>
    <w:rsid w:val="003B5A9C"/>
    <w:rsid w:val="003B6998"/>
    <w:rsid w:val="0043572E"/>
    <w:rsid w:val="00452FDE"/>
    <w:rsid w:val="004623A6"/>
    <w:rsid w:val="00471AA1"/>
    <w:rsid w:val="004915CA"/>
    <w:rsid w:val="004958CF"/>
    <w:rsid w:val="004C23D4"/>
    <w:rsid w:val="005052AF"/>
    <w:rsid w:val="00510919"/>
    <w:rsid w:val="005147FD"/>
    <w:rsid w:val="0053474F"/>
    <w:rsid w:val="00566029"/>
    <w:rsid w:val="005A51A9"/>
    <w:rsid w:val="005A529A"/>
    <w:rsid w:val="005B1B2B"/>
    <w:rsid w:val="005E47D3"/>
    <w:rsid w:val="005F0EE6"/>
    <w:rsid w:val="006140E4"/>
    <w:rsid w:val="0065083B"/>
    <w:rsid w:val="006521A8"/>
    <w:rsid w:val="00656AB7"/>
    <w:rsid w:val="00671781"/>
    <w:rsid w:val="006740E1"/>
    <w:rsid w:val="00674AB8"/>
    <w:rsid w:val="0068614B"/>
    <w:rsid w:val="006C4055"/>
    <w:rsid w:val="006E0638"/>
    <w:rsid w:val="00743342"/>
    <w:rsid w:val="00756641"/>
    <w:rsid w:val="00775870"/>
    <w:rsid w:val="007B1BE1"/>
    <w:rsid w:val="007C6756"/>
    <w:rsid w:val="007D0568"/>
    <w:rsid w:val="007E3019"/>
    <w:rsid w:val="00802CF4"/>
    <w:rsid w:val="00810890"/>
    <w:rsid w:val="00816738"/>
    <w:rsid w:val="00824398"/>
    <w:rsid w:val="00864A4F"/>
    <w:rsid w:val="00880A4C"/>
    <w:rsid w:val="008A0C1F"/>
    <w:rsid w:val="008E132F"/>
    <w:rsid w:val="008E2407"/>
    <w:rsid w:val="008E6C4A"/>
    <w:rsid w:val="00906FA1"/>
    <w:rsid w:val="00915EFD"/>
    <w:rsid w:val="009D4BD2"/>
    <w:rsid w:val="00A35B35"/>
    <w:rsid w:val="00A61D0E"/>
    <w:rsid w:val="00A824D5"/>
    <w:rsid w:val="00AC076E"/>
    <w:rsid w:val="00AD3170"/>
    <w:rsid w:val="00AF480D"/>
    <w:rsid w:val="00B127D6"/>
    <w:rsid w:val="00B66502"/>
    <w:rsid w:val="00B7323C"/>
    <w:rsid w:val="00B94247"/>
    <w:rsid w:val="00C07EC8"/>
    <w:rsid w:val="00C60313"/>
    <w:rsid w:val="00C620CE"/>
    <w:rsid w:val="00C62F75"/>
    <w:rsid w:val="00C655CD"/>
    <w:rsid w:val="00C93B26"/>
    <w:rsid w:val="00CE57F8"/>
    <w:rsid w:val="00D2703E"/>
    <w:rsid w:val="00D61553"/>
    <w:rsid w:val="00D62F76"/>
    <w:rsid w:val="00D64D5A"/>
    <w:rsid w:val="00D81E6B"/>
    <w:rsid w:val="00D96B6E"/>
    <w:rsid w:val="00DB17CE"/>
    <w:rsid w:val="00DC27F5"/>
    <w:rsid w:val="00DC344C"/>
    <w:rsid w:val="00DD5DC1"/>
    <w:rsid w:val="00DF16D4"/>
    <w:rsid w:val="00E52CF6"/>
    <w:rsid w:val="00E635D9"/>
    <w:rsid w:val="00E77466"/>
    <w:rsid w:val="00E93946"/>
    <w:rsid w:val="00EA59BB"/>
    <w:rsid w:val="00EC468D"/>
    <w:rsid w:val="00EE3298"/>
    <w:rsid w:val="00F04918"/>
    <w:rsid w:val="00FA1652"/>
    <w:rsid w:val="00FD2ADA"/>
    <w:rsid w:val="02413036"/>
    <w:rsid w:val="03A4154D"/>
    <w:rsid w:val="04504EB3"/>
    <w:rsid w:val="05184867"/>
    <w:rsid w:val="07F60EEB"/>
    <w:rsid w:val="08E92761"/>
    <w:rsid w:val="094950CC"/>
    <w:rsid w:val="09B20CF0"/>
    <w:rsid w:val="0B42184D"/>
    <w:rsid w:val="0B600DC7"/>
    <w:rsid w:val="0BD93341"/>
    <w:rsid w:val="0C5837CD"/>
    <w:rsid w:val="0EEA4B99"/>
    <w:rsid w:val="15663828"/>
    <w:rsid w:val="18CC61E5"/>
    <w:rsid w:val="1FF54A49"/>
    <w:rsid w:val="201072A5"/>
    <w:rsid w:val="21B72742"/>
    <w:rsid w:val="22980952"/>
    <w:rsid w:val="250648DF"/>
    <w:rsid w:val="25EB6BDF"/>
    <w:rsid w:val="27BD3DBC"/>
    <w:rsid w:val="2B6D1EEF"/>
    <w:rsid w:val="2E6B62F8"/>
    <w:rsid w:val="307411DA"/>
    <w:rsid w:val="31072F7C"/>
    <w:rsid w:val="316A5FE7"/>
    <w:rsid w:val="39221C77"/>
    <w:rsid w:val="3C822F4B"/>
    <w:rsid w:val="45366DBA"/>
    <w:rsid w:val="480E7C0F"/>
    <w:rsid w:val="48A6351E"/>
    <w:rsid w:val="49184C66"/>
    <w:rsid w:val="49D63E5E"/>
    <w:rsid w:val="49DB44EA"/>
    <w:rsid w:val="4B98272C"/>
    <w:rsid w:val="4FC00144"/>
    <w:rsid w:val="504925C9"/>
    <w:rsid w:val="519E4A21"/>
    <w:rsid w:val="5C165156"/>
    <w:rsid w:val="61FE3A6B"/>
    <w:rsid w:val="64710521"/>
    <w:rsid w:val="6609788A"/>
    <w:rsid w:val="6D6E0C14"/>
    <w:rsid w:val="6D9B7EBF"/>
    <w:rsid w:val="75297F2F"/>
    <w:rsid w:val="7FAC5BDB"/>
    <w:rsid w:val="DFFD4A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autoRedefine/>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eastAsia="宋体" w:asciiTheme="majorHAnsi" w:hAnsiTheme="majorHAnsi" w:cstheme="majorBidi"/>
      <w:b/>
      <w:bCs/>
      <w:sz w:val="30"/>
      <w:szCs w:val="32"/>
    </w:rPr>
  </w:style>
  <w:style w:type="paragraph" w:styleId="7">
    <w:name w:val="annotation subject"/>
    <w:basedOn w:val="2"/>
    <w:next w:val="2"/>
    <w:link w:val="16"/>
    <w:autoRedefine/>
    <w:semiHidden/>
    <w:unhideWhenUsed/>
    <w:qFormat/>
    <w:uiPriority w:val="0"/>
    <w:rPr>
      <w:b/>
      <w:bCs/>
    </w:rPr>
  </w:style>
  <w:style w:type="character" w:styleId="10">
    <w:name w:val="annotation reference"/>
    <w:basedOn w:val="9"/>
    <w:autoRedefine/>
    <w:qFormat/>
    <w:uiPriority w:val="0"/>
    <w:rPr>
      <w:sz w:val="21"/>
      <w:szCs w:val="21"/>
    </w:rPr>
  </w:style>
  <w:style w:type="paragraph" w:customStyle="1" w:styleId="11">
    <w:name w:val="p0"/>
    <w:basedOn w:val="1"/>
    <w:autoRedefine/>
    <w:qFormat/>
    <w:uiPriority w:val="0"/>
    <w:pPr>
      <w:widowControl/>
    </w:pPr>
    <w:rPr>
      <w:rFonts w:ascii="Book Antiqua" w:hAnsi="Book Antiqua" w:eastAsia="宋体" w:cs="宋体"/>
      <w:kern w:val="0"/>
      <w:sz w:val="24"/>
      <w:szCs w:val="24"/>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99"/>
    <w:rPr>
      <w:kern w:val="2"/>
      <w:sz w:val="18"/>
      <w:szCs w:val="18"/>
    </w:rPr>
  </w:style>
  <w:style w:type="character" w:customStyle="1" w:styleId="14">
    <w:name w:val="批注框文本 字符"/>
    <w:basedOn w:val="9"/>
    <w:link w:val="3"/>
    <w:qFormat/>
    <w:uiPriority w:val="0"/>
    <w:rPr>
      <w:kern w:val="2"/>
      <w:sz w:val="18"/>
      <w:szCs w:val="18"/>
    </w:rPr>
  </w:style>
  <w:style w:type="character" w:customStyle="1" w:styleId="15">
    <w:name w:val="批注文字 字符"/>
    <w:basedOn w:val="9"/>
    <w:link w:val="2"/>
    <w:qFormat/>
    <w:uiPriority w:val="0"/>
    <w:rPr>
      <w:kern w:val="2"/>
      <w:sz w:val="21"/>
      <w:szCs w:val="22"/>
    </w:rPr>
  </w:style>
  <w:style w:type="character" w:customStyle="1" w:styleId="16">
    <w:name w:val="批注主题 字符"/>
    <w:basedOn w:val="15"/>
    <w:link w:val="7"/>
    <w:autoRedefine/>
    <w:semiHidden/>
    <w:qFormat/>
    <w:uiPriority w:val="0"/>
    <w:rPr>
      <w:b/>
      <w:bCs/>
      <w:kern w:val="2"/>
      <w:sz w:val="21"/>
      <w:szCs w:val="22"/>
    </w:rPr>
  </w:style>
  <w:style w:type="paragraph" w:customStyle="1" w:styleId="17">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8">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styleId="19">
    <w:name w:val="List Paragraph"/>
    <w:basedOn w:val="1"/>
    <w:autoRedefine/>
    <w:qFormat/>
    <w:uiPriority w:val="34"/>
    <w:pPr>
      <w:ind w:firstLine="420" w:firstLineChars="200"/>
    </w:pPr>
    <w:rPr>
      <w:rFonts w:ascii="Calibri" w:hAnsi="Calibri" w:eastAsia="宋体" w:cs="Times New Roman"/>
    </w:rPr>
  </w:style>
  <w:style w:type="paragraph" w:customStyle="1" w:styleId="20">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4"/>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嘉源律师事务所</Company>
  <Pages>2</Pages>
  <Words>444</Words>
  <Characters>496</Characters>
  <Lines>3</Lines>
  <Paragraphs>1</Paragraphs>
  <TotalTime>2</TotalTime>
  <ScaleCrop>false</ScaleCrop>
  <LinksUpToDate>false</LinksUpToDate>
  <CharactersWithSpaces>515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2025-10-28T05:59:00Z</dcterms:created>
  <dc:creator>BJB-ZB-03</dc:creator>
  <cp:lastModifiedBy>雯亦</cp:lastModifiedBy>
  <dcterms:modified xsi:type="dcterms:W3CDTF">2025-10-29T05:37:26Z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9E23D84151424BB7A9EA14C773B68F0B_13</vt:lpwstr>
  </property>
  <property fmtid="{D5CDD505-2E9C-101B-9397-08002B2CF9AE}" pid="4" name="KSOTemplateDocerSaveRecord">
    <vt:lpwstr>eyJoZGlkIjoiZTQzZmRmZDMxMjkwMDE2NTk0ZWQ1ZWYwMzRmYjVhNmUiLCJ1c2VySWQiOiI2NDQwNzQxNTQifQ==</vt:lpwstr>
  </property>
</Properties>
</file>