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CACA">
      <w:pPr>
        <w:adjustRightInd w:val="0"/>
        <w:snapToGrid w:val="0"/>
        <w:spacing w:line="560" w:lineRule="exact"/>
        <w:rPr>
          <w:rFonts w:hint="eastAsia" w:ascii="宋体" w:hAnsi="宋体" w:eastAsia="宋体"/>
          <w:b/>
          <w:color w:val="auto"/>
          <w:sz w:val="24"/>
          <w:szCs w:val="24"/>
          <w:highlight w:val="none"/>
        </w:rPr>
      </w:pPr>
      <w:bookmarkStart w:id="5" w:name="_GoBack"/>
      <w:bookmarkEnd w:id="5"/>
      <w:r>
        <w:rPr>
          <w:rFonts w:hint="eastAsia" w:ascii="宋体" w:hAnsi="宋体" w:eastAsia="宋体"/>
          <w:b/>
          <w:color w:val="auto"/>
          <w:sz w:val="24"/>
          <w:szCs w:val="24"/>
          <w:highlight w:val="none"/>
        </w:rPr>
        <w:t>证券代码：</w:t>
      </w:r>
      <w:r>
        <w:rPr>
          <w:rFonts w:ascii="宋体" w:hAnsi="宋体" w:eastAsia="宋体"/>
          <w:b/>
          <w:color w:val="auto"/>
          <w:sz w:val="24"/>
          <w:szCs w:val="24"/>
          <w:highlight w:val="none"/>
        </w:rPr>
        <w:t>603191</w:t>
      </w:r>
      <w:r>
        <w:rPr>
          <w:rFonts w:hint="eastAsia" w:ascii="宋体" w:hAnsi="宋体" w:eastAsia="宋体"/>
          <w:b/>
          <w:color w:val="auto"/>
          <w:sz w:val="24"/>
          <w:szCs w:val="24"/>
          <w:highlight w:val="none"/>
        </w:rPr>
        <w:t xml:space="preserve">         证券简称：望变电气       公告编号：2</w:t>
      </w:r>
      <w:r>
        <w:rPr>
          <w:rFonts w:ascii="宋体" w:hAnsi="宋体" w:eastAsia="宋体"/>
          <w:b/>
          <w:color w:val="auto"/>
          <w:sz w:val="24"/>
          <w:szCs w:val="24"/>
          <w:highlight w:val="none"/>
        </w:rPr>
        <w:t>02</w:t>
      </w:r>
      <w:r>
        <w:rPr>
          <w:rFonts w:hint="eastAsia" w:ascii="宋体" w:hAnsi="宋体" w:eastAsia="宋体"/>
          <w:b/>
          <w:color w:val="auto"/>
          <w:sz w:val="24"/>
          <w:szCs w:val="24"/>
          <w:highlight w:val="none"/>
        </w:rPr>
        <w:t>5</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0</w:t>
      </w:r>
      <w:r>
        <w:rPr>
          <w:rFonts w:ascii="宋体" w:hAnsi="宋体" w:eastAsia="宋体"/>
          <w:b/>
          <w:color w:val="auto"/>
          <w:sz w:val="24"/>
          <w:szCs w:val="24"/>
          <w:highlight w:val="none"/>
        </w:rPr>
        <w:t>5</w:t>
      </w:r>
      <w:r>
        <w:rPr>
          <w:rFonts w:hint="eastAsia" w:ascii="宋体" w:hAnsi="宋体" w:eastAsia="宋体"/>
          <w:b/>
          <w:color w:val="auto"/>
          <w:sz w:val="24"/>
          <w:szCs w:val="24"/>
          <w:highlight w:val="none"/>
        </w:rPr>
        <w:t>5</w:t>
      </w:r>
    </w:p>
    <w:p w14:paraId="091F5FF6">
      <w:pPr>
        <w:adjustRightInd w:val="0"/>
        <w:snapToGrid w:val="0"/>
        <w:spacing w:line="560" w:lineRule="exact"/>
        <w:jc w:val="left"/>
        <w:rPr>
          <w:rFonts w:hint="eastAsia" w:ascii="仿宋" w:hAnsi="仿宋" w:eastAsia="仿宋_GB2312"/>
          <w:color w:val="auto"/>
          <w:sz w:val="30"/>
          <w:szCs w:val="30"/>
          <w:highlight w:val="none"/>
        </w:rPr>
      </w:pPr>
    </w:p>
    <w:p w14:paraId="0D6230AC">
      <w:pPr>
        <w:adjustRightInd w:val="0"/>
        <w:snapToGrid w:val="0"/>
        <w:spacing w:before="156" w:beforeLines="50" w:line="560" w:lineRule="exact"/>
        <w:jc w:val="center"/>
        <w:rPr>
          <w:rFonts w:hint="eastAsia" w:ascii="宋体" w:hAnsi="宋体" w:eastAsia="宋体" w:cs="仿宋_GB2312"/>
          <w:b/>
          <w:bCs/>
          <w:color w:val="FF0000"/>
          <w:sz w:val="36"/>
          <w:szCs w:val="36"/>
          <w:highlight w:val="none"/>
        </w:rPr>
      </w:pPr>
      <w:r>
        <w:rPr>
          <w:rFonts w:hint="eastAsia" w:ascii="宋体" w:hAnsi="宋体" w:eastAsia="宋体" w:cs="仿宋_GB2312"/>
          <w:b/>
          <w:bCs/>
          <w:color w:val="FF0000"/>
          <w:sz w:val="36"/>
          <w:szCs w:val="36"/>
          <w:highlight w:val="none"/>
        </w:rPr>
        <w:t>重庆望变电气（集团）股份有限公司</w:t>
      </w:r>
    </w:p>
    <w:p w14:paraId="7F1CDB7D">
      <w:pPr>
        <w:adjustRightInd w:val="0"/>
        <w:snapToGrid w:val="0"/>
        <w:spacing w:before="156" w:beforeLines="50" w:line="560" w:lineRule="exact"/>
        <w:jc w:val="center"/>
        <w:rPr>
          <w:rFonts w:hint="eastAsia" w:ascii="宋体" w:hAnsi="宋体" w:eastAsia="宋体" w:cs="仿宋_GB2312"/>
          <w:b/>
          <w:bCs/>
          <w:color w:val="FF0000"/>
          <w:sz w:val="36"/>
          <w:szCs w:val="36"/>
          <w:highlight w:val="none"/>
        </w:rPr>
      </w:pPr>
      <w:bookmarkStart w:id="0" w:name="_Hlk117153081"/>
      <w:r>
        <w:rPr>
          <w:rFonts w:hint="eastAsia" w:ascii="宋体" w:hAnsi="宋体" w:eastAsia="宋体" w:cs="仿宋_GB2312"/>
          <w:b/>
          <w:bCs/>
          <w:color w:val="FF0000"/>
          <w:sz w:val="36"/>
          <w:szCs w:val="36"/>
          <w:highlight w:val="none"/>
        </w:rPr>
        <w:t>第四届董事会第十五次会议</w:t>
      </w:r>
      <w:bookmarkEnd w:id="0"/>
      <w:r>
        <w:rPr>
          <w:rFonts w:hint="eastAsia" w:ascii="宋体" w:hAnsi="宋体" w:eastAsia="宋体" w:cs="仿宋_GB2312"/>
          <w:b/>
          <w:bCs/>
          <w:color w:val="FF0000"/>
          <w:sz w:val="36"/>
          <w:szCs w:val="36"/>
          <w:highlight w:val="none"/>
        </w:rPr>
        <w:t>决议公告</w:t>
      </w:r>
    </w:p>
    <w:p w14:paraId="2B71EE50">
      <w:pPr>
        <w:adjustRightInd w:val="0"/>
        <w:snapToGrid w:val="0"/>
        <w:spacing w:before="156" w:beforeLines="50" w:line="560" w:lineRule="exact"/>
        <w:jc w:val="center"/>
        <w:rPr>
          <w:rFonts w:hint="eastAsia" w:ascii="仿宋_GB2312" w:hAnsi="仿宋_GB2312" w:eastAsia="仿宋_GB2312" w:cs="仿宋_GB2312"/>
          <w:b/>
          <w:bCs/>
          <w:color w:val="auto"/>
          <w:sz w:val="30"/>
          <w:szCs w:val="30"/>
          <w:highlight w:val="none"/>
        </w:rPr>
      </w:pPr>
    </w:p>
    <w:p w14:paraId="51EFA4FB">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color w:val="auto"/>
          <w:sz w:val="24"/>
          <w:szCs w:val="24"/>
          <w:highlight w:val="none"/>
        </w:rPr>
      </w:pPr>
      <w:r>
        <w:rPr>
          <w:rFonts w:hint="eastAsia" w:ascii="仿宋" w:hAnsi="仿宋" w:eastAsia="仿宋"/>
          <w:color w:val="auto"/>
          <w:sz w:val="24"/>
          <w:szCs w:val="24"/>
          <w:highlight w:val="none"/>
        </w:rPr>
        <w:t>本公司董事会及全体董事保证本公告内容不存在任何虚假记载、误导性陈述或者重大遗漏，并对其内容的真实性、准确性和完整性承担法律责任</w:t>
      </w:r>
      <w:r>
        <w:rPr>
          <w:rFonts w:hint="eastAsia" w:ascii="宋体" w:hAnsi="宋体" w:eastAsia="宋体"/>
          <w:color w:val="auto"/>
          <w:sz w:val="24"/>
          <w:szCs w:val="24"/>
          <w:highlight w:val="none"/>
        </w:rPr>
        <w:t>。</w:t>
      </w:r>
    </w:p>
    <w:p w14:paraId="31874F22">
      <w:pPr>
        <w:autoSpaceDE w:val="0"/>
        <w:autoSpaceDN w:val="0"/>
        <w:adjustRightInd w:val="0"/>
        <w:snapToGrid w:val="0"/>
        <w:spacing w:line="560" w:lineRule="exact"/>
        <w:rPr>
          <w:rFonts w:hint="eastAsia" w:ascii="仿宋" w:hAnsi="仿宋" w:eastAsia="仿宋_GB2312"/>
          <w:color w:val="auto"/>
          <w:sz w:val="30"/>
          <w:szCs w:val="30"/>
          <w:highlight w:val="none"/>
        </w:rPr>
      </w:pPr>
    </w:p>
    <w:p w14:paraId="014A19D3">
      <w:pPr>
        <w:pStyle w:val="95"/>
        <w:numPr>
          <w:ilvl w:val="0"/>
          <w:numId w:val="11"/>
        </w:numPr>
        <w:autoSpaceDE w:val="0"/>
        <w:autoSpaceDN w:val="0"/>
        <w:adjustRightInd w:val="0"/>
        <w:snapToGrid w:val="0"/>
        <w:spacing w:line="560" w:lineRule="exact"/>
        <w:ind w:firstLineChars="0"/>
        <w:rPr>
          <w:rFonts w:hint="eastAsia" w:ascii="宋体" w:hAnsi="宋体"/>
          <w:b/>
          <w:color w:val="auto"/>
          <w:sz w:val="24"/>
          <w:szCs w:val="24"/>
          <w:highlight w:val="none"/>
        </w:rPr>
      </w:pPr>
      <w:r>
        <w:rPr>
          <w:rFonts w:hint="eastAsia" w:ascii="宋体" w:hAnsi="宋体"/>
          <w:b/>
          <w:color w:val="auto"/>
          <w:sz w:val="24"/>
          <w:szCs w:val="24"/>
          <w:highlight w:val="none"/>
        </w:rPr>
        <w:t>董事会会议召开情况</w:t>
      </w:r>
    </w:p>
    <w:p w14:paraId="3C3FAFB4">
      <w:pPr>
        <w:autoSpaceDE w:val="0"/>
        <w:autoSpaceDN w:val="0"/>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重庆望变电气（集团）股份有限公司（以下简称“公司”或“望变电气”）第四届董事会第十五次会议通知于2025年</w:t>
      </w:r>
      <w:r>
        <w:rPr>
          <w:rFonts w:ascii="宋体" w:hAnsi="宋体"/>
          <w:color w:val="auto"/>
          <w:sz w:val="24"/>
          <w:szCs w:val="24"/>
          <w:highlight w:val="none"/>
        </w:rPr>
        <w:t>1</w:t>
      </w:r>
      <w:r>
        <w:rPr>
          <w:rFonts w:hint="eastAsia" w:ascii="宋体" w:hAnsi="宋体"/>
          <w:color w:val="auto"/>
          <w:sz w:val="24"/>
          <w:szCs w:val="24"/>
          <w:highlight w:val="none"/>
        </w:rPr>
        <w:t>2月4日以邮件的方式发出，会议于2025年</w:t>
      </w:r>
      <w:r>
        <w:rPr>
          <w:rFonts w:ascii="宋体" w:hAnsi="宋体"/>
          <w:color w:val="auto"/>
          <w:sz w:val="24"/>
          <w:szCs w:val="24"/>
          <w:highlight w:val="none"/>
        </w:rPr>
        <w:t>1</w:t>
      </w:r>
      <w:r>
        <w:rPr>
          <w:rFonts w:hint="eastAsia" w:ascii="宋体" w:hAnsi="宋体"/>
          <w:color w:val="auto"/>
          <w:sz w:val="24"/>
          <w:szCs w:val="24"/>
          <w:highlight w:val="none"/>
        </w:rPr>
        <w:t>2月9日以现场结合通讯方式在公司会议室召开。本次会议应出席董事</w:t>
      </w:r>
      <w:r>
        <w:rPr>
          <w:rFonts w:ascii="宋体" w:hAnsi="宋体"/>
          <w:color w:val="auto"/>
          <w:sz w:val="24"/>
          <w:szCs w:val="24"/>
          <w:highlight w:val="none"/>
        </w:rPr>
        <w:t>9</w:t>
      </w:r>
      <w:r>
        <w:rPr>
          <w:rFonts w:hint="eastAsia" w:ascii="宋体" w:hAnsi="宋体"/>
          <w:color w:val="auto"/>
          <w:sz w:val="24"/>
          <w:szCs w:val="24"/>
          <w:highlight w:val="none"/>
        </w:rPr>
        <w:t>人，实际出席董事</w:t>
      </w:r>
      <w:r>
        <w:rPr>
          <w:rFonts w:ascii="宋体" w:hAnsi="宋体"/>
          <w:color w:val="auto"/>
          <w:sz w:val="24"/>
          <w:szCs w:val="24"/>
          <w:highlight w:val="none"/>
        </w:rPr>
        <w:t>9</w:t>
      </w:r>
      <w:r>
        <w:rPr>
          <w:rFonts w:hint="eastAsia" w:ascii="宋体" w:hAnsi="宋体"/>
          <w:color w:val="auto"/>
          <w:sz w:val="24"/>
          <w:szCs w:val="24"/>
          <w:highlight w:val="none"/>
        </w:rPr>
        <w:t>人（其中以通讯方式出席</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人），公司董事长杨泽民</w:t>
      </w:r>
      <w:r>
        <w:rPr>
          <w:rFonts w:hint="eastAsia" w:ascii="宋体" w:hAnsi="宋体"/>
          <w:color w:val="auto"/>
          <w:sz w:val="24"/>
          <w:szCs w:val="24"/>
          <w:highlight w:val="none"/>
          <w:lang w:val="en-US" w:eastAsia="zh-CN"/>
        </w:rPr>
        <w:t>先生主持</w:t>
      </w:r>
      <w:r>
        <w:rPr>
          <w:rFonts w:hint="eastAsia" w:ascii="宋体" w:hAnsi="宋体"/>
          <w:color w:val="auto"/>
          <w:sz w:val="24"/>
          <w:szCs w:val="24"/>
          <w:highlight w:val="none"/>
        </w:rPr>
        <w:t>本次董事会会议，公司监事及部分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14:paraId="57750498">
      <w:pPr>
        <w:pStyle w:val="95"/>
        <w:numPr>
          <w:ilvl w:val="0"/>
          <w:numId w:val="11"/>
        </w:numPr>
        <w:autoSpaceDE w:val="0"/>
        <w:autoSpaceDN w:val="0"/>
        <w:adjustRightInd w:val="0"/>
        <w:snapToGrid w:val="0"/>
        <w:spacing w:line="560" w:lineRule="exact"/>
        <w:ind w:firstLineChars="0"/>
        <w:rPr>
          <w:rFonts w:hint="eastAsia" w:ascii="宋体" w:hAnsi="宋体"/>
          <w:b/>
          <w:color w:val="auto"/>
          <w:sz w:val="24"/>
          <w:szCs w:val="24"/>
          <w:highlight w:val="none"/>
        </w:rPr>
      </w:pPr>
      <w:r>
        <w:rPr>
          <w:rFonts w:hint="eastAsia" w:ascii="宋体" w:hAnsi="宋体"/>
          <w:b/>
          <w:color w:val="auto"/>
          <w:sz w:val="24"/>
          <w:szCs w:val="24"/>
          <w:highlight w:val="none"/>
        </w:rPr>
        <w:t>董事会会议审议情况</w:t>
      </w:r>
    </w:p>
    <w:p w14:paraId="357934A8">
      <w:pPr>
        <w:pStyle w:val="95"/>
        <w:numPr>
          <w:ilvl w:val="255"/>
          <w:numId w:val="0"/>
        </w:numPr>
        <w:autoSpaceDE w:val="0"/>
        <w:autoSpaceDN w:val="0"/>
        <w:adjustRightInd w:val="0"/>
        <w:snapToGrid w:val="0"/>
        <w:spacing w:line="560" w:lineRule="exact"/>
        <w:ind w:left="482"/>
        <w:rPr>
          <w:rFonts w:hint="eastAsia" w:ascii="宋体" w:hAnsi="宋体"/>
          <w:b/>
          <w:color w:val="auto"/>
          <w:sz w:val="24"/>
          <w:szCs w:val="24"/>
          <w:highlight w:val="none"/>
        </w:rPr>
      </w:pPr>
      <w:r>
        <w:rPr>
          <w:rFonts w:hint="eastAsia" w:ascii="宋体" w:hAnsi="宋体"/>
          <w:b/>
          <w:color w:val="auto"/>
          <w:sz w:val="24"/>
          <w:szCs w:val="24"/>
          <w:highlight w:val="none"/>
        </w:rPr>
        <w:t>（一）审议通过《关于取消监事会并修订&lt;公司章程&gt;及其附件的议案》</w:t>
      </w:r>
    </w:p>
    <w:p w14:paraId="60D86B8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公司董事会同意取消监事会及监事设置，由董事会审计委员会行使监事会的相关职权，《监事会议事规则》相应废止，股东会审议通过后，第四届监事会监事职务自然免除。</w:t>
      </w:r>
    </w:p>
    <w:p w14:paraId="206B712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在公司股东会审议通过取消监事会事项之前，公司第四届监事会仍将严格按照有关法律、法规和《公司章程》的规定继续履行职责，维护公司和全体股东利益。</w:t>
      </w:r>
    </w:p>
    <w:p w14:paraId="3EB6AA6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董事会同意对《重庆望变电气（集团）股份有限公司章程》（以下简称“《公司章程》”）及其附件《股东会议事规则》《董事会议事规则》中的部分条款进行修订，修订后的《公司章程》及其附件自公司股东会审议通过后生效，原《公司章程》及其附件相应废止。相关内容详见2025年</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2月11日刊登于上海证券交易所网站 www.sse.com.cn 的《公司章程》《股东会议事规则》《董事会议事规则》及《关于取消监事会暨修订&lt;公司章程&gt;及修订、制定和废止部分治理制度的公告》（公告编号：2025-057）。</w:t>
      </w:r>
    </w:p>
    <w:p w14:paraId="7E865AFC">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642B383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该议案已经公司第四届董事会审计委员会第十次会议审议通过，尚需提交股东会审议。</w:t>
      </w:r>
    </w:p>
    <w:p w14:paraId="774403EA">
      <w:pPr>
        <w:pStyle w:val="95"/>
        <w:numPr>
          <w:ilvl w:val="0"/>
          <w:numId w:val="12"/>
        </w:numPr>
        <w:autoSpaceDE w:val="0"/>
        <w:autoSpaceDN w:val="0"/>
        <w:adjustRightInd w:val="0"/>
        <w:snapToGrid w:val="0"/>
        <w:spacing w:line="560" w:lineRule="exact"/>
        <w:ind w:firstLine="482"/>
        <w:rPr>
          <w:rFonts w:hint="eastAsia" w:ascii="宋体" w:hAnsi="宋体"/>
          <w:b/>
          <w:color w:val="auto"/>
          <w:sz w:val="24"/>
          <w:szCs w:val="24"/>
          <w:highlight w:val="none"/>
        </w:rPr>
      </w:pPr>
      <w:r>
        <w:rPr>
          <w:rFonts w:hint="eastAsia" w:ascii="宋体" w:hAnsi="宋体"/>
          <w:b/>
          <w:color w:val="auto"/>
          <w:sz w:val="24"/>
          <w:szCs w:val="24"/>
          <w:highlight w:val="none"/>
        </w:rPr>
        <w:t>逐项审议《关于修订、制定部分公司治理制度的议案》</w:t>
      </w:r>
    </w:p>
    <w:p w14:paraId="61BD3B58">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为进一步规范公司运作，促进公司持续健康稳定发展，公司拟按照现行的《公司法》《证券法》及《上海证券交易所股票上市规则》《上海证券交易所上市公司自律监管指引》《上市公司独立董事管理办法》等相关法律法规和规范性文件以及公司的实际情况，制定、修订了公司部分治理制度。具体情况如下：</w:t>
      </w:r>
    </w:p>
    <w:p w14:paraId="4ABFE211">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 审议关于修订《董事会审计委员会工作细则》</w:t>
      </w:r>
    </w:p>
    <w:p w14:paraId="45545E85">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58475BF">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 审议关于修订《董事会提名委员会工作细则》</w:t>
      </w:r>
    </w:p>
    <w:p w14:paraId="40866952">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285B6499">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3审议关于修订《董事会战略发展委员会工作细则》</w:t>
      </w:r>
    </w:p>
    <w:p w14:paraId="728547C1">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79FACD3A">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4 审议关于修订《董事会薪酬与考核委员会工作细则》</w:t>
      </w:r>
    </w:p>
    <w:p w14:paraId="4056C276">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0EBDF26">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5审议关于修订《</w:t>
      </w:r>
      <w:bookmarkStart w:id="1" w:name="OLE_LINK1"/>
      <w:r>
        <w:rPr>
          <w:rFonts w:hint="eastAsia" w:ascii="宋体" w:hAnsi="宋体"/>
          <w:bCs/>
          <w:color w:val="auto"/>
          <w:sz w:val="24"/>
          <w:szCs w:val="24"/>
          <w:highlight w:val="none"/>
        </w:rPr>
        <w:t>独立董事专门会议工作制度</w:t>
      </w:r>
      <w:bookmarkEnd w:id="1"/>
      <w:r>
        <w:rPr>
          <w:rFonts w:hint="eastAsia" w:ascii="宋体" w:hAnsi="宋体"/>
          <w:bCs/>
          <w:color w:val="auto"/>
          <w:sz w:val="24"/>
          <w:szCs w:val="24"/>
          <w:highlight w:val="none"/>
        </w:rPr>
        <w:t>》</w:t>
      </w:r>
    </w:p>
    <w:p w14:paraId="004CCEB1">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292B1769">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6 审议关于修订《独立董事工作制度》</w:t>
      </w:r>
    </w:p>
    <w:p w14:paraId="4C052181">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F594694">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7 审议关于修订《总经理工作细则》</w:t>
      </w:r>
    </w:p>
    <w:p w14:paraId="6ABEE610">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1A20591F">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8 审议关于修订《董事会秘书工作制度》</w:t>
      </w:r>
    </w:p>
    <w:p w14:paraId="5A2A4450">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7276B735">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9 审议关于修订《防范控股股东、实际控制人及其关联方占用公司资金制度》</w:t>
      </w:r>
    </w:p>
    <w:p w14:paraId="379F8D98">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63800CE1">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10 审议关于制定《董事、高级管理人员离职管理制度》</w:t>
      </w:r>
    </w:p>
    <w:p w14:paraId="645B398B">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00ACD15F">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11 审议关于制定《董事、高级管理人员薪酬管理制度》</w:t>
      </w:r>
    </w:p>
    <w:p w14:paraId="7A95C504">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233D8D08">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12 审议关于制定《董事和高级管理人员所持本公司股份及其变动管理制度》</w:t>
      </w:r>
    </w:p>
    <w:p w14:paraId="643A3E95">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7571E13">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13 审议关于修订《远期结售汇业务内部控制制度》</w:t>
      </w:r>
    </w:p>
    <w:p w14:paraId="0564E64B">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4D9C6F2B">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14 审议关于修订《关联交易决策制度》</w:t>
      </w:r>
    </w:p>
    <w:p w14:paraId="2C11C587">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6837CCD9">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15 审议关于修订《对外投资管理办法》</w:t>
      </w:r>
    </w:p>
    <w:p w14:paraId="708D913C">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0ADE3DF3">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16 审议关于修订《对外担保管理制度》</w:t>
      </w:r>
    </w:p>
    <w:p w14:paraId="30DAE00E">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2E151322">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17 审议关于修订《募集资金管理制度》</w:t>
      </w:r>
    </w:p>
    <w:p w14:paraId="1B60F714">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C201BA7">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18 审议关于修订《投资者关系管理制度》</w:t>
      </w:r>
    </w:p>
    <w:p w14:paraId="3F3B5D36">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4806BCB1">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19 审议关于修订《股东会网络投票实施细则》</w:t>
      </w:r>
    </w:p>
    <w:p w14:paraId="201E66A6">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5F9A4427">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20 审议关于修订《</w:t>
      </w:r>
      <w:bookmarkStart w:id="2" w:name="OLE_LINK2"/>
      <w:r>
        <w:rPr>
          <w:rFonts w:hint="eastAsia" w:ascii="宋体" w:hAnsi="宋体"/>
          <w:bCs/>
          <w:color w:val="auto"/>
          <w:sz w:val="24"/>
          <w:szCs w:val="24"/>
          <w:highlight w:val="none"/>
        </w:rPr>
        <w:t>信息披露管理制度</w:t>
      </w:r>
      <w:bookmarkEnd w:id="2"/>
      <w:r>
        <w:rPr>
          <w:rFonts w:hint="eastAsia" w:ascii="宋体" w:hAnsi="宋体"/>
          <w:bCs/>
          <w:color w:val="auto"/>
          <w:sz w:val="24"/>
          <w:szCs w:val="24"/>
          <w:highlight w:val="none"/>
        </w:rPr>
        <w:t>》</w:t>
      </w:r>
    </w:p>
    <w:p w14:paraId="34485C5D">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003923DF">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21 审议关于修订《自愿信息披露管理制度》</w:t>
      </w:r>
    </w:p>
    <w:p w14:paraId="2DA73322">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727F90DE">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22 审议关于修订《信息披露暂缓与豁免事项管理制度》</w:t>
      </w:r>
    </w:p>
    <w:p w14:paraId="0C085CF4">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48B137A">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23 审议关于制定《年报信息披露重大差错责任追究制度》</w:t>
      </w:r>
    </w:p>
    <w:p w14:paraId="3716A02A">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41421A96">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24 审议关于修订《内幕信息知情人登记管理制度》</w:t>
      </w:r>
    </w:p>
    <w:p w14:paraId="14621F79">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6BB24C09">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25 审议关于修订《舆情管理制度》</w:t>
      </w:r>
    </w:p>
    <w:p w14:paraId="41D88254">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4080C6CE">
      <w:pPr>
        <w:pStyle w:val="95"/>
        <w:autoSpaceDE w:val="0"/>
        <w:autoSpaceDN w:val="0"/>
        <w:adjustRightInd w:val="0"/>
        <w:snapToGrid w:val="0"/>
        <w:spacing w:line="560" w:lineRule="exact"/>
        <w:ind w:firstLine="481" w:firstLineChars="0"/>
        <w:rPr>
          <w:rFonts w:hint="eastAsia" w:ascii="宋体" w:hAnsi="宋体"/>
          <w:bCs/>
          <w:color w:val="auto"/>
          <w:sz w:val="24"/>
          <w:szCs w:val="24"/>
          <w:highlight w:val="none"/>
        </w:rPr>
      </w:pPr>
      <w:r>
        <w:rPr>
          <w:rFonts w:hint="eastAsia" w:ascii="宋体" w:hAnsi="宋体"/>
          <w:bCs/>
          <w:color w:val="auto"/>
          <w:sz w:val="24"/>
          <w:szCs w:val="24"/>
          <w:highlight w:val="none"/>
        </w:rPr>
        <w:t>26 审议关于修订《会计师事务所选聘制度》</w:t>
      </w:r>
    </w:p>
    <w:p w14:paraId="426F287F">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0A4BE7BD">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p>
    <w:p w14:paraId="538278D3">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制度中的《独立董事工作制度》《防范控股股东、实际控制人及其关联方占用公司资金制度》《董事、高级管理人员薪酬管理制度》《关联交易决策制度》《对外投资管理办法》《对外担保管理制度》《募集资金使用管理制度》《股东会网络投票实施细则》《信息披露管理制度》尚需提交股东会审议通过后方可生效。</w:t>
      </w:r>
    </w:p>
    <w:p w14:paraId="7EAB4DB0">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相关制度内容详见公司同日刊登在指定媒体及上海证券交易所网站上的相关文件。</w:t>
      </w:r>
    </w:p>
    <w:p w14:paraId="178972D1">
      <w:pPr>
        <w:autoSpaceDE w:val="0"/>
        <w:autoSpaceDN w:val="0"/>
        <w:adjustRightInd w:val="0"/>
        <w:snapToGrid w:val="0"/>
        <w:spacing w:line="560" w:lineRule="exact"/>
        <w:ind w:left="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该议案已经公司第四届董事会审计委员会第十次会议审议通过。</w:t>
      </w:r>
    </w:p>
    <w:p w14:paraId="5D74468C">
      <w:pPr>
        <w:pStyle w:val="95"/>
        <w:numPr>
          <w:ilvl w:val="0"/>
          <w:numId w:val="12"/>
        </w:numPr>
        <w:autoSpaceDE w:val="0"/>
        <w:autoSpaceDN w:val="0"/>
        <w:adjustRightInd w:val="0"/>
        <w:snapToGrid w:val="0"/>
        <w:spacing w:line="560" w:lineRule="exact"/>
        <w:ind w:firstLine="482"/>
        <w:rPr>
          <w:rFonts w:hint="eastAsia" w:ascii="宋体" w:hAnsi="宋体"/>
          <w:b/>
          <w:color w:val="auto"/>
          <w:sz w:val="24"/>
          <w:szCs w:val="24"/>
          <w:highlight w:val="none"/>
        </w:rPr>
      </w:pPr>
      <w:r>
        <w:rPr>
          <w:rFonts w:hint="eastAsia" w:ascii="宋体" w:hAnsi="宋体"/>
          <w:b/>
          <w:color w:val="auto"/>
          <w:sz w:val="24"/>
          <w:szCs w:val="24"/>
          <w:highlight w:val="none"/>
        </w:rPr>
        <w:t>审议通过《关于首次公开发行股票募投项目结项并将节余募集资金</w:t>
      </w:r>
      <w:bookmarkStart w:id="3" w:name="OLE_LINK3"/>
      <w:r>
        <w:rPr>
          <w:rFonts w:hint="eastAsia" w:ascii="宋体" w:hAnsi="宋体"/>
          <w:b/>
          <w:color w:val="auto"/>
          <w:sz w:val="24"/>
          <w:szCs w:val="24"/>
          <w:highlight w:val="none"/>
        </w:rPr>
        <w:t>永久补流</w:t>
      </w:r>
      <w:bookmarkEnd w:id="3"/>
      <w:r>
        <w:rPr>
          <w:rFonts w:hint="eastAsia" w:ascii="宋体" w:hAnsi="宋体"/>
          <w:b/>
          <w:color w:val="auto"/>
          <w:sz w:val="24"/>
          <w:szCs w:val="24"/>
          <w:highlight w:val="none"/>
        </w:rPr>
        <w:t>及注销募集资金专户的议案》</w:t>
      </w:r>
    </w:p>
    <w:p w14:paraId="1B85F58A">
      <w:pPr>
        <w:autoSpaceDE w:val="0"/>
        <w:autoSpaceDN w:val="0"/>
        <w:adjustRightInd w:val="0"/>
        <w:snapToGrid w:val="0"/>
        <w:spacing w:line="560" w:lineRule="exact"/>
        <w:ind w:firstLine="482" w:firstLineChars="200"/>
        <w:rPr>
          <w:rFonts w:hint="eastAsia" w:ascii="宋体" w:hAnsi="宋体" w:eastAsia="宋体" w:cs="宋体"/>
          <w:color w:val="auto"/>
          <w:sz w:val="24"/>
          <w:szCs w:val="24"/>
          <w:highlight w:val="none"/>
        </w:rPr>
      </w:pPr>
      <w:r>
        <w:rPr>
          <w:rFonts w:hint="eastAsia" w:ascii="宋体" w:hAnsi="宋体"/>
          <w:b/>
          <w:color w:val="auto"/>
          <w:sz w:val="24"/>
          <w:szCs w:val="24"/>
          <w:highlight w:val="none"/>
        </w:rPr>
        <w:t xml:space="preserve"> </w:t>
      </w:r>
      <w:r>
        <w:rPr>
          <w:rFonts w:hint="eastAsia" w:ascii="宋体" w:hAnsi="宋体" w:eastAsia="宋体" w:cs="宋体"/>
          <w:color w:val="auto"/>
          <w:sz w:val="24"/>
          <w:szCs w:val="24"/>
          <w:highlight w:val="none"/>
        </w:rPr>
        <w:t>相关内容详见公司同日刊登在指定媒体及上海证券交易所网站上的《关于首次公开发行股票募投项目结项并将节余募集资金永久补流及注销募集资金专户的公告》（公告编号：2025-058）。</w:t>
      </w:r>
    </w:p>
    <w:p w14:paraId="11839719">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8AEE82D">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该议案已经公司第四届董事会审计委员会第十次会议审议通过。</w:t>
      </w:r>
    </w:p>
    <w:p w14:paraId="437D615A">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审议通过《关于终止实施2024年限制性股票激励计划暨回购注销相关股票并调整回购价格的议案》</w:t>
      </w:r>
    </w:p>
    <w:p w14:paraId="1BDA1AC1">
      <w:pPr>
        <w:autoSpaceDE w:val="0"/>
        <w:autoSpaceDN w:val="0"/>
        <w:adjustRightInd w:val="0"/>
        <w:snapToGrid w:val="0"/>
        <w:spacing w:line="5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相关内容详见公司同日刊登在指定媒体及上海证券交易所网站上的《关于终止实施2024年限制性股票激励计划暨回购注销相关股票并调整回购价格的公告》（公告编号：2025-059）。</w:t>
      </w:r>
    </w:p>
    <w:p w14:paraId="47206BDE">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关联董事</w:t>
      </w:r>
      <w:r>
        <w:rPr>
          <w:rFonts w:hint="eastAsia" w:ascii="宋体" w:hAnsi="宋体" w:eastAsia="宋体" w:cs="宋体"/>
          <w:color w:val="auto"/>
          <w:sz w:val="24"/>
          <w:szCs w:val="24"/>
          <w:highlight w:val="none"/>
        </w:rPr>
        <w:t>杨林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胡守天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王海波和付康</w:t>
      </w:r>
      <w:r>
        <w:rPr>
          <w:rFonts w:hint="eastAsia" w:ascii="宋体" w:hAnsi="宋体" w:eastAsia="宋体" w:cs="宋体"/>
          <w:color w:val="auto"/>
          <w:sz w:val="24"/>
          <w:szCs w:val="24"/>
          <w:highlight w:val="none"/>
          <w:lang w:val="en-US" w:eastAsia="zh-CN"/>
        </w:rPr>
        <w:t>回避表决。</w:t>
      </w:r>
    </w:p>
    <w:p w14:paraId="38AC6846">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票；反对0票；弃权0票。</w:t>
      </w:r>
    </w:p>
    <w:p w14:paraId="1C392D81">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该议案已经公司第四届董事会薪酬与考核委员会第六次会议审议通过，尚需提交股东会审议。</w:t>
      </w:r>
    </w:p>
    <w:p w14:paraId="6E4289C0">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审议通过《关于注销公司已回购未使用股票的议案》</w:t>
      </w:r>
    </w:p>
    <w:p w14:paraId="0B523189">
      <w:pPr>
        <w:autoSpaceDE w:val="0"/>
        <w:autoSpaceDN w:val="0"/>
        <w:adjustRightInd w:val="0"/>
        <w:snapToGrid w:val="0"/>
        <w:spacing w:line="5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相关内容详见公司同日刊登在指定媒体及上海证券交易所网站上的《关于注销公司已回购未使用股票的公告》（公告编号：2025-060）。</w:t>
      </w:r>
    </w:p>
    <w:p w14:paraId="02E57FD3">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66857ED4">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该议案已经公司第四届董事会薪酬与考核委员会第六次会议审议通过，尚需提交股东会审议。</w:t>
      </w:r>
    </w:p>
    <w:p w14:paraId="481A839F">
      <w:pPr>
        <w:numPr>
          <w:ilvl w:val="0"/>
          <w:numId w:val="12"/>
        </w:numPr>
        <w:autoSpaceDE w:val="0"/>
        <w:autoSpaceDN w:val="0"/>
        <w:adjustRightInd w:val="0"/>
        <w:snapToGrid w:val="0"/>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审议通过《关于2026年度</w:t>
      </w:r>
      <w:bookmarkStart w:id="4" w:name="OLE_LINK5"/>
      <w:r>
        <w:rPr>
          <w:rFonts w:hint="eastAsia" w:ascii="宋体" w:hAnsi="宋体" w:eastAsia="宋体" w:cs="宋体"/>
          <w:b/>
          <w:bCs/>
          <w:color w:val="auto"/>
          <w:sz w:val="24"/>
          <w:szCs w:val="24"/>
          <w:highlight w:val="none"/>
        </w:rPr>
        <w:t>财务预算报告</w:t>
      </w:r>
      <w:bookmarkEnd w:id="4"/>
      <w:r>
        <w:rPr>
          <w:rFonts w:hint="eastAsia" w:ascii="宋体" w:hAnsi="宋体" w:eastAsia="宋体" w:cs="宋体"/>
          <w:b/>
          <w:bCs/>
          <w:color w:val="auto"/>
          <w:sz w:val="24"/>
          <w:szCs w:val="24"/>
          <w:highlight w:val="none"/>
        </w:rPr>
        <w:t>的议案》</w:t>
      </w:r>
    </w:p>
    <w:p w14:paraId="3BE5CBB9">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董事会同意公司2026年财务预算报告。</w:t>
      </w:r>
    </w:p>
    <w:p w14:paraId="23909A75">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40557EA9">
      <w:pPr>
        <w:autoSpaceDE w:val="0"/>
        <w:autoSpaceDN w:val="0"/>
        <w:adjustRightInd w:val="0"/>
        <w:snapToGrid w:val="0"/>
        <w:spacing w:line="560" w:lineRule="exact"/>
        <w:ind w:left="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该议案已经公司第四届董事会审计委员会第十次会议审议通过。</w:t>
      </w:r>
    </w:p>
    <w:p w14:paraId="02DE73B8">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审议通过《关于预计2026年度向银行等金融机构申请综合授信额度及为子公司提供融资担保额度的议案》</w:t>
      </w:r>
    </w:p>
    <w:p w14:paraId="18F31B06">
      <w:pPr>
        <w:autoSpaceDE w:val="0"/>
        <w:autoSpaceDN w:val="0"/>
        <w:adjustRightInd w:val="0"/>
        <w:snapToGrid w:val="0"/>
        <w:spacing w:line="5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预计2026年度向银行等金融机构申请综合授信额度的公告》（公告编号：2025-061）和《关于预计2026年度为子公司提供融资担保额度的公告》（公告编号：2025-062）。</w:t>
      </w:r>
    </w:p>
    <w:p w14:paraId="26D0347D">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36695FD4">
      <w:pPr>
        <w:autoSpaceDE w:val="0"/>
        <w:autoSpaceDN w:val="0"/>
        <w:adjustRightInd w:val="0"/>
        <w:snapToGrid w:val="0"/>
        <w:spacing w:line="560" w:lineRule="exact"/>
        <w:ind w:left="482"/>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该议案已经公司第四届董事会战略委员会第五次会议、</w:t>
      </w:r>
      <w:r>
        <w:rPr>
          <w:rFonts w:hint="eastAsia" w:ascii="宋体" w:hAnsi="宋体" w:eastAsia="宋体" w:cs="宋体"/>
          <w:bCs/>
          <w:color w:val="auto"/>
          <w:sz w:val="24"/>
          <w:szCs w:val="24"/>
          <w:highlight w:val="none"/>
        </w:rPr>
        <w:t>第四届董事会审计委</w:t>
      </w:r>
    </w:p>
    <w:p w14:paraId="66CF2A42">
      <w:pPr>
        <w:autoSpaceDE w:val="0"/>
        <w:autoSpaceDN w:val="0"/>
        <w:adjustRightInd w:val="0"/>
        <w:snapToGrid w:val="0"/>
        <w:spacing w:line="560" w:lineRule="exact"/>
        <w:rPr>
          <w:rFonts w:hint="eastAsia" w:ascii="宋体" w:hAnsi="宋体" w:eastAsia="仿宋" w:cs="宋体"/>
          <w:b/>
          <w:bCs/>
          <w:color w:val="auto"/>
          <w:sz w:val="24"/>
          <w:szCs w:val="24"/>
          <w:highlight w:val="none"/>
        </w:rPr>
      </w:pPr>
      <w:r>
        <w:rPr>
          <w:rFonts w:hint="eastAsia" w:ascii="宋体" w:hAnsi="宋体" w:eastAsia="宋体" w:cs="宋体"/>
          <w:bCs/>
          <w:color w:val="auto"/>
          <w:sz w:val="24"/>
          <w:szCs w:val="24"/>
          <w:highlight w:val="none"/>
        </w:rPr>
        <w:t>员会第十次会议审议通过，</w:t>
      </w:r>
      <w:r>
        <w:rPr>
          <w:rFonts w:hint="eastAsia" w:ascii="宋体" w:hAnsi="宋体" w:eastAsia="宋体" w:cs="宋体"/>
          <w:color w:val="auto"/>
          <w:sz w:val="24"/>
          <w:szCs w:val="24"/>
          <w:highlight w:val="none"/>
        </w:rPr>
        <w:t>尚需提交股东会审议</w:t>
      </w:r>
      <w:r>
        <w:rPr>
          <w:rFonts w:hint="eastAsia" w:ascii="宋体" w:hAnsi="宋体" w:eastAsia="宋体" w:cs="宋体"/>
          <w:bCs/>
          <w:color w:val="auto"/>
          <w:sz w:val="24"/>
          <w:szCs w:val="24"/>
          <w:highlight w:val="none"/>
        </w:rPr>
        <w:t>。</w:t>
      </w:r>
    </w:p>
    <w:p w14:paraId="00D3A1C5">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审议通过《关于预计2026年度日常关联交易的议案》</w:t>
      </w:r>
    </w:p>
    <w:p w14:paraId="497C33DE">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相关内容详见公司同日刊登在指定媒体及上海证券交易所网站上的《关于预计2026年度日常关联交易的公告》（公告编号：2025-063）</w:t>
      </w:r>
    </w:p>
    <w:p w14:paraId="6BBA083F">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5E6F839D">
      <w:pPr>
        <w:autoSpaceDE w:val="0"/>
        <w:autoSpaceDN w:val="0"/>
        <w:adjustRightInd w:val="0"/>
        <w:snapToGrid w:val="0"/>
        <w:spacing w:line="560" w:lineRule="exact"/>
        <w:ind w:left="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该议案已经公司</w:t>
      </w:r>
      <w:r>
        <w:rPr>
          <w:rFonts w:hint="eastAsia" w:ascii="宋体" w:hAnsi="宋体" w:eastAsia="宋体" w:cs="宋体"/>
          <w:color w:val="auto"/>
          <w:sz w:val="24"/>
          <w:szCs w:val="24"/>
          <w:highlight w:val="none"/>
        </w:rPr>
        <w:t>第四届董事会审计委员会第十次会议和第四届董事会独立</w:t>
      </w:r>
    </w:p>
    <w:p w14:paraId="25FE2209">
      <w:pPr>
        <w:autoSpaceDE w:val="0"/>
        <w:autoSpaceDN w:val="0"/>
        <w:adjustRightInd w:val="0"/>
        <w:snapToGrid w:val="0"/>
        <w:spacing w:line="560" w:lineRule="exact"/>
        <w:rPr>
          <w:rFonts w:hint="eastAsia" w:ascii="宋体" w:hAnsi="宋体" w:eastAsia="宋体"/>
          <w:b/>
          <w:color w:val="auto"/>
          <w:sz w:val="24"/>
          <w:szCs w:val="24"/>
          <w:highlight w:val="none"/>
        </w:rPr>
      </w:pPr>
      <w:r>
        <w:rPr>
          <w:rFonts w:hint="eastAsia" w:ascii="宋体" w:hAnsi="宋体" w:eastAsia="宋体" w:cs="宋体"/>
          <w:color w:val="auto"/>
          <w:sz w:val="24"/>
          <w:szCs w:val="24"/>
          <w:highlight w:val="none"/>
        </w:rPr>
        <w:t>董事专门委员会第四次会议审议通过。</w:t>
      </w:r>
    </w:p>
    <w:p w14:paraId="196ED9BC">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审议通过《关于预计2026年度使用闲置自有资金进行现金管理的议案》</w:t>
      </w:r>
    </w:p>
    <w:p w14:paraId="3904C498">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相关内容详见公司同日刊登在指定媒体及上海证券交易所网站上的《关于预计2026年度使用闲置自有资金进行现金管理的公告》（公告编号：2025-064）</w:t>
      </w:r>
    </w:p>
    <w:p w14:paraId="0B2C4F26">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0A0FDB7D">
      <w:pPr>
        <w:autoSpaceDE w:val="0"/>
        <w:autoSpaceDN w:val="0"/>
        <w:adjustRightInd w:val="0"/>
        <w:snapToGrid w:val="0"/>
        <w:spacing w:line="560" w:lineRule="exact"/>
        <w:ind w:left="482"/>
        <w:rPr>
          <w:rFonts w:hint="eastAsia" w:ascii="宋体" w:hAnsi="宋体" w:eastAsia="宋体"/>
          <w:b/>
          <w:color w:val="auto"/>
          <w:sz w:val="24"/>
          <w:szCs w:val="24"/>
          <w:highlight w:val="none"/>
        </w:rPr>
      </w:pPr>
      <w:r>
        <w:rPr>
          <w:rFonts w:hint="eastAsia" w:ascii="宋体" w:hAnsi="宋体" w:eastAsia="宋体" w:cs="宋体"/>
          <w:bCs/>
          <w:color w:val="auto"/>
          <w:sz w:val="24"/>
          <w:highlight w:val="none"/>
        </w:rPr>
        <w:t>该议案已经公司</w:t>
      </w:r>
      <w:r>
        <w:rPr>
          <w:rFonts w:hint="eastAsia" w:ascii="宋体" w:hAnsi="宋体" w:eastAsia="宋体" w:cs="宋体"/>
          <w:color w:val="auto"/>
          <w:sz w:val="24"/>
          <w:szCs w:val="24"/>
          <w:highlight w:val="none"/>
        </w:rPr>
        <w:t>第四届董事会审计委员会第十次会议审议通过。</w:t>
      </w:r>
    </w:p>
    <w:p w14:paraId="4F4C00E4">
      <w:pPr>
        <w:autoSpaceDE w:val="0"/>
        <w:autoSpaceDN w:val="0"/>
        <w:adjustRightInd w:val="0"/>
        <w:snapToGrid w:val="0"/>
        <w:spacing w:line="560" w:lineRule="exact"/>
        <w:ind w:left="420" w:leftChars="200"/>
        <w:rPr>
          <w:rFonts w:hint="eastAsia" w:ascii="宋体" w:hAnsi="宋体" w:eastAsia="宋体" w:cs="宋体"/>
          <w:b/>
          <w:bCs/>
          <w:color w:val="auto"/>
          <w:sz w:val="24"/>
          <w:szCs w:val="24"/>
          <w:highlight w:val="none"/>
        </w:rPr>
      </w:pPr>
    </w:p>
    <w:p w14:paraId="234BB067">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审议通过《关于预计2026年度开展外汇套期保值业务的议案》</w:t>
      </w:r>
    </w:p>
    <w:p w14:paraId="4A605136">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相关内容详见公司同日刊登在指定媒体及上海证券交易所网站上的《关于预计2026年度开展外汇套期保值业务的公告》（公告编号：2025-065）</w:t>
      </w:r>
    </w:p>
    <w:p w14:paraId="744CC739">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6B6BECA6">
      <w:pPr>
        <w:autoSpaceDE w:val="0"/>
        <w:autoSpaceDN w:val="0"/>
        <w:adjustRightInd w:val="0"/>
        <w:snapToGrid w:val="0"/>
        <w:spacing w:line="560" w:lineRule="exact"/>
        <w:ind w:left="482"/>
        <w:rPr>
          <w:rFonts w:hint="eastAsia" w:ascii="宋体" w:hAnsi="宋体" w:eastAsia="宋体" w:cs="宋体"/>
          <w:b/>
          <w:bCs/>
          <w:color w:val="auto"/>
          <w:sz w:val="24"/>
          <w:szCs w:val="24"/>
          <w:highlight w:val="none"/>
        </w:rPr>
      </w:pPr>
      <w:r>
        <w:rPr>
          <w:rFonts w:hint="eastAsia" w:ascii="宋体" w:hAnsi="宋体" w:eastAsia="宋体" w:cs="宋体"/>
          <w:bCs/>
          <w:color w:val="auto"/>
          <w:sz w:val="24"/>
          <w:highlight w:val="none"/>
        </w:rPr>
        <w:t>该议案已经公司</w:t>
      </w:r>
      <w:r>
        <w:rPr>
          <w:rFonts w:hint="eastAsia" w:ascii="宋体" w:hAnsi="宋体" w:eastAsia="宋体" w:cs="宋体"/>
          <w:color w:val="auto"/>
          <w:sz w:val="24"/>
          <w:szCs w:val="24"/>
          <w:highlight w:val="none"/>
        </w:rPr>
        <w:t>第四届董事会审计委员会第十次会议审议通过。</w:t>
      </w:r>
    </w:p>
    <w:p w14:paraId="2070CFEB">
      <w:pPr>
        <w:numPr>
          <w:ilvl w:val="0"/>
          <w:numId w:val="12"/>
        </w:numPr>
        <w:autoSpaceDE w:val="0"/>
        <w:autoSpaceDN w:val="0"/>
        <w:adjustRightInd w:val="0"/>
        <w:snapToGrid w:val="0"/>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审议通过《关于提请召开2025年第一次临时股东会的议案》</w:t>
      </w:r>
    </w:p>
    <w:p w14:paraId="34B1F660">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相关内容详见公司同日刊登在指定媒体及上海证券交易所网站上的《关于召开2025年第一次临时股东会的通知》（公告编号：2025-066）</w:t>
      </w:r>
    </w:p>
    <w:p w14:paraId="256A3668">
      <w:pPr>
        <w:autoSpaceDE w:val="0"/>
        <w:autoSpaceDN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表决结果：同意9票；反对0票；弃权0票。</w:t>
      </w:r>
    </w:p>
    <w:p w14:paraId="571C9A17">
      <w:pPr>
        <w:pStyle w:val="95"/>
        <w:autoSpaceDE w:val="0"/>
        <w:autoSpaceDN w:val="0"/>
        <w:adjustRightInd w:val="0"/>
        <w:snapToGrid w:val="0"/>
        <w:spacing w:line="560" w:lineRule="exact"/>
        <w:ind w:firstLine="0" w:firstLineChars="0"/>
        <w:rPr>
          <w:rFonts w:hint="eastAsia" w:ascii="宋体" w:hAnsi="宋体"/>
          <w:b/>
          <w:color w:val="auto"/>
          <w:sz w:val="24"/>
          <w:szCs w:val="24"/>
          <w:highlight w:val="none"/>
        </w:rPr>
      </w:pPr>
    </w:p>
    <w:p w14:paraId="6AA0F989">
      <w:pPr>
        <w:adjustRightInd w:val="0"/>
        <w:snapToGrid w:val="0"/>
        <w:spacing w:line="56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特此公告。</w:t>
      </w:r>
    </w:p>
    <w:p w14:paraId="2DE373B6">
      <w:pPr>
        <w:adjustRightInd w:val="0"/>
        <w:snapToGrid w:val="0"/>
        <w:spacing w:line="560" w:lineRule="exact"/>
        <w:ind w:firstLine="480" w:firstLineChars="200"/>
        <w:rPr>
          <w:rFonts w:hint="eastAsia" w:ascii="宋体" w:hAnsi="宋体" w:eastAsia="宋体"/>
          <w:color w:val="auto"/>
          <w:sz w:val="24"/>
          <w:szCs w:val="24"/>
          <w:highlight w:val="none"/>
        </w:rPr>
      </w:pPr>
    </w:p>
    <w:p w14:paraId="6B7141B4">
      <w:pPr>
        <w:adjustRightInd w:val="0"/>
        <w:snapToGrid w:val="0"/>
        <w:spacing w:line="560" w:lineRule="exact"/>
        <w:ind w:firstLine="480" w:firstLineChars="200"/>
        <w:jc w:val="right"/>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rPr>
        <w:t>重庆望变电气（集团）</w:t>
      </w:r>
      <w:r>
        <w:rPr>
          <w:rFonts w:hint="eastAsia" w:ascii="宋体" w:hAnsi="宋体" w:eastAsia="宋体" w:cs="仿宋_GB2312"/>
          <w:color w:val="auto"/>
          <w:sz w:val="24"/>
          <w:szCs w:val="24"/>
          <w:highlight w:val="none"/>
        </w:rPr>
        <w:t>股</w:t>
      </w:r>
      <w:r>
        <w:rPr>
          <w:rFonts w:hint="eastAsia" w:ascii="宋体" w:hAnsi="宋体" w:eastAsia="宋体"/>
          <w:color w:val="auto"/>
          <w:sz w:val="24"/>
          <w:szCs w:val="24"/>
          <w:highlight w:val="none"/>
        </w:rPr>
        <w:t>份有限公司董事会</w:t>
      </w:r>
    </w:p>
    <w:p w14:paraId="5F8F0548">
      <w:pPr>
        <w:adjustRightInd w:val="0"/>
        <w:snapToGrid w:val="0"/>
        <w:spacing w:line="560" w:lineRule="exact"/>
        <w:ind w:firstLine="480" w:firstLineChars="2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2025年12月11日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2277BDD">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05337EBE"/>
    <w:multiLevelType w:val="singleLevel"/>
    <w:tmpl w:val="05337EBE"/>
    <w:lvl w:ilvl="0" w:tentative="0">
      <w:start w:val="2"/>
      <w:numFmt w:val="chineseCounting"/>
      <w:suff w:val="nothing"/>
      <w:lvlText w:val="（%1）"/>
      <w:lvlJc w:val="left"/>
      <w:rPr>
        <w:rFonts w:hint="eastAsia"/>
      </w:rPr>
    </w:lvl>
  </w:abstractNum>
  <w:abstractNum w:abstractNumId="11">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B229C"/>
    <w:rsid w:val="002D75BB"/>
    <w:rsid w:val="002E4043"/>
    <w:rsid w:val="002F3175"/>
    <w:rsid w:val="0030482B"/>
    <w:rsid w:val="003112C9"/>
    <w:rsid w:val="00321685"/>
    <w:rsid w:val="003505CE"/>
    <w:rsid w:val="00351429"/>
    <w:rsid w:val="003541EB"/>
    <w:rsid w:val="003571E3"/>
    <w:rsid w:val="00361DE1"/>
    <w:rsid w:val="0036446F"/>
    <w:rsid w:val="00391A1B"/>
    <w:rsid w:val="003E38F1"/>
    <w:rsid w:val="003F1451"/>
    <w:rsid w:val="004473CE"/>
    <w:rsid w:val="00455164"/>
    <w:rsid w:val="00464AFC"/>
    <w:rsid w:val="004A21C8"/>
    <w:rsid w:val="004A790E"/>
    <w:rsid w:val="004A7F01"/>
    <w:rsid w:val="004B5841"/>
    <w:rsid w:val="004D041E"/>
    <w:rsid w:val="004D0E8E"/>
    <w:rsid w:val="004F172D"/>
    <w:rsid w:val="00522BE2"/>
    <w:rsid w:val="0053579F"/>
    <w:rsid w:val="005429C2"/>
    <w:rsid w:val="0055216A"/>
    <w:rsid w:val="0056065B"/>
    <w:rsid w:val="005750AA"/>
    <w:rsid w:val="00575F03"/>
    <w:rsid w:val="00590E1E"/>
    <w:rsid w:val="00596B60"/>
    <w:rsid w:val="005A15BF"/>
    <w:rsid w:val="005A2954"/>
    <w:rsid w:val="005A3B72"/>
    <w:rsid w:val="005B7B64"/>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227E1"/>
    <w:rsid w:val="00726F44"/>
    <w:rsid w:val="00732B9D"/>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57D3D"/>
    <w:rsid w:val="008670E3"/>
    <w:rsid w:val="00890389"/>
    <w:rsid w:val="008971B8"/>
    <w:rsid w:val="008A5E36"/>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0465"/>
    <w:rsid w:val="00EC3F66"/>
    <w:rsid w:val="00EC496E"/>
    <w:rsid w:val="00EE084C"/>
    <w:rsid w:val="00F0268C"/>
    <w:rsid w:val="00F2391F"/>
    <w:rsid w:val="00F36086"/>
    <w:rsid w:val="00F54E0B"/>
    <w:rsid w:val="00F670DD"/>
    <w:rsid w:val="00F70648"/>
    <w:rsid w:val="00FA105E"/>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7</Pages>
  <Words>3646</Words>
  <Characters>3821</Characters>
  <Lines>97</Lines>
  <Paragraphs>95</Paragraphs>
  <TotalTime>10</TotalTime>
  <ScaleCrop>false</ScaleCrop>
  <LinksUpToDate>false</LinksUpToDate>
  <CharactersWithSpaces>3864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BJB-ZB-03</dc:creator>
  <cp:lastModifiedBy>雯亦</cp:lastModifiedBy>
  <dcterms:modified xsi:type="dcterms:W3CDTF">2025-12-10T08:14:55Z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F1D433F160274DC68D5AB5526F701603_13</vt:lpwstr>
  </property>
  <property fmtid="{D5CDD505-2E9C-101B-9397-08002B2CF9AE}" pid="4" name="KSOTemplateDocerSaveRecord">
    <vt:lpwstr>eyJoZGlkIjoiZTQzZmRmZDMxMjkwMDE2NTk0ZWQ1ZWYwMzRmYjVhNmUiLCJ1c2VySWQiOiI2NDQwNzQxNTQifQ==</vt:lpwstr>
  </property>
</Properties>
</file>