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
          <w:lock w:val="sdtLocked"/>
          <w:placeholder>
            <w:docPart w:val="GBC22222222222222222222222222222"/>
          </w:placeholder>
        </w:sdtPr>
        <w:sdtEndPr>
          <w:rPr>
            <w:rFonts w:hint="eastAsia" w:asciiTheme="minorEastAsia" w:hAnsiTheme="minorEastAsia"/>
            <w:bCs/>
            <w:sz w:val="24"/>
            <w:szCs w:val="24"/>
          </w:rPr>
        </w:sdtEndPr>
        <w:sdtContent>
          <w:r>
            <w:rPr>
              <w:rFonts w:asciiTheme="minorEastAsia" w:hAnsiTheme="minorEastAsia"/>
              <w:bCs/>
              <w:sz w:val="24"/>
              <w:szCs w:val="24"/>
            </w:rPr>
            <w:t>603191</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273114740"/>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望变电气</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376890213"/>
          <w:lock w:val="sdtLocked"/>
          <w:placeholder>
            <w:docPart w:val="GBC22222222222222222222222222222"/>
          </w:placeholder>
        </w:sdtPr>
        <w:sdtEndPr>
          <w:rPr>
            <w:rFonts w:hint="default" w:asciiTheme="minorEastAsia" w:hAnsiTheme="minorEastAsia"/>
            <w:bCs/>
            <w:sz w:val="24"/>
            <w:szCs w:val="24"/>
            <w:lang w:val="en-US"/>
          </w:rPr>
        </w:sdtEndPr>
        <w:sdtContent>
          <w:r>
            <w:rPr>
              <w:rFonts w:hint="eastAsia" w:asciiTheme="minorEastAsia" w:hAnsiTheme="minorEastAsia"/>
              <w:bCs/>
              <w:sz w:val="24"/>
              <w:szCs w:val="24"/>
              <w:highlight w:val="none"/>
            </w:rPr>
            <w:t>2025-</w:t>
          </w:r>
          <w:r>
            <w:rPr>
              <w:rFonts w:asciiTheme="minorEastAsia" w:hAnsiTheme="minorEastAsia"/>
              <w:bCs/>
              <w:sz w:val="24"/>
              <w:szCs w:val="24"/>
              <w:highlight w:val="none"/>
            </w:rPr>
            <w:t>0</w:t>
          </w:r>
          <w:r>
            <w:rPr>
              <w:rFonts w:hint="eastAsia" w:asciiTheme="minorEastAsia" w:hAnsiTheme="minorEastAsia"/>
              <w:bCs/>
              <w:sz w:val="24"/>
              <w:szCs w:val="24"/>
              <w:highlight w:val="none"/>
              <w:lang w:val="en-US" w:eastAsia="zh-CN"/>
            </w:rPr>
            <w:t>46</w:t>
          </w:r>
        </w:sdtContent>
      </w:sdt>
      <w:r>
        <w:rPr>
          <w:rFonts w:hint="eastAsia" w:asciiTheme="minorEastAsia" w:hAnsiTheme="minorEastAsia"/>
          <w:bCs/>
          <w:sz w:val="24"/>
          <w:szCs w:val="24"/>
        </w:rPr>
        <w:t xml:space="preserve"> </w:t>
      </w:r>
    </w:p>
    <w:p w14:paraId="587F7689">
      <w:pPr>
        <w:jc w:val="right"/>
        <w:rPr>
          <w:rFonts w:asciiTheme="minorEastAsia" w:hAnsiTheme="minorEastAsia"/>
          <w:b/>
          <w:sz w:val="24"/>
          <w:szCs w:val="24"/>
        </w:rPr>
      </w:pPr>
    </w:p>
    <w:p w14:paraId="5680CDEA">
      <w:pPr>
        <w:jc w:val="right"/>
        <w:rPr>
          <w:rFonts w:asciiTheme="minorEastAsia" w:hAnsiTheme="minorEastAsia"/>
          <w:b/>
          <w:sz w:val="24"/>
          <w:szCs w:val="24"/>
        </w:rPr>
      </w:pPr>
    </w:p>
    <w:p w14:paraId="16CA3FB6">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重庆望变电气（集团）股份有限公司</w:t>
      </w:r>
    </w:p>
    <w:p w14:paraId="490E0E67">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关于2025年</w:t>
      </w:r>
      <w:r>
        <w:rPr>
          <w:rFonts w:ascii="黑体" w:hAnsi="黑体" w:eastAsia="黑体"/>
          <w:b/>
          <w:color w:val="FF0000"/>
          <w:sz w:val="36"/>
          <w:szCs w:val="24"/>
        </w:rPr>
        <w:t>8</w:t>
      </w:r>
      <w:r>
        <w:rPr>
          <w:rFonts w:hint="eastAsia" w:ascii="黑体" w:hAnsi="黑体" w:eastAsia="黑体"/>
          <w:b/>
          <w:color w:val="FF0000"/>
          <w:sz w:val="36"/>
          <w:szCs w:val="24"/>
        </w:rPr>
        <w:t>月对外担保的进展公告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cs="仿宋_GB2312" w:asciiTheme="minorEastAsia" w:hAnsiTheme="minorEastAsia"/>
          <w:sz w:val="24"/>
          <w:szCs w:val="24"/>
        </w:rPr>
      </w:pPr>
    </w:p>
    <w:p w14:paraId="2DC7CD8E">
      <w:pPr>
        <w:widowControl/>
        <w:adjustRightInd w:val="0"/>
        <w:snapToGrid w:val="0"/>
        <w:spacing w:line="560" w:lineRule="exact"/>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14:paraId="6525957A">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2"/>
        <w:tblW w:w="4991"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4"/>
        <w:gridCol w:w="3490"/>
        <w:gridCol w:w="3913"/>
      </w:tblGrid>
      <w:tr w14:paraId="5BD49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atLeast"/>
        </w:trPr>
        <w:tc>
          <w:tcPr>
            <w:tcW w:w="1075" w:type="dxa"/>
            <w:vMerge w:val="restart"/>
            <w:vAlign w:val="center"/>
          </w:tcPr>
          <w:p w14:paraId="6DE461CD">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担保对象</w:t>
            </w:r>
          </w:p>
        </w:tc>
        <w:tc>
          <w:tcPr>
            <w:tcW w:w="3397" w:type="dxa"/>
            <w:vAlign w:val="center"/>
          </w:tcPr>
          <w:p w14:paraId="6D88F8AB">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被担保人名称</w:t>
            </w:r>
          </w:p>
        </w:tc>
        <w:tc>
          <w:tcPr>
            <w:tcW w:w="3809" w:type="dxa"/>
            <w:vAlign w:val="center"/>
          </w:tcPr>
          <w:p w14:paraId="3AB8BA6C">
            <w:pPr>
              <w:widowControl/>
              <w:adjustRightInd w:val="0"/>
              <w:snapToGrid w:val="0"/>
              <w:rPr>
                <w:rFonts w:asciiTheme="minorEastAsia" w:hAnsiTheme="minorEastAsia" w:cstheme="minorEastAsia"/>
                <w:color w:val="000000"/>
                <w:sz w:val="24"/>
                <w:szCs w:val="24"/>
              </w:rPr>
            </w:pPr>
            <w:r>
              <w:rPr>
                <w:rFonts w:hint="eastAsia" w:ascii="宋体" w:hAnsi="宋体" w:cs="宋体"/>
                <w:sz w:val="24"/>
                <w:szCs w:val="24"/>
              </w:rPr>
              <w:t>云南变压器电气股份有限公司（以下简称“云变电气”）</w:t>
            </w:r>
          </w:p>
        </w:tc>
      </w:tr>
      <w:tr w14:paraId="2EF5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075" w:type="dxa"/>
            <w:vMerge w:val="continue"/>
            <w:vAlign w:val="center"/>
          </w:tcPr>
          <w:p w14:paraId="059601DB">
            <w:pPr>
              <w:widowControl/>
              <w:adjustRightInd w:val="0"/>
              <w:snapToGrid w:val="0"/>
              <w:rPr>
                <w:rFonts w:asciiTheme="minorEastAsia" w:hAnsiTheme="minorEastAsia" w:cstheme="minorEastAsia"/>
                <w:color w:val="000000"/>
                <w:sz w:val="24"/>
                <w:szCs w:val="24"/>
              </w:rPr>
            </w:pPr>
          </w:p>
        </w:tc>
        <w:tc>
          <w:tcPr>
            <w:tcW w:w="3397" w:type="dxa"/>
            <w:vAlign w:val="center"/>
          </w:tcPr>
          <w:p w14:paraId="66D1DCCA">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本次担保金额</w:t>
            </w:r>
          </w:p>
        </w:tc>
        <w:tc>
          <w:tcPr>
            <w:tcW w:w="3809" w:type="dxa"/>
            <w:vAlign w:val="center"/>
          </w:tcPr>
          <w:p w14:paraId="1C100DFF">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8</w:t>
            </w:r>
            <w:r>
              <w:rPr>
                <w:rFonts w:hint="eastAsia" w:asciiTheme="minorEastAsia" w:hAnsiTheme="minorEastAsia"/>
                <w:bCs/>
                <w:sz w:val="24"/>
                <w:szCs w:val="24"/>
              </w:rPr>
              <w:t>,</w:t>
            </w:r>
            <w:r>
              <w:rPr>
                <w:rFonts w:asciiTheme="minorEastAsia" w:hAnsiTheme="minorEastAsia"/>
                <w:bCs/>
                <w:sz w:val="24"/>
                <w:szCs w:val="24"/>
              </w:rPr>
              <w:t>000.0</w:t>
            </w:r>
            <w:r>
              <w:rPr>
                <w:rFonts w:hint="eastAsia" w:asciiTheme="minorEastAsia" w:hAnsiTheme="minorEastAsia"/>
                <w:bCs/>
                <w:sz w:val="24"/>
                <w:szCs w:val="24"/>
              </w:rPr>
              <w:t>0万元</w:t>
            </w:r>
          </w:p>
        </w:tc>
      </w:tr>
      <w:tr w14:paraId="30F9E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1075" w:type="dxa"/>
            <w:vMerge w:val="continue"/>
            <w:vAlign w:val="center"/>
          </w:tcPr>
          <w:p w14:paraId="236ABF96">
            <w:pPr>
              <w:widowControl/>
              <w:adjustRightInd w:val="0"/>
              <w:snapToGrid w:val="0"/>
              <w:rPr>
                <w:rFonts w:asciiTheme="minorEastAsia" w:hAnsiTheme="minorEastAsia" w:cstheme="minorEastAsia"/>
                <w:color w:val="000000"/>
                <w:sz w:val="24"/>
                <w:szCs w:val="24"/>
              </w:rPr>
            </w:pPr>
          </w:p>
        </w:tc>
        <w:tc>
          <w:tcPr>
            <w:tcW w:w="3397" w:type="dxa"/>
            <w:vAlign w:val="center"/>
          </w:tcPr>
          <w:p w14:paraId="51449337">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实际为其提供的担保余额</w:t>
            </w:r>
          </w:p>
        </w:tc>
        <w:tc>
          <w:tcPr>
            <w:tcW w:w="3809" w:type="dxa"/>
            <w:vAlign w:val="center"/>
          </w:tcPr>
          <w:p w14:paraId="4ED087E3">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54</w:t>
            </w:r>
            <w:r>
              <w:rPr>
                <w:rFonts w:hint="eastAsia" w:asciiTheme="minorEastAsia" w:hAnsiTheme="minorEastAsia"/>
                <w:bCs/>
                <w:sz w:val="24"/>
                <w:szCs w:val="24"/>
              </w:rPr>
              <w:t>,</w:t>
            </w:r>
            <w:r>
              <w:rPr>
                <w:rFonts w:asciiTheme="minorEastAsia" w:hAnsiTheme="minorEastAsia"/>
                <w:bCs/>
                <w:sz w:val="24"/>
                <w:szCs w:val="24"/>
              </w:rPr>
              <w:t>031.80</w:t>
            </w:r>
            <w:r>
              <w:rPr>
                <w:rFonts w:hint="eastAsia" w:asciiTheme="minorEastAsia" w:hAnsiTheme="minorEastAsia"/>
                <w:bCs/>
                <w:sz w:val="24"/>
                <w:szCs w:val="24"/>
              </w:rPr>
              <w:t xml:space="preserve"> 万元</w:t>
            </w:r>
          </w:p>
        </w:tc>
      </w:tr>
      <w:tr w14:paraId="2E981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1075" w:type="dxa"/>
            <w:vMerge w:val="continue"/>
            <w:vAlign w:val="center"/>
          </w:tcPr>
          <w:p w14:paraId="7D1F3686">
            <w:pPr>
              <w:widowControl/>
              <w:adjustRightInd w:val="0"/>
              <w:snapToGrid w:val="0"/>
              <w:rPr>
                <w:rFonts w:asciiTheme="minorEastAsia" w:hAnsiTheme="minorEastAsia" w:cstheme="minorEastAsia"/>
                <w:color w:val="000000"/>
                <w:sz w:val="24"/>
                <w:szCs w:val="24"/>
              </w:rPr>
            </w:pPr>
          </w:p>
        </w:tc>
        <w:tc>
          <w:tcPr>
            <w:tcW w:w="3397" w:type="dxa"/>
            <w:vAlign w:val="center"/>
          </w:tcPr>
          <w:p w14:paraId="317BAE3D">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是否在前期预计额度内</w:t>
            </w:r>
          </w:p>
        </w:tc>
        <w:tc>
          <w:tcPr>
            <w:tcW w:w="3809" w:type="dxa"/>
            <w:vAlign w:val="center"/>
          </w:tcPr>
          <w:p w14:paraId="70D821DD">
            <w:pPr>
              <w:widowControl/>
              <w:adjustRightInd w:val="0"/>
              <w:snapToGrid w:val="0"/>
              <w:rPr>
                <w:rFonts w:asciiTheme="minorEastAsia" w:hAnsiTheme="minorEastAsia" w:cstheme="minorEastAsia"/>
                <w:sz w:val="24"/>
                <w:szCs w:val="24"/>
              </w:rPr>
            </w:pPr>
            <w:r>
              <w:rPr>
                <w:rFonts w:hint="eastAsia" w:ascii="宋体" w:hAnsi="宋体" w:eastAsia="宋体"/>
                <w:sz w:val="24"/>
                <w:szCs w:val="24"/>
              </w:rPr>
              <w:sym w:font="Wingdings 2" w:char="F052"/>
            </w:r>
            <w:r>
              <w:rPr>
                <w:rFonts w:hint="eastAsia" w:asciiTheme="minorEastAsia" w:hAnsiTheme="minorEastAsia" w:cstheme="minorEastAsia"/>
                <w:sz w:val="24"/>
                <w:szCs w:val="24"/>
              </w:rPr>
              <w:t>是  □否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r w14:paraId="0308D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B694756">
            <w:pPr>
              <w:widowControl/>
              <w:adjustRightInd w:val="0"/>
              <w:snapToGrid w:val="0"/>
              <w:rPr>
                <w:rFonts w:asciiTheme="minorEastAsia" w:hAnsiTheme="minorEastAsia" w:cstheme="minorEastAsia"/>
                <w:color w:val="000000"/>
                <w:sz w:val="24"/>
                <w:szCs w:val="24"/>
              </w:rPr>
            </w:pPr>
          </w:p>
        </w:tc>
        <w:tc>
          <w:tcPr>
            <w:tcW w:w="3397" w:type="dxa"/>
            <w:vAlign w:val="center"/>
          </w:tcPr>
          <w:p w14:paraId="30E26E88">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本次担保是否有反担保</w:t>
            </w:r>
          </w:p>
        </w:tc>
        <w:tc>
          <w:tcPr>
            <w:tcW w:w="3809" w:type="dxa"/>
            <w:vAlign w:val="center"/>
          </w:tcPr>
          <w:p w14:paraId="79B72B66">
            <w:pPr>
              <w:widowControl/>
              <w:adjustRightInd w:val="0"/>
              <w:snapToGrid w:val="0"/>
              <w:rPr>
                <w:rFonts w:asciiTheme="minorEastAsia" w:hAnsiTheme="minorEastAsia" w:cstheme="minorEastAsia"/>
                <w:sz w:val="24"/>
                <w:szCs w:val="24"/>
              </w:rPr>
            </w:pPr>
            <w:r>
              <w:rPr>
                <w:rFonts w:hint="eastAsia" w:ascii="宋体" w:hAnsi="宋体" w:eastAsia="宋体" w:cstheme="minorEastAsia"/>
                <w:sz w:val="24"/>
                <w:szCs w:val="24"/>
              </w:rPr>
              <w:sym w:font="Wingdings 2" w:char="00A3"/>
            </w:r>
            <w:r>
              <w:rPr>
                <w:rFonts w:hint="eastAsia" w:asciiTheme="minorEastAsia" w:hAnsiTheme="minorEastAsia" w:cstheme="minorEastAsia"/>
                <w:sz w:val="24"/>
                <w:szCs w:val="24"/>
              </w:rPr>
              <w:t xml:space="preserve">是  </w:t>
            </w:r>
            <w:r>
              <w:rPr>
                <w:rFonts w:hint="eastAsia" w:asciiTheme="minorEastAsia" w:hAnsiTheme="minorEastAsia" w:cstheme="minorEastAsia"/>
                <w:sz w:val="24"/>
                <w:szCs w:val="24"/>
              </w:rPr>
              <w:sym w:font="Wingdings 2" w:char="0052"/>
            </w:r>
            <w:r>
              <w:rPr>
                <w:rFonts w:hint="eastAsia" w:asciiTheme="minorEastAsia" w:hAnsiTheme="minorEastAsia" w:cstheme="minorEastAsia"/>
                <w:sz w:val="24"/>
                <w:szCs w:val="24"/>
              </w:rPr>
              <w:t>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bl>
    <w:p w14:paraId="208E4C03"/>
    <w:p w14:paraId="00387C7D">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2"/>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asciiTheme="minorEastAsia" w:hAnsiTheme="minorEastAsia" w:cstheme="minorEastAsia"/>
                <w:sz w:val="24"/>
                <w:szCs w:val="24"/>
              </w:rPr>
            </w:pPr>
            <w:r>
              <w:rPr>
                <w:rFonts w:hint="eastAsia" w:asciiTheme="minorEastAsia" w:hAnsiTheme="minorEastAsia" w:cstheme="minorEastAsia"/>
                <w:sz w:val="24"/>
                <w:szCs w:val="24"/>
              </w:rPr>
              <w:t>0.00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w:t>
            </w:r>
            <w:r>
              <w:rPr>
                <w:rFonts w:hint="eastAsia" w:asciiTheme="minorEastAsia" w:hAnsiTheme="minorEastAsia" w:cstheme="minorEastAsia"/>
                <w:b/>
                <w:bCs/>
                <w:color w:val="000000"/>
                <w:kern w:val="0"/>
                <w:sz w:val="24"/>
                <w:szCs w:val="24"/>
                <w:lang w:val="en-US" w:eastAsia="zh-CN"/>
              </w:rPr>
              <w:t>8</w:t>
            </w:r>
            <w:r>
              <w:rPr>
                <w:rFonts w:hint="eastAsia" w:asciiTheme="minorEastAsia" w:hAnsiTheme="minorEastAsia" w:cstheme="minorEastAsia"/>
                <w:b/>
                <w:bCs/>
                <w:color w:val="000000"/>
                <w:kern w:val="0"/>
                <w:sz w:val="24"/>
                <w:szCs w:val="24"/>
              </w:rPr>
              <w:t>月末上市公司及其控股子公司对外担保总额（万元）</w:t>
            </w:r>
          </w:p>
        </w:tc>
        <w:tc>
          <w:tcPr>
            <w:tcW w:w="4863" w:type="dxa"/>
            <w:vAlign w:val="center"/>
          </w:tcPr>
          <w:p w14:paraId="4B8CECB6">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 xml:space="preserve"> </w:t>
            </w:r>
            <w:r>
              <w:rPr>
                <w:rFonts w:asciiTheme="minorEastAsia" w:hAnsiTheme="minorEastAsia" w:cstheme="minorEastAsia"/>
                <w:color w:val="000000"/>
                <w:kern w:val="0"/>
                <w:sz w:val="24"/>
                <w:szCs w:val="24"/>
              </w:rPr>
              <w:t>99,674.10</w:t>
            </w:r>
            <w:r>
              <w:rPr>
                <w:rFonts w:hint="eastAsia" w:asciiTheme="minorEastAsia" w:hAnsiTheme="minorEastAsia" w:cstheme="minorEastAsia"/>
                <w:color w:val="000000"/>
                <w:kern w:val="0"/>
                <w:sz w:val="24"/>
                <w:szCs w:val="24"/>
              </w:rPr>
              <w:t xml:space="preserve">   </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14:paraId="4F9F4564">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41.30</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06B7DBCE">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对外担保总额超过最近一期经审计净资产100%</w:t>
            </w:r>
          </w:p>
          <w:p w14:paraId="5678279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担保金额超过上市公司最近一期经审计净资产50%</w:t>
            </w:r>
          </w:p>
          <w:p w14:paraId="5A9440DF">
            <w:pPr>
              <w:widowControl/>
              <w:adjustRightInd w:val="0"/>
              <w:snapToGrid w:val="0"/>
              <w:rPr>
                <w:rFonts w:asciiTheme="minorEastAsia" w:hAnsiTheme="minorEastAsia" w:cstheme="minorEastAsia"/>
                <w:color w:val="000000"/>
                <w:kern w:val="0"/>
                <w:sz w:val="24"/>
                <w:szCs w:val="24"/>
              </w:rPr>
            </w:pPr>
            <w:bookmarkStart w:id="0" w:name="OLE_LINK4"/>
            <w:bookmarkStart w:id="1" w:name="OLE_LINK3"/>
            <w:r>
              <w:rPr>
                <w:rFonts w:hint="eastAsia" w:asciiTheme="minorEastAsia" w:hAnsiTheme="minorEastAsia" w:cstheme="minorEastAsia"/>
                <w:color w:val="000000"/>
                <w:sz w:val="24"/>
                <w:szCs w:val="24"/>
              </w:rPr>
              <w:t>□</w:t>
            </w:r>
            <w:bookmarkEnd w:id="0"/>
            <w:bookmarkEnd w:id="1"/>
            <w:r>
              <w:rPr>
                <w:rFonts w:hint="eastAsia" w:asciiTheme="minorEastAsia" w:hAnsiTheme="minorEastAsia" w:cstheme="minorEastAsia"/>
                <w:color w:val="000000"/>
                <w:kern w:val="0"/>
                <w:sz w:val="24"/>
                <w:szCs w:val="24"/>
              </w:rPr>
              <w:t>对合并报表外单位担保金额达到或超过最近一期经审计净资产30%的情况下</w:t>
            </w:r>
          </w:p>
          <w:p w14:paraId="04898382">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对资产负债率超过70%的单位提供担保</w:t>
            </w:r>
          </w:p>
        </w:tc>
      </w:tr>
      <w:tr w14:paraId="29FE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14:paraId="0C955C0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14:paraId="58F7803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14:paraId="1D375683">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担保情况概述</w:t>
      </w:r>
    </w:p>
    <w:p w14:paraId="391D30AC">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担保的基本情况</w:t>
      </w:r>
    </w:p>
    <w:p w14:paraId="550EFE75">
      <w:pPr>
        <w:widowControl/>
        <w:adjustRightInd w:val="0"/>
        <w:snapToGrid w:val="0"/>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asciiTheme="minorEastAsia" w:hAnsiTheme="minorEastAsia" w:cstheme="minorEastAsia"/>
          <w:sz w:val="24"/>
          <w:szCs w:val="24"/>
        </w:rPr>
        <w:t>8</w:t>
      </w:r>
      <w:r>
        <w:rPr>
          <w:rFonts w:hint="eastAsia" w:asciiTheme="minorEastAsia" w:hAnsiTheme="minorEastAsia" w:cstheme="minorEastAsia"/>
          <w:sz w:val="24"/>
          <w:szCs w:val="24"/>
        </w:rPr>
        <w:t>月，公司及下属子公司新增对外担保人民币</w:t>
      </w:r>
      <w:r>
        <w:rPr>
          <w:rFonts w:asciiTheme="minorEastAsia" w:hAnsiTheme="minorEastAsia" w:cstheme="minorEastAsia"/>
          <w:sz w:val="24"/>
          <w:szCs w:val="24"/>
        </w:rPr>
        <w:t>8,000.00</w:t>
      </w:r>
      <w:r>
        <w:rPr>
          <w:rFonts w:hint="eastAsia" w:asciiTheme="minorEastAsia" w:hAnsiTheme="minorEastAsia" w:cstheme="minorEastAsia"/>
          <w:sz w:val="24"/>
          <w:szCs w:val="24"/>
        </w:rPr>
        <w:t>万元</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系公司于2</w:t>
      </w:r>
      <w:r>
        <w:rPr>
          <w:rFonts w:asciiTheme="minorEastAsia" w:hAnsiTheme="minorEastAsia" w:cstheme="minorEastAsia"/>
          <w:sz w:val="24"/>
          <w:szCs w:val="24"/>
        </w:rPr>
        <w:t>025</w:t>
      </w:r>
      <w:r>
        <w:rPr>
          <w:rFonts w:hint="eastAsia" w:asciiTheme="minorEastAsia" w:hAnsiTheme="minorEastAsia" w:cstheme="minorEastAsia"/>
          <w:sz w:val="24"/>
          <w:szCs w:val="24"/>
        </w:rPr>
        <w:t>年8月2</w:t>
      </w:r>
      <w:r>
        <w:rPr>
          <w:rFonts w:asciiTheme="minorEastAsia" w:hAnsiTheme="minorEastAsia" w:cstheme="minorEastAsia"/>
          <w:sz w:val="24"/>
          <w:szCs w:val="24"/>
        </w:rPr>
        <w:t>5</w:t>
      </w:r>
      <w:r>
        <w:rPr>
          <w:rFonts w:hint="eastAsia" w:asciiTheme="minorEastAsia" w:hAnsiTheme="minorEastAsia" w:cstheme="minorEastAsia"/>
          <w:sz w:val="24"/>
          <w:szCs w:val="24"/>
        </w:rPr>
        <w:t>日与中国光大银行股份有限公司昆明分行（以下简称“</w:t>
      </w:r>
      <w:bookmarkStart w:id="2" w:name="OLE_LINK6"/>
      <w:bookmarkStart w:id="3" w:name="OLE_LINK5"/>
      <w:r>
        <w:rPr>
          <w:rFonts w:hint="eastAsia" w:asciiTheme="minorEastAsia" w:hAnsiTheme="minorEastAsia" w:cstheme="minorEastAsia"/>
          <w:sz w:val="24"/>
          <w:szCs w:val="24"/>
        </w:rPr>
        <w:t>光大银行昆明分行</w:t>
      </w:r>
      <w:bookmarkEnd w:id="2"/>
      <w:bookmarkEnd w:id="3"/>
      <w:r>
        <w:rPr>
          <w:rFonts w:hint="eastAsia" w:asciiTheme="minorEastAsia" w:hAnsiTheme="minorEastAsia" w:cstheme="minorEastAsia"/>
          <w:sz w:val="24"/>
          <w:szCs w:val="24"/>
        </w:rPr>
        <w:t>”）签署</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最高额保证合同》为全资子公司云变电气与光大银行昆明分行签署《综合授信协议》提供不超过</w:t>
      </w:r>
      <w:r>
        <w:rPr>
          <w:rFonts w:hint="eastAsia" w:asciiTheme="minorEastAsia" w:hAnsiTheme="minorEastAsia" w:cstheme="minorEastAsia"/>
          <w:color w:val="000000"/>
          <w:kern w:val="0"/>
          <w:sz w:val="24"/>
          <w:szCs w:val="24"/>
        </w:rPr>
        <w:t>最高本金余额</w:t>
      </w:r>
      <w:r>
        <w:rPr>
          <w:rFonts w:hint="eastAsia" w:asciiTheme="minorEastAsia" w:hAnsiTheme="minorEastAsia" w:cstheme="minorEastAsia"/>
          <w:sz w:val="24"/>
          <w:szCs w:val="24"/>
        </w:rPr>
        <w:t>人民币</w:t>
      </w:r>
      <w:r>
        <w:rPr>
          <w:rFonts w:asciiTheme="minorEastAsia" w:hAnsiTheme="minorEastAsia" w:cstheme="minorEastAsia"/>
          <w:sz w:val="24"/>
          <w:szCs w:val="24"/>
        </w:rPr>
        <w:t>8</w:t>
      </w:r>
      <w:r>
        <w:rPr>
          <w:rFonts w:hint="eastAsia" w:asciiTheme="minorEastAsia" w:hAnsiTheme="minorEastAsia" w:cstheme="minorEastAsia"/>
          <w:sz w:val="24"/>
          <w:szCs w:val="24"/>
        </w:rPr>
        <w:t>,</w:t>
      </w:r>
      <w:r>
        <w:rPr>
          <w:rFonts w:asciiTheme="minorEastAsia" w:hAnsiTheme="minorEastAsia" w:cstheme="minorEastAsia"/>
          <w:sz w:val="24"/>
          <w:szCs w:val="24"/>
        </w:rPr>
        <w:t>000</w:t>
      </w:r>
      <w:r>
        <w:rPr>
          <w:rFonts w:hint="eastAsia" w:asciiTheme="minorEastAsia" w:hAnsiTheme="minorEastAsia" w:cstheme="minorEastAsia"/>
          <w:sz w:val="24"/>
          <w:szCs w:val="24"/>
        </w:rPr>
        <w:t>万元的连带责任</w:t>
      </w:r>
      <w:r>
        <w:rPr>
          <w:rFonts w:hint="eastAsia" w:asciiTheme="minorEastAsia" w:hAnsiTheme="minorEastAsia" w:cstheme="minorEastAsia"/>
          <w:sz w:val="24"/>
          <w:szCs w:val="24"/>
          <w:lang w:val="en-US" w:eastAsia="zh-CN"/>
        </w:rPr>
        <w:t>保证</w:t>
      </w:r>
      <w:r>
        <w:rPr>
          <w:rFonts w:hint="eastAsia" w:asciiTheme="minorEastAsia" w:hAnsiTheme="minorEastAsia" w:cstheme="minorEastAsia"/>
          <w:sz w:val="24"/>
          <w:szCs w:val="24"/>
        </w:rPr>
        <w:t>。</w:t>
      </w:r>
    </w:p>
    <w:p w14:paraId="148647ED">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sz w:val="24"/>
          <w:szCs w:val="24"/>
        </w:rPr>
        <w:t>上述担保无反担保，上述担保事项属于公司2024年第三次临时股东会授权范围并在有效期内,无需再次提交公司董事会、股东会审议。</w:t>
      </w:r>
    </w:p>
    <w:p w14:paraId="7E81FD8D">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内部决策程序</w:t>
      </w:r>
    </w:p>
    <w:p w14:paraId="06ED02C3">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713749B7">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 xml:space="preserve">担保预计基本情况 </w:t>
      </w:r>
    </w:p>
    <w:tbl>
      <w:tblPr>
        <w:tblStyle w:val="12"/>
        <w:tblW w:w="526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573"/>
        <w:gridCol w:w="748"/>
        <w:gridCol w:w="874"/>
        <w:gridCol w:w="1067"/>
        <w:gridCol w:w="1030"/>
        <w:gridCol w:w="942"/>
        <w:gridCol w:w="794"/>
        <w:gridCol w:w="1219"/>
        <w:gridCol w:w="441"/>
        <w:gridCol w:w="711"/>
      </w:tblGrid>
      <w:tr w14:paraId="445B1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552" w:type="dxa"/>
            <w:vAlign w:val="center"/>
          </w:tcPr>
          <w:p w14:paraId="190F1892">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w:t>
            </w:r>
          </w:p>
        </w:tc>
        <w:tc>
          <w:tcPr>
            <w:tcW w:w="558" w:type="dxa"/>
            <w:vAlign w:val="center"/>
          </w:tcPr>
          <w:p w14:paraId="732E459E">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被担保方</w:t>
            </w:r>
          </w:p>
        </w:tc>
        <w:tc>
          <w:tcPr>
            <w:tcW w:w="728" w:type="dxa"/>
            <w:vAlign w:val="center"/>
          </w:tcPr>
          <w:p w14:paraId="5131C18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担保方持股比例</w:t>
            </w:r>
          </w:p>
        </w:tc>
        <w:tc>
          <w:tcPr>
            <w:tcW w:w="851" w:type="dxa"/>
            <w:vAlign w:val="center"/>
          </w:tcPr>
          <w:p w14:paraId="79A0B6A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w:t>
            </w:r>
          </w:p>
          <w:p w14:paraId="7CDA06B8">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保方2025.0</w:t>
            </w:r>
            <w:r>
              <w:rPr>
                <w:rFonts w:asciiTheme="minorEastAsia" w:hAnsiTheme="minorEastAsia" w:cstheme="minorEastAsia"/>
                <w:b/>
                <w:bCs/>
                <w:color w:val="000000"/>
                <w:kern w:val="0"/>
                <w:sz w:val="16"/>
                <w:szCs w:val="16"/>
              </w:rPr>
              <w:t>6</w:t>
            </w:r>
            <w:r>
              <w:rPr>
                <w:rFonts w:hint="eastAsia" w:asciiTheme="minorEastAsia" w:hAnsiTheme="minorEastAsia" w:cstheme="minorEastAsia"/>
                <w:b/>
                <w:bCs/>
                <w:color w:val="000000"/>
                <w:kern w:val="0"/>
                <w:sz w:val="16"/>
                <w:szCs w:val="16"/>
              </w:rPr>
              <w:t>.3</w:t>
            </w:r>
            <w:r>
              <w:rPr>
                <w:rFonts w:asciiTheme="minorEastAsia" w:hAnsiTheme="minorEastAsia" w:cstheme="minorEastAsia"/>
                <w:b/>
                <w:bCs/>
                <w:color w:val="000000"/>
                <w:kern w:val="0"/>
                <w:sz w:val="16"/>
                <w:szCs w:val="16"/>
              </w:rPr>
              <w:t>0</w:t>
            </w:r>
            <w:r>
              <w:rPr>
                <w:rFonts w:hint="eastAsia" w:asciiTheme="minorEastAsia" w:hAnsiTheme="minorEastAsia" w:cstheme="minorEastAsia"/>
                <w:b/>
                <w:bCs/>
                <w:color w:val="000000"/>
                <w:kern w:val="0"/>
                <w:sz w:val="16"/>
                <w:szCs w:val="16"/>
              </w:rPr>
              <w:t>资产负债率（未经审计）</w:t>
            </w:r>
          </w:p>
        </w:tc>
        <w:tc>
          <w:tcPr>
            <w:tcW w:w="1039" w:type="dxa"/>
            <w:vAlign w:val="center"/>
          </w:tcPr>
          <w:p w14:paraId="616E4A4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2025年预计担保额度</w:t>
            </w:r>
          </w:p>
          <w:p w14:paraId="4C19E76D">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03" w:type="dxa"/>
            <w:vAlign w:val="center"/>
          </w:tcPr>
          <w:p w14:paraId="138D620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截至2025年</w:t>
            </w:r>
            <w:r>
              <w:rPr>
                <w:rFonts w:asciiTheme="minorEastAsia" w:hAnsiTheme="minorEastAsia" w:cstheme="minorEastAsia"/>
                <w:b/>
                <w:bCs/>
                <w:color w:val="000000"/>
                <w:kern w:val="0"/>
                <w:sz w:val="16"/>
                <w:szCs w:val="16"/>
              </w:rPr>
              <w:t>8</w:t>
            </w:r>
            <w:r>
              <w:rPr>
                <w:rFonts w:hint="eastAsia" w:asciiTheme="minorEastAsia" w:hAnsiTheme="minorEastAsia" w:cstheme="minorEastAsia"/>
                <w:b/>
                <w:bCs/>
                <w:color w:val="000000"/>
                <w:kern w:val="0"/>
                <w:sz w:val="16"/>
                <w:szCs w:val="16"/>
              </w:rPr>
              <w:t>月末担保余额</w:t>
            </w:r>
          </w:p>
          <w:p w14:paraId="5301E1B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917" w:type="dxa"/>
            <w:vAlign w:val="center"/>
          </w:tcPr>
          <w:p w14:paraId="77295072">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8</w:t>
            </w:r>
            <w:r>
              <w:rPr>
                <w:rFonts w:hint="eastAsia" w:asciiTheme="minorEastAsia" w:hAnsiTheme="minorEastAsia" w:cstheme="minorEastAsia"/>
                <w:b/>
                <w:bCs/>
                <w:color w:val="000000"/>
                <w:kern w:val="0"/>
                <w:sz w:val="16"/>
                <w:szCs w:val="16"/>
              </w:rPr>
              <w:t>月新增担保额度</w:t>
            </w:r>
          </w:p>
          <w:p w14:paraId="1D521F6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773" w:type="dxa"/>
            <w:vAlign w:val="center"/>
          </w:tcPr>
          <w:p w14:paraId="07000FF7">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截至2025年8月末担保余额</w:t>
            </w:r>
            <w:r>
              <w:rPr>
                <w:rFonts w:hint="eastAsia" w:asciiTheme="minorEastAsia" w:hAnsiTheme="minorEastAsia" w:cstheme="minorEastAsia"/>
                <w:b/>
                <w:bCs/>
                <w:color w:val="000000"/>
                <w:kern w:val="0"/>
                <w:sz w:val="16"/>
                <w:szCs w:val="16"/>
              </w:rPr>
              <w:t>占上市公司最近一期净资产比例</w:t>
            </w:r>
          </w:p>
        </w:tc>
        <w:tc>
          <w:tcPr>
            <w:tcW w:w="1187" w:type="dxa"/>
            <w:vAlign w:val="center"/>
          </w:tcPr>
          <w:p w14:paraId="2871359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担保预计有效期</w:t>
            </w:r>
          </w:p>
        </w:tc>
        <w:tc>
          <w:tcPr>
            <w:tcW w:w="429" w:type="dxa"/>
            <w:vAlign w:val="center"/>
          </w:tcPr>
          <w:p w14:paraId="1A21F145">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是否关联担保</w:t>
            </w:r>
          </w:p>
        </w:tc>
        <w:tc>
          <w:tcPr>
            <w:tcW w:w="692" w:type="dxa"/>
            <w:vAlign w:val="center"/>
          </w:tcPr>
          <w:p w14:paraId="2331B0DF">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是否有反担保</w:t>
            </w:r>
          </w:p>
        </w:tc>
      </w:tr>
      <w:tr w14:paraId="27BBC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6FD1BBF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对控股子公司</w:t>
            </w:r>
          </w:p>
        </w:tc>
      </w:tr>
      <w:tr w14:paraId="34246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5D983B3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1.资产负债率为70%以上的控股子公司</w:t>
            </w:r>
          </w:p>
        </w:tc>
      </w:tr>
      <w:tr w14:paraId="132CB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3BE263E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43F54CC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6F9E1BA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黔南</w:t>
            </w:r>
          </w:p>
          <w:p w14:paraId="34907139">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望江</w:t>
            </w:r>
          </w:p>
        </w:tc>
        <w:tc>
          <w:tcPr>
            <w:tcW w:w="728" w:type="dxa"/>
            <w:vAlign w:val="center"/>
          </w:tcPr>
          <w:p w14:paraId="24547140">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56895A0C">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75.90%</w:t>
            </w:r>
          </w:p>
        </w:tc>
        <w:tc>
          <w:tcPr>
            <w:tcW w:w="1039" w:type="dxa"/>
            <w:vAlign w:val="center"/>
          </w:tcPr>
          <w:p w14:paraId="6E50683B">
            <w:pPr>
              <w:pStyle w:val="33"/>
              <w:widowControl/>
              <w:spacing w:line="240" w:lineRule="auto"/>
              <w:jc w:val="right"/>
              <w:rPr>
                <w:rFonts w:asciiTheme="minorEastAsia" w:hAnsiTheme="minorEastAsia" w:cstheme="minorEastAsia"/>
                <w:kern w:val="0"/>
                <w:sz w:val="16"/>
                <w:szCs w:val="16"/>
              </w:rPr>
            </w:pPr>
            <w:r>
              <w:rPr>
                <w:rFonts w:hint="eastAsia" w:ascii="宋体" w:hAnsi="宋体" w:eastAsia="宋体"/>
                <w:sz w:val="16"/>
                <w:szCs w:val="16"/>
                <w:lang w:eastAsia="zh-CN"/>
              </w:rPr>
              <w:t xml:space="preserve">20,000.00 </w:t>
            </w:r>
          </w:p>
        </w:tc>
        <w:tc>
          <w:tcPr>
            <w:tcW w:w="1003" w:type="dxa"/>
            <w:vAlign w:val="center"/>
          </w:tcPr>
          <w:p w14:paraId="3494520D">
            <w:pPr>
              <w:pStyle w:val="33"/>
              <w:widowControl/>
              <w:spacing w:line="240" w:lineRule="auto"/>
              <w:jc w:val="center"/>
              <w:rPr>
                <w:rFonts w:ascii="宋体" w:hAnsi="宋体" w:eastAsia="宋体"/>
                <w:sz w:val="16"/>
                <w:szCs w:val="16"/>
                <w:lang w:eastAsia="zh-CN"/>
              </w:rPr>
            </w:pPr>
            <w:r>
              <w:rPr>
                <w:rFonts w:hint="eastAsia" w:ascii="宋体" w:hAnsi="宋体" w:eastAsia="宋体"/>
                <w:sz w:val="16"/>
                <w:szCs w:val="16"/>
                <w:lang w:eastAsia="zh-CN"/>
              </w:rPr>
              <w:t xml:space="preserve"> </w:t>
            </w:r>
            <w:r>
              <w:rPr>
                <w:rFonts w:ascii="宋体" w:hAnsi="宋体" w:eastAsia="宋体"/>
                <w:sz w:val="16"/>
                <w:szCs w:val="16"/>
                <w:lang w:eastAsia="zh-CN"/>
              </w:rPr>
              <w:t>3,993.54</w:t>
            </w:r>
            <w:r>
              <w:rPr>
                <w:rFonts w:hint="eastAsia" w:ascii="宋体" w:hAnsi="宋体" w:eastAsia="宋体"/>
                <w:sz w:val="16"/>
                <w:szCs w:val="16"/>
                <w:lang w:eastAsia="zh-CN"/>
              </w:rPr>
              <w:t xml:space="preserve"> </w:t>
            </w:r>
          </w:p>
        </w:tc>
        <w:tc>
          <w:tcPr>
            <w:tcW w:w="917" w:type="dxa"/>
            <w:vAlign w:val="center"/>
          </w:tcPr>
          <w:p w14:paraId="1DBB9287">
            <w:pPr>
              <w:pStyle w:val="33"/>
              <w:widowControl/>
              <w:spacing w:line="240" w:lineRule="auto"/>
              <w:jc w:val="center"/>
              <w:rPr>
                <w:rFonts w:asciiTheme="minorEastAsia" w:hAnsiTheme="minorEastAsia" w:cstheme="minorEastAsia"/>
                <w:kern w:val="0"/>
                <w:sz w:val="16"/>
                <w:szCs w:val="16"/>
              </w:rPr>
            </w:pPr>
            <w:r>
              <w:rPr>
                <w:rFonts w:ascii="宋体" w:hAnsi="宋体" w:eastAsia="宋体"/>
                <w:sz w:val="16"/>
                <w:szCs w:val="16"/>
                <w:lang w:eastAsia="zh-CN"/>
              </w:rPr>
              <w:t>0</w:t>
            </w:r>
            <w:r>
              <w:rPr>
                <w:rFonts w:hint="eastAsia" w:ascii="宋体" w:hAnsi="宋体" w:eastAsia="宋体"/>
                <w:sz w:val="16"/>
                <w:szCs w:val="16"/>
                <w:lang w:eastAsia="zh-CN"/>
              </w:rPr>
              <w:t>.00</w:t>
            </w:r>
          </w:p>
        </w:tc>
        <w:tc>
          <w:tcPr>
            <w:tcW w:w="773" w:type="dxa"/>
            <w:vAlign w:val="center"/>
          </w:tcPr>
          <w:p w14:paraId="3FF0F885">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kern w:val="0"/>
                <w:sz w:val="16"/>
                <w:szCs w:val="16"/>
              </w:rPr>
              <w:t>1.65%</w:t>
            </w:r>
          </w:p>
        </w:tc>
        <w:tc>
          <w:tcPr>
            <w:tcW w:w="1187" w:type="dxa"/>
            <w:vAlign w:val="center"/>
          </w:tcPr>
          <w:p w14:paraId="1A7AD7F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29" w:type="dxa"/>
            <w:vAlign w:val="center"/>
          </w:tcPr>
          <w:p w14:paraId="75BCDE4C">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69A8FE32">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3A322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2968F2AA">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2.资产负债率为70%以下的控股子公司</w:t>
            </w:r>
          </w:p>
        </w:tc>
      </w:tr>
      <w:tr w14:paraId="72098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661C67B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04E59B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433F1E9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云变</w:t>
            </w:r>
          </w:p>
          <w:p w14:paraId="77844811">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728" w:type="dxa"/>
            <w:vAlign w:val="center"/>
          </w:tcPr>
          <w:p w14:paraId="28CDA59E">
            <w:pPr>
              <w:widowControl/>
              <w:adjustRightInd w:val="0"/>
              <w:snapToGrid w:val="0"/>
              <w:rPr>
                <w:rFonts w:asciiTheme="minorEastAsia" w:hAnsiTheme="minorEastAsia" w:cstheme="minorEastAsia"/>
                <w:kern w:val="0"/>
                <w:sz w:val="16"/>
                <w:szCs w:val="16"/>
              </w:rPr>
            </w:pPr>
            <w:r>
              <w:rPr>
                <w:rFonts w:hint="eastAsia" w:eastAsia="宋体" w:asciiTheme="minorEastAsia" w:hAnsiTheme="minorEastAsia" w:cstheme="minorEastAsia"/>
                <w:kern w:val="0"/>
                <w:sz w:val="16"/>
                <w:szCs w:val="16"/>
              </w:rPr>
              <w:t>100.00</w:t>
            </w:r>
            <w:r>
              <w:rPr>
                <w:rFonts w:eastAsia="宋体" w:asciiTheme="minorEastAsia" w:hAnsiTheme="minorEastAsia" w:cstheme="minorEastAsia"/>
                <w:kern w:val="0"/>
                <w:sz w:val="16"/>
                <w:szCs w:val="16"/>
              </w:rPr>
              <w:t>%</w:t>
            </w:r>
          </w:p>
        </w:tc>
        <w:tc>
          <w:tcPr>
            <w:tcW w:w="851" w:type="dxa"/>
            <w:vAlign w:val="center"/>
          </w:tcPr>
          <w:p w14:paraId="74577889">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lang w:bidi="ar"/>
              </w:rPr>
              <w:t>64.29%</w:t>
            </w:r>
          </w:p>
        </w:tc>
        <w:tc>
          <w:tcPr>
            <w:tcW w:w="1039" w:type="dxa"/>
            <w:vAlign w:val="center"/>
          </w:tcPr>
          <w:p w14:paraId="5AB80D50">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 xml:space="preserve">120,000.00 </w:t>
            </w:r>
          </w:p>
        </w:tc>
        <w:tc>
          <w:tcPr>
            <w:tcW w:w="1003" w:type="dxa"/>
            <w:vAlign w:val="center"/>
          </w:tcPr>
          <w:p w14:paraId="69FA56C6">
            <w:pPr>
              <w:widowControl/>
              <w:adjustRightInd w:val="0"/>
              <w:snapToGrid w:val="0"/>
              <w:jc w:val="right"/>
              <w:rPr>
                <w:rFonts w:asciiTheme="minorEastAsia" w:hAnsiTheme="minorEastAsia" w:cstheme="minorEastAsia"/>
                <w:kern w:val="0"/>
                <w:sz w:val="16"/>
                <w:szCs w:val="16"/>
              </w:rPr>
            </w:pPr>
            <w:bookmarkStart w:id="4" w:name="OLE_LINK2"/>
            <w:bookmarkStart w:id="5" w:name="OLE_LINK1"/>
            <w:r>
              <w:rPr>
                <w:rFonts w:hint="eastAsia" w:asciiTheme="minorEastAsia" w:hAnsiTheme="minorEastAsia" w:cstheme="minorEastAsia"/>
                <w:kern w:val="0"/>
                <w:sz w:val="16"/>
                <w:szCs w:val="16"/>
              </w:rPr>
              <w:t xml:space="preserve"> </w:t>
            </w:r>
            <w:r>
              <w:rPr>
                <w:rFonts w:asciiTheme="minorEastAsia" w:hAnsiTheme="minorEastAsia" w:cstheme="minorEastAsia"/>
                <w:kern w:val="0"/>
                <w:sz w:val="16"/>
                <w:szCs w:val="16"/>
              </w:rPr>
              <w:t>54,031.80</w:t>
            </w:r>
            <w:r>
              <w:rPr>
                <w:rFonts w:hint="eastAsia" w:asciiTheme="minorEastAsia" w:hAnsiTheme="minorEastAsia" w:cstheme="minorEastAsia"/>
                <w:kern w:val="0"/>
                <w:sz w:val="16"/>
                <w:szCs w:val="16"/>
              </w:rPr>
              <w:t xml:space="preserve"> </w:t>
            </w:r>
            <w:bookmarkEnd w:id="4"/>
            <w:bookmarkEnd w:id="5"/>
          </w:p>
        </w:tc>
        <w:tc>
          <w:tcPr>
            <w:tcW w:w="917" w:type="dxa"/>
            <w:vAlign w:val="center"/>
          </w:tcPr>
          <w:p w14:paraId="3E481204">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kern w:val="0"/>
                <w:sz w:val="16"/>
                <w:szCs w:val="16"/>
              </w:rPr>
              <w:t>8,000.00</w:t>
            </w:r>
          </w:p>
        </w:tc>
        <w:tc>
          <w:tcPr>
            <w:tcW w:w="773" w:type="dxa"/>
            <w:vAlign w:val="center"/>
          </w:tcPr>
          <w:p w14:paraId="75503D57">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22.39%</w:t>
            </w:r>
          </w:p>
        </w:tc>
        <w:tc>
          <w:tcPr>
            <w:tcW w:w="1187" w:type="dxa"/>
            <w:vAlign w:val="center"/>
          </w:tcPr>
          <w:p w14:paraId="224E34C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29" w:type="dxa"/>
            <w:vAlign w:val="center"/>
          </w:tcPr>
          <w:p w14:paraId="2D4ABD9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2757E56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6F2A5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4F019FA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237F05FB">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0553C1E3">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惠泽</w:t>
            </w:r>
          </w:p>
          <w:p w14:paraId="19C645B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电器</w:t>
            </w:r>
          </w:p>
        </w:tc>
        <w:tc>
          <w:tcPr>
            <w:tcW w:w="728" w:type="dxa"/>
            <w:vAlign w:val="center"/>
          </w:tcPr>
          <w:p w14:paraId="2AF06E3D">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62301A6A">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34.63%</w:t>
            </w:r>
          </w:p>
        </w:tc>
        <w:tc>
          <w:tcPr>
            <w:tcW w:w="1039" w:type="dxa"/>
            <w:vAlign w:val="center"/>
          </w:tcPr>
          <w:p w14:paraId="57739795">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asciiTheme="minorEastAsia" w:hAnsiTheme="minorEastAsia" w:cstheme="minorEastAsia"/>
                <w:kern w:val="0"/>
                <w:sz w:val="16"/>
                <w:szCs w:val="16"/>
              </w:rPr>
              <w:t>0,000.00</w:t>
            </w:r>
          </w:p>
        </w:tc>
        <w:tc>
          <w:tcPr>
            <w:tcW w:w="1003" w:type="dxa"/>
            <w:vAlign w:val="center"/>
          </w:tcPr>
          <w:p w14:paraId="15F0B127">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917" w:type="dxa"/>
            <w:vAlign w:val="center"/>
          </w:tcPr>
          <w:p w14:paraId="22FDC457">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773" w:type="dxa"/>
            <w:vAlign w:val="center"/>
          </w:tcPr>
          <w:p w14:paraId="10318ADC">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1187" w:type="dxa"/>
            <w:vAlign w:val="center"/>
          </w:tcPr>
          <w:p w14:paraId="768C3608">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29" w:type="dxa"/>
            <w:vAlign w:val="center"/>
          </w:tcPr>
          <w:p w14:paraId="0F113E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39B237F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4D71B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10" w:type="dxa"/>
            <w:gridSpan w:val="2"/>
            <w:vAlign w:val="center"/>
          </w:tcPr>
          <w:p w14:paraId="2324A370">
            <w:pPr>
              <w:widowControl/>
              <w:adjustRightInd w:val="0"/>
              <w:snapToGrid w:val="0"/>
              <w:jc w:val="center"/>
              <w:rPr>
                <w:rFonts w:ascii="宋体" w:hAnsi="宋体"/>
                <w:b/>
                <w:bCs/>
                <w:sz w:val="16"/>
                <w:szCs w:val="16"/>
              </w:rPr>
            </w:pPr>
            <w:r>
              <w:rPr>
                <w:rFonts w:hint="eastAsia" w:ascii="宋体" w:hAnsi="宋体"/>
                <w:b/>
                <w:bCs/>
                <w:sz w:val="16"/>
                <w:szCs w:val="16"/>
              </w:rPr>
              <w:t>合计</w:t>
            </w:r>
          </w:p>
        </w:tc>
        <w:tc>
          <w:tcPr>
            <w:tcW w:w="728" w:type="dxa"/>
            <w:vAlign w:val="center"/>
          </w:tcPr>
          <w:p w14:paraId="7BCF6D4B">
            <w:pPr>
              <w:pStyle w:val="33"/>
              <w:widowControl/>
              <w:spacing w:line="240" w:lineRule="auto"/>
              <w:jc w:val="right"/>
              <w:rPr>
                <w:rFonts w:ascii="宋体" w:hAnsi="宋体" w:eastAsia="宋体"/>
                <w:b/>
                <w:bCs/>
                <w:sz w:val="16"/>
                <w:szCs w:val="16"/>
                <w:lang w:eastAsia="zh-CN"/>
              </w:rPr>
            </w:pPr>
            <w:r>
              <w:rPr>
                <w:rFonts w:hint="eastAsia" w:ascii="宋体" w:hAnsi="宋体" w:eastAsia="宋体"/>
                <w:b/>
                <w:bCs/>
                <w:sz w:val="16"/>
                <w:szCs w:val="16"/>
                <w:lang w:eastAsia="zh-CN"/>
              </w:rPr>
              <w:t>-</w:t>
            </w:r>
          </w:p>
        </w:tc>
        <w:tc>
          <w:tcPr>
            <w:tcW w:w="851" w:type="dxa"/>
            <w:vAlign w:val="center"/>
          </w:tcPr>
          <w:p w14:paraId="300A7246">
            <w:pPr>
              <w:widowControl/>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1039" w:type="dxa"/>
            <w:vAlign w:val="center"/>
          </w:tcPr>
          <w:p w14:paraId="63D38824">
            <w:pPr>
              <w:widowControl/>
              <w:adjustRightInd w:val="0"/>
              <w:snapToGrid w:val="0"/>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150,000.00</w:t>
            </w:r>
          </w:p>
        </w:tc>
        <w:tc>
          <w:tcPr>
            <w:tcW w:w="1003" w:type="dxa"/>
            <w:vAlign w:val="center"/>
          </w:tcPr>
          <w:p w14:paraId="08567FD7">
            <w:pPr>
              <w:widowControl/>
              <w:adjustRightInd w:val="0"/>
              <w:snapToGrid w:val="0"/>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 xml:space="preserve"> </w:t>
            </w:r>
            <w:r>
              <w:rPr>
                <w:rFonts w:asciiTheme="minorEastAsia" w:hAnsiTheme="minorEastAsia" w:cstheme="minorEastAsia"/>
                <w:b/>
                <w:bCs/>
                <w:kern w:val="0"/>
                <w:sz w:val="16"/>
                <w:szCs w:val="16"/>
              </w:rPr>
              <w:t>58,025.35</w:t>
            </w:r>
            <w:r>
              <w:rPr>
                <w:rFonts w:hint="eastAsia" w:asciiTheme="minorEastAsia" w:hAnsiTheme="minorEastAsia" w:cstheme="minorEastAsia"/>
                <w:b/>
                <w:bCs/>
                <w:kern w:val="0"/>
                <w:sz w:val="16"/>
                <w:szCs w:val="16"/>
              </w:rPr>
              <w:t xml:space="preserve"> </w:t>
            </w:r>
          </w:p>
        </w:tc>
        <w:tc>
          <w:tcPr>
            <w:tcW w:w="917" w:type="dxa"/>
            <w:vAlign w:val="center"/>
          </w:tcPr>
          <w:p w14:paraId="3C287889">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8,000.00</w:t>
            </w:r>
          </w:p>
        </w:tc>
        <w:tc>
          <w:tcPr>
            <w:tcW w:w="773" w:type="dxa"/>
            <w:vAlign w:val="center"/>
          </w:tcPr>
          <w:p w14:paraId="05968C1C">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24.04%</w:t>
            </w:r>
          </w:p>
        </w:tc>
        <w:tc>
          <w:tcPr>
            <w:tcW w:w="1187" w:type="dxa"/>
            <w:vAlign w:val="center"/>
          </w:tcPr>
          <w:p w14:paraId="40090B0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kern w:val="0"/>
                <w:sz w:val="16"/>
                <w:szCs w:val="16"/>
              </w:rPr>
              <w:t>-</w:t>
            </w:r>
          </w:p>
        </w:tc>
        <w:tc>
          <w:tcPr>
            <w:tcW w:w="429" w:type="dxa"/>
            <w:vAlign w:val="center"/>
          </w:tcPr>
          <w:p w14:paraId="79DFDEFE">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692" w:type="dxa"/>
            <w:vAlign w:val="center"/>
          </w:tcPr>
          <w:p w14:paraId="65E930C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r>
    </w:tbl>
    <w:p w14:paraId="0C85CEC4">
      <w:pPr>
        <w:widowControl/>
        <w:adjustRightInd w:val="0"/>
        <w:snapToGrid w:val="0"/>
        <w:spacing w:line="560" w:lineRule="exact"/>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说明：本表尾差系四舍五入所致。</w:t>
      </w:r>
    </w:p>
    <w:p w14:paraId="3AC1D2D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被担保人基本情况</w:t>
      </w:r>
    </w:p>
    <w:p w14:paraId="38C15805">
      <w:pPr>
        <w:pStyle w:val="17"/>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基本情况</w:t>
      </w:r>
    </w:p>
    <w:p w14:paraId="5D7B4567">
      <w:pPr>
        <w:pStyle w:val="17"/>
        <w:widowControl/>
        <w:adjustRightInd w:val="0"/>
        <w:snapToGrid w:val="0"/>
        <w:spacing w:line="560" w:lineRule="exact"/>
        <w:ind w:left="480" w:firstLine="0"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color w:val="000000"/>
          <w:kern w:val="0"/>
          <w:sz w:val="24"/>
          <w:szCs w:val="24"/>
        </w:rPr>
        <w:t>云南变压器电气股份有限公司</w:t>
      </w:r>
    </w:p>
    <w:tbl>
      <w:tblPr>
        <w:tblStyle w:val="11"/>
        <w:tblW w:w="5000" w:type="pct"/>
        <w:tblInd w:w="0" w:type="dxa"/>
        <w:tblLayout w:type="autofit"/>
        <w:tblCellMar>
          <w:top w:w="0" w:type="dxa"/>
          <w:left w:w="0" w:type="dxa"/>
          <w:bottom w:w="0" w:type="dxa"/>
          <w:right w:w="0" w:type="dxa"/>
        </w:tblCellMar>
      </w:tblPr>
      <w:tblGrid>
        <w:gridCol w:w="2512"/>
        <w:gridCol w:w="1512"/>
        <w:gridCol w:w="2127"/>
        <w:gridCol w:w="2267"/>
      </w:tblGrid>
      <w:tr w14:paraId="7FB95238">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5A8537">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被担保人类型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7B5812B">
            <w:pPr>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☑法人</w:t>
            </w:r>
          </w:p>
          <w:p w14:paraId="392947E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______________</w:t>
            </w:r>
            <w:r>
              <w:rPr>
                <w:rFonts w:hint="eastAsia" w:asciiTheme="minorEastAsia" w:hAnsiTheme="minorEastAsia" w:cstheme="minorEastAsia"/>
                <w:color w:val="000000"/>
                <w:sz w:val="16"/>
                <w:szCs w:val="16"/>
              </w:rPr>
              <w:t>（请注明）</w:t>
            </w:r>
          </w:p>
        </w:tc>
      </w:tr>
      <w:tr w14:paraId="13DA07E3">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394299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被担保人名称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60CCB2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云南变压器电气股份有限公司</w:t>
            </w:r>
          </w:p>
        </w:tc>
      </w:tr>
      <w:tr w14:paraId="5B4A98B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6D40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被担保人类型及上市公司持股情况</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5D6C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 xml:space="preserve">☑全资子公司  </w:t>
            </w:r>
          </w:p>
          <w:p w14:paraId="0B257429">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□控股子公司</w:t>
            </w:r>
          </w:p>
          <w:p w14:paraId="36E60CA1">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□参股公司</w:t>
            </w:r>
          </w:p>
          <w:p w14:paraId="327F5E1F">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w:t>
            </w:r>
            <w:r>
              <w:rPr>
                <w:rFonts w:asciiTheme="minorEastAsia" w:hAnsiTheme="minorEastAsia" w:cstheme="minorEastAsia"/>
                <w:sz w:val="16"/>
                <w:szCs w:val="16"/>
              </w:rPr>
              <w:t>_</w:t>
            </w:r>
            <w:r>
              <w:rPr>
                <w:rFonts w:hint="eastAsia" w:asciiTheme="minorEastAsia" w:hAnsiTheme="minorEastAsia" w:cstheme="minorEastAsia"/>
                <w:sz w:val="16"/>
                <w:szCs w:val="16"/>
              </w:rPr>
              <w:t>______</w:t>
            </w:r>
            <w:r>
              <w:rPr>
                <w:rFonts w:hint="eastAsia" w:asciiTheme="minorEastAsia" w:hAnsiTheme="minorEastAsia" w:cstheme="minorEastAsia"/>
                <w:color w:val="000000"/>
                <w:sz w:val="16"/>
                <w:szCs w:val="16"/>
              </w:rPr>
              <w:t>（请注明）</w:t>
            </w:r>
          </w:p>
        </w:tc>
      </w:tr>
      <w:tr w14:paraId="1BDD13A7">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D25D74">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主要股东及持股比例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58205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望变电气持股100%</w:t>
            </w:r>
          </w:p>
        </w:tc>
      </w:tr>
      <w:tr w14:paraId="66646E4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B47BF0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法定代表人</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78C68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肖斌</w:t>
            </w:r>
          </w:p>
        </w:tc>
      </w:tr>
      <w:tr w14:paraId="2C8B97EE">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5E84A3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统一社会信用代码</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B746D23">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91530000713402501X</w:t>
            </w:r>
          </w:p>
        </w:tc>
      </w:tr>
      <w:tr w14:paraId="6FB57E07">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50527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成立时间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E7954C2">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1999年1月23日</w:t>
            </w:r>
          </w:p>
        </w:tc>
      </w:tr>
      <w:tr w14:paraId="3D3906B9">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B0C470">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7F4F8D">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 xml:space="preserve">212号 </w:t>
            </w:r>
          </w:p>
        </w:tc>
      </w:tr>
      <w:tr w14:paraId="345968B3">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FC3BA9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注册资本</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56273C">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人民币</w:t>
            </w:r>
            <w:r>
              <w:rPr>
                <w:rFonts w:asciiTheme="minorEastAsia" w:hAnsiTheme="minorEastAsia" w:cstheme="minorEastAsia"/>
                <w:color w:val="000000"/>
                <w:kern w:val="0"/>
                <w:sz w:val="16"/>
                <w:szCs w:val="16"/>
              </w:rPr>
              <w:t xml:space="preserve"> 10,041.3641万元</w:t>
            </w:r>
          </w:p>
        </w:tc>
      </w:tr>
      <w:tr w14:paraId="67280328">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126F65">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公司类型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4863C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其他股份有限公司（非上市）</w:t>
            </w:r>
          </w:p>
        </w:tc>
      </w:tr>
      <w:tr w14:paraId="25001A5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0E152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经营范围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A66FE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14:paraId="3E55522F">
        <w:tblPrEx>
          <w:tblCellMar>
            <w:top w:w="0" w:type="dxa"/>
            <w:left w:w="0" w:type="dxa"/>
            <w:bottom w:w="0" w:type="dxa"/>
            <w:right w:w="0" w:type="dxa"/>
          </w:tblCellMar>
        </w:tblPrEx>
        <w:trPr>
          <w:trHeight w:val="397" w:hRule="atLeast"/>
        </w:trPr>
        <w:tc>
          <w:tcPr>
            <w:tcW w:w="1492" w:type="pct"/>
            <w:vMerge w:val="restar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00006A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主要财务指标（万元）</w:t>
            </w: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0BF63A">
            <w:pPr>
              <w:widowControl/>
              <w:adjustRightInd w:val="0"/>
              <w:snapToGrid w:val="0"/>
              <w:jc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项目</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0C8BED1">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2025年</w:t>
            </w:r>
            <w:r>
              <w:rPr>
                <w:rFonts w:ascii="宋体" w:hAnsi="宋体" w:cs="宋体"/>
                <w:kern w:val="0"/>
                <w:sz w:val="16"/>
                <w:szCs w:val="16"/>
              </w:rPr>
              <w:t>6</w:t>
            </w:r>
            <w:r>
              <w:rPr>
                <w:rFonts w:hint="eastAsia" w:ascii="宋体" w:hAnsi="宋体" w:cs="宋体"/>
                <w:kern w:val="0"/>
                <w:sz w:val="16"/>
                <w:szCs w:val="16"/>
              </w:rPr>
              <w:t>月</w:t>
            </w:r>
            <w:r>
              <w:rPr>
                <w:rFonts w:ascii="宋体" w:hAnsi="宋体" w:cs="宋体"/>
                <w:kern w:val="0"/>
                <w:sz w:val="16"/>
                <w:szCs w:val="16"/>
              </w:rPr>
              <w:t>30</w:t>
            </w:r>
            <w:r>
              <w:rPr>
                <w:rFonts w:hint="eastAsia" w:ascii="宋体" w:hAnsi="宋体" w:cs="宋体"/>
                <w:kern w:val="0"/>
                <w:sz w:val="16"/>
                <w:szCs w:val="16"/>
              </w:rPr>
              <w:t>日</w:t>
            </w:r>
          </w:p>
          <w:p w14:paraId="21F20CCD">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9403FAE">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2024年12月31日</w:t>
            </w:r>
          </w:p>
          <w:p w14:paraId="5DE1E685">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（经审计）</w:t>
            </w:r>
          </w:p>
        </w:tc>
      </w:tr>
      <w:tr w14:paraId="77A65512">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3EB50E">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B4CE14">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D528FA2">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202,993.61</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35D26CD">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182,092.03 </w:t>
            </w:r>
          </w:p>
        </w:tc>
      </w:tr>
      <w:tr w14:paraId="2B986AD8">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31A8222">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FF301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负债总额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E49EBF">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130,495.05</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AAEED0">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112,397.30 </w:t>
            </w:r>
          </w:p>
        </w:tc>
      </w:tr>
      <w:tr w14:paraId="3AE0150A">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147ACAD">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B811EA">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资产净额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193DFCE">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w:t>
            </w:r>
            <w:r>
              <w:rPr>
                <w:rFonts w:ascii="宋体" w:hAnsi="宋体" w:cs="宋体"/>
                <w:color w:val="000000"/>
                <w:kern w:val="0"/>
                <w:sz w:val="16"/>
                <w:szCs w:val="16"/>
                <w:lang w:bidi="ar"/>
              </w:rPr>
              <w:t>72,498.56</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FD923E">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69,694.73 </w:t>
            </w:r>
          </w:p>
        </w:tc>
      </w:tr>
      <w:tr w14:paraId="4EAA2E3D">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193EEAC">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F752802">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5E37CC">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2025年1-</w:t>
            </w:r>
            <w:r>
              <w:rPr>
                <w:rFonts w:ascii="宋体" w:hAnsi="宋体" w:cs="宋体"/>
                <w:color w:val="000000"/>
                <w:kern w:val="0"/>
                <w:sz w:val="16"/>
                <w:szCs w:val="16"/>
                <w:lang w:bidi="ar"/>
              </w:rPr>
              <w:t>6</w:t>
            </w:r>
            <w:r>
              <w:rPr>
                <w:rFonts w:hint="eastAsia" w:ascii="宋体" w:hAnsi="宋体" w:cs="宋体"/>
                <w:color w:val="000000"/>
                <w:kern w:val="0"/>
                <w:sz w:val="16"/>
                <w:szCs w:val="16"/>
                <w:lang w:bidi="ar"/>
              </w:rPr>
              <w:t>月</w:t>
            </w:r>
          </w:p>
          <w:p w14:paraId="4974CB3C">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2EB887">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2024年1-12月</w:t>
            </w:r>
          </w:p>
          <w:p w14:paraId="1D69D226">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（经审计）</w:t>
            </w:r>
          </w:p>
        </w:tc>
      </w:tr>
      <w:tr w14:paraId="41EFD1C4">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C082435">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33809F5">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营业收入</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7E2F529">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59</w:t>
            </w:r>
            <w:r>
              <w:rPr>
                <w:rFonts w:hint="eastAsia" w:ascii="宋体" w:hAnsi="宋体" w:cs="宋体"/>
                <w:color w:val="000000"/>
                <w:kern w:val="0"/>
                <w:sz w:val="16"/>
                <w:szCs w:val="16"/>
                <w:lang w:bidi="ar"/>
              </w:rPr>
              <w:t>,</w:t>
            </w:r>
            <w:r>
              <w:rPr>
                <w:rFonts w:ascii="宋体" w:hAnsi="宋体" w:cs="宋体"/>
                <w:color w:val="000000"/>
                <w:kern w:val="0"/>
                <w:sz w:val="16"/>
                <w:szCs w:val="16"/>
                <w:lang w:bidi="ar"/>
              </w:rPr>
              <w:t>531.70</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8E41B15">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82,015.42 </w:t>
            </w:r>
          </w:p>
        </w:tc>
      </w:tr>
      <w:tr w14:paraId="4321B9FB">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4F1D94">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E2E744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净利润</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2FCCDD">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2,723.31</w:t>
            </w:r>
            <w:r>
              <w:rPr>
                <w:rFonts w:hint="eastAsia" w:ascii="宋体" w:hAnsi="宋体" w:cs="宋体"/>
                <w:color w:val="000000"/>
                <w:kern w:val="0"/>
                <w:sz w:val="16"/>
                <w:szCs w:val="16"/>
                <w:lang w:bidi="ar"/>
              </w:rPr>
              <w:t xml:space="preserve">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FD32AE7">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5,090.37 </w:t>
            </w:r>
          </w:p>
        </w:tc>
      </w:tr>
    </w:tbl>
    <w:p w14:paraId="6035A8D5">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担保协议的主要内容</w:t>
      </w:r>
    </w:p>
    <w:p w14:paraId="6F22CB51">
      <w:pPr>
        <w:widowControl/>
        <w:adjustRightInd w:val="0"/>
        <w:snapToGrid w:val="0"/>
        <w:spacing w:line="560" w:lineRule="exact"/>
        <w:ind w:firstLine="480" w:firstLineChars="200"/>
        <w:jc w:val="left"/>
        <w:outlineLvl w:val="0"/>
        <w:rPr>
          <w:rFonts w:ascii="宋体" w:hAnsi="宋体" w:cs="宋体"/>
          <w:kern w:val="0"/>
          <w:sz w:val="22"/>
          <w:szCs w:val="24"/>
        </w:rPr>
      </w:pPr>
      <w:r>
        <w:rPr>
          <w:rFonts w:hint="eastAsia" w:asciiTheme="minorEastAsia" w:hAnsiTheme="minorEastAsia" w:cstheme="minorEastAsia"/>
          <w:sz w:val="24"/>
          <w:szCs w:val="28"/>
        </w:rPr>
        <w:t>（一）光大银行昆明分行</w:t>
      </w:r>
      <w:r>
        <w:rPr>
          <w:rFonts w:hint="eastAsia" w:ascii="宋体" w:hAnsi="宋体" w:cs="宋体"/>
          <w:kern w:val="0"/>
          <w:sz w:val="24"/>
          <w:szCs w:val="28"/>
        </w:rPr>
        <w:t>《最高额保证合同》</w:t>
      </w:r>
    </w:p>
    <w:p w14:paraId="1824BC30">
      <w:pPr>
        <w:pStyle w:val="9"/>
        <w:spacing w:beforeAutospacing="0" w:afterAutospacing="0" w:line="560" w:lineRule="exact"/>
        <w:ind w:firstLine="480" w:firstLineChars="200"/>
        <w:rPr>
          <w:rFonts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2、保证方式：连带保证责任</w:t>
      </w:r>
    </w:p>
    <w:p w14:paraId="49C7533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3、保证范围：</w:t>
      </w:r>
    </w:p>
    <w:p w14:paraId="56605549">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1）云变电气在主合同项下应向光大银行昆明分行偿还或支付的债务本金、利息(包括法定利息、约定利息及罚息)、复利、违约金、损害赔偿金、实现债权的费用(包括但不限于诉讼/仲裁费用、律师费用、保全费用、鉴定费用、差旅费用、公证费用、执行费用等)和所有其他应付的费用、款项</w:t>
      </w:r>
      <w:r>
        <w:rPr>
          <w:rFonts w:hint="eastAsia" w:ascii="宋体" w:hAnsi="宋体" w:cs="宋体"/>
          <w:kern w:val="0"/>
          <w:sz w:val="24"/>
          <w:szCs w:val="24"/>
          <w:lang w:eastAsia="zh-CN"/>
        </w:rPr>
        <w:t>（</w:t>
      </w:r>
      <w:r>
        <w:rPr>
          <w:rFonts w:hint="eastAsia" w:ascii="宋体" w:hAnsi="宋体" w:cs="宋体"/>
          <w:kern w:val="0"/>
          <w:sz w:val="24"/>
          <w:szCs w:val="24"/>
        </w:rPr>
        <w:t>以上各项合称为“被担保债务”)。</w:t>
      </w:r>
    </w:p>
    <w:p w14:paraId="3FAFEBE3">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（2）光大银行昆明分行用于表明任何被担保债务或本合同项下任何应付款项的证明，除非有明显错误，应是双方债权债务关系的最终证据，对望变电气具有约束力。</w:t>
      </w:r>
    </w:p>
    <w:p w14:paraId="0617B1C4">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4、保证期限：</w:t>
      </w:r>
    </w:p>
    <w:p w14:paraId="1720D80E">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综合授信协议》项下的每一笔具体授信业务的保证期间单独计算，为自具体授信业务合同或协议约定的受信人履行债务期限届满之日起三年。如因法律规定或具体授信业务合同或协议约定的事件发生而导致债务提前到期保证期间为债务提前到期日起三年。望变电气同意债务展期的，保证期间为展期协议重新约定的债务履行期限届满之日起三年。如具体授信业务合同或协议项下债务分期履行，则对每期债务而言，保证期间均为最后一期债务履行期限届满之日起三年。</w:t>
      </w:r>
    </w:p>
    <w:p w14:paraId="658595F3">
      <w:pPr>
        <w:widowControl/>
        <w:adjustRightInd w:val="0"/>
        <w:snapToGrid w:val="0"/>
        <w:spacing w:line="560" w:lineRule="exact"/>
        <w:ind w:firstLine="562" w:firstLineChars="200"/>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三、担保的必要性和合理性</w:t>
      </w:r>
    </w:p>
    <w:p w14:paraId="41B94172">
      <w:pPr>
        <w:widowControl/>
        <w:adjustRightInd w:val="0"/>
        <w:snapToGrid w:val="0"/>
        <w:spacing w:line="560" w:lineRule="exact"/>
        <w:ind w:firstLine="480" w:firstLineChars="20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董事会意见</w:t>
      </w:r>
    </w:p>
    <w:p w14:paraId="3281E74F">
      <w:pPr>
        <w:widowControl/>
        <w:adjustRightInd w:val="0"/>
        <w:snapToGrid w:val="0"/>
        <w:spacing w:line="560" w:lineRule="exact"/>
        <w:ind w:firstLine="480" w:firstLineChars="200"/>
        <w:jc w:val="left"/>
        <w:rPr>
          <w:sz w:val="24"/>
          <w:szCs w:val="24"/>
        </w:rPr>
      </w:pPr>
      <w:r>
        <w:rPr>
          <w:rFonts w:hint="eastAsia" w:asciiTheme="minorEastAsia" w:hAnsiTheme="minorEastAsia" w:cstheme="minorEastAsia"/>
          <w:sz w:val="24"/>
          <w:szCs w:val="24"/>
        </w:rPr>
        <w:t>上述担保事项属于公司2024年第三次临时股东会授权范围并在有效期内，无需再次提交公司董事会、股东会审议。</w:t>
      </w:r>
    </w:p>
    <w:p w14:paraId="0A1B5923">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累计对外担保数量及逾期担保的数量</w:t>
      </w:r>
    </w:p>
    <w:p w14:paraId="1E47E60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hint="eastAsia" w:ascii="宋体" w:hAnsi="宋体" w:cs="宋体"/>
          <w:bCs/>
          <w:sz w:val="24"/>
          <w:szCs w:val="24"/>
          <w:lang w:val="en-US" w:eastAsia="zh-CN"/>
        </w:rPr>
        <w:t>8</w:t>
      </w:r>
      <w:r>
        <w:rPr>
          <w:rFonts w:hint="eastAsia" w:ascii="宋体" w:hAnsi="宋体" w:cs="宋体"/>
          <w:bCs/>
          <w:sz w:val="24"/>
          <w:szCs w:val="24"/>
        </w:rPr>
        <w:t xml:space="preserve">月末，公司对外担保均为对子公司的担保，累计担保总额为 </w:t>
      </w:r>
      <w:r>
        <w:rPr>
          <w:rFonts w:ascii="宋体" w:hAnsi="宋体" w:cs="宋体"/>
          <w:bCs/>
          <w:sz w:val="24"/>
          <w:szCs w:val="24"/>
        </w:rPr>
        <w:t>99</w:t>
      </w:r>
      <w:r>
        <w:rPr>
          <w:rFonts w:hint="eastAsia" w:ascii="宋体" w:hAnsi="宋体" w:cs="宋体"/>
          <w:bCs/>
          <w:sz w:val="24"/>
          <w:szCs w:val="24"/>
        </w:rPr>
        <w:t>,</w:t>
      </w:r>
      <w:r>
        <w:rPr>
          <w:rFonts w:ascii="宋体" w:hAnsi="宋体" w:cs="宋体"/>
          <w:bCs/>
          <w:sz w:val="24"/>
          <w:szCs w:val="24"/>
        </w:rPr>
        <w:t>674.10</w:t>
      </w:r>
      <w:r>
        <w:rPr>
          <w:rFonts w:hint="eastAsia" w:ascii="宋体" w:hAnsi="宋体" w:cs="宋体"/>
          <w:bCs/>
          <w:sz w:val="24"/>
          <w:szCs w:val="24"/>
        </w:rPr>
        <w:t>万元，担保余额为</w:t>
      </w:r>
      <w:r>
        <w:rPr>
          <w:rFonts w:ascii="宋体" w:hAnsi="宋体" w:cs="宋体"/>
          <w:bCs/>
          <w:sz w:val="24"/>
          <w:szCs w:val="24"/>
        </w:rPr>
        <w:t>58,025.35</w:t>
      </w:r>
      <w:r>
        <w:rPr>
          <w:rFonts w:hint="eastAsia" w:ascii="宋体" w:hAnsi="宋体" w:cs="宋体"/>
          <w:bCs/>
          <w:sz w:val="24"/>
          <w:szCs w:val="24"/>
        </w:rPr>
        <w:t>万元，担保总额占公司最近一期经审计净资产的</w:t>
      </w:r>
      <w:r>
        <w:rPr>
          <w:rFonts w:ascii="宋体" w:hAnsi="宋体" w:cs="宋体"/>
          <w:bCs/>
          <w:sz w:val="24"/>
          <w:szCs w:val="24"/>
        </w:rPr>
        <w:t>41.30</w:t>
      </w:r>
      <w:r>
        <w:rPr>
          <w:rFonts w:hint="eastAsia" w:ascii="宋体" w:hAnsi="宋体" w:cs="宋体"/>
          <w:bCs/>
          <w:sz w:val="24"/>
          <w:szCs w:val="24"/>
        </w:rPr>
        <w:t>%，担保余额占公司最近一期经审计净资产的</w:t>
      </w:r>
      <w:r>
        <w:rPr>
          <w:rFonts w:ascii="宋体" w:hAnsi="宋体" w:cs="宋体"/>
          <w:bCs/>
          <w:sz w:val="24"/>
          <w:szCs w:val="24"/>
        </w:rPr>
        <w:t>24.04</w:t>
      </w:r>
      <w:r>
        <w:rPr>
          <w:rFonts w:hint="eastAsia" w:ascii="宋体" w:hAnsi="宋体" w:cs="宋体"/>
          <w:bCs/>
          <w:sz w:val="24"/>
          <w:szCs w:val="24"/>
        </w:rPr>
        <w:t>%；不存在逾期担保。</w:t>
      </w:r>
    </w:p>
    <w:p w14:paraId="3DC7205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8</w:t>
      </w:r>
      <w:r>
        <w:rPr>
          <w:rFonts w:hint="eastAsia" w:ascii="宋体" w:hAnsi="宋体" w:cs="宋体"/>
          <w:bCs/>
          <w:sz w:val="24"/>
          <w:szCs w:val="24"/>
        </w:rPr>
        <w:t>月末，公司及子公司可用担保额度为</w:t>
      </w:r>
      <w:r>
        <w:rPr>
          <w:rFonts w:hint="eastAsia" w:ascii="宋体" w:hAnsi="宋体" w:cs="宋体"/>
          <w:bCs/>
          <w:sz w:val="24"/>
          <w:szCs w:val="24"/>
          <w:lang w:val="en-US" w:eastAsia="zh-CN"/>
        </w:rPr>
        <w:t>74</w:t>
      </w:r>
      <w:r>
        <w:rPr>
          <w:rFonts w:ascii="宋体" w:hAnsi="宋体" w:cs="宋体"/>
          <w:bCs/>
          <w:sz w:val="24"/>
          <w:szCs w:val="24"/>
        </w:rPr>
        <w:t>,825.90</w:t>
      </w:r>
      <w:r>
        <w:rPr>
          <w:rFonts w:hint="eastAsia" w:ascii="宋体" w:hAnsi="宋体" w:cs="宋体"/>
          <w:bCs/>
          <w:sz w:val="24"/>
          <w:szCs w:val="24"/>
        </w:rPr>
        <w:t>万元（包含惠泽电器10,000.00万元、黔南望江17,000.00万元和云变电气</w:t>
      </w:r>
      <w:r>
        <w:rPr>
          <w:rFonts w:ascii="宋体" w:hAnsi="宋体" w:cs="宋体"/>
          <w:bCs/>
          <w:sz w:val="24"/>
          <w:szCs w:val="24"/>
        </w:rPr>
        <w:t>4</w:t>
      </w:r>
      <w:r>
        <w:rPr>
          <w:rFonts w:hint="eastAsia" w:ascii="宋体" w:hAnsi="宋体" w:cs="宋体"/>
          <w:bCs/>
          <w:sz w:val="24"/>
          <w:szCs w:val="24"/>
          <w:lang w:val="en-US" w:eastAsia="zh-CN"/>
        </w:rPr>
        <w:t>7</w:t>
      </w:r>
      <w:r>
        <w:rPr>
          <w:rFonts w:ascii="宋体" w:hAnsi="宋体" w:cs="宋体"/>
          <w:bCs/>
          <w:sz w:val="24"/>
          <w:szCs w:val="24"/>
        </w:rPr>
        <w:t>,825.90</w:t>
      </w:r>
      <w:r>
        <w:rPr>
          <w:rFonts w:hint="eastAsia" w:ascii="宋体" w:hAnsi="宋体" w:cs="宋体"/>
          <w:bCs/>
          <w:sz w:val="24"/>
          <w:szCs w:val="24"/>
        </w:rPr>
        <w:t>万元），均为经公司2024年第三次临时股东会会议审议通过的2025年度担保额度。</w:t>
      </w:r>
    </w:p>
    <w:p w14:paraId="4ECF296E">
      <w:pPr>
        <w:adjustRightInd w:val="0"/>
        <w:snapToGrid w:val="0"/>
        <w:spacing w:line="360" w:lineRule="auto"/>
        <w:rPr>
          <w:rFonts w:asciiTheme="minorEastAsia" w:hAnsiTheme="minorEastAsia"/>
          <w:bCs/>
          <w:sz w:val="24"/>
          <w:szCs w:val="24"/>
        </w:rPr>
      </w:pPr>
    </w:p>
    <w:p w14:paraId="7C7538B3">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特此公告。</w:t>
      </w:r>
      <w:bookmarkStart w:id="6" w:name="_GoBack"/>
      <w:bookmarkEnd w:id="6"/>
    </w:p>
    <w:p w14:paraId="380D1FC4">
      <w:pPr>
        <w:adjustRightInd w:val="0"/>
        <w:snapToGrid w:val="0"/>
        <w:spacing w:line="360" w:lineRule="auto"/>
        <w:rPr>
          <w:rFonts w:asciiTheme="minorEastAsia" w:hAnsiTheme="minorEastAsia"/>
          <w:bCs/>
          <w:sz w:val="24"/>
          <w:szCs w:val="24"/>
        </w:rPr>
      </w:pPr>
    </w:p>
    <w:p w14:paraId="6A887C0A">
      <w:pPr>
        <w:adjustRightInd w:val="0"/>
        <w:snapToGrid w:val="0"/>
        <w:spacing w:line="360" w:lineRule="auto"/>
        <w:rPr>
          <w:rFonts w:asciiTheme="minorEastAsia" w:hAnsiTheme="minorEastAsia"/>
          <w:bCs/>
          <w:sz w:val="24"/>
          <w:szCs w:val="24"/>
        </w:rPr>
      </w:pPr>
    </w:p>
    <w:p w14:paraId="110B83AC">
      <w:pPr>
        <w:adjustRightInd w:val="0"/>
        <w:snapToGrid w:val="0"/>
        <w:spacing w:line="360" w:lineRule="auto"/>
        <w:jc w:val="right"/>
        <w:rPr>
          <w:rFonts w:asciiTheme="minorEastAsia" w:hAnsiTheme="minorEastAsia"/>
          <w:bCs/>
          <w:sz w:val="24"/>
          <w:szCs w:val="24"/>
        </w:rPr>
      </w:pPr>
      <w:r>
        <w:rPr>
          <w:rFonts w:hint="eastAsia" w:asciiTheme="minorEastAsia" w:hAnsiTheme="minorEastAsia"/>
          <w:bCs/>
          <w:sz w:val="24"/>
          <w:szCs w:val="24"/>
        </w:rPr>
        <w:t>重庆望变电气（集团）股份有限公司董事会</w:t>
      </w:r>
    </w:p>
    <w:p w14:paraId="1376CADD">
      <w:pPr>
        <w:adjustRightInd w:val="0"/>
        <w:snapToGrid w:val="0"/>
        <w:spacing w:line="360" w:lineRule="auto"/>
        <w:jc w:val="right"/>
        <w:rPr>
          <w:rFonts w:asciiTheme="minorEastAsia" w:hAnsiTheme="minorEastAsia"/>
          <w:b/>
          <w:sz w:val="24"/>
          <w:szCs w:val="24"/>
        </w:rPr>
      </w:pPr>
      <w:r>
        <w:rPr>
          <w:rFonts w:hint="eastAsia" w:asciiTheme="minorEastAsia" w:hAnsiTheme="minorEastAsia"/>
          <w:bCs/>
          <w:sz w:val="24"/>
          <w:szCs w:val="24"/>
        </w:rPr>
        <w:t>2025年</w:t>
      </w:r>
      <w:r>
        <w:rPr>
          <w:rFonts w:asciiTheme="minorEastAsia" w:hAnsiTheme="minorEastAsia"/>
          <w:bCs/>
          <w:sz w:val="24"/>
          <w:szCs w:val="24"/>
        </w:rPr>
        <w:t>9</w:t>
      </w:r>
      <w:r>
        <w:rPr>
          <w:rFonts w:hint="eastAsia" w:asciiTheme="minorEastAsia" w:hAnsiTheme="minorEastAsia"/>
          <w:bCs/>
          <w:sz w:val="24"/>
          <w:szCs w:val="24"/>
        </w:rPr>
        <w:t>月</w:t>
      </w:r>
      <w:r>
        <w:rPr>
          <w:rFonts w:hint="eastAsia" w:asciiTheme="minorEastAsia" w:hAnsiTheme="minorEastAsia"/>
          <w:bCs/>
          <w:sz w:val="24"/>
          <w:szCs w:val="24"/>
          <w:lang w:val="en-US" w:eastAsia="zh-CN"/>
        </w:rPr>
        <w:t>3</w:t>
      </w:r>
      <w:r>
        <w:rPr>
          <w:rFonts w:hint="eastAsia" w:asciiTheme="minorEastAsia" w:hAnsiTheme="minorEastAsia"/>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1D5"/>
    <w:multiLevelType w:val="multilevel"/>
    <w:tmpl w:val="00E041D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2">
    <w:nsid w:val="52EA2A72"/>
    <w:multiLevelType w:val="singleLevel"/>
    <w:tmpl w:val="52EA2A72"/>
    <w:lvl w:ilvl="0" w:tentative="0">
      <w:start w:val="1"/>
      <w:numFmt w:val="chineseCounting"/>
      <w:suff w:val="nothing"/>
      <w:lvlText w:val="%1、"/>
      <w:lvlJc w:val="left"/>
      <w:rPr>
        <w:rFonts w:hint="eastAsia"/>
      </w:rPr>
    </w:lvl>
  </w:abstractNum>
  <w:abstractNum w:abstractNumId="3">
    <w:nsid w:val="580E64DF"/>
    <w:multiLevelType w:val="multilevel"/>
    <w:tmpl w:val="580E64DF"/>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6FED"/>
    <w:rsid w:val="002F0218"/>
    <w:rsid w:val="002F4615"/>
    <w:rsid w:val="002F7887"/>
    <w:rsid w:val="00300E0C"/>
    <w:rsid w:val="003068DE"/>
    <w:rsid w:val="00306CA5"/>
    <w:rsid w:val="003071F3"/>
    <w:rsid w:val="00313D6A"/>
    <w:rsid w:val="00317BC2"/>
    <w:rsid w:val="003216A9"/>
    <w:rsid w:val="003216CC"/>
    <w:rsid w:val="0032367F"/>
    <w:rsid w:val="00323A21"/>
    <w:rsid w:val="0032458D"/>
    <w:rsid w:val="003253F1"/>
    <w:rsid w:val="00325654"/>
    <w:rsid w:val="0032604F"/>
    <w:rsid w:val="003315CC"/>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419C"/>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568D3"/>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2BCD"/>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1BD"/>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4EA4"/>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2D72"/>
    <w:rsid w:val="00F83E12"/>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D75742F"/>
    <w:rsid w:val="0EE330C9"/>
    <w:rsid w:val="10D017D9"/>
    <w:rsid w:val="138B5786"/>
    <w:rsid w:val="17674D0A"/>
    <w:rsid w:val="1CA0145B"/>
    <w:rsid w:val="21603540"/>
    <w:rsid w:val="24011B01"/>
    <w:rsid w:val="241F6A9A"/>
    <w:rsid w:val="27F7686E"/>
    <w:rsid w:val="2B7ED06F"/>
    <w:rsid w:val="2D3D4257"/>
    <w:rsid w:val="2DDA0928"/>
    <w:rsid w:val="32B41128"/>
    <w:rsid w:val="451542A6"/>
    <w:rsid w:val="4B887C1D"/>
    <w:rsid w:val="4EE778FC"/>
    <w:rsid w:val="50446580"/>
    <w:rsid w:val="53093721"/>
    <w:rsid w:val="53B322F3"/>
    <w:rsid w:val="550A1892"/>
    <w:rsid w:val="5DFF29E0"/>
    <w:rsid w:val="5EDF3AF6"/>
    <w:rsid w:val="5FD94BDB"/>
    <w:rsid w:val="69CA7F8E"/>
    <w:rsid w:val="6B32428E"/>
    <w:rsid w:val="6B9F0575"/>
    <w:rsid w:val="73EF1F12"/>
    <w:rsid w:val="75AF62D4"/>
    <w:rsid w:val="760E16AB"/>
    <w:rsid w:val="7BC14284"/>
    <w:rsid w:val="7F921D31"/>
    <w:rsid w:val="AEFF9737"/>
    <w:rsid w:val="AEFFAB2F"/>
    <w:rsid w:val="DDFFD477"/>
    <w:rsid w:val="FADAB0B6"/>
    <w:rsid w:val="FEFFECDA"/>
    <w:rsid w:val="FFBBF84C"/>
    <w:rsid w:val="FFED0BA2"/>
    <w:rsid w:val="FFFB1921"/>
    <w:rsid w:val="FFFFE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99"/>
  </w:style>
  <w:style w:type="paragraph" w:customStyle="1" w:styleId="31">
    <w:name w:val="p0"/>
    <w:basedOn w:val="1"/>
    <w:qFormat/>
    <w:uiPriority w:val="0"/>
    <w:pPr>
      <w:widowControl/>
    </w:pPr>
    <w:rPr>
      <w:rFonts w:ascii="Book Antiqua" w:hAnsi="Book Antiqua" w:eastAsia="宋体" w:cs="宋体"/>
      <w:kern w:val="0"/>
      <w:sz w:val="24"/>
      <w:szCs w:val="24"/>
    </w:rPr>
  </w:style>
  <w:style w:type="character" w:customStyle="1" w:styleId="32">
    <w:name w:val="批注主题 字符"/>
    <w:basedOn w:val="30"/>
    <w:link w:val="10"/>
    <w:semiHidden/>
    <w:qFormat/>
    <w:uiPriority w:val="99"/>
    <w:rPr>
      <w:b/>
      <w:bCs/>
    </w:rPr>
  </w:style>
  <w:style w:type="paragraph" w:customStyle="1" w:styleId="33">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wenzhao\Library\Containers\com.kingsoft.wpsoffice.mac\Data\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E8975CD8-AA4F-4D77-B72C-58EE482ADE73}"/>
      </w:docPartPr>
      <w:docPartBody>
        <w:p w14:paraId="762CCA3B">
          <w:pPr>
            <w:pStyle w:val="5"/>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32CF6"/>
    <w:rsid w:val="000343D6"/>
    <w:rsid w:val="0004422D"/>
    <w:rsid w:val="00046446"/>
    <w:rsid w:val="00051238"/>
    <w:rsid w:val="00064914"/>
    <w:rsid w:val="000777D0"/>
    <w:rsid w:val="00091B04"/>
    <w:rsid w:val="000927E9"/>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56D89"/>
    <w:rsid w:val="00267098"/>
    <w:rsid w:val="00282A8F"/>
    <w:rsid w:val="002E4793"/>
    <w:rsid w:val="002E6255"/>
    <w:rsid w:val="00306E3D"/>
    <w:rsid w:val="00316D69"/>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34AD3"/>
    <w:rsid w:val="00752860"/>
    <w:rsid w:val="00765580"/>
    <w:rsid w:val="00777D46"/>
    <w:rsid w:val="00780325"/>
    <w:rsid w:val="00781254"/>
    <w:rsid w:val="00781F4C"/>
    <w:rsid w:val="0078693E"/>
    <w:rsid w:val="007A02EA"/>
    <w:rsid w:val="007A0348"/>
    <w:rsid w:val="007A4890"/>
    <w:rsid w:val="007B1DA5"/>
    <w:rsid w:val="007C7D34"/>
    <w:rsid w:val="00800822"/>
    <w:rsid w:val="00846FD4"/>
    <w:rsid w:val="00851D98"/>
    <w:rsid w:val="00932870"/>
    <w:rsid w:val="0095546D"/>
    <w:rsid w:val="009830BF"/>
    <w:rsid w:val="00985796"/>
    <w:rsid w:val="00996F77"/>
    <w:rsid w:val="0099798A"/>
    <w:rsid w:val="009A3853"/>
    <w:rsid w:val="009C514E"/>
    <w:rsid w:val="009D0A97"/>
    <w:rsid w:val="00A10E8A"/>
    <w:rsid w:val="00A214F0"/>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78FF"/>
    <w:rsid w:val="00CA0358"/>
    <w:rsid w:val="00CB6A47"/>
    <w:rsid w:val="00D047C8"/>
    <w:rsid w:val="00D179CB"/>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clcta-be="clcta-be" xmlns:clcta-ci="clcta-ci" xmlns:clcta-gie="clcta-gie" xmlns:clcta-taf="clcta-taf" xmlns:xlink="xlink" xmlns:b="http://mapping.word.org/2012/binding" xmlns:clcta-fte="clcta-fte">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]]></t:sse>
</t:template>
</file>

<file path=customXml/itemProps1.xml><?xml version="1.0" encoding="utf-8"?>
<ds:datastoreItem xmlns:ds="http://schemas.openxmlformats.org/officeDocument/2006/customXml" ds:itemID="{BA98B501-917D-472D-AC19-F30F1EB82784}">
  <ds:schemaRefs/>
</ds:datastoreItem>
</file>

<file path=customXml/itemProps2.xml><?xml version="1.0" encoding="utf-8"?>
<ds:datastoreItem xmlns:ds="http://schemas.openxmlformats.org/officeDocument/2006/customXml" ds:itemID="{6946C436-FBFE-4818-858F-57D7285C98D3}">
  <ds:schemaRefs/>
</ds:datastoreItem>
</file>

<file path=customXml/itemProps3.xml><?xml version="1.0" encoding="utf-8"?>
<ds:datastoreItem xmlns:ds="http://schemas.openxmlformats.org/officeDocument/2006/customXml" ds:itemID="{4511FAB5-2CDB-48CD-B312-58EE4B3BFC5C}">
  <ds:schemaRefs/>
</ds:datastoreItem>
</file>

<file path=customXml/itemProps4.xml><?xml version="1.0" encoding="utf-8"?>
<ds:datastoreItem xmlns:ds="http://schemas.openxmlformats.org/officeDocument/2006/customXml" ds:itemID="{10EE25AD-1D29-4E70-A291-A06DA2D77A3F}">
  <ds:schemaRefs/>
</ds:datastoreItem>
</file>

<file path=docProps/app.xml><?xml version="1.0" encoding="utf-8"?>
<Properties xmlns="http://schemas.openxmlformats.org/officeDocument/2006/extended-properties" xmlns:vt="http://schemas.openxmlformats.org/officeDocument/2006/docPropsVTypes">
  <Template>SSEReport</Template>
  <Company>HP</Company>
  <Pages>5</Pages>
  <Words>2921</Words>
  <Characters>3609</Characters>
  <Lines>28</Lines>
  <Paragraphs>7</Paragraphs>
  <TotalTime>29</TotalTime>
  <ScaleCrop>false</ScaleCrop>
  <LinksUpToDate>false</LinksUpToDate>
  <CharactersWithSpaces>3667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2025-07-03T09:10:00Z</dcterms:created>
  <dc:creator>yangzhiquan</dc:creator>
  <cp:lastModifiedBy>雯亦</cp:lastModifiedBy>
  <dcterms:modified xsi:type="dcterms:W3CDTF">2025-09-02T07:42:40Z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2052-12.1.0.22529</vt:lpwstr>
  </property>
  <property fmtid="{D5CDD505-2E9C-101B-9397-08002B2CF9AE}" pid="4" name="ICV">
    <vt:lpwstr>537F6ABCA1D64A8395CC4F4D35CCD7ED_13</vt:lpwstr>
  </property>
</Properties>
</file>