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E667F">
      <w:pPr>
        <w:adjustRightInd w:val="0"/>
        <w:snapToGrid w:val="0"/>
        <w:spacing w:line="560" w:lineRule="exact"/>
        <w:rPr>
          <w:rFonts w:hint="eastAsia" w:ascii="宋体" w:hAnsi="宋体"/>
          <w:b/>
          <w:sz w:val="24"/>
          <w:szCs w:val="24"/>
        </w:rPr>
      </w:pPr>
      <w:r>
        <w:rPr>
          <w:rFonts w:hint="eastAsia" w:ascii="宋体" w:hAnsi="宋体"/>
          <w:b/>
          <w:sz w:val="24"/>
          <w:szCs w:val="24"/>
        </w:rPr>
        <w:t>证券代码：</w:t>
      </w:r>
      <w:r>
        <w:rPr>
          <w:rFonts w:ascii="宋体" w:hAnsi="宋体"/>
          <w:b/>
          <w:sz w:val="24"/>
          <w:szCs w:val="24"/>
        </w:rPr>
        <w:t xml:space="preserve">603191        </w:t>
      </w:r>
      <w:r>
        <w:rPr>
          <w:rFonts w:hint="eastAsia" w:ascii="宋体" w:hAnsi="宋体"/>
          <w:b/>
          <w:sz w:val="24"/>
          <w:szCs w:val="24"/>
        </w:rPr>
        <w:t xml:space="preserve">证券简称：望变电气 </w:t>
      </w:r>
      <w:r>
        <w:rPr>
          <w:rFonts w:ascii="宋体" w:hAnsi="宋体"/>
          <w:b/>
          <w:sz w:val="24"/>
          <w:szCs w:val="24"/>
        </w:rPr>
        <w:t xml:space="preserve">       </w:t>
      </w:r>
      <w:r>
        <w:rPr>
          <w:rFonts w:hint="eastAsia" w:ascii="宋体" w:hAnsi="宋体"/>
          <w:b/>
          <w:sz w:val="24"/>
          <w:szCs w:val="24"/>
        </w:rPr>
        <w:t>公告编号：2025-04</w:t>
      </w:r>
      <w:r>
        <w:rPr>
          <w:rFonts w:ascii="宋体" w:hAnsi="宋体"/>
          <w:b/>
          <w:sz w:val="24"/>
          <w:szCs w:val="24"/>
        </w:rPr>
        <w:t>4</w:t>
      </w:r>
    </w:p>
    <w:p w14:paraId="6AAF1164">
      <w:pPr>
        <w:adjustRightInd w:val="0"/>
        <w:snapToGrid w:val="0"/>
        <w:spacing w:line="560" w:lineRule="exact"/>
        <w:jc w:val="left"/>
        <w:rPr>
          <w:rFonts w:hint="eastAsia" w:ascii="仿宋" w:hAnsi="仿宋" w:eastAsia="仿宋_GB2312"/>
          <w:sz w:val="30"/>
          <w:szCs w:val="30"/>
        </w:rPr>
      </w:pPr>
    </w:p>
    <w:p w14:paraId="593B21E3">
      <w:pPr>
        <w:adjustRightInd w:val="0"/>
        <w:snapToGrid w:val="0"/>
        <w:spacing w:before="156" w:beforeLines="50" w:line="560" w:lineRule="exact"/>
        <w:jc w:val="center"/>
        <w:rPr>
          <w:rFonts w:hint="eastAsia" w:ascii="宋体" w:hAnsi="宋体" w:cs="仿宋_GB2312"/>
          <w:b/>
          <w:bCs/>
          <w:color w:val="FF0000"/>
          <w:sz w:val="36"/>
          <w:szCs w:val="36"/>
        </w:rPr>
      </w:pPr>
      <w:r>
        <w:rPr>
          <w:rFonts w:hint="eastAsia" w:ascii="宋体" w:hAnsi="宋体" w:cs="仿宋_GB2312"/>
          <w:b/>
          <w:bCs/>
          <w:color w:val="FF0000"/>
          <w:sz w:val="36"/>
          <w:szCs w:val="36"/>
        </w:rPr>
        <w:t>重庆望变电气（集团）股份有限公司</w:t>
      </w:r>
    </w:p>
    <w:p w14:paraId="4C8FE545">
      <w:pPr>
        <w:adjustRightInd w:val="0"/>
        <w:snapToGrid w:val="0"/>
        <w:spacing w:before="156" w:beforeLines="50" w:line="560" w:lineRule="exact"/>
        <w:jc w:val="center"/>
        <w:rPr>
          <w:rFonts w:hint="eastAsia" w:ascii="宋体" w:hAnsi="宋体" w:cs="仿宋_GB2312"/>
          <w:b/>
          <w:bCs/>
          <w:color w:val="FF0000"/>
          <w:sz w:val="36"/>
          <w:szCs w:val="36"/>
        </w:rPr>
      </w:pPr>
      <w:r>
        <w:rPr>
          <w:rFonts w:hint="eastAsia" w:ascii="宋体" w:hAnsi="宋体" w:cs="仿宋_GB2312"/>
          <w:b/>
          <w:bCs/>
          <w:color w:val="FF0000"/>
          <w:sz w:val="36"/>
          <w:szCs w:val="36"/>
        </w:rPr>
        <w:t>关于投资建设兆瓦级智能超充网络</w:t>
      </w:r>
    </w:p>
    <w:p w14:paraId="475B5FCF">
      <w:pPr>
        <w:adjustRightInd w:val="0"/>
        <w:snapToGrid w:val="0"/>
        <w:spacing w:before="156" w:beforeLines="50" w:line="560" w:lineRule="exact"/>
        <w:jc w:val="center"/>
        <w:rPr>
          <w:rFonts w:hint="eastAsia" w:ascii="宋体" w:hAnsi="宋体" w:cs="仿宋_GB2312"/>
          <w:b/>
          <w:bCs/>
          <w:color w:val="FF0000"/>
          <w:sz w:val="36"/>
          <w:szCs w:val="36"/>
        </w:rPr>
      </w:pPr>
      <w:r>
        <w:rPr>
          <w:rFonts w:hint="eastAsia" w:ascii="宋体" w:hAnsi="宋体" w:cs="仿宋_GB2312"/>
          <w:b/>
          <w:bCs/>
          <w:color w:val="FF0000"/>
          <w:sz w:val="36"/>
          <w:szCs w:val="36"/>
        </w:rPr>
        <w:t>建设项目的公告</w:t>
      </w:r>
    </w:p>
    <w:p w14:paraId="17775694">
      <w:pPr>
        <w:adjustRightInd w:val="0"/>
        <w:snapToGrid w:val="0"/>
        <w:spacing w:before="156" w:beforeLines="50" w:line="560" w:lineRule="exact"/>
        <w:jc w:val="center"/>
        <w:rPr>
          <w:rFonts w:hint="eastAsia" w:ascii="仿宋_GB2312" w:hAnsi="仿宋_GB2312" w:eastAsia="仿宋_GB2312" w:cs="仿宋_GB2312"/>
          <w:b/>
          <w:bCs/>
          <w:color w:val="FF0000"/>
          <w:sz w:val="30"/>
          <w:szCs w:val="30"/>
        </w:rPr>
      </w:pPr>
    </w:p>
    <w:p w14:paraId="58411F17">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本公司董事会及全体董事保证本公告内容不存在任何虚假记载、误导性陈述或者重大遗漏，并对其内容的真实性、准确性和完整性承担法律责任。</w:t>
      </w:r>
    </w:p>
    <w:p w14:paraId="55529F74">
      <w:pPr>
        <w:autoSpaceDE w:val="0"/>
        <w:autoSpaceDN w:val="0"/>
        <w:adjustRightInd w:val="0"/>
        <w:snapToGrid w:val="0"/>
        <w:spacing w:line="560" w:lineRule="exact"/>
        <w:rPr>
          <w:rFonts w:hint="eastAsia" w:ascii="仿宋" w:hAnsi="仿宋" w:eastAsia="仿宋_GB2312"/>
          <w:color w:val="000000"/>
          <w:sz w:val="30"/>
          <w:szCs w:val="30"/>
        </w:rPr>
      </w:pPr>
    </w:p>
    <w:p w14:paraId="5DBC06C5">
      <w:pPr>
        <w:adjustRightInd w:val="0"/>
        <w:snapToGrid w:val="0"/>
        <w:spacing w:line="560" w:lineRule="exact"/>
        <w:ind w:firstLine="482" w:firstLineChars="200"/>
        <w:rPr>
          <w:rFonts w:hint="eastAsia" w:ascii="宋体" w:hAnsi="宋体"/>
          <w:b/>
          <w:sz w:val="24"/>
          <w:szCs w:val="24"/>
        </w:rPr>
      </w:pPr>
      <w:r>
        <w:rPr>
          <w:rFonts w:hint="eastAsia" w:ascii="宋体" w:hAnsi="宋体"/>
          <w:b/>
          <w:sz w:val="24"/>
          <w:szCs w:val="24"/>
        </w:rPr>
        <w:t>重要内容提示：</w:t>
      </w:r>
    </w:p>
    <w:p w14:paraId="115CA769">
      <w:pPr>
        <w:numPr>
          <w:ilvl w:val="0"/>
          <w:numId w:val="1"/>
        </w:numPr>
        <w:autoSpaceDE w:val="0"/>
        <w:autoSpaceDN w:val="0"/>
        <w:adjustRightInd w:val="0"/>
        <w:snapToGrid w:val="0"/>
        <w:spacing w:line="560" w:lineRule="exact"/>
        <w:jc w:val="left"/>
        <w:rPr>
          <w:rFonts w:hint="eastAsia" w:hAnsi="宋体"/>
          <w:b/>
          <w:bCs/>
        </w:rPr>
      </w:pPr>
      <w:r>
        <w:rPr>
          <w:rFonts w:hint="eastAsia" w:ascii="宋体" w:hAnsi="宋体" w:cs="宋体"/>
          <w:color w:val="000000"/>
          <w:kern w:val="0"/>
          <w:sz w:val="24"/>
          <w:szCs w:val="24"/>
        </w:rPr>
        <w:t>投资标的名称：兆瓦级智能超充网络建设项目。</w:t>
      </w:r>
    </w:p>
    <w:p w14:paraId="2A8F1394">
      <w:pPr>
        <w:numPr>
          <w:ilvl w:val="0"/>
          <w:numId w:val="1"/>
        </w:numPr>
        <w:autoSpaceDE w:val="0"/>
        <w:autoSpaceDN w:val="0"/>
        <w:adjustRightInd w:val="0"/>
        <w:snapToGrid w:val="0"/>
        <w:spacing w:line="560" w:lineRule="exact"/>
        <w:jc w:val="left"/>
        <w:rPr>
          <w:rFonts w:hint="eastAsia" w:hAnsi="宋体"/>
          <w:bCs/>
          <w:sz w:val="24"/>
          <w:szCs w:val="24"/>
        </w:rPr>
      </w:pPr>
      <w:r>
        <w:rPr>
          <w:rFonts w:hint="eastAsia" w:hAnsi="宋体"/>
          <w:bCs/>
          <w:sz w:val="24"/>
          <w:szCs w:val="24"/>
        </w:rPr>
        <w:t>投资金额：预估项目总投资额不超过54,150.00万元（本次投资金额仅为公司在目前条件下结合市场环境初步预估的金额，将根据项目进度分期投入，实际投资存在不确定性，不代表公司对未来业绩的预测，亦不构成对投资者的承诺）。</w:t>
      </w:r>
    </w:p>
    <w:p w14:paraId="4DEEE397">
      <w:pPr>
        <w:numPr>
          <w:ilvl w:val="0"/>
          <w:numId w:val="1"/>
        </w:numPr>
        <w:autoSpaceDE w:val="0"/>
        <w:autoSpaceDN w:val="0"/>
        <w:adjustRightInd w:val="0"/>
        <w:snapToGrid w:val="0"/>
        <w:spacing w:line="560" w:lineRule="exact"/>
        <w:jc w:val="left"/>
        <w:rPr>
          <w:rFonts w:hint="eastAsia" w:ascii="宋体" w:hAnsi="宋体"/>
          <w:bCs/>
          <w:sz w:val="24"/>
          <w:szCs w:val="24"/>
        </w:rPr>
      </w:pPr>
      <w:r>
        <w:rPr>
          <w:rFonts w:hint="eastAsia" w:hAnsi="宋体"/>
          <w:bCs/>
          <w:sz w:val="24"/>
          <w:szCs w:val="24"/>
        </w:rPr>
        <w:t>相关风险提示：</w:t>
      </w:r>
    </w:p>
    <w:p w14:paraId="26CC85A6">
      <w:pPr>
        <w:pStyle w:val="20"/>
        <w:autoSpaceDE w:val="0"/>
        <w:autoSpaceDN w:val="0"/>
        <w:adjustRightInd w:val="0"/>
        <w:snapToGrid w:val="0"/>
        <w:spacing w:line="560" w:lineRule="exact"/>
        <w:ind w:left="422" w:firstLine="480"/>
        <w:jc w:val="left"/>
        <w:rPr>
          <w:rFonts w:hint="eastAsia" w:ascii="宋体" w:hAnsi="宋体"/>
          <w:bCs/>
          <w:sz w:val="24"/>
          <w:szCs w:val="24"/>
        </w:rPr>
      </w:pPr>
      <w:r>
        <w:rPr>
          <w:rFonts w:hint="eastAsia" w:ascii="宋体" w:hAnsi="宋体"/>
          <w:bCs/>
          <w:sz w:val="24"/>
          <w:szCs w:val="24"/>
        </w:rPr>
        <w:t>1、行业监管政策变化的风险。近年来，国家为了促进超充站行业的发展，出台了一系列政策保障和扶持政策，但是行业监管政策存在着变化的潜在风险。</w:t>
      </w:r>
    </w:p>
    <w:p w14:paraId="0F2FEED3">
      <w:pPr>
        <w:pStyle w:val="20"/>
        <w:autoSpaceDE w:val="0"/>
        <w:autoSpaceDN w:val="0"/>
        <w:adjustRightInd w:val="0"/>
        <w:snapToGrid w:val="0"/>
        <w:spacing w:line="560" w:lineRule="exact"/>
        <w:ind w:left="422" w:firstLine="480"/>
        <w:jc w:val="left"/>
        <w:rPr>
          <w:rFonts w:hint="eastAsia" w:ascii="宋体" w:hAnsi="宋体"/>
          <w:bCs/>
          <w:sz w:val="24"/>
          <w:szCs w:val="24"/>
        </w:rPr>
      </w:pPr>
      <w:r>
        <w:rPr>
          <w:rFonts w:hint="eastAsia" w:ascii="宋体" w:hAnsi="宋体"/>
          <w:bCs/>
          <w:sz w:val="24"/>
          <w:szCs w:val="24"/>
        </w:rPr>
        <w:t>2、项目运营风险。项目建设及运营过程中，可能会存在电力安全管理风险、电网接入容量不足、审批周期长及扩容成本高、充电桩利用率不达预期的风险等。</w:t>
      </w:r>
    </w:p>
    <w:p w14:paraId="00AB4994">
      <w:pPr>
        <w:pStyle w:val="20"/>
        <w:autoSpaceDE w:val="0"/>
        <w:autoSpaceDN w:val="0"/>
        <w:adjustRightInd w:val="0"/>
        <w:snapToGrid w:val="0"/>
        <w:spacing w:line="560" w:lineRule="exact"/>
        <w:ind w:left="422" w:firstLine="480"/>
        <w:jc w:val="left"/>
        <w:rPr>
          <w:rFonts w:hint="eastAsia" w:ascii="宋体" w:hAnsi="宋体"/>
          <w:bCs/>
          <w:sz w:val="24"/>
          <w:szCs w:val="24"/>
        </w:rPr>
      </w:pPr>
      <w:r>
        <w:rPr>
          <w:rFonts w:hint="eastAsia" w:ascii="宋体" w:hAnsi="宋体"/>
          <w:bCs/>
          <w:sz w:val="24"/>
          <w:szCs w:val="24"/>
        </w:rPr>
        <w:t>3、市场竞争风险。当前换电与充电两种模式主要为相互补充关系，随着技术发展，若换电站未来市场占有率不断提升，公司将面临市场竞争加剧的风险。此外，在充电模式中，公司也面临与其他超充网络建设运营企业竞争的风险。</w:t>
      </w:r>
    </w:p>
    <w:p w14:paraId="4632675E">
      <w:pPr>
        <w:pStyle w:val="20"/>
        <w:autoSpaceDE w:val="0"/>
        <w:autoSpaceDN w:val="0"/>
        <w:adjustRightInd w:val="0"/>
        <w:snapToGrid w:val="0"/>
        <w:spacing w:line="560" w:lineRule="exact"/>
        <w:ind w:left="422" w:firstLine="480"/>
        <w:jc w:val="left"/>
        <w:rPr>
          <w:rFonts w:hint="eastAsia" w:ascii="宋体" w:hAnsi="宋体"/>
          <w:bCs/>
          <w:sz w:val="24"/>
          <w:szCs w:val="24"/>
        </w:rPr>
      </w:pPr>
      <w:r>
        <w:rPr>
          <w:rFonts w:hint="eastAsia" w:ascii="宋体" w:hAnsi="宋体"/>
          <w:bCs/>
          <w:sz w:val="24"/>
          <w:szCs w:val="24"/>
        </w:rPr>
        <w:t>4、技术更新迭代风险。近年来，超充技术持续向高压化和智能化方向发展，未来随着新技术的更新迭代，公司若不能及时更新相关设备及技术路线，充电站充电效率可能不能满足市场需要。</w:t>
      </w:r>
    </w:p>
    <w:p w14:paraId="2C623DF2">
      <w:pPr>
        <w:pStyle w:val="20"/>
        <w:autoSpaceDE w:val="0"/>
        <w:autoSpaceDN w:val="0"/>
        <w:adjustRightInd w:val="0"/>
        <w:snapToGrid w:val="0"/>
        <w:spacing w:line="560" w:lineRule="exact"/>
        <w:ind w:left="422" w:firstLine="480"/>
        <w:jc w:val="left"/>
        <w:rPr>
          <w:rFonts w:hint="eastAsia" w:ascii="宋体" w:hAnsi="宋体"/>
          <w:bCs/>
          <w:sz w:val="24"/>
          <w:szCs w:val="24"/>
        </w:rPr>
      </w:pPr>
      <w:r>
        <w:rPr>
          <w:rFonts w:hint="eastAsia" w:ascii="宋体" w:hAnsi="宋体"/>
          <w:bCs/>
          <w:sz w:val="24"/>
          <w:szCs w:val="24"/>
        </w:rPr>
        <w:t>5、资金风险。本项目计划总投资金额较大，项目投资资金来源为公司自有资金和项目贷款，虽然公司信用良好，但仍存在一定资金筹措不及时的风险，影响项目投资进度，进而可能会导致项目建设进度不达预期。</w:t>
      </w:r>
    </w:p>
    <w:p w14:paraId="2919E556">
      <w:pPr>
        <w:pStyle w:val="20"/>
        <w:autoSpaceDE w:val="0"/>
        <w:autoSpaceDN w:val="0"/>
        <w:adjustRightInd w:val="0"/>
        <w:snapToGrid w:val="0"/>
        <w:spacing w:line="560" w:lineRule="exact"/>
        <w:ind w:left="422" w:firstLine="480"/>
        <w:jc w:val="left"/>
        <w:rPr>
          <w:rFonts w:hint="eastAsia" w:ascii="宋体" w:hAnsi="宋体"/>
          <w:bCs/>
          <w:sz w:val="24"/>
          <w:szCs w:val="24"/>
        </w:rPr>
      </w:pPr>
    </w:p>
    <w:p w14:paraId="617FCCF6">
      <w:pPr>
        <w:pStyle w:val="20"/>
        <w:numPr>
          <w:ilvl w:val="0"/>
          <w:numId w:val="2"/>
        </w:numPr>
        <w:autoSpaceDE w:val="0"/>
        <w:autoSpaceDN w:val="0"/>
        <w:adjustRightInd w:val="0"/>
        <w:snapToGrid w:val="0"/>
        <w:spacing w:line="560" w:lineRule="exact"/>
        <w:ind w:firstLineChars="0"/>
        <w:jc w:val="left"/>
        <w:rPr>
          <w:rFonts w:hint="eastAsia" w:ascii="宋体" w:hAnsi="宋体"/>
          <w:b/>
          <w:bCs/>
          <w:sz w:val="24"/>
          <w:szCs w:val="24"/>
        </w:rPr>
      </w:pPr>
      <w:r>
        <w:rPr>
          <w:rFonts w:hint="eastAsia" w:ascii="宋体" w:hAnsi="宋体"/>
          <w:b/>
          <w:bCs/>
          <w:sz w:val="24"/>
          <w:szCs w:val="24"/>
        </w:rPr>
        <w:t>对外投资概述</w:t>
      </w:r>
    </w:p>
    <w:p w14:paraId="7EE6E676">
      <w:pPr>
        <w:autoSpaceDE w:val="0"/>
        <w:autoSpaceDN w:val="0"/>
        <w:adjustRightInd w:val="0"/>
        <w:snapToGrid w:val="0"/>
        <w:spacing w:line="560" w:lineRule="exact"/>
        <w:ind w:firstLine="480" w:firstLineChars="200"/>
        <w:rPr>
          <w:rFonts w:hint="eastAsia" w:ascii="宋体" w:hAnsi="宋体"/>
          <w:bCs/>
          <w:sz w:val="24"/>
          <w:szCs w:val="24"/>
        </w:rPr>
      </w:pPr>
      <w:r>
        <w:rPr>
          <w:rFonts w:hint="eastAsia" w:ascii="宋体" w:hAnsi="宋体"/>
          <w:bCs/>
          <w:sz w:val="24"/>
          <w:szCs w:val="24"/>
        </w:rPr>
        <w:t>（一）对外投资的基本情况</w:t>
      </w:r>
    </w:p>
    <w:p w14:paraId="7B2428B0">
      <w:pPr>
        <w:autoSpaceDE w:val="0"/>
        <w:autoSpaceDN w:val="0"/>
        <w:adjustRightInd w:val="0"/>
        <w:snapToGrid w:val="0"/>
        <w:spacing w:line="560" w:lineRule="exact"/>
        <w:ind w:firstLine="480" w:firstLineChars="200"/>
        <w:rPr>
          <w:rFonts w:hint="eastAsia" w:ascii="宋体" w:hAnsi="宋体"/>
          <w:bCs/>
          <w:sz w:val="24"/>
          <w:szCs w:val="24"/>
        </w:rPr>
      </w:pPr>
      <w:r>
        <w:rPr>
          <w:rFonts w:hint="eastAsia" w:ascii="宋体" w:hAnsi="宋体"/>
          <w:bCs/>
          <w:sz w:val="24"/>
          <w:szCs w:val="24"/>
        </w:rPr>
        <w:t>为积极响应国家“双碳”战略，拓展公司在新能源充电基础设施领域的业务布局，公司拟通过全资子公司望来充（重庆）科技有限责任公司（以下简称“望来充”）及其控制企业投资建设兆瓦级智能超充网络建设项目，在云南、重庆等地建设电动重卡超充站，服务于新能源重卡充电市场。项目总投资额预计不超过54,150.00万元，将根据项目进度分期投入（前述投资金额仅为公司在目前条件下结合市场环境初步预估的金额，实际投资存在不确定性，不代表公司对未来业绩的预测，亦不构成对投资者的承诺）。</w:t>
      </w:r>
    </w:p>
    <w:p w14:paraId="3539D077">
      <w:pPr>
        <w:autoSpaceDE w:val="0"/>
        <w:autoSpaceDN w:val="0"/>
        <w:adjustRightInd w:val="0"/>
        <w:snapToGrid w:val="0"/>
        <w:spacing w:line="560" w:lineRule="exact"/>
        <w:ind w:firstLine="480" w:firstLineChars="200"/>
        <w:rPr>
          <w:rFonts w:hint="eastAsia" w:ascii="宋体" w:hAnsi="宋体"/>
          <w:bCs/>
          <w:sz w:val="24"/>
          <w:szCs w:val="24"/>
        </w:rPr>
      </w:pPr>
      <w:r>
        <w:rPr>
          <w:rFonts w:hint="eastAsia" w:ascii="宋体" w:hAnsi="宋体"/>
          <w:bCs/>
          <w:sz w:val="24"/>
          <w:szCs w:val="24"/>
        </w:rPr>
        <w:t>（二）董事会审议情况</w:t>
      </w:r>
    </w:p>
    <w:p w14:paraId="05FF27B2">
      <w:pPr>
        <w:autoSpaceDE w:val="0"/>
        <w:autoSpaceDN w:val="0"/>
        <w:adjustRightInd w:val="0"/>
        <w:snapToGrid w:val="0"/>
        <w:spacing w:line="560" w:lineRule="exact"/>
        <w:ind w:firstLine="480" w:firstLineChars="200"/>
        <w:rPr>
          <w:rFonts w:hint="eastAsia" w:ascii="宋体" w:hAnsi="宋体"/>
          <w:bCs/>
          <w:sz w:val="24"/>
          <w:szCs w:val="24"/>
        </w:rPr>
      </w:pPr>
      <w:r>
        <w:rPr>
          <w:rFonts w:hint="eastAsia" w:ascii="宋体" w:hAnsi="宋体"/>
          <w:bCs/>
          <w:sz w:val="24"/>
          <w:szCs w:val="24"/>
        </w:rPr>
        <w:t>公司第四届董事会战略发展委员会第四次会议及公司第四届董事会第十三次会议审议通过《关于投资新建兆瓦级智能超充网络建设项目的议案》，同意本项目投资总金额不超过54,150.00万元，由公司全资子公司望来充及其控制企业实施。为保证本项目顺利进行，董事会授权公司经营管理层在前述投资额度范围内全面负责本项目具体实施工作，包括但不限于确定项目具体实施区域、单个站点的建设规模及对应项目公司的设立、投资、办理项目建设相关审批手续、负责项目所需设备、原料等的采购以及签署项目相关文件及协议等。</w:t>
      </w:r>
    </w:p>
    <w:p w14:paraId="28A28F90">
      <w:pPr>
        <w:autoSpaceDE w:val="0"/>
        <w:autoSpaceDN w:val="0"/>
        <w:adjustRightInd w:val="0"/>
        <w:snapToGrid w:val="0"/>
        <w:spacing w:line="560" w:lineRule="exact"/>
        <w:ind w:firstLine="480" w:firstLineChars="200"/>
        <w:rPr>
          <w:rFonts w:hint="eastAsia" w:ascii="宋体" w:hAnsi="宋体"/>
          <w:bCs/>
          <w:sz w:val="24"/>
          <w:szCs w:val="24"/>
        </w:rPr>
      </w:pPr>
      <w:r>
        <w:rPr>
          <w:rFonts w:hint="eastAsia" w:ascii="宋体" w:hAnsi="宋体"/>
          <w:bCs/>
          <w:sz w:val="24"/>
          <w:szCs w:val="24"/>
        </w:rPr>
        <w:t>该议案无需提交公司股东会审议。</w:t>
      </w:r>
    </w:p>
    <w:p w14:paraId="7F6A4E1E">
      <w:pPr>
        <w:autoSpaceDE w:val="0"/>
        <w:autoSpaceDN w:val="0"/>
        <w:adjustRightInd w:val="0"/>
        <w:snapToGrid w:val="0"/>
        <w:spacing w:line="560" w:lineRule="exact"/>
        <w:ind w:firstLine="480" w:firstLineChars="200"/>
        <w:rPr>
          <w:rFonts w:hint="eastAsia" w:ascii="宋体" w:hAnsi="宋体"/>
          <w:bCs/>
          <w:sz w:val="24"/>
          <w:szCs w:val="24"/>
        </w:rPr>
      </w:pPr>
      <w:r>
        <w:rPr>
          <w:rFonts w:hint="eastAsia" w:ascii="宋体" w:hAnsi="宋体" w:cs="宋体"/>
          <w:sz w:val="24"/>
          <w:szCs w:val="24"/>
        </w:rPr>
        <w:t>（三）</w:t>
      </w:r>
      <w:r>
        <w:rPr>
          <w:rFonts w:ascii="宋体" w:hAnsi="宋体" w:cs="宋体"/>
          <w:sz w:val="24"/>
          <w:szCs w:val="24"/>
        </w:rPr>
        <w:t>本次对外投资事项不构成关联交易，不属于《上市公司重大资产重组管理办法》规定的重大资产重组事项。本次对外投资事项的资金来源不属于上市公司的募集资金。</w:t>
      </w:r>
    </w:p>
    <w:p w14:paraId="2C43C7B1">
      <w:pPr>
        <w:pStyle w:val="20"/>
        <w:numPr>
          <w:ilvl w:val="0"/>
          <w:numId w:val="2"/>
        </w:numPr>
        <w:autoSpaceDE w:val="0"/>
        <w:autoSpaceDN w:val="0"/>
        <w:adjustRightInd w:val="0"/>
        <w:snapToGrid w:val="0"/>
        <w:spacing w:line="560" w:lineRule="exact"/>
        <w:ind w:firstLineChars="0"/>
        <w:jc w:val="left"/>
        <w:rPr>
          <w:rFonts w:hint="eastAsia" w:ascii="宋体" w:hAnsi="宋体"/>
          <w:b/>
          <w:bCs/>
          <w:sz w:val="24"/>
          <w:szCs w:val="24"/>
        </w:rPr>
      </w:pPr>
      <w:r>
        <w:rPr>
          <w:rFonts w:hint="eastAsia" w:ascii="宋体" w:hAnsi="宋体"/>
          <w:b/>
          <w:bCs/>
          <w:sz w:val="24"/>
          <w:szCs w:val="24"/>
        </w:rPr>
        <w:t>投资标的基本情况</w:t>
      </w:r>
    </w:p>
    <w:p w14:paraId="3F508F44">
      <w:pPr>
        <w:pStyle w:val="20"/>
        <w:numPr>
          <w:ilvl w:val="0"/>
          <w:numId w:val="3"/>
        </w:numPr>
        <w:autoSpaceDE w:val="0"/>
        <w:autoSpaceDN w:val="0"/>
        <w:adjustRightInd w:val="0"/>
        <w:snapToGrid w:val="0"/>
        <w:spacing w:line="560" w:lineRule="exact"/>
        <w:ind w:left="0" w:firstLine="480"/>
        <w:rPr>
          <w:rFonts w:hint="eastAsia" w:ascii="宋体" w:hAnsi="宋体"/>
          <w:bCs/>
          <w:sz w:val="24"/>
          <w:szCs w:val="24"/>
        </w:rPr>
      </w:pPr>
      <w:r>
        <w:rPr>
          <w:rFonts w:hint="eastAsia" w:ascii="宋体" w:hAnsi="宋体"/>
          <w:bCs/>
          <w:sz w:val="24"/>
          <w:szCs w:val="24"/>
        </w:rPr>
        <w:t>项目名称</w:t>
      </w:r>
    </w:p>
    <w:p w14:paraId="109505DD">
      <w:pPr>
        <w:autoSpaceDE w:val="0"/>
        <w:autoSpaceDN w:val="0"/>
        <w:adjustRightInd w:val="0"/>
        <w:snapToGrid w:val="0"/>
        <w:spacing w:line="560" w:lineRule="exact"/>
        <w:ind w:firstLine="480" w:firstLineChars="200"/>
        <w:rPr>
          <w:rFonts w:hint="eastAsia" w:ascii="宋体" w:hAnsi="宋体"/>
          <w:bCs/>
          <w:sz w:val="24"/>
          <w:szCs w:val="24"/>
        </w:rPr>
      </w:pPr>
      <w:r>
        <w:rPr>
          <w:rFonts w:hint="eastAsia" w:ascii="宋体" w:hAnsi="宋体"/>
          <w:bCs/>
          <w:sz w:val="24"/>
          <w:szCs w:val="24"/>
        </w:rPr>
        <w:t>兆瓦级智能超充网络建设项目</w:t>
      </w:r>
    </w:p>
    <w:p w14:paraId="400EA0D0">
      <w:pPr>
        <w:pStyle w:val="20"/>
        <w:numPr>
          <w:ilvl w:val="0"/>
          <w:numId w:val="3"/>
        </w:numPr>
        <w:autoSpaceDE w:val="0"/>
        <w:autoSpaceDN w:val="0"/>
        <w:adjustRightInd w:val="0"/>
        <w:snapToGrid w:val="0"/>
        <w:spacing w:line="560" w:lineRule="exact"/>
        <w:ind w:left="0" w:firstLine="480"/>
        <w:rPr>
          <w:rFonts w:hint="eastAsia" w:ascii="宋体" w:hAnsi="宋体"/>
          <w:bCs/>
          <w:sz w:val="24"/>
          <w:szCs w:val="24"/>
        </w:rPr>
      </w:pPr>
      <w:r>
        <w:rPr>
          <w:rFonts w:hint="eastAsia" w:ascii="宋体" w:hAnsi="宋体"/>
          <w:bCs/>
          <w:sz w:val="24"/>
          <w:szCs w:val="24"/>
        </w:rPr>
        <w:t>项目实施主体</w:t>
      </w:r>
    </w:p>
    <w:p w14:paraId="0C3C27E1">
      <w:pPr>
        <w:autoSpaceDE w:val="0"/>
        <w:autoSpaceDN w:val="0"/>
        <w:adjustRightInd w:val="0"/>
        <w:snapToGrid w:val="0"/>
        <w:spacing w:line="560" w:lineRule="exact"/>
        <w:ind w:firstLine="480" w:firstLineChars="200"/>
        <w:rPr>
          <w:rFonts w:hint="eastAsia" w:ascii="宋体" w:hAnsi="宋体"/>
          <w:bCs/>
          <w:sz w:val="24"/>
          <w:szCs w:val="24"/>
        </w:rPr>
      </w:pPr>
      <w:r>
        <w:rPr>
          <w:rFonts w:hint="eastAsia" w:ascii="宋体" w:hAnsi="宋体"/>
          <w:bCs/>
          <w:sz w:val="24"/>
          <w:szCs w:val="24"/>
        </w:rPr>
        <w:t>本项目由公司全资子公司望来充及其控制企业实施。截至本公告披露日，本公司持有望来充100%股权，望来充将通过其自身或根据本项目超充站点的选址直接或间接设立、投资全资或控股子公司，负责当地具体超充站点的建设及运营。</w:t>
      </w:r>
    </w:p>
    <w:p w14:paraId="7AD28DD2">
      <w:pPr>
        <w:pStyle w:val="20"/>
        <w:numPr>
          <w:ilvl w:val="0"/>
          <w:numId w:val="3"/>
        </w:numPr>
        <w:autoSpaceDE w:val="0"/>
        <w:autoSpaceDN w:val="0"/>
        <w:adjustRightInd w:val="0"/>
        <w:snapToGrid w:val="0"/>
        <w:spacing w:line="560" w:lineRule="exact"/>
        <w:ind w:left="0" w:firstLine="480"/>
        <w:rPr>
          <w:rFonts w:hint="eastAsia" w:ascii="宋体" w:hAnsi="宋体"/>
          <w:bCs/>
          <w:sz w:val="24"/>
          <w:szCs w:val="24"/>
        </w:rPr>
      </w:pPr>
      <w:r>
        <w:rPr>
          <w:rFonts w:hint="eastAsia" w:ascii="宋体" w:hAnsi="宋体"/>
          <w:bCs/>
          <w:sz w:val="24"/>
          <w:szCs w:val="24"/>
        </w:rPr>
        <w:t>项目地区及建设内容</w:t>
      </w:r>
    </w:p>
    <w:p w14:paraId="7A979C22">
      <w:pPr>
        <w:autoSpaceDE w:val="0"/>
        <w:autoSpaceDN w:val="0"/>
        <w:adjustRightInd w:val="0"/>
        <w:snapToGrid w:val="0"/>
        <w:spacing w:line="560" w:lineRule="exact"/>
        <w:ind w:firstLine="480" w:firstLineChars="200"/>
        <w:rPr>
          <w:rFonts w:hint="eastAsia" w:ascii="宋体" w:hAnsi="宋体"/>
          <w:bCs/>
          <w:sz w:val="24"/>
          <w:szCs w:val="24"/>
        </w:rPr>
      </w:pPr>
      <w:r>
        <w:rPr>
          <w:rFonts w:hint="eastAsia" w:ascii="宋体" w:hAnsi="宋体"/>
          <w:bCs/>
          <w:sz w:val="24"/>
          <w:szCs w:val="24"/>
        </w:rPr>
        <w:t>公司拟通过本次项目建设，开拓电动重卡超充网业务线，在云南、重庆及国内其他地区等建设近100座超充站，满足当地的超充站市场需求，同时与国内标杆物流企业深入合作，为公司创造新的盈利增长点。前述站点建设数量仅为公司在目前条件下结合市场环境进行的初步预估，实际建设将根据项目进度分期建设，存在不确定性，不代表公司对未来业绩的预测，亦不构成对投资者的承诺。</w:t>
      </w:r>
    </w:p>
    <w:p w14:paraId="254DC574">
      <w:pPr>
        <w:pStyle w:val="20"/>
        <w:numPr>
          <w:ilvl w:val="0"/>
          <w:numId w:val="3"/>
        </w:numPr>
        <w:autoSpaceDE w:val="0"/>
        <w:autoSpaceDN w:val="0"/>
        <w:adjustRightInd w:val="0"/>
        <w:snapToGrid w:val="0"/>
        <w:spacing w:line="560" w:lineRule="exact"/>
        <w:ind w:left="0" w:firstLine="480"/>
        <w:rPr>
          <w:rFonts w:hint="eastAsia" w:ascii="宋体" w:hAnsi="宋体"/>
          <w:bCs/>
          <w:sz w:val="24"/>
          <w:szCs w:val="24"/>
        </w:rPr>
      </w:pPr>
      <w:r>
        <w:rPr>
          <w:rFonts w:hint="eastAsia" w:ascii="宋体" w:hAnsi="宋体"/>
          <w:bCs/>
          <w:sz w:val="24"/>
          <w:szCs w:val="24"/>
        </w:rPr>
        <w:t>项目投资概算及资金来源</w:t>
      </w:r>
    </w:p>
    <w:p w14:paraId="339CCBC8">
      <w:pPr>
        <w:autoSpaceDE w:val="0"/>
        <w:autoSpaceDN w:val="0"/>
        <w:adjustRightInd w:val="0"/>
        <w:snapToGrid w:val="0"/>
        <w:spacing w:line="560" w:lineRule="exact"/>
        <w:ind w:firstLine="480" w:firstLineChars="200"/>
        <w:rPr>
          <w:rFonts w:hint="eastAsia" w:ascii="宋体" w:hAnsi="宋体"/>
          <w:bCs/>
          <w:sz w:val="24"/>
          <w:szCs w:val="24"/>
        </w:rPr>
      </w:pPr>
      <w:r>
        <w:rPr>
          <w:rFonts w:hint="eastAsia" w:ascii="宋体" w:hAnsi="宋体"/>
          <w:bCs/>
          <w:sz w:val="24"/>
          <w:szCs w:val="24"/>
        </w:rPr>
        <w:t>本项目预计总投资金额54,150.00万元，项目投资资金来源为公司自有资金和项目贷款。项目资金将主要用于土建工程投资、场地租赁、电网接入扩容、充电设备投入、项目预备费等。</w:t>
      </w:r>
    </w:p>
    <w:p w14:paraId="21428CED">
      <w:pPr>
        <w:autoSpaceDE w:val="0"/>
        <w:autoSpaceDN w:val="0"/>
        <w:adjustRightInd w:val="0"/>
        <w:snapToGrid w:val="0"/>
        <w:spacing w:line="560" w:lineRule="exact"/>
        <w:ind w:firstLine="480" w:firstLineChars="200"/>
        <w:rPr>
          <w:rFonts w:hint="eastAsia" w:ascii="宋体" w:hAnsi="宋体"/>
          <w:bCs/>
          <w:sz w:val="24"/>
          <w:szCs w:val="24"/>
        </w:rPr>
      </w:pPr>
      <w:r>
        <w:rPr>
          <w:rFonts w:hint="eastAsia" w:ascii="宋体" w:hAnsi="宋体"/>
          <w:bCs/>
          <w:sz w:val="24"/>
          <w:szCs w:val="24"/>
        </w:rPr>
        <w:t>前述投资金额为公司在目前条件下结合市场环境初步预估的金额，实际投资存在不确定性，不代表公司对未来业绩的预测，亦不构成对投资者的承诺。</w:t>
      </w:r>
    </w:p>
    <w:p w14:paraId="11252EB3">
      <w:pPr>
        <w:pStyle w:val="20"/>
        <w:numPr>
          <w:ilvl w:val="0"/>
          <w:numId w:val="3"/>
        </w:numPr>
        <w:autoSpaceDE w:val="0"/>
        <w:autoSpaceDN w:val="0"/>
        <w:adjustRightInd w:val="0"/>
        <w:snapToGrid w:val="0"/>
        <w:spacing w:line="560" w:lineRule="exact"/>
        <w:ind w:left="0" w:firstLine="480"/>
        <w:rPr>
          <w:rFonts w:hint="eastAsia" w:ascii="宋体" w:hAnsi="宋体"/>
          <w:bCs/>
          <w:sz w:val="24"/>
          <w:szCs w:val="24"/>
        </w:rPr>
      </w:pPr>
      <w:r>
        <w:rPr>
          <w:rFonts w:hint="eastAsia" w:ascii="宋体" w:hAnsi="宋体"/>
          <w:bCs/>
          <w:sz w:val="24"/>
          <w:szCs w:val="24"/>
        </w:rPr>
        <w:t>项目实施进度及建设周期</w:t>
      </w:r>
    </w:p>
    <w:p w14:paraId="5A7D5142">
      <w:pPr>
        <w:autoSpaceDE w:val="0"/>
        <w:autoSpaceDN w:val="0"/>
        <w:adjustRightInd w:val="0"/>
        <w:snapToGrid w:val="0"/>
        <w:spacing w:line="560" w:lineRule="exact"/>
        <w:ind w:firstLine="480" w:firstLineChars="200"/>
        <w:rPr>
          <w:rFonts w:hint="eastAsia" w:ascii="宋体" w:hAnsi="宋体"/>
          <w:bCs/>
          <w:sz w:val="24"/>
          <w:szCs w:val="24"/>
        </w:rPr>
      </w:pPr>
      <w:r>
        <w:rPr>
          <w:rFonts w:hint="eastAsia" w:ascii="宋体" w:hAnsi="宋体"/>
          <w:bCs/>
          <w:sz w:val="24"/>
          <w:szCs w:val="24"/>
        </w:rPr>
        <w:t>本项目单个站点的建设周期预计在项目实施主体获得土地使用权后3-6个月内建设完成，多个站点将同步建设，各期间工作安排可交叉进行。项目实施过程中可能存在市场及政策变化、政府手续办理进度不及预期、设备及物料等地未能及时到位等情况，最终建设周期以实际为准。</w:t>
      </w:r>
    </w:p>
    <w:p w14:paraId="6DC9FA49">
      <w:pPr>
        <w:pStyle w:val="20"/>
        <w:numPr>
          <w:ilvl w:val="0"/>
          <w:numId w:val="3"/>
        </w:numPr>
        <w:autoSpaceDE w:val="0"/>
        <w:autoSpaceDN w:val="0"/>
        <w:adjustRightInd w:val="0"/>
        <w:snapToGrid w:val="0"/>
        <w:spacing w:line="560" w:lineRule="exact"/>
        <w:ind w:left="0" w:firstLine="480"/>
        <w:rPr>
          <w:rFonts w:hint="eastAsia" w:ascii="宋体" w:hAnsi="宋体"/>
          <w:bCs/>
          <w:sz w:val="24"/>
          <w:szCs w:val="24"/>
        </w:rPr>
      </w:pPr>
      <w:r>
        <w:rPr>
          <w:rFonts w:hint="eastAsia" w:ascii="宋体" w:hAnsi="宋体"/>
          <w:bCs/>
          <w:sz w:val="24"/>
          <w:szCs w:val="24"/>
        </w:rPr>
        <w:t>项目可行性分析</w:t>
      </w:r>
    </w:p>
    <w:p w14:paraId="7893A439">
      <w:pPr>
        <w:autoSpaceDE w:val="0"/>
        <w:autoSpaceDN w:val="0"/>
        <w:adjustRightInd w:val="0"/>
        <w:snapToGrid w:val="0"/>
        <w:spacing w:line="560" w:lineRule="exact"/>
        <w:ind w:firstLine="480" w:firstLineChars="200"/>
        <w:rPr>
          <w:rFonts w:hint="eastAsia" w:ascii="宋体" w:hAnsi="宋体"/>
          <w:bCs/>
          <w:sz w:val="24"/>
          <w:szCs w:val="24"/>
        </w:rPr>
      </w:pPr>
      <w:r>
        <w:rPr>
          <w:rFonts w:hint="eastAsia" w:ascii="宋体" w:hAnsi="宋体"/>
          <w:bCs/>
          <w:sz w:val="24"/>
          <w:szCs w:val="24"/>
        </w:rPr>
        <w:t>1、国家政策支持为本次项目建设奠定良好基础</w:t>
      </w:r>
    </w:p>
    <w:p w14:paraId="53101983">
      <w:pPr>
        <w:spacing w:before="120" w:after="120" w:line="560" w:lineRule="exact"/>
        <w:ind w:firstLine="482"/>
        <w:rPr>
          <w:sz w:val="24"/>
          <w:szCs w:val="24"/>
        </w:rPr>
      </w:pPr>
      <w:r>
        <w:rPr>
          <w:bCs/>
          <w:sz w:val="24"/>
          <w:szCs w:val="24"/>
        </w:rPr>
        <w:t>为加快推动绿色</w:t>
      </w:r>
      <w:r>
        <w:rPr>
          <w:rFonts w:hint="eastAsia"/>
          <w:bCs/>
          <w:sz w:val="24"/>
          <w:szCs w:val="24"/>
        </w:rPr>
        <w:t>能源</w:t>
      </w:r>
      <w:r>
        <w:rPr>
          <w:bCs/>
          <w:sz w:val="24"/>
          <w:szCs w:val="24"/>
        </w:rPr>
        <w:t>低碳转型，深入贯彻落实国家关于构建新型电力系统的重要指示，</w:t>
      </w:r>
      <w:r>
        <w:rPr>
          <w:rFonts w:hint="eastAsia"/>
          <w:bCs/>
          <w:sz w:val="24"/>
          <w:szCs w:val="24"/>
        </w:rPr>
        <w:t>近年来，政府</w:t>
      </w:r>
      <w:r>
        <w:rPr>
          <w:bCs/>
          <w:sz w:val="24"/>
          <w:szCs w:val="24"/>
        </w:rPr>
        <w:t>发布了</w:t>
      </w:r>
      <w:r>
        <w:rPr>
          <w:rFonts w:hint="eastAsia"/>
          <w:bCs/>
          <w:sz w:val="24"/>
          <w:szCs w:val="24"/>
        </w:rPr>
        <w:t>诸如《关于加快经济社会发展全面绿色转型的意见》《能源重点领域大规模设备更新实施方案》《加快构建新型电力系统行动方案(2024-2027年)》《交通运输大规模设备更新行动方案》等</w:t>
      </w:r>
      <w:r>
        <w:rPr>
          <w:bCs/>
          <w:sz w:val="24"/>
          <w:szCs w:val="24"/>
        </w:rPr>
        <w:t>一系列的政策法规</w:t>
      </w:r>
      <w:r>
        <w:rPr>
          <w:rFonts w:hint="eastAsia"/>
          <w:bCs/>
          <w:sz w:val="24"/>
          <w:szCs w:val="24"/>
        </w:rPr>
        <w:t>鼓励电动汽车充电桩产业的快速发展，云南、重庆等地方政府亦有相关配套的鼓励措施</w:t>
      </w:r>
      <w:r>
        <w:rPr>
          <w:bCs/>
          <w:sz w:val="24"/>
          <w:szCs w:val="24"/>
        </w:rPr>
        <w:t>。</w:t>
      </w:r>
      <w:r>
        <w:rPr>
          <w:rFonts w:hint="eastAsia"/>
          <w:bCs/>
          <w:sz w:val="24"/>
          <w:szCs w:val="24"/>
        </w:rPr>
        <w:t>多项利好鼓励政策的相继出台为本次项目建设创造了良好的外部环境</w:t>
      </w:r>
      <w:r>
        <w:rPr>
          <w:rFonts w:hint="eastAsia"/>
          <w:color w:val="000000"/>
          <w:sz w:val="24"/>
          <w:szCs w:val="24"/>
        </w:rPr>
        <w:t>。</w:t>
      </w:r>
    </w:p>
    <w:p w14:paraId="2BAFABB4">
      <w:pPr>
        <w:pStyle w:val="2"/>
        <w:spacing w:before="120" w:after="120" w:line="560" w:lineRule="exact"/>
        <w:rPr>
          <w:rFonts w:hint="eastAsia" w:ascii="宋体" w:hAnsi="宋体" w:cs="宋体"/>
          <w:b w:val="0"/>
          <w:bCs w:val="0"/>
          <w:sz w:val="24"/>
        </w:rPr>
      </w:pPr>
      <w:r>
        <w:rPr>
          <w:rFonts w:hint="eastAsia" w:ascii="宋体" w:hAnsi="宋体" w:cs="宋体"/>
          <w:b w:val="0"/>
          <w:bCs w:val="0"/>
          <w:sz w:val="24"/>
        </w:rPr>
        <w:t>2、重卡迈向全面电动时代，新能源重卡从区域物流拓展至跨区域物流的广泛应用为本次项目提供良好条件</w:t>
      </w:r>
    </w:p>
    <w:p w14:paraId="0D5AEE90">
      <w:pPr>
        <w:spacing w:before="120" w:after="120" w:line="560" w:lineRule="exact"/>
        <w:ind w:firstLine="480"/>
        <w:rPr>
          <w:rFonts w:hint="eastAsia" w:ascii="宋体" w:hAnsi="宋体" w:cs="宋体"/>
          <w:sz w:val="24"/>
          <w:szCs w:val="24"/>
        </w:rPr>
      </w:pPr>
      <w:r>
        <w:rPr>
          <w:rFonts w:hint="eastAsia" w:ascii="宋体" w:hAnsi="宋体" w:cs="宋体"/>
          <w:sz w:val="24"/>
          <w:szCs w:val="24"/>
        </w:rPr>
        <w:t>在国家政策鼓励以及超充站技术快速发展的背景下，近年来新能源重卡应用场景持续拓展。从物流行业分类看，主要包括跨区域物流及区域物流，其中跨区域物流主要应用场景为干线货运、支线货运等城际间、跨区域、长里程的物资运输。区域物流主要应用场景为从事城建、矿区、钢厂、港口、环卫等区域性、高频次、短里程的专用型物资运输。新能源重卡因行驶里程短、装载能力有限故目前主要应用于区域物流（专用物流）场景。但随着快充技术的不断突破，加速重卡迈向全面电动化时代，新能源汽车充电时间持续减少，有效突破和扭转了新能源重卡不适用跨区域物流的局面。使得重卡电动化从封闭场景走向全场景，实现物流行业大规模降本减碳，开启全电物流新时代。2024年6月，交通运输部等十三部门联合发布的《交通运输大规模设备更新行动方案》锚定发展路径，其中，明确了新能源物流车三大核心发展方向：1)场景拓展：推动新能源营运货车在城市物流配送港口集疏运、干线物流等场景应用；2)路权开放：鼓励有条件的地方，因地制宜研究出台新能源营运货车的通行路权政策，破除新能源货车通行限制，优先保障城市配送、未端运输需求；3)基建配套：科学布局、适度超前建设公路沿线新能源车辆配套基础设施，加快充电站等设施建设，以支撑车辆规模化运营。未来随着电动重卡应用场景持续拓展，相关充电站市场需求将持续增长。</w:t>
      </w:r>
    </w:p>
    <w:p w14:paraId="747EB971">
      <w:pPr>
        <w:spacing w:before="120" w:after="120" w:line="560" w:lineRule="exact"/>
        <w:ind w:firstLine="480"/>
        <w:rPr>
          <w:rFonts w:hint="eastAsia" w:ascii="宋体" w:hAnsi="宋体" w:cs="宋体"/>
          <w:sz w:val="24"/>
          <w:szCs w:val="24"/>
        </w:rPr>
      </w:pPr>
      <w:r>
        <w:rPr>
          <w:rFonts w:hint="eastAsia" w:ascii="宋体" w:hAnsi="宋体" w:cs="宋体"/>
          <w:sz w:val="24"/>
          <w:szCs w:val="24"/>
        </w:rPr>
        <w:t>因此，重卡迈向全面电动时代，新能源重卡从区域物流拓展至跨区域物流的广泛应用为本次项目提供良好条件。</w:t>
      </w:r>
    </w:p>
    <w:p w14:paraId="2C38982F">
      <w:pPr>
        <w:pStyle w:val="2"/>
        <w:spacing w:before="120" w:after="120" w:line="560" w:lineRule="exact"/>
        <w:rPr>
          <w:rFonts w:hint="eastAsia" w:ascii="宋体" w:hAnsi="宋体" w:cs="宋体"/>
          <w:b w:val="0"/>
          <w:bCs w:val="0"/>
          <w:sz w:val="24"/>
        </w:rPr>
      </w:pPr>
      <w:r>
        <w:rPr>
          <w:rFonts w:hint="eastAsia" w:ascii="宋体" w:hAnsi="宋体" w:cs="宋体"/>
          <w:b w:val="0"/>
          <w:bCs w:val="0"/>
          <w:sz w:val="24"/>
        </w:rPr>
        <w:t>3、新能源重卡销量快速增长，保障本项目充电站的充分利用</w:t>
      </w:r>
    </w:p>
    <w:p w14:paraId="1232FBCC">
      <w:pPr>
        <w:spacing w:before="120" w:after="120" w:line="560" w:lineRule="exact"/>
        <w:ind w:firstLine="480"/>
        <w:rPr>
          <w:rFonts w:hint="eastAsia" w:ascii="宋体" w:hAnsi="宋体" w:cs="宋体"/>
          <w:bCs/>
          <w:sz w:val="24"/>
          <w:szCs w:val="24"/>
        </w:rPr>
      </w:pPr>
      <w:r>
        <w:rPr>
          <w:rFonts w:hint="eastAsia" w:ascii="宋体" w:hAnsi="宋体" w:cs="宋体"/>
          <w:bCs/>
          <w:sz w:val="24"/>
          <w:szCs w:val="24"/>
        </w:rPr>
        <w:t>在“双碳”战略、技术迭代降本增效，叠加政策红利与场景商业化验证的驱动下，传统车企依托研发积累与场景适配能力抢占市场，新能源重卡销量持续增长，活跃在钢铁、港口、煤电厂、矿山、市政工程建设等短倒运输领域，为当地的绿色交通、零碳运输助力。随着运营成本（电费、维保）优势与环保价值持续凸显，物流、工程等行业主动替换新能源车型的意愿增强，市场内生增长动力显著提升。</w:t>
      </w:r>
    </w:p>
    <w:p w14:paraId="1B522EEE">
      <w:pPr>
        <w:pStyle w:val="2"/>
        <w:spacing w:before="120" w:after="120" w:line="560" w:lineRule="exact"/>
        <w:rPr>
          <w:rFonts w:hint="eastAsia" w:ascii="宋体" w:hAnsi="宋体"/>
          <w:b w:val="0"/>
          <w:sz w:val="24"/>
        </w:rPr>
      </w:pPr>
      <w:r>
        <w:rPr>
          <w:rFonts w:hint="eastAsia" w:ascii="宋体" w:hAnsi="宋体" w:cs="宋体"/>
          <w:b w:val="0"/>
          <w:bCs w:val="0"/>
          <w:sz w:val="24"/>
        </w:rPr>
        <w:t>4</w:t>
      </w:r>
      <w:r>
        <w:rPr>
          <w:rFonts w:hint="eastAsia" w:ascii="宋体" w:hAnsi="宋体"/>
          <w:b w:val="0"/>
          <w:sz w:val="24"/>
        </w:rPr>
        <w:t>、公司目前财务状况良好，为实施本次项目奠定了良好的财务基础</w:t>
      </w:r>
    </w:p>
    <w:p w14:paraId="1D3D36A5">
      <w:pPr>
        <w:spacing w:before="120" w:after="120" w:line="560" w:lineRule="exact"/>
        <w:ind w:firstLine="480"/>
        <w:rPr>
          <w:rFonts w:hint="eastAsia" w:ascii="宋体" w:hAnsi="宋体"/>
          <w:color w:val="0000FF"/>
          <w:sz w:val="24"/>
        </w:rPr>
      </w:pPr>
      <w:r>
        <w:rPr>
          <w:rFonts w:hint="eastAsia" w:ascii="宋体" w:hAnsi="宋体" w:cs="宋体"/>
          <w:sz w:val="24"/>
          <w:szCs w:val="24"/>
        </w:rPr>
        <w:t>近年来公司经营业绩保持良好发展态势，收入与资产规模持续增加，其中营业收入从2022年25.26亿元增长至33.52亿元，复合增长率达15.</w:t>
      </w:r>
      <w:r>
        <w:rPr>
          <w:rFonts w:hint="eastAsia" w:ascii="宋体" w:hAnsi="宋体" w:cs="宋体"/>
          <w:sz w:val="24"/>
          <w:szCs w:val="24"/>
          <w:lang w:val="en-US" w:eastAsia="zh-CN"/>
        </w:rPr>
        <w:t>20</w:t>
      </w:r>
      <w:r>
        <w:rPr>
          <w:rFonts w:hint="eastAsia" w:ascii="宋体" w:hAnsi="宋体" w:cs="宋体"/>
          <w:sz w:val="24"/>
          <w:szCs w:val="24"/>
        </w:rPr>
        <w:t>%；资产规模从35.07亿元增长至65.32亿元，复合增长率达36.48%；近三年</w:t>
      </w:r>
      <w:r>
        <w:rPr>
          <w:rFonts w:hint="eastAsia" w:ascii="宋体" w:hAnsi="宋体" w:cs="宋体"/>
          <w:kern w:val="0"/>
          <w:sz w:val="24"/>
          <w:szCs w:val="24"/>
          <w:lang w:bidi="ar"/>
        </w:rPr>
        <w:t>经营活动现金流量净额平均值1.72</w:t>
      </w:r>
      <w:r>
        <w:rPr>
          <w:rFonts w:hint="eastAsia" w:ascii="宋体" w:hAnsi="宋体" w:cs="宋体"/>
          <w:kern w:val="2"/>
          <w:sz w:val="24"/>
          <w:szCs w:val="24"/>
          <w:lang w:bidi="ar"/>
        </w:rPr>
        <w:t>亿</w:t>
      </w:r>
      <w:r>
        <w:rPr>
          <w:rFonts w:hint="eastAsia" w:ascii="宋体" w:hAnsi="宋体" w:cs="宋体"/>
          <w:sz w:val="24"/>
          <w:szCs w:val="24"/>
        </w:rPr>
        <w:t>。</w:t>
      </w:r>
      <w:r>
        <w:rPr>
          <w:rFonts w:hint="eastAsia" w:ascii="宋体" w:hAnsi="宋体" w:cs="宋体"/>
          <w:sz w:val="24"/>
          <w:szCs w:val="24"/>
        </w:rPr>
        <w:t>截止2025年6月30日，公司货币资金余额12.33亿，可使用融资授信总额52.08亿元，剩余可使用授</w:t>
      </w:r>
      <w:bookmarkStart w:id="0" w:name="_GoBack"/>
      <w:bookmarkEnd w:id="0"/>
      <w:r>
        <w:rPr>
          <w:rFonts w:hint="eastAsia" w:ascii="宋体" w:hAnsi="宋体" w:cs="宋体"/>
          <w:sz w:val="24"/>
          <w:szCs w:val="24"/>
        </w:rPr>
        <w:t>信额度27.57亿元且有13.4亿元可以置换他行贷款</w:t>
      </w:r>
      <w:r>
        <w:rPr>
          <w:rFonts w:hint="eastAsia" w:ascii="宋体" w:hAnsi="宋体" w:cs="宋体"/>
          <w:kern w:val="2"/>
          <w:sz w:val="24"/>
          <w:szCs w:val="24"/>
          <w:lang w:bidi="ar"/>
        </w:rPr>
        <w:t>，随着公司在建项目逐步全面交付，公司产能逐步释放，公司可持续增长能力逐步提升，公司经营性净现金流获取能力也将逐步提升。</w:t>
      </w:r>
      <w:r>
        <w:rPr>
          <w:rFonts w:hint="eastAsia" w:ascii="宋体" w:hAnsi="宋体" w:cs="宋体"/>
          <w:sz w:val="24"/>
          <w:szCs w:val="24"/>
        </w:rPr>
        <w:t>公司目前良好的财务状况将为大力推进电动汽车充电战略提供资金保障</w:t>
      </w:r>
      <w:r>
        <w:rPr>
          <w:rFonts w:hint="eastAsia" w:ascii="宋体" w:hAnsi="宋体"/>
          <w:sz w:val="24"/>
        </w:rPr>
        <w:t>。</w:t>
      </w:r>
    </w:p>
    <w:p w14:paraId="4C85BFBA">
      <w:pPr>
        <w:pStyle w:val="20"/>
        <w:numPr>
          <w:ilvl w:val="0"/>
          <w:numId w:val="3"/>
        </w:numPr>
        <w:autoSpaceDE w:val="0"/>
        <w:autoSpaceDN w:val="0"/>
        <w:adjustRightInd w:val="0"/>
        <w:snapToGrid w:val="0"/>
        <w:spacing w:line="560" w:lineRule="exact"/>
        <w:ind w:left="0" w:firstLine="480"/>
        <w:rPr>
          <w:rFonts w:hint="eastAsia" w:ascii="宋体" w:hAnsi="宋体"/>
          <w:bCs/>
          <w:sz w:val="24"/>
          <w:szCs w:val="24"/>
        </w:rPr>
      </w:pPr>
      <w:r>
        <w:rPr>
          <w:rFonts w:hint="eastAsia" w:ascii="宋体" w:hAnsi="宋体"/>
          <w:bCs/>
          <w:sz w:val="24"/>
          <w:szCs w:val="24"/>
        </w:rPr>
        <w:t>需要履行的主要审批程序</w:t>
      </w:r>
    </w:p>
    <w:p w14:paraId="4219313D">
      <w:pPr>
        <w:autoSpaceDE w:val="0"/>
        <w:autoSpaceDN w:val="0"/>
        <w:adjustRightInd w:val="0"/>
        <w:snapToGrid w:val="0"/>
        <w:spacing w:line="560" w:lineRule="exact"/>
        <w:ind w:firstLine="480" w:firstLineChars="200"/>
        <w:rPr>
          <w:rFonts w:hint="eastAsia" w:ascii="宋体" w:hAnsi="宋体"/>
          <w:bCs/>
          <w:sz w:val="24"/>
          <w:szCs w:val="24"/>
        </w:rPr>
      </w:pPr>
      <w:r>
        <w:rPr>
          <w:rFonts w:hint="eastAsia" w:ascii="宋体" w:hAnsi="宋体"/>
          <w:bCs/>
          <w:sz w:val="24"/>
          <w:szCs w:val="24"/>
        </w:rPr>
        <w:t>本项目实施过程中，单个超充站点的建设需要</w:t>
      </w:r>
      <w:r>
        <w:rPr>
          <w:rFonts w:ascii="宋体" w:hAnsi="宋体"/>
          <w:bCs/>
          <w:sz w:val="24"/>
          <w:szCs w:val="24"/>
        </w:rPr>
        <w:t>根据项目实施进度适时办理取得</w:t>
      </w:r>
      <w:r>
        <w:rPr>
          <w:rFonts w:hint="eastAsia" w:ascii="宋体" w:hAnsi="宋体"/>
          <w:bCs/>
          <w:sz w:val="24"/>
          <w:szCs w:val="24"/>
        </w:rPr>
        <w:t>投资立项、土地、电力扩容、</w:t>
      </w:r>
      <w:r>
        <w:rPr>
          <w:rFonts w:ascii="宋体" w:hAnsi="宋体"/>
          <w:bCs/>
          <w:sz w:val="24"/>
          <w:szCs w:val="24"/>
        </w:rPr>
        <w:t>建设、施工等相关手续</w:t>
      </w:r>
      <w:r>
        <w:rPr>
          <w:rFonts w:hint="eastAsia" w:ascii="宋体" w:hAnsi="宋体"/>
          <w:bCs/>
          <w:sz w:val="24"/>
          <w:szCs w:val="24"/>
        </w:rPr>
        <w:t>，能否最终取得相关政府机关或有权部门的备案或审批存在不确定性</w:t>
      </w:r>
      <w:r>
        <w:rPr>
          <w:rFonts w:ascii="宋体" w:hAnsi="宋体"/>
          <w:bCs/>
          <w:sz w:val="24"/>
          <w:szCs w:val="24"/>
        </w:rPr>
        <w:t>。</w:t>
      </w:r>
    </w:p>
    <w:p w14:paraId="5B82D5DD">
      <w:pPr>
        <w:pStyle w:val="20"/>
        <w:autoSpaceDE w:val="0"/>
        <w:autoSpaceDN w:val="0"/>
        <w:adjustRightInd w:val="0"/>
        <w:snapToGrid w:val="0"/>
        <w:spacing w:line="560" w:lineRule="exact"/>
        <w:ind w:firstLine="0" w:firstLineChars="0"/>
        <w:jc w:val="left"/>
        <w:rPr>
          <w:rFonts w:hint="eastAsia" w:hAnsi="宋体"/>
          <w:b/>
          <w:bCs/>
          <w:sz w:val="24"/>
          <w:szCs w:val="24"/>
        </w:rPr>
      </w:pPr>
      <w:r>
        <w:rPr>
          <w:rFonts w:hint="eastAsia" w:hAnsi="宋体"/>
          <w:b/>
          <w:bCs/>
          <w:sz w:val="24"/>
          <w:szCs w:val="24"/>
        </w:rPr>
        <w:t>三、对外投资对公司的影响</w:t>
      </w:r>
    </w:p>
    <w:p w14:paraId="45535DEB">
      <w:pPr>
        <w:autoSpaceDE w:val="0"/>
        <w:autoSpaceDN w:val="0"/>
        <w:adjustRightInd w:val="0"/>
        <w:snapToGrid w:val="0"/>
        <w:spacing w:line="560" w:lineRule="exact"/>
        <w:ind w:firstLine="480" w:firstLineChars="200"/>
        <w:jc w:val="left"/>
        <w:rPr>
          <w:rFonts w:hint="eastAsia" w:hAnsi="宋体"/>
          <w:bCs/>
          <w:sz w:val="24"/>
          <w:szCs w:val="24"/>
        </w:rPr>
      </w:pPr>
      <w:r>
        <w:rPr>
          <w:rFonts w:hint="eastAsia" w:hAnsi="宋体"/>
          <w:bCs/>
          <w:sz w:val="24"/>
          <w:szCs w:val="24"/>
        </w:rPr>
        <w:t>本次投资是公司提升产业链协同发展能力、加快发展新质生产力、延链补链强链重要举措，有助于加强公司产业链竞争力和价值创造能力，进一步增强公司高质量发展，符合国家产业政策及公司战略规划，符合公司及股东的整体利益。</w:t>
      </w:r>
    </w:p>
    <w:p w14:paraId="7D8C9FFF">
      <w:pPr>
        <w:autoSpaceDE w:val="0"/>
        <w:autoSpaceDN w:val="0"/>
        <w:adjustRightInd w:val="0"/>
        <w:snapToGrid w:val="0"/>
        <w:spacing w:line="560" w:lineRule="exact"/>
        <w:ind w:firstLine="480" w:firstLineChars="200"/>
        <w:jc w:val="left"/>
        <w:rPr>
          <w:rFonts w:hint="eastAsia" w:hAnsi="宋体"/>
          <w:bCs/>
          <w:sz w:val="24"/>
          <w:szCs w:val="24"/>
        </w:rPr>
      </w:pPr>
      <w:r>
        <w:rPr>
          <w:rFonts w:hint="eastAsia" w:hAnsi="宋体"/>
          <w:bCs/>
          <w:sz w:val="24"/>
          <w:szCs w:val="24"/>
        </w:rPr>
        <w:t>公司目前财务状况稳定且良好，本次投资由公司全资子公司望来充及其控制企业投资建设，对公司财务状况、经营成果和现金流量不会产生重大不利影响。本项目顺利实施后，如能达到预期效益，将为公司带来稳定的充电服务收入，进一步提升公司在新能源基础设施领域的市场地位、竞争力和盈利能力。</w:t>
      </w:r>
    </w:p>
    <w:p w14:paraId="16E30634">
      <w:pPr>
        <w:autoSpaceDE w:val="0"/>
        <w:autoSpaceDN w:val="0"/>
        <w:adjustRightInd w:val="0"/>
        <w:snapToGrid w:val="0"/>
        <w:spacing w:line="560" w:lineRule="exact"/>
        <w:jc w:val="left"/>
        <w:rPr>
          <w:rFonts w:hint="eastAsia" w:hAnsi="宋体"/>
          <w:b/>
          <w:bCs/>
          <w:sz w:val="24"/>
          <w:szCs w:val="24"/>
        </w:rPr>
      </w:pPr>
      <w:r>
        <w:rPr>
          <w:rFonts w:hint="eastAsia" w:hAnsi="宋体"/>
          <w:b/>
          <w:bCs/>
          <w:sz w:val="24"/>
          <w:szCs w:val="24"/>
        </w:rPr>
        <w:t>四、对外投资的风险分析</w:t>
      </w:r>
    </w:p>
    <w:p w14:paraId="1E71C971">
      <w:pPr>
        <w:autoSpaceDE w:val="0"/>
        <w:autoSpaceDN w:val="0"/>
        <w:adjustRightInd w:val="0"/>
        <w:snapToGrid w:val="0"/>
        <w:spacing w:line="560" w:lineRule="exact"/>
        <w:ind w:firstLine="480" w:firstLineChars="200"/>
        <w:rPr>
          <w:rFonts w:hint="eastAsia" w:ascii="宋体" w:hAnsi="宋体"/>
          <w:bCs/>
          <w:sz w:val="24"/>
          <w:szCs w:val="24"/>
        </w:rPr>
      </w:pPr>
      <w:r>
        <w:rPr>
          <w:rFonts w:hint="eastAsia" w:ascii="宋体" w:hAnsi="宋体"/>
          <w:bCs/>
          <w:sz w:val="24"/>
          <w:szCs w:val="24"/>
        </w:rPr>
        <w:t>（一）行业监管政策变化的风险</w:t>
      </w:r>
    </w:p>
    <w:p w14:paraId="0E49B1A5">
      <w:pPr>
        <w:autoSpaceDE w:val="0"/>
        <w:autoSpaceDN w:val="0"/>
        <w:adjustRightInd w:val="0"/>
        <w:snapToGrid w:val="0"/>
        <w:spacing w:line="560" w:lineRule="exact"/>
        <w:ind w:firstLine="480" w:firstLineChars="200"/>
        <w:rPr>
          <w:rFonts w:hint="eastAsia" w:ascii="宋体" w:hAnsi="宋体"/>
          <w:bCs/>
          <w:sz w:val="24"/>
          <w:szCs w:val="24"/>
        </w:rPr>
      </w:pPr>
      <w:r>
        <w:rPr>
          <w:rFonts w:hint="eastAsia" w:ascii="宋体" w:hAnsi="宋体"/>
          <w:bCs/>
          <w:sz w:val="24"/>
          <w:szCs w:val="24"/>
        </w:rPr>
        <w:t>近年来，国家为了促进超充站行业的发展，出台了一系列的法规和政策，从投融资体制、税收、人才吸引与培养、知识产权保护、行业组织与管理等多方面为公司所在行业提供了政策保障和扶持，但是行业监管政策存在着变化的潜在风险。</w:t>
      </w:r>
    </w:p>
    <w:p w14:paraId="3C30C642">
      <w:pPr>
        <w:autoSpaceDE w:val="0"/>
        <w:autoSpaceDN w:val="0"/>
        <w:adjustRightInd w:val="0"/>
        <w:snapToGrid w:val="0"/>
        <w:spacing w:line="560" w:lineRule="exact"/>
        <w:ind w:firstLine="480" w:firstLineChars="200"/>
        <w:rPr>
          <w:rFonts w:hint="eastAsia" w:ascii="宋体" w:hAnsi="宋体"/>
          <w:bCs/>
          <w:sz w:val="24"/>
          <w:szCs w:val="24"/>
        </w:rPr>
      </w:pPr>
      <w:r>
        <w:rPr>
          <w:rFonts w:hint="eastAsia" w:ascii="宋体" w:hAnsi="宋体"/>
          <w:bCs/>
          <w:sz w:val="24"/>
          <w:szCs w:val="24"/>
        </w:rPr>
        <w:t>公司将密切关注政策变化情况，提高管理层的应变能力。根据国家政策的变动，对业务发展做必要的调整，以避免或减少因政策变动对公司产生的不利影响。</w:t>
      </w:r>
    </w:p>
    <w:p w14:paraId="3632981C">
      <w:pPr>
        <w:autoSpaceDE w:val="0"/>
        <w:autoSpaceDN w:val="0"/>
        <w:adjustRightInd w:val="0"/>
        <w:snapToGrid w:val="0"/>
        <w:spacing w:line="560" w:lineRule="exact"/>
        <w:ind w:firstLine="480" w:firstLineChars="200"/>
        <w:rPr>
          <w:rFonts w:hint="eastAsia" w:ascii="宋体" w:hAnsi="宋体"/>
          <w:bCs/>
          <w:sz w:val="24"/>
          <w:szCs w:val="24"/>
        </w:rPr>
      </w:pPr>
      <w:r>
        <w:rPr>
          <w:rFonts w:hint="eastAsia" w:ascii="宋体" w:hAnsi="宋体"/>
          <w:bCs/>
          <w:sz w:val="24"/>
          <w:szCs w:val="24"/>
        </w:rPr>
        <w:t>（二）电力安全管理风险</w:t>
      </w:r>
    </w:p>
    <w:p w14:paraId="4E02449C">
      <w:pPr>
        <w:autoSpaceDE w:val="0"/>
        <w:autoSpaceDN w:val="0"/>
        <w:adjustRightInd w:val="0"/>
        <w:snapToGrid w:val="0"/>
        <w:spacing w:line="560" w:lineRule="exact"/>
        <w:ind w:firstLine="480" w:firstLineChars="200"/>
        <w:rPr>
          <w:rFonts w:hint="eastAsia" w:ascii="宋体" w:hAnsi="宋体"/>
          <w:bCs/>
          <w:sz w:val="24"/>
          <w:szCs w:val="24"/>
        </w:rPr>
      </w:pPr>
      <w:r>
        <w:rPr>
          <w:rFonts w:hint="eastAsia" w:ascii="宋体" w:hAnsi="宋体"/>
          <w:bCs/>
          <w:sz w:val="24"/>
          <w:szCs w:val="24"/>
        </w:rPr>
        <w:t>2024年11月27日，国家能源局发布《关于加强电力安全治理以高水平安全保障新型电力系统高质量发展的意见》指出，电力企业和各类并网主体依法承担电力安全主体责任，按照谁投资、谁负责，谁运营、谁负责的原则，履行电力安全风险管控责任，保障自身设备安全可靠运行。充电桩在长期使用过程中，电线可能会因老化、磨损等原因导致绝缘层破损，从而引发短路。一旦短路发生，会瞬间产生强大的电流可能会烧坏充电桩内部的元件，甚至引发火灾。</w:t>
      </w:r>
    </w:p>
    <w:p w14:paraId="480EF7BA">
      <w:pPr>
        <w:autoSpaceDE w:val="0"/>
        <w:autoSpaceDN w:val="0"/>
        <w:adjustRightInd w:val="0"/>
        <w:snapToGrid w:val="0"/>
        <w:spacing w:line="560" w:lineRule="exact"/>
        <w:ind w:firstLine="480" w:firstLineChars="200"/>
        <w:rPr>
          <w:rFonts w:hint="eastAsia" w:ascii="宋体" w:hAnsi="宋体"/>
          <w:bCs/>
          <w:sz w:val="24"/>
          <w:szCs w:val="24"/>
        </w:rPr>
      </w:pPr>
      <w:r>
        <w:rPr>
          <w:rFonts w:hint="eastAsia" w:ascii="宋体" w:hAnsi="宋体"/>
          <w:bCs/>
          <w:sz w:val="24"/>
          <w:szCs w:val="24"/>
        </w:rPr>
        <w:t>公司将遵循“安全第一、预防为主、综合治理”的原则，建立健全安全管理制度，定期对充电桩进行检查和维护，确保充电桩安全运行，设立安全管理人员，负责日常安全管理，对充电桩进行定期检查，及时发现并处理安全隐患，同时定期组织安全培训，提高员工的安全意识和操作技能。</w:t>
      </w:r>
    </w:p>
    <w:p w14:paraId="0142795C">
      <w:pPr>
        <w:autoSpaceDE w:val="0"/>
        <w:autoSpaceDN w:val="0"/>
        <w:adjustRightInd w:val="0"/>
        <w:snapToGrid w:val="0"/>
        <w:spacing w:line="560" w:lineRule="exact"/>
        <w:ind w:firstLine="480" w:firstLineChars="200"/>
        <w:rPr>
          <w:rFonts w:hint="eastAsia" w:ascii="宋体" w:hAnsi="宋体"/>
          <w:bCs/>
          <w:sz w:val="24"/>
          <w:szCs w:val="24"/>
        </w:rPr>
      </w:pPr>
      <w:r>
        <w:rPr>
          <w:rFonts w:hint="eastAsia" w:ascii="宋体" w:hAnsi="宋体"/>
          <w:bCs/>
          <w:sz w:val="24"/>
          <w:szCs w:val="24"/>
        </w:rPr>
        <w:t>（三）市场竞争风险</w:t>
      </w:r>
    </w:p>
    <w:p w14:paraId="6E366947">
      <w:pPr>
        <w:autoSpaceDE w:val="0"/>
        <w:autoSpaceDN w:val="0"/>
        <w:adjustRightInd w:val="0"/>
        <w:snapToGrid w:val="0"/>
        <w:spacing w:line="560" w:lineRule="exact"/>
        <w:ind w:firstLine="480" w:firstLineChars="200"/>
        <w:rPr>
          <w:rFonts w:hint="eastAsia" w:ascii="宋体" w:hAnsi="宋体"/>
          <w:bCs/>
          <w:sz w:val="24"/>
          <w:szCs w:val="24"/>
        </w:rPr>
      </w:pPr>
      <w:r>
        <w:rPr>
          <w:rFonts w:hint="eastAsia" w:ascii="宋体" w:hAnsi="宋体"/>
          <w:bCs/>
          <w:sz w:val="24"/>
          <w:szCs w:val="24"/>
        </w:rPr>
        <w:t>当前换电与充电两种模式主要为相互补充关系，换电模式补能速度快、能够有效缓解充电时间长带来的运营压力，且对用户而言初始购车成本相对低，但换电站现阶段建设成本相对较高，且多数换电站仍以适配特定品牌车型为主。超充模式则不局限于特定品牌的车型，且得益于兆瓦级超充技术的发展，充电效率大幅提升，因此，在干线物流、港口货运等区域性、高频次的新能源汽车补能场景中，超充模式则兼具站点建设成本及补能效率的优势。但随着技术快速发展，若换电站出现新技术能够有效降低建设成本，市场占有率不断提升，公司将面临市场竞争加剧的风险。此外，在充电模式中，公司也面临与其他超充网络建设运营企业竞争的风险。</w:t>
      </w:r>
    </w:p>
    <w:p w14:paraId="3871C51A">
      <w:pPr>
        <w:autoSpaceDE w:val="0"/>
        <w:autoSpaceDN w:val="0"/>
        <w:adjustRightInd w:val="0"/>
        <w:snapToGrid w:val="0"/>
        <w:spacing w:line="560" w:lineRule="exact"/>
        <w:ind w:firstLine="480" w:firstLineChars="200"/>
        <w:rPr>
          <w:rFonts w:hint="eastAsia" w:ascii="宋体" w:hAnsi="宋体"/>
          <w:bCs/>
          <w:sz w:val="24"/>
          <w:szCs w:val="24"/>
        </w:rPr>
      </w:pPr>
      <w:r>
        <w:rPr>
          <w:rFonts w:hint="eastAsia" w:ascii="宋体" w:hAnsi="宋体"/>
          <w:bCs/>
          <w:sz w:val="24"/>
          <w:szCs w:val="24"/>
        </w:rPr>
        <w:t>公司将密切关注行业发展趋势，了解充换电的策略和技术动态，对市场进行全面分析，制定相应的竞争策略，并根据市场变化及时调整发展战略，以适应不断变化的市场环境。</w:t>
      </w:r>
    </w:p>
    <w:p w14:paraId="7FA342A5">
      <w:pPr>
        <w:autoSpaceDE w:val="0"/>
        <w:autoSpaceDN w:val="0"/>
        <w:adjustRightInd w:val="0"/>
        <w:snapToGrid w:val="0"/>
        <w:spacing w:line="560" w:lineRule="exact"/>
        <w:ind w:firstLine="480" w:firstLineChars="200"/>
        <w:rPr>
          <w:rFonts w:hint="eastAsia" w:ascii="宋体" w:hAnsi="宋体"/>
          <w:bCs/>
          <w:sz w:val="24"/>
          <w:szCs w:val="24"/>
        </w:rPr>
      </w:pPr>
      <w:r>
        <w:rPr>
          <w:rFonts w:hint="eastAsia" w:ascii="宋体" w:hAnsi="宋体"/>
          <w:bCs/>
          <w:sz w:val="24"/>
          <w:szCs w:val="24"/>
        </w:rPr>
        <w:t>（四）电网接入不确定性风险</w:t>
      </w:r>
    </w:p>
    <w:p w14:paraId="3540A9BB">
      <w:pPr>
        <w:autoSpaceDE w:val="0"/>
        <w:autoSpaceDN w:val="0"/>
        <w:adjustRightInd w:val="0"/>
        <w:snapToGrid w:val="0"/>
        <w:spacing w:line="560" w:lineRule="exact"/>
        <w:ind w:firstLine="480" w:firstLineChars="200"/>
        <w:rPr>
          <w:rFonts w:hint="eastAsia" w:ascii="宋体" w:hAnsi="宋体"/>
          <w:bCs/>
          <w:sz w:val="24"/>
          <w:szCs w:val="24"/>
        </w:rPr>
      </w:pPr>
      <w:r>
        <w:rPr>
          <w:rFonts w:hint="eastAsia" w:ascii="宋体" w:hAnsi="宋体"/>
          <w:bCs/>
          <w:sz w:val="24"/>
          <w:szCs w:val="24"/>
        </w:rPr>
        <w:t>在重卡超充站建设中，公司前期虽进行多方调研，但若相关政策调整，项目可能会面临电网接入容量不足、审批周期长及扩容成本高等核心风险，导致项目建设不达预期。</w:t>
      </w:r>
    </w:p>
    <w:p w14:paraId="0CBC3318">
      <w:pPr>
        <w:autoSpaceDE w:val="0"/>
        <w:autoSpaceDN w:val="0"/>
        <w:adjustRightInd w:val="0"/>
        <w:snapToGrid w:val="0"/>
        <w:spacing w:line="560" w:lineRule="exact"/>
        <w:ind w:firstLine="480" w:firstLineChars="200"/>
        <w:rPr>
          <w:rFonts w:hint="eastAsia" w:ascii="宋体" w:hAnsi="宋体"/>
          <w:bCs/>
          <w:sz w:val="24"/>
          <w:szCs w:val="24"/>
        </w:rPr>
      </w:pPr>
      <w:r>
        <w:rPr>
          <w:rFonts w:hint="eastAsia" w:ascii="宋体" w:hAnsi="宋体"/>
          <w:bCs/>
          <w:sz w:val="24"/>
          <w:szCs w:val="24"/>
        </w:rPr>
        <w:t>本次项目公司将充分利用与当地物流企业的合作关系，在项目建设前期对电网接入容量、审批周期、扩容成本等进行充分调查测算。同时，公司计划引入项目建设地当地管理人员，密切关注相关政策变化情况，提高应变能力。</w:t>
      </w:r>
    </w:p>
    <w:p w14:paraId="2B00D020">
      <w:pPr>
        <w:autoSpaceDE w:val="0"/>
        <w:autoSpaceDN w:val="0"/>
        <w:adjustRightInd w:val="0"/>
        <w:snapToGrid w:val="0"/>
        <w:spacing w:line="560" w:lineRule="exact"/>
        <w:ind w:firstLine="480" w:firstLineChars="200"/>
        <w:rPr>
          <w:rFonts w:hint="eastAsia" w:ascii="宋体" w:hAnsi="宋体"/>
          <w:bCs/>
          <w:sz w:val="24"/>
          <w:szCs w:val="24"/>
        </w:rPr>
      </w:pPr>
      <w:r>
        <w:rPr>
          <w:rFonts w:hint="eastAsia" w:ascii="宋体" w:hAnsi="宋体"/>
          <w:bCs/>
          <w:sz w:val="24"/>
          <w:szCs w:val="24"/>
        </w:rPr>
        <w:t>（五）充电桩利用率不达预期的风险</w:t>
      </w:r>
    </w:p>
    <w:p w14:paraId="593D1C23">
      <w:pPr>
        <w:autoSpaceDE w:val="0"/>
        <w:autoSpaceDN w:val="0"/>
        <w:adjustRightInd w:val="0"/>
        <w:snapToGrid w:val="0"/>
        <w:spacing w:line="560" w:lineRule="exact"/>
        <w:ind w:firstLine="480" w:firstLineChars="200"/>
        <w:rPr>
          <w:rFonts w:hint="eastAsia" w:ascii="宋体" w:hAnsi="宋体"/>
          <w:bCs/>
          <w:sz w:val="24"/>
          <w:szCs w:val="24"/>
        </w:rPr>
      </w:pPr>
      <w:r>
        <w:rPr>
          <w:rFonts w:hint="eastAsia" w:ascii="宋体" w:hAnsi="宋体"/>
          <w:bCs/>
          <w:sz w:val="24"/>
          <w:szCs w:val="24"/>
        </w:rPr>
        <w:t>近年来，新能源汽车产销率持续攀升，新能源重卡市场占有率亦不断增长，对充电桩等设施等需求量激增。但充电桩等利用率受到地理位置、充电价格、充电速度等多种因素影响，若充电桩利用率不及预期，可能导致项目投资回报周期延长，收益不达预期。</w:t>
      </w:r>
    </w:p>
    <w:p w14:paraId="186D539E">
      <w:pPr>
        <w:autoSpaceDE w:val="0"/>
        <w:autoSpaceDN w:val="0"/>
        <w:adjustRightInd w:val="0"/>
        <w:snapToGrid w:val="0"/>
        <w:spacing w:line="560" w:lineRule="exact"/>
        <w:ind w:firstLine="480" w:firstLineChars="200"/>
        <w:rPr>
          <w:rFonts w:hint="eastAsia" w:ascii="宋体" w:hAnsi="宋体"/>
          <w:bCs/>
          <w:sz w:val="24"/>
          <w:szCs w:val="24"/>
        </w:rPr>
      </w:pPr>
      <w:r>
        <w:rPr>
          <w:rFonts w:hint="eastAsia" w:ascii="宋体" w:hAnsi="宋体"/>
          <w:bCs/>
          <w:sz w:val="24"/>
          <w:szCs w:val="24"/>
        </w:rPr>
        <w:t>公司在项目前期通过对充电站建设地点进行实地调研，谨慎选择项目建设地点，同时在项目建设过程中，公司将与国内物流企业合作，优先布局物流需求量较大的高频场景。</w:t>
      </w:r>
    </w:p>
    <w:p w14:paraId="352D9344">
      <w:pPr>
        <w:autoSpaceDE w:val="0"/>
        <w:autoSpaceDN w:val="0"/>
        <w:adjustRightInd w:val="0"/>
        <w:snapToGrid w:val="0"/>
        <w:spacing w:line="560" w:lineRule="exact"/>
        <w:ind w:firstLine="480" w:firstLineChars="200"/>
        <w:rPr>
          <w:rFonts w:hint="eastAsia" w:ascii="宋体" w:hAnsi="宋体"/>
          <w:bCs/>
          <w:sz w:val="24"/>
          <w:szCs w:val="24"/>
        </w:rPr>
      </w:pPr>
      <w:r>
        <w:rPr>
          <w:rFonts w:hint="eastAsia" w:ascii="宋体" w:hAnsi="宋体"/>
          <w:bCs/>
          <w:sz w:val="24"/>
          <w:szCs w:val="24"/>
        </w:rPr>
        <w:t>（六）资金风险</w:t>
      </w:r>
    </w:p>
    <w:p w14:paraId="30775A64">
      <w:pPr>
        <w:autoSpaceDE w:val="0"/>
        <w:autoSpaceDN w:val="0"/>
        <w:adjustRightInd w:val="0"/>
        <w:snapToGrid w:val="0"/>
        <w:spacing w:line="560" w:lineRule="exact"/>
        <w:ind w:firstLine="480" w:firstLineChars="200"/>
        <w:rPr>
          <w:rFonts w:hint="eastAsia" w:ascii="宋体" w:hAnsi="宋体"/>
          <w:bCs/>
          <w:sz w:val="24"/>
          <w:szCs w:val="24"/>
        </w:rPr>
      </w:pPr>
      <w:r>
        <w:rPr>
          <w:rFonts w:hint="eastAsia" w:ascii="宋体" w:hAnsi="宋体"/>
          <w:bCs/>
          <w:sz w:val="24"/>
          <w:szCs w:val="24"/>
        </w:rPr>
        <w:t>本项目计划总投资金额为54,150.00万元，资金来源为公司自有资金和拟申请的项目贷款，虽然公司信用良好，但仍存在一定资金筹措不及时的风险，影响项目投资进度，进而可能会导致项目建设进度不达预期。同时，因项目投资金额较大，可能对公司流动性造成一定的影响，短期内公司财务费用和偿债风险亦可能会有所增加。</w:t>
      </w:r>
    </w:p>
    <w:p w14:paraId="6DD37B21">
      <w:pPr>
        <w:autoSpaceDE w:val="0"/>
        <w:autoSpaceDN w:val="0"/>
        <w:adjustRightInd w:val="0"/>
        <w:snapToGrid w:val="0"/>
        <w:spacing w:line="560" w:lineRule="exact"/>
        <w:ind w:firstLine="480" w:firstLineChars="200"/>
        <w:rPr>
          <w:rFonts w:hint="eastAsia" w:ascii="宋体" w:hAnsi="宋体"/>
          <w:bCs/>
          <w:sz w:val="24"/>
          <w:szCs w:val="24"/>
        </w:rPr>
      </w:pPr>
      <w:r>
        <w:rPr>
          <w:rFonts w:hint="eastAsia" w:ascii="宋体" w:hAnsi="宋体"/>
          <w:bCs/>
          <w:sz w:val="24"/>
          <w:szCs w:val="24"/>
        </w:rPr>
        <w:t>公司目前财务状况良好，截止2025年6月30日，公司货币资金余额12.33亿，可使用融资授信总额52.08亿元，剩余可使用授信额度27.57亿元且有13.4亿元可以置换他行贷款，公司偿还有息负债资金充分，公司将积极统筹安排资金，合理确定融资方式、结构及期限，结合项目实施进展情况有序、稳步的进行资金筹措，尽快完成项目建设、贡献项目收益。</w:t>
      </w:r>
    </w:p>
    <w:p w14:paraId="652781CB">
      <w:pPr>
        <w:autoSpaceDE w:val="0"/>
        <w:autoSpaceDN w:val="0"/>
        <w:adjustRightInd w:val="0"/>
        <w:snapToGrid w:val="0"/>
        <w:spacing w:line="560" w:lineRule="exact"/>
        <w:ind w:firstLine="480" w:firstLineChars="200"/>
        <w:rPr>
          <w:rFonts w:hint="eastAsia" w:ascii="宋体" w:hAnsi="宋体"/>
          <w:bCs/>
          <w:sz w:val="24"/>
          <w:szCs w:val="24"/>
        </w:rPr>
      </w:pPr>
      <w:r>
        <w:rPr>
          <w:rFonts w:hint="eastAsia" w:ascii="宋体" w:hAnsi="宋体"/>
          <w:bCs/>
          <w:sz w:val="24"/>
          <w:szCs w:val="24"/>
        </w:rPr>
        <w:t>（七）技术更新迭代风险</w:t>
      </w:r>
    </w:p>
    <w:p w14:paraId="37AB3CA9">
      <w:pPr>
        <w:autoSpaceDE w:val="0"/>
        <w:autoSpaceDN w:val="0"/>
        <w:adjustRightInd w:val="0"/>
        <w:snapToGrid w:val="0"/>
        <w:spacing w:line="560" w:lineRule="exact"/>
        <w:ind w:firstLine="480" w:firstLineChars="200"/>
        <w:rPr>
          <w:rFonts w:hint="eastAsia" w:ascii="宋体" w:hAnsi="宋体"/>
          <w:bCs/>
          <w:sz w:val="24"/>
          <w:szCs w:val="24"/>
        </w:rPr>
      </w:pPr>
      <w:r>
        <w:rPr>
          <w:rFonts w:hint="eastAsia" w:ascii="宋体" w:hAnsi="宋体"/>
          <w:bCs/>
          <w:sz w:val="24"/>
          <w:szCs w:val="24"/>
        </w:rPr>
        <w:t>近年来，超充技术持续向高压化和智能化方向发展，未来随着新技术的更新迭代，公司若不能及时更新相关设备及技术路线，充电站充电效率可能不能满足市场需要。</w:t>
      </w:r>
    </w:p>
    <w:p w14:paraId="3F42F929">
      <w:pPr>
        <w:pStyle w:val="20"/>
        <w:autoSpaceDE w:val="0"/>
        <w:autoSpaceDN w:val="0"/>
        <w:adjustRightInd w:val="0"/>
        <w:snapToGrid w:val="0"/>
        <w:spacing w:line="560" w:lineRule="exact"/>
        <w:ind w:firstLine="480"/>
        <w:jc w:val="left"/>
        <w:rPr>
          <w:rFonts w:hint="eastAsia" w:ascii="宋体" w:hAnsi="宋体"/>
          <w:bCs/>
          <w:sz w:val="24"/>
          <w:szCs w:val="24"/>
        </w:rPr>
      </w:pPr>
      <w:r>
        <w:rPr>
          <w:rFonts w:hint="eastAsia" w:ascii="宋体" w:hAnsi="宋体"/>
          <w:bCs/>
          <w:sz w:val="24"/>
          <w:szCs w:val="24"/>
        </w:rPr>
        <w:t>公司将持续关注充电站行业技术发展，深入了解市场需求，同时把握行业发展趋势，对超充站设备及相关技术不断更新升级，以适应市场需求的变化。</w:t>
      </w:r>
    </w:p>
    <w:p w14:paraId="075D649A">
      <w:pPr>
        <w:autoSpaceDE w:val="0"/>
        <w:autoSpaceDN w:val="0"/>
        <w:adjustRightInd w:val="0"/>
        <w:snapToGrid w:val="0"/>
        <w:spacing w:line="560" w:lineRule="exact"/>
        <w:ind w:firstLine="482" w:firstLineChars="200"/>
        <w:jc w:val="left"/>
        <w:rPr>
          <w:rFonts w:hint="eastAsia" w:hAnsi="宋体"/>
          <w:b/>
          <w:bCs/>
          <w:sz w:val="24"/>
          <w:szCs w:val="24"/>
        </w:rPr>
      </w:pPr>
      <w:r>
        <w:rPr>
          <w:rFonts w:hint="eastAsia" w:hAnsi="宋体"/>
          <w:b/>
          <w:bCs/>
          <w:sz w:val="24"/>
          <w:szCs w:val="24"/>
        </w:rPr>
        <w:t>五、进展披露</w:t>
      </w:r>
    </w:p>
    <w:p w14:paraId="1E5AA992">
      <w:pPr>
        <w:autoSpaceDE w:val="0"/>
        <w:autoSpaceDN w:val="0"/>
        <w:adjustRightInd w:val="0"/>
        <w:snapToGrid w:val="0"/>
        <w:spacing w:line="560" w:lineRule="exact"/>
        <w:ind w:firstLine="480" w:firstLineChars="200"/>
        <w:jc w:val="left"/>
        <w:rPr>
          <w:rFonts w:hint="eastAsia" w:hAnsi="宋体"/>
          <w:bCs/>
          <w:sz w:val="24"/>
          <w:szCs w:val="24"/>
        </w:rPr>
      </w:pPr>
      <w:r>
        <w:rPr>
          <w:rFonts w:hint="eastAsia" w:hAnsi="宋体"/>
          <w:bCs/>
          <w:sz w:val="24"/>
          <w:szCs w:val="24"/>
        </w:rPr>
        <w:t>公司将严格按照相关规定，就上述对外投资进展事宜及时履行信息披露义务。</w:t>
      </w:r>
    </w:p>
    <w:p w14:paraId="295B00EA">
      <w:pPr>
        <w:autoSpaceDE w:val="0"/>
        <w:autoSpaceDN w:val="0"/>
        <w:adjustRightInd w:val="0"/>
        <w:snapToGrid w:val="0"/>
        <w:spacing w:line="560" w:lineRule="exact"/>
        <w:ind w:firstLine="480" w:firstLineChars="200"/>
        <w:jc w:val="left"/>
        <w:rPr>
          <w:rFonts w:hint="eastAsia" w:hAnsi="宋体"/>
          <w:bCs/>
          <w:sz w:val="24"/>
          <w:szCs w:val="24"/>
        </w:rPr>
      </w:pPr>
    </w:p>
    <w:p w14:paraId="17281551">
      <w:pPr>
        <w:autoSpaceDE w:val="0"/>
        <w:autoSpaceDN w:val="0"/>
        <w:adjustRightInd w:val="0"/>
        <w:snapToGrid w:val="0"/>
        <w:spacing w:line="560" w:lineRule="exact"/>
        <w:ind w:firstLine="480" w:firstLineChars="200"/>
        <w:jc w:val="left"/>
        <w:rPr>
          <w:rFonts w:hint="eastAsia" w:hAnsi="宋体"/>
          <w:bCs/>
          <w:sz w:val="24"/>
          <w:szCs w:val="24"/>
        </w:rPr>
      </w:pPr>
      <w:r>
        <w:rPr>
          <w:rFonts w:hint="eastAsia" w:hAnsi="宋体"/>
          <w:bCs/>
          <w:sz w:val="24"/>
          <w:szCs w:val="24"/>
        </w:rPr>
        <w:t>敬请广大投资者理性投资，注意投资风险。</w:t>
      </w:r>
    </w:p>
    <w:p w14:paraId="0AF33D5D">
      <w:pPr>
        <w:adjustRightInd w:val="0"/>
        <w:snapToGrid w:val="0"/>
        <w:spacing w:line="560" w:lineRule="exact"/>
        <w:ind w:firstLine="480" w:firstLineChars="200"/>
        <w:rPr>
          <w:rFonts w:hint="eastAsia" w:ascii="宋体" w:hAnsi="宋体"/>
          <w:color w:val="000000"/>
          <w:sz w:val="24"/>
          <w:szCs w:val="24"/>
        </w:rPr>
      </w:pPr>
      <w:r>
        <w:rPr>
          <w:rFonts w:hint="eastAsia" w:ascii="宋体" w:hAnsi="宋体"/>
          <w:color w:val="000000"/>
          <w:sz w:val="24"/>
          <w:szCs w:val="24"/>
        </w:rPr>
        <w:t>特此公告。</w:t>
      </w:r>
    </w:p>
    <w:p w14:paraId="3085DA80">
      <w:pPr>
        <w:adjustRightInd w:val="0"/>
        <w:snapToGrid w:val="0"/>
        <w:spacing w:line="560" w:lineRule="exact"/>
        <w:rPr>
          <w:rFonts w:hint="eastAsia" w:ascii="宋体" w:hAnsi="宋体"/>
          <w:color w:val="000000"/>
          <w:sz w:val="24"/>
          <w:szCs w:val="24"/>
        </w:rPr>
      </w:pPr>
    </w:p>
    <w:p w14:paraId="1A1C1F71">
      <w:pPr>
        <w:adjustRightInd w:val="0"/>
        <w:snapToGrid w:val="0"/>
        <w:spacing w:line="560" w:lineRule="exact"/>
        <w:ind w:firstLine="480" w:firstLineChars="200"/>
        <w:jc w:val="right"/>
        <w:rPr>
          <w:rFonts w:hint="eastAsia" w:ascii="宋体" w:hAnsi="宋体"/>
          <w:color w:val="000000"/>
          <w:sz w:val="24"/>
          <w:szCs w:val="24"/>
        </w:rPr>
      </w:pPr>
      <w:r>
        <w:rPr>
          <w:rFonts w:hint="eastAsia" w:ascii="宋体" w:hAnsi="宋体" w:cs="宋体"/>
          <w:color w:val="000000"/>
          <w:kern w:val="0"/>
          <w:sz w:val="24"/>
          <w:szCs w:val="24"/>
        </w:rPr>
        <w:t>重庆望变电气（集团）</w:t>
      </w:r>
      <w:r>
        <w:rPr>
          <w:rFonts w:hint="eastAsia" w:ascii="宋体" w:hAnsi="宋体" w:cs="仿宋_GB2312"/>
          <w:color w:val="000000"/>
          <w:sz w:val="24"/>
          <w:szCs w:val="24"/>
        </w:rPr>
        <w:t>股</w:t>
      </w:r>
      <w:r>
        <w:rPr>
          <w:rFonts w:hint="eastAsia" w:ascii="宋体" w:hAnsi="宋体"/>
          <w:color w:val="000000"/>
          <w:sz w:val="24"/>
          <w:szCs w:val="24"/>
        </w:rPr>
        <w:t>份有限公司董事会</w:t>
      </w:r>
    </w:p>
    <w:p w14:paraId="43EEFBB5">
      <w:pPr>
        <w:adjustRightInd w:val="0"/>
        <w:snapToGrid w:val="0"/>
        <w:spacing w:line="560" w:lineRule="exact"/>
        <w:ind w:firstLine="480" w:firstLineChars="200"/>
        <w:jc w:val="right"/>
        <w:rPr>
          <w:rFonts w:hint="eastAsia" w:ascii="宋体" w:hAnsi="宋体"/>
          <w:color w:val="000000"/>
          <w:sz w:val="24"/>
          <w:szCs w:val="24"/>
        </w:rPr>
      </w:pPr>
      <w:r>
        <w:rPr>
          <w:rFonts w:ascii="宋体" w:hAnsi="宋体"/>
          <w:color w:val="000000"/>
          <w:sz w:val="24"/>
          <w:szCs w:val="24"/>
        </w:rPr>
        <w:t>202</w:t>
      </w:r>
      <w:r>
        <w:rPr>
          <w:rFonts w:hint="eastAsia" w:ascii="宋体" w:hAnsi="宋体"/>
          <w:color w:val="000000"/>
          <w:sz w:val="24"/>
          <w:szCs w:val="24"/>
        </w:rPr>
        <w:t>5年8月29日</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85105">
    <w:pPr>
      <w:pStyle w:val="5"/>
      <w:jc w:val="center"/>
    </w:pPr>
    <w:r>
      <w:fldChar w:fldCharType="begin"/>
    </w:r>
    <w:r>
      <w:instrText xml:space="preserve">PAGE   \* MERGEFORMAT</w:instrText>
    </w:r>
    <w:r>
      <w:fldChar w:fldCharType="separate"/>
    </w:r>
    <w:r>
      <w:rPr>
        <w:lang w:val="zh-CN"/>
      </w:rPr>
      <w:t>10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52EC9">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55707F"/>
    <w:multiLevelType w:val="singleLevel"/>
    <w:tmpl w:val="9055707F"/>
    <w:lvl w:ilvl="0" w:tentative="0">
      <w:start w:val="1"/>
      <w:numFmt w:val="chineseCounting"/>
      <w:suff w:val="nothing"/>
      <w:lvlText w:val="%1、"/>
      <w:lvlJc w:val="left"/>
      <w:pPr>
        <w:ind w:left="-420" w:firstLine="420"/>
      </w:pPr>
      <w:rPr>
        <w:rFonts w:hint="eastAsia"/>
      </w:rPr>
    </w:lvl>
  </w:abstractNum>
  <w:abstractNum w:abstractNumId="1">
    <w:nsid w:val="3E21471A"/>
    <w:multiLevelType w:val="multilevel"/>
    <w:tmpl w:val="3E21471A"/>
    <w:lvl w:ilvl="0" w:tentative="0">
      <w:start w:val="1"/>
      <w:numFmt w:val="japaneseCounting"/>
      <w:lvlText w:val="（%1）"/>
      <w:lvlJc w:val="left"/>
      <w:pPr>
        <w:ind w:left="960" w:hanging="720"/>
      </w:pPr>
      <w:rPr>
        <w:rFonts w:hint="default"/>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2">
    <w:nsid w:val="74646B16"/>
    <w:multiLevelType w:val="multilevel"/>
    <w:tmpl w:val="74646B16"/>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lM2FkMjBjNzJiMTM5Y2I3YzRmYzg0MzdhNjIzN2QifQ=="/>
  </w:docVars>
  <w:rsids>
    <w:rsidRoot w:val="521827E2"/>
    <w:rsid w:val="00010BC9"/>
    <w:rsid w:val="0002283F"/>
    <w:rsid w:val="00043603"/>
    <w:rsid w:val="00047FCD"/>
    <w:rsid w:val="00050849"/>
    <w:rsid w:val="00056189"/>
    <w:rsid w:val="00062F46"/>
    <w:rsid w:val="00076EFD"/>
    <w:rsid w:val="0008555B"/>
    <w:rsid w:val="00094A32"/>
    <w:rsid w:val="00094FB9"/>
    <w:rsid w:val="000A1CD3"/>
    <w:rsid w:val="000A40E4"/>
    <w:rsid w:val="000A73EC"/>
    <w:rsid w:val="000B1A1F"/>
    <w:rsid w:val="000C5382"/>
    <w:rsid w:val="000C72A9"/>
    <w:rsid w:val="000D3DA9"/>
    <w:rsid w:val="000E422D"/>
    <w:rsid w:val="000F230D"/>
    <w:rsid w:val="00123266"/>
    <w:rsid w:val="00140439"/>
    <w:rsid w:val="00142BA8"/>
    <w:rsid w:val="0014777F"/>
    <w:rsid w:val="00152B30"/>
    <w:rsid w:val="0016249D"/>
    <w:rsid w:val="001666B2"/>
    <w:rsid w:val="001723E5"/>
    <w:rsid w:val="0018152D"/>
    <w:rsid w:val="001831AD"/>
    <w:rsid w:val="00190AB0"/>
    <w:rsid w:val="00192BD0"/>
    <w:rsid w:val="001A727A"/>
    <w:rsid w:val="001D06CF"/>
    <w:rsid w:val="001D103B"/>
    <w:rsid w:val="001D1921"/>
    <w:rsid w:val="001D4E14"/>
    <w:rsid w:val="001F0ECC"/>
    <w:rsid w:val="00201DED"/>
    <w:rsid w:val="00207B64"/>
    <w:rsid w:val="0021535F"/>
    <w:rsid w:val="0022280F"/>
    <w:rsid w:val="0022327A"/>
    <w:rsid w:val="00225FE6"/>
    <w:rsid w:val="002275E3"/>
    <w:rsid w:val="002428E2"/>
    <w:rsid w:val="00246461"/>
    <w:rsid w:val="00252550"/>
    <w:rsid w:val="002643A4"/>
    <w:rsid w:val="00277255"/>
    <w:rsid w:val="002B516A"/>
    <w:rsid w:val="002B55E8"/>
    <w:rsid w:val="002B6903"/>
    <w:rsid w:val="002E76D9"/>
    <w:rsid w:val="002F3C16"/>
    <w:rsid w:val="002F59AA"/>
    <w:rsid w:val="00323A9D"/>
    <w:rsid w:val="00331B5B"/>
    <w:rsid w:val="00350C74"/>
    <w:rsid w:val="003571E3"/>
    <w:rsid w:val="003623C7"/>
    <w:rsid w:val="0037543D"/>
    <w:rsid w:val="00391A1B"/>
    <w:rsid w:val="003B4462"/>
    <w:rsid w:val="003B5A3B"/>
    <w:rsid w:val="003C7EB8"/>
    <w:rsid w:val="003D6FCD"/>
    <w:rsid w:val="003E00AB"/>
    <w:rsid w:val="003E38F1"/>
    <w:rsid w:val="003F1451"/>
    <w:rsid w:val="003F774F"/>
    <w:rsid w:val="003F7F4D"/>
    <w:rsid w:val="0041268A"/>
    <w:rsid w:val="00434979"/>
    <w:rsid w:val="00464AFC"/>
    <w:rsid w:val="00474F02"/>
    <w:rsid w:val="004A78B8"/>
    <w:rsid w:val="004A790E"/>
    <w:rsid w:val="004B5841"/>
    <w:rsid w:val="004C19BA"/>
    <w:rsid w:val="004D041E"/>
    <w:rsid w:val="004D0E8E"/>
    <w:rsid w:val="004F0B6B"/>
    <w:rsid w:val="004F172D"/>
    <w:rsid w:val="00522BE2"/>
    <w:rsid w:val="005314A0"/>
    <w:rsid w:val="005429C2"/>
    <w:rsid w:val="00545915"/>
    <w:rsid w:val="00550D05"/>
    <w:rsid w:val="0055216A"/>
    <w:rsid w:val="005525BE"/>
    <w:rsid w:val="005750AA"/>
    <w:rsid w:val="005759D7"/>
    <w:rsid w:val="00575F03"/>
    <w:rsid w:val="00584868"/>
    <w:rsid w:val="005A2954"/>
    <w:rsid w:val="005B7B64"/>
    <w:rsid w:val="005E2CCA"/>
    <w:rsid w:val="005F3CA3"/>
    <w:rsid w:val="005F6F3B"/>
    <w:rsid w:val="00612B9F"/>
    <w:rsid w:val="006150E2"/>
    <w:rsid w:val="00616108"/>
    <w:rsid w:val="00661E34"/>
    <w:rsid w:val="006704CD"/>
    <w:rsid w:val="00684FFB"/>
    <w:rsid w:val="00690834"/>
    <w:rsid w:val="00695FF0"/>
    <w:rsid w:val="006A3328"/>
    <w:rsid w:val="006B1C2E"/>
    <w:rsid w:val="006E4DD1"/>
    <w:rsid w:val="006E71F7"/>
    <w:rsid w:val="006F3EE0"/>
    <w:rsid w:val="00726BE0"/>
    <w:rsid w:val="00726F44"/>
    <w:rsid w:val="00742C2C"/>
    <w:rsid w:val="0074645A"/>
    <w:rsid w:val="0078004A"/>
    <w:rsid w:val="00786B16"/>
    <w:rsid w:val="007970FE"/>
    <w:rsid w:val="007A4DA5"/>
    <w:rsid w:val="007A61FA"/>
    <w:rsid w:val="007B073D"/>
    <w:rsid w:val="007B1916"/>
    <w:rsid w:val="007C3FFA"/>
    <w:rsid w:val="007D4D50"/>
    <w:rsid w:val="007E572E"/>
    <w:rsid w:val="007F4A01"/>
    <w:rsid w:val="007F7EDC"/>
    <w:rsid w:val="008162CF"/>
    <w:rsid w:val="0081758F"/>
    <w:rsid w:val="0081787D"/>
    <w:rsid w:val="00831D7E"/>
    <w:rsid w:val="008320FC"/>
    <w:rsid w:val="00836533"/>
    <w:rsid w:val="0084121D"/>
    <w:rsid w:val="0084422E"/>
    <w:rsid w:val="00856E6D"/>
    <w:rsid w:val="00875E2C"/>
    <w:rsid w:val="0089250D"/>
    <w:rsid w:val="008A0523"/>
    <w:rsid w:val="008A2FB2"/>
    <w:rsid w:val="008F69F0"/>
    <w:rsid w:val="0090186C"/>
    <w:rsid w:val="00915D39"/>
    <w:rsid w:val="00921A2F"/>
    <w:rsid w:val="00923C08"/>
    <w:rsid w:val="00935C4B"/>
    <w:rsid w:val="00947C32"/>
    <w:rsid w:val="00964F46"/>
    <w:rsid w:val="009679A2"/>
    <w:rsid w:val="00995CD7"/>
    <w:rsid w:val="009B47DE"/>
    <w:rsid w:val="009C5E62"/>
    <w:rsid w:val="009D15B1"/>
    <w:rsid w:val="009D1A30"/>
    <w:rsid w:val="009E3152"/>
    <w:rsid w:val="009E3407"/>
    <w:rsid w:val="009F2402"/>
    <w:rsid w:val="00A13853"/>
    <w:rsid w:val="00A141B9"/>
    <w:rsid w:val="00A14A7D"/>
    <w:rsid w:val="00A20411"/>
    <w:rsid w:val="00A51C23"/>
    <w:rsid w:val="00A552FF"/>
    <w:rsid w:val="00A748DF"/>
    <w:rsid w:val="00A823F8"/>
    <w:rsid w:val="00AC3419"/>
    <w:rsid w:val="00AD6A3E"/>
    <w:rsid w:val="00B006FB"/>
    <w:rsid w:val="00B02CEF"/>
    <w:rsid w:val="00B13438"/>
    <w:rsid w:val="00B15CE8"/>
    <w:rsid w:val="00B20FBB"/>
    <w:rsid w:val="00B3614E"/>
    <w:rsid w:val="00B62AFB"/>
    <w:rsid w:val="00B9137C"/>
    <w:rsid w:val="00B96047"/>
    <w:rsid w:val="00BB61B6"/>
    <w:rsid w:val="00BB63E9"/>
    <w:rsid w:val="00BC233A"/>
    <w:rsid w:val="00BF7BDB"/>
    <w:rsid w:val="00C009B6"/>
    <w:rsid w:val="00C15A5B"/>
    <w:rsid w:val="00C43963"/>
    <w:rsid w:val="00C47186"/>
    <w:rsid w:val="00C5647A"/>
    <w:rsid w:val="00C6037C"/>
    <w:rsid w:val="00C9270B"/>
    <w:rsid w:val="00C949B9"/>
    <w:rsid w:val="00CC0B55"/>
    <w:rsid w:val="00CE2279"/>
    <w:rsid w:val="00CF4FD3"/>
    <w:rsid w:val="00D1732C"/>
    <w:rsid w:val="00D4059C"/>
    <w:rsid w:val="00D45861"/>
    <w:rsid w:val="00D46F41"/>
    <w:rsid w:val="00D503E9"/>
    <w:rsid w:val="00D65BA4"/>
    <w:rsid w:val="00D70B8E"/>
    <w:rsid w:val="00D74648"/>
    <w:rsid w:val="00D8189C"/>
    <w:rsid w:val="00D82C68"/>
    <w:rsid w:val="00D96099"/>
    <w:rsid w:val="00DA5FF4"/>
    <w:rsid w:val="00DB17CE"/>
    <w:rsid w:val="00DB744D"/>
    <w:rsid w:val="00DD62E6"/>
    <w:rsid w:val="00DE0C74"/>
    <w:rsid w:val="00DE2BC1"/>
    <w:rsid w:val="00DF2C97"/>
    <w:rsid w:val="00DF73E8"/>
    <w:rsid w:val="00E115C9"/>
    <w:rsid w:val="00E301F1"/>
    <w:rsid w:val="00E318C4"/>
    <w:rsid w:val="00E469C8"/>
    <w:rsid w:val="00E558AE"/>
    <w:rsid w:val="00E73B73"/>
    <w:rsid w:val="00E746B0"/>
    <w:rsid w:val="00E82A34"/>
    <w:rsid w:val="00E95F43"/>
    <w:rsid w:val="00EA209A"/>
    <w:rsid w:val="00EA4DAC"/>
    <w:rsid w:val="00EC4821"/>
    <w:rsid w:val="00EC496E"/>
    <w:rsid w:val="00EE084C"/>
    <w:rsid w:val="00EE67C8"/>
    <w:rsid w:val="00EF0CFB"/>
    <w:rsid w:val="00F011EC"/>
    <w:rsid w:val="00F0268C"/>
    <w:rsid w:val="00F211EC"/>
    <w:rsid w:val="00F417E5"/>
    <w:rsid w:val="00F428C6"/>
    <w:rsid w:val="00F54E0B"/>
    <w:rsid w:val="00F55392"/>
    <w:rsid w:val="00F670DD"/>
    <w:rsid w:val="00F70648"/>
    <w:rsid w:val="00F76E19"/>
    <w:rsid w:val="00F96DC7"/>
    <w:rsid w:val="00FC2FCD"/>
    <w:rsid w:val="00FD3415"/>
    <w:rsid w:val="00FD4DAF"/>
    <w:rsid w:val="00FE0457"/>
    <w:rsid w:val="00FE6306"/>
    <w:rsid w:val="00FF1F00"/>
    <w:rsid w:val="00FF3DF0"/>
    <w:rsid w:val="00FF4FBC"/>
    <w:rsid w:val="00FF7741"/>
    <w:rsid w:val="04210386"/>
    <w:rsid w:val="049A4077"/>
    <w:rsid w:val="08DB07B8"/>
    <w:rsid w:val="0A851326"/>
    <w:rsid w:val="0C5953BC"/>
    <w:rsid w:val="0D96229B"/>
    <w:rsid w:val="10B169D0"/>
    <w:rsid w:val="124A2ABD"/>
    <w:rsid w:val="14C11485"/>
    <w:rsid w:val="1D000F89"/>
    <w:rsid w:val="1D4D70D9"/>
    <w:rsid w:val="21795F96"/>
    <w:rsid w:val="22432A3B"/>
    <w:rsid w:val="28F22ECE"/>
    <w:rsid w:val="2E3620BB"/>
    <w:rsid w:val="2EFB4938"/>
    <w:rsid w:val="2F540736"/>
    <w:rsid w:val="315E1E05"/>
    <w:rsid w:val="32A808AB"/>
    <w:rsid w:val="32BF4B25"/>
    <w:rsid w:val="332B3F69"/>
    <w:rsid w:val="33F9355C"/>
    <w:rsid w:val="34F9099F"/>
    <w:rsid w:val="36356EAC"/>
    <w:rsid w:val="370276D6"/>
    <w:rsid w:val="383E473E"/>
    <w:rsid w:val="384D7451"/>
    <w:rsid w:val="3A06128C"/>
    <w:rsid w:val="3D12309A"/>
    <w:rsid w:val="3D967F69"/>
    <w:rsid w:val="3EC126F9"/>
    <w:rsid w:val="407231D7"/>
    <w:rsid w:val="42823E59"/>
    <w:rsid w:val="45955CBA"/>
    <w:rsid w:val="469814BD"/>
    <w:rsid w:val="4A7638C4"/>
    <w:rsid w:val="4D6D4091"/>
    <w:rsid w:val="4E935DFC"/>
    <w:rsid w:val="5150387B"/>
    <w:rsid w:val="521827E2"/>
    <w:rsid w:val="539B439B"/>
    <w:rsid w:val="54CA7B2B"/>
    <w:rsid w:val="55F94D3A"/>
    <w:rsid w:val="57783371"/>
    <w:rsid w:val="577ECA0D"/>
    <w:rsid w:val="57C059F4"/>
    <w:rsid w:val="594A6978"/>
    <w:rsid w:val="5B071AD9"/>
    <w:rsid w:val="5F9322AD"/>
    <w:rsid w:val="627C139F"/>
    <w:rsid w:val="63114000"/>
    <w:rsid w:val="65F97224"/>
    <w:rsid w:val="6D723F67"/>
    <w:rsid w:val="6F5558EE"/>
    <w:rsid w:val="75477AFA"/>
    <w:rsid w:val="75671ED7"/>
    <w:rsid w:val="759C374D"/>
    <w:rsid w:val="7677439C"/>
    <w:rsid w:val="76F70640"/>
    <w:rsid w:val="77D11EA6"/>
    <w:rsid w:val="780600CD"/>
    <w:rsid w:val="78153E6C"/>
    <w:rsid w:val="7A721A4A"/>
    <w:rsid w:val="7CF46746"/>
    <w:rsid w:val="7DFC3B04"/>
    <w:rsid w:val="7F703B3F"/>
    <w:rsid w:val="9EDD81F7"/>
    <w:rsid w:val="AB7B9B48"/>
    <w:rsid w:val="EFDFC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9"/>
    <w:pPr>
      <w:keepNext/>
      <w:keepLines/>
      <w:widowControl/>
      <w:spacing w:before="163" w:after="163"/>
      <w:ind w:firstLine="482"/>
      <w:outlineLvl w:val="2"/>
    </w:pPr>
    <w:rPr>
      <w:b/>
      <w:bCs/>
      <w:color w:val="000000"/>
      <w:kern w:val="0"/>
      <w:szCs w:val="24"/>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pPr>
      <w:jc w:val="left"/>
    </w:pPr>
  </w:style>
  <w:style w:type="paragraph" w:styleId="4">
    <w:name w:val="Balloon Text"/>
    <w:basedOn w:val="1"/>
    <w:link w:val="16"/>
    <w:qFormat/>
    <w:uiPriority w:val="0"/>
    <w:rPr>
      <w:sz w:val="18"/>
      <w:szCs w:val="18"/>
    </w:r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qFormat/>
    <w:uiPriority w:val="0"/>
    <w:pPr>
      <w:snapToGrid w:val="0"/>
      <w:jc w:val="left"/>
    </w:pPr>
    <w:rPr>
      <w:rFonts w:ascii="Times New Roman" w:hAnsi="Times New Roman"/>
      <w:kern w:val="0"/>
      <w:sz w:val="18"/>
      <w:szCs w:val="18"/>
    </w:rPr>
  </w:style>
  <w:style w:type="paragraph" w:styleId="8">
    <w:name w:val="Title"/>
    <w:basedOn w:val="1"/>
    <w:next w:val="1"/>
    <w:qFormat/>
    <w:uiPriority w:val="10"/>
    <w:pPr>
      <w:spacing w:before="240" w:after="60"/>
      <w:jc w:val="center"/>
      <w:outlineLvl w:val="0"/>
    </w:pPr>
    <w:rPr>
      <w:rFonts w:ascii="Calibri Light" w:hAnsi="Calibri Light"/>
      <w:b/>
      <w:bCs/>
      <w:sz w:val="30"/>
      <w:szCs w:val="32"/>
    </w:rPr>
  </w:style>
  <w:style w:type="paragraph" w:styleId="9">
    <w:name w:val="annotation subject"/>
    <w:basedOn w:val="3"/>
    <w:next w:val="3"/>
    <w:link w:val="19"/>
    <w:qFormat/>
    <w:uiPriority w:val="0"/>
    <w:rPr>
      <w:b/>
      <w:bCs/>
    </w:rPr>
  </w:style>
  <w:style w:type="character" w:styleId="12">
    <w:name w:val="Hyperlink"/>
    <w:unhideWhenUsed/>
    <w:qFormat/>
    <w:uiPriority w:val="0"/>
    <w:rPr>
      <w:color w:val="0563C1"/>
      <w:u w:val="single"/>
    </w:rPr>
  </w:style>
  <w:style w:type="character" w:styleId="13">
    <w:name w:val="annotation reference"/>
    <w:qFormat/>
    <w:uiPriority w:val="0"/>
    <w:rPr>
      <w:sz w:val="21"/>
      <w:szCs w:val="21"/>
    </w:rPr>
  </w:style>
  <w:style w:type="character" w:styleId="14">
    <w:name w:val="footnote reference"/>
    <w:qFormat/>
    <w:uiPriority w:val="0"/>
    <w:rPr>
      <w:vertAlign w:val="superscript"/>
      <w:rPrChange w:id="0" w:author="WB" w:date="2025-08-27T20:14:00Z">
        <w:rPr>
          <w:vertAlign w:val="superscript"/>
        </w:rPr>
      </w:rPrChange>
    </w:rPr>
  </w:style>
  <w:style w:type="character" w:customStyle="1" w:styleId="15">
    <w:name w:val="批注文字 字符"/>
    <w:link w:val="3"/>
    <w:qFormat/>
    <w:uiPriority w:val="0"/>
    <w:rPr>
      <w:kern w:val="2"/>
      <w:sz w:val="21"/>
      <w:szCs w:val="22"/>
    </w:rPr>
  </w:style>
  <w:style w:type="character" w:customStyle="1" w:styleId="16">
    <w:name w:val="批注框文本 字符"/>
    <w:link w:val="4"/>
    <w:qFormat/>
    <w:uiPriority w:val="0"/>
    <w:rPr>
      <w:kern w:val="2"/>
      <w:sz w:val="18"/>
      <w:szCs w:val="18"/>
    </w:rPr>
  </w:style>
  <w:style w:type="character" w:customStyle="1" w:styleId="17">
    <w:name w:val="页脚 字符"/>
    <w:link w:val="5"/>
    <w:qFormat/>
    <w:uiPriority w:val="99"/>
    <w:rPr>
      <w:kern w:val="2"/>
      <w:sz w:val="18"/>
      <w:szCs w:val="18"/>
    </w:rPr>
  </w:style>
  <w:style w:type="character" w:customStyle="1" w:styleId="18">
    <w:name w:val="页眉 字符"/>
    <w:link w:val="6"/>
    <w:qFormat/>
    <w:uiPriority w:val="0"/>
    <w:rPr>
      <w:kern w:val="2"/>
      <w:sz w:val="18"/>
      <w:szCs w:val="18"/>
    </w:rPr>
  </w:style>
  <w:style w:type="character" w:customStyle="1" w:styleId="19">
    <w:name w:val="批注主题 字符"/>
    <w:link w:val="9"/>
    <w:qFormat/>
    <w:uiPriority w:val="0"/>
    <w:rPr>
      <w:b/>
      <w:bCs/>
      <w:kern w:val="2"/>
      <w:sz w:val="21"/>
      <w:szCs w:val="22"/>
    </w:rPr>
  </w:style>
  <w:style w:type="paragraph" w:styleId="20">
    <w:name w:val="List Paragraph"/>
    <w:basedOn w:val="1"/>
    <w:qFormat/>
    <w:uiPriority w:val="34"/>
    <w:pPr>
      <w:ind w:firstLine="420" w:firstLineChars="200"/>
    </w:pPr>
  </w:style>
  <w:style w:type="paragraph" w:customStyle="1" w:styleId="2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2">
    <w:name w:val="修订1"/>
    <w:semiHidden/>
    <w:qFormat/>
    <w:uiPriority w:val="99"/>
    <w:rPr>
      <w:rFonts w:ascii="Calibri" w:hAnsi="Calibri" w:eastAsia="宋体" w:cs="Times New Roman"/>
      <w:kern w:val="2"/>
      <w:sz w:val="21"/>
      <w:szCs w:val="22"/>
      <w:lang w:val="en-US" w:eastAsia="zh-CN" w:bidi="ar-SA"/>
    </w:rPr>
  </w:style>
  <w:style w:type="paragraph" w:customStyle="1" w:styleId="23">
    <w:name w:val="修订2"/>
    <w:unhideWhenUsed/>
    <w:qFormat/>
    <w:uiPriority w:val="99"/>
    <w:rPr>
      <w:rFonts w:ascii="Calibri" w:hAnsi="Calibri" w:eastAsia="宋体" w:cs="Times New Roman"/>
      <w:kern w:val="2"/>
      <w:sz w:val="21"/>
      <w:szCs w:val="22"/>
      <w:lang w:val="en-US" w:eastAsia="zh-CN" w:bidi="ar-SA"/>
    </w:rPr>
  </w:style>
  <w:style w:type="paragraph" w:customStyle="1" w:styleId="24">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0640C-CD8C-46C2-A226-CC83BF15BAF1}">
  <ds:schemaRefs/>
</ds:datastoreItem>
</file>

<file path=docProps/app.xml><?xml version="1.0" encoding="utf-8"?>
<Properties xmlns="http://schemas.openxmlformats.org/officeDocument/2006/extended-properties" xmlns:vt="http://schemas.openxmlformats.org/officeDocument/2006/docPropsVTypes">
  <Template>Normal</Template>
  <Company>嘉源律师事务所</Company>
  <Pages>9</Pages>
  <Words>5443</Words>
  <Characters>5596</Characters>
  <Lines>40</Lines>
  <Paragraphs>11</Paragraphs>
  <TotalTime>262</TotalTime>
  <ScaleCrop>false</ScaleCrop>
  <LinksUpToDate>false</LinksUpToDate>
  <CharactersWithSpaces>5612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2025-08-27T06:21:00Z</dcterms:created>
  <dc:creator>BJB-ZB-03</dc:creator>
  <cp:lastModifiedBy>雯亦</cp:lastModifiedBy>
  <dcterms:modified xsi:type="dcterms:W3CDTF">2025-08-28T05:12:58Z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0C1A973E3197411E8D21AABEA7E4A9A8_13</vt:lpwstr>
  </property>
  <property fmtid="{D5CDD505-2E9C-101B-9397-08002B2CF9AE}" pid="4" name="KSOTemplateDocerSaveRecord">
    <vt:lpwstr>eyJoZGlkIjoiZTQzZmRmZDMxMjkwMDE2NTk0ZWQ1ZWYwMzRmYjVhNmUiLCJ1c2VySWQiOiI2NDQwNzQxNTQifQ==</vt:lpwstr>
  </property>
</Properties>
</file>