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DD6" w:rsidRDefault="00D51F5F">
      <w:pPr>
        <w:spacing w:beforeLines="50" w:before="120" w:afterLines="50" w:after="120"/>
        <w:rPr>
          <w:bCs w:val="0"/>
          <w:color w:val="000000" w:themeColor="text1"/>
        </w:rPr>
      </w:pPr>
      <w:sdt>
        <w:sdtPr>
          <w:tag w:val="_PLD_e2023e93e9d5454698c56f4b7265ca56"/>
          <w:id w:val="597986947"/>
        </w:sdtPr>
        <w:sdtEndPr/>
        <w:sdtContent>
          <w:r>
            <w:rPr>
              <w:rFonts w:hint="eastAsia"/>
              <w:color w:val="000000" w:themeColor="text1"/>
            </w:rPr>
            <w:t>公司代码：</w:t>
          </w:r>
        </w:sdtContent>
      </w:sdt>
      <w:sdt>
        <w:sdtPr>
          <w:rPr>
            <w:rFonts w:hint="eastAsia"/>
            <w:bCs w:val="0"/>
          </w:rPr>
          <w:alias w:val="公司代码"/>
          <w:tag w:val="_GBC_704b7b03ea3f4a93b8d4655a09b2ff61"/>
          <w:id w:val="-2036186592"/>
          <w:placeholder>
            <w:docPart w:val="GBC22222222222222222222222222222"/>
          </w:placeholder>
        </w:sdtPr>
        <w:sdtEndPr/>
        <w:sdtContent>
          <w:r>
            <w:rPr>
              <w:bCs w:val="0"/>
            </w:rPr>
            <w:t>603191</w:t>
          </w:r>
        </w:sdtContent>
      </w:sdt>
      <w:r>
        <w:rPr>
          <w:rFonts w:hint="eastAsia"/>
          <w:color w:val="000000" w:themeColor="text1"/>
        </w:rPr>
        <w:t xml:space="preserve">                      </w:t>
      </w:r>
      <w:r>
        <w:rPr>
          <w:rFonts w:hint="eastAsia"/>
          <w:color w:val="000000" w:themeColor="text1"/>
        </w:rPr>
        <w:t xml:space="preserve">　　</w:t>
      </w:r>
      <w:r>
        <w:rPr>
          <w:rFonts w:hint="eastAsia"/>
          <w:color w:val="000000" w:themeColor="text1"/>
        </w:rPr>
        <w:t xml:space="preserve">        </w:t>
      </w:r>
      <w:r>
        <w:rPr>
          <w:rFonts w:hint="eastAsia"/>
          <w:color w:val="000000" w:themeColor="text1"/>
        </w:rPr>
        <w:t xml:space="preserve">　　　　　　　　</w:t>
      </w:r>
      <w:sdt>
        <w:sdtPr>
          <w:tag w:val="_PLD_9cd7c9dfc1e1482cb001b3fad058a63c"/>
          <w:id w:val="702592973"/>
        </w:sdtPr>
        <w:sdtEndPr/>
        <w:sdtContent>
          <w:r>
            <w:rPr>
              <w:rFonts w:hint="eastAsia"/>
              <w:color w:val="000000" w:themeColor="text1"/>
            </w:rPr>
            <w:t>公司简称：</w:t>
          </w:r>
        </w:sdtContent>
      </w:sdt>
      <w:sdt>
        <w:sdtPr>
          <w:rPr>
            <w:rFonts w:hint="eastAsia"/>
            <w:bCs w:val="0"/>
          </w:rPr>
          <w:alias w:val="公司简称"/>
          <w:tag w:val="_GBC_0384ae715a1e4b4894a29e4d27f5bef4"/>
          <w:id w:val="-2004037761"/>
          <w:placeholder>
            <w:docPart w:val="GBC22222222222222222222222222222"/>
          </w:placeholder>
        </w:sdtPr>
        <w:sdtEndPr/>
        <w:sdtContent>
          <w:r>
            <w:rPr>
              <w:rFonts w:hint="eastAsia"/>
              <w:bCs w:val="0"/>
            </w:rPr>
            <w:t>望变电气</w:t>
          </w:r>
        </w:sdtContent>
      </w:sdt>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FF0000"/>
        </w:rPr>
      </w:pPr>
    </w:p>
    <w:p w:rsidR="00156DD6" w:rsidRDefault="00156DD6">
      <w:pPr>
        <w:rPr>
          <w:color w:val="FF0000"/>
        </w:rPr>
      </w:pPr>
    </w:p>
    <w:p w:rsidR="00156DD6" w:rsidRDefault="00D51F5F">
      <w:pPr>
        <w:jc w:val="center"/>
        <w:rPr>
          <w:rFonts w:ascii="黑体" w:eastAsia="黑体" w:hAnsi="黑体"/>
          <w:b/>
          <w:bCs w:val="0"/>
          <w:color w:val="FF0000"/>
          <w:sz w:val="44"/>
          <w:szCs w:val="44"/>
        </w:rPr>
      </w:pPr>
      <w:sdt>
        <w:sdtPr>
          <w:rPr>
            <w:rFonts w:ascii="黑体" w:eastAsia="黑体" w:hAnsi="黑体" w:hint="eastAsia"/>
            <w:b/>
            <w:bCs w:val="0"/>
            <w:color w:val="FF0000"/>
            <w:sz w:val="44"/>
            <w:szCs w:val="44"/>
          </w:rPr>
          <w:alias w:val="公司法定中文名称"/>
          <w:tag w:val="_GBC_ef279e32efc14c6bb521c62ff1f265ba"/>
          <w:id w:val="-1844770862"/>
          <w:placeholder>
            <w:docPart w:val="GBC22222222222222222222222222222"/>
          </w:placeholder>
          <w:dataBinding w:prefixMappings="xmlns:clcid-cgi='clcid-cgi'" w:xpath="/*/clcid-cgi:GongSiFaDingZhongWenMingCheng[not(@periodRef)]" w:storeItemID="{89EBAB94-44A0-46A2-B712-30D997D04A6D}"/>
          <w:text/>
        </w:sdtPr>
        <w:sdtEndPr/>
        <w:sdtContent>
          <w:r>
            <w:rPr>
              <w:rFonts w:ascii="黑体" w:eastAsia="黑体" w:hAnsi="黑体" w:hint="eastAsia"/>
              <w:b/>
              <w:bCs w:val="0"/>
              <w:color w:val="FF0000"/>
              <w:sz w:val="44"/>
              <w:szCs w:val="44"/>
            </w:rPr>
            <w:t>重庆望变电气（集团）股份有限公司</w:t>
          </w:r>
        </w:sdtContent>
      </w:sdt>
    </w:p>
    <w:p w:rsidR="00156DD6" w:rsidRDefault="00D51F5F">
      <w:pPr>
        <w:jc w:val="center"/>
        <w:rPr>
          <w:rFonts w:ascii="黑体" w:eastAsia="黑体" w:hAnsi="黑体"/>
          <w:b/>
          <w:bCs w:val="0"/>
          <w:color w:val="FF0000"/>
          <w:sz w:val="44"/>
          <w:szCs w:val="44"/>
        </w:rPr>
      </w:pPr>
      <w:r>
        <w:rPr>
          <w:rFonts w:ascii="黑体" w:eastAsia="黑体" w:hAnsi="黑体"/>
          <w:b/>
          <w:color w:val="FF0000"/>
          <w:sz w:val="44"/>
          <w:szCs w:val="44"/>
        </w:rPr>
        <w:t>2025</w:t>
      </w:r>
      <w:r>
        <w:rPr>
          <w:rFonts w:ascii="黑体" w:eastAsia="黑体" w:hAnsi="黑体"/>
          <w:b/>
          <w:color w:val="FF0000"/>
          <w:sz w:val="44"/>
          <w:szCs w:val="44"/>
        </w:rPr>
        <w:t>年</w:t>
      </w:r>
      <w:r>
        <w:rPr>
          <w:rFonts w:ascii="黑体" w:eastAsia="黑体" w:hAnsi="黑体" w:hint="eastAsia"/>
          <w:b/>
          <w:color w:val="FF0000"/>
          <w:sz w:val="44"/>
          <w:szCs w:val="44"/>
        </w:rPr>
        <w:t>半年度报告</w:t>
      </w:r>
    </w:p>
    <w:p w:rsidR="00156DD6" w:rsidRDefault="00156DD6">
      <w:pPr>
        <w:rPr>
          <w:color w:val="FF0000"/>
        </w:rPr>
      </w:pPr>
    </w:p>
    <w:p w:rsidR="00156DD6" w:rsidRDefault="00156DD6">
      <w:pPr>
        <w:rPr>
          <w:color w:val="FF0000"/>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D51F5F">
      <w:pPr>
        <w:rPr>
          <w:color w:val="000000" w:themeColor="text1"/>
        </w:rPr>
      </w:pPr>
      <w:r>
        <w:rPr>
          <w:noProof/>
        </w:rPr>
        <w:drawing>
          <wp:inline distT="0" distB="0" distL="0" distR="0">
            <wp:extent cx="5608955" cy="3691890"/>
            <wp:effectExtent l="0" t="0" r="0" b="3810"/>
            <wp:docPr id="2097046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46487"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08955" cy="3691890"/>
                    </a:xfrm>
                    <a:prstGeom prst="rect">
                      <a:avLst/>
                    </a:prstGeom>
                    <a:noFill/>
                    <a:ln>
                      <a:noFill/>
                    </a:ln>
                    <a:effectLst>
                      <a:softEdge rad="317500"/>
                    </a:effectLst>
                  </pic:spPr>
                </pic:pic>
              </a:graphicData>
            </a:graphic>
          </wp:inline>
        </w:drawing>
      </w: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D51F5F">
      <w:pPr>
        <w:spacing w:line="360" w:lineRule="auto"/>
        <w:jc w:val="right"/>
        <w:rPr>
          <w:color w:val="000000" w:themeColor="text1"/>
        </w:rPr>
      </w:pPr>
      <w:r>
        <w:rPr>
          <w:color w:val="000000" w:themeColor="text1"/>
        </w:rPr>
        <w:br w:type="page"/>
      </w:r>
    </w:p>
    <w:bookmarkStart w:id="0" w:name="_Toc387656034" w:displacedByCustomXml="next"/>
    <w:sdt>
      <w:sdtPr>
        <w:tag w:val="_PLD_845fa8b330524542a31e33dd31c44bb8"/>
        <w:id w:val="1477637837"/>
      </w:sdtPr>
      <w:sdtEndPr/>
      <w:sdtContent>
        <w:p w:rsidR="00156DD6" w:rsidRDefault="00D51F5F">
          <w:pPr>
            <w:pStyle w:val="af2"/>
            <w:spacing w:after="280" w:afterAutospacing="0"/>
            <w:jc w:val="center"/>
            <w:rPr>
              <w:b/>
              <w:bCs w:val="0"/>
              <w:color w:val="000000" w:themeColor="text1"/>
              <w:sz w:val="28"/>
              <w:szCs w:val="28"/>
            </w:rPr>
          </w:pPr>
          <w:r>
            <w:rPr>
              <w:rFonts w:hint="eastAsia"/>
              <w:b/>
              <w:color w:val="000000" w:themeColor="text1"/>
              <w:sz w:val="28"/>
              <w:szCs w:val="28"/>
            </w:rPr>
            <w:t>重要提示</w:t>
          </w:r>
        </w:p>
      </w:sdtContent>
    </w:sdt>
    <w:bookmarkEnd w:id="0" w:displacedByCustomXml="next"/>
    <w:sdt>
      <w:sdtPr>
        <w:rPr>
          <w:rFonts w:ascii="宋体" w:hAnsi="宋体" w:hint="eastAsia"/>
          <w:color w:val="000000" w:themeColor="text1"/>
        </w:rPr>
        <w:alias w:val="董事会及董事声明"/>
        <w:tag w:val="_GBC_6c6da163383e4e4c92758ff24076a138"/>
        <w:id w:val="-1106581596"/>
        <w:placeholder>
          <w:docPart w:val="GBC22222222222222222222222222222"/>
        </w:placeholder>
      </w:sdtPr>
      <w:sdtEndPr/>
      <w:sdtContent>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本公司董事会</w:t>
          </w:r>
          <w:sdt>
            <w:sdtPr>
              <w:tag w:val="_PLD_3ca0b65202324648991e5b6f01a8fade"/>
              <w:id w:val="-1876690648"/>
            </w:sdtPr>
            <w:sdtEndPr/>
            <w:sdtContent>
              <w:r>
                <w:rPr>
                  <w:rFonts w:ascii="宋体" w:hAnsi="宋体" w:cs="宋体" w:hint="eastAsia"/>
                  <w:vanish/>
                  <w:color w:val="000000" w:themeColor="text1"/>
                </w:rPr>
                <w:t>、</w:t>
              </w:r>
              <w:r>
                <w:rPr>
                  <w:rFonts w:ascii="宋体" w:hAnsi="宋体" w:cs="宋体"/>
                  <w:vanish/>
                  <w:color w:val="000000" w:themeColor="text1"/>
                </w:rPr>
                <w:t>监事</w:t>
              </w:r>
              <w:r>
                <w:rPr>
                  <w:rFonts w:ascii="宋体" w:hAnsi="宋体" w:cs="宋体" w:hint="eastAsia"/>
                  <w:vanish/>
                  <w:color w:val="000000" w:themeColor="text1"/>
                </w:rPr>
                <w:t>会</w:t>
              </w:r>
            </w:sdtContent>
          </w:sdt>
          <w:r>
            <w:rPr>
              <w:rFonts w:ascii="宋体" w:hAnsi="宋体" w:cs="宋体"/>
              <w:color w:val="000000" w:themeColor="text1"/>
            </w:rPr>
            <w:t>及董事</w:t>
          </w:r>
          <w:sdt>
            <w:sdtPr>
              <w:tag w:val="_PLD_e24810e6950c4ac89d613277aed2bed8"/>
              <w:id w:val="-769155844"/>
            </w:sdtPr>
            <w:sdtEndPr/>
            <w:sdtContent>
              <w:r>
                <w:rPr>
                  <w:rFonts w:ascii="宋体" w:hAnsi="宋体" w:cs="宋体"/>
                  <w:vanish/>
                  <w:color w:val="000000" w:themeColor="text1"/>
                </w:rPr>
                <w:t>、监事</w:t>
              </w:r>
            </w:sdtContent>
          </w:sdt>
          <w:r>
            <w:rPr>
              <w:rFonts w:ascii="宋体" w:hAnsi="宋体" w:cs="宋体"/>
              <w:color w:val="000000" w:themeColor="text1"/>
            </w:rPr>
            <w:t>、高级管理人员保证</w:t>
          </w:r>
          <w:r>
            <w:rPr>
              <w:rFonts w:ascii="宋体" w:hAnsi="宋体" w:cs="宋体" w:hint="eastAsia"/>
              <w:color w:val="000000" w:themeColor="text1"/>
            </w:rPr>
            <w:t>半</w:t>
          </w:r>
          <w:r>
            <w:rPr>
              <w:rFonts w:ascii="宋体" w:hAnsi="宋体" w:cs="宋体"/>
              <w:color w:val="000000" w:themeColor="text1"/>
            </w:rPr>
            <w:t>年度报告内容的真实</w:t>
          </w:r>
          <w:r>
            <w:rPr>
              <w:rFonts w:ascii="宋体" w:hAnsi="宋体" w:cs="宋体" w:hint="eastAsia"/>
              <w:color w:val="000000" w:themeColor="text1"/>
            </w:rPr>
            <w:t>性</w:t>
          </w:r>
          <w:r>
            <w:rPr>
              <w:rFonts w:ascii="宋体" w:hAnsi="宋体" w:cs="宋体"/>
              <w:color w:val="000000" w:themeColor="text1"/>
            </w:rPr>
            <w:t>、准确</w:t>
          </w:r>
          <w:r>
            <w:rPr>
              <w:rFonts w:ascii="宋体" w:hAnsi="宋体" w:cs="宋体" w:hint="eastAsia"/>
              <w:color w:val="000000" w:themeColor="text1"/>
            </w:rPr>
            <w:t>性</w:t>
          </w:r>
          <w:r>
            <w:rPr>
              <w:rFonts w:ascii="宋体" w:hAnsi="宋体" w:cs="宋体"/>
              <w:color w:val="000000" w:themeColor="text1"/>
            </w:rPr>
            <w:t>、完整</w:t>
          </w:r>
          <w:r>
            <w:rPr>
              <w:rFonts w:ascii="宋体" w:hAnsi="宋体" w:cs="宋体" w:hint="eastAsia"/>
              <w:color w:val="000000" w:themeColor="text1"/>
            </w:rPr>
            <w:t>性</w:t>
          </w:r>
          <w:r>
            <w:rPr>
              <w:rFonts w:ascii="宋体" w:hAnsi="宋体" w:cs="宋体"/>
              <w:color w:val="000000" w:themeColor="text1"/>
            </w:rPr>
            <w:t>，不存在虚假记载、误导性陈述或重大遗漏，并承担个别和连带的法律责任。</w:t>
          </w:r>
        </w:p>
      </w:sdtContent>
    </w:sdt>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bookmarkStart w:id="1" w:name="_Hlk106871957"/>
      <w:bookmarkEnd w:id="1"/>
      <w:r>
        <w:rPr>
          <w:rFonts w:ascii="宋体" w:hAnsi="宋体" w:cs="宋体"/>
          <w:color w:val="000000" w:themeColor="text1"/>
        </w:rPr>
        <w:t>公司</w:t>
      </w:r>
      <w:sdt>
        <w:sdtPr>
          <w:tag w:val="_GBC_2e0ee33ebae04a83b92e8b1aa6754169"/>
          <w:id w:val="-372005437"/>
        </w:sdtPr>
        <w:sdtEndPr/>
        <w:sdtContent>
          <w:r>
            <w:rPr>
              <w:rFonts w:ascii="宋体" w:hAnsi="宋体" w:cs="宋体"/>
              <w:color w:val="000000" w:themeColor="text1"/>
            </w:rPr>
            <w:t>全体董事出席</w:t>
          </w:r>
        </w:sdtContent>
      </w:sdt>
      <w:r>
        <w:rPr>
          <w:rFonts w:ascii="宋体" w:hAnsi="宋体" w:cs="宋体"/>
          <w:color w:val="000000" w:themeColor="text1"/>
        </w:rPr>
        <w:t>董事会会议。</w:t>
      </w:r>
    </w:p>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本半年度报告</w:t>
      </w:r>
      <w:sdt>
        <w:sdtPr>
          <w:tag w:val="_GBC_be15b7a71d95430e82193d4cab461623"/>
          <w:id w:val="2143455140"/>
        </w:sdtPr>
        <w:sdtEndPr/>
        <w:sdtContent>
          <w:r>
            <w:rPr>
              <w:rFonts w:ascii="宋体" w:hAnsi="宋体" w:cs="宋体"/>
              <w:color w:val="000000" w:themeColor="text1"/>
            </w:rPr>
            <w:t>未经审计</w:t>
          </w:r>
        </w:sdtContent>
      </w:sdt>
      <w:r>
        <w:rPr>
          <w:rFonts w:ascii="宋体" w:hAnsi="宋体" w:cs="宋体"/>
          <w:color w:val="000000" w:themeColor="text1"/>
        </w:rPr>
        <w:t>。</w:t>
      </w:r>
    </w:p>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公司负责人</w:t>
      </w:r>
      <w:sdt>
        <w:sdtPr>
          <w:rPr>
            <w:rFonts w:ascii="宋体" w:hAnsi="宋体" w:hint="eastAsia"/>
            <w:color w:val="000000" w:themeColor="text1"/>
          </w:rPr>
          <w:alias w:val="公司负责人姓名"/>
          <w:tag w:val="_GBC_ee6b72f666bb497bbe8fc037096654d2"/>
          <w:id w:val="-256211590"/>
          <w:placeholder>
            <w:docPart w:val="GBC22222222222222222222222222222"/>
          </w:placeholder>
          <w:dataBinding w:prefixMappings="xmlns:clcid-mr='clcid-mr'" w:xpath="/*/clcid-mr:GongSiFuZeRenXingMing[not(@periodRef)]" w:storeItemID="{89EBAB94-44A0-46A2-B712-30D997D04A6D}"/>
          <w:text/>
        </w:sdtPr>
        <w:sdtEndPr/>
        <w:sdtContent>
          <w:r>
            <w:rPr>
              <w:rFonts w:ascii="宋体" w:hAnsi="宋体" w:cs="宋体"/>
              <w:color w:val="000000" w:themeColor="text1"/>
            </w:rPr>
            <w:t>杨泽民</w:t>
          </w:r>
        </w:sdtContent>
      </w:sdt>
      <w:r>
        <w:rPr>
          <w:rFonts w:ascii="宋体" w:hAnsi="宋体" w:cs="宋体"/>
          <w:color w:val="000000" w:themeColor="text1"/>
        </w:rPr>
        <w:t>、主管会计工作负责人</w:t>
      </w:r>
      <w:sdt>
        <w:sdtPr>
          <w:rPr>
            <w:rFonts w:ascii="宋体" w:hAnsi="宋体" w:hint="eastAsia"/>
            <w:color w:val="000000" w:themeColor="text1"/>
          </w:rPr>
          <w:alias w:val="主管会计工作负责人姓名"/>
          <w:tag w:val="_GBC_51ed55c6ff134dadaa6756998c964cdf"/>
          <w:id w:val="-37203809"/>
          <w:placeholder>
            <w:docPart w:val="GBC22222222222222222222222222222"/>
          </w:placeholder>
          <w:dataBinding w:prefixMappings="xmlns:clcid-mr='clcid-mr'" w:xpath="/*/clcid-mr:ZhuGuanKuaiJiGongZuoFuZeRenXingMing[not(@periodRef)]" w:storeItemID="{89EBAB94-44A0-46A2-B712-30D997D04A6D}"/>
          <w:text/>
        </w:sdtPr>
        <w:sdtEndPr/>
        <w:sdtContent>
          <w:r>
            <w:rPr>
              <w:rFonts w:ascii="宋体" w:hAnsi="宋体" w:cs="宋体"/>
              <w:color w:val="000000" w:themeColor="text1"/>
            </w:rPr>
            <w:t>杨万华</w:t>
          </w:r>
        </w:sdtContent>
      </w:sdt>
      <w:r>
        <w:rPr>
          <w:rFonts w:ascii="宋体" w:hAnsi="宋体" w:cs="宋体"/>
          <w:color w:val="000000" w:themeColor="text1"/>
        </w:rPr>
        <w:t>及会计机构负责人（会计主管人员）</w:t>
      </w:r>
      <w:sdt>
        <w:sdtPr>
          <w:rPr>
            <w:rFonts w:ascii="宋体" w:hAnsi="宋体" w:hint="eastAsia"/>
            <w:color w:val="000000" w:themeColor="text1"/>
          </w:rPr>
          <w:alias w:val="会计机构负责人姓名"/>
          <w:tag w:val="_GBC_aa7d9e44d6e64b9abdcdefb4a3968427"/>
          <w:id w:val="791095589"/>
          <w:placeholder>
            <w:docPart w:val="GBC22222222222222222222222222222"/>
          </w:placeholder>
          <w:dataBinding w:prefixMappings="xmlns:clcid-mr='clcid-mr'" w:xpath="/*/clcid-mr:KuaiJiJiGouFuZeRenXingMing[not(@periodRef)]" w:storeItemID="{89EBAB94-44A0-46A2-B712-30D997D04A6D}"/>
          <w:text/>
        </w:sdtPr>
        <w:sdtEndPr/>
        <w:sdtContent>
          <w:r>
            <w:rPr>
              <w:rFonts w:ascii="宋体" w:hAnsi="宋体" w:cs="宋体"/>
              <w:color w:val="000000" w:themeColor="text1"/>
            </w:rPr>
            <w:t>冯波</w:t>
          </w:r>
        </w:sdtContent>
      </w:sdt>
      <w:r>
        <w:rPr>
          <w:rFonts w:ascii="宋体" w:hAnsi="宋体" w:cs="宋体"/>
          <w:color w:val="000000" w:themeColor="text1"/>
        </w:rPr>
        <w:t>声明：保证半年度报告中财务报告的真实、准确、完整。</w:t>
      </w:r>
    </w:p>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董事会决议通过的本报告期利润分配预案或公积金转增股本预案</w:t>
      </w:r>
    </w:p>
    <w:sdt>
      <w:sdtPr>
        <w:rPr>
          <w:rFonts w:hint="eastAsia"/>
          <w:color w:val="000000" w:themeColor="text1"/>
        </w:rPr>
        <w:alias w:val="经董事会审议的报告期利润分配预案或公积金转增股本预案"/>
        <w:tag w:val="_GBC_7676626d447143468bebcc8d267ec746"/>
        <w:id w:val="-1374142596"/>
        <w:placeholder>
          <w:docPart w:val="GBC22222222222222222222222222222"/>
        </w:placeholder>
      </w:sdtPr>
      <w:sdtEndPr/>
      <w:sdtContent>
        <w:p w:rsidR="00156DD6" w:rsidRDefault="00D51F5F">
          <w:pPr>
            <w:kinsoku w:val="0"/>
            <w:overflowPunct w:val="0"/>
            <w:autoSpaceDE w:val="0"/>
            <w:autoSpaceDN w:val="0"/>
            <w:adjustRightInd w:val="0"/>
            <w:snapToGrid w:val="0"/>
            <w:spacing w:line="360" w:lineRule="exact"/>
            <w:rPr>
              <w:color w:val="000000" w:themeColor="text1"/>
            </w:rPr>
          </w:pPr>
          <w:r>
            <w:rPr>
              <w:rFonts w:hint="eastAsia"/>
              <w:color w:val="000000" w:themeColor="text1"/>
            </w:rPr>
            <w:t>无</w:t>
          </w:r>
        </w:p>
      </w:sdtContent>
    </w:sdt>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前瞻性陈述的风险声明</w:t>
      </w:r>
    </w:p>
    <w:sdt>
      <w:sdtPr>
        <w:rPr>
          <w:color w:val="000000" w:themeColor="text1"/>
        </w:rPr>
        <w:alias w:val="是否适用：前瞻性陈述的风险声明[双击切换]"/>
        <w:tag w:val="_GBC_6a28949332914149bda7cc0225d614b7"/>
        <w:id w:val="-89873882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公司对报告涉及未来计划等前瞻性陈述的声明"/>
        <w:tag w:val="_GBC_6511b5aecc604062ad93b5fbd25fd19b"/>
        <w:id w:val="-714265612"/>
        <w:placeholder>
          <w:docPart w:val="GBC22222222222222222222222222222"/>
        </w:placeholder>
      </w:sdtPr>
      <w:sdtEndPr/>
      <w:sdtContent>
        <w:p w:rsidR="00156DD6" w:rsidRDefault="00D51F5F">
          <w:pPr>
            <w:kinsoku w:val="0"/>
            <w:overflowPunct w:val="0"/>
            <w:autoSpaceDE w:val="0"/>
            <w:autoSpaceDN w:val="0"/>
            <w:adjustRightInd w:val="0"/>
            <w:snapToGrid w:val="0"/>
            <w:spacing w:line="360" w:lineRule="exact"/>
            <w:ind w:firstLineChars="200" w:firstLine="420"/>
            <w:rPr>
              <w:color w:val="000000" w:themeColor="text1"/>
            </w:rPr>
          </w:pPr>
          <w:r>
            <w:rPr>
              <w:rFonts w:hint="eastAsia"/>
              <w:color w:val="000000" w:themeColor="text1"/>
            </w:rPr>
            <w:t>本报告包含若干公司对未来发展战略、业务规划、经营计划、财务预计等前瞻性描述；这些</w:t>
          </w:r>
        </w:p>
        <w:p w:rsidR="00156DD6" w:rsidRDefault="00D51F5F">
          <w:pPr>
            <w:kinsoku w:val="0"/>
            <w:overflowPunct w:val="0"/>
            <w:autoSpaceDE w:val="0"/>
            <w:autoSpaceDN w:val="0"/>
            <w:adjustRightInd w:val="0"/>
            <w:snapToGrid w:val="0"/>
            <w:spacing w:line="360" w:lineRule="exact"/>
            <w:rPr>
              <w:color w:val="000000" w:themeColor="text1"/>
            </w:rPr>
          </w:pPr>
          <w:r>
            <w:rPr>
              <w:rFonts w:hint="eastAsia"/>
              <w:color w:val="000000" w:themeColor="text1"/>
            </w:rPr>
            <w:t>陈述基于当前能够掌握的信息与数据对未来所做出的估计</w:t>
          </w:r>
          <w:r>
            <w:rPr>
              <w:rFonts w:hint="eastAsia"/>
              <w:color w:val="000000" w:themeColor="text1"/>
            </w:rPr>
            <w:t>或预测，不构成公司对投资者的实质承</w:t>
          </w:r>
        </w:p>
        <w:p w:rsidR="00156DD6" w:rsidRDefault="00D51F5F">
          <w:pPr>
            <w:kinsoku w:val="0"/>
            <w:overflowPunct w:val="0"/>
            <w:autoSpaceDE w:val="0"/>
            <w:autoSpaceDN w:val="0"/>
            <w:adjustRightInd w:val="0"/>
            <w:snapToGrid w:val="0"/>
            <w:spacing w:line="360" w:lineRule="exact"/>
            <w:rPr>
              <w:color w:val="000000" w:themeColor="text1"/>
            </w:rPr>
          </w:pPr>
          <w:r>
            <w:rPr>
              <w:rFonts w:hint="eastAsia"/>
              <w:color w:val="000000" w:themeColor="text1"/>
            </w:rPr>
            <w:t>诺，敬请投资者注意投资风险。</w:t>
          </w:r>
        </w:p>
      </w:sdtContent>
    </w:sdt>
    <w:p w:rsidR="00156DD6" w:rsidRDefault="00156DD6">
      <w:pPr>
        <w:kinsoku w:val="0"/>
        <w:overflowPunct w:val="0"/>
        <w:autoSpaceDE w:val="0"/>
        <w:autoSpaceDN w:val="0"/>
        <w:adjustRightInd w:val="0"/>
        <w:snapToGrid w:val="0"/>
        <w:spacing w:line="360" w:lineRule="exact"/>
        <w:rPr>
          <w:color w:val="000000" w:themeColor="text1"/>
        </w:rPr>
      </w:pPr>
    </w:p>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是否存在被控股股东及其他关联方非经营性占用资金情况</w:t>
      </w:r>
    </w:p>
    <w:sdt>
      <w:sdtPr>
        <w:rPr>
          <w:rFonts w:hint="eastAsia"/>
          <w:bCs w:val="0"/>
          <w:color w:val="000000" w:themeColor="text1"/>
        </w:rPr>
        <w:alias w:val="本公司是否存在大股东占用资金情况"/>
        <w:tag w:val="_GBC_a32400ff33ee44d89632e0d79a7f2c42"/>
        <w:id w:val="1891849751"/>
        <w:placeholder>
          <w:docPart w:val="GBC22222222222222222222222222222"/>
        </w:placeholder>
        <w:comboBox>
          <w:listItem w:displayText="是" w:value="true"/>
          <w:listItem w:displayText="否" w:value="false"/>
        </w:comboBox>
      </w:sdtPr>
      <w:sdtEndPr/>
      <w:sdtContent>
        <w:p w:rsidR="00156DD6" w:rsidRDefault="00D51F5F">
          <w:pPr>
            <w:kinsoku w:val="0"/>
            <w:overflowPunct w:val="0"/>
            <w:autoSpaceDE w:val="0"/>
            <w:autoSpaceDN w:val="0"/>
            <w:adjustRightInd w:val="0"/>
            <w:snapToGrid w:val="0"/>
            <w:spacing w:line="360" w:lineRule="exact"/>
            <w:rPr>
              <w:bCs w:val="0"/>
              <w:color w:val="000000" w:themeColor="text1"/>
            </w:rPr>
          </w:pPr>
          <w:r>
            <w:rPr>
              <w:rFonts w:hint="eastAsia"/>
              <w:bCs w:val="0"/>
              <w:color w:val="000000" w:themeColor="text1"/>
            </w:rPr>
            <w:t>否</w:t>
          </w:r>
        </w:p>
      </w:sdtContent>
    </w:sdt>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是否存在违反规定决策程序对外提供担保的情况</w:t>
      </w:r>
    </w:p>
    <w:sdt>
      <w:sdtPr>
        <w:rPr>
          <w:rFonts w:hint="eastAsia"/>
          <w:color w:val="000000" w:themeColor="text1"/>
        </w:rPr>
        <w:alias w:val="本公司是否存在违反规定决策程序对外提供担保的情况"/>
        <w:tag w:val="_GBC_3bc3f02bd342494aa2858bb9a39d8458"/>
        <w:id w:val="29539926"/>
        <w:placeholder>
          <w:docPart w:val="GBC22222222222222222222222222222"/>
        </w:placeholder>
        <w:comboBox>
          <w:listItem w:displayText="是" w:value="true"/>
          <w:listItem w:displayText="否" w:value="false"/>
        </w:comboBox>
      </w:sdtPr>
      <w:sdtEndPr/>
      <w:sdtContent>
        <w:p w:rsidR="00156DD6" w:rsidRDefault="00D51F5F">
          <w:pPr>
            <w:rPr>
              <w:color w:val="000000" w:themeColor="text1"/>
            </w:rPr>
          </w:pPr>
          <w:r>
            <w:rPr>
              <w:rFonts w:hint="eastAsia"/>
              <w:color w:val="000000" w:themeColor="text1"/>
            </w:rPr>
            <w:t>否</w:t>
          </w:r>
        </w:p>
      </w:sdtContent>
    </w:sdt>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bookmarkStart w:id="2" w:name="_Hlk61881950"/>
      <w:bookmarkStart w:id="3" w:name="_Hlk72769553"/>
      <w:r>
        <w:rPr>
          <w:rFonts w:ascii="宋体" w:hAnsi="宋体" w:cs="宋体"/>
          <w:color w:val="000000" w:themeColor="text1"/>
        </w:rPr>
        <w:t>是否存在半数以上董事无法保证公司所披露半年度报告的真实性、准确性和完整性</w:t>
      </w:r>
      <w:bookmarkEnd w:id="2"/>
    </w:p>
    <w:sdt>
      <w:sdtPr>
        <w:rPr>
          <w:rFonts w:hint="eastAsia"/>
          <w:color w:val="000000" w:themeColor="text1"/>
        </w:rPr>
        <w:alias w:val="是否存在半数以上董事无法保证公司所披露年度报告的真实性、准确性和完整性"/>
        <w:tag w:val="_GBC_016ca2a0d8c2429a89679ee7fdc015c2"/>
        <w:id w:val="1575166563"/>
        <w:placeholder>
          <w:docPart w:val="GBC22222222222222222222222222222"/>
        </w:placeholder>
        <w:comboBox>
          <w:listItem w:displayText="是" w:value="true"/>
          <w:listItem w:displayText="否" w:value="false"/>
        </w:comboBox>
      </w:sdtPr>
      <w:sdtEndPr/>
      <w:sdtContent>
        <w:p w:rsidR="00156DD6" w:rsidRDefault="00D51F5F">
          <w:pPr>
            <w:rPr>
              <w:color w:val="000000" w:themeColor="text1"/>
            </w:rPr>
          </w:pPr>
          <w:r>
            <w:rPr>
              <w:rFonts w:hint="eastAsia"/>
              <w:color w:val="000000" w:themeColor="text1"/>
            </w:rPr>
            <w:t>否</w:t>
          </w:r>
        </w:p>
      </w:sdtContent>
    </w:sdt>
    <w:bookmarkEnd w:id="3"/>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重大风险提示</w:t>
      </w:r>
    </w:p>
    <w:sdt>
      <w:sdtPr>
        <w:rPr>
          <w:rFonts w:hint="eastAsia"/>
          <w:color w:val="000000" w:themeColor="text1"/>
        </w:rPr>
        <w:alias w:val="重大风险提示"/>
        <w:tag w:val="_GBC_d0220f8592e64dd1b898937e183da1e3"/>
        <w:id w:val="-1927716198"/>
        <w:placeholder>
          <w:docPart w:val="GBC22222222222222222222222222222"/>
        </w:placeholder>
      </w:sdtPr>
      <w:sdtEndPr/>
      <w:sdtContent>
        <w:p w:rsidR="00156DD6" w:rsidRDefault="00D51F5F">
          <w:pPr>
            <w:rPr>
              <w:color w:val="000000" w:themeColor="text1"/>
            </w:rPr>
          </w:pPr>
          <w:r>
            <w:rPr>
              <w:rFonts w:hint="eastAsia"/>
              <w:color w:val="000000" w:themeColor="text1"/>
            </w:rPr>
            <w:t>公司已在本报告中详细阐述了公司在生产经营过程中可能面临的各种风险及应对措施，敬请</w:t>
          </w:r>
        </w:p>
        <w:p w:rsidR="00156DD6" w:rsidRDefault="00D51F5F">
          <w:pPr>
            <w:rPr>
              <w:color w:val="000000" w:themeColor="text1"/>
            </w:rPr>
          </w:pPr>
          <w:r>
            <w:rPr>
              <w:rFonts w:hint="eastAsia"/>
              <w:color w:val="000000" w:themeColor="text1"/>
            </w:rPr>
            <w:t>查阅第三节、五（一）“可能面对的风险”部分。</w:t>
          </w:r>
        </w:p>
      </w:sdtContent>
    </w:sdt>
    <w:p w:rsidR="00156DD6" w:rsidRDefault="00D51F5F">
      <w:pPr>
        <w:pStyle w:val="2"/>
        <w:numPr>
          <w:ilvl w:val="0"/>
          <w:numId w:val="1"/>
        </w:numPr>
        <w:tabs>
          <w:tab w:val="left" w:pos="434"/>
        </w:tabs>
        <w:spacing w:before="0" w:after="0" w:line="360" w:lineRule="auto"/>
        <w:ind w:left="0" w:firstLine="0"/>
        <w:rPr>
          <w:rFonts w:ascii="宋体" w:hAnsi="宋体"/>
          <w:color w:val="000000" w:themeColor="text1"/>
        </w:rPr>
      </w:pPr>
      <w:r>
        <w:rPr>
          <w:rFonts w:ascii="宋体" w:hAnsi="宋体" w:cs="宋体"/>
          <w:color w:val="000000" w:themeColor="text1"/>
        </w:rPr>
        <w:t>其他</w:t>
      </w:r>
    </w:p>
    <w:sdt>
      <w:sdtPr>
        <w:rPr>
          <w:color w:val="000000" w:themeColor="text1"/>
        </w:rPr>
        <w:alias w:val="是否适用：其他重要提示[双击切换]"/>
        <w:tag w:val="_GBC_3a91363d913942688077b069148debc5"/>
        <w:id w:val="15666419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sectPr w:rsidR="00156DD6">
          <w:headerReference w:type="default" r:id="rId14"/>
          <w:footerReference w:type="default" r:id="rId15"/>
          <w:pgSz w:w="11906" w:h="16838"/>
          <w:pgMar w:top="1525" w:right="1276" w:bottom="1440" w:left="1797" w:header="855" w:footer="992" w:gutter="0"/>
          <w:cols w:space="425"/>
          <w:docGrid w:linePitch="312"/>
        </w:sectPr>
      </w:pPr>
    </w:p>
    <w:p w:rsidR="00156DD6" w:rsidRDefault="00156DD6">
      <w:pPr>
        <w:rPr>
          <w:color w:val="000000" w:themeColor="text1"/>
        </w:rPr>
      </w:pPr>
    </w:p>
    <w:p w:rsidR="00156DD6" w:rsidRDefault="00D51F5F">
      <w:pPr>
        <w:kinsoku w:val="0"/>
        <w:overflowPunct w:val="0"/>
        <w:autoSpaceDE w:val="0"/>
        <w:autoSpaceDN w:val="0"/>
        <w:adjustRightInd w:val="0"/>
        <w:snapToGrid w:val="0"/>
        <w:spacing w:line="360" w:lineRule="auto"/>
        <w:jc w:val="center"/>
      </w:pPr>
      <w:r>
        <w:rPr>
          <w:rFonts w:hint="eastAsia"/>
          <w:b/>
          <w:color w:val="000000" w:themeColor="text1"/>
          <w:sz w:val="32"/>
          <w:szCs w:val="32"/>
        </w:rPr>
        <w:t>目录</w:t>
      </w:r>
      <w:r>
        <w:rPr>
          <w:color w:val="000000" w:themeColor="text1"/>
          <w:shd w:val="pct15" w:color="auto" w:fill="FFFFFF"/>
        </w:rPr>
        <w:fldChar w:fldCharType="begin"/>
      </w:r>
      <w:r>
        <w:rPr>
          <w:color w:val="000000" w:themeColor="text1"/>
          <w:shd w:val="pct15" w:color="auto" w:fill="FFFFFF"/>
        </w:rPr>
        <w:instrText xml:space="preserve"> TOC \o "1-1" \h \z \u </w:instrText>
      </w:r>
      <w:r>
        <w:rPr>
          <w:color w:val="000000" w:themeColor="text1"/>
          <w:shd w:val="pct15" w:color="auto" w:fill="FFFFFF"/>
        </w:rPr>
        <w:fldChar w:fldCharType="separate"/>
      </w:r>
    </w:p>
    <w:p w:rsidR="00156DD6" w:rsidRDefault="00D51F5F">
      <w:pPr>
        <w:pStyle w:val="11"/>
        <w:tabs>
          <w:tab w:val="left" w:pos="1050"/>
          <w:tab w:val="right" w:leader="dot" w:pos="8823"/>
        </w:tabs>
        <w:ind w:left="422" w:hanging="422"/>
        <w:rPr>
          <w:rFonts w:asciiTheme="minorHAnsi" w:eastAsiaTheme="minorEastAsia" w:hAnsiTheme="minorHAnsi" w:cstheme="minorBidi"/>
          <w:b w:val="0"/>
          <w:bCs w:val="0"/>
          <w:caps w:val="0"/>
          <w:kern w:val="2"/>
          <w:sz w:val="22"/>
          <w:szCs w:val="24"/>
          <w14:ligatures w14:val="standardContextual"/>
        </w:rPr>
      </w:pPr>
      <w:hyperlink w:anchor="_Toc200030539" w:history="1">
        <w:r>
          <w:rPr>
            <w:rFonts w:ascii="黑体" w:hAnsi="黑体" w:hint="eastAsia"/>
          </w:rPr>
          <w:t>第一节</w:t>
        </w:r>
        <w:r>
          <w:rPr>
            <w:rFonts w:asciiTheme="minorHAnsi" w:eastAsiaTheme="minorEastAsia" w:hAnsiTheme="minorHAnsi" w:cstheme="minorBidi" w:hint="eastAsia"/>
            <w:b w:val="0"/>
            <w:bCs w:val="0"/>
            <w:caps w:val="0"/>
            <w:kern w:val="2"/>
            <w:sz w:val="22"/>
            <w:szCs w:val="24"/>
            <w14:ligatures w14:val="standardContextual"/>
          </w:rPr>
          <w:tab/>
        </w:r>
        <w:r>
          <w:rPr>
            <w:rFonts w:ascii="黑体" w:hAnsi="黑体" w:hint="eastAsia"/>
          </w:rPr>
          <w:t>释义</w:t>
        </w:r>
        <w:r>
          <w:rPr>
            <w:rFonts w:hint="eastAsia"/>
          </w:rPr>
          <w:tab/>
        </w:r>
        <w:r>
          <w:rPr>
            <w:rFonts w:hint="eastAsia"/>
          </w:rPr>
          <w:fldChar w:fldCharType="begin"/>
        </w:r>
        <w:r>
          <w:rPr>
            <w:rFonts w:hint="eastAsia"/>
          </w:rPr>
          <w:instrText xml:space="preserve"> </w:instrText>
        </w:r>
        <w:r>
          <w:instrText>PAGEREF _Toc200030539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rsidR="00156DD6" w:rsidRDefault="00D51F5F">
      <w:pPr>
        <w:pStyle w:val="11"/>
        <w:tabs>
          <w:tab w:val="left" w:pos="1050"/>
          <w:tab w:val="right" w:leader="dot" w:pos="8823"/>
        </w:tabs>
        <w:ind w:left="422" w:hanging="422"/>
        <w:rPr>
          <w:rFonts w:asciiTheme="minorHAnsi" w:eastAsiaTheme="minorEastAsia" w:hAnsiTheme="minorHAnsi" w:cstheme="minorBidi"/>
          <w:b w:val="0"/>
          <w:bCs w:val="0"/>
          <w:caps w:val="0"/>
          <w:kern w:val="2"/>
          <w:sz w:val="22"/>
          <w:szCs w:val="24"/>
          <w14:ligatures w14:val="standardContextual"/>
        </w:rPr>
      </w:pPr>
      <w:hyperlink w:anchor="_Toc200030540" w:history="1">
        <w:r>
          <w:rPr>
            <w:rFonts w:ascii="黑体" w:hAnsi="黑体" w:hint="eastAsia"/>
          </w:rPr>
          <w:t>第二节</w:t>
        </w:r>
        <w:r>
          <w:rPr>
            <w:rFonts w:asciiTheme="minorHAnsi" w:eastAsiaTheme="minorEastAsia" w:hAnsiTheme="minorHAnsi" w:cstheme="minorBidi" w:hint="eastAsia"/>
            <w:b w:val="0"/>
            <w:bCs w:val="0"/>
            <w:caps w:val="0"/>
            <w:kern w:val="2"/>
            <w:sz w:val="22"/>
            <w:szCs w:val="24"/>
            <w14:ligatures w14:val="standardContextual"/>
          </w:rPr>
          <w:tab/>
        </w:r>
        <w:r>
          <w:rPr>
            <w:rFonts w:ascii="黑体" w:hAnsi="黑体" w:hint="eastAsia"/>
          </w:rPr>
          <w:t>公司简介和主要财务指标</w:t>
        </w:r>
        <w:r>
          <w:rPr>
            <w:rFonts w:hint="eastAsia"/>
          </w:rPr>
          <w:tab/>
        </w:r>
        <w:r>
          <w:rPr>
            <w:rFonts w:hint="eastAsia"/>
          </w:rPr>
          <w:fldChar w:fldCharType="begin"/>
        </w:r>
        <w:r>
          <w:rPr>
            <w:rFonts w:hint="eastAsia"/>
          </w:rPr>
          <w:instrText xml:space="preserve"> </w:instrText>
        </w:r>
        <w:r>
          <w:instrText>PAGEREF _Toc200030540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rsidR="00156DD6" w:rsidRDefault="00D51F5F">
      <w:pPr>
        <w:pStyle w:val="11"/>
        <w:tabs>
          <w:tab w:val="left" w:pos="1050"/>
          <w:tab w:val="right" w:leader="dot" w:pos="8823"/>
        </w:tabs>
        <w:ind w:left="422" w:hanging="422"/>
        <w:rPr>
          <w:rFonts w:asciiTheme="minorHAnsi" w:eastAsiaTheme="minorEastAsia" w:hAnsiTheme="minorHAnsi" w:cstheme="minorBidi"/>
          <w:b w:val="0"/>
          <w:bCs w:val="0"/>
          <w:caps w:val="0"/>
          <w:kern w:val="2"/>
          <w:sz w:val="22"/>
          <w:szCs w:val="24"/>
          <w14:ligatures w14:val="standardContextual"/>
        </w:rPr>
      </w:pPr>
      <w:hyperlink w:anchor="_Toc200030541" w:history="1">
        <w:r>
          <w:rPr>
            <w:rFonts w:ascii="黑体" w:hAnsi="黑体" w:hint="eastAsia"/>
          </w:rPr>
          <w:t>第三节</w:t>
        </w:r>
        <w:r>
          <w:rPr>
            <w:rFonts w:asciiTheme="minorHAnsi" w:eastAsiaTheme="minorEastAsia" w:hAnsiTheme="minorHAnsi" w:cstheme="minorBidi" w:hint="eastAsia"/>
            <w:b w:val="0"/>
            <w:bCs w:val="0"/>
            <w:caps w:val="0"/>
            <w:kern w:val="2"/>
            <w:sz w:val="22"/>
            <w:szCs w:val="24"/>
            <w14:ligatures w14:val="standardContextual"/>
          </w:rPr>
          <w:tab/>
        </w:r>
        <w:r>
          <w:rPr>
            <w:rFonts w:ascii="黑体" w:hAnsi="黑体" w:hint="eastAsia"/>
          </w:rPr>
          <w:t>管理层讨论与分析</w:t>
        </w:r>
        <w:r>
          <w:rPr>
            <w:rFonts w:hint="eastAsia"/>
          </w:rPr>
          <w:tab/>
        </w:r>
        <w:r>
          <w:rPr>
            <w:rFonts w:hint="eastAsia"/>
          </w:rPr>
          <w:fldChar w:fldCharType="begin"/>
        </w:r>
        <w:r>
          <w:rPr>
            <w:rFonts w:hint="eastAsia"/>
          </w:rPr>
          <w:instrText xml:space="preserve"> </w:instrText>
        </w:r>
        <w:r>
          <w:instrText>PAGEREF _Toc200030541 \h</w:instrText>
        </w:r>
        <w:r>
          <w:rPr>
            <w:rFonts w:hint="eastAsia"/>
          </w:rPr>
          <w:instrText xml:space="preserve"> </w:instrText>
        </w:r>
        <w:r>
          <w:rPr>
            <w:rFonts w:hint="eastAsia"/>
          </w:rPr>
        </w:r>
        <w:r>
          <w:rPr>
            <w:rFonts w:hint="eastAsia"/>
          </w:rPr>
          <w:fldChar w:fldCharType="separate"/>
        </w:r>
        <w:r>
          <w:t>9</w:t>
        </w:r>
        <w:r>
          <w:rPr>
            <w:rFonts w:hint="eastAsia"/>
          </w:rPr>
          <w:fldChar w:fldCharType="end"/>
        </w:r>
      </w:hyperlink>
    </w:p>
    <w:p w:rsidR="00156DD6" w:rsidRDefault="00D51F5F">
      <w:pPr>
        <w:pStyle w:val="11"/>
        <w:tabs>
          <w:tab w:val="left" w:pos="1050"/>
          <w:tab w:val="right" w:leader="dot" w:pos="8823"/>
        </w:tabs>
        <w:ind w:left="422" w:hanging="422"/>
        <w:rPr>
          <w:rFonts w:asciiTheme="minorHAnsi" w:eastAsiaTheme="minorEastAsia" w:hAnsiTheme="minorHAnsi" w:cstheme="minorBidi"/>
          <w:b w:val="0"/>
          <w:bCs w:val="0"/>
          <w:caps w:val="0"/>
          <w:kern w:val="2"/>
          <w:sz w:val="22"/>
          <w:szCs w:val="24"/>
          <w14:ligatures w14:val="standardContextual"/>
        </w:rPr>
      </w:pPr>
      <w:hyperlink w:anchor="_Toc200030542" w:history="1">
        <w:r>
          <w:rPr>
            <w:rFonts w:ascii="黑体" w:hAnsi="黑体" w:hint="eastAsia"/>
          </w:rPr>
          <w:t>第四节</w:t>
        </w:r>
        <w:r>
          <w:rPr>
            <w:rFonts w:asciiTheme="minorHAnsi" w:eastAsiaTheme="minorEastAsia" w:hAnsiTheme="minorHAnsi" w:cstheme="minorBidi" w:hint="eastAsia"/>
            <w:b w:val="0"/>
            <w:bCs w:val="0"/>
            <w:caps w:val="0"/>
            <w:kern w:val="2"/>
            <w:sz w:val="22"/>
            <w:szCs w:val="24"/>
            <w14:ligatures w14:val="standardContextual"/>
          </w:rPr>
          <w:tab/>
        </w:r>
        <w:r>
          <w:rPr>
            <w:rFonts w:ascii="黑体" w:hAnsi="黑体" w:hint="eastAsia"/>
          </w:rPr>
          <w:t>公司治理、环境和社会</w:t>
        </w:r>
        <w:r>
          <w:rPr>
            <w:rFonts w:hint="eastAsia"/>
          </w:rPr>
          <w:tab/>
        </w:r>
        <w:r>
          <w:rPr>
            <w:rFonts w:hint="eastAsia"/>
          </w:rPr>
          <w:fldChar w:fldCharType="begin"/>
        </w:r>
        <w:r>
          <w:rPr>
            <w:rFonts w:hint="eastAsia"/>
          </w:rPr>
          <w:instrText xml:space="preserve"> </w:instrText>
        </w:r>
        <w:r>
          <w:instrText>PAGEREF _Toc200030542 \h</w:instrText>
        </w:r>
        <w:r>
          <w:rPr>
            <w:rFonts w:hint="eastAsia"/>
          </w:rPr>
          <w:instrText xml:space="preserve"> </w:instrText>
        </w:r>
        <w:r>
          <w:rPr>
            <w:rFonts w:hint="eastAsia"/>
          </w:rPr>
        </w:r>
        <w:r>
          <w:rPr>
            <w:rFonts w:hint="eastAsia"/>
          </w:rPr>
          <w:fldChar w:fldCharType="separate"/>
        </w:r>
        <w:r>
          <w:t>16</w:t>
        </w:r>
        <w:r>
          <w:rPr>
            <w:rFonts w:hint="eastAsia"/>
          </w:rPr>
          <w:fldChar w:fldCharType="end"/>
        </w:r>
      </w:hyperlink>
    </w:p>
    <w:p w:rsidR="00156DD6" w:rsidRDefault="00D51F5F">
      <w:pPr>
        <w:pStyle w:val="11"/>
        <w:tabs>
          <w:tab w:val="left" w:pos="1050"/>
          <w:tab w:val="right" w:leader="dot" w:pos="8823"/>
        </w:tabs>
        <w:ind w:left="422" w:hanging="422"/>
        <w:rPr>
          <w:rFonts w:asciiTheme="minorHAnsi" w:eastAsiaTheme="minorEastAsia" w:hAnsiTheme="minorHAnsi" w:cstheme="minorBidi"/>
          <w:b w:val="0"/>
          <w:bCs w:val="0"/>
          <w:caps w:val="0"/>
          <w:kern w:val="2"/>
          <w:sz w:val="22"/>
          <w:szCs w:val="24"/>
          <w14:ligatures w14:val="standardContextual"/>
        </w:rPr>
      </w:pPr>
      <w:hyperlink w:anchor="_Toc200030543" w:history="1">
        <w:r>
          <w:rPr>
            <w:rFonts w:ascii="黑体" w:hAnsi="黑体" w:hint="eastAsia"/>
          </w:rPr>
          <w:t>第五节</w:t>
        </w:r>
        <w:r>
          <w:rPr>
            <w:rFonts w:asciiTheme="minorHAnsi" w:eastAsiaTheme="minorEastAsia" w:hAnsiTheme="minorHAnsi" w:cstheme="minorBidi" w:hint="eastAsia"/>
            <w:b w:val="0"/>
            <w:bCs w:val="0"/>
            <w:caps w:val="0"/>
            <w:kern w:val="2"/>
            <w:sz w:val="22"/>
            <w:szCs w:val="24"/>
            <w14:ligatures w14:val="standardContextual"/>
          </w:rPr>
          <w:tab/>
        </w:r>
        <w:r>
          <w:rPr>
            <w:rFonts w:ascii="黑体" w:hAnsi="黑体" w:hint="eastAsia"/>
          </w:rPr>
          <w:t>重要事项</w:t>
        </w:r>
        <w:r>
          <w:rPr>
            <w:rFonts w:hint="eastAsia"/>
          </w:rPr>
          <w:tab/>
        </w:r>
        <w:r>
          <w:rPr>
            <w:rFonts w:hint="eastAsia"/>
          </w:rPr>
          <w:fldChar w:fldCharType="begin"/>
        </w:r>
        <w:r>
          <w:rPr>
            <w:rFonts w:hint="eastAsia"/>
          </w:rPr>
          <w:instrText xml:space="preserve"> </w:instrText>
        </w:r>
        <w:r>
          <w:instrText>PAGEREF _Toc200030543 \h</w:instrText>
        </w:r>
        <w:r>
          <w:rPr>
            <w:rFonts w:hint="eastAsia"/>
          </w:rPr>
          <w:instrText xml:space="preserve"> </w:instrText>
        </w:r>
        <w:r>
          <w:rPr>
            <w:rFonts w:hint="eastAsia"/>
          </w:rPr>
        </w:r>
        <w:r>
          <w:rPr>
            <w:rFonts w:hint="eastAsia"/>
          </w:rPr>
          <w:fldChar w:fldCharType="separate"/>
        </w:r>
        <w:r>
          <w:t>19</w:t>
        </w:r>
        <w:r>
          <w:rPr>
            <w:rFonts w:hint="eastAsia"/>
          </w:rPr>
          <w:fldChar w:fldCharType="end"/>
        </w:r>
      </w:hyperlink>
    </w:p>
    <w:p w:rsidR="00156DD6" w:rsidRDefault="00D51F5F">
      <w:pPr>
        <w:pStyle w:val="11"/>
        <w:tabs>
          <w:tab w:val="left" w:pos="1050"/>
          <w:tab w:val="right" w:leader="dot" w:pos="8823"/>
        </w:tabs>
        <w:ind w:left="422" w:hanging="422"/>
        <w:rPr>
          <w:rFonts w:asciiTheme="minorHAnsi" w:eastAsiaTheme="minorEastAsia" w:hAnsiTheme="minorHAnsi" w:cstheme="minorBidi"/>
          <w:b w:val="0"/>
          <w:bCs w:val="0"/>
          <w:caps w:val="0"/>
          <w:kern w:val="2"/>
          <w:sz w:val="22"/>
          <w:szCs w:val="24"/>
          <w14:ligatures w14:val="standardContextual"/>
        </w:rPr>
      </w:pPr>
      <w:hyperlink w:anchor="_Toc200030544" w:history="1">
        <w:r>
          <w:rPr>
            <w:rFonts w:ascii="黑体" w:hAnsi="黑体" w:hint="eastAsia"/>
          </w:rPr>
          <w:t>第六节</w:t>
        </w:r>
        <w:r>
          <w:rPr>
            <w:rFonts w:asciiTheme="minorHAnsi" w:eastAsiaTheme="minorEastAsia" w:hAnsiTheme="minorHAnsi" w:cstheme="minorBidi" w:hint="eastAsia"/>
            <w:b w:val="0"/>
            <w:bCs w:val="0"/>
            <w:caps w:val="0"/>
            <w:kern w:val="2"/>
            <w:sz w:val="22"/>
            <w:szCs w:val="24"/>
            <w14:ligatures w14:val="standardContextual"/>
          </w:rPr>
          <w:tab/>
        </w:r>
        <w:r>
          <w:rPr>
            <w:rFonts w:ascii="黑体" w:hAnsi="黑体" w:hint="eastAsia"/>
          </w:rPr>
          <w:t>股份变动及股东情况</w:t>
        </w:r>
        <w:r>
          <w:rPr>
            <w:rFonts w:hint="eastAsia"/>
          </w:rPr>
          <w:tab/>
        </w:r>
        <w:r>
          <w:rPr>
            <w:rFonts w:hint="eastAsia"/>
          </w:rPr>
          <w:fldChar w:fldCharType="begin"/>
        </w:r>
        <w:r>
          <w:rPr>
            <w:rFonts w:hint="eastAsia"/>
          </w:rPr>
          <w:instrText xml:space="preserve"> </w:instrText>
        </w:r>
        <w:r>
          <w:instrText>PAGEREF _Toc200030544 \h</w:instrText>
        </w:r>
        <w:r>
          <w:rPr>
            <w:rFonts w:hint="eastAsia"/>
          </w:rPr>
          <w:instrText xml:space="preserve"> </w:instrText>
        </w:r>
        <w:r>
          <w:rPr>
            <w:rFonts w:hint="eastAsia"/>
          </w:rPr>
        </w:r>
        <w:r>
          <w:rPr>
            <w:rFonts w:hint="eastAsia"/>
          </w:rPr>
          <w:fldChar w:fldCharType="separate"/>
        </w:r>
        <w:r>
          <w:t>32</w:t>
        </w:r>
        <w:r>
          <w:rPr>
            <w:rFonts w:hint="eastAsia"/>
          </w:rPr>
          <w:fldChar w:fldCharType="end"/>
        </w:r>
      </w:hyperlink>
    </w:p>
    <w:p w:rsidR="00156DD6" w:rsidRDefault="00D51F5F">
      <w:pPr>
        <w:pStyle w:val="11"/>
        <w:tabs>
          <w:tab w:val="left" w:pos="1050"/>
          <w:tab w:val="right" w:leader="dot" w:pos="8823"/>
        </w:tabs>
        <w:ind w:left="422" w:hanging="422"/>
        <w:rPr>
          <w:rFonts w:asciiTheme="minorHAnsi" w:eastAsiaTheme="minorEastAsia" w:hAnsiTheme="minorHAnsi" w:cstheme="minorBidi"/>
          <w:b w:val="0"/>
          <w:bCs w:val="0"/>
          <w:caps w:val="0"/>
          <w:kern w:val="2"/>
          <w:sz w:val="22"/>
          <w:szCs w:val="24"/>
          <w14:ligatures w14:val="standardContextual"/>
        </w:rPr>
      </w:pPr>
      <w:hyperlink w:anchor="_Toc200030545" w:history="1">
        <w:r>
          <w:rPr>
            <w:rFonts w:ascii="黑体" w:hAnsi="黑体" w:hint="eastAsia"/>
          </w:rPr>
          <w:t>第七节</w:t>
        </w:r>
        <w:r>
          <w:rPr>
            <w:rFonts w:asciiTheme="minorHAnsi" w:eastAsiaTheme="minorEastAsia" w:hAnsiTheme="minorHAnsi" w:cstheme="minorBidi" w:hint="eastAsia"/>
            <w:b w:val="0"/>
            <w:bCs w:val="0"/>
            <w:caps w:val="0"/>
            <w:kern w:val="2"/>
            <w:sz w:val="22"/>
            <w:szCs w:val="24"/>
            <w14:ligatures w14:val="standardContextual"/>
          </w:rPr>
          <w:tab/>
        </w:r>
        <w:r>
          <w:rPr>
            <w:rFonts w:ascii="黑体" w:hAnsi="黑体" w:hint="eastAsia"/>
          </w:rPr>
          <w:t>债券相关情况</w:t>
        </w:r>
        <w:r>
          <w:rPr>
            <w:rFonts w:hint="eastAsia"/>
          </w:rPr>
          <w:tab/>
        </w:r>
        <w:r>
          <w:rPr>
            <w:rFonts w:hint="eastAsia"/>
          </w:rPr>
          <w:fldChar w:fldCharType="begin"/>
        </w:r>
        <w:r>
          <w:rPr>
            <w:rFonts w:hint="eastAsia"/>
          </w:rPr>
          <w:instrText xml:space="preserve"> </w:instrText>
        </w:r>
        <w:r>
          <w:instrText>PA</w:instrText>
        </w:r>
        <w:r>
          <w:instrText>GEREF _Toc200030545 \h</w:instrText>
        </w:r>
        <w:r>
          <w:rPr>
            <w:rFonts w:hint="eastAsia"/>
          </w:rPr>
          <w:instrText xml:space="preserve"> </w:instrText>
        </w:r>
        <w:r>
          <w:rPr>
            <w:rFonts w:hint="eastAsia"/>
          </w:rPr>
        </w:r>
        <w:r>
          <w:rPr>
            <w:rFonts w:hint="eastAsia"/>
          </w:rPr>
          <w:fldChar w:fldCharType="separate"/>
        </w:r>
        <w:r>
          <w:t>40</w:t>
        </w:r>
        <w:r>
          <w:rPr>
            <w:rFonts w:hint="eastAsia"/>
          </w:rPr>
          <w:fldChar w:fldCharType="end"/>
        </w:r>
      </w:hyperlink>
    </w:p>
    <w:p w:rsidR="00156DD6" w:rsidRDefault="00D51F5F">
      <w:pPr>
        <w:pStyle w:val="11"/>
        <w:tabs>
          <w:tab w:val="left" w:pos="1050"/>
          <w:tab w:val="right" w:leader="dot" w:pos="8823"/>
        </w:tabs>
        <w:ind w:left="422" w:hanging="422"/>
        <w:rPr>
          <w:rFonts w:asciiTheme="minorHAnsi" w:eastAsiaTheme="minorEastAsia" w:hAnsiTheme="minorHAnsi" w:cstheme="minorBidi"/>
          <w:b w:val="0"/>
          <w:bCs w:val="0"/>
          <w:caps w:val="0"/>
          <w:kern w:val="2"/>
          <w:sz w:val="22"/>
          <w:szCs w:val="24"/>
          <w14:ligatures w14:val="standardContextual"/>
        </w:rPr>
      </w:pPr>
      <w:hyperlink w:anchor="_Toc200030546" w:history="1">
        <w:r>
          <w:rPr>
            <w:rFonts w:ascii="黑体" w:hAnsi="黑体" w:hint="eastAsia"/>
          </w:rPr>
          <w:t>第八节</w:t>
        </w:r>
        <w:r>
          <w:rPr>
            <w:rFonts w:asciiTheme="minorHAnsi" w:eastAsiaTheme="minorEastAsia" w:hAnsiTheme="minorHAnsi" w:cstheme="minorBidi" w:hint="eastAsia"/>
            <w:b w:val="0"/>
            <w:bCs w:val="0"/>
            <w:caps w:val="0"/>
            <w:kern w:val="2"/>
            <w:sz w:val="22"/>
            <w:szCs w:val="24"/>
            <w14:ligatures w14:val="standardContextual"/>
          </w:rPr>
          <w:tab/>
        </w:r>
        <w:r>
          <w:rPr>
            <w:rFonts w:ascii="黑体" w:hAnsi="黑体" w:hint="eastAsia"/>
          </w:rPr>
          <w:t>财务报告</w:t>
        </w:r>
        <w:r>
          <w:rPr>
            <w:rFonts w:hint="eastAsia"/>
          </w:rPr>
          <w:tab/>
        </w:r>
        <w:r>
          <w:rPr>
            <w:rFonts w:hint="eastAsia"/>
          </w:rPr>
          <w:fldChar w:fldCharType="begin"/>
        </w:r>
        <w:r>
          <w:rPr>
            <w:rFonts w:hint="eastAsia"/>
          </w:rPr>
          <w:instrText xml:space="preserve"> </w:instrText>
        </w:r>
        <w:r>
          <w:instrText>PAGEREF _Toc200030546 \h</w:instrText>
        </w:r>
        <w:r>
          <w:rPr>
            <w:rFonts w:hint="eastAsia"/>
          </w:rPr>
          <w:instrText xml:space="preserve"> </w:instrText>
        </w:r>
        <w:r>
          <w:rPr>
            <w:rFonts w:hint="eastAsia"/>
          </w:rPr>
        </w:r>
        <w:r>
          <w:rPr>
            <w:rFonts w:hint="eastAsia"/>
          </w:rPr>
          <w:fldChar w:fldCharType="separate"/>
        </w:r>
        <w:r>
          <w:t>54</w:t>
        </w:r>
        <w:r>
          <w:rPr>
            <w:rFonts w:hint="eastAsia"/>
          </w:rPr>
          <w:fldChar w:fldCharType="end"/>
        </w:r>
      </w:hyperlink>
    </w:p>
    <w:p w:rsidR="00156DD6" w:rsidRDefault="00D51F5F">
      <w:pPr>
        <w:kinsoku w:val="0"/>
        <w:overflowPunct w:val="0"/>
        <w:autoSpaceDE w:val="0"/>
        <w:autoSpaceDN w:val="0"/>
        <w:adjustRightInd w:val="0"/>
        <w:snapToGrid w:val="0"/>
        <w:spacing w:line="360" w:lineRule="auto"/>
        <w:jc w:val="center"/>
        <w:rPr>
          <w:color w:val="000000" w:themeColor="text1"/>
          <w:shd w:val="pct15" w:color="auto" w:fill="FFFFFF"/>
        </w:rPr>
      </w:pPr>
      <w:r>
        <w:rPr>
          <w:color w:val="000000" w:themeColor="text1"/>
          <w:shd w:val="pct15" w:color="auto" w:fill="FFFFFF"/>
        </w:rPr>
        <w:fldChar w:fldCharType="end"/>
      </w:r>
    </w:p>
    <w:p w:rsidR="00156DD6" w:rsidRDefault="00156DD6">
      <w:pPr>
        <w:spacing w:line="360" w:lineRule="exact"/>
        <w:ind w:right="5"/>
        <w:rPr>
          <w:b/>
          <w:bCs w:val="0"/>
          <w:color w:val="000000" w:themeColor="text1"/>
          <w:sz w:val="24"/>
        </w:rPr>
      </w:pPr>
      <w:bookmarkStart w:id="4" w:name="_Hlk761117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76"/>
        <w:gridCol w:w="6547"/>
      </w:tblGrid>
      <w:sdt>
        <w:sdtPr>
          <w:rPr>
            <w:color w:val="000000" w:themeColor="text1"/>
          </w:rPr>
          <w:alias w:val="备查文件情况"/>
          <w:tag w:val="_TUP_d1defbbd2758417a8ea21948dd35feef"/>
          <w:id w:val="982816408"/>
          <w:placeholder>
            <w:docPart w:val="GBC11111111111111111111111111111"/>
          </w:placeholder>
        </w:sdtPr>
        <w:sdtEndPr/>
        <w:sdtContent>
          <w:tr w:rsidR="00156DD6">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590705552"/>
                </w:sdtPr>
                <w:sdtEndPr/>
                <w:sdtContent>
                  <w:p w:rsidR="00156DD6" w:rsidRDefault="00D51F5F">
                    <w:pPr>
                      <w:autoSpaceDE w:val="0"/>
                      <w:autoSpaceDN w:val="0"/>
                      <w:adjustRightInd w:val="0"/>
                      <w:jc w:val="center"/>
                      <w:rPr>
                        <w:color w:val="000000" w:themeColor="text1"/>
                      </w:rPr>
                    </w:pPr>
                    <w:r>
                      <w:rPr>
                        <w:color w:val="000000" w:themeColor="text1"/>
                      </w:rPr>
                      <w:t>备查文件目录</w:t>
                    </w:r>
                  </w:p>
                </w:sdtContent>
              </w:sdt>
            </w:tc>
            <w:sdt>
              <w:sdtPr>
                <w:rPr>
                  <w:color w:val="000000" w:themeColor="text1"/>
                </w:rPr>
                <w:alias w:val="备查文件目录"/>
                <w:tag w:val="_GBC_b75b724a20654c669c9ce009a20dc247"/>
                <w:id w:val="23373169"/>
              </w:sdtPr>
              <w:sdtEndPr/>
              <w:sdtContent>
                <w:tc>
                  <w:tcPr>
                    <w:tcW w:w="3710"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载有公司负责人、主管会计工作负责人、会计机构负责人（会计主管人员）签名并盖章的财务报表；</w:t>
                    </w:r>
                  </w:p>
                </w:tc>
              </w:sdtContent>
            </w:sdt>
          </w:tr>
        </w:sdtContent>
      </w:sdt>
      <w:tr w:rsidR="00156DD6">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156DD6" w:rsidRDefault="00156DD6">
            <w:pPr>
              <w:pStyle w:val="Style43"/>
            </w:pPr>
          </w:p>
        </w:tc>
        <w:tc>
          <w:tcPr>
            <w:tcW w:w="3710"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报告期内公开披露过的所有公司文件的正本及公告的原稿；</w:t>
            </w:r>
          </w:p>
        </w:tc>
      </w:tr>
      <w:tr w:rsidR="00156DD6">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156DD6" w:rsidRDefault="00156DD6">
            <w:pPr>
              <w:pStyle w:val="Style43"/>
            </w:pPr>
          </w:p>
        </w:tc>
        <w:tc>
          <w:tcPr>
            <w:tcW w:w="3710" w:type="pct"/>
            <w:tcBorders>
              <w:top w:val="single" w:sz="4" w:space="0" w:color="auto"/>
              <w:left w:val="single" w:sz="4" w:space="0" w:color="auto"/>
              <w:bottom w:val="single" w:sz="4" w:space="0" w:color="auto"/>
              <w:right w:val="single" w:sz="4" w:space="0" w:color="auto"/>
            </w:tcBorders>
          </w:tcPr>
          <w:p w:rsidR="00156DD6" w:rsidRDefault="00D51F5F">
            <w:pPr>
              <w:pStyle w:val="Style43"/>
            </w:pPr>
            <w:r>
              <w:rPr>
                <w:rFonts w:ascii="宋体" w:hAnsi="宋体" w:cs="宋体" w:hint="eastAsia"/>
                <w:bCs/>
                <w:color w:val="000000" w:themeColor="text1"/>
                <w:sz w:val="21"/>
                <w:szCs w:val="21"/>
              </w:rPr>
              <w:t>经公司法定代表人签署的</w:t>
            </w:r>
            <w:r>
              <w:rPr>
                <w:rFonts w:ascii="宋体" w:hAnsi="宋体" w:cs="宋体" w:hint="eastAsia"/>
                <w:bCs/>
                <w:color w:val="000000" w:themeColor="text1"/>
                <w:sz w:val="21"/>
                <w:szCs w:val="21"/>
              </w:rPr>
              <w:t>202</w:t>
            </w:r>
            <w:r>
              <w:rPr>
                <w:rFonts w:ascii="宋体" w:hAnsi="宋体" w:cs="宋体"/>
                <w:bCs/>
                <w:color w:val="000000" w:themeColor="text1"/>
                <w:sz w:val="21"/>
                <w:szCs w:val="21"/>
              </w:rPr>
              <w:t>5</w:t>
            </w:r>
            <w:r>
              <w:rPr>
                <w:rFonts w:ascii="宋体" w:hAnsi="宋体" w:cs="宋体" w:hint="eastAsia"/>
                <w:bCs/>
                <w:color w:val="000000" w:themeColor="text1"/>
                <w:sz w:val="21"/>
                <w:szCs w:val="21"/>
              </w:rPr>
              <w:t>年半年度报告原件。</w:t>
            </w:r>
          </w:p>
        </w:tc>
      </w:tr>
    </w:tbl>
    <w:p w:rsidR="00156DD6" w:rsidRDefault="00156DD6">
      <w:pPr>
        <w:spacing w:line="360" w:lineRule="exact"/>
        <w:jc w:val="right"/>
        <w:rPr>
          <w:color w:val="000000" w:themeColor="text1"/>
        </w:rPr>
      </w:pPr>
    </w:p>
    <w:bookmarkEnd w:id="4"/>
    <w:p w:rsidR="00156DD6" w:rsidRDefault="00156DD6">
      <w:pPr>
        <w:kinsoku w:val="0"/>
        <w:overflowPunct w:val="0"/>
        <w:autoSpaceDE w:val="0"/>
        <w:autoSpaceDN w:val="0"/>
        <w:adjustRightInd w:val="0"/>
        <w:snapToGrid w:val="0"/>
        <w:spacing w:line="360" w:lineRule="exact"/>
        <w:rPr>
          <w:color w:val="000000" w:themeColor="text1"/>
          <w:shd w:val="pct15" w:color="auto" w:fill="FFFFFF"/>
        </w:rPr>
      </w:pPr>
    </w:p>
    <w:p w:rsidR="00156DD6" w:rsidRDefault="00D51F5F">
      <w:pPr>
        <w:rPr>
          <w:color w:val="000000" w:themeColor="text1"/>
        </w:rPr>
      </w:pPr>
      <w:r>
        <w:rPr>
          <w:color w:val="000000" w:themeColor="text1"/>
        </w:rPr>
        <w:br w:type="page"/>
      </w:r>
    </w:p>
    <w:p w:rsidR="00156DD6" w:rsidRDefault="00D51F5F">
      <w:pPr>
        <w:pStyle w:val="1"/>
        <w:numPr>
          <w:ilvl w:val="0"/>
          <w:numId w:val="2"/>
        </w:numPr>
        <w:rPr>
          <w:rFonts w:ascii="黑体" w:hAnsi="黑体"/>
          <w:color w:val="000000" w:themeColor="text1"/>
        </w:rPr>
      </w:pPr>
      <w:bookmarkStart w:id="5" w:name="_Toc200030539"/>
      <w:bookmarkStart w:id="6" w:name="_Toc76114272"/>
      <w:bookmarkStart w:id="7" w:name="_Toc342565880"/>
      <w:r>
        <w:rPr>
          <w:rFonts w:ascii="黑体" w:hAnsi="黑体" w:hint="eastAsia"/>
          <w:color w:val="000000" w:themeColor="text1"/>
        </w:rPr>
        <w:lastRenderedPageBreak/>
        <w:t>释义</w:t>
      </w:r>
    </w:p>
    <w:bookmarkEnd w:id="5"/>
    <w:bookmarkEnd w:id="6"/>
    <w:p w:rsidR="00156DD6" w:rsidRDefault="00D51F5F">
      <w:pPr>
        <w:rPr>
          <w:color w:val="000000" w:themeColor="text1"/>
        </w:rPr>
      </w:pPr>
      <w:r>
        <w:rPr>
          <w:color w:val="000000" w:themeColor="text1"/>
        </w:rPr>
        <w:t>在本报告书中，除非文义另有所指，下列词语具有如下含义：</w:t>
      </w:r>
    </w:p>
    <w:tbl>
      <w:tblPr>
        <w:tblStyle w:val="af5"/>
        <w:tblW w:w="0" w:type="auto"/>
        <w:tblLook w:val="04A0" w:firstRow="1" w:lastRow="0" w:firstColumn="1" w:lastColumn="0" w:noHBand="0" w:noVBand="1"/>
      </w:tblPr>
      <w:tblGrid>
        <w:gridCol w:w="2947"/>
        <w:gridCol w:w="768"/>
        <w:gridCol w:w="5108"/>
      </w:tblGrid>
      <w:tr w:rsidR="00156DD6">
        <w:sdt>
          <w:sdtPr>
            <w:tag w:val="_PLD_d73bff14187b49a1b1c86b56316c5e47"/>
            <w:id w:val="-1301532610"/>
          </w:sdtPr>
          <w:sdtEndPr/>
          <w:sdtContent>
            <w:tc>
              <w:tcPr>
                <w:tcW w:w="8823" w:type="dxa"/>
                <w:gridSpan w:val="3"/>
              </w:tcPr>
              <w:p w:rsidR="00156DD6" w:rsidRDefault="00D51F5F">
                <w:pPr>
                  <w:rPr>
                    <w:color w:val="000000" w:themeColor="text1"/>
                  </w:rPr>
                </w:pPr>
                <w:r>
                  <w:rPr>
                    <w:color w:val="000000" w:themeColor="text1"/>
                  </w:rPr>
                  <w:t>常用词语释义</w:t>
                </w:r>
              </w:p>
            </w:tc>
          </w:sdtContent>
        </w:sdt>
      </w:tr>
      <w:tr w:rsidR="00156DD6">
        <w:tc>
          <w:tcPr>
            <w:tcW w:w="2947" w:type="dxa"/>
          </w:tcPr>
          <w:p w:rsidR="00156DD6" w:rsidRDefault="00D51F5F">
            <w:pPr>
              <w:pStyle w:val="Style99"/>
            </w:pPr>
            <w:r>
              <w:rPr>
                <w:rFonts w:hint="eastAsia"/>
              </w:rPr>
              <w:t>中国证监会、证监会</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中国证券监督管理委员会</w:t>
            </w:r>
          </w:p>
        </w:tc>
      </w:tr>
      <w:tr w:rsidR="00156DD6">
        <w:tc>
          <w:tcPr>
            <w:tcW w:w="2947" w:type="dxa"/>
          </w:tcPr>
          <w:p w:rsidR="00156DD6" w:rsidRDefault="00D51F5F">
            <w:pPr>
              <w:pStyle w:val="Style99"/>
            </w:pPr>
            <w:r>
              <w:rPr>
                <w:rFonts w:hint="eastAsia"/>
              </w:rPr>
              <w:t>上交所</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上海证券交易所</w:t>
            </w:r>
          </w:p>
        </w:tc>
      </w:tr>
      <w:tr w:rsidR="00156DD6">
        <w:tc>
          <w:tcPr>
            <w:tcW w:w="2947" w:type="dxa"/>
          </w:tcPr>
          <w:p w:rsidR="00156DD6" w:rsidRDefault="00D51F5F">
            <w:pPr>
              <w:pStyle w:val="Style99"/>
            </w:pPr>
            <w:r>
              <w:rPr>
                <w:rFonts w:hint="eastAsia"/>
              </w:rPr>
              <w:t>公司法</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 xml:space="preserve">中华人民共和国公司法　</w:t>
            </w:r>
          </w:p>
        </w:tc>
      </w:tr>
      <w:tr w:rsidR="00156DD6">
        <w:tc>
          <w:tcPr>
            <w:tcW w:w="2947" w:type="dxa"/>
          </w:tcPr>
          <w:p w:rsidR="00156DD6" w:rsidRDefault="00D51F5F">
            <w:pPr>
              <w:pStyle w:val="Style99"/>
            </w:pPr>
            <w:r>
              <w:rPr>
                <w:rFonts w:hint="eastAsia"/>
              </w:rPr>
              <w:t>证券法</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中华人民共和国证券法</w:t>
            </w:r>
          </w:p>
        </w:tc>
      </w:tr>
      <w:tr w:rsidR="00156DD6">
        <w:tc>
          <w:tcPr>
            <w:tcW w:w="2947" w:type="dxa"/>
          </w:tcPr>
          <w:p w:rsidR="00156DD6" w:rsidRDefault="00D51F5F">
            <w:pPr>
              <w:pStyle w:val="Style99"/>
            </w:pPr>
            <w:r>
              <w:rPr>
                <w:rFonts w:hint="eastAsia"/>
              </w:rPr>
              <w:t>公司章程</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重庆望变电气（集团）股份有限公司章程</w:t>
            </w:r>
          </w:p>
        </w:tc>
      </w:tr>
      <w:tr w:rsidR="00156DD6">
        <w:tc>
          <w:tcPr>
            <w:tcW w:w="2947" w:type="dxa"/>
          </w:tcPr>
          <w:p w:rsidR="00156DD6" w:rsidRDefault="00D51F5F">
            <w:pPr>
              <w:pStyle w:val="Style99"/>
            </w:pPr>
            <w:r>
              <w:rPr>
                <w:rFonts w:hint="eastAsia"/>
              </w:rPr>
              <w:t>报告期、本报告期、本期</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202</w:t>
            </w:r>
            <w:r>
              <w:t>5</w:t>
            </w:r>
            <w:r>
              <w:rPr>
                <w:rFonts w:hint="eastAsia"/>
              </w:rPr>
              <w:t>年</w:t>
            </w:r>
            <w:r>
              <w:rPr>
                <w:rFonts w:hint="eastAsia"/>
              </w:rPr>
              <w:t>1</w:t>
            </w:r>
            <w:r>
              <w:rPr>
                <w:rFonts w:hint="eastAsia"/>
              </w:rPr>
              <w:t>月</w:t>
            </w:r>
            <w:r>
              <w:rPr>
                <w:rFonts w:hint="eastAsia"/>
              </w:rPr>
              <w:t>1</w:t>
            </w:r>
            <w:r>
              <w:rPr>
                <w:rFonts w:hint="eastAsia"/>
              </w:rPr>
              <w:t>日至</w:t>
            </w:r>
            <w:r>
              <w:rPr>
                <w:rFonts w:hint="eastAsia"/>
              </w:rPr>
              <w:t>2025</w:t>
            </w:r>
            <w:r>
              <w:rPr>
                <w:rFonts w:hint="eastAsia"/>
              </w:rPr>
              <w:t>年</w:t>
            </w:r>
            <w:r>
              <w:t>6</w:t>
            </w:r>
            <w:r>
              <w:rPr>
                <w:rFonts w:hint="eastAsia"/>
              </w:rPr>
              <w:t>月</w:t>
            </w:r>
            <w:r>
              <w:rPr>
                <w:rFonts w:hint="eastAsia"/>
              </w:rPr>
              <w:t>3</w:t>
            </w:r>
            <w:r>
              <w:t>0</w:t>
            </w:r>
            <w:r>
              <w:rPr>
                <w:rFonts w:hint="eastAsia"/>
              </w:rPr>
              <w:t>日</w:t>
            </w:r>
          </w:p>
        </w:tc>
      </w:tr>
      <w:tr w:rsidR="00156DD6">
        <w:tc>
          <w:tcPr>
            <w:tcW w:w="2947" w:type="dxa"/>
          </w:tcPr>
          <w:p w:rsidR="00156DD6" w:rsidRDefault="00D51F5F">
            <w:pPr>
              <w:pStyle w:val="Style99"/>
            </w:pPr>
            <w:r>
              <w:rPr>
                <w:rFonts w:hint="eastAsia"/>
              </w:rPr>
              <w:t>亿元、万元、元</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人民币亿元、万元、元</w:t>
            </w:r>
          </w:p>
        </w:tc>
      </w:tr>
      <w:tr w:rsidR="00156DD6">
        <w:tc>
          <w:tcPr>
            <w:tcW w:w="2947" w:type="dxa"/>
          </w:tcPr>
          <w:p w:rsidR="00156DD6" w:rsidRDefault="00D51F5F">
            <w:pPr>
              <w:pStyle w:val="Style99"/>
            </w:pPr>
            <w:r>
              <w:rPr>
                <w:rFonts w:hint="eastAsia"/>
              </w:rPr>
              <w:t>望变电气、公司、母公司、集团</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重庆望变电气（集团）股份有限公司</w:t>
            </w:r>
          </w:p>
        </w:tc>
      </w:tr>
      <w:tr w:rsidR="00156DD6">
        <w:tc>
          <w:tcPr>
            <w:tcW w:w="2947" w:type="dxa"/>
          </w:tcPr>
          <w:p w:rsidR="00156DD6" w:rsidRDefault="00D51F5F">
            <w:pPr>
              <w:pStyle w:val="Style99"/>
            </w:pPr>
            <w:r>
              <w:rPr>
                <w:rFonts w:hint="eastAsia"/>
              </w:rPr>
              <w:t>云变电气</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云南变压器电气股份有限公司</w:t>
            </w:r>
          </w:p>
        </w:tc>
      </w:tr>
      <w:tr w:rsidR="00156DD6">
        <w:tc>
          <w:tcPr>
            <w:tcW w:w="2947" w:type="dxa"/>
          </w:tcPr>
          <w:p w:rsidR="00156DD6" w:rsidRDefault="00D51F5F">
            <w:pPr>
              <w:pStyle w:val="Style99"/>
            </w:pPr>
            <w:r>
              <w:rPr>
                <w:rFonts w:hint="eastAsia"/>
              </w:rPr>
              <w:t>黔南望江</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黔南望江变压器有限公司</w:t>
            </w:r>
          </w:p>
        </w:tc>
      </w:tr>
      <w:tr w:rsidR="00156DD6">
        <w:tc>
          <w:tcPr>
            <w:tcW w:w="2947" w:type="dxa"/>
          </w:tcPr>
          <w:p w:rsidR="00156DD6" w:rsidRDefault="00D51F5F">
            <w:pPr>
              <w:pStyle w:val="Style99"/>
            </w:pPr>
            <w:r>
              <w:rPr>
                <w:rFonts w:hint="eastAsia"/>
              </w:rPr>
              <w:t>惠泽电器</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重庆惠泽电器有限公司</w:t>
            </w:r>
          </w:p>
        </w:tc>
      </w:tr>
      <w:tr w:rsidR="00156DD6">
        <w:tc>
          <w:tcPr>
            <w:tcW w:w="2947" w:type="dxa"/>
          </w:tcPr>
          <w:p w:rsidR="00156DD6" w:rsidRDefault="00D51F5F">
            <w:pPr>
              <w:pStyle w:val="Style99"/>
            </w:pPr>
            <w:r>
              <w:rPr>
                <w:rFonts w:hint="eastAsia"/>
              </w:rPr>
              <w:t>香港望变</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香港望变国际有限公司</w:t>
            </w:r>
          </w:p>
        </w:tc>
      </w:tr>
      <w:tr w:rsidR="00156DD6">
        <w:tc>
          <w:tcPr>
            <w:tcW w:w="2947" w:type="dxa"/>
          </w:tcPr>
          <w:p w:rsidR="00156DD6" w:rsidRDefault="00D51F5F">
            <w:pPr>
              <w:pStyle w:val="Style99"/>
            </w:pPr>
            <w:r>
              <w:rPr>
                <w:rFonts w:hint="eastAsia"/>
              </w:rPr>
              <w:t>沈阳望泽</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沈阳望泽电气有限公司</w:t>
            </w:r>
          </w:p>
        </w:tc>
      </w:tr>
      <w:tr w:rsidR="00156DD6">
        <w:tc>
          <w:tcPr>
            <w:tcW w:w="2947" w:type="dxa"/>
          </w:tcPr>
          <w:p w:rsidR="00156DD6" w:rsidRDefault="00D51F5F">
            <w:pPr>
              <w:pStyle w:val="Style99"/>
            </w:pPr>
            <w:r>
              <w:rPr>
                <w:rFonts w:hint="eastAsia"/>
              </w:rPr>
              <w:t>上海渝申</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上海渝申望变新能源科技有限公司</w:t>
            </w:r>
          </w:p>
        </w:tc>
      </w:tr>
      <w:tr w:rsidR="00156DD6">
        <w:tc>
          <w:tcPr>
            <w:tcW w:w="2947" w:type="dxa"/>
          </w:tcPr>
          <w:p w:rsidR="00156DD6" w:rsidRDefault="00D51F5F">
            <w:pPr>
              <w:pStyle w:val="Style99"/>
            </w:pPr>
            <w:r>
              <w:rPr>
                <w:rFonts w:hint="eastAsia"/>
              </w:rPr>
              <w:t>能投售电</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重庆能投长寿经开区售电有限公司</w:t>
            </w:r>
          </w:p>
        </w:tc>
      </w:tr>
      <w:tr w:rsidR="00156DD6">
        <w:tc>
          <w:tcPr>
            <w:tcW w:w="2947" w:type="dxa"/>
            <w:vAlign w:val="center"/>
          </w:tcPr>
          <w:p w:rsidR="00156DD6" w:rsidRDefault="00D51F5F">
            <w:pPr>
              <w:pStyle w:val="Style99"/>
            </w:pPr>
            <w:r>
              <w:rPr>
                <w:rFonts w:hint="eastAsia"/>
              </w:rPr>
              <w:t>电工钢</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是一种含碳极低的硅铁软磁合金，一般含硅量为</w:t>
            </w:r>
            <w:r>
              <w:rPr>
                <w:rFonts w:hint="eastAsia"/>
              </w:rPr>
              <w:t>0.5%</w:t>
            </w:r>
            <w:r>
              <w:rPr>
                <w:rFonts w:hint="eastAsia"/>
              </w:rPr>
              <w:t>～</w:t>
            </w:r>
            <w:r>
              <w:rPr>
                <w:rFonts w:hint="eastAsia"/>
              </w:rPr>
              <w:t>4.5%</w:t>
            </w:r>
            <w:r>
              <w:rPr>
                <w:rFonts w:hint="eastAsia"/>
              </w:rPr>
              <w:t>，亦称硅钢片</w:t>
            </w:r>
          </w:p>
        </w:tc>
      </w:tr>
      <w:tr w:rsidR="00156DD6">
        <w:tc>
          <w:tcPr>
            <w:tcW w:w="2947" w:type="dxa"/>
            <w:vAlign w:val="center"/>
          </w:tcPr>
          <w:p w:rsidR="00156DD6" w:rsidRDefault="00D51F5F">
            <w:pPr>
              <w:pStyle w:val="Style99"/>
            </w:pPr>
            <w:r>
              <w:rPr>
                <w:rFonts w:hint="eastAsia"/>
              </w:rPr>
              <w:t>取向硅钢、取向电工钢</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一种晶粒基本朝同一方向排列的极低碳硅铁合金材料，主要应用于变压器（铁心）制造行业</w:t>
            </w:r>
          </w:p>
        </w:tc>
      </w:tr>
      <w:tr w:rsidR="00156DD6">
        <w:tc>
          <w:tcPr>
            <w:tcW w:w="2947" w:type="dxa"/>
            <w:vAlign w:val="center"/>
          </w:tcPr>
          <w:p w:rsidR="00156DD6" w:rsidRDefault="00D51F5F">
            <w:pPr>
              <w:pStyle w:val="Style99"/>
            </w:pPr>
            <w:r>
              <w:t>HiB</w:t>
            </w:r>
            <w:r>
              <w:rPr>
                <w:rFonts w:hint="eastAsia"/>
              </w:rPr>
              <w:t>、高磁感取向硅钢</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磁感强度≥</w:t>
            </w:r>
            <w:r>
              <w:rPr>
                <w:rFonts w:hint="eastAsia"/>
              </w:rPr>
              <w:t>1.88T</w:t>
            </w:r>
            <w:r>
              <w:rPr>
                <w:rFonts w:hint="eastAsia"/>
              </w:rPr>
              <w:t>的取向硅钢，与一般取向硅钢相比具有铁损低、磁感应强度高、磁致伸缩小等优点。</w:t>
            </w:r>
          </w:p>
        </w:tc>
      </w:tr>
      <w:tr w:rsidR="00156DD6">
        <w:tc>
          <w:tcPr>
            <w:tcW w:w="2947" w:type="dxa"/>
            <w:vAlign w:val="center"/>
          </w:tcPr>
          <w:p w:rsidR="00156DD6" w:rsidRDefault="00D51F5F">
            <w:pPr>
              <w:pStyle w:val="Style99"/>
            </w:pPr>
            <w:r>
              <w:t>CGO</w:t>
            </w:r>
            <w:r>
              <w:rPr>
                <w:rFonts w:hint="eastAsia"/>
              </w:rPr>
              <w:t>、一般取向硅钢</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磁感强度＜</w:t>
            </w:r>
            <w:r>
              <w:rPr>
                <w:rFonts w:hint="eastAsia"/>
              </w:rPr>
              <w:t>1.88T</w:t>
            </w:r>
            <w:r>
              <w:rPr>
                <w:rFonts w:hint="eastAsia"/>
              </w:rPr>
              <w:t>的取向硅钢</w:t>
            </w:r>
          </w:p>
        </w:tc>
      </w:tr>
      <w:tr w:rsidR="00156DD6">
        <w:tc>
          <w:tcPr>
            <w:tcW w:w="2947" w:type="dxa"/>
            <w:vAlign w:val="center"/>
          </w:tcPr>
          <w:p w:rsidR="00156DD6" w:rsidRDefault="00D51F5F">
            <w:pPr>
              <w:pStyle w:val="Style99"/>
            </w:pPr>
            <w:r>
              <w:rPr>
                <w:rFonts w:hint="eastAsia"/>
              </w:rPr>
              <w:t>牌号</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一般取向硅钢按</w:t>
            </w:r>
            <w:r>
              <w:rPr>
                <w:rFonts w:hint="eastAsia"/>
              </w:rPr>
              <w:t>130</w:t>
            </w:r>
            <w:r>
              <w:rPr>
                <w:rFonts w:hint="eastAsia"/>
              </w:rPr>
              <w:t>、</w:t>
            </w:r>
            <w:r>
              <w:rPr>
                <w:rFonts w:hint="eastAsia"/>
              </w:rPr>
              <w:t>120</w:t>
            </w:r>
            <w:r>
              <w:rPr>
                <w:rFonts w:hint="eastAsia"/>
              </w:rPr>
              <w:t>、</w:t>
            </w:r>
            <w:r>
              <w:rPr>
                <w:rFonts w:hint="eastAsia"/>
              </w:rPr>
              <w:t>110</w:t>
            </w:r>
            <w:r>
              <w:rPr>
                <w:rFonts w:hint="eastAsia"/>
              </w:rPr>
              <w:t>的数字命名牌号，数字越小牌号越高；高磁感取向硅钢按</w:t>
            </w:r>
            <w:r>
              <w:rPr>
                <w:rFonts w:hint="eastAsia"/>
              </w:rPr>
              <w:t>100</w:t>
            </w:r>
            <w:r>
              <w:rPr>
                <w:rFonts w:hint="eastAsia"/>
              </w:rPr>
              <w:t>、</w:t>
            </w:r>
            <w:r>
              <w:rPr>
                <w:rFonts w:hint="eastAsia"/>
              </w:rPr>
              <w:t>095</w:t>
            </w:r>
            <w:r>
              <w:rPr>
                <w:rFonts w:hint="eastAsia"/>
              </w:rPr>
              <w:t>、</w:t>
            </w:r>
            <w:r>
              <w:rPr>
                <w:rFonts w:hint="eastAsia"/>
              </w:rPr>
              <w:t>090</w:t>
            </w:r>
            <w:r>
              <w:rPr>
                <w:rFonts w:hint="eastAsia"/>
              </w:rPr>
              <w:t>、</w:t>
            </w:r>
            <w:r>
              <w:rPr>
                <w:rFonts w:hint="eastAsia"/>
              </w:rPr>
              <w:t>085</w:t>
            </w:r>
            <w:r>
              <w:rPr>
                <w:rFonts w:hint="eastAsia"/>
              </w:rPr>
              <w:t>、</w:t>
            </w:r>
            <w:r>
              <w:rPr>
                <w:rFonts w:hint="eastAsia"/>
              </w:rPr>
              <w:t>080</w:t>
            </w:r>
            <w:r>
              <w:rPr>
                <w:rFonts w:hint="eastAsia"/>
              </w:rPr>
              <w:t>、</w:t>
            </w:r>
            <w:r>
              <w:rPr>
                <w:rFonts w:hint="eastAsia"/>
              </w:rPr>
              <w:t>075</w:t>
            </w:r>
            <w:r>
              <w:rPr>
                <w:rFonts w:hint="eastAsia"/>
              </w:rPr>
              <w:t>以此类推的数字命名牌号，数字越小牌号越高。</w:t>
            </w:r>
          </w:p>
        </w:tc>
      </w:tr>
      <w:tr w:rsidR="00156DD6">
        <w:tc>
          <w:tcPr>
            <w:tcW w:w="2947" w:type="dxa"/>
            <w:vAlign w:val="center"/>
          </w:tcPr>
          <w:p w:rsidR="00156DD6" w:rsidRDefault="00D51F5F">
            <w:pPr>
              <w:pStyle w:val="Style99"/>
            </w:pPr>
            <w:r>
              <w:rPr>
                <w:rFonts w:hint="eastAsia"/>
              </w:rPr>
              <w:t>变压器、电力变压器</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利用电磁感应原理制成的传输交流电能并改变交流电压的装置，主要构件是绕组、铁心、绝缘系统和散热装置。</w:t>
            </w:r>
          </w:p>
        </w:tc>
      </w:tr>
      <w:tr w:rsidR="00156DD6">
        <w:tc>
          <w:tcPr>
            <w:tcW w:w="2947" w:type="dxa"/>
            <w:vAlign w:val="center"/>
          </w:tcPr>
          <w:p w:rsidR="00156DD6" w:rsidRDefault="00D51F5F">
            <w:pPr>
              <w:pStyle w:val="Style99"/>
            </w:pPr>
            <w:r>
              <w:rPr>
                <w:rFonts w:hint="eastAsia"/>
              </w:rPr>
              <w:t>电气化铁路牵引变压器</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是安装在电气化铁路牵引变电所，将</w:t>
            </w:r>
            <w:r>
              <w:rPr>
                <w:rFonts w:hint="eastAsia"/>
              </w:rPr>
              <w:t>110</w:t>
            </w:r>
            <w:r>
              <w:rPr>
                <w:rFonts w:hint="eastAsia"/>
              </w:rPr>
              <w:t>、</w:t>
            </w:r>
            <w:r>
              <w:rPr>
                <w:rFonts w:hint="eastAsia"/>
              </w:rPr>
              <w:t>220</w:t>
            </w:r>
            <w:r>
              <w:rPr>
                <w:rFonts w:hint="eastAsia"/>
              </w:rPr>
              <w:t>、</w:t>
            </w:r>
            <w:r>
              <w:rPr>
                <w:rFonts w:hint="eastAsia"/>
              </w:rPr>
              <w:t>330kV</w:t>
            </w:r>
            <w:r>
              <w:rPr>
                <w:rFonts w:hint="eastAsia"/>
              </w:rPr>
              <w:t>三相电力系统电压转换为单相或两相</w:t>
            </w:r>
            <w:r>
              <w:rPr>
                <w:rFonts w:hint="eastAsia"/>
              </w:rPr>
              <w:t>27.5</w:t>
            </w:r>
            <w:r>
              <w:rPr>
                <w:rFonts w:hint="eastAsia"/>
              </w:rPr>
              <w:t>、</w:t>
            </w:r>
            <w:r>
              <w:rPr>
                <w:rFonts w:hint="eastAsia"/>
              </w:rPr>
              <w:t>2</w:t>
            </w:r>
            <w:r>
              <w:rPr>
                <w:rFonts w:hint="eastAsia"/>
              </w:rPr>
              <w:t>×</w:t>
            </w:r>
            <w:r>
              <w:rPr>
                <w:rFonts w:hint="eastAsia"/>
              </w:rPr>
              <w:t>27.5kV</w:t>
            </w:r>
            <w:r>
              <w:rPr>
                <w:rFonts w:hint="eastAsia"/>
              </w:rPr>
              <w:t>馈线电压，对电力机车供电的变压器。</w:t>
            </w:r>
          </w:p>
        </w:tc>
      </w:tr>
      <w:tr w:rsidR="00156DD6">
        <w:tc>
          <w:tcPr>
            <w:tcW w:w="2947" w:type="dxa"/>
          </w:tcPr>
          <w:p w:rsidR="00156DD6" w:rsidRDefault="00D51F5F">
            <w:r>
              <w:rPr>
                <w:rFonts w:hint="eastAsia"/>
              </w:rPr>
              <w:t>高原型电力变压器</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一般用于</w:t>
            </w:r>
            <w:r>
              <w:rPr>
                <w:rFonts w:hint="eastAsia"/>
              </w:rPr>
              <w:t>2000</w:t>
            </w:r>
            <w:r>
              <w:rPr>
                <w:rFonts w:hint="eastAsia"/>
              </w:rPr>
              <w:t>米以上海拔地区的电力变压器，能够高度适应空气稀薄、气候条件差</w:t>
            </w:r>
            <w:r>
              <w:rPr>
                <w:rFonts w:hint="eastAsia"/>
              </w:rPr>
              <w:t xml:space="preserve"> </w:t>
            </w:r>
            <w:r>
              <w:rPr>
                <w:rFonts w:hint="eastAsia"/>
              </w:rPr>
              <w:t>、雷暴多</w:t>
            </w:r>
            <w:r>
              <w:rPr>
                <w:rFonts w:hint="eastAsia"/>
              </w:rPr>
              <w:t xml:space="preserve"> </w:t>
            </w:r>
            <w:r>
              <w:rPr>
                <w:rFonts w:hint="eastAsia"/>
              </w:rPr>
              <w:t>、运输条件差等高原独特环境和气候，较一般电力变压器相比，在变压器的散热条件、</w:t>
            </w:r>
            <w:r>
              <w:rPr>
                <w:rFonts w:hint="eastAsia"/>
              </w:rPr>
              <w:t xml:space="preserve"> </w:t>
            </w:r>
            <w:r>
              <w:rPr>
                <w:rFonts w:hint="eastAsia"/>
              </w:rPr>
              <w:t>绝缘等级及二次控制原件安全性</w:t>
            </w:r>
            <w:r>
              <w:rPr>
                <w:rFonts w:hint="eastAsia"/>
              </w:rPr>
              <w:t xml:space="preserve"> </w:t>
            </w:r>
            <w:r>
              <w:rPr>
                <w:rFonts w:hint="eastAsia"/>
              </w:rPr>
              <w:t>等方面具有较强的优势。</w:t>
            </w:r>
          </w:p>
        </w:tc>
      </w:tr>
      <w:tr w:rsidR="00156DD6">
        <w:tc>
          <w:tcPr>
            <w:tcW w:w="2947" w:type="dxa"/>
          </w:tcPr>
          <w:p w:rsidR="00156DD6" w:rsidRDefault="00D51F5F">
            <w:r>
              <w:rPr>
                <w:rFonts w:hint="eastAsia"/>
              </w:rPr>
              <w:t>箱式变电站、箱变</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一种高压开关设备、电力变压器和低压配电装置，按一</w:t>
            </w:r>
            <w:r>
              <w:rPr>
                <w:rFonts w:hint="eastAsia"/>
              </w:rPr>
              <w:lastRenderedPageBreak/>
              <w:t>定接线方案排成一体的工厂预制户内、户外紧凑式配电设备。</w:t>
            </w:r>
          </w:p>
        </w:tc>
      </w:tr>
      <w:tr w:rsidR="00156DD6">
        <w:tc>
          <w:tcPr>
            <w:tcW w:w="2947" w:type="dxa"/>
          </w:tcPr>
          <w:p w:rsidR="00156DD6" w:rsidRDefault="00D51F5F">
            <w:bookmarkStart w:id="8" w:name="_Hlk204070260"/>
            <w:r>
              <w:rPr>
                <w:rFonts w:hint="eastAsia"/>
              </w:rPr>
              <w:lastRenderedPageBreak/>
              <w:t>成套电气设备</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由壳体、母线、一二次元件、辅材等组成的完整电力设备，它运行在电网中主要起着接受和分配电能的作用，同时对电力设备起着控制以及保护的作用。</w:t>
            </w:r>
          </w:p>
        </w:tc>
      </w:tr>
      <w:tr w:rsidR="00156DD6">
        <w:tc>
          <w:tcPr>
            <w:tcW w:w="2947" w:type="dxa"/>
          </w:tcPr>
          <w:p w:rsidR="00156DD6" w:rsidRDefault="00D51F5F">
            <w:pPr>
              <w:pStyle w:val="12"/>
            </w:pPr>
            <w:r>
              <w:t>MVnex/BlokSeT</w:t>
            </w:r>
            <w:r>
              <w:rPr>
                <w:rFonts w:ascii="宋体" w:hAnsi="宋体"/>
              </w:rPr>
              <w:t>授权柜</w:t>
            </w:r>
          </w:p>
        </w:tc>
        <w:tc>
          <w:tcPr>
            <w:tcW w:w="768" w:type="dxa"/>
          </w:tcPr>
          <w:p w:rsidR="00156DD6" w:rsidRDefault="00D51F5F">
            <w:pPr>
              <w:jc w:val="center"/>
              <w:rPr>
                <w:color w:val="000000" w:themeColor="text1"/>
                <w:highlight w:val="lightGray"/>
              </w:rPr>
            </w:pPr>
            <w:r>
              <w:rPr>
                <w:rFonts w:hint="eastAsia"/>
                <w:color w:val="000000" w:themeColor="text1"/>
              </w:rPr>
              <w:t>指</w:t>
            </w:r>
          </w:p>
        </w:tc>
        <w:tc>
          <w:tcPr>
            <w:tcW w:w="5108" w:type="dxa"/>
          </w:tcPr>
          <w:p w:rsidR="00156DD6" w:rsidRDefault="00D51F5F">
            <w:r>
              <w:rPr>
                <w:rFonts w:hint="eastAsia"/>
              </w:rPr>
              <w:t>公司产品之一，该产品可实现标准网关、无线连接、测温等多种功能的预制化搭载，打造出厂即自带数字化基因的新型智能成套设备，以更低投入且“轻量化”的方式为最终用户带来无与伦比的数字化体验。结合多款数字化软件，可随时监测设备运行状态，并能够实现现场及云端的高效管理，从而全面优化配电资产从设计、建造到部署、运维的全生命周期数字化管理，提高用电可靠性，提升供配电系统的运维效率。</w:t>
            </w:r>
          </w:p>
        </w:tc>
      </w:tr>
      <w:tr w:rsidR="00156DD6">
        <w:tc>
          <w:tcPr>
            <w:tcW w:w="2947" w:type="dxa"/>
          </w:tcPr>
          <w:p w:rsidR="00156DD6" w:rsidRDefault="00D51F5F">
            <w:bookmarkStart w:id="9" w:name="OLE_LINK1"/>
            <w:bookmarkStart w:id="10" w:name="OLE_LINK19"/>
            <w:bookmarkEnd w:id="8"/>
            <w:r>
              <w:rPr>
                <w:rFonts w:hint="eastAsia"/>
              </w:rPr>
              <w:t>IOT</w:t>
            </w:r>
            <w:bookmarkEnd w:id="9"/>
            <w:bookmarkEnd w:id="10"/>
            <w:r>
              <w:rPr>
                <w:rFonts w:hint="eastAsia"/>
              </w:rPr>
              <w:t> </w:t>
            </w:r>
            <w:r>
              <w:rPr>
                <w:rFonts w:hint="eastAsia"/>
              </w:rPr>
              <w:t>集成</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物联网集成，是将各种物联网设备、系统、平台、网络以及安全等要素相互连接和协同，实现资</w:t>
            </w:r>
            <w:r>
              <w:rPr>
                <w:rFonts w:hint="eastAsia"/>
              </w:rPr>
              <w:t>源的优化配置、信息的共享交互和业务流程的整合优化，以满足不同场景下对物联网应用的需求。公司低压智能柜</w:t>
            </w:r>
            <w:r>
              <w:rPr>
                <w:rFonts w:hint="eastAsia"/>
              </w:rPr>
              <w:t>IOT</w:t>
            </w:r>
            <w:r>
              <w:rPr>
                <w:rFonts w:hint="eastAsia"/>
              </w:rPr>
              <w:t>集成可实现运行状态在线监测、资产生命周期管理及运维管理、动力环境管理和自动生成运行报告的功能。</w:t>
            </w:r>
          </w:p>
        </w:tc>
      </w:tr>
      <w:tr w:rsidR="00156DD6">
        <w:tc>
          <w:tcPr>
            <w:tcW w:w="2947" w:type="dxa"/>
          </w:tcPr>
          <w:p w:rsidR="00156DD6" w:rsidRDefault="00D51F5F">
            <w:r>
              <w:t>AI</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人工智能（</w:t>
            </w:r>
            <w:r>
              <w:rPr>
                <w:rFonts w:hint="eastAsia"/>
              </w:rPr>
              <w:t>Artificial Intelligence</w:t>
            </w:r>
            <w:r>
              <w:rPr>
                <w:rFonts w:hint="eastAsia"/>
              </w:rPr>
              <w:t>），是对人的意识、思维的信息过程的模拟，旨在使机器，尤其是计算机系统，能够模拟、延伸和扩展人类的智能行为，包括学习、推理、解决问题、感知、决策和语言理解等能力。</w:t>
            </w:r>
          </w:p>
        </w:tc>
      </w:tr>
      <w:tr w:rsidR="00156DD6">
        <w:tc>
          <w:tcPr>
            <w:tcW w:w="2947" w:type="dxa"/>
          </w:tcPr>
          <w:p w:rsidR="00156DD6" w:rsidRDefault="00D51F5F">
            <w:r>
              <w:rPr>
                <w:rFonts w:hint="eastAsia"/>
              </w:rPr>
              <w:t>具身智能</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具身智能（</w:t>
            </w:r>
            <w:r>
              <w:t>Embodied Intelligence</w:t>
            </w:r>
            <w:r>
              <w:rPr>
                <w:rFonts w:hint="eastAsia"/>
              </w:rPr>
              <w:t>）是人工智能</w:t>
            </w:r>
            <w:r>
              <w:rPr>
                <w:rFonts w:hint="eastAsia"/>
              </w:rPr>
              <w:t>与机器人学交叉的前沿领域，强调智能体通过身体与环境的动态交互实现自主学习和进化，其核心在于将感知、行动与认知深度融合</w:t>
            </w:r>
            <w:r>
              <w:rPr>
                <w:rFonts w:ascii="MS Gothic" w:eastAsia="MS Gothic" w:hAnsi="MS Gothic" w:cs="MS Gothic" w:hint="eastAsia"/>
              </w:rPr>
              <w:t>‌</w:t>
            </w:r>
            <w:r>
              <w:rPr>
                <w:rFonts w:ascii="等线" w:eastAsia="等线" w:hAnsi="等线" w:cs="等线" w:hint="eastAsia"/>
              </w:rPr>
              <w:t>。</w:t>
            </w:r>
          </w:p>
        </w:tc>
      </w:tr>
      <w:tr w:rsidR="00156DD6">
        <w:tc>
          <w:tcPr>
            <w:tcW w:w="2947" w:type="dxa"/>
          </w:tcPr>
          <w:p w:rsidR="00156DD6" w:rsidRDefault="00D51F5F">
            <w:r>
              <w:rPr>
                <w:rFonts w:hint="eastAsia"/>
              </w:rPr>
              <w:t>中电联</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中国电力企业联合会</w:t>
            </w:r>
          </w:p>
        </w:tc>
      </w:tr>
      <w:tr w:rsidR="00156DD6">
        <w:tc>
          <w:tcPr>
            <w:tcW w:w="2947" w:type="dxa"/>
          </w:tcPr>
          <w:p w:rsidR="00156DD6" w:rsidRDefault="00D51F5F">
            <w:r>
              <w:rPr>
                <w:rFonts w:hint="eastAsia"/>
              </w:rPr>
              <w:t>国家电网</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国家电网有限公司</w:t>
            </w:r>
          </w:p>
        </w:tc>
      </w:tr>
      <w:tr w:rsidR="00156DD6">
        <w:tc>
          <w:tcPr>
            <w:tcW w:w="2947" w:type="dxa"/>
          </w:tcPr>
          <w:p w:rsidR="00156DD6" w:rsidRDefault="00D51F5F">
            <w:r>
              <w:rPr>
                <w:rFonts w:hint="eastAsia"/>
              </w:rPr>
              <w:t>南方电网</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中国南方电网有限责任公司</w:t>
            </w:r>
          </w:p>
        </w:tc>
      </w:tr>
      <w:tr w:rsidR="00156DD6">
        <w:tc>
          <w:tcPr>
            <w:tcW w:w="2947" w:type="dxa"/>
          </w:tcPr>
          <w:p w:rsidR="00156DD6" w:rsidRDefault="00D51F5F">
            <w:r>
              <w:rPr>
                <w:rFonts w:hint="eastAsia"/>
              </w:rPr>
              <w:t>雅下项目</w:t>
            </w:r>
          </w:p>
        </w:tc>
        <w:tc>
          <w:tcPr>
            <w:tcW w:w="768" w:type="dxa"/>
          </w:tcPr>
          <w:p w:rsidR="00156DD6" w:rsidRDefault="00D51F5F">
            <w:pPr>
              <w:jc w:val="center"/>
              <w:rPr>
                <w:color w:val="000000" w:themeColor="text1"/>
              </w:rPr>
            </w:pPr>
            <w:r>
              <w:rPr>
                <w:rFonts w:hint="eastAsia"/>
                <w:color w:val="000000" w:themeColor="text1"/>
              </w:rPr>
              <w:t>指</w:t>
            </w:r>
          </w:p>
        </w:tc>
        <w:tc>
          <w:tcPr>
            <w:tcW w:w="5108" w:type="dxa"/>
          </w:tcPr>
          <w:p w:rsidR="00156DD6" w:rsidRDefault="00D51F5F">
            <w:r>
              <w:rPr>
                <w:rFonts w:hint="eastAsia"/>
              </w:rPr>
              <w:t>雅鲁藏布江下游水电工程</w:t>
            </w:r>
          </w:p>
        </w:tc>
      </w:tr>
    </w:tbl>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pPr>
    </w:p>
    <w:p w:rsidR="00156DD6" w:rsidRDefault="00D51F5F">
      <w:pPr>
        <w:pStyle w:val="1"/>
        <w:numPr>
          <w:ilvl w:val="0"/>
          <w:numId w:val="2"/>
        </w:numPr>
        <w:rPr>
          <w:rFonts w:ascii="黑体" w:hAnsi="黑体"/>
          <w:color w:val="000000" w:themeColor="text1"/>
        </w:rPr>
      </w:pPr>
      <w:bookmarkStart w:id="11" w:name="_Toc200030540"/>
      <w:bookmarkStart w:id="12" w:name="_Toc76114273"/>
      <w:r>
        <w:rPr>
          <w:rFonts w:ascii="黑体" w:hAnsi="黑体" w:hint="eastAsia"/>
          <w:color w:val="000000" w:themeColor="text1"/>
        </w:rPr>
        <w:t>公司简介</w:t>
      </w:r>
      <w:bookmarkEnd w:id="7"/>
      <w:r>
        <w:rPr>
          <w:rFonts w:ascii="黑体" w:hAnsi="黑体" w:hint="eastAsia"/>
          <w:color w:val="000000" w:themeColor="text1"/>
        </w:rPr>
        <w:t>和主要财务指标</w:t>
      </w:r>
    </w:p>
    <w:p w:rsidR="00156DD6" w:rsidRDefault="00D51F5F">
      <w:pPr>
        <w:pStyle w:val="2"/>
        <w:numPr>
          <w:ilvl w:val="0"/>
          <w:numId w:val="3"/>
        </w:numPr>
        <w:ind w:left="0" w:firstLine="0"/>
        <w:rPr>
          <w:color w:val="000000" w:themeColor="text1"/>
        </w:rPr>
      </w:pPr>
      <w:bookmarkStart w:id="13" w:name="_Toc342051041"/>
      <w:bookmarkStart w:id="14" w:name="_Toc342565881"/>
      <w:bookmarkEnd w:id="11"/>
      <w:bookmarkEnd w:id="12"/>
      <w:r>
        <w:rPr>
          <w:rFonts w:hint="eastAsia"/>
          <w:color w:val="000000" w:themeColor="text1"/>
        </w:rPr>
        <w:t>公司信息</w:t>
      </w:r>
      <w:bookmarkEnd w:id="13"/>
      <w:bookmarkEnd w:id="1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156DD6">
        <w:trPr>
          <w:trHeight w:val="293"/>
        </w:trPr>
        <w:sdt>
          <w:sdtPr>
            <w:tag w:val="_PLD_372cd7a5ecc1420488735479d42bf939"/>
            <w:id w:val="131608264"/>
          </w:sdtPr>
          <w:sdtEndPr/>
          <w:sdtContent>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公司的中文名称</w:t>
                </w:r>
              </w:p>
            </w:tc>
          </w:sdtContent>
        </w:sdt>
        <w:sdt>
          <w:sdtPr>
            <w:rPr>
              <w:rFonts w:hint="eastAsia"/>
              <w:color w:val="000000" w:themeColor="text1"/>
            </w:rPr>
            <w:alias w:val="公司法定中文名称"/>
            <w:tag w:val="_GBC_6f7f4fb261c84402a309f1371502ca4f"/>
            <w:id w:val="-151291546"/>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重庆望变电气（集团）股份有限公司</w:t>
                </w:r>
              </w:p>
            </w:tc>
          </w:sdtContent>
        </w:sdt>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公司的中文简称</w:t>
            </w:r>
          </w:p>
        </w:tc>
        <w:tc>
          <w:tcPr>
            <w:tcW w:w="2831" w:type="pct"/>
            <w:tcBorders>
              <w:top w:val="single" w:sz="4" w:space="0" w:color="auto"/>
              <w:left w:val="single" w:sz="4" w:space="0" w:color="auto"/>
              <w:bottom w:val="single" w:sz="4" w:space="0" w:color="auto"/>
            </w:tcBorders>
          </w:tcPr>
          <w:p w:rsidR="00156DD6" w:rsidRDefault="00D51F5F">
            <w:pPr>
              <w:kinsoku w:val="0"/>
              <w:overflowPunct w:val="0"/>
              <w:autoSpaceDE w:val="0"/>
              <w:autoSpaceDN w:val="0"/>
              <w:adjustRightInd w:val="0"/>
              <w:snapToGrid w:val="0"/>
            </w:pPr>
            <w:r>
              <w:rPr>
                <w:rFonts w:hint="eastAsia"/>
              </w:rPr>
              <w:t>望变电气</w:t>
            </w:r>
          </w:p>
        </w:tc>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公司的外文名称</w:t>
            </w:r>
          </w:p>
        </w:tc>
        <w:tc>
          <w:tcPr>
            <w:tcW w:w="2831" w:type="pct"/>
            <w:tcBorders>
              <w:top w:val="single" w:sz="4" w:space="0" w:color="auto"/>
              <w:left w:val="single" w:sz="4" w:space="0" w:color="auto"/>
              <w:bottom w:val="single" w:sz="4" w:space="0" w:color="auto"/>
            </w:tcBorders>
          </w:tcPr>
          <w:p w:rsidR="00156DD6" w:rsidRDefault="00D51F5F">
            <w:pPr>
              <w:pStyle w:val="12"/>
            </w:pPr>
            <w:r>
              <w:rPr>
                <w:rFonts w:hint="eastAsia"/>
              </w:rPr>
              <w:t>ChongqingWangbianElectric</w:t>
            </w:r>
            <w:r>
              <w:rPr>
                <w:rFonts w:ascii="宋体" w:hAnsi="宋体" w:hint="eastAsia"/>
              </w:rPr>
              <w:t>（</w:t>
            </w:r>
            <w:r>
              <w:rPr>
                <w:rFonts w:hint="eastAsia"/>
              </w:rPr>
              <w:t>Group</w:t>
            </w:r>
            <w:r>
              <w:rPr>
                <w:rFonts w:ascii="宋体" w:hAnsi="宋体" w:hint="eastAsia"/>
              </w:rPr>
              <w:t>）</w:t>
            </w:r>
            <w:r>
              <w:rPr>
                <w:rFonts w:hint="eastAsia"/>
              </w:rPr>
              <w:t>Corp.,Ltd.</w:t>
            </w:r>
          </w:p>
        </w:tc>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公司的外文名称缩写</w:t>
            </w:r>
          </w:p>
        </w:tc>
        <w:tc>
          <w:tcPr>
            <w:tcW w:w="2831" w:type="pct"/>
            <w:tcBorders>
              <w:top w:val="single" w:sz="4" w:space="0" w:color="auto"/>
              <w:left w:val="single" w:sz="4" w:space="0" w:color="auto"/>
              <w:bottom w:val="single" w:sz="4" w:space="0" w:color="auto"/>
            </w:tcBorders>
          </w:tcPr>
          <w:p w:rsidR="00156DD6" w:rsidRDefault="00D51F5F">
            <w:pPr>
              <w:pStyle w:val="12"/>
            </w:pPr>
            <w:r>
              <w:rPr>
                <w:rFonts w:hint="eastAsia"/>
              </w:rPr>
              <w:t>WangbianElectric</w:t>
            </w:r>
          </w:p>
        </w:tc>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公司的</w:t>
            </w:r>
            <w:r>
              <w:rPr>
                <w:rFonts w:hint="eastAsia"/>
                <w:color w:val="000000" w:themeColor="text1"/>
              </w:rPr>
              <w:t>法定代表人</w:t>
            </w:r>
          </w:p>
        </w:tc>
        <w:tc>
          <w:tcPr>
            <w:tcW w:w="2831" w:type="pct"/>
            <w:tcBorders>
              <w:top w:val="single" w:sz="4" w:space="0" w:color="auto"/>
              <w:left w:val="single" w:sz="4" w:space="0" w:color="auto"/>
              <w:bottom w:val="single" w:sz="4" w:space="0" w:color="auto"/>
            </w:tcBorders>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杨泽民</w:t>
            </w:r>
          </w:p>
        </w:tc>
      </w:tr>
    </w:tbl>
    <w:p w:rsidR="00156DD6" w:rsidRDefault="00156DD6">
      <w:pPr>
        <w:rPr>
          <w:color w:val="000000" w:themeColor="text1"/>
        </w:rPr>
      </w:pPr>
    </w:p>
    <w:p w:rsidR="00156DD6" w:rsidRDefault="00D51F5F">
      <w:pPr>
        <w:pStyle w:val="2"/>
        <w:numPr>
          <w:ilvl w:val="0"/>
          <w:numId w:val="3"/>
        </w:numPr>
        <w:ind w:left="0" w:firstLine="0"/>
        <w:rPr>
          <w:color w:val="000000" w:themeColor="text1"/>
        </w:rPr>
      </w:pPr>
      <w:bookmarkStart w:id="15" w:name="_Toc342565882"/>
      <w:bookmarkStart w:id="16" w:name="_Toc342051042"/>
      <w:r>
        <w:rPr>
          <w:rFonts w:hint="eastAsia"/>
          <w:color w:val="000000" w:themeColor="text1"/>
        </w:rPr>
        <w:lastRenderedPageBreak/>
        <w:t>联系人和联系方式</w:t>
      </w:r>
      <w:bookmarkEnd w:id="15"/>
      <w:bookmarkEnd w:id="1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939"/>
        <w:gridCol w:w="2942"/>
        <w:gridCol w:w="2942"/>
      </w:tblGrid>
      <w:tr w:rsidR="00156DD6">
        <w:tc>
          <w:tcPr>
            <w:tcW w:w="1666" w:type="pct"/>
            <w:tcBorders>
              <w:top w:val="single" w:sz="4" w:space="0" w:color="auto"/>
              <w:bottom w:val="single" w:sz="4" w:space="0" w:color="auto"/>
              <w:right w:val="single" w:sz="4" w:space="0" w:color="auto"/>
            </w:tcBorders>
          </w:tcPr>
          <w:p w:rsidR="00156DD6" w:rsidRDefault="00156DD6">
            <w:pPr>
              <w:kinsoku w:val="0"/>
              <w:overflowPunct w:val="0"/>
              <w:autoSpaceDE w:val="0"/>
              <w:autoSpaceDN w:val="0"/>
              <w:adjustRightInd w:val="0"/>
              <w:snapToGrid w:val="0"/>
              <w:rPr>
                <w:color w:val="000000" w:themeColor="text1"/>
              </w:rPr>
            </w:pPr>
          </w:p>
        </w:tc>
        <w:tc>
          <w:tcPr>
            <w:tcW w:w="1667" w:type="pct"/>
            <w:tcBorders>
              <w:top w:val="single" w:sz="4" w:space="0" w:color="auto"/>
              <w:left w:val="single" w:sz="4" w:space="0" w:color="auto"/>
              <w:bottom w:val="single" w:sz="4" w:space="0" w:color="auto"/>
              <w:right w:val="single" w:sz="4" w:space="0" w:color="auto"/>
            </w:tcBorders>
          </w:tcPr>
          <w:p w:rsidR="00156DD6" w:rsidRDefault="00D51F5F">
            <w:pPr>
              <w:pStyle w:val="a8"/>
              <w:kinsoku w:val="0"/>
              <w:overflowPunct w:val="0"/>
              <w:autoSpaceDE w:val="0"/>
              <w:autoSpaceDN w:val="0"/>
              <w:adjustRightInd w:val="0"/>
              <w:snapToGrid w:val="0"/>
              <w:jc w:val="center"/>
              <w:rPr>
                <w:rFonts w:ascii="宋体" w:hAnsi="宋体"/>
                <w:color w:val="000000" w:themeColor="text1"/>
              </w:rPr>
            </w:pPr>
            <w:sdt>
              <w:sdtPr>
                <w:tag w:val="_PLD_d0432012a3f249c3b4fdd759ff340e86"/>
                <w:id w:val="-1726370000"/>
              </w:sdtPr>
              <w:sdtEndPr/>
              <w:sdtContent>
                <w:r>
                  <w:rPr>
                    <w:rFonts w:ascii="宋体" w:hAnsi="宋体" w:cs="宋体" w:hint="eastAsia"/>
                    <w:color w:val="000000" w:themeColor="text1"/>
                  </w:rPr>
                  <w:t>董事会秘书</w:t>
                </w:r>
              </w:sdtContent>
            </w:sdt>
            <w:r>
              <w:rPr>
                <w:rFonts w:ascii="宋体" w:hAnsi="宋体"/>
                <w:color w:val="000000" w:themeColor="text1"/>
              </w:rPr>
              <w:t xml:space="preserve"> </w:t>
            </w:r>
          </w:p>
        </w:tc>
        <w:sdt>
          <w:sdtPr>
            <w:tag w:val="_PLD_3a25396416c14d2cb0688ae0ac8a1d4d"/>
            <w:id w:val="438115212"/>
          </w:sdtPr>
          <w:sdtEndPr/>
          <w:sdtContent>
            <w:tc>
              <w:tcPr>
                <w:tcW w:w="1667" w:type="pct"/>
                <w:tcBorders>
                  <w:top w:val="single" w:sz="4" w:space="0" w:color="auto"/>
                  <w:left w:val="single" w:sz="4" w:space="0" w:color="auto"/>
                  <w:bottom w:val="single" w:sz="4" w:space="0" w:color="auto"/>
                </w:tcBorders>
              </w:tcPr>
              <w:p w:rsidR="00156DD6" w:rsidRDefault="00D51F5F">
                <w:pPr>
                  <w:pStyle w:val="a8"/>
                  <w:kinsoku w:val="0"/>
                  <w:overflowPunct w:val="0"/>
                  <w:autoSpaceDE w:val="0"/>
                  <w:autoSpaceDN w:val="0"/>
                  <w:adjustRightInd w:val="0"/>
                  <w:snapToGrid w:val="0"/>
                  <w:jc w:val="center"/>
                  <w:rPr>
                    <w:rFonts w:ascii="宋体" w:hAnsi="宋体" w:cs="宋体"/>
                    <w:color w:val="000000" w:themeColor="text1"/>
                  </w:rPr>
                </w:pPr>
                <w:r>
                  <w:rPr>
                    <w:rFonts w:ascii="宋体" w:hAnsi="宋体" w:cs="宋体" w:hint="eastAsia"/>
                    <w:color w:val="000000" w:themeColor="text1"/>
                  </w:rPr>
                  <w:t>证券事务代表</w:t>
                </w:r>
              </w:p>
            </w:tc>
          </w:sdtContent>
        </w:sdt>
      </w:tr>
      <w:tr w:rsidR="00156DD6">
        <w:tc>
          <w:tcPr>
            <w:tcW w:w="1666"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姓名</w:t>
            </w:r>
          </w:p>
        </w:tc>
        <w:tc>
          <w:tcPr>
            <w:tcW w:w="1667" w:type="pct"/>
            <w:tcBorders>
              <w:top w:val="single" w:sz="4" w:space="0" w:color="auto"/>
              <w:left w:val="single" w:sz="4" w:space="0" w:color="auto"/>
              <w:bottom w:val="single" w:sz="4" w:space="0" w:color="auto"/>
              <w:right w:val="single" w:sz="4" w:space="0" w:color="auto"/>
            </w:tcBorders>
          </w:tcPr>
          <w:p w:rsidR="00156DD6" w:rsidRDefault="00D51F5F">
            <w:pPr>
              <w:pStyle w:val="Style43"/>
            </w:pPr>
            <w:r>
              <w:rPr>
                <w:rFonts w:hint="eastAsia"/>
              </w:rPr>
              <w:t>李代萍</w:t>
            </w:r>
          </w:p>
        </w:tc>
        <w:tc>
          <w:tcPr>
            <w:tcW w:w="1667" w:type="pct"/>
            <w:tcBorders>
              <w:top w:val="single" w:sz="4" w:space="0" w:color="auto"/>
              <w:left w:val="single" w:sz="4" w:space="0" w:color="auto"/>
              <w:bottom w:val="single" w:sz="4" w:space="0" w:color="auto"/>
            </w:tcBorders>
          </w:tcPr>
          <w:p w:rsidR="00156DD6" w:rsidRDefault="00D51F5F">
            <w:pPr>
              <w:pStyle w:val="Style43"/>
            </w:pPr>
            <w:r>
              <w:rPr>
                <w:rFonts w:hint="eastAsia"/>
              </w:rPr>
              <w:t>雷雯亦</w:t>
            </w:r>
          </w:p>
        </w:tc>
      </w:tr>
      <w:tr w:rsidR="00156DD6">
        <w:tc>
          <w:tcPr>
            <w:tcW w:w="1666"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联系地址</w:t>
            </w:r>
          </w:p>
        </w:tc>
        <w:tc>
          <w:tcPr>
            <w:tcW w:w="1667" w:type="pct"/>
            <w:tcBorders>
              <w:top w:val="single" w:sz="4" w:space="0" w:color="auto"/>
              <w:left w:val="single" w:sz="4" w:space="0" w:color="auto"/>
              <w:bottom w:val="single" w:sz="4" w:space="0" w:color="auto"/>
              <w:right w:val="single" w:sz="4" w:space="0" w:color="auto"/>
            </w:tcBorders>
          </w:tcPr>
          <w:p w:rsidR="00156DD6" w:rsidRDefault="00D51F5F">
            <w:pPr>
              <w:pStyle w:val="Style43"/>
            </w:pPr>
            <w:r>
              <w:rPr>
                <w:rFonts w:hint="eastAsia"/>
              </w:rPr>
              <w:t>重庆市长寿区晏家街道齐心东路</w:t>
            </w:r>
            <w:r>
              <w:rPr>
                <w:rFonts w:hint="eastAsia"/>
              </w:rPr>
              <w:t>10</w:t>
            </w:r>
            <w:r>
              <w:rPr>
                <w:rFonts w:hint="eastAsia"/>
              </w:rPr>
              <w:t>号</w:t>
            </w:r>
          </w:p>
        </w:tc>
        <w:tc>
          <w:tcPr>
            <w:tcW w:w="1667" w:type="pct"/>
            <w:tcBorders>
              <w:top w:val="single" w:sz="4" w:space="0" w:color="auto"/>
              <w:left w:val="single" w:sz="4" w:space="0" w:color="auto"/>
              <w:bottom w:val="single" w:sz="4" w:space="0" w:color="auto"/>
            </w:tcBorders>
          </w:tcPr>
          <w:p w:rsidR="00156DD6" w:rsidRDefault="00D51F5F">
            <w:pPr>
              <w:pStyle w:val="Style43"/>
            </w:pPr>
            <w:r>
              <w:rPr>
                <w:rFonts w:hint="eastAsia"/>
              </w:rPr>
              <w:t>重庆市江北区江北城街道江北城西大街</w:t>
            </w:r>
            <w:r>
              <w:rPr>
                <w:rFonts w:hint="eastAsia"/>
              </w:rPr>
              <w:t>3</w:t>
            </w:r>
            <w:r>
              <w:rPr>
                <w:rFonts w:hint="eastAsia"/>
              </w:rPr>
              <w:t>号交通银行大厦</w:t>
            </w:r>
            <w:r>
              <w:rPr>
                <w:rFonts w:hint="eastAsia"/>
              </w:rPr>
              <w:t>12</w:t>
            </w:r>
            <w:r>
              <w:rPr>
                <w:rFonts w:hint="eastAsia"/>
              </w:rPr>
              <w:t>楼</w:t>
            </w:r>
          </w:p>
        </w:tc>
      </w:tr>
      <w:tr w:rsidR="00156DD6">
        <w:tc>
          <w:tcPr>
            <w:tcW w:w="1666"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电话</w:t>
            </w:r>
          </w:p>
        </w:tc>
        <w:tc>
          <w:tcPr>
            <w:tcW w:w="1667" w:type="pct"/>
            <w:tcBorders>
              <w:top w:val="single" w:sz="4" w:space="0" w:color="auto"/>
              <w:left w:val="single" w:sz="4" w:space="0" w:color="auto"/>
              <w:bottom w:val="single" w:sz="4" w:space="0" w:color="auto"/>
              <w:right w:val="single" w:sz="4" w:space="0" w:color="auto"/>
            </w:tcBorders>
          </w:tcPr>
          <w:p w:rsidR="00156DD6" w:rsidRDefault="00D51F5F">
            <w:pPr>
              <w:pStyle w:val="Style43"/>
            </w:pPr>
            <w:r>
              <w:t>023-40615383</w:t>
            </w:r>
          </w:p>
        </w:tc>
        <w:tc>
          <w:tcPr>
            <w:tcW w:w="1667" w:type="pct"/>
            <w:tcBorders>
              <w:top w:val="single" w:sz="4" w:space="0" w:color="auto"/>
              <w:left w:val="single" w:sz="4" w:space="0" w:color="auto"/>
              <w:bottom w:val="single" w:sz="4" w:space="0" w:color="auto"/>
            </w:tcBorders>
          </w:tcPr>
          <w:p w:rsidR="00156DD6" w:rsidRDefault="00D51F5F">
            <w:pPr>
              <w:pStyle w:val="Style43"/>
            </w:pPr>
            <w:r>
              <w:t>023-67538525</w:t>
            </w:r>
          </w:p>
        </w:tc>
      </w:tr>
      <w:tr w:rsidR="00156DD6">
        <w:tc>
          <w:tcPr>
            <w:tcW w:w="1666"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传真</w:t>
            </w:r>
          </w:p>
        </w:tc>
        <w:tc>
          <w:tcPr>
            <w:tcW w:w="1667" w:type="pct"/>
            <w:tcBorders>
              <w:top w:val="single" w:sz="4" w:space="0" w:color="auto"/>
              <w:left w:val="single" w:sz="4" w:space="0" w:color="auto"/>
              <w:bottom w:val="single" w:sz="4" w:space="0" w:color="auto"/>
              <w:right w:val="single" w:sz="4" w:space="0" w:color="auto"/>
            </w:tcBorders>
          </w:tcPr>
          <w:p w:rsidR="00156DD6" w:rsidRDefault="00D51F5F">
            <w:pPr>
              <w:pStyle w:val="Style43"/>
            </w:pPr>
            <w:r>
              <w:t>023-40615383</w:t>
            </w:r>
          </w:p>
        </w:tc>
        <w:tc>
          <w:tcPr>
            <w:tcW w:w="1667" w:type="pct"/>
            <w:tcBorders>
              <w:top w:val="single" w:sz="4" w:space="0" w:color="auto"/>
              <w:left w:val="single" w:sz="4" w:space="0" w:color="auto"/>
              <w:bottom w:val="single" w:sz="4" w:space="0" w:color="auto"/>
            </w:tcBorders>
          </w:tcPr>
          <w:p w:rsidR="00156DD6" w:rsidRDefault="00D51F5F">
            <w:pPr>
              <w:pStyle w:val="Style43"/>
            </w:pPr>
            <w:r>
              <w:t>023-67538525</w:t>
            </w:r>
          </w:p>
        </w:tc>
      </w:tr>
      <w:tr w:rsidR="00156DD6">
        <w:tc>
          <w:tcPr>
            <w:tcW w:w="1666"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电子信箱</w:t>
            </w:r>
          </w:p>
        </w:tc>
        <w:tc>
          <w:tcPr>
            <w:tcW w:w="1667" w:type="pct"/>
            <w:tcBorders>
              <w:top w:val="single" w:sz="4" w:space="0" w:color="auto"/>
              <w:left w:val="single" w:sz="4" w:space="0" w:color="auto"/>
              <w:bottom w:val="single" w:sz="4" w:space="0" w:color="auto"/>
              <w:right w:val="single" w:sz="4" w:space="0" w:color="auto"/>
            </w:tcBorders>
          </w:tcPr>
          <w:p w:rsidR="00156DD6" w:rsidRDefault="00D51F5F">
            <w:pPr>
              <w:pStyle w:val="12"/>
            </w:pPr>
            <w:r>
              <w:rPr>
                <w:rFonts w:hint="eastAsia"/>
              </w:rPr>
              <w:t>lidaiping@cqwbdq.com</w:t>
            </w:r>
          </w:p>
        </w:tc>
        <w:tc>
          <w:tcPr>
            <w:tcW w:w="1667" w:type="pct"/>
            <w:tcBorders>
              <w:top w:val="single" w:sz="4" w:space="0" w:color="auto"/>
              <w:left w:val="single" w:sz="4" w:space="0" w:color="auto"/>
              <w:bottom w:val="single" w:sz="4" w:space="0" w:color="auto"/>
            </w:tcBorders>
          </w:tcPr>
          <w:p w:rsidR="00156DD6" w:rsidRDefault="00D51F5F">
            <w:pPr>
              <w:pStyle w:val="Style43"/>
            </w:pPr>
            <w:r>
              <w:t>leiwenyi@cqwbdq.com</w:t>
            </w:r>
          </w:p>
        </w:tc>
      </w:tr>
    </w:tbl>
    <w:p w:rsidR="00156DD6" w:rsidRDefault="00156DD6">
      <w:pPr>
        <w:rPr>
          <w:color w:val="000000" w:themeColor="text1"/>
        </w:rPr>
      </w:pPr>
    </w:p>
    <w:p w:rsidR="00156DD6" w:rsidRDefault="00D51F5F">
      <w:pPr>
        <w:pStyle w:val="2"/>
        <w:numPr>
          <w:ilvl w:val="0"/>
          <w:numId w:val="3"/>
        </w:numPr>
        <w:ind w:left="0" w:firstLine="0"/>
        <w:rPr>
          <w:color w:val="000000" w:themeColor="text1"/>
        </w:rPr>
      </w:pPr>
      <w:r>
        <w:rPr>
          <w:rFonts w:hint="eastAsia"/>
          <w:color w:val="000000" w:themeColor="text1"/>
        </w:rPr>
        <w:t>基本情况变更简介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156DD6">
        <w:trPr>
          <w:trHeight w:val="293"/>
        </w:trPr>
        <w:sdt>
          <w:sdtPr>
            <w:tag w:val="_PLD_85d89a4aa7974727a1dc32c53cb7ca26"/>
            <w:id w:val="189183434"/>
          </w:sdtPr>
          <w:sdtEndPr/>
          <w:sdtContent>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公司注册地址</w:t>
                </w:r>
              </w:p>
            </w:tc>
          </w:sdtContent>
        </w:sdt>
        <w:sdt>
          <w:sdtPr>
            <w:rPr>
              <w:color w:val="000000" w:themeColor="text1"/>
            </w:rPr>
            <w:alias w:val="公司注册地址"/>
            <w:tag w:val="_GBC_176149bee7bf41819b29097eb854f331"/>
            <w:id w:val="2042247743"/>
          </w:sdtPr>
          <w:sdtEndPr/>
          <w:sdtContent>
            <w:tc>
              <w:tcPr>
                <w:tcW w:w="2831" w:type="pct"/>
                <w:tcBorders>
                  <w:top w:val="single" w:sz="4" w:space="0" w:color="auto"/>
                  <w:left w:val="single" w:sz="4" w:space="0" w:color="auto"/>
                  <w:bottom w:val="single" w:sz="4" w:space="0" w:color="auto"/>
                </w:tcBorders>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重庆市长寿区晏家街道齐心东路</w:t>
                </w:r>
                <w:r>
                  <w:rPr>
                    <w:rFonts w:hint="eastAsia"/>
                    <w:color w:val="000000" w:themeColor="text1"/>
                  </w:rPr>
                  <w:t>10</w:t>
                </w:r>
                <w:r>
                  <w:rPr>
                    <w:rFonts w:hint="eastAsia"/>
                    <w:color w:val="000000" w:themeColor="text1"/>
                  </w:rPr>
                  <w:t>号</w:t>
                </w:r>
              </w:p>
            </w:tc>
          </w:sdtContent>
        </w:sdt>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公司注册地址的历史变更情况</w:t>
            </w:r>
          </w:p>
        </w:tc>
        <w:tc>
          <w:tcPr>
            <w:tcW w:w="2831" w:type="pct"/>
            <w:tcBorders>
              <w:top w:val="single" w:sz="4" w:space="0" w:color="auto"/>
              <w:left w:val="single" w:sz="4" w:space="0" w:color="auto"/>
              <w:bottom w:val="single" w:sz="4" w:space="0" w:color="auto"/>
            </w:tcBorders>
          </w:tcPr>
          <w:p w:rsidR="00156DD6" w:rsidRDefault="00D51F5F">
            <w:pPr>
              <w:pStyle w:val="Style43"/>
            </w:pPr>
            <w:r>
              <w:rPr>
                <w:rFonts w:hint="eastAsia"/>
              </w:rPr>
              <w:t>无</w:t>
            </w:r>
          </w:p>
        </w:tc>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公司办公地址</w:t>
            </w:r>
          </w:p>
        </w:tc>
        <w:tc>
          <w:tcPr>
            <w:tcW w:w="2831" w:type="pct"/>
            <w:tcBorders>
              <w:top w:val="single" w:sz="4" w:space="0" w:color="auto"/>
              <w:left w:val="single" w:sz="4" w:space="0" w:color="auto"/>
              <w:bottom w:val="single" w:sz="4" w:space="0" w:color="auto"/>
            </w:tcBorders>
          </w:tcPr>
          <w:p w:rsidR="00156DD6" w:rsidRDefault="00D51F5F">
            <w:pPr>
              <w:pStyle w:val="Style43"/>
            </w:pPr>
            <w:r>
              <w:rPr>
                <w:rFonts w:hint="eastAsia"/>
              </w:rPr>
              <w:t>重庆市江北区江北城街道江北城西大街</w:t>
            </w:r>
            <w:r>
              <w:rPr>
                <w:rFonts w:hint="eastAsia"/>
              </w:rPr>
              <w:t>3</w:t>
            </w:r>
            <w:r>
              <w:rPr>
                <w:rFonts w:hint="eastAsia"/>
              </w:rPr>
              <w:t>号交通银行大厦</w:t>
            </w:r>
            <w:r>
              <w:rPr>
                <w:rFonts w:hint="eastAsia"/>
              </w:rPr>
              <w:t>12</w:t>
            </w:r>
            <w:r>
              <w:rPr>
                <w:rFonts w:hint="eastAsia"/>
              </w:rPr>
              <w:t>楼</w:t>
            </w:r>
          </w:p>
        </w:tc>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公司办公地址的邮政编码</w:t>
            </w:r>
          </w:p>
        </w:tc>
        <w:tc>
          <w:tcPr>
            <w:tcW w:w="2831" w:type="pct"/>
            <w:tcBorders>
              <w:top w:val="single" w:sz="4" w:space="0" w:color="auto"/>
              <w:left w:val="single" w:sz="4" w:space="0" w:color="auto"/>
              <w:bottom w:val="single" w:sz="4" w:space="0" w:color="auto"/>
            </w:tcBorders>
          </w:tcPr>
          <w:p w:rsidR="00156DD6" w:rsidRDefault="00D51F5F">
            <w:pPr>
              <w:pStyle w:val="Style43"/>
            </w:pPr>
            <w:r>
              <w:t>400020</w:t>
            </w:r>
          </w:p>
        </w:tc>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公司网址</w:t>
            </w:r>
          </w:p>
        </w:tc>
        <w:tc>
          <w:tcPr>
            <w:tcW w:w="2831" w:type="pct"/>
            <w:tcBorders>
              <w:top w:val="single" w:sz="4" w:space="0" w:color="auto"/>
              <w:left w:val="single" w:sz="4" w:space="0" w:color="auto"/>
              <w:bottom w:val="single" w:sz="4" w:space="0" w:color="auto"/>
            </w:tcBorders>
          </w:tcPr>
          <w:p w:rsidR="00156DD6" w:rsidRDefault="00D51F5F">
            <w:pPr>
              <w:pStyle w:val="Style43"/>
            </w:pPr>
            <w:r>
              <w:t>www.cqwbdq.com</w:t>
            </w:r>
          </w:p>
        </w:tc>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电子信箱</w:t>
            </w:r>
          </w:p>
        </w:tc>
        <w:tc>
          <w:tcPr>
            <w:tcW w:w="2831" w:type="pct"/>
            <w:tcBorders>
              <w:top w:val="single" w:sz="4" w:space="0" w:color="auto"/>
              <w:left w:val="single" w:sz="4" w:space="0" w:color="auto"/>
              <w:bottom w:val="single" w:sz="4" w:space="0" w:color="auto"/>
            </w:tcBorders>
          </w:tcPr>
          <w:p w:rsidR="00156DD6" w:rsidRDefault="00D51F5F">
            <w:pPr>
              <w:pStyle w:val="Style43"/>
            </w:pPr>
            <w:r>
              <w:t>wbdq_ir@cqwbdq.com</w:t>
            </w:r>
          </w:p>
        </w:tc>
      </w:tr>
    </w:tbl>
    <w:p w:rsidR="00156DD6" w:rsidRDefault="00156DD6">
      <w:pPr>
        <w:rPr>
          <w:color w:val="000000" w:themeColor="text1"/>
        </w:rPr>
      </w:pPr>
    </w:p>
    <w:p w:rsidR="00156DD6" w:rsidRDefault="00156DD6">
      <w:pPr>
        <w:kinsoku w:val="0"/>
        <w:overflowPunct w:val="0"/>
        <w:autoSpaceDE w:val="0"/>
        <w:autoSpaceDN w:val="0"/>
        <w:adjustRightInd w:val="0"/>
        <w:snapToGrid w:val="0"/>
        <w:rPr>
          <w:color w:val="000000" w:themeColor="text1"/>
        </w:rPr>
      </w:pPr>
    </w:p>
    <w:p w:rsidR="00156DD6" w:rsidRDefault="00D51F5F">
      <w:pPr>
        <w:pStyle w:val="2"/>
        <w:numPr>
          <w:ilvl w:val="0"/>
          <w:numId w:val="3"/>
        </w:numPr>
        <w:ind w:left="0" w:firstLine="0"/>
        <w:rPr>
          <w:color w:val="000000" w:themeColor="text1"/>
        </w:rPr>
      </w:pPr>
      <w:r>
        <w:rPr>
          <w:rFonts w:hint="eastAsia"/>
          <w:color w:val="000000" w:themeColor="text1"/>
        </w:rP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156DD6">
        <w:trPr>
          <w:trHeight w:val="293"/>
        </w:trPr>
        <w:sdt>
          <w:sdtPr>
            <w:tag w:val="_PLD_5a9e1277ac2b48eb8d7aa1b69c532d31"/>
            <w:id w:val="-914167411"/>
          </w:sdtPr>
          <w:sdtEndPr/>
          <w:sdtContent>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公司选定的信息披露报纸名称</w:t>
                </w:r>
              </w:p>
            </w:tc>
          </w:sdtContent>
        </w:sdt>
        <w:sdt>
          <w:sdtPr>
            <w:rPr>
              <w:color w:val="000000" w:themeColor="text1"/>
            </w:rPr>
            <w:alias w:val="公司选定的信息披露报纸名称"/>
            <w:tag w:val="_GBC_ea25303a54e24033a0a9a380e9688e98"/>
            <w:id w:val="1023977614"/>
          </w:sdtPr>
          <w:sdtEndPr/>
          <w:sdtContent>
            <w:tc>
              <w:tcPr>
                <w:tcW w:w="2831" w:type="pct"/>
                <w:tcBorders>
                  <w:top w:val="single" w:sz="4" w:space="0" w:color="auto"/>
                  <w:left w:val="single" w:sz="4" w:space="0" w:color="auto"/>
                  <w:bottom w:val="single" w:sz="4" w:space="0" w:color="auto"/>
                </w:tcBorders>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《上海证券报》《中国证券报》《证券时报》和《证券日报》</w:t>
                </w:r>
              </w:p>
            </w:tc>
          </w:sdtContent>
        </w:sdt>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登载半年度报告的</w:t>
            </w:r>
            <w:r>
              <w:rPr>
                <w:rFonts w:hint="eastAsia"/>
                <w:color w:val="000000" w:themeColor="text1"/>
              </w:rPr>
              <w:t>网站地</w:t>
            </w:r>
            <w:r>
              <w:rPr>
                <w:color w:val="000000" w:themeColor="text1"/>
              </w:rPr>
              <w:t>址</w:t>
            </w:r>
          </w:p>
        </w:tc>
        <w:tc>
          <w:tcPr>
            <w:tcW w:w="2831" w:type="pct"/>
            <w:tcBorders>
              <w:top w:val="single" w:sz="4" w:space="0" w:color="auto"/>
              <w:left w:val="single" w:sz="4" w:space="0" w:color="auto"/>
              <w:bottom w:val="single" w:sz="4" w:space="0" w:color="auto"/>
            </w:tcBorders>
          </w:tcPr>
          <w:p w:rsidR="00156DD6" w:rsidRDefault="00D51F5F">
            <w:pPr>
              <w:pStyle w:val="Style43"/>
            </w:pPr>
            <w:r>
              <w:t>www.sse.com.cn</w:t>
            </w:r>
          </w:p>
        </w:tc>
      </w:tr>
      <w:tr w:rsidR="00156DD6">
        <w:trPr>
          <w:trHeight w:val="293"/>
        </w:trPr>
        <w:tc>
          <w:tcPr>
            <w:tcW w:w="2169"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rPr>
                <w:color w:val="000000" w:themeColor="text1"/>
              </w:rPr>
            </w:pPr>
            <w:r>
              <w:rPr>
                <w:color w:val="000000" w:themeColor="text1"/>
              </w:rPr>
              <w:t>公司半年度报告备置地点</w:t>
            </w:r>
          </w:p>
        </w:tc>
        <w:tc>
          <w:tcPr>
            <w:tcW w:w="2831" w:type="pct"/>
            <w:tcBorders>
              <w:top w:val="single" w:sz="4" w:space="0" w:color="auto"/>
              <w:left w:val="single" w:sz="4" w:space="0" w:color="auto"/>
              <w:bottom w:val="single" w:sz="4" w:space="0" w:color="auto"/>
            </w:tcBorders>
          </w:tcPr>
          <w:p w:rsidR="00156DD6" w:rsidRDefault="00D51F5F">
            <w:pPr>
              <w:pStyle w:val="Style43"/>
            </w:pPr>
            <w:r>
              <w:rPr>
                <w:rFonts w:hint="eastAsia"/>
              </w:rPr>
              <w:t>重庆市江北区江北城街道江北城西大街</w:t>
            </w:r>
            <w:r>
              <w:rPr>
                <w:rFonts w:hint="eastAsia"/>
              </w:rPr>
              <w:t>3</w:t>
            </w:r>
            <w:r>
              <w:rPr>
                <w:rFonts w:hint="eastAsia"/>
              </w:rPr>
              <w:t>号交通银行大厦</w:t>
            </w:r>
            <w:r>
              <w:rPr>
                <w:rFonts w:hint="eastAsia"/>
              </w:rPr>
              <w:t>12</w:t>
            </w:r>
            <w:r>
              <w:rPr>
                <w:rFonts w:hint="eastAsia"/>
              </w:rPr>
              <w:t>楼</w:t>
            </w:r>
          </w:p>
        </w:tc>
      </w:tr>
    </w:tbl>
    <w:p w:rsidR="00156DD6" w:rsidRDefault="00156DD6">
      <w:pPr>
        <w:rPr>
          <w:color w:val="000000" w:themeColor="text1"/>
        </w:rPr>
      </w:pPr>
    </w:p>
    <w:p w:rsidR="00156DD6" w:rsidRDefault="00D51F5F">
      <w:pPr>
        <w:pStyle w:val="2"/>
        <w:numPr>
          <w:ilvl w:val="0"/>
          <w:numId w:val="3"/>
        </w:numPr>
        <w:ind w:left="0" w:firstLine="0"/>
        <w:rPr>
          <w:color w:val="000000" w:themeColor="text1"/>
        </w:rPr>
      </w:pPr>
      <w:bookmarkStart w:id="17" w:name="_Toc342051045"/>
      <w:bookmarkStart w:id="18" w:name="_Toc342565885"/>
      <w:r>
        <w:rPr>
          <w:rFonts w:hint="eastAsia"/>
          <w:color w:val="000000" w:themeColor="text1"/>
        </w:rPr>
        <w:t>公司股票简况</w:t>
      </w:r>
      <w:bookmarkEnd w:id="17"/>
      <w:bookmarkEnd w:id="1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64"/>
        <w:gridCol w:w="1764"/>
        <w:gridCol w:w="1765"/>
        <w:gridCol w:w="1765"/>
        <w:gridCol w:w="1765"/>
      </w:tblGrid>
      <w:tr w:rsidR="00156DD6">
        <w:trPr>
          <w:trHeight w:val="293"/>
        </w:trPr>
        <w:sdt>
          <w:sdtPr>
            <w:tag w:val="_PLD_136d907086394f5eaee0ec7d22ac5510"/>
            <w:id w:val="-1022779214"/>
          </w:sdtPr>
          <w:sdtEndPr/>
          <w:sdtContent>
            <w:tc>
              <w:tcPr>
                <w:tcW w:w="1000"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jc w:val="center"/>
                  <w:rPr>
                    <w:color w:val="000000" w:themeColor="text1"/>
                  </w:rPr>
                </w:pPr>
                <w:r>
                  <w:rPr>
                    <w:rFonts w:hint="eastAsia"/>
                    <w:color w:val="000000" w:themeColor="text1"/>
                  </w:rPr>
                  <w:t>股票种类</w:t>
                </w:r>
              </w:p>
            </w:tc>
          </w:sdtContent>
        </w:sdt>
        <w:sdt>
          <w:sdtPr>
            <w:tag w:val="_PLD_6a843bcbb5a24c0aa6b5fa899c00d11d"/>
            <w:id w:val="1073005098"/>
          </w:sdtPr>
          <w:sdtEndPr/>
          <w:sdtContent>
            <w:tc>
              <w:tcPr>
                <w:tcW w:w="1000" w:type="pct"/>
                <w:tcBorders>
                  <w:top w:val="single" w:sz="4" w:space="0" w:color="auto"/>
                  <w:left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jc w:val="center"/>
                  <w:rPr>
                    <w:color w:val="000000" w:themeColor="text1"/>
                  </w:rPr>
                </w:pPr>
                <w:r>
                  <w:rPr>
                    <w:rFonts w:hint="eastAsia"/>
                    <w:color w:val="000000" w:themeColor="text1"/>
                  </w:rPr>
                  <w:t>股票上市交易所</w:t>
                </w:r>
              </w:p>
            </w:tc>
          </w:sdtContent>
        </w:sdt>
        <w:sdt>
          <w:sdtPr>
            <w:tag w:val="_PLD_c012a58bb3cc4bbd9a7de1f52bd17553"/>
            <w:id w:val="814300575"/>
          </w:sdtPr>
          <w:sdtEndPr/>
          <w:sdtContent>
            <w:tc>
              <w:tcPr>
                <w:tcW w:w="1000" w:type="pct"/>
                <w:tcBorders>
                  <w:top w:val="single" w:sz="4" w:space="0" w:color="auto"/>
                  <w:left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jc w:val="center"/>
                  <w:rPr>
                    <w:color w:val="000000" w:themeColor="text1"/>
                  </w:rPr>
                </w:pPr>
                <w:r>
                  <w:rPr>
                    <w:rFonts w:hint="eastAsia"/>
                    <w:color w:val="000000" w:themeColor="text1"/>
                  </w:rPr>
                  <w:t>股票简称</w:t>
                </w:r>
              </w:p>
            </w:tc>
          </w:sdtContent>
        </w:sdt>
        <w:sdt>
          <w:sdtPr>
            <w:tag w:val="_PLD_9fa1e8781b094b29b21027138e9f63e8"/>
            <w:id w:val="1041862307"/>
          </w:sdtPr>
          <w:sdtEndPr/>
          <w:sdtContent>
            <w:tc>
              <w:tcPr>
                <w:tcW w:w="1000" w:type="pct"/>
                <w:tcBorders>
                  <w:top w:val="single" w:sz="4" w:space="0" w:color="auto"/>
                  <w:left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jc w:val="center"/>
                  <w:rPr>
                    <w:color w:val="000000" w:themeColor="text1"/>
                  </w:rPr>
                </w:pPr>
                <w:r>
                  <w:rPr>
                    <w:rFonts w:hint="eastAsia"/>
                    <w:color w:val="000000" w:themeColor="text1"/>
                  </w:rPr>
                  <w:t>股票代码</w:t>
                </w:r>
              </w:p>
            </w:tc>
          </w:sdtContent>
        </w:sdt>
        <w:sdt>
          <w:sdtPr>
            <w:tag w:val="_PLD_38293dc771ef4460bd5252827867d07d"/>
            <w:id w:val="1372188397"/>
          </w:sdtPr>
          <w:sdtEndPr/>
          <w:sdtContent>
            <w:tc>
              <w:tcPr>
                <w:tcW w:w="1000" w:type="pct"/>
                <w:tcBorders>
                  <w:top w:val="single" w:sz="4" w:space="0" w:color="auto"/>
                  <w:left w:val="single" w:sz="4" w:space="0" w:color="auto"/>
                  <w:bottom w:val="single" w:sz="4" w:space="0" w:color="auto"/>
                </w:tcBorders>
              </w:tcPr>
              <w:p w:rsidR="00156DD6" w:rsidRDefault="00D51F5F">
                <w:pPr>
                  <w:kinsoku w:val="0"/>
                  <w:overflowPunct w:val="0"/>
                  <w:autoSpaceDE w:val="0"/>
                  <w:autoSpaceDN w:val="0"/>
                  <w:adjustRightInd w:val="0"/>
                  <w:snapToGrid w:val="0"/>
                  <w:jc w:val="center"/>
                  <w:rPr>
                    <w:color w:val="000000" w:themeColor="text1"/>
                  </w:rPr>
                </w:pPr>
                <w:r>
                  <w:rPr>
                    <w:rFonts w:hint="eastAsia"/>
                    <w:color w:val="000000" w:themeColor="text1"/>
                  </w:rPr>
                  <w:t>变更前股票简称</w:t>
                </w:r>
              </w:p>
            </w:tc>
          </w:sdtContent>
        </w:sdt>
      </w:tr>
      <w:tr w:rsidR="00156DD6">
        <w:trPr>
          <w:trHeight w:val="293"/>
        </w:trPr>
        <w:tc>
          <w:tcPr>
            <w:tcW w:w="1000" w:type="pct"/>
            <w:tcBorders>
              <w:top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jc w:val="center"/>
            </w:pPr>
            <w:r>
              <w:rPr>
                <w:rFonts w:hint="eastAsia"/>
              </w:rPr>
              <w:t>人民币普通股</w:t>
            </w:r>
          </w:p>
        </w:tc>
        <w:tc>
          <w:tcPr>
            <w:tcW w:w="1000" w:type="pct"/>
            <w:tcBorders>
              <w:top w:val="single" w:sz="4" w:space="0" w:color="auto"/>
              <w:left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jc w:val="center"/>
            </w:pPr>
            <w:r>
              <w:rPr>
                <w:rFonts w:hint="eastAsia"/>
              </w:rPr>
              <w:t>上海证券交易所</w:t>
            </w:r>
          </w:p>
        </w:tc>
        <w:tc>
          <w:tcPr>
            <w:tcW w:w="1000" w:type="pct"/>
            <w:tcBorders>
              <w:top w:val="single" w:sz="4" w:space="0" w:color="auto"/>
              <w:left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jc w:val="center"/>
            </w:pPr>
            <w:r>
              <w:rPr>
                <w:rFonts w:hint="eastAsia"/>
              </w:rPr>
              <w:t>望变电气</w:t>
            </w:r>
          </w:p>
        </w:tc>
        <w:tc>
          <w:tcPr>
            <w:tcW w:w="1000" w:type="pct"/>
            <w:tcBorders>
              <w:top w:val="single" w:sz="4" w:space="0" w:color="auto"/>
              <w:left w:val="single" w:sz="4" w:space="0" w:color="auto"/>
              <w:bottom w:val="single" w:sz="4" w:space="0" w:color="auto"/>
              <w:right w:val="single" w:sz="4" w:space="0" w:color="auto"/>
            </w:tcBorders>
          </w:tcPr>
          <w:p w:rsidR="00156DD6" w:rsidRDefault="00D51F5F">
            <w:pPr>
              <w:kinsoku w:val="0"/>
              <w:overflowPunct w:val="0"/>
              <w:autoSpaceDE w:val="0"/>
              <w:autoSpaceDN w:val="0"/>
              <w:adjustRightInd w:val="0"/>
              <w:snapToGrid w:val="0"/>
              <w:jc w:val="center"/>
            </w:pPr>
            <w:r>
              <w:t>603191</w:t>
            </w:r>
          </w:p>
        </w:tc>
        <w:tc>
          <w:tcPr>
            <w:tcW w:w="1000" w:type="pct"/>
            <w:tcBorders>
              <w:top w:val="single" w:sz="4" w:space="0" w:color="auto"/>
              <w:left w:val="single" w:sz="4" w:space="0" w:color="auto"/>
              <w:bottom w:val="single" w:sz="4" w:space="0" w:color="auto"/>
            </w:tcBorders>
          </w:tcPr>
          <w:p w:rsidR="00156DD6" w:rsidRDefault="00D51F5F">
            <w:pPr>
              <w:kinsoku w:val="0"/>
              <w:overflowPunct w:val="0"/>
              <w:autoSpaceDE w:val="0"/>
              <w:autoSpaceDN w:val="0"/>
              <w:adjustRightInd w:val="0"/>
              <w:snapToGrid w:val="0"/>
              <w:jc w:val="center"/>
            </w:pPr>
            <w:r>
              <w:rPr>
                <w:rFonts w:hint="eastAsia"/>
              </w:rPr>
              <w:t>无</w:t>
            </w:r>
          </w:p>
        </w:tc>
      </w:tr>
    </w:tbl>
    <w:p w:rsidR="00156DD6" w:rsidRDefault="00156DD6">
      <w:pPr>
        <w:kinsoku w:val="0"/>
        <w:overflowPunct w:val="0"/>
        <w:autoSpaceDE w:val="0"/>
        <w:autoSpaceDN w:val="0"/>
        <w:adjustRightInd w:val="0"/>
        <w:snapToGrid w:val="0"/>
        <w:rPr>
          <w:color w:val="000000" w:themeColor="text1"/>
        </w:rPr>
      </w:pPr>
    </w:p>
    <w:p w:rsidR="00156DD6" w:rsidRDefault="00D51F5F">
      <w:pPr>
        <w:pStyle w:val="2"/>
        <w:numPr>
          <w:ilvl w:val="0"/>
          <w:numId w:val="3"/>
        </w:numPr>
        <w:ind w:left="0" w:firstLine="0"/>
        <w:rPr>
          <w:color w:val="000000" w:themeColor="text1"/>
        </w:rPr>
      </w:pPr>
      <w:r>
        <w:rPr>
          <w:rFonts w:hint="eastAsia"/>
          <w:color w:val="000000" w:themeColor="text1"/>
        </w:rPr>
        <w:t>其他有关资料</w:t>
      </w:r>
    </w:p>
    <w:sdt>
      <w:sdtPr>
        <w:rPr>
          <w:color w:val="000000" w:themeColor="text1"/>
        </w:rPr>
        <w:alias w:val="是否适用：其他有关资料[双击切换]"/>
        <w:tag w:val="_GBC_78c3cc115c0d4dd3bf5e7c57142e5e68"/>
        <w:id w:val="166150083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156DD6">
      <w:pPr>
        <w:rPr>
          <w:color w:val="000000" w:themeColor="text1"/>
          <w:bdr w:val="single" w:sz="4" w:space="0" w:color="auto"/>
        </w:rPr>
      </w:pPr>
    </w:p>
    <w:p w:rsidR="00156DD6" w:rsidRDefault="00D51F5F">
      <w:pPr>
        <w:pStyle w:val="2"/>
        <w:numPr>
          <w:ilvl w:val="0"/>
          <w:numId w:val="3"/>
        </w:numPr>
        <w:ind w:left="0" w:firstLine="0"/>
        <w:rPr>
          <w:color w:val="000000" w:themeColor="text1"/>
        </w:rPr>
      </w:pPr>
      <w:bookmarkStart w:id="19" w:name="_Toc342056397"/>
      <w:bookmarkStart w:id="20" w:name="_Toc342565889"/>
      <w:r>
        <w:rPr>
          <w:rFonts w:hint="eastAsia"/>
          <w:color w:val="000000" w:themeColor="text1"/>
        </w:rPr>
        <w:t>公司主要会计数据和财务指标</w:t>
      </w:r>
    </w:p>
    <w:bookmarkEnd w:id="19"/>
    <w:bookmarkEnd w:id="20"/>
    <w:p w:rsidR="00156DD6" w:rsidRDefault="00D51F5F">
      <w:pPr>
        <w:pStyle w:val="TOC6"/>
        <w:numPr>
          <w:ilvl w:val="1"/>
          <w:numId w:val="4"/>
        </w:numPr>
        <w:rPr>
          <w:rFonts w:ascii="宋体" w:hAnsi="宋体"/>
          <w:color w:val="000000" w:themeColor="text1"/>
        </w:rPr>
      </w:pPr>
      <w:r>
        <w:rPr>
          <w:rFonts w:ascii="宋体" w:hAnsi="宋体" w:hint="eastAsia"/>
          <w:color w:val="000000" w:themeColor="text1"/>
        </w:rPr>
        <w:t>主要会计数据</w:t>
      </w:r>
    </w:p>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报告期末公司前三年主要会计数据和财务指标"/>
          <w:tag w:val="_GBC_c7cd0dd826b247dbba8cc8b1a811aefb"/>
          <w:id w:val="7001317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报告期末公司前三年主要会计数据和财务指标"/>
          <w:tag w:val="_GBC_2df6a5d441324c13bcf6c4c54ac41eb0"/>
          <w:id w:val="-948683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Look w:val="04A0" w:firstRow="1" w:lastRow="0" w:firstColumn="1" w:lastColumn="0" w:noHBand="0" w:noVBand="1"/>
      </w:tblPr>
      <w:tblGrid>
        <w:gridCol w:w="3586"/>
        <w:gridCol w:w="1775"/>
        <w:gridCol w:w="1747"/>
        <w:gridCol w:w="1715"/>
      </w:tblGrid>
      <w:tr w:rsidR="00156DD6">
        <w:trPr>
          <w:trHeight w:val="596"/>
        </w:trPr>
        <w:bookmarkStart w:id="21" w:name="_Hlk72769913" w:displacedByCustomXml="next"/>
        <w:sdt>
          <w:sdtPr>
            <w:tag w:val="_PLD_e63d02b963714237aa4678b1878c888d"/>
            <w:id w:val="-769854352"/>
          </w:sdtPr>
          <w:sdtEndPr/>
          <w:sdtContent>
            <w:tc>
              <w:tcPr>
                <w:tcW w:w="2032" w:type="pct"/>
                <w:vAlign w:val="center"/>
              </w:tcPr>
              <w:p w:rsidR="00156DD6" w:rsidRDefault="00D51F5F">
                <w:pPr>
                  <w:kinsoku w:val="0"/>
                  <w:overflowPunct w:val="0"/>
                  <w:autoSpaceDE w:val="0"/>
                  <w:autoSpaceDN w:val="0"/>
                  <w:adjustRightInd w:val="0"/>
                  <w:snapToGrid w:val="0"/>
                  <w:jc w:val="center"/>
                  <w:rPr>
                    <w:color w:val="000000" w:themeColor="text1"/>
                  </w:rPr>
                </w:pPr>
                <w:r>
                  <w:rPr>
                    <w:rFonts w:hint="eastAsia"/>
                    <w:color w:val="000000" w:themeColor="text1"/>
                  </w:rPr>
                  <w:t>主要会计数据</w:t>
                </w:r>
              </w:p>
            </w:tc>
          </w:sdtContent>
        </w:sdt>
        <w:sdt>
          <w:sdtPr>
            <w:tag w:val="_PLD_913ae157f7e74eee947ea98d96be3599"/>
            <w:id w:val="-506974661"/>
          </w:sdtPr>
          <w:sdtEndPr/>
          <w:sdtContent>
            <w:tc>
              <w:tcPr>
                <w:tcW w:w="1006" w:type="pct"/>
                <w:vAlign w:val="center"/>
              </w:tcPr>
              <w:p w:rsidR="00156DD6" w:rsidRDefault="00D51F5F">
                <w:pPr>
                  <w:kinsoku w:val="0"/>
                  <w:overflowPunct w:val="0"/>
                  <w:autoSpaceDE w:val="0"/>
                  <w:autoSpaceDN w:val="0"/>
                  <w:adjustRightInd w:val="0"/>
                  <w:snapToGrid w:val="0"/>
                  <w:jc w:val="center"/>
                  <w:rPr>
                    <w:color w:val="000000" w:themeColor="text1"/>
                  </w:rPr>
                </w:pPr>
                <w:r>
                  <w:rPr>
                    <w:rFonts w:hint="eastAsia"/>
                    <w:color w:val="000000" w:themeColor="text1"/>
                  </w:rPr>
                  <w:t>本</w:t>
                </w:r>
                <w:r>
                  <w:rPr>
                    <w:color w:val="000000" w:themeColor="text1"/>
                  </w:rPr>
                  <w:t>报告期</w:t>
                </w:r>
              </w:p>
              <w:p w:rsidR="00156DD6" w:rsidRDefault="00D51F5F">
                <w:pPr>
                  <w:kinsoku w:val="0"/>
                  <w:overflowPunct w:val="0"/>
                  <w:autoSpaceDE w:val="0"/>
                  <w:autoSpaceDN w:val="0"/>
                  <w:adjustRightInd w:val="0"/>
                  <w:snapToGrid w:val="0"/>
                  <w:jc w:val="center"/>
                  <w:rPr>
                    <w:color w:val="000000" w:themeColor="text1"/>
                  </w:rPr>
                </w:pPr>
                <w:r>
                  <w:rPr>
                    <w:color w:val="000000" w:themeColor="text1"/>
                  </w:rPr>
                  <w:t>（</w:t>
                </w:r>
                <w:r>
                  <w:rPr>
                    <w:color w:val="000000" w:themeColor="text1"/>
                  </w:rPr>
                  <w:t>1</w:t>
                </w:r>
                <w:r>
                  <w:rPr>
                    <w:color w:val="000000" w:themeColor="text1"/>
                  </w:rPr>
                  <w:t>－</w:t>
                </w:r>
                <w:r>
                  <w:rPr>
                    <w:color w:val="000000" w:themeColor="text1"/>
                  </w:rPr>
                  <w:t>6</w:t>
                </w:r>
                <w:r>
                  <w:rPr>
                    <w:color w:val="000000" w:themeColor="text1"/>
                  </w:rPr>
                  <w:t>月）</w:t>
                </w:r>
              </w:p>
            </w:tc>
          </w:sdtContent>
        </w:sdt>
        <w:sdt>
          <w:sdtPr>
            <w:tag w:val="_PLD_0f32665f64034720b1ecd674058f4d8b"/>
            <w:id w:val="-798694298"/>
          </w:sdtPr>
          <w:sdtEndPr/>
          <w:sdtContent>
            <w:tc>
              <w:tcPr>
                <w:tcW w:w="990" w:type="pct"/>
                <w:vAlign w:val="center"/>
              </w:tcPr>
              <w:p w:rsidR="00156DD6" w:rsidRDefault="00D51F5F">
                <w:pPr>
                  <w:kinsoku w:val="0"/>
                  <w:overflowPunct w:val="0"/>
                  <w:autoSpaceDE w:val="0"/>
                  <w:autoSpaceDN w:val="0"/>
                  <w:adjustRightInd w:val="0"/>
                  <w:snapToGrid w:val="0"/>
                  <w:jc w:val="center"/>
                  <w:rPr>
                    <w:color w:val="000000" w:themeColor="text1"/>
                  </w:rPr>
                </w:pPr>
                <w:r>
                  <w:rPr>
                    <w:color w:val="000000" w:themeColor="text1"/>
                  </w:rPr>
                  <w:t>上年同期</w:t>
                </w:r>
              </w:p>
            </w:tc>
          </w:sdtContent>
        </w:sdt>
        <w:sdt>
          <w:sdtPr>
            <w:tag w:val="_PLD_e634aa67fe8c44038b152224d8a245d6"/>
            <w:id w:val="2004466876"/>
          </w:sdtPr>
          <w:sdtEndPr/>
          <w:sdtContent>
            <w:tc>
              <w:tcPr>
                <w:tcW w:w="972" w:type="pct"/>
                <w:vAlign w:val="center"/>
              </w:tcPr>
              <w:p w:rsidR="00156DD6" w:rsidRDefault="00D51F5F">
                <w:pPr>
                  <w:kinsoku w:val="0"/>
                  <w:overflowPunct w:val="0"/>
                  <w:autoSpaceDE w:val="0"/>
                  <w:autoSpaceDN w:val="0"/>
                  <w:adjustRightInd w:val="0"/>
                  <w:snapToGrid w:val="0"/>
                  <w:jc w:val="center"/>
                  <w:rPr>
                    <w:color w:val="000000" w:themeColor="text1"/>
                  </w:rPr>
                </w:pPr>
                <w:r>
                  <w:rPr>
                    <w:color w:val="000000" w:themeColor="text1"/>
                  </w:rPr>
                  <w:t>本报告期比上年同期增减</w:t>
                </w:r>
                <w:r>
                  <w:rPr>
                    <w:color w:val="000000" w:themeColor="text1"/>
                  </w:rPr>
                  <w:t>(%)</w:t>
                </w:r>
              </w:p>
            </w:tc>
          </w:sdtContent>
        </w:sdt>
      </w:tr>
      <w:tr w:rsidR="00156DD6">
        <w:trPr>
          <w:trHeight w:val="285"/>
        </w:trPr>
        <w:tc>
          <w:tcPr>
            <w:tcW w:w="2032" w:type="pct"/>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营业收入</w:t>
            </w:r>
          </w:p>
        </w:tc>
        <w:tc>
          <w:tcPr>
            <w:tcW w:w="1006" w:type="pct"/>
            <w:vAlign w:val="center"/>
          </w:tcPr>
          <w:p w:rsidR="00156DD6" w:rsidRDefault="00D51F5F">
            <w:pPr>
              <w:kinsoku w:val="0"/>
              <w:overflowPunct w:val="0"/>
              <w:autoSpaceDE w:val="0"/>
              <w:autoSpaceDN w:val="0"/>
              <w:adjustRightInd w:val="0"/>
              <w:snapToGrid w:val="0"/>
              <w:jc w:val="right"/>
            </w:pPr>
            <w:r>
              <w:rPr>
                <w:rFonts w:hint="eastAsia"/>
              </w:rPr>
              <w:t xml:space="preserve"> 183,598.31 </w:t>
            </w:r>
          </w:p>
        </w:tc>
        <w:tc>
          <w:tcPr>
            <w:tcW w:w="990" w:type="pct"/>
            <w:vAlign w:val="center"/>
          </w:tcPr>
          <w:p w:rsidR="00156DD6" w:rsidRDefault="00D51F5F">
            <w:pPr>
              <w:kinsoku w:val="0"/>
              <w:overflowPunct w:val="0"/>
              <w:autoSpaceDE w:val="0"/>
              <w:autoSpaceDN w:val="0"/>
              <w:adjustRightInd w:val="0"/>
              <w:snapToGrid w:val="0"/>
              <w:jc w:val="right"/>
            </w:pPr>
            <w:r>
              <w:rPr>
                <w:rFonts w:hint="eastAsia"/>
              </w:rPr>
              <w:t xml:space="preserve"> 142,539.54 </w:t>
            </w:r>
          </w:p>
        </w:tc>
        <w:tc>
          <w:tcPr>
            <w:tcW w:w="972" w:type="pct"/>
            <w:vAlign w:val="center"/>
          </w:tcPr>
          <w:p w:rsidR="00156DD6" w:rsidRDefault="00D51F5F">
            <w:pPr>
              <w:kinsoku w:val="0"/>
              <w:overflowPunct w:val="0"/>
              <w:autoSpaceDE w:val="0"/>
              <w:autoSpaceDN w:val="0"/>
              <w:adjustRightInd w:val="0"/>
              <w:snapToGrid w:val="0"/>
              <w:jc w:val="right"/>
            </w:pPr>
            <w:r>
              <w:rPr>
                <w:rFonts w:hint="eastAsia"/>
              </w:rPr>
              <w:t xml:space="preserve"> 28.81 </w:t>
            </w:r>
          </w:p>
        </w:tc>
      </w:tr>
      <w:tr w:rsidR="00156DD6">
        <w:trPr>
          <w:trHeight w:val="285"/>
        </w:trPr>
        <w:tc>
          <w:tcPr>
            <w:tcW w:w="2032" w:type="pct"/>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利润总额</w:t>
            </w:r>
          </w:p>
        </w:tc>
        <w:tc>
          <w:tcPr>
            <w:tcW w:w="1006" w:type="pct"/>
            <w:vAlign w:val="center"/>
          </w:tcPr>
          <w:p w:rsidR="00156DD6" w:rsidRDefault="00D51F5F">
            <w:pPr>
              <w:kinsoku w:val="0"/>
              <w:overflowPunct w:val="0"/>
              <w:autoSpaceDE w:val="0"/>
              <w:autoSpaceDN w:val="0"/>
              <w:adjustRightInd w:val="0"/>
              <w:snapToGrid w:val="0"/>
              <w:jc w:val="right"/>
            </w:pPr>
            <w:r>
              <w:rPr>
                <w:rFonts w:hint="eastAsia"/>
              </w:rPr>
              <w:t xml:space="preserve"> 6,979.19 </w:t>
            </w:r>
          </w:p>
        </w:tc>
        <w:tc>
          <w:tcPr>
            <w:tcW w:w="990" w:type="pct"/>
            <w:vAlign w:val="center"/>
          </w:tcPr>
          <w:p w:rsidR="00156DD6" w:rsidRDefault="00D51F5F">
            <w:pPr>
              <w:kinsoku w:val="0"/>
              <w:overflowPunct w:val="0"/>
              <w:autoSpaceDE w:val="0"/>
              <w:autoSpaceDN w:val="0"/>
              <w:adjustRightInd w:val="0"/>
              <w:snapToGrid w:val="0"/>
              <w:jc w:val="right"/>
            </w:pPr>
            <w:r>
              <w:rPr>
                <w:rFonts w:hint="eastAsia"/>
              </w:rPr>
              <w:t xml:space="preserve"> 3,975.12 </w:t>
            </w:r>
          </w:p>
        </w:tc>
        <w:tc>
          <w:tcPr>
            <w:tcW w:w="972" w:type="pct"/>
            <w:vAlign w:val="center"/>
          </w:tcPr>
          <w:p w:rsidR="00156DD6" w:rsidRDefault="00D51F5F">
            <w:pPr>
              <w:kinsoku w:val="0"/>
              <w:overflowPunct w:val="0"/>
              <w:autoSpaceDE w:val="0"/>
              <w:autoSpaceDN w:val="0"/>
              <w:adjustRightInd w:val="0"/>
              <w:snapToGrid w:val="0"/>
              <w:jc w:val="right"/>
            </w:pPr>
            <w:r>
              <w:rPr>
                <w:rFonts w:hint="eastAsia"/>
              </w:rPr>
              <w:t xml:space="preserve"> 75.57 </w:t>
            </w:r>
          </w:p>
        </w:tc>
      </w:tr>
      <w:tr w:rsidR="00156DD6">
        <w:trPr>
          <w:trHeight w:val="285"/>
        </w:trPr>
        <w:tc>
          <w:tcPr>
            <w:tcW w:w="2032" w:type="pct"/>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归属于上市公司股东的净利润</w:t>
            </w:r>
          </w:p>
        </w:tc>
        <w:tc>
          <w:tcPr>
            <w:tcW w:w="1006" w:type="pct"/>
            <w:vAlign w:val="center"/>
          </w:tcPr>
          <w:p w:rsidR="00156DD6" w:rsidRDefault="00D51F5F">
            <w:pPr>
              <w:kinsoku w:val="0"/>
              <w:overflowPunct w:val="0"/>
              <w:autoSpaceDE w:val="0"/>
              <w:autoSpaceDN w:val="0"/>
              <w:adjustRightInd w:val="0"/>
              <w:snapToGrid w:val="0"/>
              <w:jc w:val="right"/>
            </w:pPr>
            <w:r>
              <w:rPr>
                <w:rFonts w:hint="eastAsia"/>
              </w:rPr>
              <w:t xml:space="preserve"> 5,463.22 </w:t>
            </w:r>
          </w:p>
        </w:tc>
        <w:tc>
          <w:tcPr>
            <w:tcW w:w="990" w:type="pct"/>
            <w:vAlign w:val="center"/>
          </w:tcPr>
          <w:p w:rsidR="00156DD6" w:rsidRDefault="00D51F5F">
            <w:pPr>
              <w:kinsoku w:val="0"/>
              <w:overflowPunct w:val="0"/>
              <w:autoSpaceDE w:val="0"/>
              <w:autoSpaceDN w:val="0"/>
              <w:adjustRightInd w:val="0"/>
              <w:snapToGrid w:val="0"/>
              <w:jc w:val="right"/>
            </w:pPr>
            <w:r>
              <w:rPr>
                <w:rFonts w:hint="eastAsia"/>
              </w:rPr>
              <w:t xml:space="preserve"> 3,479.32 </w:t>
            </w:r>
          </w:p>
        </w:tc>
        <w:tc>
          <w:tcPr>
            <w:tcW w:w="972" w:type="pct"/>
            <w:vAlign w:val="center"/>
          </w:tcPr>
          <w:p w:rsidR="00156DD6" w:rsidRDefault="00D51F5F">
            <w:pPr>
              <w:kinsoku w:val="0"/>
              <w:overflowPunct w:val="0"/>
              <w:autoSpaceDE w:val="0"/>
              <w:autoSpaceDN w:val="0"/>
              <w:adjustRightInd w:val="0"/>
              <w:snapToGrid w:val="0"/>
              <w:jc w:val="right"/>
            </w:pPr>
            <w:r>
              <w:rPr>
                <w:rFonts w:hint="eastAsia"/>
              </w:rPr>
              <w:t xml:space="preserve"> 57.02 </w:t>
            </w:r>
          </w:p>
        </w:tc>
      </w:tr>
      <w:tr w:rsidR="00156DD6">
        <w:trPr>
          <w:trHeight w:val="285"/>
        </w:trPr>
        <w:tc>
          <w:tcPr>
            <w:tcW w:w="2032" w:type="pct"/>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归属于上市公司股东的扣除非经常性损</w:t>
            </w:r>
            <w:r>
              <w:rPr>
                <w:rFonts w:hint="eastAsia"/>
                <w:color w:val="000000" w:themeColor="text1"/>
              </w:rPr>
              <w:lastRenderedPageBreak/>
              <w:t>益的净利润</w:t>
            </w:r>
          </w:p>
        </w:tc>
        <w:tc>
          <w:tcPr>
            <w:tcW w:w="1006" w:type="pct"/>
            <w:vAlign w:val="center"/>
          </w:tcPr>
          <w:p w:rsidR="00156DD6" w:rsidRDefault="00D51F5F">
            <w:pPr>
              <w:kinsoku w:val="0"/>
              <w:overflowPunct w:val="0"/>
              <w:autoSpaceDE w:val="0"/>
              <w:autoSpaceDN w:val="0"/>
              <w:adjustRightInd w:val="0"/>
              <w:snapToGrid w:val="0"/>
              <w:jc w:val="right"/>
            </w:pPr>
            <w:r>
              <w:rPr>
                <w:rFonts w:hint="eastAsia"/>
              </w:rPr>
              <w:lastRenderedPageBreak/>
              <w:t xml:space="preserve"> 4,921.56 </w:t>
            </w:r>
          </w:p>
        </w:tc>
        <w:tc>
          <w:tcPr>
            <w:tcW w:w="990" w:type="pct"/>
            <w:vAlign w:val="center"/>
          </w:tcPr>
          <w:p w:rsidR="00156DD6" w:rsidRDefault="00D51F5F">
            <w:pPr>
              <w:kinsoku w:val="0"/>
              <w:overflowPunct w:val="0"/>
              <w:autoSpaceDE w:val="0"/>
              <w:autoSpaceDN w:val="0"/>
              <w:adjustRightInd w:val="0"/>
              <w:snapToGrid w:val="0"/>
              <w:jc w:val="right"/>
            </w:pPr>
            <w:r>
              <w:rPr>
                <w:rFonts w:hint="eastAsia"/>
              </w:rPr>
              <w:t xml:space="preserve"> 1,654.89 </w:t>
            </w:r>
          </w:p>
        </w:tc>
        <w:tc>
          <w:tcPr>
            <w:tcW w:w="972" w:type="pct"/>
            <w:vAlign w:val="center"/>
          </w:tcPr>
          <w:p w:rsidR="00156DD6" w:rsidRDefault="00D51F5F">
            <w:pPr>
              <w:kinsoku w:val="0"/>
              <w:overflowPunct w:val="0"/>
              <w:autoSpaceDE w:val="0"/>
              <w:autoSpaceDN w:val="0"/>
              <w:adjustRightInd w:val="0"/>
              <w:snapToGrid w:val="0"/>
              <w:jc w:val="right"/>
            </w:pPr>
            <w:r>
              <w:rPr>
                <w:rFonts w:hint="eastAsia"/>
              </w:rPr>
              <w:t xml:space="preserve"> 197.39 </w:t>
            </w:r>
          </w:p>
        </w:tc>
      </w:tr>
      <w:tr w:rsidR="00156DD6">
        <w:trPr>
          <w:trHeight w:val="285"/>
        </w:trPr>
        <w:tc>
          <w:tcPr>
            <w:tcW w:w="2032" w:type="pct"/>
          </w:tcPr>
          <w:p w:rsidR="00156DD6" w:rsidRDefault="00D51F5F">
            <w:pPr>
              <w:kinsoku w:val="0"/>
              <w:overflowPunct w:val="0"/>
              <w:autoSpaceDE w:val="0"/>
              <w:autoSpaceDN w:val="0"/>
              <w:adjustRightInd w:val="0"/>
              <w:snapToGrid w:val="0"/>
              <w:rPr>
                <w:color w:val="000000" w:themeColor="text1"/>
                <w:highlight w:val="magenta"/>
              </w:rPr>
            </w:pPr>
            <w:r>
              <w:rPr>
                <w:rFonts w:hint="eastAsia"/>
                <w:color w:val="000000" w:themeColor="text1"/>
              </w:rPr>
              <w:t>经营活动产生的现金流量净额</w:t>
            </w:r>
          </w:p>
        </w:tc>
        <w:tc>
          <w:tcPr>
            <w:tcW w:w="1006" w:type="pct"/>
            <w:vAlign w:val="center"/>
          </w:tcPr>
          <w:p w:rsidR="00156DD6" w:rsidRDefault="00D51F5F">
            <w:pPr>
              <w:kinsoku w:val="0"/>
              <w:overflowPunct w:val="0"/>
              <w:autoSpaceDE w:val="0"/>
              <w:autoSpaceDN w:val="0"/>
              <w:adjustRightInd w:val="0"/>
              <w:snapToGrid w:val="0"/>
              <w:jc w:val="right"/>
            </w:pPr>
            <w:r>
              <w:rPr>
                <w:rFonts w:hint="eastAsia"/>
              </w:rPr>
              <w:t xml:space="preserve"> 1,983.12 </w:t>
            </w:r>
          </w:p>
        </w:tc>
        <w:tc>
          <w:tcPr>
            <w:tcW w:w="990" w:type="pct"/>
            <w:vAlign w:val="center"/>
          </w:tcPr>
          <w:p w:rsidR="00156DD6" w:rsidRDefault="00D51F5F">
            <w:pPr>
              <w:kinsoku w:val="0"/>
              <w:overflowPunct w:val="0"/>
              <w:autoSpaceDE w:val="0"/>
              <w:autoSpaceDN w:val="0"/>
              <w:adjustRightInd w:val="0"/>
              <w:snapToGrid w:val="0"/>
              <w:jc w:val="right"/>
            </w:pPr>
            <w:r>
              <w:rPr>
                <w:rFonts w:hint="eastAsia"/>
              </w:rPr>
              <w:t xml:space="preserve"> -29,537.17 </w:t>
            </w:r>
          </w:p>
        </w:tc>
        <w:tc>
          <w:tcPr>
            <w:tcW w:w="972" w:type="pct"/>
            <w:vAlign w:val="center"/>
          </w:tcPr>
          <w:p w:rsidR="00156DD6" w:rsidRDefault="00D51F5F">
            <w:pPr>
              <w:kinsoku w:val="0"/>
              <w:overflowPunct w:val="0"/>
              <w:autoSpaceDE w:val="0"/>
              <w:autoSpaceDN w:val="0"/>
              <w:adjustRightInd w:val="0"/>
              <w:snapToGrid w:val="0"/>
              <w:jc w:val="right"/>
            </w:pPr>
            <w:r>
              <w:rPr>
                <w:rFonts w:hint="eastAsia"/>
              </w:rPr>
              <w:t>不适用</w:t>
            </w:r>
          </w:p>
        </w:tc>
      </w:tr>
      <w:tr w:rsidR="00156DD6">
        <w:trPr>
          <w:trHeight w:val="533"/>
        </w:trPr>
        <w:tc>
          <w:tcPr>
            <w:tcW w:w="2032" w:type="pct"/>
            <w:vAlign w:val="center"/>
          </w:tcPr>
          <w:p w:rsidR="00156DD6" w:rsidRDefault="00156DD6">
            <w:pPr>
              <w:kinsoku w:val="0"/>
              <w:overflowPunct w:val="0"/>
              <w:autoSpaceDE w:val="0"/>
              <w:autoSpaceDN w:val="0"/>
              <w:adjustRightInd w:val="0"/>
              <w:snapToGrid w:val="0"/>
              <w:jc w:val="center"/>
              <w:rPr>
                <w:color w:val="000000" w:themeColor="text1"/>
              </w:rPr>
            </w:pPr>
          </w:p>
        </w:tc>
        <w:sdt>
          <w:sdtPr>
            <w:tag w:val="_PLD_b75e9aa554cc48539ab9de572d244f45"/>
            <w:id w:val="-871759460"/>
          </w:sdtPr>
          <w:sdtEndPr/>
          <w:sdtContent>
            <w:tc>
              <w:tcPr>
                <w:tcW w:w="1006" w:type="pct"/>
                <w:vAlign w:val="center"/>
              </w:tcPr>
              <w:p w:rsidR="00156DD6" w:rsidRDefault="00D51F5F">
                <w:pPr>
                  <w:kinsoku w:val="0"/>
                  <w:overflowPunct w:val="0"/>
                  <w:autoSpaceDE w:val="0"/>
                  <w:autoSpaceDN w:val="0"/>
                  <w:adjustRightInd w:val="0"/>
                  <w:snapToGrid w:val="0"/>
                  <w:jc w:val="center"/>
                  <w:rPr>
                    <w:color w:val="000000" w:themeColor="text1"/>
                  </w:rPr>
                </w:pPr>
                <w:r>
                  <w:rPr>
                    <w:color w:val="000000" w:themeColor="text1"/>
                  </w:rPr>
                  <w:t>本报告期末</w:t>
                </w:r>
              </w:p>
            </w:tc>
          </w:sdtContent>
        </w:sdt>
        <w:sdt>
          <w:sdtPr>
            <w:tag w:val="_PLD_7425b2bc6a39452296814978a781ba72"/>
            <w:id w:val="96984546"/>
          </w:sdtPr>
          <w:sdtEndPr/>
          <w:sdtContent>
            <w:tc>
              <w:tcPr>
                <w:tcW w:w="990" w:type="pct"/>
                <w:vAlign w:val="center"/>
              </w:tcPr>
              <w:p w:rsidR="00156DD6" w:rsidRDefault="00D51F5F">
                <w:pPr>
                  <w:kinsoku w:val="0"/>
                  <w:overflowPunct w:val="0"/>
                  <w:autoSpaceDE w:val="0"/>
                  <w:autoSpaceDN w:val="0"/>
                  <w:adjustRightInd w:val="0"/>
                  <w:snapToGrid w:val="0"/>
                  <w:jc w:val="center"/>
                  <w:rPr>
                    <w:color w:val="000000" w:themeColor="text1"/>
                  </w:rPr>
                </w:pPr>
                <w:r>
                  <w:rPr>
                    <w:color w:val="000000" w:themeColor="text1"/>
                  </w:rPr>
                  <w:t>上年度末</w:t>
                </w:r>
              </w:p>
            </w:tc>
          </w:sdtContent>
        </w:sdt>
        <w:sdt>
          <w:sdtPr>
            <w:tag w:val="_PLD_7a1ba9a6d9b54e51bd320f47b6233184"/>
            <w:id w:val="-1662150837"/>
          </w:sdtPr>
          <w:sdtEndPr/>
          <w:sdtContent>
            <w:tc>
              <w:tcPr>
                <w:tcW w:w="972" w:type="pct"/>
                <w:vAlign w:val="center"/>
              </w:tcPr>
              <w:p w:rsidR="00156DD6" w:rsidRDefault="00D51F5F">
                <w:pPr>
                  <w:kinsoku w:val="0"/>
                  <w:overflowPunct w:val="0"/>
                  <w:autoSpaceDE w:val="0"/>
                  <w:autoSpaceDN w:val="0"/>
                  <w:adjustRightInd w:val="0"/>
                  <w:snapToGrid w:val="0"/>
                  <w:jc w:val="center"/>
                  <w:rPr>
                    <w:color w:val="000000" w:themeColor="text1"/>
                  </w:rPr>
                </w:pPr>
                <w:r>
                  <w:rPr>
                    <w:color w:val="000000" w:themeColor="text1"/>
                  </w:rPr>
                  <w:t>本报告期末比上年度末增减</w:t>
                </w:r>
                <w:r>
                  <w:rPr>
                    <w:color w:val="000000" w:themeColor="text1"/>
                  </w:rPr>
                  <w:t>(%)</w:t>
                </w:r>
              </w:p>
            </w:tc>
          </w:sdtContent>
        </w:sdt>
      </w:tr>
      <w:tr w:rsidR="00156DD6">
        <w:trPr>
          <w:trHeight w:val="285"/>
        </w:trPr>
        <w:tc>
          <w:tcPr>
            <w:tcW w:w="2032" w:type="pct"/>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归属于上市公司股东的净资产</w:t>
            </w:r>
          </w:p>
        </w:tc>
        <w:tc>
          <w:tcPr>
            <w:tcW w:w="1006" w:type="pct"/>
          </w:tcPr>
          <w:p w:rsidR="00156DD6" w:rsidRDefault="00D51F5F">
            <w:pPr>
              <w:kinsoku w:val="0"/>
              <w:overflowPunct w:val="0"/>
              <w:autoSpaceDE w:val="0"/>
              <w:autoSpaceDN w:val="0"/>
              <w:adjustRightInd w:val="0"/>
              <w:snapToGrid w:val="0"/>
              <w:jc w:val="right"/>
            </w:pPr>
            <w:r>
              <w:rPr>
                <w:rFonts w:hint="eastAsia"/>
              </w:rPr>
              <w:t xml:space="preserve"> 248,130.65 </w:t>
            </w:r>
          </w:p>
        </w:tc>
        <w:tc>
          <w:tcPr>
            <w:tcW w:w="990" w:type="pct"/>
          </w:tcPr>
          <w:p w:rsidR="00156DD6" w:rsidRDefault="00D51F5F">
            <w:pPr>
              <w:kinsoku w:val="0"/>
              <w:overflowPunct w:val="0"/>
              <w:autoSpaceDE w:val="0"/>
              <w:autoSpaceDN w:val="0"/>
              <w:adjustRightInd w:val="0"/>
              <w:snapToGrid w:val="0"/>
              <w:jc w:val="right"/>
            </w:pPr>
            <w:r>
              <w:rPr>
                <w:rFonts w:hint="eastAsia"/>
              </w:rPr>
              <w:t xml:space="preserve"> 241,324.33 </w:t>
            </w:r>
          </w:p>
        </w:tc>
        <w:tc>
          <w:tcPr>
            <w:tcW w:w="972" w:type="pct"/>
          </w:tcPr>
          <w:p w:rsidR="00156DD6" w:rsidRDefault="00D51F5F">
            <w:pPr>
              <w:kinsoku w:val="0"/>
              <w:overflowPunct w:val="0"/>
              <w:autoSpaceDE w:val="0"/>
              <w:autoSpaceDN w:val="0"/>
              <w:adjustRightInd w:val="0"/>
              <w:snapToGrid w:val="0"/>
              <w:jc w:val="right"/>
            </w:pPr>
            <w:r>
              <w:rPr>
                <w:rFonts w:hint="eastAsia"/>
              </w:rPr>
              <w:t xml:space="preserve"> 2.82 </w:t>
            </w:r>
          </w:p>
        </w:tc>
      </w:tr>
      <w:tr w:rsidR="00156DD6">
        <w:trPr>
          <w:trHeight w:val="285"/>
        </w:trPr>
        <w:tc>
          <w:tcPr>
            <w:tcW w:w="2032" w:type="pct"/>
          </w:tcPr>
          <w:p w:rsidR="00156DD6" w:rsidRDefault="00D51F5F">
            <w:pPr>
              <w:kinsoku w:val="0"/>
              <w:overflowPunct w:val="0"/>
              <w:autoSpaceDE w:val="0"/>
              <w:autoSpaceDN w:val="0"/>
              <w:adjustRightInd w:val="0"/>
              <w:snapToGrid w:val="0"/>
              <w:rPr>
                <w:color w:val="000000" w:themeColor="text1"/>
              </w:rPr>
            </w:pPr>
            <w:r>
              <w:rPr>
                <w:rFonts w:hint="eastAsia"/>
                <w:color w:val="000000" w:themeColor="text1"/>
              </w:rPr>
              <w:t>总资产</w:t>
            </w:r>
          </w:p>
        </w:tc>
        <w:tc>
          <w:tcPr>
            <w:tcW w:w="1006" w:type="pct"/>
          </w:tcPr>
          <w:p w:rsidR="00156DD6" w:rsidRDefault="00D51F5F">
            <w:pPr>
              <w:kinsoku w:val="0"/>
              <w:overflowPunct w:val="0"/>
              <w:autoSpaceDE w:val="0"/>
              <w:autoSpaceDN w:val="0"/>
              <w:adjustRightInd w:val="0"/>
              <w:snapToGrid w:val="0"/>
              <w:jc w:val="right"/>
            </w:pPr>
            <w:r>
              <w:rPr>
                <w:rFonts w:hint="eastAsia"/>
              </w:rPr>
              <w:t xml:space="preserve"> 676,362.20 </w:t>
            </w:r>
          </w:p>
        </w:tc>
        <w:tc>
          <w:tcPr>
            <w:tcW w:w="990" w:type="pct"/>
          </w:tcPr>
          <w:p w:rsidR="00156DD6" w:rsidRDefault="00D51F5F">
            <w:pPr>
              <w:kinsoku w:val="0"/>
              <w:overflowPunct w:val="0"/>
              <w:autoSpaceDE w:val="0"/>
              <w:autoSpaceDN w:val="0"/>
              <w:adjustRightInd w:val="0"/>
              <w:snapToGrid w:val="0"/>
              <w:jc w:val="right"/>
            </w:pPr>
            <w:r>
              <w:rPr>
                <w:rFonts w:hint="eastAsia"/>
              </w:rPr>
              <w:t xml:space="preserve"> 653,194.89 </w:t>
            </w:r>
          </w:p>
        </w:tc>
        <w:tc>
          <w:tcPr>
            <w:tcW w:w="972" w:type="pct"/>
          </w:tcPr>
          <w:p w:rsidR="00156DD6" w:rsidRDefault="00D51F5F">
            <w:pPr>
              <w:kinsoku w:val="0"/>
              <w:overflowPunct w:val="0"/>
              <w:autoSpaceDE w:val="0"/>
              <w:autoSpaceDN w:val="0"/>
              <w:adjustRightInd w:val="0"/>
              <w:snapToGrid w:val="0"/>
              <w:jc w:val="right"/>
            </w:pPr>
            <w:r>
              <w:rPr>
                <w:rFonts w:hint="eastAsia"/>
              </w:rPr>
              <w:t xml:space="preserve"> 3.55 </w:t>
            </w:r>
          </w:p>
        </w:tc>
      </w:tr>
    </w:tbl>
    <w:bookmarkEnd w:id="21"/>
    <w:p w:rsidR="00156DD6" w:rsidRDefault="00D51F5F">
      <w:pPr>
        <w:pStyle w:val="TOC6"/>
        <w:numPr>
          <w:ilvl w:val="1"/>
          <w:numId w:val="4"/>
        </w:numPr>
        <w:rPr>
          <w:rFonts w:ascii="宋体" w:hAnsi="宋体"/>
          <w:color w:val="000000" w:themeColor="text1"/>
        </w:rPr>
      </w:pPr>
      <w:r>
        <w:rPr>
          <w:rFonts w:ascii="宋体" w:hAnsi="宋体" w:hint="eastAsia"/>
          <w:color w:val="000000" w:themeColor="text1"/>
        </w:rPr>
        <w:t>主要财务指标</w:t>
      </w:r>
    </w:p>
    <w:tbl>
      <w:tblPr>
        <w:tblStyle w:val="g2"/>
        <w:tblW w:w="0" w:type="auto"/>
        <w:tblInd w:w="0" w:type="dxa"/>
        <w:tblLook w:val="04A0" w:firstRow="1" w:lastRow="0" w:firstColumn="1" w:lastColumn="0" w:noHBand="0" w:noVBand="1"/>
      </w:tblPr>
      <w:tblGrid>
        <w:gridCol w:w="3552"/>
        <w:gridCol w:w="1661"/>
        <w:gridCol w:w="1799"/>
        <w:gridCol w:w="1811"/>
      </w:tblGrid>
      <w:tr w:rsidR="00156DD6">
        <w:sdt>
          <w:sdtPr>
            <w:tag w:val="_PLD_b12e929543994adfbc7a21fe743cd125"/>
            <w:id w:val="-1982071759"/>
          </w:sdtPr>
          <w:sdtEndPr/>
          <w:sdtContent>
            <w:tc>
              <w:tcPr>
                <w:tcW w:w="3552" w:type="dxa"/>
                <w:vAlign w:val="center"/>
              </w:tcPr>
              <w:p w:rsidR="00156DD6" w:rsidRDefault="00D51F5F">
                <w:pPr>
                  <w:kinsoku w:val="0"/>
                  <w:overflowPunct w:val="0"/>
                  <w:autoSpaceDE w:val="0"/>
                  <w:autoSpaceDN w:val="0"/>
                  <w:adjustRightInd w:val="0"/>
                  <w:snapToGrid w:val="0"/>
                  <w:jc w:val="center"/>
                  <w:rPr>
                    <w:color w:val="000000" w:themeColor="text1"/>
                  </w:rPr>
                </w:pPr>
                <w:r>
                  <w:rPr>
                    <w:color w:val="000000" w:themeColor="text1"/>
                  </w:rPr>
                  <w:t>主要财务指标</w:t>
                </w:r>
              </w:p>
            </w:tc>
          </w:sdtContent>
        </w:sdt>
        <w:sdt>
          <w:sdtPr>
            <w:tag w:val="_PLD_d04f89449ff14c5fa39e871117b7e9e2"/>
            <w:id w:val="1415671999"/>
          </w:sdtPr>
          <w:sdtEndPr/>
          <w:sdtContent>
            <w:tc>
              <w:tcPr>
                <w:tcW w:w="1661" w:type="dxa"/>
                <w:vAlign w:val="center"/>
              </w:tcPr>
              <w:p w:rsidR="00156DD6" w:rsidRDefault="00D51F5F">
                <w:pPr>
                  <w:kinsoku w:val="0"/>
                  <w:overflowPunct w:val="0"/>
                  <w:autoSpaceDE w:val="0"/>
                  <w:autoSpaceDN w:val="0"/>
                  <w:adjustRightInd w:val="0"/>
                  <w:snapToGrid w:val="0"/>
                  <w:jc w:val="center"/>
                  <w:rPr>
                    <w:color w:val="000000" w:themeColor="text1"/>
                  </w:rPr>
                </w:pPr>
                <w:r>
                  <w:rPr>
                    <w:color w:val="000000" w:themeColor="text1"/>
                  </w:rPr>
                  <w:t>本报告期</w:t>
                </w:r>
              </w:p>
              <w:p w:rsidR="00156DD6" w:rsidRDefault="00D51F5F">
                <w:pPr>
                  <w:kinsoku w:val="0"/>
                  <w:overflowPunct w:val="0"/>
                  <w:autoSpaceDE w:val="0"/>
                  <w:autoSpaceDN w:val="0"/>
                  <w:adjustRightInd w:val="0"/>
                  <w:snapToGrid w:val="0"/>
                  <w:jc w:val="center"/>
                  <w:rPr>
                    <w:color w:val="000000" w:themeColor="text1"/>
                  </w:rPr>
                </w:pPr>
                <w:r>
                  <w:rPr>
                    <w:color w:val="000000" w:themeColor="text1"/>
                  </w:rPr>
                  <w:t>（</w:t>
                </w:r>
                <w:r>
                  <w:rPr>
                    <w:color w:val="000000" w:themeColor="text1"/>
                  </w:rPr>
                  <w:t>1</w:t>
                </w:r>
                <w:r>
                  <w:rPr>
                    <w:color w:val="000000" w:themeColor="text1"/>
                  </w:rPr>
                  <w:t>－</w:t>
                </w:r>
                <w:r>
                  <w:rPr>
                    <w:color w:val="000000" w:themeColor="text1"/>
                  </w:rPr>
                  <w:t>6</w:t>
                </w:r>
                <w:r>
                  <w:rPr>
                    <w:color w:val="000000" w:themeColor="text1"/>
                  </w:rPr>
                  <w:t>月）</w:t>
                </w:r>
              </w:p>
            </w:tc>
          </w:sdtContent>
        </w:sdt>
        <w:sdt>
          <w:sdtPr>
            <w:tag w:val="_PLD_bdb91a2a58254a0e945eecc5aef91521"/>
            <w:id w:val="-1551532511"/>
          </w:sdtPr>
          <w:sdtEndPr/>
          <w:sdtContent>
            <w:tc>
              <w:tcPr>
                <w:tcW w:w="1799" w:type="dxa"/>
                <w:vAlign w:val="center"/>
              </w:tcPr>
              <w:p w:rsidR="00156DD6" w:rsidRDefault="00D51F5F">
                <w:pPr>
                  <w:kinsoku w:val="0"/>
                  <w:overflowPunct w:val="0"/>
                  <w:autoSpaceDE w:val="0"/>
                  <w:autoSpaceDN w:val="0"/>
                  <w:adjustRightInd w:val="0"/>
                  <w:snapToGrid w:val="0"/>
                  <w:jc w:val="center"/>
                  <w:rPr>
                    <w:color w:val="000000" w:themeColor="text1"/>
                  </w:rPr>
                </w:pPr>
                <w:r>
                  <w:rPr>
                    <w:color w:val="000000" w:themeColor="text1"/>
                  </w:rPr>
                  <w:t>上年同期</w:t>
                </w:r>
              </w:p>
            </w:tc>
          </w:sdtContent>
        </w:sdt>
        <w:sdt>
          <w:sdtPr>
            <w:tag w:val="_PLD_08306889e5b040aa83784b3f6db386f1"/>
            <w:id w:val="640392294"/>
          </w:sdtPr>
          <w:sdtEndPr/>
          <w:sdtContent>
            <w:tc>
              <w:tcPr>
                <w:tcW w:w="1811" w:type="dxa"/>
                <w:vAlign w:val="center"/>
              </w:tcPr>
              <w:p w:rsidR="00156DD6" w:rsidRDefault="00D51F5F">
                <w:pPr>
                  <w:kinsoku w:val="0"/>
                  <w:overflowPunct w:val="0"/>
                  <w:autoSpaceDE w:val="0"/>
                  <w:autoSpaceDN w:val="0"/>
                  <w:adjustRightInd w:val="0"/>
                  <w:snapToGrid w:val="0"/>
                  <w:jc w:val="center"/>
                  <w:rPr>
                    <w:color w:val="000000" w:themeColor="text1"/>
                  </w:rPr>
                </w:pPr>
                <w:r>
                  <w:rPr>
                    <w:color w:val="000000" w:themeColor="text1"/>
                  </w:rPr>
                  <w:t>本报告期比上年同期增减</w:t>
                </w:r>
                <w:r>
                  <w:rPr>
                    <w:color w:val="000000" w:themeColor="text1"/>
                  </w:rPr>
                  <w:t>(%)</w:t>
                </w:r>
              </w:p>
            </w:tc>
          </w:sdtContent>
        </w:sdt>
      </w:tr>
      <w:tr w:rsidR="00156DD6">
        <w:tc>
          <w:tcPr>
            <w:tcW w:w="3552" w:type="dxa"/>
          </w:tcPr>
          <w:p w:rsidR="00156DD6" w:rsidRDefault="00D51F5F">
            <w:pPr>
              <w:kinsoku w:val="0"/>
              <w:overflowPunct w:val="0"/>
              <w:autoSpaceDE w:val="0"/>
              <w:autoSpaceDN w:val="0"/>
              <w:adjustRightInd w:val="0"/>
              <w:snapToGrid w:val="0"/>
              <w:rPr>
                <w:color w:val="000000" w:themeColor="text1"/>
              </w:rPr>
            </w:pPr>
            <w:r>
              <w:rPr>
                <w:color w:val="000000" w:themeColor="text1"/>
              </w:rPr>
              <w:t>基本每股收益（元／股）</w:t>
            </w:r>
          </w:p>
        </w:tc>
        <w:tc>
          <w:tcPr>
            <w:tcW w:w="1661" w:type="dxa"/>
            <w:vAlign w:val="center"/>
          </w:tcPr>
          <w:p w:rsidR="00156DD6" w:rsidRDefault="00D51F5F">
            <w:pPr>
              <w:kinsoku w:val="0"/>
              <w:overflowPunct w:val="0"/>
              <w:autoSpaceDE w:val="0"/>
              <w:autoSpaceDN w:val="0"/>
              <w:adjustRightInd w:val="0"/>
              <w:snapToGrid w:val="0"/>
              <w:jc w:val="right"/>
            </w:pPr>
            <w:r>
              <w:rPr>
                <w:rFonts w:hint="eastAsia"/>
              </w:rPr>
              <w:t>0.17</w:t>
            </w:r>
          </w:p>
        </w:tc>
        <w:tc>
          <w:tcPr>
            <w:tcW w:w="1799" w:type="dxa"/>
            <w:vAlign w:val="center"/>
          </w:tcPr>
          <w:p w:rsidR="00156DD6" w:rsidRDefault="00D51F5F">
            <w:pPr>
              <w:kinsoku w:val="0"/>
              <w:overflowPunct w:val="0"/>
              <w:autoSpaceDE w:val="0"/>
              <w:autoSpaceDN w:val="0"/>
              <w:adjustRightInd w:val="0"/>
              <w:snapToGrid w:val="0"/>
              <w:jc w:val="right"/>
            </w:pPr>
            <w:r>
              <w:rPr>
                <w:rFonts w:hint="eastAsia"/>
              </w:rPr>
              <w:t>0.11</w:t>
            </w:r>
          </w:p>
        </w:tc>
        <w:tc>
          <w:tcPr>
            <w:tcW w:w="1811" w:type="dxa"/>
            <w:vAlign w:val="center"/>
          </w:tcPr>
          <w:p w:rsidR="00156DD6" w:rsidRDefault="00D51F5F">
            <w:pPr>
              <w:kinsoku w:val="0"/>
              <w:overflowPunct w:val="0"/>
              <w:autoSpaceDE w:val="0"/>
              <w:autoSpaceDN w:val="0"/>
              <w:adjustRightInd w:val="0"/>
              <w:snapToGrid w:val="0"/>
              <w:jc w:val="right"/>
            </w:pPr>
            <w:r>
              <w:rPr>
                <w:rFonts w:hint="eastAsia"/>
              </w:rPr>
              <w:t xml:space="preserve"> 54.55 </w:t>
            </w:r>
          </w:p>
        </w:tc>
      </w:tr>
      <w:tr w:rsidR="00156DD6">
        <w:tc>
          <w:tcPr>
            <w:tcW w:w="3552" w:type="dxa"/>
          </w:tcPr>
          <w:p w:rsidR="00156DD6" w:rsidRDefault="00D51F5F">
            <w:pPr>
              <w:kinsoku w:val="0"/>
              <w:overflowPunct w:val="0"/>
              <w:autoSpaceDE w:val="0"/>
              <w:autoSpaceDN w:val="0"/>
              <w:adjustRightInd w:val="0"/>
              <w:snapToGrid w:val="0"/>
              <w:rPr>
                <w:color w:val="000000" w:themeColor="text1"/>
              </w:rPr>
            </w:pPr>
            <w:r>
              <w:rPr>
                <w:color w:val="000000" w:themeColor="text1"/>
              </w:rPr>
              <w:t>稀释每股收益（元／股）</w:t>
            </w:r>
          </w:p>
        </w:tc>
        <w:tc>
          <w:tcPr>
            <w:tcW w:w="1661" w:type="dxa"/>
            <w:vAlign w:val="center"/>
          </w:tcPr>
          <w:p w:rsidR="00156DD6" w:rsidRDefault="00D51F5F">
            <w:pPr>
              <w:kinsoku w:val="0"/>
              <w:overflowPunct w:val="0"/>
              <w:autoSpaceDE w:val="0"/>
              <w:autoSpaceDN w:val="0"/>
              <w:adjustRightInd w:val="0"/>
              <w:snapToGrid w:val="0"/>
              <w:jc w:val="right"/>
            </w:pPr>
            <w:r>
              <w:rPr>
                <w:rFonts w:hint="eastAsia"/>
              </w:rPr>
              <w:t>0.17</w:t>
            </w:r>
          </w:p>
        </w:tc>
        <w:tc>
          <w:tcPr>
            <w:tcW w:w="1799" w:type="dxa"/>
            <w:vAlign w:val="center"/>
          </w:tcPr>
          <w:p w:rsidR="00156DD6" w:rsidRDefault="00D51F5F">
            <w:pPr>
              <w:kinsoku w:val="0"/>
              <w:overflowPunct w:val="0"/>
              <w:autoSpaceDE w:val="0"/>
              <w:autoSpaceDN w:val="0"/>
              <w:adjustRightInd w:val="0"/>
              <w:snapToGrid w:val="0"/>
              <w:jc w:val="right"/>
            </w:pPr>
            <w:r>
              <w:rPr>
                <w:rFonts w:hint="eastAsia"/>
              </w:rPr>
              <w:t>0.11</w:t>
            </w:r>
          </w:p>
        </w:tc>
        <w:tc>
          <w:tcPr>
            <w:tcW w:w="1811" w:type="dxa"/>
            <w:vAlign w:val="center"/>
          </w:tcPr>
          <w:p w:rsidR="00156DD6" w:rsidRDefault="00D51F5F">
            <w:pPr>
              <w:kinsoku w:val="0"/>
              <w:overflowPunct w:val="0"/>
              <w:autoSpaceDE w:val="0"/>
              <w:autoSpaceDN w:val="0"/>
              <w:adjustRightInd w:val="0"/>
              <w:snapToGrid w:val="0"/>
              <w:jc w:val="right"/>
            </w:pPr>
            <w:r>
              <w:rPr>
                <w:rFonts w:hint="eastAsia"/>
              </w:rPr>
              <w:t xml:space="preserve"> 54.55 </w:t>
            </w:r>
          </w:p>
        </w:tc>
      </w:tr>
      <w:tr w:rsidR="00156DD6">
        <w:tc>
          <w:tcPr>
            <w:tcW w:w="3552" w:type="dxa"/>
          </w:tcPr>
          <w:p w:rsidR="00156DD6" w:rsidRDefault="00D51F5F">
            <w:pPr>
              <w:kinsoku w:val="0"/>
              <w:overflowPunct w:val="0"/>
              <w:autoSpaceDE w:val="0"/>
              <w:autoSpaceDN w:val="0"/>
              <w:adjustRightInd w:val="0"/>
              <w:snapToGrid w:val="0"/>
              <w:rPr>
                <w:color w:val="000000" w:themeColor="text1"/>
              </w:rPr>
            </w:pPr>
            <w:r>
              <w:rPr>
                <w:color w:val="000000" w:themeColor="text1"/>
              </w:rPr>
              <w:t>扣除非经常性损益后的基本每股收益（元／股）</w:t>
            </w:r>
          </w:p>
        </w:tc>
        <w:tc>
          <w:tcPr>
            <w:tcW w:w="1661" w:type="dxa"/>
            <w:vAlign w:val="center"/>
          </w:tcPr>
          <w:p w:rsidR="00156DD6" w:rsidRDefault="00D51F5F">
            <w:pPr>
              <w:kinsoku w:val="0"/>
              <w:overflowPunct w:val="0"/>
              <w:autoSpaceDE w:val="0"/>
              <w:autoSpaceDN w:val="0"/>
              <w:adjustRightInd w:val="0"/>
              <w:snapToGrid w:val="0"/>
              <w:jc w:val="right"/>
            </w:pPr>
            <w:r>
              <w:rPr>
                <w:rFonts w:hint="eastAsia"/>
              </w:rPr>
              <w:t>0.15</w:t>
            </w:r>
          </w:p>
        </w:tc>
        <w:tc>
          <w:tcPr>
            <w:tcW w:w="1799" w:type="dxa"/>
            <w:vAlign w:val="center"/>
          </w:tcPr>
          <w:p w:rsidR="00156DD6" w:rsidRDefault="00D51F5F">
            <w:pPr>
              <w:kinsoku w:val="0"/>
              <w:overflowPunct w:val="0"/>
              <w:autoSpaceDE w:val="0"/>
              <w:autoSpaceDN w:val="0"/>
              <w:adjustRightInd w:val="0"/>
              <w:snapToGrid w:val="0"/>
              <w:jc w:val="right"/>
            </w:pPr>
            <w:r>
              <w:rPr>
                <w:rFonts w:hint="eastAsia"/>
              </w:rPr>
              <w:t>0.05</w:t>
            </w:r>
          </w:p>
        </w:tc>
        <w:tc>
          <w:tcPr>
            <w:tcW w:w="1811" w:type="dxa"/>
            <w:vAlign w:val="center"/>
          </w:tcPr>
          <w:p w:rsidR="00156DD6" w:rsidRDefault="00D51F5F">
            <w:pPr>
              <w:kinsoku w:val="0"/>
              <w:overflowPunct w:val="0"/>
              <w:autoSpaceDE w:val="0"/>
              <w:autoSpaceDN w:val="0"/>
              <w:adjustRightInd w:val="0"/>
              <w:snapToGrid w:val="0"/>
              <w:jc w:val="right"/>
            </w:pPr>
            <w:r>
              <w:rPr>
                <w:rFonts w:hint="eastAsia"/>
              </w:rPr>
              <w:t xml:space="preserve"> 200.00 </w:t>
            </w:r>
          </w:p>
        </w:tc>
      </w:tr>
      <w:tr w:rsidR="00156DD6">
        <w:tc>
          <w:tcPr>
            <w:tcW w:w="3552" w:type="dxa"/>
          </w:tcPr>
          <w:p w:rsidR="00156DD6" w:rsidRDefault="00D51F5F">
            <w:pPr>
              <w:kinsoku w:val="0"/>
              <w:overflowPunct w:val="0"/>
              <w:autoSpaceDE w:val="0"/>
              <w:autoSpaceDN w:val="0"/>
              <w:adjustRightInd w:val="0"/>
              <w:snapToGrid w:val="0"/>
              <w:rPr>
                <w:color w:val="000000" w:themeColor="text1"/>
              </w:rPr>
            </w:pPr>
            <w:r>
              <w:rPr>
                <w:color w:val="000000" w:themeColor="text1"/>
              </w:rPr>
              <w:t>加权平均净资产收益率（</w:t>
            </w:r>
            <w:r>
              <w:rPr>
                <w:color w:val="000000" w:themeColor="text1"/>
              </w:rPr>
              <w:t>%</w:t>
            </w:r>
            <w:r>
              <w:rPr>
                <w:color w:val="000000" w:themeColor="text1"/>
              </w:rPr>
              <w:t>）</w:t>
            </w:r>
          </w:p>
        </w:tc>
        <w:tc>
          <w:tcPr>
            <w:tcW w:w="1661" w:type="dxa"/>
            <w:vAlign w:val="center"/>
          </w:tcPr>
          <w:p w:rsidR="00156DD6" w:rsidRDefault="00D51F5F">
            <w:pPr>
              <w:kinsoku w:val="0"/>
              <w:overflowPunct w:val="0"/>
              <w:autoSpaceDE w:val="0"/>
              <w:autoSpaceDN w:val="0"/>
              <w:adjustRightInd w:val="0"/>
              <w:snapToGrid w:val="0"/>
              <w:jc w:val="right"/>
            </w:pPr>
            <w:r>
              <w:rPr>
                <w:rFonts w:hint="eastAsia"/>
              </w:rPr>
              <w:t>2.24</w:t>
            </w:r>
          </w:p>
        </w:tc>
        <w:tc>
          <w:tcPr>
            <w:tcW w:w="1799" w:type="dxa"/>
            <w:vAlign w:val="center"/>
          </w:tcPr>
          <w:p w:rsidR="00156DD6" w:rsidRDefault="00D51F5F">
            <w:pPr>
              <w:kinsoku w:val="0"/>
              <w:overflowPunct w:val="0"/>
              <w:autoSpaceDE w:val="0"/>
              <w:autoSpaceDN w:val="0"/>
              <w:adjustRightInd w:val="0"/>
              <w:snapToGrid w:val="0"/>
              <w:jc w:val="right"/>
            </w:pPr>
            <w:r>
              <w:rPr>
                <w:rFonts w:hint="eastAsia"/>
              </w:rPr>
              <w:t>1.44</w:t>
            </w:r>
          </w:p>
        </w:tc>
        <w:tc>
          <w:tcPr>
            <w:tcW w:w="1811" w:type="dxa"/>
            <w:vAlign w:val="center"/>
          </w:tcPr>
          <w:p w:rsidR="00156DD6" w:rsidRDefault="00D51F5F">
            <w:pPr>
              <w:kinsoku w:val="0"/>
              <w:overflowPunct w:val="0"/>
              <w:autoSpaceDE w:val="0"/>
              <w:autoSpaceDN w:val="0"/>
              <w:adjustRightInd w:val="0"/>
              <w:snapToGrid w:val="0"/>
              <w:jc w:val="right"/>
            </w:pPr>
            <w:r>
              <w:rPr>
                <w:rFonts w:hint="eastAsia"/>
              </w:rPr>
              <w:t>增加</w:t>
            </w:r>
            <w:r>
              <w:rPr>
                <w:rFonts w:hint="eastAsia"/>
              </w:rPr>
              <w:t>0.80</w:t>
            </w:r>
            <w:r>
              <w:rPr>
                <w:rFonts w:hint="eastAsia"/>
              </w:rPr>
              <w:t>个百分点</w:t>
            </w:r>
          </w:p>
        </w:tc>
      </w:tr>
      <w:tr w:rsidR="00156DD6">
        <w:tc>
          <w:tcPr>
            <w:tcW w:w="3552" w:type="dxa"/>
          </w:tcPr>
          <w:p w:rsidR="00156DD6" w:rsidRDefault="00D51F5F">
            <w:pPr>
              <w:kinsoku w:val="0"/>
              <w:overflowPunct w:val="0"/>
              <w:autoSpaceDE w:val="0"/>
              <w:autoSpaceDN w:val="0"/>
              <w:adjustRightInd w:val="0"/>
              <w:snapToGrid w:val="0"/>
              <w:rPr>
                <w:color w:val="000000" w:themeColor="text1"/>
              </w:rPr>
            </w:pPr>
            <w:r>
              <w:rPr>
                <w:color w:val="000000" w:themeColor="text1"/>
              </w:rPr>
              <w:t>扣除非经常性损益后的加权平均净资产收益率（</w:t>
            </w:r>
            <w:r>
              <w:rPr>
                <w:color w:val="000000" w:themeColor="text1"/>
              </w:rPr>
              <w:t>%</w:t>
            </w:r>
            <w:r>
              <w:rPr>
                <w:color w:val="000000" w:themeColor="text1"/>
              </w:rPr>
              <w:t>）</w:t>
            </w:r>
          </w:p>
        </w:tc>
        <w:tc>
          <w:tcPr>
            <w:tcW w:w="1661" w:type="dxa"/>
            <w:vAlign w:val="center"/>
          </w:tcPr>
          <w:p w:rsidR="00156DD6" w:rsidRDefault="00D51F5F">
            <w:pPr>
              <w:kinsoku w:val="0"/>
              <w:overflowPunct w:val="0"/>
              <w:autoSpaceDE w:val="0"/>
              <w:autoSpaceDN w:val="0"/>
              <w:adjustRightInd w:val="0"/>
              <w:snapToGrid w:val="0"/>
              <w:jc w:val="right"/>
            </w:pPr>
            <w:r>
              <w:rPr>
                <w:rFonts w:hint="eastAsia"/>
              </w:rPr>
              <w:t>2.02</w:t>
            </w:r>
          </w:p>
        </w:tc>
        <w:tc>
          <w:tcPr>
            <w:tcW w:w="1799" w:type="dxa"/>
            <w:vAlign w:val="center"/>
          </w:tcPr>
          <w:p w:rsidR="00156DD6" w:rsidRDefault="00D51F5F">
            <w:pPr>
              <w:kinsoku w:val="0"/>
              <w:overflowPunct w:val="0"/>
              <w:autoSpaceDE w:val="0"/>
              <w:autoSpaceDN w:val="0"/>
              <w:adjustRightInd w:val="0"/>
              <w:snapToGrid w:val="0"/>
              <w:jc w:val="right"/>
            </w:pPr>
            <w:r>
              <w:rPr>
                <w:rFonts w:hint="eastAsia"/>
              </w:rPr>
              <w:t>0.69</w:t>
            </w:r>
          </w:p>
        </w:tc>
        <w:tc>
          <w:tcPr>
            <w:tcW w:w="1811" w:type="dxa"/>
            <w:vAlign w:val="center"/>
          </w:tcPr>
          <w:p w:rsidR="00156DD6" w:rsidRDefault="00D51F5F">
            <w:pPr>
              <w:kinsoku w:val="0"/>
              <w:overflowPunct w:val="0"/>
              <w:autoSpaceDE w:val="0"/>
              <w:autoSpaceDN w:val="0"/>
              <w:adjustRightInd w:val="0"/>
              <w:snapToGrid w:val="0"/>
              <w:jc w:val="right"/>
            </w:pPr>
            <w:r>
              <w:rPr>
                <w:rFonts w:hint="eastAsia"/>
              </w:rPr>
              <w:t>增加</w:t>
            </w:r>
            <w:r>
              <w:rPr>
                <w:rFonts w:hint="eastAsia"/>
              </w:rPr>
              <w:t>1.33</w:t>
            </w:r>
            <w:r>
              <w:rPr>
                <w:rFonts w:hint="eastAsia"/>
              </w:rPr>
              <w:t>个百分点</w:t>
            </w:r>
          </w:p>
        </w:tc>
      </w:tr>
    </w:tbl>
    <w:p w:rsidR="00156DD6" w:rsidRDefault="00D51F5F">
      <w:pPr>
        <w:rPr>
          <w:color w:val="000000" w:themeColor="text1"/>
        </w:rPr>
      </w:pPr>
      <w:r>
        <w:rPr>
          <w:color w:val="000000" w:themeColor="text1"/>
        </w:rPr>
        <w:t>公司主要会计数据和财务指标的说明</w:t>
      </w:r>
    </w:p>
    <w:sdt>
      <w:sdtPr>
        <w:rPr>
          <w:color w:val="000000" w:themeColor="text1"/>
        </w:rPr>
        <w:alias w:val="是否适用：公司主要会计数据和财务指标的说明[双击切换]"/>
        <w:tag w:val="_GBC_cfe99dae5f804f6f8f02eb429483f98a"/>
        <w:id w:val="-143489420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公司主要会计数据和财务指标的说明"/>
        <w:tag w:val="_GBC_97608ceee0dd4babbeaf5daeb2216ce1"/>
        <w:id w:val="-757126807"/>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 xml:space="preserve">1. </w:t>
          </w:r>
          <w:r>
            <w:rPr>
              <w:rFonts w:hint="eastAsia"/>
              <w:color w:val="000000" w:themeColor="text1"/>
            </w:rPr>
            <w:t>营业收入同比主要变动说明：</w:t>
          </w:r>
        </w:p>
        <w:p w:rsidR="00156DD6" w:rsidRDefault="00D51F5F">
          <w:pPr>
            <w:spacing w:line="360" w:lineRule="exact"/>
            <w:ind w:firstLineChars="200" w:firstLine="420"/>
            <w:rPr>
              <w:color w:val="000000" w:themeColor="text1"/>
            </w:rPr>
          </w:pPr>
          <w:bookmarkStart w:id="22" w:name="OLE_LINK25"/>
          <w:bookmarkStart w:id="23" w:name="OLE_LINK22"/>
          <w:r>
            <w:rPr>
              <w:rFonts w:hint="eastAsia"/>
              <w:color w:val="000000" w:themeColor="text1"/>
            </w:rPr>
            <w:t>（</w:t>
          </w:r>
          <w:r>
            <w:rPr>
              <w:rFonts w:hint="eastAsia"/>
              <w:color w:val="000000" w:themeColor="text1"/>
            </w:rPr>
            <w:t>1</w:t>
          </w:r>
          <w:r>
            <w:rPr>
              <w:rFonts w:hint="eastAsia"/>
              <w:color w:val="000000" w:themeColor="text1"/>
            </w:rPr>
            <w:t>）</w:t>
          </w:r>
          <w:bookmarkStart w:id="24" w:name="OLE_LINK44"/>
          <w:r>
            <w:rPr>
              <w:rFonts w:hint="eastAsia"/>
              <w:color w:val="000000" w:themeColor="text1"/>
            </w:rPr>
            <w:t>报告期实现营业收入</w:t>
          </w:r>
          <w:r>
            <w:rPr>
              <w:rFonts w:hint="eastAsia"/>
              <w:color w:val="000000" w:themeColor="text1"/>
            </w:rPr>
            <w:t>18.36</w:t>
          </w:r>
          <w:r>
            <w:rPr>
              <w:rFonts w:hint="eastAsia"/>
              <w:color w:val="000000" w:themeColor="text1"/>
            </w:rPr>
            <w:t>亿元，同比增加</w:t>
          </w:r>
          <w:r>
            <w:rPr>
              <w:rFonts w:hint="eastAsia"/>
              <w:color w:val="000000" w:themeColor="text1"/>
            </w:rPr>
            <w:t>4.11</w:t>
          </w:r>
          <w:r>
            <w:rPr>
              <w:rFonts w:hint="eastAsia"/>
              <w:color w:val="000000" w:themeColor="text1"/>
            </w:rPr>
            <w:t>亿元，增长</w:t>
          </w:r>
          <w:r>
            <w:rPr>
              <w:rFonts w:hint="eastAsia"/>
              <w:color w:val="000000" w:themeColor="text1"/>
            </w:rPr>
            <w:t>28.81%</w:t>
          </w:r>
          <w:r>
            <w:rPr>
              <w:rFonts w:hint="eastAsia"/>
              <w:color w:val="000000" w:themeColor="text1"/>
            </w:rPr>
            <w:t>。主营业务收入</w:t>
          </w:r>
          <w:r>
            <w:rPr>
              <w:rFonts w:hint="eastAsia"/>
              <w:color w:val="000000" w:themeColor="text1"/>
            </w:rPr>
            <w:t>17.79</w:t>
          </w:r>
          <w:r>
            <w:rPr>
              <w:rFonts w:hint="eastAsia"/>
              <w:color w:val="000000" w:themeColor="text1"/>
            </w:rPr>
            <w:t>亿元，其中输配电及控制设备业务收入</w:t>
          </w:r>
          <w:r>
            <w:rPr>
              <w:rFonts w:hint="eastAsia"/>
              <w:color w:val="000000" w:themeColor="text1"/>
            </w:rPr>
            <w:t>11.43</w:t>
          </w:r>
          <w:r>
            <w:rPr>
              <w:rFonts w:hint="eastAsia"/>
              <w:color w:val="000000" w:themeColor="text1"/>
            </w:rPr>
            <w:t>亿元，同比增加</w:t>
          </w:r>
          <w:r>
            <w:rPr>
              <w:rFonts w:hint="eastAsia"/>
              <w:color w:val="000000" w:themeColor="text1"/>
            </w:rPr>
            <w:t>3.64</w:t>
          </w:r>
          <w:r>
            <w:rPr>
              <w:rFonts w:hint="eastAsia"/>
              <w:color w:val="000000" w:themeColor="text1"/>
            </w:rPr>
            <w:t>亿元，增长</w:t>
          </w:r>
          <w:r>
            <w:rPr>
              <w:rFonts w:hint="eastAsia"/>
              <w:color w:val="000000" w:themeColor="text1"/>
            </w:rPr>
            <w:t>46.72%</w:t>
          </w:r>
          <w:r>
            <w:rPr>
              <w:rFonts w:hint="eastAsia"/>
              <w:color w:val="000000" w:themeColor="text1"/>
            </w:rPr>
            <w:t>；取向硅钢业务收入</w:t>
          </w:r>
          <w:r>
            <w:rPr>
              <w:rFonts w:hint="eastAsia"/>
              <w:color w:val="000000" w:themeColor="text1"/>
            </w:rPr>
            <w:t>6.36</w:t>
          </w:r>
          <w:r>
            <w:rPr>
              <w:rFonts w:hint="eastAsia"/>
              <w:color w:val="000000" w:themeColor="text1"/>
            </w:rPr>
            <w:t>亿元，同比增加</w:t>
          </w:r>
          <w:r>
            <w:rPr>
              <w:rFonts w:hint="eastAsia"/>
              <w:color w:val="000000" w:themeColor="text1"/>
            </w:rPr>
            <w:t>0.33</w:t>
          </w:r>
          <w:r>
            <w:rPr>
              <w:rFonts w:hint="eastAsia"/>
              <w:color w:val="000000" w:themeColor="text1"/>
            </w:rPr>
            <w:t>亿元，增长</w:t>
          </w:r>
          <w:r>
            <w:rPr>
              <w:rFonts w:hint="eastAsia"/>
              <w:color w:val="000000" w:themeColor="text1"/>
            </w:rPr>
            <w:t>5.50%</w:t>
          </w:r>
          <w:r>
            <w:rPr>
              <w:rFonts w:hint="eastAsia"/>
              <w:color w:val="000000" w:themeColor="text1"/>
            </w:rPr>
            <w:t>。</w:t>
          </w:r>
          <w:bookmarkEnd w:id="24"/>
        </w:p>
        <w:p w:rsidR="00156DD6" w:rsidRDefault="00D51F5F">
          <w:pPr>
            <w:spacing w:line="360" w:lineRule="exact"/>
            <w:ind w:firstLineChars="200" w:firstLine="420"/>
            <w:jc w:val="both"/>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bookmarkStart w:id="25" w:name="OLE_LINK50"/>
          <w:r>
            <w:rPr>
              <w:rFonts w:hint="eastAsia"/>
              <w:color w:val="000000" w:themeColor="text1"/>
            </w:rPr>
            <w:t>输配电及控制设备业务：</w:t>
          </w:r>
          <w:bookmarkStart w:id="26" w:name="OLE_LINK49"/>
          <w:r>
            <w:rPr>
              <w:rFonts w:hint="eastAsia"/>
              <w:color w:val="000000" w:themeColor="text1"/>
            </w:rPr>
            <w:t>增长主要系</w:t>
          </w:r>
          <w:bookmarkEnd w:id="25"/>
          <w:bookmarkEnd w:id="26"/>
          <w:r>
            <w:rPr>
              <w:rFonts w:hint="eastAsia"/>
              <w:color w:val="000000" w:themeColor="text1"/>
            </w:rPr>
            <w:t>110kV</w:t>
          </w:r>
          <w:r>
            <w:rPr>
              <w:rFonts w:hint="eastAsia"/>
              <w:color w:val="000000" w:themeColor="text1"/>
            </w:rPr>
            <w:t>及以上变压器产品营业收入从去年同期的</w:t>
          </w:r>
          <w:r>
            <w:rPr>
              <w:rFonts w:hint="eastAsia"/>
              <w:color w:val="000000" w:themeColor="text1"/>
            </w:rPr>
            <w:t>2.01</w:t>
          </w:r>
          <w:r>
            <w:rPr>
              <w:rFonts w:hint="eastAsia"/>
              <w:color w:val="000000" w:themeColor="text1"/>
            </w:rPr>
            <w:t>亿元增加到</w:t>
          </w:r>
          <w:r>
            <w:rPr>
              <w:rFonts w:hint="eastAsia"/>
              <w:color w:val="000000" w:themeColor="text1"/>
            </w:rPr>
            <w:t>5.06</w:t>
          </w:r>
          <w:r>
            <w:rPr>
              <w:rFonts w:hint="eastAsia"/>
              <w:color w:val="000000" w:themeColor="text1"/>
            </w:rPr>
            <w:t>亿元，增加</w:t>
          </w:r>
          <w:r>
            <w:rPr>
              <w:rFonts w:hint="eastAsia"/>
              <w:color w:val="000000" w:themeColor="text1"/>
            </w:rPr>
            <w:t>3.05</w:t>
          </w:r>
          <w:r>
            <w:rPr>
              <w:rFonts w:hint="eastAsia"/>
              <w:color w:val="000000" w:themeColor="text1"/>
            </w:rPr>
            <w:t>亿元。</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）取向硅钢业务：增长主要系销售量的增加，对外销售量增加</w:t>
          </w:r>
          <w:r>
            <w:rPr>
              <w:rFonts w:hint="eastAsia"/>
              <w:color w:val="000000" w:themeColor="text1"/>
            </w:rPr>
            <w:t>5,396</w:t>
          </w:r>
          <w:r>
            <w:rPr>
              <w:rFonts w:hint="eastAsia"/>
              <w:color w:val="000000" w:themeColor="text1"/>
            </w:rPr>
            <w:t>吨，实现营业收入增长</w:t>
          </w:r>
          <w:r>
            <w:rPr>
              <w:rFonts w:hint="eastAsia"/>
              <w:color w:val="000000" w:themeColor="text1"/>
            </w:rPr>
            <w:t>0.48</w:t>
          </w:r>
          <w:r>
            <w:rPr>
              <w:rFonts w:hint="eastAsia"/>
              <w:color w:val="000000" w:themeColor="text1"/>
            </w:rPr>
            <w:t>亿元。</w:t>
          </w:r>
        </w:p>
        <w:bookmarkEnd w:id="22"/>
        <w:bookmarkEnd w:id="23"/>
        <w:p w:rsidR="00156DD6" w:rsidRDefault="00D51F5F">
          <w:pPr>
            <w:spacing w:line="360" w:lineRule="exact"/>
            <w:ind w:firstLineChars="200" w:firstLine="420"/>
            <w:rPr>
              <w:color w:val="000000" w:themeColor="text1"/>
            </w:rPr>
          </w:pPr>
          <w:r>
            <w:rPr>
              <w:rFonts w:hint="eastAsia"/>
              <w:color w:val="000000" w:themeColor="text1"/>
            </w:rPr>
            <w:t xml:space="preserve">2. </w:t>
          </w:r>
          <w:r>
            <w:rPr>
              <w:rFonts w:hint="eastAsia"/>
              <w:color w:val="000000" w:themeColor="text1"/>
            </w:rPr>
            <w:t>归属于上市</w:t>
          </w:r>
          <w:r>
            <w:rPr>
              <w:rFonts w:hint="eastAsia"/>
              <w:color w:val="000000" w:themeColor="text1"/>
            </w:rPr>
            <w:t>公司股东的净利润主要变动说明：</w:t>
          </w:r>
        </w:p>
        <w:p w:rsidR="00156DD6" w:rsidRDefault="00D51F5F">
          <w:pPr>
            <w:spacing w:line="360" w:lineRule="exact"/>
            <w:ind w:firstLineChars="200" w:firstLine="420"/>
            <w:rPr>
              <w:color w:val="000000" w:themeColor="text1"/>
            </w:rPr>
          </w:pPr>
          <w:bookmarkStart w:id="27" w:name="OLE_LINK26"/>
          <w:r>
            <w:rPr>
              <w:rFonts w:hint="eastAsia"/>
              <w:color w:val="000000" w:themeColor="text1"/>
            </w:rPr>
            <w:t>报告期归属于上市公司股东的净利润同比增长</w:t>
          </w:r>
          <w:r>
            <w:rPr>
              <w:rFonts w:hint="eastAsia"/>
              <w:color w:val="000000" w:themeColor="text1"/>
            </w:rPr>
            <w:t>57.02%</w:t>
          </w:r>
          <w:r>
            <w:rPr>
              <w:rFonts w:hint="eastAsia"/>
              <w:color w:val="000000" w:themeColor="text1"/>
            </w:rPr>
            <w:t>，主要系：输配电及控制设备业务收入增长</w:t>
          </w:r>
          <w:r>
            <w:rPr>
              <w:rFonts w:hint="eastAsia"/>
              <w:color w:val="000000" w:themeColor="text1"/>
            </w:rPr>
            <w:t>3.64</w:t>
          </w:r>
          <w:r>
            <w:rPr>
              <w:rFonts w:hint="eastAsia"/>
              <w:color w:val="000000" w:themeColor="text1"/>
            </w:rPr>
            <w:t>亿元，带来毛利额同比增加</w:t>
          </w:r>
          <w:r>
            <w:rPr>
              <w:rFonts w:hint="eastAsia"/>
              <w:color w:val="000000" w:themeColor="text1"/>
            </w:rPr>
            <w:t>0.47</w:t>
          </w:r>
          <w:r>
            <w:rPr>
              <w:rFonts w:hint="eastAsia"/>
              <w:color w:val="000000" w:themeColor="text1"/>
            </w:rPr>
            <w:t>亿元；取向硅钢业务</w:t>
          </w:r>
          <w:r>
            <w:rPr>
              <w:rFonts w:hint="eastAsia"/>
              <w:color w:val="000000" w:themeColor="text1"/>
            </w:rPr>
            <w:t>2025</w:t>
          </w:r>
          <w:r>
            <w:rPr>
              <w:rFonts w:hint="eastAsia"/>
              <w:color w:val="000000" w:themeColor="text1"/>
            </w:rPr>
            <w:t>年上半年盈利能力提升，毛利率同比增长</w:t>
          </w:r>
          <w:r>
            <w:rPr>
              <w:rFonts w:hint="eastAsia"/>
              <w:color w:val="000000" w:themeColor="text1"/>
            </w:rPr>
            <w:t>5.73</w:t>
          </w:r>
          <w:r>
            <w:rPr>
              <w:rFonts w:hint="eastAsia"/>
              <w:color w:val="000000" w:themeColor="text1"/>
            </w:rPr>
            <w:t>个百分点，带来毛利额增加</w:t>
          </w:r>
          <w:r>
            <w:rPr>
              <w:rFonts w:hint="eastAsia"/>
              <w:color w:val="000000" w:themeColor="text1"/>
            </w:rPr>
            <w:t>0.38</w:t>
          </w:r>
          <w:r>
            <w:rPr>
              <w:rFonts w:hint="eastAsia"/>
              <w:color w:val="000000" w:themeColor="text1"/>
            </w:rPr>
            <w:t>亿元；公司市场扩张、规模扩大导致期间费用等支出同比增加</w:t>
          </w:r>
          <w:r>
            <w:rPr>
              <w:rFonts w:hint="eastAsia"/>
              <w:color w:val="000000" w:themeColor="text1"/>
            </w:rPr>
            <w:t>0.28</w:t>
          </w:r>
          <w:r>
            <w:rPr>
              <w:rFonts w:hint="eastAsia"/>
              <w:color w:val="000000" w:themeColor="text1"/>
            </w:rPr>
            <w:t>亿元共同影响所致。</w:t>
          </w:r>
        </w:p>
      </w:sdtContent>
    </w:sdt>
    <w:bookmarkEnd w:id="27"/>
    <w:p w:rsidR="00156DD6" w:rsidRDefault="00D51F5F">
      <w:pPr>
        <w:pStyle w:val="2"/>
        <w:numPr>
          <w:ilvl w:val="0"/>
          <w:numId w:val="3"/>
        </w:numPr>
        <w:ind w:left="0" w:firstLine="0"/>
        <w:rPr>
          <w:color w:val="000000" w:themeColor="text1"/>
        </w:rPr>
      </w:pPr>
      <w:r>
        <w:rPr>
          <w:rFonts w:hint="eastAsia"/>
          <w:color w:val="000000" w:themeColor="text1"/>
        </w:rPr>
        <w:t>境内外会计准则下会计数据差异</w:t>
      </w:r>
    </w:p>
    <w:sdt>
      <w:sdtPr>
        <w:rPr>
          <w:color w:val="000000" w:themeColor="text1"/>
        </w:rPr>
        <w:alias w:val="是否适用：境内外会计准则下会计数据差异[双击切换]"/>
        <w:tag w:val="_GBC_bdabc18d82504a7696c49b78e67b7ce4"/>
        <w:id w:val="-51746506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w:instrText>
          </w:r>
          <w:r>
            <w:rPr>
              <w:rFonts w:hint="eastAsia"/>
              <w:color w:val="000000" w:themeColor="text1"/>
            </w:rPr>
            <w:instrText xml:space="preserve">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
        <w:numPr>
          <w:ilvl w:val="0"/>
          <w:numId w:val="3"/>
        </w:numPr>
        <w:ind w:left="0" w:firstLine="0"/>
        <w:rPr>
          <w:color w:val="000000" w:themeColor="text1"/>
        </w:rPr>
      </w:pPr>
      <w:bookmarkStart w:id="28" w:name="_Hlk24640273"/>
      <w:bookmarkStart w:id="29" w:name="_Hlk167796974"/>
      <w:bookmarkEnd w:id="28"/>
      <w:r>
        <w:rPr>
          <w:rFonts w:hint="eastAsia"/>
          <w:color w:val="000000" w:themeColor="text1"/>
        </w:rPr>
        <w:t>非经常性损益项目和金额</w:t>
      </w:r>
    </w:p>
    <w:sdt>
      <w:sdtPr>
        <w:rPr>
          <w:color w:val="000000" w:themeColor="text1"/>
        </w:rPr>
        <w:alias w:val="是否适用：扣除非经常性损益项目和金额[双击切换]"/>
        <w:tag w:val="_GBC_43f94504cb3d48cbbe81a75d50663c2d"/>
        <w:id w:val="213690630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r>
        <w:rPr>
          <w:rFonts w:hint="eastAsia"/>
          <w:color w:val="000000" w:themeColor="text1"/>
        </w:rPr>
        <w:t>:</w:t>
      </w:r>
      <w:sdt>
        <w:sdtPr>
          <w:rPr>
            <w:rFonts w:hint="eastAsia"/>
            <w:color w:val="000000" w:themeColor="text1"/>
          </w:rPr>
          <w:alias w:val="单位：扣除非经常性损益项目和金额"/>
          <w:tag w:val="_GBC_f9e43a30b40946c08985f868a2ba3b74"/>
          <w:id w:val="122663903"/>
          <w:placeholder>
            <w:docPart w:val="GBC22222222222222222222222222222"/>
          </w:placeholder>
          <w:dataBinding w:prefixMappings="xmlns:clcid-ci-ar='clcid-ci-ar'" w:xpath="/*/clcid-ci-ar:DanWeiKouChuFeiJingChangXingSunYiXiangMuHeJinE[not(@periodRef)]" w:storeItemID="{89EBAB94-44A0-46A2-B712-30D997D04A6D}"/>
          <w:comboBox w:lastValue="10000">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r>
        <w:rPr>
          <w:rFonts w:hint="eastAsia"/>
          <w:color w:val="000000" w:themeColor="text1"/>
        </w:rPr>
        <w:t>:</w:t>
      </w:r>
      <w:sdt>
        <w:sdtPr>
          <w:rPr>
            <w:rFonts w:hint="eastAsia"/>
            <w:color w:val="000000" w:themeColor="text1"/>
          </w:rPr>
          <w:alias w:val="币种：扣除非经常性损益项目和金额"/>
          <w:tag w:val="_GBC_81dc93f6f5e14511b89edb8661fa84fd"/>
          <w:id w:val="-732466426"/>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Look w:val="04A0" w:firstRow="1" w:lastRow="0" w:firstColumn="1" w:lastColumn="0" w:noHBand="0" w:noVBand="1"/>
      </w:tblPr>
      <w:tblGrid>
        <w:gridCol w:w="4369"/>
        <w:gridCol w:w="2135"/>
        <w:gridCol w:w="2319"/>
      </w:tblGrid>
      <w:tr w:rsidR="00156DD6">
        <w:sdt>
          <w:sdtPr>
            <w:tag w:val="_PLD_75c3787071e446ebb752a5626cdbd723"/>
            <w:id w:val="-77753192"/>
          </w:sdtPr>
          <w:sdtEndPr/>
          <w:sdtContent>
            <w:tc>
              <w:tcPr>
                <w:tcW w:w="2476" w:type="pct"/>
                <w:vAlign w:val="center"/>
              </w:tcPr>
              <w:p w:rsidR="00156DD6" w:rsidRDefault="00D51F5F">
                <w:pPr>
                  <w:pStyle w:val="Style72"/>
                  <w:ind w:firstLineChars="0" w:firstLine="0"/>
                  <w:jc w:val="center"/>
                  <w:rPr>
                    <w:rFonts w:ascii="宋体" w:hAnsi="宋体"/>
                    <w:color w:val="000000" w:themeColor="text1"/>
                  </w:rPr>
                </w:pPr>
                <w:r>
                  <w:rPr>
                    <w:rFonts w:ascii="宋体" w:hAnsi="宋体" w:hint="eastAsia"/>
                    <w:color w:val="000000" w:themeColor="text1"/>
                  </w:rPr>
                  <w:t>非经常性损益项目</w:t>
                </w:r>
              </w:p>
            </w:tc>
          </w:sdtContent>
        </w:sdt>
        <w:sdt>
          <w:sdtPr>
            <w:tag w:val="_PLD_819237cfe12b4f9b95d296101869571d"/>
            <w:id w:val="-183906470"/>
          </w:sdtPr>
          <w:sdtEndPr/>
          <w:sdtContent>
            <w:tc>
              <w:tcPr>
                <w:tcW w:w="1210" w:type="pct"/>
                <w:vAlign w:val="center"/>
              </w:tcPr>
              <w:p w:rsidR="00156DD6" w:rsidRDefault="00D51F5F">
                <w:pPr>
                  <w:pStyle w:val="Style72"/>
                  <w:ind w:firstLineChars="0" w:firstLine="0"/>
                  <w:jc w:val="center"/>
                  <w:rPr>
                    <w:rFonts w:ascii="宋体" w:hAnsi="宋体"/>
                    <w:color w:val="000000" w:themeColor="text1"/>
                  </w:rPr>
                </w:pPr>
                <w:r>
                  <w:rPr>
                    <w:rFonts w:ascii="宋体" w:hAnsi="宋体" w:hint="eastAsia"/>
                    <w:color w:val="000000" w:themeColor="text1"/>
                  </w:rPr>
                  <w:t>金额</w:t>
                </w:r>
              </w:p>
            </w:tc>
          </w:sdtContent>
        </w:sdt>
        <w:sdt>
          <w:sdtPr>
            <w:tag w:val="_PLD_271c1520daad4f06be80c7ac930ea658"/>
            <w:id w:val="165448515"/>
          </w:sdtPr>
          <w:sdtEndPr/>
          <w:sdtContent>
            <w:tc>
              <w:tcPr>
                <w:tcW w:w="1314" w:type="pct"/>
                <w:vAlign w:val="center"/>
              </w:tcPr>
              <w:p w:rsidR="00156DD6" w:rsidRDefault="00D51F5F">
                <w:pPr>
                  <w:pStyle w:val="Style72"/>
                  <w:ind w:firstLineChars="0" w:firstLine="0"/>
                  <w:jc w:val="center"/>
                  <w:rPr>
                    <w:rFonts w:ascii="宋体" w:hAnsi="宋体"/>
                    <w:color w:val="000000" w:themeColor="text1"/>
                  </w:rPr>
                </w:pPr>
                <w:r>
                  <w:rPr>
                    <w:rFonts w:ascii="宋体" w:hAnsi="宋体" w:hint="eastAsia"/>
                    <w:color w:val="000000" w:themeColor="text1"/>
                  </w:rPr>
                  <w:t>附注（如适用）</w:t>
                </w:r>
              </w:p>
            </w:tc>
          </w:sdtContent>
        </w:sdt>
      </w:tr>
      <w:tr w:rsidR="00156DD6">
        <w:tc>
          <w:tcPr>
            <w:tcW w:w="2476" w:type="pct"/>
          </w:tcPr>
          <w:p w:rsidR="00156DD6" w:rsidRDefault="00D51F5F">
            <w:pPr>
              <w:pStyle w:val="Style72"/>
              <w:ind w:firstLineChars="0" w:firstLine="0"/>
              <w:jc w:val="left"/>
              <w:rPr>
                <w:color w:val="000000" w:themeColor="text1"/>
              </w:rPr>
            </w:pPr>
            <w:r>
              <w:rPr>
                <w:color w:val="000000" w:themeColor="text1"/>
              </w:rPr>
              <w:t>非流动</w:t>
            </w:r>
            <w:r>
              <w:rPr>
                <w:rFonts w:hint="eastAsia"/>
                <w:color w:val="000000" w:themeColor="text1"/>
              </w:rPr>
              <w:t>性</w:t>
            </w:r>
            <w:r>
              <w:rPr>
                <w:color w:val="000000" w:themeColor="text1"/>
              </w:rPr>
              <w:t>资产处置损益</w:t>
            </w:r>
            <w:r>
              <w:rPr>
                <w:rFonts w:hint="eastAsia"/>
                <w:color w:val="000000" w:themeColor="text1"/>
              </w:rPr>
              <w:t>，包括已计提资产减值准备的冲销部分</w:t>
            </w:r>
          </w:p>
        </w:tc>
        <w:tc>
          <w:tcPr>
            <w:tcW w:w="1210" w:type="pct"/>
            <w:vAlign w:val="center"/>
          </w:tcPr>
          <w:p w:rsidR="00156DD6" w:rsidRDefault="00D51F5F">
            <w:pPr>
              <w:jc w:val="right"/>
              <w:rPr>
                <w:color w:val="000000" w:themeColor="text1"/>
              </w:rPr>
            </w:pPr>
            <w:r>
              <w:rPr>
                <w:rFonts w:hint="eastAsia"/>
              </w:rPr>
              <w:t xml:space="preserve"> 9.44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计入当期损益的政府补助</w:t>
            </w:r>
            <w:r>
              <w:rPr>
                <w:rFonts w:hint="eastAsia"/>
                <w:color w:val="000000" w:themeColor="text1"/>
              </w:rPr>
              <w:t>，但与公司正常经营业务密切相关、符合国家政策规定、按照确定的标准享有、对公司损益产生持续影响的政府补助除</w:t>
            </w:r>
            <w:r>
              <w:rPr>
                <w:rFonts w:hint="eastAsia"/>
                <w:color w:val="000000" w:themeColor="text1"/>
              </w:rPr>
              <w:lastRenderedPageBreak/>
              <w:t>外</w:t>
            </w:r>
          </w:p>
        </w:tc>
        <w:tc>
          <w:tcPr>
            <w:tcW w:w="1210" w:type="pct"/>
            <w:vAlign w:val="center"/>
          </w:tcPr>
          <w:p w:rsidR="00156DD6" w:rsidRDefault="00D51F5F">
            <w:pPr>
              <w:jc w:val="right"/>
              <w:rPr>
                <w:color w:val="000000" w:themeColor="text1"/>
              </w:rPr>
            </w:pPr>
            <w:r>
              <w:rPr>
                <w:rFonts w:hint="eastAsia"/>
              </w:rPr>
              <w:lastRenderedPageBreak/>
              <w:t xml:space="preserve"> 844.04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rFonts w:hint="eastAsia"/>
                <w:color w:val="000000" w:themeColor="text1"/>
              </w:rPr>
              <w:t>除同公司正常经营业务相关的有效套期保值业务外，</w:t>
            </w:r>
            <w:r>
              <w:rPr>
                <w:color w:val="000000" w:themeColor="text1"/>
              </w:rPr>
              <w:t>非金融企业持有金融资产和金融负债产生的公允价值变动损益以及处置金融资产和金融负债产生的损益</w:t>
            </w:r>
          </w:p>
        </w:tc>
        <w:tc>
          <w:tcPr>
            <w:tcW w:w="1210" w:type="pct"/>
            <w:vAlign w:val="center"/>
          </w:tcPr>
          <w:p w:rsidR="00156DD6" w:rsidRDefault="00D51F5F">
            <w:pPr>
              <w:jc w:val="right"/>
              <w:rPr>
                <w:color w:val="000000" w:themeColor="text1"/>
              </w:rPr>
            </w:pPr>
            <w:r>
              <w:rPr>
                <w:rFonts w:hint="eastAsia"/>
              </w:rPr>
              <w:t xml:space="preserve"> 86.15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计入当期损益的对非金融企业收取的资金占用费</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委托他人投资或管理资产的损益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对外委托贷款取得的损益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因不可抗力因</w:t>
            </w:r>
            <w:r>
              <w:rPr>
                <w:rFonts w:hint="eastAsia"/>
                <w:color w:val="000000" w:themeColor="text1"/>
              </w:rPr>
              <w:t>素，如遭受自然灾害而产生的各项资产损失</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rFonts w:hint="eastAsia"/>
                <w:color w:val="000000" w:themeColor="text1"/>
              </w:rPr>
              <w:t>单独进行减值测试的应收款项减值准备转回</w:t>
            </w:r>
          </w:p>
        </w:tc>
        <w:tc>
          <w:tcPr>
            <w:tcW w:w="1210" w:type="pct"/>
            <w:vAlign w:val="center"/>
          </w:tcPr>
          <w:p w:rsidR="00156DD6" w:rsidRDefault="00D51F5F">
            <w:pPr>
              <w:jc w:val="right"/>
              <w:rPr>
                <w:color w:val="000000" w:themeColor="text1"/>
              </w:rPr>
            </w:pPr>
            <w:r>
              <w:rPr>
                <w:color w:val="000000" w:themeColor="text1"/>
              </w:rPr>
              <w:t>14.96</w:t>
            </w: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企业取得子公司、联营企业及合营企业的投资成本小于取得投资时应享有被投资单位可辨认净资产公允价值产生的收益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同一控制下企业合并产生的子公司期初至合并日的当期净损益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非货币性资产交换损益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债务重组损益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企业</w:t>
            </w:r>
            <w:r>
              <w:rPr>
                <w:rFonts w:hint="eastAsia"/>
                <w:color w:val="000000" w:themeColor="text1"/>
              </w:rPr>
              <w:t>因相关经营活动不再持续而发生的一次性费用，如安置职工的支出等</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因税收、会计等法律、法规</w:t>
            </w:r>
            <w:r>
              <w:rPr>
                <w:rFonts w:hint="eastAsia"/>
                <w:color w:val="000000" w:themeColor="text1"/>
              </w:rPr>
              <w:t>的调整对当期损益产生的一次性影响</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因取消、修改股权激励计划一次性确认的股份支付费用</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156DD6">
            <w:pPr>
              <w:pStyle w:val="Style43"/>
            </w:pP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对于现金结算的股份支付，在可行权日之后，应付职工薪酬的公允价值变动产生的损益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156DD6">
            <w:pPr>
              <w:pStyle w:val="Style43"/>
            </w:pP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采用公允价值模式进行后续计量的投资性房地产公允价值变动产生的损益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rFonts w:hint="eastAsia"/>
                <w:color w:val="000000" w:themeColor="text1"/>
              </w:rPr>
              <w:t>交易价格显失公允的交易产生的收益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与公司正常经营业务无关的或有事项产生的损益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受托经营取得的托管费收入</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除上述各项之外的其他营业外收入和支出</w:t>
            </w:r>
          </w:p>
        </w:tc>
        <w:tc>
          <w:tcPr>
            <w:tcW w:w="1210" w:type="pct"/>
            <w:vAlign w:val="center"/>
          </w:tcPr>
          <w:p w:rsidR="00156DD6" w:rsidRDefault="00D51F5F">
            <w:pPr>
              <w:jc w:val="right"/>
              <w:rPr>
                <w:color w:val="000000" w:themeColor="text1"/>
              </w:rPr>
            </w:pPr>
            <w:r>
              <w:rPr>
                <w:rFonts w:hint="eastAsia"/>
                <w:color w:val="000000" w:themeColor="text1"/>
              </w:rPr>
              <w:t>-225.72</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color w:val="000000" w:themeColor="text1"/>
              </w:rPr>
              <w:t>其他符合非经常性损益定义的损益项目</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rPr>
            </w:pPr>
            <w:r>
              <w:rPr>
                <w:rFonts w:hint="eastAsia"/>
                <w:color w:val="000000" w:themeColor="text1"/>
              </w:rPr>
              <w:t>减：</w:t>
            </w:r>
            <w:r>
              <w:rPr>
                <w:color w:val="000000" w:themeColor="text1"/>
              </w:rPr>
              <w:t>所得税影响额</w:t>
            </w:r>
          </w:p>
        </w:tc>
        <w:tc>
          <w:tcPr>
            <w:tcW w:w="1210" w:type="pct"/>
          </w:tcPr>
          <w:p w:rsidR="00156DD6" w:rsidRDefault="00D51F5F">
            <w:pPr>
              <w:jc w:val="right"/>
              <w:rPr>
                <w:color w:val="000000" w:themeColor="text1"/>
              </w:rPr>
            </w:pPr>
            <w:r>
              <w:rPr>
                <w:rFonts w:hint="eastAsia"/>
              </w:rPr>
              <w:t xml:space="preserve"> 109.30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400"/>
              <w:jc w:val="left"/>
              <w:rPr>
                <w:color w:val="000000" w:themeColor="text1"/>
              </w:rPr>
            </w:pPr>
            <w:r>
              <w:rPr>
                <w:color w:val="000000" w:themeColor="text1"/>
              </w:rPr>
              <w:t>少数股东权益影响额</w:t>
            </w:r>
            <w:r>
              <w:rPr>
                <w:rFonts w:hint="eastAsia"/>
                <w:color w:val="000000" w:themeColor="text1"/>
              </w:rPr>
              <w:t>（税后）</w:t>
            </w:r>
          </w:p>
        </w:tc>
        <w:tc>
          <w:tcPr>
            <w:tcW w:w="1210" w:type="pct"/>
          </w:tcPr>
          <w:p w:rsidR="00156DD6" w:rsidRDefault="00D51F5F">
            <w:pPr>
              <w:jc w:val="right"/>
              <w:rPr>
                <w:color w:val="000000" w:themeColor="text1"/>
              </w:rPr>
            </w:pPr>
            <w:r>
              <w:rPr>
                <w:rFonts w:hint="eastAsia"/>
              </w:rPr>
              <w:t xml:space="preserve"> 77.92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vAlign w:val="center"/>
          </w:tcPr>
          <w:p w:rsidR="00156DD6" w:rsidRDefault="00D51F5F">
            <w:pPr>
              <w:pStyle w:val="Style72"/>
              <w:ind w:firstLineChars="0" w:firstLine="0"/>
              <w:jc w:val="center"/>
              <w:rPr>
                <w:color w:val="000000" w:themeColor="text1"/>
              </w:rPr>
            </w:pPr>
            <w:r>
              <w:rPr>
                <w:color w:val="000000" w:themeColor="text1"/>
              </w:rPr>
              <w:t>合计</w:t>
            </w:r>
          </w:p>
        </w:tc>
        <w:tc>
          <w:tcPr>
            <w:tcW w:w="1210" w:type="pct"/>
          </w:tcPr>
          <w:p w:rsidR="00156DD6" w:rsidRDefault="00D51F5F">
            <w:pPr>
              <w:jc w:val="right"/>
              <w:rPr>
                <w:color w:val="000000" w:themeColor="text1"/>
              </w:rPr>
            </w:pPr>
            <w:r>
              <w:rPr>
                <w:rFonts w:hint="eastAsia"/>
              </w:rPr>
              <w:t xml:space="preserve"> 541.66 </w:t>
            </w:r>
          </w:p>
        </w:tc>
        <w:tc>
          <w:tcPr>
            <w:tcW w:w="1314" w:type="pct"/>
            <w:vAlign w:val="center"/>
          </w:tcPr>
          <w:p w:rsidR="00156DD6" w:rsidRDefault="00D51F5F">
            <w:pPr>
              <w:rPr>
                <w:color w:val="000000" w:themeColor="text1"/>
              </w:rPr>
            </w:pPr>
            <w:r>
              <w:rPr>
                <w:rFonts w:hint="eastAsia"/>
                <w:color w:val="000000" w:themeColor="text1"/>
              </w:rPr>
              <w:t xml:space="preserve">　</w:t>
            </w:r>
          </w:p>
        </w:tc>
      </w:tr>
    </w:tbl>
    <w:p w:rsidR="00156DD6" w:rsidRDefault="00D51F5F">
      <w:pPr>
        <w:pStyle w:val="Style80"/>
        <w:adjustRightInd w:val="0"/>
        <w:snapToGrid w:val="0"/>
        <w:spacing w:line="200" w:lineRule="atLeast"/>
        <w:rPr>
          <w:rFonts w:hAnsi="宋体"/>
          <w:color w:val="000000" w:themeColor="text1"/>
          <w:kern w:val="0"/>
          <w:szCs w:val="21"/>
        </w:rPr>
      </w:pPr>
      <w:bookmarkStart w:id="30" w:name="_Hlk89096484"/>
      <w:bookmarkStart w:id="31" w:name="_Hlk41379873"/>
      <w:bookmarkStart w:id="32" w:name="_Hlk137045432"/>
      <w:bookmarkStart w:id="33" w:name="_Hlk105685044"/>
      <w:bookmarkEnd w:id="29"/>
      <w:r>
        <w:rPr>
          <w:rFonts w:hAnsi="宋体" w:cs="宋体" w:hint="eastAsia"/>
          <w:color w:val="000000" w:themeColor="text1"/>
          <w:kern w:val="0"/>
          <w:szCs w:val="21"/>
        </w:rPr>
        <w:t>对公司将《公开发行证券的公司信息披露解释性公告第</w:t>
      </w:r>
      <w:r>
        <w:rPr>
          <w:rFonts w:hAnsi="宋体" w:cs="宋体"/>
          <w:color w:val="000000" w:themeColor="text1"/>
          <w:kern w:val="0"/>
          <w:szCs w:val="21"/>
        </w:rPr>
        <w:t>1</w:t>
      </w:r>
      <w:r>
        <w:rPr>
          <w:rFonts w:hAnsi="宋体" w:cs="宋体"/>
          <w:color w:val="000000" w:themeColor="text1"/>
          <w:kern w:val="0"/>
          <w:szCs w:val="21"/>
        </w:rPr>
        <w:t>号</w:t>
      </w:r>
      <w:r>
        <w:rPr>
          <w:rFonts w:hAnsi="宋体" w:cs="宋体"/>
          <w:color w:val="000000" w:themeColor="text1"/>
          <w:kern w:val="0"/>
          <w:szCs w:val="21"/>
        </w:rPr>
        <w:t>——</w:t>
      </w:r>
      <w:r>
        <w:rPr>
          <w:rFonts w:hAnsi="宋体" w:cs="宋体"/>
          <w:color w:val="000000" w:themeColor="text1"/>
          <w:kern w:val="0"/>
          <w:szCs w:val="21"/>
        </w:rPr>
        <w:t>非经常性损益》未列举的项目认定为非经常性损益项目且金额重大的，以及将《公开发行证券的公司信息披露解释性公告第</w:t>
      </w:r>
      <w:r>
        <w:rPr>
          <w:rFonts w:hAnsi="宋体" w:cs="宋体"/>
          <w:color w:val="000000" w:themeColor="text1"/>
          <w:kern w:val="0"/>
          <w:szCs w:val="21"/>
        </w:rPr>
        <w:t>1</w:t>
      </w:r>
      <w:r>
        <w:rPr>
          <w:rFonts w:hAnsi="宋体" w:cs="宋体"/>
          <w:color w:val="000000" w:themeColor="text1"/>
          <w:kern w:val="0"/>
          <w:szCs w:val="21"/>
        </w:rPr>
        <w:t>号</w:t>
      </w:r>
      <w:r>
        <w:rPr>
          <w:rFonts w:hAnsi="宋体" w:cs="宋体"/>
          <w:color w:val="000000" w:themeColor="text1"/>
          <w:kern w:val="0"/>
          <w:szCs w:val="21"/>
        </w:rPr>
        <w:t>——</w:t>
      </w:r>
      <w:r>
        <w:rPr>
          <w:rFonts w:hAnsi="宋体" w:cs="宋体"/>
          <w:color w:val="000000" w:themeColor="text1"/>
          <w:kern w:val="0"/>
          <w:szCs w:val="21"/>
        </w:rPr>
        <w:t>非经常性损益》中列举的非经常性损益项目界定为经常性损益的项目，应说明原因</w:t>
      </w:r>
      <w:r>
        <w:rPr>
          <w:rFonts w:hAnsi="宋体" w:cs="宋体" w:hint="eastAsia"/>
          <w:color w:val="000000" w:themeColor="text1"/>
          <w:kern w:val="0"/>
          <w:szCs w:val="21"/>
        </w:rPr>
        <w:t>。</w:t>
      </w:r>
    </w:p>
    <w:sdt>
      <w:sdtPr>
        <w:rPr>
          <w:color w:val="000000" w:themeColor="text1"/>
        </w:rPr>
        <w:alias w:val="是否适用：将非经常性损益项目界定为经常性损益项目[双击切换]"/>
        <w:tag w:val="_GBC_2fced4d4c7b049209a471cd2040fe574"/>
        <w:id w:val="-60279761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
        <w:numPr>
          <w:ilvl w:val="0"/>
          <w:numId w:val="3"/>
        </w:numPr>
        <w:ind w:left="0" w:firstLine="0"/>
        <w:rPr>
          <w:color w:val="000000" w:themeColor="text1"/>
        </w:rPr>
      </w:pPr>
      <w:bookmarkStart w:id="34" w:name="_Hlk199506011"/>
      <w:bookmarkStart w:id="35" w:name="_Hlk200097037"/>
      <w:bookmarkEnd w:id="30"/>
      <w:bookmarkEnd w:id="31"/>
      <w:bookmarkEnd w:id="32"/>
      <w:r>
        <w:rPr>
          <w:rFonts w:hint="eastAsia"/>
          <w:color w:val="000000" w:themeColor="text1"/>
        </w:rPr>
        <w:t>存在股权激励、员工持股计划的公司可选择披露扣除股份支付影响后的净利润</w:t>
      </w:r>
    </w:p>
    <w:sdt>
      <w:sdtPr>
        <w:rPr>
          <w:rFonts w:hint="eastAsia"/>
        </w:rPr>
        <w:alias w:val="是否适用：扣除股份支付影响后的净利润[双击切换]"/>
        <w:tag w:val="_GBC_0800bd28016b47e5b3f7d0b40ad325dc"/>
        <w:id w:val="2049412806"/>
        <w:lock w:val="contentLocked"/>
        <w:placeholder>
          <w:docPart w:val="GBC22222222222222222222222222222"/>
        </w:placeholder>
      </w:sdtPr>
      <w:sdtEndPr/>
      <w:sdtContent>
        <w:p w:rsidR="00156DD6" w:rsidRDefault="00D51F5F">
          <w:pPr>
            <w:pStyle w:val="Style43"/>
          </w:pPr>
          <w:r>
            <w:rPr>
              <w:rFonts w:ascii="宋体" w:hAnsi="宋体" w:hint="eastAsia"/>
            </w:rPr>
            <w:fldChar w:fldCharType="begin"/>
          </w:r>
          <w:r>
            <w:rPr>
              <w:rFonts w:ascii="宋体" w:hAnsi="宋体" w:hint="eastAsia"/>
            </w:rPr>
            <w:instrText xml:space="preserve"> MACROBUTTON  SnrToggleCheckbox </w:instrText>
          </w:r>
          <w:r>
            <w:rPr>
              <w:rFonts w:ascii="宋体" w:hAnsi="宋体" w:hint="eastAsia"/>
            </w:rPr>
            <w:instrText>√适用</w:instrText>
          </w:r>
          <w:r>
            <w:rPr>
              <w:rFonts w:ascii="宋体" w:hAnsi="宋体" w:hint="eastAsia"/>
            </w:rPr>
            <w:instrText xml:space="preserve">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w:instrText>
          </w:r>
          <w:r>
            <w:rPr>
              <w:rFonts w:ascii="宋体" w:hAnsi="宋体" w:hint="eastAsia"/>
            </w:rPr>
            <w:instrText>□不适用</w:instrText>
          </w:r>
          <w:r>
            <w:rPr>
              <w:rFonts w:ascii="宋体" w:hAnsi="宋体" w:hint="eastAsia"/>
            </w:rPr>
            <w:instrText xml:space="preserve"> </w:instrText>
          </w:r>
          <w:r>
            <w:rPr>
              <w:rFonts w:ascii="宋体" w:hAnsi="宋体" w:hint="eastAsia"/>
            </w:rPr>
            <w:fldChar w:fldCharType="end"/>
          </w:r>
        </w:p>
      </w:sdtContent>
    </w:sdt>
    <w:bookmarkEnd w:id="34"/>
    <w:p w:rsidR="00156DD6" w:rsidRDefault="00D51F5F">
      <w:pPr>
        <w:jc w:val="right"/>
      </w:pPr>
      <w:r>
        <w:rPr>
          <w:rFonts w:hint="eastAsia"/>
        </w:rPr>
        <w:t>单位：</w:t>
      </w:r>
      <w:sdt>
        <w:sdtPr>
          <w:rPr>
            <w:rFonts w:hint="eastAsia"/>
          </w:rPr>
          <w:alias w:val="单位：扣除股份支付影响后的净利润"/>
          <w:tag w:val="_GBC_beca80a183cb4c37a4e22fe5ed3837c2"/>
          <w:id w:val="-16240753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扣除股份支付影响后的净利润"/>
          <w:tag w:val="_GBC_c09a0f833b0a444884a5b8d4e3b9527e"/>
          <w:id w:val="-7148146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1768"/>
        <w:gridCol w:w="1758"/>
        <w:gridCol w:w="1756"/>
      </w:tblGrid>
      <w:tr w:rsidR="00156DD6">
        <w:trPr>
          <w:trHeight w:val="596"/>
        </w:trPr>
        <w:sdt>
          <w:sdtPr>
            <w:tag w:val="_PLD_3b60e50e7a1e401a97cb7e7719714a31"/>
            <w:id w:val="583495196"/>
          </w:sdtPr>
          <w:sdtEndPr/>
          <w:sdtContent>
            <w:tc>
              <w:tcPr>
                <w:tcW w:w="2007" w:type="pct"/>
                <w:vAlign w:val="center"/>
              </w:tcPr>
              <w:p w:rsidR="00156DD6" w:rsidRDefault="00D51F5F">
                <w:pPr>
                  <w:kinsoku w:val="0"/>
                  <w:overflowPunct w:val="0"/>
                  <w:autoSpaceDE w:val="0"/>
                  <w:autoSpaceDN w:val="0"/>
                  <w:adjustRightInd w:val="0"/>
                  <w:snapToGrid w:val="0"/>
                  <w:jc w:val="center"/>
                </w:pPr>
                <w:r>
                  <w:rPr>
                    <w:rFonts w:hint="eastAsia"/>
                  </w:rPr>
                  <w:t>主要会计数据</w:t>
                </w:r>
              </w:p>
            </w:tc>
          </w:sdtContent>
        </w:sdt>
        <w:tc>
          <w:tcPr>
            <w:tcW w:w="1002" w:type="pct"/>
            <w:vAlign w:val="center"/>
          </w:tcPr>
          <w:sdt>
            <w:sdtPr>
              <w:tag w:val="_PLD_052ae06c5dce43418ff7b27b25d5a156"/>
              <w:id w:val="-1966039304"/>
            </w:sdtPr>
            <w:sdtEndPr/>
            <w:sdtContent>
              <w:p w:rsidR="00156DD6" w:rsidRDefault="00D51F5F">
                <w:pPr>
                  <w:widowControl w:val="0"/>
                  <w:kinsoku w:val="0"/>
                  <w:overflowPunct w:val="0"/>
                  <w:autoSpaceDE w:val="0"/>
                  <w:autoSpaceDN w:val="0"/>
                  <w:adjustRightInd w:val="0"/>
                  <w:snapToGrid w:val="0"/>
                  <w:jc w:val="center"/>
                  <w:rPr>
                    <w:color w:val="000000"/>
                  </w:rPr>
                </w:pPr>
                <w:r>
                  <w:rPr>
                    <w:rFonts w:hint="eastAsia"/>
                    <w:color w:val="000000"/>
                  </w:rPr>
                  <w:t>本</w:t>
                </w:r>
                <w:r>
                  <w:rPr>
                    <w:color w:val="000000"/>
                  </w:rPr>
                  <w:t>报告期</w:t>
                </w:r>
              </w:p>
              <w:p w:rsidR="00156DD6" w:rsidRDefault="00D51F5F">
                <w:pPr>
                  <w:kinsoku w:val="0"/>
                  <w:overflowPunct w:val="0"/>
                  <w:autoSpaceDE w:val="0"/>
                  <w:autoSpaceDN w:val="0"/>
                  <w:adjustRightInd w:val="0"/>
                  <w:snapToGrid w:val="0"/>
                  <w:jc w:val="center"/>
                </w:pPr>
                <w:r>
                  <w:rPr>
                    <w:color w:val="000000"/>
                  </w:rPr>
                  <w:t>（</w:t>
                </w:r>
                <w:r>
                  <w:rPr>
                    <w:color w:val="000000"/>
                  </w:rPr>
                  <w:t>1</w:t>
                </w:r>
                <w:r>
                  <w:rPr>
                    <w:color w:val="000000"/>
                  </w:rPr>
                  <w:t>－</w:t>
                </w:r>
                <w:r>
                  <w:rPr>
                    <w:color w:val="000000"/>
                  </w:rPr>
                  <w:t>6</w:t>
                </w:r>
                <w:r>
                  <w:rPr>
                    <w:color w:val="000000"/>
                  </w:rPr>
                  <w:t>月）</w:t>
                </w:r>
              </w:p>
            </w:sdtContent>
          </w:sdt>
        </w:tc>
        <w:sdt>
          <w:sdtPr>
            <w:tag w:val="_PLD_df123e994cb949a48536fe85ade59468"/>
            <w:id w:val="-198472465"/>
          </w:sdtPr>
          <w:sdtEndPr/>
          <w:sdtContent>
            <w:tc>
              <w:tcPr>
                <w:tcW w:w="996" w:type="pct"/>
                <w:vAlign w:val="center"/>
              </w:tcPr>
              <w:p w:rsidR="00156DD6" w:rsidRDefault="00D51F5F">
                <w:pPr>
                  <w:kinsoku w:val="0"/>
                  <w:overflowPunct w:val="0"/>
                  <w:autoSpaceDE w:val="0"/>
                  <w:autoSpaceDN w:val="0"/>
                  <w:adjustRightInd w:val="0"/>
                  <w:snapToGrid w:val="0"/>
                  <w:jc w:val="center"/>
                </w:pPr>
                <w:r>
                  <w:rPr>
                    <w:rFonts w:hint="eastAsia"/>
                  </w:rPr>
                  <w:t>上年同期</w:t>
                </w:r>
              </w:p>
            </w:tc>
          </w:sdtContent>
        </w:sdt>
        <w:sdt>
          <w:sdtPr>
            <w:tag w:val="_PLD_1e6626025f674f97aaec0ffc38720294"/>
            <w:id w:val="-131950945"/>
          </w:sdtPr>
          <w:sdtEndPr/>
          <w:sdtContent>
            <w:tc>
              <w:tcPr>
                <w:tcW w:w="995" w:type="pct"/>
                <w:vAlign w:val="center"/>
              </w:tcPr>
              <w:p w:rsidR="00156DD6" w:rsidRDefault="00D51F5F">
                <w:pPr>
                  <w:kinsoku w:val="0"/>
                  <w:overflowPunct w:val="0"/>
                  <w:autoSpaceDE w:val="0"/>
                  <w:autoSpaceDN w:val="0"/>
                  <w:adjustRightInd w:val="0"/>
                  <w:snapToGrid w:val="0"/>
                  <w:jc w:val="center"/>
                </w:pPr>
                <w:r>
                  <w:rPr>
                    <w:rFonts w:hint="eastAsia"/>
                  </w:rPr>
                  <w:t>本期比上年同期增减</w:t>
                </w:r>
                <w:r>
                  <w:t>(%)</w:t>
                </w:r>
              </w:p>
            </w:tc>
          </w:sdtContent>
        </w:sdt>
      </w:tr>
      <w:tr w:rsidR="00156DD6">
        <w:trPr>
          <w:trHeight w:val="285"/>
        </w:trPr>
        <w:tc>
          <w:tcPr>
            <w:tcW w:w="2007" w:type="pct"/>
            <w:vAlign w:val="center"/>
          </w:tcPr>
          <w:p w:rsidR="00156DD6" w:rsidRDefault="00D51F5F">
            <w:pPr>
              <w:kinsoku w:val="0"/>
              <w:overflowPunct w:val="0"/>
              <w:autoSpaceDE w:val="0"/>
              <w:autoSpaceDN w:val="0"/>
              <w:adjustRightInd w:val="0"/>
              <w:snapToGrid w:val="0"/>
            </w:pPr>
            <w:r>
              <w:rPr>
                <w:rFonts w:hint="eastAsia"/>
              </w:rPr>
              <w:t>扣除股份支付影响后的净利润</w:t>
            </w:r>
          </w:p>
        </w:tc>
        <w:tc>
          <w:tcPr>
            <w:tcW w:w="1002" w:type="pct"/>
          </w:tcPr>
          <w:p w:rsidR="00156DD6" w:rsidRDefault="00D51F5F">
            <w:pPr>
              <w:kinsoku w:val="0"/>
              <w:overflowPunct w:val="0"/>
              <w:autoSpaceDE w:val="0"/>
              <w:autoSpaceDN w:val="0"/>
              <w:adjustRightInd w:val="0"/>
              <w:snapToGrid w:val="0"/>
              <w:jc w:val="right"/>
            </w:pPr>
            <w:r>
              <w:rPr>
                <w:rFonts w:hint="eastAsia"/>
              </w:rPr>
              <w:t>6,271.26</w:t>
            </w:r>
          </w:p>
        </w:tc>
        <w:tc>
          <w:tcPr>
            <w:tcW w:w="996" w:type="pct"/>
          </w:tcPr>
          <w:p w:rsidR="00156DD6" w:rsidRDefault="00D51F5F">
            <w:pPr>
              <w:kinsoku w:val="0"/>
              <w:overflowPunct w:val="0"/>
              <w:autoSpaceDE w:val="0"/>
              <w:autoSpaceDN w:val="0"/>
              <w:adjustRightInd w:val="0"/>
              <w:snapToGrid w:val="0"/>
              <w:jc w:val="right"/>
            </w:pPr>
            <w:r>
              <w:rPr>
                <w:rFonts w:hint="eastAsia"/>
              </w:rPr>
              <w:t>4,013.49</w:t>
            </w:r>
          </w:p>
        </w:tc>
        <w:tc>
          <w:tcPr>
            <w:tcW w:w="995" w:type="pct"/>
          </w:tcPr>
          <w:p w:rsidR="00156DD6" w:rsidRDefault="00D51F5F">
            <w:pPr>
              <w:kinsoku w:val="0"/>
              <w:overflowPunct w:val="0"/>
              <w:autoSpaceDE w:val="0"/>
              <w:autoSpaceDN w:val="0"/>
              <w:adjustRightInd w:val="0"/>
              <w:snapToGrid w:val="0"/>
              <w:jc w:val="right"/>
            </w:pPr>
            <w:r>
              <w:rPr>
                <w:rFonts w:hint="eastAsia"/>
              </w:rPr>
              <w:t xml:space="preserve"> 56.25 </w:t>
            </w:r>
          </w:p>
        </w:tc>
      </w:tr>
    </w:tbl>
    <w:bookmarkEnd w:id="33"/>
    <w:bookmarkEnd w:id="35"/>
    <w:p w:rsidR="00156DD6" w:rsidRDefault="00D51F5F">
      <w:pPr>
        <w:pStyle w:val="2"/>
        <w:numPr>
          <w:ilvl w:val="0"/>
          <w:numId w:val="3"/>
        </w:numPr>
        <w:ind w:left="0" w:firstLine="0"/>
        <w:rPr>
          <w:color w:val="000000" w:themeColor="text1"/>
        </w:rPr>
      </w:pPr>
      <w:r>
        <w:rPr>
          <w:rFonts w:hint="eastAsia"/>
          <w:color w:val="000000" w:themeColor="text1"/>
        </w:rPr>
        <w:t>其他</w:t>
      </w:r>
    </w:p>
    <w:sdt>
      <w:sdtPr>
        <w:rPr>
          <w:color w:val="000000" w:themeColor="text1"/>
        </w:rPr>
        <w:alias w:val="是否适用：公司简介和主要财务指标其他说明[双击切换]"/>
        <w:tag w:val="_GBC_5b4104dc5c2c4501bc2420c70be30c2a"/>
        <w:id w:val="-161011752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156DD6">
      <w:pPr>
        <w:kinsoku w:val="0"/>
        <w:overflowPunct w:val="0"/>
        <w:autoSpaceDE w:val="0"/>
        <w:autoSpaceDN w:val="0"/>
        <w:adjustRightInd w:val="0"/>
        <w:snapToGrid w:val="0"/>
        <w:rPr>
          <w:color w:val="000000" w:themeColor="text1"/>
        </w:rPr>
      </w:pPr>
    </w:p>
    <w:p w:rsidR="00156DD6" w:rsidRDefault="00D51F5F">
      <w:pPr>
        <w:pStyle w:val="1"/>
        <w:numPr>
          <w:ilvl w:val="0"/>
          <w:numId w:val="2"/>
        </w:numPr>
        <w:rPr>
          <w:rFonts w:ascii="黑体" w:hAnsi="黑体"/>
          <w:color w:val="000000" w:themeColor="text1"/>
        </w:rPr>
      </w:pPr>
      <w:bookmarkStart w:id="36" w:name="_Toc76114274"/>
      <w:bookmarkStart w:id="37" w:name="_Toc200030541"/>
      <w:r>
        <w:rPr>
          <w:rFonts w:ascii="黑体" w:hAnsi="黑体" w:hint="eastAsia"/>
          <w:color w:val="000000" w:themeColor="text1"/>
        </w:rPr>
        <w:t>管理层讨论与分析</w:t>
      </w:r>
    </w:p>
    <w:bookmarkEnd w:id="36"/>
    <w:bookmarkEnd w:id="37"/>
    <w:p w:rsidR="00156DD6" w:rsidRDefault="00D51F5F">
      <w:pPr>
        <w:pStyle w:val="2"/>
        <w:numPr>
          <w:ilvl w:val="0"/>
          <w:numId w:val="5"/>
        </w:numPr>
        <w:tabs>
          <w:tab w:val="left" w:pos="426"/>
        </w:tabs>
        <w:ind w:left="0" w:firstLine="0"/>
        <w:jc w:val="left"/>
        <w:rPr>
          <w:rFonts w:ascii="宋体" w:hAnsi="宋体"/>
          <w:color w:val="000000" w:themeColor="text1"/>
        </w:rPr>
      </w:pPr>
      <w:r>
        <w:rPr>
          <w:rFonts w:ascii="宋体" w:hAnsi="宋体" w:hint="eastAsia"/>
          <w:color w:val="000000" w:themeColor="text1"/>
        </w:rPr>
        <w:t>报告期内公司所属行业及主营业务情况说明</w:t>
      </w:r>
    </w:p>
    <w:sdt>
      <w:sdtPr>
        <w:rPr>
          <w:rFonts w:ascii="Times New Roman" w:hAnsi="Times New Roman" w:cs="Times New Roman" w:hint="eastAsia"/>
          <w:bCs/>
          <w:color w:val="000000" w:themeColor="text1"/>
          <w:kern w:val="2"/>
        </w:rPr>
        <w:alias w:val="报告期内公司所从事的主要业务、经营模式及行业情况说明"/>
        <w:tag w:val="_GBC_5c28d6f46eea48f892bed0c5fc99ab60"/>
        <w:id w:val="1369172839"/>
        <w:placeholder>
          <w:docPart w:val="GBC22222222222222222222222222222"/>
        </w:placeholder>
      </w:sdtPr>
      <w:sdtEndPr>
        <w:rPr>
          <w:rFonts w:ascii="宋体" w:hAnsi="宋体" w:cs="宋体"/>
          <w:kern w:val="0"/>
        </w:rPr>
      </w:sdtEndPr>
      <w:sdtContent>
        <w:p w:rsidR="00156DD6" w:rsidRDefault="00D51F5F">
          <w:pPr>
            <w:pStyle w:val="afb"/>
            <w:snapToGrid w:val="0"/>
            <w:spacing w:beforeLines="0" w:after="0" w:afterAutospacing="0" w:line="360" w:lineRule="exact"/>
            <w:ind w:firstLineChars="0" w:firstLine="0"/>
            <w:outlineLvl w:val="2"/>
            <w:rPr>
              <w:b/>
            </w:rPr>
          </w:pPr>
          <w:r>
            <w:rPr>
              <w:rFonts w:hint="eastAsia"/>
              <w:b/>
            </w:rPr>
            <w:t>（一）公司主营所属行业情况</w:t>
          </w:r>
        </w:p>
        <w:p w:rsidR="00156DD6" w:rsidRDefault="00D51F5F">
          <w:pPr>
            <w:snapToGrid w:val="0"/>
            <w:spacing w:line="360" w:lineRule="exact"/>
            <w:ind w:firstLine="480"/>
            <w:rPr>
              <w:rFonts w:ascii="Calibri" w:hAnsi="Calibri"/>
              <w:bCs w:val="0"/>
            </w:rPr>
          </w:pPr>
          <w:r>
            <w:rPr>
              <w:rFonts w:hint="eastAsia"/>
              <w:bCs w:val="0"/>
            </w:rPr>
            <w:t>公司主营业务为研发、生产和销售输配电及控制设备和取向硅钢，分属两个行业，其中输配电及控制设备业务属于电气机械和器材制造业的输配电及控制设备制造子行业；取向硅钢业务属于黑色金属冶炼和压延加工业的钢压延加工子行业。</w:t>
          </w:r>
        </w:p>
        <w:p w:rsidR="00156DD6" w:rsidRDefault="00D51F5F">
          <w:pPr>
            <w:spacing w:line="360" w:lineRule="exact"/>
            <w:ind w:firstLineChars="200" w:firstLine="422"/>
            <w:outlineLvl w:val="3"/>
            <w:rPr>
              <w:rFonts w:ascii="Calibri" w:hAnsi="Calibri"/>
              <w:b/>
              <w:bCs w:val="0"/>
            </w:rPr>
          </w:pPr>
          <w:r>
            <w:rPr>
              <w:rFonts w:hint="eastAsia"/>
              <w:b/>
              <w:bCs w:val="0"/>
            </w:rPr>
            <w:t>1</w:t>
          </w:r>
          <w:r>
            <w:rPr>
              <w:rFonts w:hint="eastAsia"/>
              <w:b/>
              <w:bCs w:val="0"/>
            </w:rPr>
            <w:t>、输配电及控制设备行业情况</w:t>
          </w:r>
        </w:p>
        <w:p w:rsidR="00156DD6" w:rsidRDefault="00D51F5F">
          <w:pPr>
            <w:spacing w:line="360" w:lineRule="exact"/>
            <w:ind w:firstLineChars="200" w:firstLine="422"/>
            <w:outlineLvl w:val="4"/>
            <w:rPr>
              <w:b/>
              <w:bCs w:val="0"/>
            </w:rPr>
          </w:pPr>
          <w:r>
            <w:rPr>
              <w:rFonts w:hint="eastAsia"/>
              <w:b/>
              <w:bCs w:val="0"/>
            </w:rPr>
            <w:t>（</w:t>
          </w:r>
          <w:r>
            <w:rPr>
              <w:rFonts w:hint="eastAsia"/>
              <w:b/>
              <w:bCs w:val="0"/>
            </w:rPr>
            <w:t>1</w:t>
          </w:r>
          <w:r>
            <w:rPr>
              <w:rFonts w:hint="eastAsia"/>
              <w:b/>
              <w:bCs w:val="0"/>
            </w:rPr>
            <w:t>）行业基本情况和特点</w:t>
          </w:r>
        </w:p>
        <w:p w:rsidR="00156DD6" w:rsidRDefault="00D51F5F">
          <w:pPr>
            <w:spacing w:line="360" w:lineRule="exact"/>
            <w:ind w:firstLineChars="200" w:firstLine="420"/>
            <w:rPr>
              <w:bCs w:val="0"/>
            </w:rPr>
          </w:pPr>
          <w:r>
            <w:rPr>
              <w:rFonts w:hint="eastAsia"/>
              <w:bCs w:val="0"/>
            </w:rPr>
            <w:t>公司输配电及其控制设备是我国经济发展的战略性、基础性产业之一。主要产品广泛应用于输配电网、新能源（含风能、光伏、储能等）、高端装备、新型基建、高效节能等领域。</w:t>
          </w:r>
        </w:p>
        <w:p w:rsidR="00156DD6" w:rsidRDefault="00D51F5F">
          <w:pPr>
            <w:spacing w:line="360" w:lineRule="exact"/>
            <w:ind w:firstLineChars="200" w:firstLine="420"/>
            <w:rPr>
              <w:bCs w:val="0"/>
            </w:rPr>
          </w:pPr>
          <w:r>
            <w:rPr>
              <w:rFonts w:hint="eastAsia"/>
              <w:bCs w:val="0"/>
            </w:rPr>
            <w:t>能源结构转型与新能源技术突破正推动电力设备市场进入高速增长周期。在光伏、风电等可</w:t>
          </w:r>
          <w:r>
            <w:rPr>
              <w:rFonts w:hint="eastAsia"/>
              <w:bCs w:val="0"/>
            </w:rPr>
            <w:t xml:space="preserve"> </w:t>
          </w:r>
          <w:r>
            <w:rPr>
              <w:rFonts w:hint="eastAsia"/>
              <w:bCs w:val="0"/>
            </w:rPr>
            <w:t>再生能源装机量持续攀升的驱动下，全球能源体系加速向低碳化演进。制造业智能化转型推动产</w:t>
          </w:r>
          <w:r>
            <w:rPr>
              <w:rFonts w:hint="eastAsia"/>
              <w:bCs w:val="0"/>
            </w:rPr>
            <w:t xml:space="preserve"> </w:t>
          </w:r>
          <w:r>
            <w:rPr>
              <w:rFonts w:hint="eastAsia"/>
              <w:bCs w:val="0"/>
            </w:rPr>
            <w:t>线电气化率显著提升，工业互联网对供电质量提出更高要求。与此同时，人工智能、云计算等数字技术基础设施的快速发展，催生高密度算力设备的规模化部署，形成支撑用电需求增长的新动</w:t>
          </w:r>
          <w:r>
            <w:rPr>
              <w:rFonts w:hint="eastAsia"/>
              <w:bCs w:val="0"/>
            </w:rPr>
            <w:t xml:space="preserve"> </w:t>
          </w:r>
          <w:r>
            <w:rPr>
              <w:rFonts w:hint="eastAsia"/>
              <w:bCs w:val="0"/>
            </w:rPr>
            <w:t>能。另外，全球</w:t>
          </w:r>
          <w:r>
            <w:rPr>
              <w:rFonts w:hint="eastAsia"/>
              <w:bCs w:val="0"/>
            </w:rPr>
            <w:t>电网正面临新能源渗透率持续攀升、并网特性与负荷结构深刻变化、源荷时空分布失衡加剧，以及区域性基础设施老化加剧等多重挑战，这些压力驱动电网系统加速向智能柔性</w:t>
          </w:r>
          <w:r>
            <w:rPr>
              <w:rFonts w:hint="eastAsia"/>
              <w:bCs w:val="0"/>
            </w:rPr>
            <w:t xml:space="preserve"> </w:t>
          </w:r>
          <w:r>
            <w:rPr>
              <w:rFonts w:hint="eastAsia"/>
              <w:bCs w:val="0"/>
            </w:rPr>
            <w:t>化升级、多能协同优化、跨国电力互联等方向演进，也进而催生电力设备全产业链的增量市场空间。</w:t>
          </w:r>
        </w:p>
        <w:p w:rsidR="00156DD6" w:rsidRDefault="00D51F5F">
          <w:pPr>
            <w:spacing w:line="360" w:lineRule="exact"/>
            <w:ind w:firstLineChars="200" w:firstLine="420"/>
            <w:rPr>
              <w:bCs w:val="0"/>
            </w:rPr>
          </w:pPr>
          <w:r>
            <w:rPr>
              <w:rFonts w:hint="eastAsia"/>
              <w:bCs w:val="0"/>
            </w:rPr>
            <w:t>发电端的装机增量进一步促进了电力设备的需求上升。根据国家能源局数据，</w:t>
          </w:r>
          <w:r>
            <w:rPr>
              <w:rFonts w:hint="eastAsia"/>
              <w:bCs w:val="0"/>
            </w:rPr>
            <w:t>2024</w:t>
          </w:r>
          <w:r>
            <w:rPr>
              <w:rFonts w:hint="eastAsia"/>
              <w:bCs w:val="0"/>
            </w:rPr>
            <w:t>年全国累计发电装机容量约</w:t>
          </w:r>
          <w:r>
            <w:rPr>
              <w:rFonts w:hint="eastAsia"/>
              <w:bCs w:val="0"/>
            </w:rPr>
            <w:t>33.5</w:t>
          </w:r>
          <w:r>
            <w:rPr>
              <w:rFonts w:hint="eastAsia"/>
              <w:bCs w:val="0"/>
            </w:rPr>
            <w:t>亿千瓦，同比增长</w:t>
          </w:r>
          <w:r>
            <w:rPr>
              <w:rFonts w:hint="eastAsia"/>
              <w:bCs w:val="0"/>
            </w:rPr>
            <w:t>14.6%</w:t>
          </w:r>
          <w:r>
            <w:rPr>
              <w:rFonts w:hint="eastAsia"/>
              <w:bCs w:val="0"/>
            </w:rPr>
            <w:t>。其中，太阳能发电装机容量约</w:t>
          </w:r>
          <w:r>
            <w:rPr>
              <w:rFonts w:hint="eastAsia"/>
              <w:bCs w:val="0"/>
            </w:rPr>
            <w:t>8.9</w:t>
          </w:r>
          <w:r>
            <w:rPr>
              <w:rFonts w:hint="eastAsia"/>
              <w:bCs w:val="0"/>
            </w:rPr>
            <w:t>亿千瓦，同比增长</w:t>
          </w:r>
          <w:r>
            <w:rPr>
              <w:rFonts w:hint="eastAsia"/>
              <w:bCs w:val="0"/>
            </w:rPr>
            <w:t>45.2%</w:t>
          </w:r>
          <w:r>
            <w:rPr>
              <w:rFonts w:hint="eastAsia"/>
              <w:bCs w:val="0"/>
            </w:rPr>
            <w:t>；风电装机容量约</w:t>
          </w:r>
          <w:r>
            <w:rPr>
              <w:rFonts w:hint="eastAsia"/>
              <w:bCs w:val="0"/>
            </w:rPr>
            <w:t>5.2</w:t>
          </w:r>
          <w:r>
            <w:rPr>
              <w:rFonts w:hint="eastAsia"/>
              <w:bCs w:val="0"/>
            </w:rPr>
            <w:t>亿千瓦，同比增长</w:t>
          </w:r>
          <w:r>
            <w:rPr>
              <w:rFonts w:hint="eastAsia"/>
              <w:bCs w:val="0"/>
            </w:rPr>
            <w:t>18.0%</w:t>
          </w:r>
          <w:r>
            <w:rPr>
              <w:rFonts w:hint="eastAsia"/>
              <w:bCs w:val="0"/>
            </w:rPr>
            <w:t>；</w:t>
          </w:r>
          <w:r>
            <w:rPr>
              <w:rFonts w:hint="eastAsia"/>
              <w:bCs w:val="0"/>
            </w:rPr>
            <w:t>2025</w:t>
          </w:r>
          <w:r>
            <w:rPr>
              <w:rFonts w:hint="eastAsia"/>
              <w:bCs w:val="0"/>
            </w:rPr>
            <w:t>年</w:t>
          </w:r>
          <w:r>
            <w:rPr>
              <w:rFonts w:hint="eastAsia"/>
              <w:bCs w:val="0"/>
            </w:rPr>
            <w:t>1-6</w:t>
          </w:r>
          <w:r>
            <w:rPr>
              <w:rFonts w:hint="eastAsia"/>
              <w:bCs w:val="0"/>
            </w:rPr>
            <w:t>月，全</w:t>
          </w:r>
          <w:r>
            <w:rPr>
              <w:rFonts w:hint="eastAsia"/>
              <w:bCs w:val="0"/>
            </w:rPr>
            <w:t>国累计发电装机容量</w:t>
          </w:r>
          <w:r>
            <w:rPr>
              <w:rFonts w:hint="eastAsia"/>
              <w:bCs w:val="0"/>
            </w:rPr>
            <w:t>36.5</w:t>
          </w:r>
          <w:r>
            <w:rPr>
              <w:rFonts w:hint="eastAsia"/>
              <w:bCs w:val="0"/>
            </w:rPr>
            <w:t>亿千瓦，同比增长</w:t>
          </w:r>
          <w:r>
            <w:rPr>
              <w:rFonts w:hint="eastAsia"/>
              <w:bCs w:val="0"/>
            </w:rPr>
            <w:t>18.7%</w:t>
          </w:r>
          <w:r>
            <w:rPr>
              <w:rFonts w:hint="eastAsia"/>
              <w:bCs w:val="0"/>
            </w:rPr>
            <w:t>。其中，太阳能发电装机容量</w:t>
          </w:r>
          <w:r>
            <w:rPr>
              <w:rFonts w:hint="eastAsia"/>
              <w:bCs w:val="0"/>
            </w:rPr>
            <w:t>11.0</w:t>
          </w:r>
          <w:r>
            <w:rPr>
              <w:rFonts w:hint="eastAsia"/>
              <w:bCs w:val="0"/>
            </w:rPr>
            <w:t>亿千瓦，同比增长</w:t>
          </w:r>
          <w:r>
            <w:rPr>
              <w:rFonts w:hint="eastAsia"/>
              <w:bCs w:val="0"/>
            </w:rPr>
            <w:t>54.2%</w:t>
          </w:r>
          <w:r>
            <w:rPr>
              <w:rFonts w:hint="eastAsia"/>
              <w:bCs w:val="0"/>
            </w:rPr>
            <w:t>；风电装机容量</w:t>
          </w:r>
          <w:r>
            <w:rPr>
              <w:rFonts w:hint="eastAsia"/>
              <w:bCs w:val="0"/>
            </w:rPr>
            <w:t>5.7</w:t>
          </w:r>
          <w:r>
            <w:rPr>
              <w:rFonts w:hint="eastAsia"/>
              <w:bCs w:val="0"/>
            </w:rPr>
            <w:t>亿千瓦，同比增长</w:t>
          </w:r>
          <w:r>
            <w:rPr>
              <w:rFonts w:hint="eastAsia"/>
              <w:bCs w:val="0"/>
            </w:rPr>
            <w:t>22.7%</w:t>
          </w:r>
          <w:r>
            <w:rPr>
              <w:rFonts w:hint="eastAsia"/>
              <w:bCs w:val="0"/>
            </w:rPr>
            <w:t>。</w:t>
          </w:r>
          <w:r>
            <w:rPr>
              <w:rFonts w:hint="eastAsia"/>
              <w:bCs w:val="0"/>
            </w:rPr>
            <w:t>2024</w:t>
          </w:r>
          <w:r>
            <w:rPr>
              <w:rFonts w:hint="eastAsia"/>
              <w:bCs w:val="0"/>
            </w:rPr>
            <w:t>年全国主要发电企业电源工程完成投资</w:t>
          </w:r>
          <w:r>
            <w:rPr>
              <w:rFonts w:hint="eastAsia"/>
              <w:bCs w:val="0"/>
            </w:rPr>
            <w:t>11,687</w:t>
          </w:r>
          <w:r>
            <w:rPr>
              <w:rFonts w:hint="eastAsia"/>
              <w:bCs w:val="0"/>
            </w:rPr>
            <w:t>亿元，同比增长</w:t>
          </w:r>
          <w:r>
            <w:rPr>
              <w:rFonts w:hint="eastAsia"/>
              <w:bCs w:val="0"/>
            </w:rPr>
            <w:t>12.1%</w:t>
          </w:r>
          <w:r>
            <w:rPr>
              <w:rFonts w:hint="eastAsia"/>
              <w:bCs w:val="0"/>
            </w:rPr>
            <w:t>；电网工程完成投资</w:t>
          </w:r>
          <w:r>
            <w:rPr>
              <w:rFonts w:hint="eastAsia"/>
              <w:bCs w:val="0"/>
            </w:rPr>
            <w:t>6,083</w:t>
          </w:r>
          <w:r>
            <w:rPr>
              <w:rFonts w:hint="eastAsia"/>
              <w:bCs w:val="0"/>
            </w:rPr>
            <w:t>亿元，同比增长</w:t>
          </w:r>
          <w:r>
            <w:rPr>
              <w:rFonts w:hint="eastAsia"/>
              <w:bCs w:val="0"/>
            </w:rPr>
            <w:t>15.3%</w:t>
          </w:r>
          <w:r>
            <w:rPr>
              <w:rFonts w:hint="eastAsia"/>
              <w:bCs w:val="0"/>
            </w:rPr>
            <w:t>；</w:t>
          </w:r>
          <w:r>
            <w:rPr>
              <w:rFonts w:hint="eastAsia"/>
              <w:bCs w:val="0"/>
            </w:rPr>
            <w:t>2025</w:t>
          </w:r>
          <w:r>
            <w:rPr>
              <w:rFonts w:hint="eastAsia"/>
              <w:bCs w:val="0"/>
            </w:rPr>
            <w:t>年</w:t>
          </w:r>
          <w:r>
            <w:rPr>
              <w:rFonts w:hint="eastAsia"/>
              <w:bCs w:val="0"/>
            </w:rPr>
            <w:t>1-6</w:t>
          </w:r>
          <w:r>
            <w:rPr>
              <w:rFonts w:hint="eastAsia"/>
              <w:bCs w:val="0"/>
            </w:rPr>
            <w:t>月，电源工程投资完成</w:t>
          </w:r>
          <w:r>
            <w:rPr>
              <w:rFonts w:hint="eastAsia"/>
              <w:bCs w:val="0"/>
            </w:rPr>
            <w:t>3,635</w:t>
          </w:r>
          <w:r>
            <w:rPr>
              <w:rFonts w:hint="eastAsia"/>
              <w:bCs w:val="0"/>
            </w:rPr>
            <w:t>亿元，同比增长</w:t>
          </w:r>
          <w:r>
            <w:rPr>
              <w:rFonts w:hint="eastAsia"/>
              <w:bCs w:val="0"/>
            </w:rPr>
            <w:t>5.9%</w:t>
          </w:r>
          <w:r>
            <w:rPr>
              <w:rFonts w:hint="eastAsia"/>
              <w:bCs w:val="0"/>
            </w:rPr>
            <w:t>，电网工程投资完成</w:t>
          </w:r>
          <w:r>
            <w:rPr>
              <w:rFonts w:hint="eastAsia"/>
              <w:bCs w:val="0"/>
            </w:rPr>
            <w:t>2,911</w:t>
          </w:r>
          <w:r>
            <w:rPr>
              <w:rFonts w:hint="eastAsia"/>
              <w:bCs w:val="0"/>
            </w:rPr>
            <w:t>亿元，同比增长</w:t>
          </w:r>
          <w:r>
            <w:rPr>
              <w:bCs w:val="0"/>
            </w:rPr>
            <w:t>14.6</w:t>
          </w:r>
          <w:r>
            <w:rPr>
              <w:rFonts w:hint="eastAsia"/>
              <w:bCs w:val="0"/>
            </w:rPr>
            <w:t>%</w:t>
          </w:r>
          <w:r>
            <w:rPr>
              <w:rFonts w:hint="eastAsia"/>
              <w:bCs w:val="0"/>
            </w:rPr>
            <w:t>。</w:t>
          </w:r>
        </w:p>
        <w:p w:rsidR="00156DD6" w:rsidRDefault="00D51F5F">
          <w:pPr>
            <w:spacing w:line="360" w:lineRule="exact"/>
            <w:ind w:firstLineChars="200" w:firstLine="420"/>
            <w:rPr>
              <w:bCs w:val="0"/>
            </w:rPr>
          </w:pPr>
          <w:r>
            <w:rPr>
              <w:rFonts w:hint="eastAsia"/>
              <w:bCs w:val="0"/>
            </w:rPr>
            <w:t>用电端的需求持续增长同时带动电力设备的市场需求增长。根据中电联发布的《</w:t>
          </w:r>
          <w:r>
            <w:rPr>
              <w:rFonts w:hint="eastAsia"/>
              <w:bCs w:val="0"/>
            </w:rPr>
            <w:t>2024-2025</w:t>
          </w:r>
          <w:r>
            <w:rPr>
              <w:rFonts w:hint="eastAsia"/>
              <w:bCs w:val="0"/>
            </w:rPr>
            <w:t>年度全国</w:t>
          </w:r>
          <w:r>
            <w:rPr>
              <w:rFonts w:hint="eastAsia"/>
              <w:bCs w:val="0"/>
            </w:rPr>
            <w:t>电力供需形势分析预测报告》指出，</w:t>
          </w:r>
          <w:r>
            <w:rPr>
              <w:rFonts w:hint="eastAsia"/>
              <w:bCs w:val="0"/>
            </w:rPr>
            <w:t>2024</w:t>
          </w:r>
          <w:r>
            <w:rPr>
              <w:rFonts w:hint="eastAsia"/>
              <w:bCs w:val="0"/>
            </w:rPr>
            <w:t>年全国全口径非化石能源发电量同比增</w:t>
          </w:r>
          <w:r>
            <w:rPr>
              <w:rFonts w:hint="eastAsia"/>
              <w:bCs w:val="0"/>
            </w:rPr>
            <w:t>15.4%</w:t>
          </w:r>
          <w:r>
            <w:rPr>
              <w:rFonts w:hint="eastAsia"/>
              <w:bCs w:val="0"/>
            </w:rPr>
            <w:t>，全口径非化石能源发电量同比增量占总发电量增量的比重超过八成，达到</w:t>
          </w:r>
          <w:r>
            <w:rPr>
              <w:rFonts w:hint="eastAsia"/>
              <w:bCs w:val="0"/>
            </w:rPr>
            <w:t>84.2%</w:t>
          </w:r>
          <w:r>
            <w:rPr>
              <w:rFonts w:hint="eastAsia"/>
              <w:bCs w:val="0"/>
            </w:rPr>
            <w:t>，电力行业绿色低碳转型成效显著。报告预测，</w:t>
          </w:r>
          <w:r>
            <w:rPr>
              <w:rFonts w:hint="eastAsia"/>
              <w:bCs w:val="0"/>
            </w:rPr>
            <w:t>2025</w:t>
          </w:r>
          <w:r>
            <w:rPr>
              <w:rFonts w:hint="eastAsia"/>
              <w:bCs w:val="0"/>
            </w:rPr>
            <w:t>年我国宏观经济将继续保持平稳增长，综合多种因素考虑，预计</w:t>
          </w:r>
          <w:r>
            <w:rPr>
              <w:rFonts w:hint="eastAsia"/>
              <w:bCs w:val="0"/>
            </w:rPr>
            <w:t>2025</w:t>
          </w:r>
          <w:r>
            <w:rPr>
              <w:rFonts w:hint="eastAsia"/>
              <w:bCs w:val="0"/>
            </w:rPr>
            <w:t>年全国全社会用电量</w:t>
          </w:r>
          <w:r>
            <w:rPr>
              <w:rFonts w:hint="eastAsia"/>
              <w:bCs w:val="0"/>
            </w:rPr>
            <w:t>10.4</w:t>
          </w:r>
          <w:r>
            <w:rPr>
              <w:rFonts w:hint="eastAsia"/>
              <w:bCs w:val="0"/>
            </w:rPr>
            <w:t>万亿千瓦时，同比增长</w:t>
          </w:r>
          <w:r>
            <w:rPr>
              <w:rFonts w:hint="eastAsia"/>
              <w:bCs w:val="0"/>
            </w:rPr>
            <w:t>6%</w:t>
          </w:r>
          <w:r>
            <w:rPr>
              <w:rFonts w:hint="eastAsia"/>
              <w:bCs w:val="0"/>
            </w:rPr>
            <w:t>左右；预计全国统调最高用电负荷</w:t>
          </w:r>
          <w:r>
            <w:rPr>
              <w:rFonts w:hint="eastAsia"/>
              <w:bCs w:val="0"/>
            </w:rPr>
            <w:t>15.5</w:t>
          </w:r>
          <w:r>
            <w:rPr>
              <w:rFonts w:hint="eastAsia"/>
              <w:bCs w:val="0"/>
            </w:rPr>
            <w:t>亿千瓦左右。电力供应方面，预计</w:t>
          </w:r>
          <w:r>
            <w:rPr>
              <w:rFonts w:hint="eastAsia"/>
              <w:bCs w:val="0"/>
            </w:rPr>
            <w:t>2025</w:t>
          </w:r>
          <w:r>
            <w:rPr>
              <w:rFonts w:hint="eastAsia"/>
              <w:bCs w:val="0"/>
            </w:rPr>
            <w:t>年全国新增发电装机规模有望超过</w:t>
          </w:r>
          <w:r>
            <w:rPr>
              <w:rFonts w:hint="eastAsia"/>
              <w:bCs w:val="0"/>
            </w:rPr>
            <w:lastRenderedPageBreak/>
            <w:t>4.5</w:t>
          </w:r>
          <w:r>
            <w:rPr>
              <w:rFonts w:hint="eastAsia"/>
              <w:bCs w:val="0"/>
            </w:rPr>
            <w:t>亿千瓦，其中新增新能源发电装机规模超过</w:t>
          </w:r>
          <w:r>
            <w:rPr>
              <w:rFonts w:hint="eastAsia"/>
              <w:bCs w:val="0"/>
            </w:rPr>
            <w:t>3</w:t>
          </w:r>
          <w:r>
            <w:rPr>
              <w:rFonts w:hint="eastAsia"/>
              <w:bCs w:val="0"/>
            </w:rPr>
            <w:t>亿千瓦。至</w:t>
          </w:r>
          <w:r>
            <w:rPr>
              <w:rFonts w:hint="eastAsia"/>
              <w:bCs w:val="0"/>
            </w:rPr>
            <w:t>2025</w:t>
          </w:r>
          <w:r>
            <w:rPr>
              <w:rFonts w:hint="eastAsia"/>
              <w:bCs w:val="0"/>
            </w:rPr>
            <w:t>年底全国发电装机容</w:t>
          </w:r>
          <w:r>
            <w:rPr>
              <w:rFonts w:hint="eastAsia"/>
              <w:bCs w:val="0"/>
            </w:rPr>
            <w:t>量有望超过</w:t>
          </w:r>
          <w:r>
            <w:rPr>
              <w:rFonts w:hint="eastAsia"/>
              <w:bCs w:val="0"/>
            </w:rPr>
            <w:t>38</w:t>
          </w:r>
          <w:r>
            <w:rPr>
              <w:rFonts w:hint="eastAsia"/>
              <w:bCs w:val="0"/>
            </w:rPr>
            <w:t>亿千瓦，同比增长</w:t>
          </w:r>
          <w:r>
            <w:rPr>
              <w:rFonts w:hint="eastAsia"/>
              <w:bCs w:val="0"/>
            </w:rPr>
            <w:t>14%</w:t>
          </w:r>
          <w:r>
            <w:rPr>
              <w:rFonts w:hint="eastAsia"/>
              <w:bCs w:val="0"/>
            </w:rPr>
            <w:t>左右。</w:t>
          </w:r>
        </w:p>
        <w:p w:rsidR="00156DD6" w:rsidRDefault="00D51F5F">
          <w:pPr>
            <w:spacing w:line="360" w:lineRule="exact"/>
            <w:ind w:firstLineChars="200" w:firstLine="422"/>
            <w:outlineLvl w:val="4"/>
            <w:rPr>
              <w:b/>
              <w:bCs w:val="0"/>
            </w:rPr>
          </w:pPr>
          <w:r>
            <w:rPr>
              <w:rFonts w:hint="eastAsia"/>
              <w:b/>
              <w:bCs w:val="0"/>
            </w:rPr>
            <w:t>（</w:t>
          </w:r>
          <w:r>
            <w:rPr>
              <w:rFonts w:hint="eastAsia"/>
              <w:b/>
              <w:bCs w:val="0"/>
            </w:rPr>
            <w:t>2</w:t>
          </w:r>
          <w:r>
            <w:rPr>
              <w:rFonts w:hint="eastAsia"/>
              <w:b/>
              <w:bCs w:val="0"/>
            </w:rPr>
            <w:t>）主要技术门槛</w:t>
          </w:r>
        </w:p>
        <w:p w:rsidR="00156DD6" w:rsidRDefault="00D51F5F">
          <w:pPr>
            <w:spacing w:line="360" w:lineRule="exact"/>
            <w:ind w:firstLineChars="200" w:firstLine="420"/>
            <w:rPr>
              <w:bCs w:val="0"/>
            </w:rPr>
          </w:pPr>
          <w:r>
            <w:rPr>
              <w:rFonts w:hint="eastAsia"/>
              <w:bCs w:val="0"/>
            </w:rPr>
            <w:t>输配电及控制设备行业是电气自动化、微机继电保护技术、计算机网络与控制技术、通信技术、电磁兼容技术、软件开发技术、测量与控制、机械制造、高压绝缘、微电子技术、传感技术和数字处理技术等多种学科交叉的行业，企业需要有多年研发经验和运行经验的积累，以及深厚的技术储备。近年来，随着产品逐步向智能化、数字化、信息化、集成化、高效节能化的方向发展，智能电网技术标准体系的发布以及生产企业迈向数字化转型升级，都对行业内企业技术储备提出了更高的要求，需要企业大力投</w:t>
          </w:r>
          <w:r>
            <w:rPr>
              <w:rFonts w:hint="eastAsia"/>
              <w:bCs w:val="0"/>
            </w:rPr>
            <w:t>入研发，团队不断创新，致力于新技术与新产品的持续发展，</w:t>
          </w:r>
          <w:r>
            <w:rPr>
              <w:rFonts w:hint="eastAsia"/>
              <w:bCs w:val="0"/>
            </w:rPr>
            <w:t xml:space="preserve"> </w:t>
          </w:r>
          <w:r>
            <w:rPr>
              <w:rFonts w:hint="eastAsia"/>
              <w:bCs w:val="0"/>
            </w:rPr>
            <w:t>以满足下游应用的新需求。</w:t>
          </w:r>
        </w:p>
        <w:p w:rsidR="00156DD6" w:rsidRDefault="00D51F5F">
          <w:pPr>
            <w:spacing w:line="360" w:lineRule="exact"/>
            <w:ind w:firstLineChars="200" w:firstLine="420"/>
            <w:rPr>
              <w:bCs w:val="0"/>
            </w:rPr>
          </w:pPr>
          <w:r>
            <w:rPr>
              <w:rFonts w:hint="eastAsia"/>
              <w:bCs w:val="0"/>
            </w:rPr>
            <w:t>公司产品广泛服务于多个关键行业领域，涵盖新能源（风能、光伏、储能）、新基建（含数据中心）、工业企业电气配套、高端装备、传统发电及输配电等领域。通过深厚的技术积累与创新能力，公司致力于为上述领域提供高性能、高可靠性的电力变压器及其配套控制设备一体化解决方案，满足客户多样化的需求，助力行业高质量发展。</w:t>
          </w:r>
        </w:p>
        <w:p w:rsidR="00156DD6" w:rsidRDefault="00D51F5F">
          <w:pPr>
            <w:spacing w:line="360" w:lineRule="exact"/>
            <w:ind w:firstLineChars="200" w:firstLine="422"/>
            <w:outlineLvl w:val="4"/>
            <w:rPr>
              <w:rFonts w:ascii="Calibri" w:hAnsi="Calibri"/>
              <w:b/>
              <w:bCs w:val="0"/>
            </w:rPr>
          </w:pPr>
          <w:r>
            <w:rPr>
              <w:rFonts w:hint="eastAsia"/>
              <w:b/>
              <w:bCs w:val="0"/>
            </w:rPr>
            <w:t>（</w:t>
          </w:r>
          <w:r>
            <w:rPr>
              <w:rFonts w:hint="eastAsia"/>
              <w:b/>
              <w:bCs w:val="0"/>
            </w:rPr>
            <w:t>3</w:t>
          </w:r>
          <w:r>
            <w:rPr>
              <w:rFonts w:hint="eastAsia"/>
              <w:b/>
              <w:bCs w:val="0"/>
            </w:rPr>
            <w:t>）行业地位</w:t>
          </w:r>
        </w:p>
        <w:p w:rsidR="00156DD6" w:rsidRDefault="00D51F5F">
          <w:pPr>
            <w:spacing w:line="360" w:lineRule="exact"/>
            <w:ind w:firstLineChars="200" w:firstLine="420"/>
            <w:rPr>
              <w:bCs w:val="0"/>
            </w:rPr>
          </w:pPr>
          <w:r>
            <w:rPr>
              <w:rFonts w:hint="eastAsia"/>
              <w:bCs w:val="0"/>
            </w:rPr>
            <w:t>2024</w:t>
          </w:r>
          <w:r>
            <w:rPr>
              <w:rFonts w:hint="eastAsia"/>
              <w:bCs w:val="0"/>
            </w:rPr>
            <w:t>年，公司通过战略性并购云变电气，成功实现输配电及控制设备业务的全面升级，核心产品电压等级跃升至</w:t>
          </w:r>
          <w:r>
            <w:rPr>
              <w:rFonts w:hint="eastAsia"/>
              <w:bCs w:val="0"/>
            </w:rPr>
            <w:t>220kV</w:t>
          </w:r>
          <w:r>
            <w:rPr>
              <w:rFonts w:hint="eastAsia"/>
              <w:bCs w:val="0"/>
            </w:rPr>
            <w:t>，</w:t>
          </w:r>
          <w:r>
            <w:rPr>
              <w:rFonts w:hint="eastAsia"/>
              <w:bCs w:val="0"/>
            </w:rPr>
            <w:t>并具备</w:t>
          </w:r>
          <w:r>
            <w:rPr>
              <w:rFonts w:hint="eastAsia"/>
              <w:bCs w:val="0"/>
            </w:rPr>
            <w:t>500kV</w:t>
          </w:r>
          <w:r>
            <w:rPr>
              <w:rFonts w:hint="eastAsia"/>
              <w:bCs w:val="0"/>
            </w:rPr>
            <w:t>电力变压器的国际领先制造能力。作为中国铁路牵引变压器领域的龙头企业，云变电气凭借卓越的技术实力与全球化的服务网络，持续保持行业领先地位，并加速拓展海外市场。</w:t>
          </w:r>
        </w:p>
        <w:p w:rsidR="00156DD6" w:rsidRDefault="00D51F5F">
          <w:pPr>
            <w:spacing w:line="360" w:lineRule="exact"/>
            <w:ind w:firstLineChars="200" w:firstLine="420"/>
            <w:rPr>
              <w:bCs w:val="0"/>
            </w:rPr>
          </w:pPr>
          <w:r>
            <w:rPr>
              <w:rFonts w:hint="eastAsia"/>
              <w:bCs w:val="0"/>
            </w:rPr>
            <w:t>公司已构建“立足西南、辐射全国、布局全球”的战略发展格局，与包括</w:t>
          </w:r>
          <w:r>
            <w:rPr>
              <w:rFonts w:hint="eastAsia"/>
            </w:rPr>
            <w:t>国家电网、中国电建</w:t>
          </w:r>
          <w:r>
            <w:rPr>
              <w:rFonts w:hint="eastAsia"/>
              <w:bCs w:val="0"/>
            </w:rPr>
            <w:t>等在内的国内外核心客户建立了长期稳定的战略合作关系。同时，公司积极推动国际化进程，通过技术输出与产能合作，深度参与“一带一路”沿线国家的电力基础设施建设，进一步强化全球竞争力。</w:t>
          </w:r>
        </w:p>
        <w:p w:rsidR="00156DD6" w:rsidRDefault="00D51F5F">
          <w:pPr>
            <w:spacing w:line="360" w:lineRule="exact"/>
            <w:ind w:firstLineChars="200" w:firstLine="420"/>
            <w:rPr>
              <w:bCs w:val="0"/>
            </w:rPr>
          </w:pPr>
          <w:r>
            <w:rPr>
              <w:rFonts w:hint="eastAsia"/>
              <w:bCs w:val="0"/>
            </w:rPr>
            <w:t>在国家持续加大铁路与电力基础设施投资的背景下，公司作为中国西南地区领先的输配电</w:t>
          </w:r>
          <w:r>
            <w:rPr>
              <w:rFonts w:hint="eastAsia"/>
              <w:bCs w:val="0"/>
            </w:rPr>
            <w:t>设备制造商及全球铁路牵引变压器领域的核心供应商，将持续受益于国内外市场的双重增长机遇，巩固行业龙头地位，打造具有全球影响力的电力装备品牌。</w:t>
          </w:r>
        </w:p>
        <w:p w:rsidR="00156DD6" w:rsidRDefault="00D51F5F">
          <w:pPr>
            <w:spacing w:line="360" w:lineRule="exact"/>
            <w:ind w:firstLineChars="200" w:firstLine="422"/>
            <w:outlineLvl w:val="3"/>
            <w:rPr>
              <w:rFonts w:ascii="Calibri" w:hAnsi="Calibri"/>
              <w:b/>
              <w:bCs w:val="0"/>
            </w:rPr>
          </w:pPr>
          <w:r>
            <w:rPr>
              <w:rFonts w:hint="eastAsia"/>
              <w:b/>
              <w:bCs w:val="0"/>
            </w:rPr>
            <w:t>2</w:t>
          </w:r>
          <w:r>
            <w:rPr>
              <w:rFonts w:hint="eastAsia"/>
              <w:b/>
              <w:bCs w:val="0"/>
            </w:rPr>
            <w:t>、取向硅钢业务行业情况</w:t>
          </w:r>
        </w:p>
        <w:p w:rsidR="00156DD6" w:rsidRDefault="00D51F5F">
          <w:pPr>
            <w:spacing w:line="360" w:lineRule="exact"/>
            <w:ind w:firstLineChars="200" w:firstLine="422"/>
            <w:outlineLvl w:val="4"/>
            <w:rPr>
              <w:rFonts w:ascii="Calibri" w:hAnsi="Calibri"/>
              <w:b/>
              <w:bCs w:val="0"/>
            </w:rPr>
          </w:pPr>
          <w:r>
            <w:rPr>
              <w:rFonts w:hint="eastAsia"/>
              <w:b/>
              <w:bCs w:val="0"/>
            </w:rPr>
            <w:t>（</w:t>
          </w:r>
          <w:r>
            <w:rPr>
              <w:rFonts w:hint="eastAsia"/>
              <w:b/>
              <w:bCs w:val="0"/>
            </w:rPr>
            <w:t>1</w:t>
          </w:r>
          <w:r>
            <w:rPr>
              <w:rFonts w:hint="eastAsia"/>
              <w:b/>
              <w:bCs w:val="0"/>
            </w:rPr>
            <w:t>）行业基本情况和特点</w:t>
          </w:r>
        </w:p>
        <w:p w:rsidR="00156DD6" w:rsidRDefault="00D51F5F">
          <w:pPr>
            <w:spacing w:line="360" w:lineRule="exact"/>
            <w:ind w:firstLineChars="200" w:firstLine="420"/>
            <w:rPr>
              <w:bCs w:val="0"/>
            </w:rPr>
          </w:pPr>
          <w:r>
            <w:rPr>
              <w:rFonts w:hint="eastAsia"/>
              <w:bCs w:val="0"/>
            </w:rPr>
            <w:t>电工钢是中国式现代化建设、高质量发展及人民生活不可缺少的重要原材料，是电力行业的“芯片”，取向硅钢又是电工钢金字塔尖的产品，被誉为钢铁工业“皇冠上的明珠”，特别是高等级取向硅钢更是电力传输中必备的尖端功能材料，是各类电力变压器产品的关键原材料，主要用于电力变压器（铁心）的制造，还可应用于大型电机（水电、风电、火电）铁心</w:t>
          </w:r>
          <w:r>
            <w:rPr>
              <w:rFonts w:hint="eastAsia"/>
              <w:bCs w:val="0"/>
            </w:rPr>
            <w:t>等领域。</w:t>
          </w:r>
        </w:p>
        <w:p w:rsidR="00156DD6" w:rsidRDefault="00D51F5F">
          <w:pPr>
            <w:spacing w:line="360" w:lineRule="exact"/>
            <w:ind w:firstLineChars="200" w:firstLine="420"/>
            <w:rPr>
              <w:bCs w:val="0"/>
            </w:rPr>
          </w:pPr>
          <w:r>
            <w:rPr>
              <w:rFonts w:hint="eastAsia"/>
              <w:bCs w:val="0"/>
            </w:rPr>
            <w:t>高牌号取向硅钢市场需求将持续攀升。在国家政策和各类标准的带动下，近年来取向硅钢，特别是高牌号取向硅钢发展呈现新趋势，从历年取向硅钢价格走势看，价格涨跌基本形成了</w:t>
          </w:r>
          <w:r>
            <w:rPr>
              <w:rFonts w:ascii="Calibri" w:hAnsi="Calibri" w:cs="Calibri" w:hint="eastAsia"/>
              <w:bCs w:val="0"/>
            </w:rPr>
            <w:t>3</w:t>
          </w:r>
          <w:r>
            <w:rPr>
              <w:rFonts w:hint="eastAsia"/>
              <w:bCs w:val="0"/>
            </w:rPr>
            <w:t>至</w:t>
          </w:r>
          <w:r>
            <w:rPr>
              <w:rFonts w:ascii="Calibri" w:hAnsi="Calibri" w:cs="Calibri" w:hint="eastAsia"/>
              <w:bCs w:val="0"/>
            </w:rPr>
            <w:t>5</w:t>
          </w:r>
          <w:r>
            <w:rPr>
              <w:rFonts w:hint="eastAsia"/>
              <w:bCs w:val="0"/>
            </w:rPr>
            <w:t>年一次波动的规律，随着电力变压器能效升级的推进，预计未来一般取向硅钢的市场需求会继续减少，高磁感取向硅钢需求增加，取向硅钢价格在经历市场调整后将趋向稳定。</w:t>
          </w:r>
        </w:p>
        <w:p w:rsidR="00156DD6" w:rsidRDefault="00D51F5F">
          <w:pPr>
            <w:spacing w:line="360" w:lineRule="exact"/>
            <w:ind w:firstLineChars="200" w:firstLine="420"/>
            <w:rPr>
              <w:bCs w:val="0"/>
            </w:rPr>
          </w:pPr>
          <w:r>
            <w:rPr>
              <w:rFonts w:hint="eastAsia"/>
              <w:bCs w:val="0"/>
            </w:rPr>
            <w:t>新兴市场需求日益增多刺激供大于求的情况。随着新能源汽车、高能效电力变压器及工业电机、抽水蓄能大型发电机等市场处于增量通道，硅钢整体表观需求呈现增长态势，其中也存在高</w:t>
          </w:r>
          <w:r>
            <w:rPr>
              <w:rFonts w:hint="eastAsia"/>
              <w:bCs w:val="0"/>
            </w:rPr>
            <w:lastRenderedPageBreak/>
            <w:t>等级的结构性机会。然而，随着资本市场及行业投资人的关注增加，高于需求增速的产能增速正在形成，这一方面导致整个行业供需态势正在向结构性过剩演变，一方面也是为进入新赛道的中国硅钢高质量发展注入新的潜能和动能。近年来，新能源汽车、特高压工程、高铁及轨道交通、智能家电、光伏发电、风电、数据中心等新兴领域对电工钢的需求也日益增多。</w:t>
          </w:r>
        </w:p>
        <w:p w:rsidR="00156DD6" w:rsidRDefault="00D51F5F">
          <w:pPr>
            <w:spacing w:line="360" w:lineRule="exact"/>
            <w:ind w:firstLineChars="200" w:firstLine="420"/>
            <w:rPr>
              <w:bCs w:val="0"/>
            </w:rPr>
          </w:pPr>
          <w:r>
            <w:rPr>
              <w:rFonts w:hint="eastAsia"/>
              <w:bCs w:val="0"/>
            </w:rPr>
            <w:t>根据中国金属学会电工分会</w:t>
          </w:r>
          <w:r>
            <w:rPr>
              <w:rFonts w:hint="eastAsia"/>
              <w:bCs w:val="0"/>
            </w:rPr>
            <w:t>统计数据，</w:t>
          </w:r>
          <w:r>
            <w:rPr>
              <w:bCs w:val="0"/>
            </w:rPr>
            <w:t>2024</w:t>
          </w:r>
          <w:r>
            <w:rPr>
              <w:bCs w:val="0"/>
            </w:rPr>
            <w:t>年我国取向硅钢产量为</w:t>
          </w:r>
          <w:r>
            <w:rPr>
              <w:bCs w:val="0"/>
            </w:rPr>
            <w:t>295.2</w:t>
          </w:r>
          <w:r>
            <w:rPr>
              <w:bCs w:val="0"/>
            </w:rPr>
            <w:t>万吨，年化增量为</w:t>
          </w:r>
          <w:r>
            <w:rPr>
              <w:bCs w:val="0"/>
            </w:rPr>
            <w:t>31.5</w:t>
          </w:r>
          <w:r>
            <w:rPr>
              <w:bCs w:val="0"/>
            </w:rPr>
            <w:t>万吨，增幅</w:t>
          </w:r>
          <w:r>
            <w:rPr>
              <w:bCs w:val="0"/>
            </w:rPr>
            <w:t>12%</w:t>
          </w:r>
          <w:r>
            <w:rPr>
              <w:bCs w:val="0"/>
            </w:rPr>
            <w:t>（</w:t>
          </w:r>
          <w:r>
            <w:rPr>
              <w:bCs w:val="0"/>
            </w:rPr>
            <w:t>2023</w:t>
          </w:r>
          <w:r>
            <w:rPr>
              <w:bCs w:val="0"/>
            </w:rPr>
            <w:t>年较</w:t>
          </w:r>
          <w:r>
            <w:rPr>
              <w:bCs w:val="0"/>
            </w:rPr>
            <w:t>2022</w:t>
          </w:r>
          <w:r>
            <w:rPr>
              <w:bCs w:val="0"/>
            </w:rPr>
            <w:t>年增长</w:t>
          </w:r>
          <w:r>
            <w:rPr>
              <w:bCs w:val="0"/>
            </w:rPr>
            <w:t>21%</w:t>
          </w:r>
          <w:r>
            <w:rPr>
              <w:bCs w:val="0"/>
            </w:rPr>
            <w:t>）；全国产能为</w:t>
          </w:r>
          <w:r>
            <w:rPr>
              <w:bCs w:val="0"/>
            </w:rPr>
            <w:t>338</w:t>
          </w:r>
          <w:r>
            <w:rPr>
              <w:bCs w:val="0"/>
            </w:rPr>
            <w:t>万吨，环比增加</w:t>
          </w:r>
          <w:r>
            <w:rPr>
              <w:bCs w:val="0"/>
            </w:rPr>
            <w:t>64</w:t>
          </w:r>
          <w:r>
            <w:rPr>
              <w:bCs w:val="0"/>
            </w:rPr>
            <w:t>万吨，增速放缓（</w:t>
          </w:r>
          <w:r>
            <w:rPr>
              <w:bCs w:val="0"/>
            </w:rPr>
            <w:t>2023</w:t>
          </w:r>
          <w:r>
            <w:rPr>
              <w:bCs w:val="0"/>
            </w:rPr>
            <w:t>年较</w:t>
          </w:r>
          <w:r>
            <w:rPr>
              <w:bCs w:val="0"/>
            </w:rPr>
            <w:t>2022</w:t>
          </w:r>
          <w:r>
            <w:rPr>
              <w:bCs w:val="0"/>
            </w:rPr>
            <w:t>年增长</w:t>
          </w:r>
          <w:r>
            <w:rPr>
              <w:bCs w:val="0"/>
            </w:rPr>
            <w:t>84</w:t>
          </w:r>
          <w:r>
            <w:rPr>
              <w:bCs w:val="0"/>
            </w:rPr>
            <w:t>万吨）；</w:t>
          </w:r>
          <w:r>
            <w:rPr>
              <w:bCs w:val="0"/>
            </w:rPr>
            <w:t>2025</w:t>
          </w:r>
          <w:r>
            <w:rPr>
              <w:bCs w:val="0"/>
            </w:rPr>
            <w:t>年上半年我国取向硅钢产量为</w:t>
          </w:r>
          <w:r>
            <w:rPr>
              <w:bCs w:val="0"/>
            </w:rPr>
            <w:t>158.11</w:t>
          </w:r>
          <w:r>
            <w:rPr>
              <w:bCs w:val="0"/>
            </w:rPr>
            <w:t>万吨，同比增长</w:t>
          </w:r>
          <w:r>
            <w:rPr>
              <w:bCs w:val="0"/>
            </w:rPr>
            <w:t>17.3%</w:t>
          </w:r>
          <w:r>
            <w:rPr>
              <w:bCs w:val="0"/>
            </w:rPr>
            <w:t>，民营企业产量占比提升至</w:t>
          </w:r>
          <w:r>
            <w:rPr>
              <w:bCs w:val="0"/>
            </w:rPr>
            <w:t>47%</w:t>
          </w:r>
          <w:r>
            <w:rPr>
              <w:bCs w:val="0"/>
            </w:rPr>
            <w:t>。</w:t>
          </w:r>
        </w:p>
        <w:p w:rsidR="00156DD6" w:rsidRDefault="00D51F5F">
          <w:pPr>
            <w:spacing w:line="360" w:lineRule="exact"/>
            <w:ind w:firstLineChars="200" w:firstLine="422"/>
            <w:outlineLvl w:val="4"/>
            <w:rPr>
              <w:rFonts w:ascii="Calibri" w:hAnsi="Calibri"/>
              <w:b/>
              <w:bCs w:val="0"/>
            </w:rPr>
          </w:pPr>
          <w:r>
            <w:rPr>
              <w:rFonts w:hint="eastAsia"/>
              <w:b/>
              <w:bCs w:val="0"/>
            </w:rPr>
            <w:t>（</w:t>
          </w:r>
          <w:r>
            <w:rPr>
              <w:rFonts w:hint="eastAsia"/>
              <w:b/>
              <w:bCs w:val="0"/>
            </w:rPr>
            <w:t>2</w:t>
          </w:r>
          <w:r>
            <w:rPr>
              <w:rFonts w:hint="eastAsia"/>
              <w:b/>
              <w:bCs w:val="0"/>
            </w:rPr>
            <w:t>）主要技术门槛</w:t>
          </w:r>
        </w:p>
        <w:p w:rsidR="00156DD6" w:rsidRDefault="00D51F5F">
          <w:pPr>
            <w:spacing w:line="360" w:lineRule="exact"/>
            <w:ind w:firstLineChars="200" w:firstLine="420"/>
            <w:jc w:val="both"/>
            <w:rPr>
              <w:rFonts w:ascii="Calibri" w:hAnsi="Calibri"/>
              <w:bCs w:val="0"/>
            </w:rPr>
          </w:pPr>
          <w:r>
            <w:rPr>
              <w:rFonts w:hint="eastAsia"/>
              <w:bCs w:val="0"/>
            </w:rPr>
            <w:t>建国初期，我国取向硅钢主要依赖于向日本、美国、德国等国际厂商采购，</w:t>
          </w:r>
          <w:r>
            <w:rPr>
              <w:rFonts w:hint="eastAsia"/>
              <w:bCs w:val="0"/>
            </w:rPr>
            <w:t>1974</w:t>
          </w:r>
          <w:r>
            <w:rPr>
              <w:rFonts w:hint="eastAsia"/>
              <w:bCs w:val="0"/>
            </w:rPr>
            <w:t>年武汉钢铁（集团）有限公司自日本引进了全套一般取向硅钢装备和技术，并于</w:t>
          </w:r>
          <w:r>
            <w:rPr>
              <w:rFonts w:hint="eastAsia"/>
              <w:bCs w:val="0"/>
            </w:rPr>
            <w:t>1978</w:t>
          </w:r>
          <w:r>
            <w:rPr>
              <w:rFonts w:hint="eastAsia"/>
              <w:bCs w:val="0"/>
            </w:rPr>
            <w:t>年建成投产。</w:t>
          </w:r>
          <w:r>
            <w:rPr>
              <w:rFonts w:hint="eastAsia"/>
              <w:bCs w:val="0"/>
            </w:rPr>
            <w:t>1995</w:t>
          </w:r>
          <w:r>
            <w:rPr>
              <w:rFonts w:hint="eastAsia"/>
              <w:bCs w:val="0"/>
            </w:rPr>
            <w:t>年，武汉钢铁（集团）有限公司自日本引进了高磁感取向硅钢生产设备和技术。</w:t>
          </w:r>
          <w:r>
            <w:rPr>
              <w:rFonts w:hint="eastAsia"/>
              <w:bCs w:val="0"/>
            </w:rPr>
            <w:t>2007</w:t>
          </w:r>
          <w:r>
            <w:rPr>
              <w:rFonts w:hint="eastAsia"/>
              <w:bCs w:val="0"/>
            </w:rPr>
            <w:t>年底，我国仅有武汉钢铁（集团）有限公司可以生产取向硅钢，国内需求一半以上依赖进口。随着国内电网大规模建设，电力变压器需求相应以较大幅度增长，取向硅钢整体供不应求的局面较大程度抑制了电力变压器及铁心制造行业的市场化发展。</w:t>
          </w:r>
          <w:r>
            <w:rPr>
              <w:rFonts w:hint="eastAsia"/>
              <w:bCs w:val="0"/>
            </w:rPr>
            <w:t>2007</w:t>
          </w:r>
          <w:r>
            <w:rPr>
              <w:rFonts w:hint="eastAsia"/>
              <w:bCs w:val="0"/>
            </w:rPr>
            <w:t>年以后，武汉钢铁（集团）有限公司逐步</w:t>
          </w:r>
          <w:r>
            <w:rPr>
              <w:rFonts w:hint="eastAsia"/>
              <w:bCs w:val="0"/>
            </w:rPr>
            <w:t>进行产能扩张，宝钢集团有限公司、首钢集团有限公司等厂商纷纷投资建设取向硅钢生产线，我国取向硅钢产能大幅提高。</w:t>
          </w:r>
        </w:p>
        <w:p w:rsidR="00156DD6" w:rsidRDefault="00D51F5F">
          <w:pPr>
            <w:spacing w:line="360" w:lineRule="exact"/>
            <w:ind w:firstLineChars="200" w:firstLine="420"/>
            <w:jc w:val="both"/>
            <w:rPr>
              <w:bCs w:val="0"/>
            </w:rPr>
          </w:pPr>
          <w:r>
            <w:rPr>
              <w:rFonts w:hint="eastAsia"/>
              <w:bCs w:val="0"/>
            </w:rPr>
            <w:t>目前我国已生产出多规格、多牌号、更低铁损、更高磁感的取向硅钢，满足了国家电力工业高质量发展和电力变压器能效升级的需要，在我国特高压电网建设中，高磁感取向硅钢发挥了重要的作用。在这期间，我国经历了从依赖进口高磁感取向硅钢到基本使用国产高磁感取向硅钢的巨变。</w:t>
          </w:r>
        </w:p>
        <w:p w:rsidR="00156DD6" w:rsidRDefault="00D51F5F">
          <w:pPr>
            <w:spacing w:line="360" w:lineRule="exact"/>
            <w:ind w:firstLineChars="200" w:firstLine="420"/>
            <w:jc w:val="both"/>
            <w:rPr>
              <w:rFonts w:ascii="Calibri" w:hAnsi="Calibri"/>
              <w:bCs w:val="0"/>
            </w:rPr>
          </w:pPr>
          <w:r>
            <w:rPr>
              <w:rFonts w:hint="eastAsia"/>
              <w:bCs w:val="0"/>
            </w:rPr>
            <w:t>取向硅钢，尤其是高磁感取向硅钢，因工艺窗口参数控制技术壁垒较高，国内能够生产高磁感取向硅钢的企业较少，行业内企业主要集中在大型的国有钢铁企业和较少</w:t>
          </w:r>
          <w:r>
            <w:rPr>
              <w:rFonts w:hint="eastAsia"/>
              <w:bCs w:val="0"/>
            </w:rPr>
            <w:t>数的民营企业。</w:t>
          </w:r>
        </w:p>
        <w:p w:rsidR="00156DD6" w:rsidRDefault="00D51F5F">
          <w:pPr>
            <w:spacing w:line="360" w:lineRule="exact"/>
            <w:ind w:firstLineChars="200" w:firstLine="422"/>
            <w:outlineLvl w:val="4"/>
            <w:rPr>
              <w:rFonts w:ascii="Calibri" w:hAnsi="Calibri"/>
              <w:b/>
              <w:bCs w:val="0"/>
            </w:rPr>
          </w:pPr>
          <w:r>
            <w:rPr>
              <w:rFonts w:hint="eastAsia"/>
              <w:b/>
              <w:bCs w:val="0"/>
            </w:rPr>
            <w:t>（</w:t>
          </w:r>
          <w:r>
            <w:rPr>
              <w:rFonts w:hint="eastAsia"/>
              <w:b/>
              <w:bCs w:val="0"/>
            </w:rPr>
            <w:t>3</w:t>
          </w:r>
          <w:r>
            <w:rPr>
              <w:rFonts w:hint="eastAsia"/>
              <w:b/>
              <w:bCs w:val="0"/>
            </w:rPr>
            <w:t>）公司行业地位</w:t>
          </w:r>
        </w:p>
        <w:p w:rsidR="00156DD6" w:rsidRDefault="00D51F5F">
          <w:pPr>
            <w:ind w:firstLineChars="200" w:firstLine="420"/>
            <w:jc w:val="both"/>
            <w:rPr>
              <w:bCs w:val="0"/>
            </w:rPr>
          </w:pPr>
          <w:r>
            <w:rPr>
              <w:rFonts w:hint="eastAsia"/>
              <w:bCs w:val="0"/>
            </w:rPr>
            <w:t>根据中国电工钢产业数据，</w:t>
          </w:r>
          <w:r>
            <w:rPr>
              <w:bCs w:val="0"/>
            </w:rPr>
            <w:t>2024</w:t>
          </w:r>
          <w:r>
            <w:rPr>
              <w:bCs w:val="0"/>
            </w:rPr>
            <w:t>年我国取向硅钢产业规模持续扩大，总产量达</w:t>
          </w:r>
          <w:r>
            <w:rPr>
              <w:bCs w:val="0"/>
            </w:rPr>
            <w:t>295.2</w:t>
          </w:r>
          <w:r>
            <w:rPr>
              <w:bCs w:val="0"/>
            </w:rPr>
            <w:t>万吨，同比增长</w:t>
          </w:r>
          <w:r>
            <w:rPr>
              <w:bCs w:val="0"/>
            </w:rPr>
            <w:t>12%</w:t>
          </w:r>
          <w:r>
            <w:rPr>
              <w:bCs w:val="0"/>
            </w:rPr>
            <w:t>。</w:t>
          </w:r>
          <w:r>
            <w:rPr>
              <w:bCs w:val="0"/>
            </w:rPr>
            <w:t>2025</w:t>
          </w:r>
          <w:r>
            <w:rPr>
              <w:bCs w:val="0"/>
            </w:rPr>
            <w:t>年上半年我国取向硅钢产量为</w:t>
          </w:r>
          <w:r>
            <w:rPr>
              <w:bCs w:val="0"/>
            </w:rPr>
            <w:t>158.11</w:t>
          </w:r>
          <w:r>
            <w:rPr>
              <w:bCs w:val="0"/>
            </w:rPr>
            <w:t>万吨，同比增长</w:t>
          </w:r>
          <w:r>
            <w:rPr>
              <w:bCs w:val="0"/>
            </w:rPr>
            <w:t>17.3%</w:t>
          </w:r>
          <w:r>
            <w:rPr>
              <w:bCs w:val="0"/>
            </w:rPr>
            <w:t>，民营企业产量占比提升至</w:t>
          </w:r>
          <w:r>
            <w:rPr>
              <w:bCs w:val="0"/>
            </w:rPr>
            <w:t>47%</w:t>
          </w:r>
          <w:r>
            <w:rPr>
              <w:bCs w:val="0"/>
            </w:rPr>
            <w:t>。公司作为中国取向硅钢领域的核心企业，稳居行业前列，持续领跑民营生产企业阵营，彰显卓越的市场竞争力。</w:t>
          </w:r>
        </w:p>
        <w:p w:rsidR="00156DD6" w:rsidRDefault="00D51F5F">
          <w:pPr>
            <w:ind w:firstLineChars="200" w:firstLine="420"/>
            <w:jc w:val="both"/>
            <w:rPr>
              <w:bCs w:val="0"/>
            </w:rPr>
          </w:pPr>
          <w:r>
            <w:rPr>
              <w:rFonts w:hint="eastAsia"/>
              <w:bCs w:val="0"/>
            </w:rPr>
            <w:t>公司取向硅钢产品经中国金属学会认证达到“国内领先水平”，品质媲美国有大型钢铁企业，在华东、华南及西南地区占据重要市场份额。同时，公司积极拓展全球市场布局，产品远销东南亚、</w:t>
          </w:r>
          <w:r>
            <w:rPr>
              <w:rFonts w:hint="eastAsia"/>
              <w:bCs w:val="0"/>
            </w:rPr>
            <w:t>中东、欧美等地区，与包括</w:t>
          </w:r>
          <w:r>
            <w:rPr>
              <w:rFonts w:hint="eastAsia"/>
              <w:bCs w:val="0"/>
            </w:rPr>
            <w:t>MARUBENI-ITOCHU STEEL INC</w:t>
          </w:r>
          <w:r>
            <w:rPr>
              <w:rFonts w:hint="eastAsia"/>
              <w:bCs w:val="0"/>
            </w:rPr>
            <w:t>（伊藤忠丸红钢铁公司）、</w:t>
          </w:r>
          <w:r>
            <w:rPr>
              <w:rFonts w:hint="eastAsia"/>
              <w:bCs w:val="0"/>
            </w:rPr>
            <w:t>POSCO INTERNATIONAL CORPORATION</w:t>
          </w:r>
          <w:r>
            <w:rPr>
              <w:rFonts w:hint="eastAsia"/>
              <w:bCs w:val="0"/>
            </w:rPr>
            <w:t>（浦项国际贸易）、</w:t>
          </w:r>
          <w:r>
            <w:rPr>
              <w:rFonts w:hint="eastAsia"/>
              <w:bCs w:val="0"/>
            </w:rPr>
            <w:t>METAL ONE CORPORATION</w:t>
          </w:r>
          <w:r>
            <w:rPr>
              <w:rFonts w:hint="eastAsia"/>
              <w:bCs w:val="0"/>
            </w:rPr>
            <w:t>（美达王）等国际知名企业建立了稳定的战略合作关系，国际化业务持续深化。</w:t>
          </w:r>
        </w:p>
        <w:p w:rsidR="00156DD6" w:rsidRDefault="00D51F5F">
          <w:pPr>
            <w:spacing w:line="360" w:lineRule="exact"/>
            <w:ind w:firstLineChars="200" w:firstLine="420"/>
            <w:outlineLvl w:val="2"/>
            <w:rPr>
              <w:bCs w:val="0"/>
            </w:rPr>
          </w:pPr>
          <w:r>
            <w:rPr>
              <w:rFonts w:hint="eastAsia"/>
              <w:bCs w:val="0"/>
            </w:rPr>
            <w:t>（二）主营业务情况</w:t>
          </w:r>
        </w:p>
        <w:p w:rsidR="00156DD6" w:rsidRDefault="00D51F5F">
          <w:pPr>
            <w:spacing w:line="360" w:lineRule="exact"/>
            <w:ind w:firstLineChars="200" w:firstLine="420"/>
            <w:rPr>
              <w:bCs w:val="0"/>
            </w:rPr>
          </w:pPr>
          <w:r>
            <w:rPr>
              <w:rFonts w:hint="eastAsia"/>
              <w:bCs w:val="0"/>
            </w:rPr>
            <w:t>公司主营业务为取向硅钢和输配电及控制设备的研发、生产与销售。</w:t>
          </w:r>
        </w:p>
        <w:p w:rsidR="00156DD6" w:rsidRDefault="00D51F5F">
          <w:pPr>
            <w:spacing w:line="360" w:lineRule="exact"/>
            <w:ind w:firstLineChars="200" w:firstLine="420"/>
            <w:rPr>
              <w:bCs w:val="0"/>
            </w:rPr>
          </w:pPr>
          <w:r>
            <w:rPr>
              <w:rFonts w:hint="eastAsia"/>
              <w:bCs w:val="0"/>
            </w:rPr>
            <w:t>报告期内，公司一直从事取向硅钢和输配电及控制设备的研发、生产与销售，主营业务未发生变化。</w:t>
          </w:r>
        </w:p>
        <w:p w:rsidR="00156DD6" w:rsidRDefault="00D51F5F">
          <w:pPr>
            <w:spacing w:line="360" w:lineRule="exact"/>
            <w:ind w:firstLineChars="200" w:firstLine="420"/>
            <w:outlineLvl w:val="2"/>
            <w:rPr>
              <w:bCs w:val="0"/>
            </w:rPr>
          </w:pPr>
          <w:r>
            <w:rPr>
              <w:rFonts w:hint="eastAsia"/>
              <w:bCs w:val="0"/>
            </w:rPr>
            <w:t>1</w:t>
          </w:r>
          <w:r>
            <w:rPr>
              <w:rFonts w:hint="eastAsia"/>
              <w:bCs w:val="0"/>
            </w:rPr>
            <w:t>、主要产品</w:t>
          </w:r>
        </w:p>
        <w:p w:rsidR="00156DD6" w:rsidRDefault="00D51F5F">
          <w:pPr>
            <w:spacing w:line="360" w:lineRule="exact"/>
            <w:ind w:firstLineChars="200" w:firstLine="420"/>
            <w:rPr>
              <w:bCs w:val="0"/>
            </w:rPr>
          </w:pPr>
          <w:r>
            <w:rPr>
              <w:rFonts w:hint="eastAsia"/>
              <w:bCs w:val="0"/>
            </w:rPr>
            <w:t>公司主要产品分为输配电及控制和取向</w:t>
          </w:r>
          <w:r>
            <w:rPr>
              <w:rFonts w:hint="eastAsia"/>
              <w:bCs w:val="0"/>
            </w:rPr>
            <w:t>硅钢设备两大类。</w:t>
          </w:r>
        </w:p>
        <w:p w:rsidR="00156DD6" w:rsidRDefault="00D51F5F">
          <w:pPr>
            <w:spacing w:line="360" w:lineRule="exact"/>
            <w:ind w:firstLineChars="200" w:firstLine="420"/>
            <w:rPr>
              <w:bCs w:val="0"/>
            </w:rPr>
          </w:pPr>
          <w:r>
            <w:rPr>
              <w:rFonts w:hint="eastAsia"/>
              <w:bCs w:val="0"/>
            </w:rPr>
            <w:lastRenderedPageBreak/>
            <w:t>公司输配电及控制设备主要包括电力变压器、箱式变电站、成套电气设备、铁芯相关产品，产品不仅应用于电力、农、工、商业及居民用电、基础设施建设等传统领域，还可用于新能源光伏、风电、充电桩、储能、轨道交通、数据中心、新型基础设施等新兴领域。</w:t>
          </w:r>
        </w:p>
        <w:p w:rsidR="00156DD6" w:rsidRDefault="00D51F5F">
          <w:pPr>
            <w:spacing w:line="360" w:lineRule="exact"/>
            <w:ind w:firstLineChars="200" w:firstLine="420"/>
            <w:rPr>
              <w:bCs w:val="0"/>
            </w:rPr>
          </w:pPr>
          <w:r>
            <w:rPr>
              <w:rFonts w:hint="eastAsia"/>
              <w:bCs w:val="0"/>
            </w:rPr>
            <w:t>公司取向硅钢主要包含一般取向硅钢（</w:t>
          </w:r>
          <w:r>
            <w:rPr>
              <w:rFonts w:hint="eastAsia"/>
              <w:bCs w:val="0"/>
            </w:rPr>
            <w:t>CGO</w:t>
          </w:r>
          <w:r>
            <w:rPr>
              <w:rFonts w:hint="eastAsia"/>
              <w:bCs w:val="0"/>
            </w:rPr>
            <w:t>）和高磁感取向硅钢（</w:t>
          </w:r>
          <w:r>
            <w:rPr>
              <w:rFonts w:hint="eastAsia"/>
              <w:bCs w:val="0"/>
            </w:rPr>
            <w:t>HiB</w:t>
          </w:r>
          <w:r>
            <w:rPr>
              <w:rFonts w:hint="eastAsia"/>
              <w:bCs w:val="0"/>
            </w:rPr>
            <w:t>），主要用于电力变压器（铁心）的制造，还可应用于大型电机（水电、风电）等领域，客户群体包括了国内外知名电力变压器及电机制造企业。</w:t>
          </w:r>
        </w:p>
        <w:p w:rsidR="00156DD6" w:rsidRDefault="00D51F5F">
          <w:pPr>
            <w:spacing w:line="360" w:lineRule="exact"/>
            <w:ind w:firstLineChars="200" w:firstLine="420"/>
            <w:rPr>
              <w:bCs w:val="0"/>
            </w:rPr>
          </w:pPr>
          <w:r>
            <w:rPr>
              <w:rFonts w:hint="eastAsia"/>
              <w:bCs w:val="0"/>
            </w:rPr>
            <w:t>公司主要产品在产业链内覆盖情况如下：</w:t>
          </w:r>
        </w:p>
        <w:p w:rsidR="00156DD6" w:rsidRDefault="00D51F5F">
          <w:pPr>
            <w:spacing w:beforeLines="50" w:before="156" w:after="100" w:afterAutospacing="1" w:line="360" w:lineRule="auto"/>
            <w:ind w:firstLineChars="200" w:firstLine="420"/>
            <w:rPr>
              <w:bCs w:val="0"/>
            </w:rPr>
          </w:pPr>
          <w:r>
            <w:rPr>
              <w:noProof/>
            </w:rPr>
            <w:drawing>
              <wp:inline distT="0" distB="0" distL="0" distR="0">
                <wp:extent cx="5257800" cy="3006725"/>
                <wp:effectExtent l="0" t="0" r="0" b="3175"/>
                <wp:docPr id="1" name="图片 1" descr="C:\Users\W\AppData\Local\Temp\ksohtml2051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AppData\Local\Temp\ksohtml20516\wp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57800" cy="3006725"/>
                        </a:xfrm>
                        <a:prstGeom prst="rect">
                          <a:avLst/>
                        </a:prstGeom>
                        <a:noFill/>
                        <a:ln>
                          <a:noFill/>
                        </a:ln>
                      </pic:spPr>
                    </pic:pic>
                  </a:graphicData>
                </a:graphic>
              </wp:inline>
            </w:drawing>
          </w:r>
          <w:r>
            <w:rPr>
              <w:rFonts w:hint="eastAsia"/>
              <w:bCs w:val="0"/>
            </w:rPr>
            <w:t xml:space="preserve"> </w:t>
          </w:r>
        </w:p>
        <w:p w:rsidR="00156DD6" w:rsidRDefault="00D51F5F">
          <w:pPr>
            <w:spacing w:line="360" w:lineRule="exact"/>
            <w:ind w:firstLineChars="200" w:firstLine="420"/>
            <w:rPr>
              <w:bCs w:val="0"/>
            </w:rPr>
          </w:pPr>
          <w:r>
            <w:rPr>
              <w:rFonts w:hint="eastAsia"/>
              <w:bCs w:val="0"/>
            </w:rPr>
            <w:t>注：上图红色虚线框内</w:t>
          </w:r>
          <w:r>
            <w:rPr>
              <w:rFonts w:hint="eastAsia"/>
              <w:bCs w:val="0"/>
            </w:rPr>
            <w:t>为公司主要产品覆盖情况。</w:t>
          </w:r>
        </w:p>
        <w:p w:rsidR="00156DD6" w:rsidRDefault="00D51F5F">
          <w:pPr>
            <w:spacing w:line="360" w:lineRule="exact"/>
            <w:ind w:firstLineChars="200" w:firstLine="420"/>
            <w:rPr>
              <w:bCs w:val="0"/>
            </w:rPr>
          </w:pPr>
          <w:r>
            <w:rPr>
              <w:rFonts w:hint="eastAsia"/>
              <w:bCs w:val="0"/>
            </w:rPr>
            <w:t>公司的主要产品基本情况如下：</w:t>
          </w:r>
        </w:p>
        <w:p w:rsidR="00156DD6" w:rsidRDefault="00D51F5F">
          <w:pPr>
            <w:spacing w:beforeLines="50" w:before="156" w:after="100" w:afterAutospacing="1" w:line="360" w:lineRule="auto"/>
            <w:rPr>
              <w:bCs w:val="0"/>
            </w:rPr>
          </w:pPr>
          <w:r>
            <w:rPr>
              <w:rFonts w:hint="eastAsia"/>
              <w:bCs w:val="0"/>
            </w:rPr>
            <w:t xml:space="preserve"> </w:t>
          </w:r>
        </w:p>
        <w:p w:rsidR="00156DD6" w:rsidRDefault="00156DD6">
          <w:pPr>
            <w:rPr>
              <w:bCs w:val="0"/>
            </w:rPr>
            <w:sectPr w:rsidR="00156DD6">
              <w:pgSz w:w="11906" w:h="16838"/>
              <w:pgMar w:top="1440" w:right="1797" w:bottom="1525" w:left="1276" w:header="855" w:footer="992" w:gutter="0"/>
              <w:cols w:space="720"/>
              <w:docGrid w:type="lines" w:linePitch="312"/>
            </w:sectPr>
          </w:pPr>
        </w:p>
        <w:p w:rsidR="00156DD6" w:rsidRDefault="00D51F5F">
          <w:pPr>
            <w:spacing w:beforeLines="50" w:before="156" w:after="100" w:afterAutospacing="1" w:line="360" w:lineRule="auto"/>
            <w:rPr>
              <w:bCs w:val="0"/>
            </w:rPr>
          </w:pPr>
          <w:r>
            <w:rPr>
              <w:noProof/>
            </w:rPr>
            <w:lastRenderedPageBreak/>
            <w:drawing>
              <wp:inline distT="0" distB="0" distL="0" distR="0">
                <wp:extent cx="8811260" cy="4495800"/>
                <wp:effectExtent l="0" t="0" r="8890" b="0"/>
                <wp:docPr id="2" name="图片 2" descr="C:\Users\W\AppData\Local\Temp\ksohtml2051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AppData\Local\Temp\ksohtml20516\wp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811260" cy="4495800"/>
                        </a:xfrm>
                        <a:prstGeom prst="rect">
                          <a:avLst/>
                        </a:prstGeom>
                        <a:noFill/>
                        <a:ln>
                          <a:noFill/>
                        </a:ln>
                      </pic:spPr>
                    </pic:pic>
                  </a:graphicData>
                </a:graphic>
              </wp:inline>
            </w:drawing>
          </w:r>
          <w:r>
            <w:rPr>
              <w:rFonts w:hint="eastAsia"/>
              <w:bCs w:val="0"/>
            </w:rPr>
            <w:t xml:space="preserve"> </w:t>
          </w:r>
        </w:p>
        <w:p w:rsidR="00156DD6" w:rsidRDefault="00D51F5F">
          <w:pPr>
            <w:spacing w:beforeLines="50" w:before="156" w:after="100" w:afterAutospacing="1" w:line="360" w:lineRule="auto"/>
            <w:rPr>
              <w:bCs w:val="0"/>
            </w:rPr>
          </w:pPr>
          <w:r>
            <w:rPr>
              <w:rFonts w:hint="eastAsia"/>
              <w:bCs w:val="0"/>
            </w:rPr>
            <w:t xml:space="preserve"> </w:t>
          </w:r>
        </w:p>
        <w:p w:rsidR="00156DD6" w:rsidRDefault="00D51F5F">
          <w:pPr>
            <w:spacing w:beforeLines="50" w:before="156" w:after="100" w:afterAutospacing="1" w:line="360" w:lineRule="auto"/>
            <w:rPr>
              <w:bCs w:val="0"/>
            </w:rPr>
          </w:pPr>
          <w:r>
            <w:rPr>
              <w:rFonts w:hint="eastAsia"/>
              <w:bCs w:val="0"/>
            </w:rPr>
            <w:t xml:space="preserve"> </w:t>
          </w:r>
        </w:p>
        <w:p w:rsidR="00156DD6" w:rsidRDefault="00D51F5F">
          <w:pPr>
            <w:spacing w:beforeLines="50" w:before="156" w:after="100" w:afterAutospacing="1" w:line="360" w:lineRule="auto"/>
            <w:rPr>
              <w:bCs w:val="0"/>
            </w:rPr>
          </w:pPr>
          <w:r>
            <w:rPr>
              <w:noProof/>
            </w:rPr>
            <w:lastRenderedPageBreak/>
            <w:drawing>
              <wp:inline distT="0" distB="0" distL="0" distR="0">
                <wp:extent cx="8811260" cy="4495800"/>
                <wp:effectExtent l="0" t="0" r="8890" b="0"/>
                <wp:docPr id="3" name="图片 3" descr="C:\Users\W\AppData\Local\Temp\ksohtml2051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AppData\Local\Temp\ksohtml20516\wps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811260" cy="4495800"/>
                        </a:xfrm>
                        <a:prstGeom prst="rect">
                          <a:avLst/>
                        </a:prstGeom>
                        <a:noFill/>
                        <a:ln>
                          <a:noFill/>
                        </a:ln>
                      </pic:spPr>
                    </pic:pic>
                  </a:graphicData>
                </a:graphic>
              </wp:inline>
            </w:drawing>
          </w:r>
          <w:r>
            <w:rPr>
              <w:rFonts w:hint="eastAsia"/>
              <w:bCs w:val="0"/>
            </w:rPr>
            <w:t xml:space="preserve"> </w:t>
          </w:r>
        </w:p>
        <w:p w:rsidR="00156DD6" w:rsidRDefault="00D51F5F">
          <w:pPr>
            <w:spacing w:beforeLines="50" w:before="156" w:after="100" w:afterAutospacing="1" w:line="360" w:lineRule="auto"/>
            <w:rPr>
              <w:bCs w:val="0"/>
            </w:rPr>
          </w:pPr>
          <w:r>
            <w:rPr>
              <w:rFonts w:hint="eastAsia"/>
              <w:bCs w:val="0"/>
              <w:noProof/>
            </w:rPr>
            <w:lastRenderedPageBreak/>
            <w:drawing>
              <wp:inline distT="0" distB="0" distL="114300" distR="114300">
                <wp:extent cx="8808720" cy="4717415"/>
                <wp:effectExtent l="0" t="0" r="0" b="6985"/>
                <wp:docPr id="7" name="图片 7" descr="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产品"/>
                        <pic:cNvPicPr>
                          <a:picLocks noChangeAspect="1"/>
                        </pic:cNvPicPr>
                      </pic:nvPicPr>
                      <pic:blipFill>
                        <a:blip r:embed="rId19"/>
                        <a:stretch>
                          <a:fillRect/>
                        </a:stretch>
                      </pic:blipFill>
                      <pic:spPr>
                        <a:xfrm>
                          <a:off x="0" y="0"/>
                          <a:ext cx="8808720" cy="4717415"/>
                        </a:xfrm>
                        <a:prstGeom prst="rect">
                          <a:avLst/>
                        </a:prstGeom>
                      </pic:spPr>
                    </pic:pic>
                  </a:graphicData>
                </a:graphic>
              </wp:inline>
            </w:drawing>
          </w:r>
          <w:r>
            <w:rPr>
              <w:rFonts w:hint="eastAsia"/>
              <w:bCs w:val="0"/>
            </w:rPr>
            <w:t xml:space="preserve"> </w:t>
          </w:r>
        </w:p>
        <w:p w:rsidR="00156DD6" w:rsidRDefault="00D51F5F">
          <w:pPr>
            <w:spacing w:beforeLines="50" w:before="156" w:after="100" w:afterAutospacing="1" w:line="360" w:lineRule="auto"/>
            <w:rPr>
              <w:bCs w:val="0"/>
            </w:rPr>
          </w:pPr>
          <w:r>
            <w:rPr>
              <w:rFonts w:hint="eastAsia"/>
              <w:bCs w:val="0"/>
            </w:rPr>
            <w:t xml:space="preserve"> </w:t>
          </w:r>
        </w:p>
        <w:p w:rsidR="00156DD6" w:rsidRDefault="00156DD6">
          <w:pPr>
            <w:rPr>
              <w:bCs w:val="0"/>
            </w:rPr>
            <w:sectPr w:rsidR="00156DD6">
              <w:pgSz w:w="16838" w:h="11906" w:orient="landscape"/>
              <w:pgMar w:top="1276" w:right="1440" w:bottom="1797" w:left="1525" w:header="855" w:footer="992" w:gutter="0"/>
              <w:cols w:space="720"/>
              <w:docGrid w:type="lines" w:linePitch="312"/>
            </w:sectPr>
          </w:pPr>
        </w:p>
        <w:p w:rsidR="00156DD6" w:rsidRDefault="00D51F5F">
          <w:pPr>
            <w:spacing w:line="360" w:lineRule="exact"/>
            <w:ind w:firstLineChars="200" w:firstLine="420"/>
            <w:outlineLvl w:val="2"/>
            <w:rPr>
              <w:bCs w:val="0"/>
            </w:rPr>
          </w:pPr>
          <w:r>
            <w:rPr>
              <w:rFonts w:hint="eastAsia"/>
              <w:bCs w:val="0"/>
            </w:rPr>
            <w:lastRenderedPageBreak/>
            <w:t>2</w:t>
          </w:r>
          <w:r>
            <w:rPr>
              <w:rFonts w:hint="eastAsia"/>
              <w:bCs w:val="0"/>
            </w:rPr>
            <w:t>、主要经营模式</w:t>
          </w:r>
        </w:p>
        <w:p w:rsidR="00156DD6" w:rsidRDefault="00D51F5F">
          <w:pPr>
            <w:spacing w:line="360" w:lineRule="exact"/>
            <w:ind w:firstLineChars="200" w:firstLine="420"/>
            <w:outlineLvl w:val="3"/>
            <w:rPr>
              <w:bCs w:val="0"/>
            </w:rPr>
          </w:pPr>
          <w:r>
            <w:rPr>
              <w:rFonts w:hint="eastAsia"/>
              <w:bCs w:val="0"/>
            </w:rPr>
            <w:t>（</w:t>
          </w:r>
          <w:r>
            <w:rPr>
              <w:rFonts w:hint="eastAsia"/>
              <w:bCs w:val="0"/>
            </w:rPr>
            <w:t>1</w:t>
          </w:r>
          <w:r>
            <w:rPr>
              <w:rFonts w:hint="eastAsia"/>
              <w:bCs w:val="0"/>
            </w:rPr>
            <w:t>）采购模式</w:t>
          </w:r>
        </w:p>
        <w:p w:rsidR="00156DD6" w:rsidRDefault="00D51F5F">
          <w:pPr>
            <w:spacing w:line="360" w:lineRule="exact"/>
            <w:ind w:firstLineChars="200" w:firstLine="420"/>
            <w:rPr>
              <w:bCs w:val="0"/>
            </w:rPr>
          </w:pPr>
          <w:r>
            <w:rPr>
              <w:rFonts w:hint="eastAsia"/>
              <w:bCs w:val="0"/>
            </w:rPr>
            <w:t>公司主要采用“以销定采、标准产品适当库存”的采购模式。主要向供应商采购的原材料包括取向硅钢原料卷、取向硅钢成品卷及铁心、铜材、钢材、元器件和辅材等。公司严格按照相关制度规定的采购程序和“质量优先、兼顾价格”的原则，通过商务谈判等方式选择供应商。对于一些重要的原材料和零部件，公司与供应商签订框架协议，以获得稳定、可靠和优质的货源。具体采购主要分为以下三种方式：</w:t>
          </w:r>
        </w:p>
        <w:p w:rsidR="00156DD6" w:rsidRDefault="00D51F5F">
          <w:pPr>
            <w:spacing w:line="360" w:lineRule="exact"/>
            <w:ind w:firstLineChars="200" w:firstLine="420"/>
            <w:outlineLvl w:val="4"/>
            <w:rPr>
              <w:bCs w:val="0"/>
            </w:rPr>
          </w:pPr>
          <w:r>
            <w:rPr>
              <w:rFonts w:ascii="微软雅黑" w:eastAsia="微软雅黑" w:hAnsi="微软雅黑" w:cs="微软雅黑" w:hint="eastAsia"/>
              <w:bCs w:val="0"/>
            </w:rPr>
            <w:t>①</w:t>
          </w:r>
          <w:r>
            <w:rPr>
              <w:rFonts w:hint="eastAsia"/>
              <w:bCs w:val="0"/>
            </w:rPr>
            <w:t>长期报价采购</w:t>
          </w:r>
        </w:p>
        <w:p w:rsidR="00156DD6" w:rsidRDefault="00D51F5F">
          <w:pPr>
            <w:spacing w:line="360" w:lineRule="exact"/>
            <w:ind w:firstLineChars="200" w:firstLine="420"/>
            <w:rPr>
              <w:bCs w:val="0"/>
            </w:rPr>
          </w:pPr>
          <w:r>
            <w:rPr>
              <w:rFonts w:hint="eastAsia"/>
              <w:bCs w:val="0"/>
            </w:rPr>
            <w:t>对于经常使用且使用量较为稳定的物资（如取向硅钢原料卷、铜材、钢材等），公司从合格供应商名单中选定一家或多家供应商签订供应商协议，一般期限为一年。在采购计划或请购需求得到批准后，公司直接根据对方的报价生成采购订单进行采购。</w:t>
          </w:r>
        </w:p>
        <w:p w:rsidR="00156DD6" w:rsidRDefault="00D51F5F">
          <w:pPr>
            <w:spacing w:line="360" w:lineRule="exact"/>
            <w:ind w:firstLineChars="200" w:firstLine="420"/>
            <w:outlineLvl w:val="4"/>
            <w:rPr>
              <w:bCs w:val="0"/>
            </w:rPr>
          </w:pPr>
          <w:r>
            <w:rPr>
              <w:rFonts w:ascii="微软雅黑" w:eastAsia="微软雅黑" w:hAnsi="微软雅黑" w:cs="微软雅黑" w:hint="eastAsia"/>
              <w:bCs w:val="0"/>
            </w:rPr>
            <w:t>②</w:t>
          </w:r>
          <w:r>
            <w:rPr>
              <w:rFonts w:hint="eastAsia"/>
              <w:bCs w:val="0"/>
            </w:rPr>
            <w:t>议价采购</w:t>
          </w:r>
        </w:p>
        <w:p w:rsidR="00156DD6" w:rsidRDefault="00D51F5F">
          <w:pPr>
            <w:spacing w:line="360" w:lineRule="exact"/>
            <w:ind w:firstLineChars="200" w:firstLine="420"/>
            <w:rPr>
              <w:bCs w:val="0"/>
            </w:rPr>
          </w:pPr>
          <w:r>
            <w:rPr>
              <w:rFonts w:hint="eastAsia"/>
              <w:bCs w:val="0"/>
            </w:rPr>
            <w:t>对于生产经营中需要使用但市场竞争不充分的物资（如非常用零部件及设备），公司主要采用议价采购的方式进行。</w:t>
          </w:r>
        </w:p>
        <w:p w:rsidR="00156DD6" w:rsidRDefault="00D51F5F">
          <w:pPr>
            <w:spacing w:line="360" w:lineRule="exact"/>
            <w:ind w:firstLineChars="200" w:firstLine="420"/>
            <w:outlineLvl w:val="4"/>
            <w:rPr>
              <w:bCs w:val="0"/>
            </w:rPr>
          </w:pPr>
          <w:r>
            <w:rPr>
              <w:rFonts w:ascii="微软雅黑" w:eastAsia="微软雅黑" w:hAnsi="微软雅黑" w:cs="微软雅黑" w:hint="eastAsia"/>
              <w:bCs w:val="0"/>
            </w:rPr>
            <w:t>③</w:t>
          </w:r>
          <w:r>
            <w:rPr>
              <w:rFonts w:hint="eastAsia"/>
              <w:bCs w:val="0"/>
            </w:rPr>
            <w:t>成品采购</w:t>
          </w:r>
        </w:p>
        <w:p w:rsidR="00156DD6" w:rsidRDefault="00D51F5F">
          <w:pPr>
            <w:spacing w:line="360" w:lineRule="exact"/>
            <w:ind w:firstLineChars="200" w:firstLine="420"/>
            <w:rPr>
              <w:bCs w:val="0"/>
            </w:rPr>
          </w:pPr>
          <w:r>
            <w:rPr>
              <w:rFonts w:hint="eastAsia"/>
              <w:bCs w:val="0"/>
            </w:rPr>
            <w:t>为及时响应客户订单，维护市场份额，公司在自身生产能力无法满足订单的情况下会对外采购部分成品。同时，由于部分客户指定配套产品需采用瑞士</w:t>
          </w:r>
          <w:r>
            <w:rPr>
              <w:rFonts w:hint="eastAsia"/>
              <w:bCs w:val="0"/>
            </w:rPr>
            <w:t>ABB</w:t>
          </w:r>
          <w:r>
            <w:rPr>
              <w:rFonts w:hint="eastAsia"/>
              <w:bCs w:val="0"/>
            </w:rPr>
            <w:t>集团、施耐德电气等国际知</w:t>
          </w:r>
          <w:r>
            <w:rPr>
              <w:rFonts w:hint="eastAsia"/>
              <w:bCs w:val="0"/>
            </w:rPr>
            <w:t>名电气设备厂商产品，公司需要对外采购部分成品以符合合同要求。</w:t>
          </w:r>
        </w:p>
        <w:p w:rsidR="00156DD6" w:rsidRDefault="00D51F5F">
          <w:pPr>
            <w:spacing w:line="360" w:lineRule="exact"/>
            <w:ind w:firstLineChars="200" w:firstLine="420"/>
            <w:outlineLvl w:val="4"/>
            <w:rPr>
              <w:bCs w:val="0"/>
            </w:rPr>
          </w:pPr>
          <w:r>
            <w:rPr>
              <w:rFonts w:ascii="微软雅黑" w:eastAsia="微软雅黑" w:hAnsi="微软雅黑" w:cs="微软雅黑" w:hint="eastAsia"/>
              <w:bCs w:val="0"/>
            </w:rPr>
            <w:t>④</w:t>
          </w:r>
          <w:r>
            <w:rPr>
              <w:rFonts w:hint="eastAsia"/>
              <w:bCs w:val="0"/>
            </w:rPr>
            <w:t>外协采购</w:t>
          </w:r>
        </w:p>
        <w:p w:rsidR="00156DD6" w:rsidRDefault="00D51F5F">
          <w:pPr>
            <w:spacing w:line="360" w:lineRule="exact"/>
            <w:ind w:firstLineChars="200" w:firstLine="420"/>
            <w:rPr>
              <w:bCs w:val="0"/>
            </w:rPr>
          </w:pPr>
          <w:r>
            <w:rPr>
              <w:rFonts w:hint="eastAsia"/>
              <w:bCs w:val="0"/>
            </w:rPr>
            <w:t>报告期内，公司外协采购业务为零部件加工、变压器加工组装等加工程序。公司拥有完整独立的资产、人员、技术体系和生产能力，主要采用自主生产模式，在公司产能饱和等情况下采取辅以外协加工的模式。</w:t>
          </w:r>
        </w:p>
        <w:p w:rsidR="00156DD6" w:rsidRDefault="00D51F5F">
          <w:pPr>
            <w:spacing w:line="360" w:lineRule="exact"/>
            <w:ind w:firstLineChars="200" w:firstLine="420"/>
            <w:outlineLvl w:val="3"/>
            <w:rPr>
              <w:bCs w:val="0"/>
            </w:rPr>
          </w:pPr>
          <w:r>
            <w:rPr>
              <w:rFonts w:hint="eastAsia"/>
              <w:bCs w:val="0"/>
            </w:rPr>
            <w:t>（</w:t>
          </w:r>
          <w:r>
            <w:rPr>
              <w:rFonts w:hint="eastAsia"/>
              <w:bCs w:val="0"/>
            </w:rPr>
            <w:t>2</w:t>
          </w:r>
          <w:r>
            <w:rPr>
              <w:rFonts w:hint="eastAsia"/>
              <w:bCs w:val="0"/>
            </w:rPr>
            <w:t>）生产模式</w:t>
          </w:r>
        </w:p>
        <w:p w:rsidR="00156DD6" w:rsidRDefault="00D51F5F">
          <w:pPr>
            <w:spacing w:line="360" w:lineRule="exact"/>
            <w:ind w:firstLineChars="200" w:firstLine="420"/>
            <w:rPr>
              <w:bCs w:val="0"/>
            </w:rPr>
          </w:pPr>
          <w:r>
            <w:rPr>
              <w:rFonts w:hint="eastAsia"/>
              <w:bCs w:val="0"/>
            </w:rPr>
            <w:t>取向硅钢业务采取“以产定销”的生产模式。</w:t>
          </w:r>
        </w:p>
        <w:p w:rsidR="00156DD6" w:rsidRDefault="00D51F5F">
          <w:pPr>
            <w:spacing w:line="360" w:lineRule="exact"/>
            <w:ind w:firstLineChars="200" w:firstLine="420"/>
            <w:rPr>
              <w:bCs w:val="0"/>
            </w:rPr>
          </w:pPr>
          <w:r>
            <w:rPr>
              <w:rFonts w:hint="eastAsia"/>
              <w:bCs w:val="0"/>
            </w:rPr>
            <w:t>公司输配电及控制设备主要采用“以销定产、标准产品适当库存”的生产模式；对于常规订单，各事业部根据营销中心营管部每月对市场需求预测计划、在手订单、历史订单数据、月库存情况制订《公司月度生产计划》和</w:t>
          </w:r>
          <w:r>
            <w:rPr>
              <w:rFonts w:hint="eastAsia"/>
              <w:bCs w:val="0"/>
            </w:rPr>
            <w:t>常规产品的安全库存规定组织生产，每周召开一次生产调度会，辅助以库存目标上下限来调节生产。对于非标准化的订单合同，在接受客户订单后，营管部将订单数量、规格、交货期等要求导入订单管理系统，经过合同评审环节后组织必要的设计开发程序，后续各事业部下属生产部下达采购和生产计划，采购部按照需求进行物料采购，上述工作完成后，公司生产部门开始组织生产车间按计划生产。</w:t>
          </w:r>
        </w:p>
        <w:p w:rsidR="00156DD6" w:rsidRDefault="00D51F5F">
          <w:pPr>
            <w:spacing w:line="360" w:lineRule="exact"/>
            <w:ind w:firstLineChars="200" w:firstLine="420"/>
            <w:outlineLvl w:val="3"/>
            <w:rPr>
              <w:bCs w:val="0"/>
            </w:rPr>
          </w:pPr>
          <w:r>
            <w:rPr>
              <w:rFonts w:hint="eastAsia"/>
              <w:bCs w:val="0"/>
            </w:rPr>
            <w:t>（</w:t>
          </w:r>
          <w:r>
            <w:rPr>
              <w:rFonts w:hint="eastAsia"/>
              <w:bCs w:val="0"/>
            </w:rPr>
            <w:t>3</w:t>
          </w:r>
          <w:r>
            <w:rPr>
              <w:rFonts w:hint="eastAsia"/>
              <w:bCs w:val="0"/>
            </w:rPr>
            <w:t>）销售模式</w:t>
          </w:r>
        </w:p>
        <w:p w:rsidR="00156DD6" w:rsidRDefault="00D51F5F">
          <w:pPr>
            <w:spacing w:line="360" w:lineRule="exact"/>
            <w:ind w:firstLineChars="200" w:firstLine="420"/>
            <w:rPr>
              <w:bCs w:val="0"/>
            </w:rPr>
          </w:pPr>
          <w:r>
            <w:rPr>
              <w:rFonts w:hint="eastAsia"/>
              <w:bCs w:val="0"/>
            </w:rPr>
            <w:t>公司取向硅钢产品采取直销模式与贸易商相结合的销售模式，输配电及控制设备产品主要采取直销模式。</w:t>
          </w:r>
        </w:p>
        <w:p w:rsidR="00156DD6" w:rsidRDefault="00D51F5F">
          <w:pPr>
            <w:spacing w:line="360" w:lineRule="exact"/>
            <w:ind w:firstLineChars="200" w:firstLine="420"/>
            <w:outlineLvl w:val="4"/>
            <w:rPr>
              <w:bCs w:val="0"/>
            </w:rPr>
          </w:pPr>
          <w:r>
            <w:rPr>
              <w:rFonts w:ascii="微软雅黑" w:eastAsia="微软雅黑" w:hAnsi="微软雅黑" w:cs="微软雅黑" w:hint="eastAsia"/>
              <w:bCs w:val="0"/>
            </w:rPr>
            <w:t>①</w:t>
          </w:r>
          <w:r>
            <w:rPr>
              <w:rFonts w:hint="eastAsia"/>
              <w:bCs w:val="0"/>
            </w:rPr>
            <w:t>输配电及控制设备产品</w:t>
          </w:r>
        </w:p>
        <w:p w:rsidR="00156DD6" w:rsidRDefault="00D51F5F">
          <w:pPr>
            <w:spacing w:line="360" w:lineRule="exact"/>
            <w:ind w:firstLineChars="200" w:firstLine="420"/>
            <w:rPr>
              <w:bCs w:val="0"/>
            </w:rPr>
          </w:pPr>
          <w:r>
            <w:rPr>
              <w:rFonts w:hint="eastAsia"/>
              <w:bCs w:val="0"/>
            </w:rPr>
            <w:t>公司输配电及控制设备产品采取直销模式，公司根据产品应用领域和下游客户的特点，主要通过参与招投标、竞争性谈判等方式独立获取订单。在销售策略方面，对于国家电网公司及其附属公司、南方电网公司及其附属公司、地方电网及其附属企业及其他国有企业等重点国有客户，</w:t>
          </w:r>
          <w:r>
            <w:rPr>
              <w:rFonts w:hint="eastAsia"/>
              <w:bCs w:val="0"/>
            </w:rPr>
            <w:lastRenderedPageBreak/>
            <w:t>公司通过招投标及竞争性谈判的方式获得订单；除上述客户以外其他客户，公司主要通过参与询价（比价）、竞争性谈判等方式获得订单。</w:t>
          </w:r>
        </w:p>
        <w:p w:rsidR="00156DD6" w:rsidRDefault="00D51F5F">
          <w:pPr>
            <w:spacing w:line="360" w:lineRule="exact"/>
            <w:ind w:firstLineChars="200" w:firstLine="420"/>
            <w:outlineLvl w:val="4"/>
            <w:rPr>
              <w:bCs w:val="0"/>
            </w:rPr>
          </w:pPr>
          <w:r>
            <w:rPr>
              <w:rFonts w:ascii="微软雅黑" w:eastAsia="微软雅黑" w:hAnsi="微软雅黑" w:cs="微软雅黑" w:hint="eastAsia"/>
              <w:bCs w:val="0"/>
            </w:rPr>
            <w:t>②</w:t>
          </w:r>
          <w:r>
            <w:rPr>
              <w:rFonts w:hint="eastAsia"/>
              <w:bCs w:val="0"/>
            </w:rPr>
            <w:t>取向硅钢产品</w:t>
          </w:r>
        </w:p>
        <w:p w:rsidR="00156DD6" w:rsidRDefault="00D51F5F">
          <w:pPr>
            <w:spacing w:line="360" w:lineRule="exact"/>
            <w:ind w:firstLineChars="200" w:firstLine="420"/>
            <w:rPr>
              <w:bCs w:val="0"/>
            </w:rPr>
          </w:pPr>
          <w:r>
            <w:rPr>
              <w:rFonts w:hint="eastAsia"/>
              <w:bCs w:val="0"/>
            </w:rPr>
            <w:t>公司取向硅钢产品销售采取直销模式与贸易商模式相结合的销售方式。</w:t>
          </w:r>
        </w:p>
        <w:p w:rsidR="00156DD6" w:rsidRDefault="00D51F5F">
          <w:pPr>
            <w:spacing w:line="360" w:lineRule="exact"/>
            <w:ind w:firstLineChars="200" w:firstLine="420"/>
            <w:rPr>
              <w:bCs w:val="0"/>
            </w:rPr>
          </w:pPr>
          <w:r>
            <w:rPr>
              <w:rFonts w:hint="eastAsia"/>
              <w:bCs w:val="0"/>
            </w:rPr>
            <w:t>直销模式下获取的客户属于输配电及控制设备生产企业，主要通过询</w:t>
          </w:r>
          <w:r>
            <w:rPr>
              <w:rFonts w:hint="eastAsia"/>
              <w:bCs w:val="0"/>
            </w:rPr>
            <w:t>价、商议等方式独立获取订单；贸易商模式下获取的客户是公司根据其销售渠道、客户资源、资金实力、从业经验等因素综合选择确定，公司根据贸易商指令完成交易，除产品质量问题以外，公司不参与贸易商终端客户后续管理。</w:t>
          </w:r>
        </w:p>
        <w:p w:rsidR="00156DD6" w:rsidRDefault="00D51F5F">
          <w:pPr>
            <w:spacing w:line="360" w:lineRule="exact"/>
            <w:ind w:firstLineChars="200" w:firstLine="420"/>
            <w:outlineLvl w:val="3"/>
            <w:rPr>
              <w:bCs w:val="0"/>
            </w:rPr>
          </w:pPr>
          <w:r>
            <w:rPr>
              <w:rFonts w:hint="eastAsia"/>
              <w:bCs w:val="0"/>
            </w:rPr>
            <w:t>（</w:t>
          </w:r>
          <w:r>
            <w:rPr>
              <w:rFonts w:hint="eastAsia"/>
              <w:bCs w:val="0"/>
            </w:rPr>
            <w:t>4</w:t>
          </w:r>
          <w:r>
            <w:rPr>
              <w:rFonts w:hint="eastAsia"/>
              <w:bCs w:val="0"/>
            </w:rPr>
            <w:t>）研发模式</w:t>
          </w:r>
        </w:p>
        <w:p w:rsidR="00156DD6" w:rsidRDefault="00D51F5F">
          <w:pPr>
            <w:spacing w:line="360" w:lineRule="exact"/>
            <w:ind w:firstLineChars="200" w:firstLine="420"/>
            <w:rPr>
              <w:bCs w:val="0"/>
            </w:rPr>
          </w:pPr>
          <w:r>
            <w:rPr>
              <w:rFonts w:hint="eastAsia"/>
              <w:bCs w:val="0"/>
            </w:rPr>
            <w:t>公司的研发模式为自主创新和联合开发相结合的方式。</w:t>
          </w:r>
        </w:p>
        <w:p w:rsidR="00156DD6" w:rsidRDefault="00D51F5F">
          <w:pPr>
            <w:spacing w:line="360" w:lineRule="exact"/>
            <w:ind w:firstLineChars="200" w:firstLine="420"/>
            <w:rPr>
              <w:bCs w:val="0"/>
            </w:rPr>
          </w:pPr>
          <w:r>
            <w:rPr>
              <w:rFonts w:hint="eastAsia"/>
              <w:bCs w:val="0"/>
            </w:rPr>
            <w:t>公司建立了完整的研发体系，成立了国家企业技术中心，下设新材料研究所、新能源装备研究所、变压器研究所、仿真技术研究所、重点实验室。</w:t>
          </w:r>
        </w:p>
        <w:p w:rsidR="00156DD6" w:rsidRDefault="00D51F5F">
          <w:pPr>
            <w:spacing w:line="360" w:lineRule="exact"/>
            <w:ind w:firstLineChars="200" w:firstLine="420"/>
            <w:rPr>
              <w:bCs w:val="0"/>
            </w:rPr>
          </w:pPr>
          <w:r>
            <w:rPr>
              <w:rFonts w:hint="eastAsia"/>
              <w:bCs w:val="0"/>
            </w:rPr>
            <w:t>公司主要致力于高磁感取向硅钢、节能环保输配电及控制设备的智能化等领域的新产品、新工艺、新技术的研发，</w:t>
          </w:r>
          <w:r>
            <w:rPr>
              <w:bCs w:val="0"/>
            </w:rPr>
            <w:t>2025</w:t>
          </w:r>
          <w:r>
            <w:rPr>
              <w:bCs w:val="0"/>
            </w:rPr>
            <w:t>年开</w:t>
          </w:r>
          <w:r>
            <w:rPr>
              <w:bCs w:val="0"/>
            </w:rPr>
            <w:t>展研发攻关项目</w:t>
          </w:r>
          <w:r>
            <w:rPr>
              <w:rFonts w:hint="eastAsia"/>
              <w:bCs w:val="0"/>
            </w:rPr>
            <w:t>70</w:t>
          </w:r>
          <w:r>
            <w:rPr>
              <w:bCs w:val="0"/>
            </w:rPr>
            <w:t>项，</w:t>
          </w:r>
          <w:r>
            <w:rPr>
              <w:bCs w:val="0"/>
            </w:rPr>
            <w:t>1-7</w:t>
          </w:r>
          <w:r>
            <w:rPr>
              <w:bCs w:val="0"/>
            </w:rPr>
            <w:t>月已申请专利</w:t>
          </w:r>
          <w:r>
            <w:rPr>
              <w:bCs w:val="0"/>
            </w:rPr>
            <w:t>6</w:t>
          </w:r>
          <w:r>
            <w:rPr>
              <w:rFonts w:hint="eastAsia"/>
              <w:bCs w:val="0"/>
            </w:rPr>
            <w:t>9</w:t>
          </w:r>
          <w:r>
            <w:rPr>
              <w:bCs w:val="0"/>
            </w:rPr>
            <w:t>项，获授权专利</w:t>
          </w:r>
          <w:r>
            <w:rPr>
              <w:rFonts w:hint="eastAsia"/>
              <w:bCs w:val="0"/>
            </w:rPr>
            <w:t>25</w:t>
          </w:r>
          <w:r>
            <w:rPr>
              <w:bCs w:val="0"/>
            </w:rPr>
            <w:t>项，已投入创新研发</w:t>
          </w:r>
          <w:r>
            <w:rPr>
              <w:rFonts w:hint="eastAsia"/>
              <w:bCs w:val="0"/>
            </w:rPr>
            <w:t>支出</w:t>
          </w:r>
          <w:r>
            <w:rPr>
              <w:rFonts w:hint="eastAsia"/>
              <w:bCs w:val="0"/>
            </w:rPr>
            <w:t>1.34</w:t>
          </w:r>
          <w:r>
            <w:rPr>
              <w:rFonts w:hint="eastAsia"/>
              <w:bCs w:val="0"/>
            </w:rPr>
            <w:t>亿元</w:t>
          </w:r>
          <w:r>
            <w:rPr>
              <w:bCs w:val="0"/>
            </w:rPr>
            <w:t>，已发表</w:t>
          </w:r>
          <w:r>
            <w:rPr>
              <w:bCs w:val="0"/>
            </w:rPr>
            <w:t>SCI</w:t>
          </w:r>
          <w:r>
            <w:rPr>
              <w:bCs w:val="0"/>
            </w:rPr>
            <w:t>论文</w:t>
          </w:r>
          <w:r>
            <w:rPr>
              <w:bCs w:val="0"/>
            </w:rPr>
            <w:t>4</w:t>
          </w:r>
          <w:r>
            <w:rPr>
              <w:bCs w:val="0"/>
            </w:rPr>
            <w:t>篇，参编国家标准</w:t>
          </w:r>
          <w:r>
            <w:rPr>
              <w:bCs w:val="0"/>
            </w:rPr>
            <w:t>2</w:t>
          </w:r>
          <w:r>
            <w:rPr>
              <w:bCs w:val="0"/>
            </w:rPr>
            <w:t>项，取得软件著作权</w:t>
          </w:r>
          <w:r>
            <w:rPr>
              <w:bCs w:val="0"/>
            </w:rPr>
            <w:t>3</w:t>
          </w:r>
          <w:r>
            <w:rPr>
              <w:bCs w:val="0"/>
            </w:rPr>
            <w:t>项。公司十分注重产学研合作开发，聚集了一批海内外优秀科研工作者，建成了国家级博士后科研工作站；与中国钢研科技集团连铸技术国家工程研究中心、重庆大学、重庆理工大学、重庆科技大学、中南大学、武汉科技大学、</w:t>
          </w:r>
          <w:r>
            <w:rPr>
              <w:rFonts w:hint="eastAsia"/>
              <w:bCs w:val="0"/>
            </w:rPr>
            <w:t>中国科学院</w:t>
          </w:r>
          <w:r>
            <w:rPr>
              <w:bCs w:val="0"/>
            </w:rPr>
            <w:t>物理所、松山湖材料实验室等高</w:t>
          </w:r>
          <w:r>
            <w:rPr>
              <w:rFonts w:hint="eastAsia"/>
              <w:bCs w:val="0"/>
            </w:rPr>
            <w:t>校开展校企联合攻关项目。此外，公司和湖南华菱涟源钢铁有限公司联合开展高性能磁性材料的研究开发，共建联合实验室，推动技术进</w:t>
          </w:r>
          <w:r>
            <w:rPr>
              <w:rFonts w:hint="eastAsia"/>
              <w:bCs w:val="0"/>
            </w:rPr>
            <w:t>步和成果转化，已实现薄规格高牌号取向硅钢的稳定产出。</w:t>
          </w:r>
        </w:p>
        <w:p w:rsidR="00156DD6" w:rsidRDefault="00D51F5F">
          <w:pPr>
            <w:spacing w:line="360" w:lineRule="exact"/>
            <w:ind w:firstLineChars="200" w:firstLine="420"/>
            <w:rPr>
              <w:bCs w:val="0"/>
            </w:rPr>
          </w:pPr>
          <w:r>
            <w:rPr>
              <w:rFonts w:hint="eastAsia"/>
              <w:bCs w:val="0"/>
            </w:rPr>
            <w:t>报告期内，公司的主要经营模式未发生重大变化。</w:t>
          </w:r>
        </w:p>
      </w:sdtContent>
    </w:sdt>
    <w:p w:rsidR="00156DD6" w:rsidRDefault="00D51F5F">
      <w:pPr>
        <w:spacing w:line="360" w:lineRule="exact"/>
        <w:rPr>
          <w:rFonts w:ascii="Calibri" w:hAnsi="Calibri"/>
          <w:bCs w:val="0"/>
        </w:rPr>
      </w:pPr>
      <w:bookmarkStart w:id="38" w:name="_Hlk199506625"/>
      <w:bookmarkStart w:id="39" w:name="_Hlk188285089"/>
      <w:r>
        <w:rPr>
          <w:rFonts w:ascii="Calibri" w:hAnsi="Calibri" w:hint="eastAsia"/>
        </w:rPr>
        <w:t>报告期内公司新增重要非主营业务的说明</w:t>
      </w:r>
    </w:p>
    <w:sdt>
      <w:sdtPr>
        <w:rPr>
          <w:rFonts w:hint="eastAsia"/>
        </w:rPr>
        <w:alias w:val="是否适用：报告期内公司新增重要非主营业务的说明[双击切换]"/>
        <w:tag w:val="_GBC_c777ca3f625d446a99f6adbd4267c48a"/>
        <w:id w:val="1034464835"/>
        <w:placeholder>
          <w:docPart w:val="GBC22222222222222222222222222222"/>
        </w:placeholder>
      </w:sdtPr>
      <w:sdtEndPr/>
      <w:sdtContent>
        <w:p w:rsidR="00156DD6" w:rsidRDefault="00D51F5F">
          <w:pPr>
            <w:pStyle w:val="Style43"/>
          </w:pPr>
          <w:r>
            <w:rPr>
              <w:rFonts w:hint="eastAsia"/>
            </w:rPr>
            <w:fldChar w:fldCharType="begin"/>
          </w:r>
          <w:r>
            <w:instrText xml:space="preserve"> MACROBUTTON  SnrToggleCheckbox □</w:instrText>
          </w:r>
          <w:r>
            <w:instrText>适用</w:instrText>
          </w:r>
          <w:r>
            <w:instrText xml:space="preserve"> </w:instrText>
          </w:r>
          <w:r>
            <w:rPr>
              <w:rFonts w:hint="eastAsia"/>
            </w:rPr>
            <w:fldChar w:fldCharType="end"/>
          </w:r>
          <w:r>
            <w:rPr>
              <w:rFonts w:hint="eastAsia"/>
            </w:rPr>
            <w:fldChar w:fldCharType="begin"/>
          </w:r>
          <w:r>
            <w:instrText xml:space="preserve"> MACROBUTTON  SnrToggleCheckbox √</w:instrText>
          </w:r>
          <w:r>
            <w:instrText>不适用</w:instrText>
          </w:r>
          <w:r>
            <w:instrText xml:space="preserve"> </w:instrText>
          </w:r>
          <w:r>
            <w:rPr>
              <w:rFonts w:hint="eastAsia"/>
            </w:rPr>
            <w:fldChar w:fldCharType="end"/>
          </w:r>
        </w:p>
      </w:sdtContent>
    </w:sdt>
    <w:bookmarkEnd w:id="38"/>
    <w:bookmarkEnd w:id="39"/>
    <w:p w:rsidR="00156DD6" w:rsidRDefault="00D51F5F">
      <w:pPr>
        <w:pStyle w:val="2"/>
        <w:numPr>
          <w:ilvl w:val="0"/>
          <w:numId w:val="5"/>
        </w:numPr>
        <w:tabs>
          <w:tab w:val="left" w:pos="426"/>
        </w:tabs>
        <w:ind w:left="0" w:firstLine="0"/>
        <w:jc w:val="left"/>
        <w:rPr>
          <w:rFonts w:ascii="宋体" w:hAnsi="宋体"/>
          <w:color w:val="000000" w:themeColor="text1"/>
        </w:rPr>
      </w:pPr>
      <w:r>
        <w:rPr>
          <w:rFonts w:ascii="宋体" w:hAnsi="宋体" w:hint="eastAsia"/>
          <w:color w:val="000000" w:themeColor="text1"/>
        </w:rPr>
        <w:t>经营情况的讨论与分析</w:t>
      </w:r>
    </w:p>
    <w:sdt>
      <w:sdtPr>
        <w:rPr>
          <w:rFonts w:hint="eastAsia"/>
        </w:rPr>
        <w:alias w:val="管理层讨论与分析"/>
        <w:tag w:val="_GBC_886258ec69e240da99b57ac102afbda6"/>
        <w:id w:val="-1305693624"/>
        <w:placeholder>
          <w:docPart w:val="GBC22222222222222222222222222222"/>
        </w:placeholder>
      </w:sdtPr>
      <w:sdtEndPr>
        <w:rPr>
          <w:color w:val="000000" w:themeColor="text1"/>
        </w:rPr>
      </w:sdtEndPr>
      <w:sdtContent>
        <w:p w:rsidR="00156DD6" w:rsidRDefault="00D51F5F">
          <w:pPr>
            <w:spacing w:line="360" w:lineRule="atLeast"/>
            <w:ind w:firstLineChars="200" w:firstLine="420"/>
            <w:jc w:val="both"/>
          </w:pPr>
          <w:r>
            <w:rPr>
              <w:rFonts w:hint="eastAsia"/>
            </w:rPr>
            <w:t>2025</w:t>
          </w:r>
          <w:r>
            <w:rPr>
              <w:rFonts w:hint="eastAsia"/>
            </w:rPr>
            <w:t>年上半年，全球经济复苏进程面临地缘政治冲突延宕、主要经济体货币政策调整、部分区域市场需求疲软等多重挑战，不确定性显著增强。与此同时，国内电力装备与新材料行业竞争格局持续深化，技术迭代加速，成本压力传导明显。在此复杂严峻的外部环境下，公司始终秉持战略定力，聚焦“高端化、智能化、绿色化”发展方向，坚定不移地向既定战略目标推进。通过扎实推进产业升级与重点项目的产能释放，公司核心业务展现出强劲的“质量提升”发展态势，整体经营韧性在逆风中持续增强，为全年目标的达成奠定了坚实基础。</w:t>
          </w:r>
        </w:p>
        <w:p w:rsidR="00156DD6" w:rsidRDefault="00D51F5F">
          <w:pPr>
            <w:numPr>
              <w:ilvl w:val="0"/>
              <w:numId w:val="6"/>
            </w:numPr>
            <w:spacing w:before="48" w:line="360" w:lineRule="atLeast"/>
            <w:ind w:firstLineChars="200" w:firstLine="420"/>
            <w:jc w:val="both"/>
            <w:outlineLvl w:val="2"/>
          </w:pPr>
          <w:r>
            <w:rPr>
              <w:rFonts w:hint="eastAsia"/>
            </w:rPr>
            <w:t>主要财务表现</w:t>
          </w:r>
          <w:r>
            <w:rPr>
              <w:rFonts w:hint="eastAsia"/>
            </w:rPr>
            <w:t xml:space="preserve">  </w:t>
          </w:r>
        </w:p>
        <w:p w:rsidR="00156DD6" w:rsidRDefault="00D51F5F">
          <w:pPr>
            <w:spacing w:before="48" w:line="360" w:lineRule="atLeast"/>
            <w:ind w:firstLineChars="200" w:firstLine="420"/>
            <w:jc w:val="both"/>
          </w:pPr>
          <w:r>
            <w:rPr>
              <w:rFonts w:hint="eastAsia"/>
            </w:rPr>
            <w:t>2025</w:t>
          </w:r>
          <w:r>
            <w:rPr>
              <w:rFonts w:hint="eastAsia"/>
            </w:rPr>
            <w:t>年上半年公司实现营业总收入</w:t>
          </w:r>
          <w:r>
            <w:rPr>
              <w:rFonts w:hint="eastAsia"/>
            </w:rPr>
            <w:t>183,598.31</w:t>
          </w:r>
          <w:r>
            <w:rPr>
              <w:rFonts w:hint="eastAsia"/>
            </w:rPr>
            <w:t>万元，同比增长</w:t>
          </w:r>
          <w:r>
            <w:rPr>
              <w:rFonts w:hint="eastAsia"/>
            </w:rPr>
            <w:t>28.81%;</w:t>
          </w:r>
          <w:r>
            <w:rPr>
              <w:rFonts w:hint="eastAsia"/>
            </w:rPr>
            <w:t>实现营业利润</w:t>
          </w:r>
          <w:r>
            <w:rPr>
              <w:rFonts w:hint="eastAsia"/>
            </w:rPr>
            <w:t>7,205.12</w:t>
          </w:r>
          <w:r>
            <w:rPr>
              <w:rFonts w:hint="eastAsia"/>
            </w:rPr>
            <w:t>万元，同比增长</w:t>
          </w:r>
          <w:r>
            <w:rPr>
              <w:rFonts w:hint="eastAsia"/>
            </w:rPr>
            <w:t>18.47%</w:t>
          </w:r>
          <w:r>
            <w:rPr>
              <w:rFonts w:hint="eastAsia"/>
            </w:rPr>
            <w:t>；实现净利润</w:t>
          </w:r>
          <w:r>
            <w:rPr>
              <w:rFonts w:hint="eastAsia"/>
            </w:rPr>
            <w:t>5,966.56</w:t>
          </w:r>
          <w:r>
            <w:rPr>
              <w:rFonts w:hint="eastAsia"/>
            </w:rPr>
            <w:t>万元，同比增长</w:t>
          </w:r>
          <w:r>
            <w:rPr>
              <w:rFonts w:hint="eastAsia"/>
            </w:rPr>
            <w:t>61.88%</w:t>
          </w:r>
          <w:r>
            <w:rPr>
              <w:rFonts w:hint="eastAsia"/>
            </w:rPr>
            <w:t>；归属于公司普通股股东的净利润</w:t>
          </w:r>
          <w:r>
            <w:rPr>
              <w:rFonts w:hint="eastAsia"/>
            </w:rPr>
            <w:t>5,463.22</w:t>
          </w:r>
          <w:r>
            <w:rPr>
              <w:rFonts w:hint="eastAsia"/>
            </w:rPr>
            <w:t>万元，同比增长</w:t>
          </w:r>
          <w:r>
            <w:rPr>
              <w:rFonts w:hint="eastAsia"/>
            </w:rPr>
            <w:t>57.02%</w:t>
          </w:r>
          <w:r>
            <w:rPr>
              <w:rFonts w:hint="eastAsia"/>
            </w:rPr>
            <w:t>。</w:t>
          </w:r>
        </w:p>
        <w:p w:rsidR="00156DD6" w:rsidRDefault="00D51F5F">
          <w:pPr>
            <w:spacing w:before="48" w:line="360" w:lineRule="atLeast"/>
            <w:ind w:firstLineChars="200" w:firstLine="420"/>
            <w:jc w:val="both"/>
          </w:pPr>
          <w:r>
            <w:rPr>
              <w:rFonts w:hint="eastAsia"/>
            </w:rPr>
            <w:t>1</w:t>
          </w:r>
          <w:r>
            <w:rPr>
              <w:rFonts w:hint="eastAsia"/>
            </w:rPr>
            <w:t>、报告期内，公司主营业务收入按产品划分的情况如下：</w:t>
          </w:r>
        </w:p>
        <w:p w:rsidR="00156DD6" w:rsidRDefault="00156DD6">
          <w:pPr>
            <w:spacing w:before="48" w:line="360" w:lineRule="atLeast"/>
            <w:ind w:firstLineChars="200" w:firstLine="420"/>
            <w:jc w:val="both"/>
          </w:pPr>
        </w:p>
        <w:p w:rsidR="00156DD6" w:rsidRDefault="00156DD6">
          <w:pPr>
            <w:spacing w:before="48" w:line="360" w:lineRule="atLeast"/>
            <w:ind w:firstLineChars="200" w:firstLine="420"/>
            <w:jc w:val="both"/>
          </w:pPr>
        </w:p>
        <w:p w:rsidR="00156DD6" w:rsidRDefault="00156DD6">
          <w:pPr>
            <w:spacing w:before="48" w:line="360" w:lineRule="atLeast"/>
            <w:ind w:firstLineChars="200" w:firstLine="420"/>
            <w:jc w:val="both"/>
          </w:pPr>
        </w:p>
        <w:p w:rsidR="00156DD6" w:rsidRDefault="00D51F5F">
          <w:pPr>
            <w:spacing w:before="48" w:line="360" w:lineRule="atLeast"/>
            <w:ind w:firstLineChars="200" w:firstLine="420"/>
            <w:jc w:val="both"/>
          </w:pPr>
          <w:r>
            <w:rPr>
              <w:noProof/>
            </w:rPr>
            <w:drawing>
              <wp:inline distT="0" distB="0" distL="0" distR="0">
                <wp:extent cx="4991735" cy="2484120"/>
                <wp:effectExtent l="0" t="0" r="0" b="0"/>
                <wp:docPr id="1643244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44862"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97175" cy="2486581"/>
                        </a:xfrm>
                        <a:prstGeom prst="rect">
                          <a:avLst/>
                        </a:prstGeom>
                      </pic:spPr>
                    </pic:pic>
                  </a:graphicData>
                </a:graphic>
              </wp:inline>
            </w:drawing>
          </w:r>
        </w:p>
        <w:p w:rsidR="00156DD6" w:rsidRDefault="00D51F5F">
          <w:pPr>
            <w:spacing w:before="48" w:line="360" w:lineRule="atLeast"/>
            <w:ind w:firstLineChars="200" w:firstLine="420"/>
            <w:jc w:val="both"/>
          </w:pPr>
          <w:r>
            <w:rPr>
              <w:rFonts w:hint="eastAsia"/>
            </w:rPr>
            <w:t>2</w:t>
          </w:r>
          <w:r>
            <w:rPr>
              <w:rFonts w:hint="eastAsia"/>
            </w:rPr>
            <w:t>、报告期内，公司主营业务同期对比情况如下：</w:t>
          </w:r>
        </w:p>
        <w:p w:rsidR="00156DD6" w:rsidRDefault="00D51F5F">
          <w:pPr>
            <w:spacing w:before="48" w:line="360" w:lineRule="atLeast"/>
            <w:ind w:firstLineChars="200" w:firstLine="420"/>
            <w:jc w:val="both"/>
          </w:pPr>
          <w:r>
            <w:rPr>
              <w:noProof/>
            </w:rPr>
            <w:drawing>
              <wp:inline distT="0" distB="0" distL="0" distR="0">
                <wp:extent cx="4937760" cy="2885440"/>
                <wp:effectExtent l="0" t="0" r="0" b="0"/>
                <wp:docPr id="1399019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19715"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937760" cy="2885440"/>
                        </a:xfrm>
                        <a:prstGeom prst="rect">
                          <a:avLst/>
                        </a:prstGeom>
                      </pic:spPr>
                    </pic:pic>
                  </a:graphicData>
                </a:graphic>
              </wp:inline>
            </w:drawing>
          </w:r>
        </w:p>
        <w:p w:rsidR="00156DD6" w:rsidRDefault="00D51F5F">
          <w:pPr>
            <w:spacing w:before="48" w:line="360" w:lineRule="atLeast"/>
            <w:ind w:firstLineChars="200" w:firstLine="420"/>
            <w:jc w:val="both"/>
          </w:pPr>
          <w:r>
            <w:rPr>
              <w:rFonts w:hint="eastAsia"/>
            </w:rPr>
            <w:t>3</w:t>
          </w:r>
          <w:r>
            <w:rPr>
              <w:rFonts w:hint="eastAsia"/>
            </w:rPr>
            <w:t>、报告期内，公司毛利额贡献情况如下：</w:t>
          </w:r>
        </w:p>
        <w:p w:rsidR="00156DD6" w:rsidRDefault="00D51F5F">
          <w:pPr>
            <w:spacing w:before="48" w:line="360" w:lineRule="atLeast"/>
            <w:ind w:firstLineChars="200" w:firstLine="420"/>
            <w:jc w:val="both"/>
          </w:pPr>
          <w:r>
            <w:rPr>
              <w:noProof/>
            </w:rPr>
            <w:drawing>
              <wp:inline distT="0" distB="0" distL="0" distR="0">
                <wp:extent cx="5107940" cy="2446020"/>
                <wp:effectExtent l="0" t="0" r="0" b="0"/>
                <wp:docPr id="1899951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51826"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11282" cy="2447620"/>
                        </a:xfrm>
                        <a:prstGeom prst="rect">
                          <a:avLst/>
                        </a:prstGeom>
                      </pic:spPr>
                    </pic:pic>
                  </a:graphicData>
                </a:graphic>
              </wp:inline>
            </w:drawing>
          </w:r>
        </w:p>
        <w:p w:rsidR="00156DD6" w:rsidRDefault="00D51F5F">
          <w:pPr>
            <w:numPr>
              <w:ilvl w:val="0"/>
              <w:numId w:val="6"/>
            </w:numPr>
            <w:spacing w:before="48" w:line="360" w:lineRule="atLeast"/>
            <w:ind w:firstLineChars="200" w:firstLine="420"/>
            <w:jc w:val="both"/>
            <w:outlineLvl w:val="2"/>
          </w:pPr>
          <w:r>
            <w:rPr>
              <w:rFonts w:hint="eastAsia"/>
            </w:rPr>
            <w:lastRenderedPageBreak/>
            <w:t>输配电及控制设备业务大幅提升</w:t>
          </w:r>
        </w:p>
        <w:p w:rsidR="00156DD6" w:rsidRDefault="00D51F5F">
          <w:pPr>
            <w:numPr>
              <w:ilvl w:val="0"/>
              <w:numId w:val="7"/>
            </w:numPr>
            <w:spacing w:before="48" w:line="360" w:lineRule="atLeast"/>
            <w:ind w:left="0" w:firstLineChars="200" w:firstLine="420"/>
            <w:jc w:val="both"/>
            <w:outlineLvl w:val="3"/>
          </w:pPr>
          <w:r>
            <w:rPr>
              <w:rFonts w:hint="eastAsia"/>
            </w:rPr>
            <w:t>上半年电力变压器与箱式变电站产销双增长</w:t>
          </w:r>
        </w:p>
        <w:tbl>
          <w:tblPr>
            <w:tblStyle w:val="af5"/>
            <w:tblW w:w="5000" w:type="pct"/>
            <w:tblLook w:val="04A0" w:firstRow="1" w:lastRow="0" w:firstColumn="1" w:lastColumn="0" w:noHBand="0" w:noVBand="1"/>
          </w:tblPr>
          <w:tblGrid>
            <w:gridCol w:w="1557"/>
            <w:gridCol w:w="1453"/>
            <w:gridCol w:w="1453"/>
            <w:gridCol w:w="1454"/>
            <w:gridCol w:w="1452"/>
            <w:gridCol w:w="1454"/>
          </w:tblGrid>
          <w:tr w:rsidR="00156DD6">
            <w:tc>
              <w:tcPr>
                <w:tcW w:w="882" w:type="pct"/>
              </w:tcPr>
              <w:p w:rsidR="00156DD6" w:rsidRDefault="00D51F5F">
                <w:pPr>
                  <w:spacing w:line="360" w:lineRule="exact"/>
                  <w:jc w:val="center"/>
                  <w:rPr>
                    <w:rFonts w:asciiTheme="minorEastAsia" w:eastAsiaTheme="minorEastAsia" w:hAnsiTheme="minorEastAsia" w:cstheme="minorEastAsia"/>
                  </w:rPr>
                </w:pPr>
                <w:r>
                  <w:rPr>
                    <w:rFonts w:hint="eastAsia"/>
                  </w:rPr>
                  <w:t>产品</w:t>
                </w:r>
              </w:p>
            </w:tc>
            <w:tc>
              <w:tcPr>
                <w:tcW w:w="823" w:type="pct"/>
              </w:tcPr>
              <w:p w:rsidR="00156DD6" w:rsidRDefault="00D51F5F">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单位</w:t>
                </w:r>
              </w:p>
            </w:tc>
            <w:tc>
              <w:tcPr>
                <w:tcW w:w="823" w:type="pct"/>
              </w:tcPr>
              <w:p w:rsidR="00156DD6" w:rsidRDefault="00D51F5F">
                <w:pPr>
                  <w:spacing w:line="360" w:lineRule="exact"/>
                  <w:jc w:val="center"/>
                  <w:rPr>
                    <w:rFonts w:asciiTheme="minorEastAsia" w:eastAsiaTheme="minorEastAsia" w:hAnsiTheme="minorEastAsia" w:cstheme="minorEastAsia"/>
                  </w:rPr>
                </w:pPr>
                <w:r>
                  <w:rPr>
                    <w:rFonts w:hint="eastAsia"/>
                  </w:rPr>
                  <w:t>产量</w:t>
                </w:r>
              </w:p>
            </w:tc>
            <w:tc>
              <w:tcPr>
                <w:tcW w:w="824" w:type="pct"/>
              </w:tcPr>
              <w:p w:rsidR="00156DD6" w:rsidRDefault="00D51F5F">
                <w:pPr>
                  <w:spacing w:line="360" w:lineRule="exact"/>
                  <w:jc w:val="center"/>
                  <w:rPr>
                    <w:rFonts w:asciiTheme="minorEastAsia" w:eastAsiaTheme="minorEastAsia" w:hAnsiTheme="minorEastAsia" w:cstheme="minorEastAsia"/>
                  </w:rPr>
                </w:pPr>
                <w:r>
                  <w:rPr>
                    <w:rFonts w:hint="eastAsia"/>
                  </w:rPr>
                  <w:t>同比</w:t>
                </w:r>
              </w:p>
            </w:tc>
            <w:tc>
              <w:tcPr>
                <w:tcW w:w="823" w:type="pct"/>
              </w:tcPr>
              <w:p w:rsidR="00156DD6" w:rsidRDefault="00D51F5F">
                <w:pPr>
                  <w:spacing w:line="360" w:lineRule="exact"/>
                  <w:jc w:val="center"/>
                  <w:rPr>
                    <w:rFonts w:asciiTheme="minorEastAsia" w:eastAsiaTheme="minorEastAsia" w:hAnsiTheme="minorEastAsia" w:cstheme="minorEastAsia"/>
                  </w:rPr>
                </w:pPr>
                <w:r>
                  <w:rPr>
                    <w:rFonts w:hint="eastAsia"/>
                  </w:rPr>
                  <w:t>销量</w:t>
                </w:r>
              </w:p>
            </w:tc>
            <w:tc>
              <w:tcPr>
                <w:tcW w:w="824" w:type="pct"/>
              </w:tcPr>
              <w:p w:rsidR="00156DD6" w:rsidRDefault="00D51F5F">
                <w:pPr>
                  <w:spacing w:line="360" w:lineRule="exact"/>
                  <w:jc w:val="center"/>
                  <w:rPr>
                    <w:rFonts w:asciiTheme="minorEastAsia" w:eastAsiaTheme="minorEastAsia" w:hAnsiTheme="minorEastAsia" w:cstheme="minorEastAsia"/>
                  </w:rPr>
                </w:pPr>
                <w:r>
                  <w:rPr>
                    <w:rFonts w:hint="eastAsia"/>
                  </w:rPr>
                  <w:t>同比</w:t>
                </w:r>
              </w:p>
            </w:tc>
          </w:tr>
          <w:tr w:rsidR="00156DD6">
            <w:tc>
              <w:tcPr>
                <w:tcW w:w="882" w:type="pct"/>
              </w:tcPr>
              <w:p w:rsidR="00156DD6" w:rsidRDefault="00D51F5F">
                <w:pPr>
                  <w:spacing w:line="360" w:lineRule="exact"/>
                  <w:rPr>
                    <w:rFonts w:asciiTheme="minorEastAsia" w:eastAsiaTheme="minorEastAsia" w:hAnsiTheme="minorEastAsia" w:cstheme="minorEastAsia"/>
                  </w:rPr>
                </w:pPr>
                <w:r>
                  <w:rPr>
                    <w:rFonts w:hint="eastAsia"/>
                  </w:rPr>
                  <w:t>电力变压器</w:t>
                </w:r>
              </w:p>
            </w:tc>
            <w:tc>
              <w:tcPr>
                <w:tcW w:w="823" w:type="pct"/>
                <w:vAlign w:val="center"/>
              </w:tcPr>
              <w:p w:rsidR="00156DD6" w:rsidRDefault="00D51F5F">
                <w:pPr>
                  <w:widowControl/>
                  <w:spacing w:line="360" w:lineRule="exact"/>
                  <w:jc w:val="center"/>
                  <w:textAlignment w:val="top"/>
                  <w:rPr>
                    <w:rFonts w:asciiTheme="minorEastAsia" w:eastAsiaTheme="minorEastAsia" w:hAnsiTheme="minorEastAsia" w:cstheme="minorEastAsia"/>
                  </w:rPr>
                </w:pPr>
                <w:r>
                  <w:rPr>
                    <w:rFonts w:asciiTheme="minorEastAsia" w:eastAsiaTheme="minorEastAsia" w:hAnsiTheme="minorEastAsia" w:cstheme="minorEastAsia" w:hint="eastAsia"/>
                  </w:rPr>
                  <w:t>万</w:t>
                </w:r>
                <w:r>
                  <w:rPr>
                    <w:rFonts w:asciiTheme="minorEastAsia" w:eastAsiaTheme="minorEastAsia" w:hAnsiTheme="minorEastAsia" w:cstheme="minorEastAsia" w:hint="eastAsia"/>
                  </w:rPr>
                  <w:t>kVA</w:t>
                </w:r>
              </w:p>
            </w:tc>
            <w:tc>
              <w:tcPr>
                <w:tcW w:w="823" w:type="pct"/>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2</w:t>
                </w:r>
                <w:r>
                  <w:t>,</w:t>
                </w:r>
                <w:r>
                  <w:rPr>
                    <w:rFonts w:hint="eastAsia"/>
                  </w:rPr>
                  <w:t>32</w:t>
                </w:r>
                <w:r>
                  <w:t>6</w:t>
                </w:r>
                <w:r>
                  <w:rPr>
                    <w:rFonts w:hint="eastAsia"/>
                  </w:rPr>
                  <w:t xml:space="preserve"> </w:t>
                </w:r>
              </w:p>
            </w:tc>
            <w:tc>
              <w:tcPr>
                <w:tcW w:w="824" w:type="pct"/>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66%</w:t>
                </w:r>
              </w:p>
            </w:tc>
            <w:tc>
              <w:tcPr>
                <w:tcW w:w="823" w:type="pct"/>
              </w:tcPr>
              <w:p w:rsidR="00156DD6" w:rsidRDefault="00D51F5F">
                <w:pPr>
                  <w:spacing w:line="360" w:lineRule="exact"/>
                  <w:jc w:val="right"/>
                  <w:textAlignment w:val="top"/>
                  <w:rPr>
                    <w:rFonts w:asciiTheme="minorEastAsia" w:eastAsiaTheme="minorEastAsia" w:hAnsiTheme="minorEastAsia" w:cstheme="minorEastAsia"/>
                  </w:rPr>
                </w:pPr>
                <w:r>
                  <w:rPr>
                    <w:rFonts w:hint="eastAsia"/>
                  </w:rPr>
                  <w:t xml:space="preserve">2,174 </w:t>
                </w:r>
              </w:p>
            </w:tc>
            <w:tc>
              <w:tcPr>
                <w:tcW w:w="824" w:type="pct"/>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51%</w:t>
                </w:r>
              </w:p>
            </w:tc>
          </w:tr>
          <w:tr w:rsidR="00156DD6">
            <w:tc>
              <w:tcPr>
                <w:tcW w:w="882" w:type="pct"/>
              </w:tcPr>
              <w:p w:rsidR="00156DD6" w:rsidRDefault="00D51F5F">
                <w:pPr>
                  <w:spacing w:line="360" w:lineRule="exact"/>
                  <w:rPr>
                    <w:rFonts w:asciiTheme="minorEastAsia" w:eastAsiaTheme="minorEastAsia" w:hAnsiTheme="minorEastAsia" w:cstheme="minorEastAsia"/>
                  </w:rPr>
                </w:pPr>
                <w:r>
                  <w:rPr>
                    <w:rFonts w:hint="eastAsia"/>
                  </w:rPr>
                  <w:t>箱式变电站</w:t>
                </w:r>
              </w:p>
            </w:tc>
            <w:tc>
              <w:tcPr>
                <w:tcW w:w="823" w:type="pct"/>
                <w:vAlign w:val="center"/>
              </w:tcPr>
              <w:p w:rsidR="00156DD6" w:rsidRDefault="00D51F5F">
                <w:pPr>
                  <w:widowControl/>
                  <w:spacing w:line="360" w:lineRule="exact"/>
                  <w:jc w:val="center"/>
                  <w:textAlignment w:val="top"/>
                  <w:rPr>
                    <w:rFonts w:asciiTheme="minorEastAsia" w:eastAsiaTheme="minorEastAsia" w:hAnsiTheme="minorEastAsia" w:cstheme="minorEastAsia"/>
                  </w:rPr>
                </w:pPr>
                <w:r>
                  <w:rPr>
                    <w:rFonts w:asciiTheme="minorEastAsia" w:eastAsiaTheme="minorEastAsia" w:hAnsiTheme="minorEastAsia" w:cstheme="minorEastAsia" w:hint="eastAsia"/>
                  </w:rPr>
                  <w:t>台</w:t>
                </w:r>
              </w:p>
            </w:tc>
            <w:tc>
              <w:tcPr>
                <w:tcW w:w="823" w:type="pct"/>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891</w:t>
                </w:r>
                <w:r>
                  <w:rPr>
                    <w:rFonts w:asciiTheme="minorEastAsia" w:eastAsiaTheme="minorEastAsia" w:hAnsiTheme="minorEastAsia" w:cstheme="minorEastAsia" w:hint="eastAsia"/>
                  </w:rPr>
                  <w:t xml:space="preserve"> </w:t>
                </w:r>
              </w:p>
            </w:tc>
            <w:tc>
              <w:tcPr>
                <w:tcW w:w="824" w:type="pct"/>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97%</w:t>
                </w:r>
              </w:p>
            </w:tc>
            <w:tc>
              <w:tcPr>
                <w:tcW w:w="823" w:type="pct"/>
              </w:tcPr>
              <w:p w:rsidR="00156DD6" w:rsidRDefault="00D51F5F">
                <w:pPr>
                  <w:spacing w:line="360" w:lineRule="exact"/>
                  <w:jc w:val="right"/>
                  <w:textAlignment w:val="top"/>
                  <w:rPr>
                    <w:rFonts w:asciiTheme="minorEastAsia" w:eastAsiaTheme="minorEastAsia" w:hAnsiTheme="minorEastAsia" w:cstheme="minorEastAsia"/>
                  </w:rPr>
                </w:pPr>
                <w:r>
                  <w:rPr>
                    <w:rFonts w:hint="eastAsia"/>
                  </w:rPr>
                  <w:t>926</w:t>
                </w:r>
                <w:r>
                  <w:rPr>
                    <w:rFonts w:asciiTheme="minorEastAsia" w:eastAsiaTheme="minorEastAsia" w:hAnsiTheme="minorEastAsia" w:cstheme="minorEastAsia" w:hint="eastAsia"/>
                  </w:rPr>
                  <w:t xml:space="preserve"> </w:t>
                </w:r>
              </w:p>
            </w:tc>
            <w:tc>
              <w:tcPr>
                <w:tcW w:w="824" w:type="pct"/>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81%</w:t>
                </w:r>
              </w:p>
            </w:tc>
          </w:tr>
          <w:tr w:rsidR="00156DD6">
            <w:tc>
              <w:tcPr>
                <w:tcW w:w="882" w:type="pct"/>
              </w:tcPr>
              <w:p w:rsidR="00156DD6" w:rsidRDefault="00D51F5F">
                <w:pPr>
                  <w:spacing w:line="360" w:lineRule="exact"/>
                  <w:rPr>
                    <w:rFonts w:asciiTheme="minorEastAsia" w:eastAsiaTheme="minorEastAsia" w:hAnsiTheme="minorEastAsia" w:cstheme="minorEastAsia"/>
                  </w:rPr>
                </w:pPr>
                <w:r>
                  <w:rPr>
                    <w:rFonts w:hint="eastAsia"/>
                  </w:rPr>
                  <w:t>其他成套设备</w:t>
                </w:r>
              </w:p>
            </w:tc>
            <w:tc>
              <w:tcPr>
                <w:tcW w:w="823" w:type="pct"/>
                <w:vAlign w:val="center"/>
              </w:tcPr>
              <w:p w:rsidR="00156DD6" w:rsidRDefault="00D51F5F">
                <w:pPr>
                  <w:widowControl/>
                  <w:spacing w:line="360" w:lineRule="exact"/>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rPr>
                  <w:t>台</w:t>
                </w:r>
              </w:p>
            </w:tc>
            <w:tc>
              <w:tcPr>
                <w:tcW w:w="823" w:type="pct"/>
              </w:tcPr>
              <w:p w:rsidR="00156DD6" w:rsidRDefault="00D51F5F">
                <w:pPr>
                  <w:widowControl/>
                  <w:spacing w:line="360" w:lineRule="exact"/>
                  <w:jc w:val="right"/>
                  <w:textAlignment w:val="center"/>
                  <w:rPr>
                    <w:rFonts w:asciiTheme="minorEastAsia" w:eastAsiaTheme="minorEastAsia" w:hAnsiTheme="minorEastAsia" w:cstheme="minorEastAsia"/>
                  </w:rPr>
                </w:pPr>
                <w:r>
                  <w:rPr>
                    <w:rFonts w:hint="eastAsia"/>
                  </w:rPr>
                  <w:t>3,220</w:t>
                </w:r>
                <w:r>
                  <w:rPr>
                    <w:rFonts w:asciiTheme="minorEastAsia" w:eastAsiaTheme="minorEastAsia" w:hAnsiTheme="minorEastAsia" w:cstheme="minorEastAsia" w:hint="eastAsia"/>
                  </w:rPr>
                  <w:t xml:space="preserve"> </w:t>
                </w:r>
              </w:p>
            </w:tc>
            <w:tc>
              <w:tcPr>
                <w:tcW w:w="824" w:type="pct"/>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-11%</w:t>
                </w:r>
              </w:p>
            </w:tc>
            <w:tc>
              <w:tcPr>
                <w:tcW w:w="823" w:type="pct"/>
              </w:tcPr>
              <w:p w:rsidR="00156DD6" w:rsidRDefault="00D51F5F">
                <w:pPr>
                  <w:spacing w:line="360" w:lineRule="exact"/>
                  <w:jc w:val="right"/>
                  <w:textAlignment w:val="top"/>
                  <w:rPr>
                    <w:rFonts w:asciiTheme="minorEastAsia" w:eastAsiaTheme="minorEastAsia" w:hAnsiTheme="minorEastAsia" w:cstheme="minorEastAsia"/>
                  </w:rPr>
                </w:pPr>
                <w:r>
                  <w:rPr>
                    <w:rFonts w:hint="eastAsia"/>
                  </w:rPr>
                  <w:t>3,262</w:t>
                </w:r>
                <w:r>
                  <w:rPr>
                    <w:rFonts w:asciiTheme="minorEastAsia" w:eastAsiaTheme="minorEastAsia" w:hAnsiTheme="minorEastAsia" w:cstheme="minorEastAsia" w:hint="eastAsia"/>
                  </w:rPr>
                  <w:t xml:space="preserve"> </w:t>
                </w:r>
              </w:p>
            </w:tc>
            <w:tc>
              <w:tcPr>
                <w:tcW w:w="824" w:type="pct"/>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-24%</w:t>
                </w:r>
              </w:p>
            </w:tc>
          </w:tr>
        </w:tbl>
        <w:p w:rsidR="00156DD6" w:rsidRDefault="00D51F5F">
          <w:pPr>
            <w:spacing w:before="48" w:line="360" w:lineRule="atLeast"/>
            <w:ind w:firstLineChars="200" w:firstLine="420"/>
            <w:jc w:val="both"/>
          </w:pPr>
          <w:r>
            <w:rPr>
              <w:rFonts w:hint="eastAsia"/>
            </w:rPr>
            <w:t>从上表数据列示可知，公司抓住了</w:t>
          </w:r>
          <w:r>
            <w:rPr>
              <w:rFonts w:hint="eastAsia"/>
            </w:rPr>
            <w:t>2</w:t>
          </w:r>
          <w:r>
            <w:t>025</w:t>
          </w:r>
          <w:r>
            <w:rPr>
              <w:rFonts w:hint="eastAsia"/>
            </w:rPr>
            <w:t>年上半年电力投资的机会，变压器和箱式变电站产品产销大幅度提升；其他成套设备有小幅下滑，因为箱式变电站和其他成套设备为一个生产事业部，产品均为定制化产品，公司顺应市场需求接单，导致此消彼长的产品结构差异是正常的。</w:t>
          </w:r>
        </w:p>
        <w:p w:rsidR="00156DD6" w:rsidRDefault="00D51F5F">
          <w:pPr>
            <w:numPr>
              <w:ilvl w:val="0"/>
              <w:numId w:val="7"/>
            </w:numPr>
            <w:spacing w:before="48" w:line="360" w:lineRule="atLeast"/>
            <w:ind w:left="0" w:firstLineChars="200" w:firstLine="420"/>
            <w:jc w:val="both"/>
            <w:outlineLvl w:val="3"/>
          </w:pPr>
          <w:r>
            <w:rPr>
              <w:rFonts w:hint="eastAsia"/>
            </w:rPr>
            <w:t>高电压等级引领增长</w:t>
          </w:r>
        </w:p>
        <w:p w:rsidR="00156DD6" w:rsidRDefault="00D51F5F">
          <w:pPr>
            <w:spacing w:before="48" w:line="360" w:lineRule="atLeast"/>
            <w:ind w:left="105" w:firstLineChars="200" w:firstLine="420"/>
            <w:jc w:val="both"/>
          </w:pPr>
          <w:bookmarkStart w:id="40" w:name="OLE_LINK21"/>
          <w:r>
            <w:rPr>
              <w:rFonts w:hint="eastAsia"/>
            </w:rPr>
            <w:t>2025</w:t>
          </w:r>
          <w:r>
            <w:rPr>
              <w:rFonts w:hint="eastAsia"/>
            </w:rPr>
            <w:t>年上半年公司</w:t>
          </w:r>
          <w:r>
            <w:rPr>
              <w:rFonts w:hint="eastAsia"/>
            </w:rPr>
            <w:t>110kV</w:t>
          </w:r>
          <w:r>
            <w:rPr>
              <w:rFonts w:hint="eastAsia"/>
            </w:rPr>
            <w:t>及以上变压器产品营业收入从去年同期的</w:t>
          </w:r>
          <w:r>
            <w:rPr>
              <w:rFonts w:hint="eastAsia"/>
            </w:rPr>
            <w:t>2.01</w:t>
          </w:r>
          <w:r>
            <w:rPr>
              <w:rFonts w:hint="eastAsia"/>
            </w:rPr>
            <w:t>亿元增加到</w:t>
          </w:r>
          <w:r>
            <w:rPr>
              <w:rFonts w:hint="eastAsia"/>
            </w:rPr>
            <w:t>5.06</w:t>
          </w:r>
          <w:r>
            <w:rPr>
              <w:rFonts w:hint="eastAsia"/>
            </w:rPr>
            <w:t>亿元，增加</w:t>
          </w:r>
          <w:r>
            <w:rPr>
              <w:rFonts w:hint="eastAsia"/>
            </w:rPr>
            <w:t>3.05</w:t>
          </w:r>
          <w:r>
            <w:rPr>
              <w:rFonts w:hint="eastAsia"/>
            </w:rPr>
            <w:t>亿元，增长</w:t>
          </w:r>
          <w:r>
            <w:rPr>
              <w:rFonts w:hint="eastAsia"/>
            </w:rPr>
            <w:t>151.74%</w:t>
          </w:r>
          <w:r>
            <w:rPr>
              <w:rFonts w:hint="eastAsia"/>
            </w:rPr>
            <w:t>；占同类型营业收入的比重从去年同期的</w:t>
          </w:r>
          <w:r>
            <w:rPr>
              <w:rFonts w:hint="eastAsia"/>
            </w:rPr>
            <w:t>25.80%</w:t>
          </w:r>
          <w:r>
            <w:rPr>
              <w:rFonts w:hint="eastAsia"/>
            </w:rPr>
            <w:t>提升至</w:t>
          </w:r>
          <w:r>
            <w:rPr>
              <w:rFonts w:hint="eastAsia"/>
            </w:rPr>
            <w:t>44.26%</w:t>
          </w:r>
          <w:r>
            <w:rPr>
              <w:rFonts w:hint="eastAsia"/>
            </w:rPr>
            <w:t>，提升</w:t>
          </w:r>
          <w:r>
            <w:rPr>
              <w:rFonts w:hint="eastAsia"/>
            </w:rPr>
            <w:t>18.46</w:t>
          </w:r>
          <w:r>
            <w:rPr>
              <w:rFonts w:hint="eastAsia"/>
            </w:rPr>
            <w:t>个百分点。高电压等级产品收入进一步增长，引领公司输配电及控制设备业务收入增长。</w:t>
          </w:r>
        </w:p>
        <w:bookmarkEnd w:id="40"/>
        <w:p w:rsidR="00156DD6" w:rsidRDefault="00D51F5F">
          <w:pPr>
            <w:spacing w:before="48" w:line="360" w:lineRule="atLeast"/>
            <w:ind w:left="105" w:firstLineChars="200" w:firstLine="420"/>
            <w:jc w:val="both"/>
          </w:pPr>
          <w:r>
            <w:rPr>
              <w:rFonts w:hint="eastAsia"/>
            </w:rPr>
            <w:t>公司坚决执行产品结构向高端迈进的发展战略，成效斐然。高附加值、高技术壁垒的高电压等级输配电设备业务占比实现显著提升，成为拉动公司增长的核心引擎，优化了公司产品组合，更显著提升了公司在产业链中的价值定位和议价能力。产品</w:t>
          </w:r>
          <w:r>
            <w:rPr>
              <w:rFonts w:hint="eastAsia"/>
            </w:rPr>
            <w:t>结构的持续优化是公司盈利能力改善和抵御周期波动的关键支撑。</w:t>
          </w:r>
        </w:p>
        <w:p w:rsidR="00156DD6" w:rsidRDefault="00D51F5F">
          <w:pPr>
            <w:spacing w:before="48" w:line="360" w:lineRule="atLeast"/>
            <w:ind w:left="105" w:firstLineChars="200" w:firstLine="420"/>
            <w:jc w:val="both"/>
            <w:outlineLvl w:val="3"/>
          </w:pPr>
          <w:r>
            <w:rPr>
              <w:rFonts w:hint="eastAsia"/>
            </w:rPr>
            <w:t>3</w:t>
          </w:r>
          <w:r>
            <w:rPr>
              <w:rFonts w:hint="eastAsia"/>
            </w:rPr>
            <w:t>、国际化战略成效显著，</w:t>
          </w:r>
          <w:r>
            <w:t>高端电力设备市场取得突破性进展</w:t>
          </w:r>
        </w:p>
        <w:p w:rsidR="00156DD6" w:rsidRDefault="00D51F5F">
          <w:pPr>
            <w:spacing w:before="48" w:line="360" w:lineRule="atLeast"/>
            <w:ind w:left="108" w:firstLineChars="200" w:firstLine="420"/>
            <w:jc w:val="both"/>
          </w:pPr>
          <w:r>
            <w:rPr>
              <w:rFonts w:hint="eastAsia"/>
            </w:rPr>
            <w:t>公司依托云变电气</w:t>
          </w:r>
          <w:r>
            <w:t>90</w:t>
          </w:r>
          <w:r>
            <w:t>年的深厚技术积淀，在输配电及控制设备领域实现重大突破，自主研发的</w:t>
          </w:r>
          <w:r>
            <w:t>OSFPSZ18-250000/220</w:t>
          </w:r>
          <w:r>
            <w:t>自耦电力变压器成功通过荷兰</w:t>
          </w:r>
          <w:r>
            <w:t>KEMA</w:t>
          </w:r>
          <w:r>
            <w:t>实验室全套认证测试，获得欧洲高端电力设备市场准入资格，为全球化拓展奠定坚实基础；同时，公司核心产品成功进入国际重大基建项目供应链，完成中国交建马来西亚东海岸铁路项目牵引变压器入厂验收，并如期履约中海油项目实现国内空白领域突破，显著提升了海外</w:t>
          </w:r>
          <w:r>
            <w:t>高端市场认可度与影响力；根据发展规划，未来三年公司将重点提升海外业务占比，加速推进</w:t>
          </w:r>
          <w:r>
            <w:t>IEC</w:t>
          </w:r>
          <w:r>
            <w:t>标准与国标的深度融合，深化欧</w:t>
          </w:r>
          <w:r>
            <w:rPr>
              <w:rFonts w:hint="eastAsia"/>
            </w:rPr>
            <w:t>洲、中东等高端市场布局，目前相关工作正在加快推进，为持续国际化增长提供有力支撑。</w:t>
          </w:r>
        </w:p>
        <w:p w:rsidR="00156DD6" w:rsidRDefault="00D51F5F">
          <w:pPr>
            <w:widowControl w:val="0"/>
            <w:spacing w:line="360" w:lineRule="atLeast"/>
            <w:ind w:firstLineChars="200" w:firstLine="420"/>
            <w:jc w:val="both"/>
            <w:outlineLvl w:val="3"/>
          </w:pPr>
          <w:r>
            <w:rPr>
              <w:rFonts w:hint="eastAsia"/>
            </w:rPr>
            <w:t>4</w:t>
          </w:r>
          <w:r>
            <w:rPr>
              <w:rFonts w:hint="eastAsia"/>
            </w:rPr>
            <w:t>、持续加强输配电及控制设备前瞻布局，推动公司高质量发展</w:t>
          </w:r>
        </w:p>
        <w:p w:rsidR="00156DD6" w:rsidRDefault="00D51F5F">
          <w:pPr>
            <w:widowControl w:val="0"/>
            <w:spacing w:line="360" w:lineRule="atLeast"/>
            <w:ind w:firstLineChars="200" w:firstLine="420"/>
            <w:jc w:val="both"/>
          </w:pPr>
          <w:r>
            <w:rPr>
              <w:rFonts w:hint="eastAsia"/>
            </w:rPr>
            <w:t>上半年公司持续进行前瞻性布局研发高端变压器系列：</w:t>
          </w:r>
          <w:r>
            <w:rPr>
              <w:rFonts w:hint="eastAsia"/>
            </w:rPr>
            <w:t>500kV</w:t>
          </w:r>
          <w:r>
            <w:rPr>
              <w:rFonts w:hint="eastAsia"/>
            </w:rPr>
            <w:t>及以下高能效（绿色）智能电力变压器、高可靠新型智能电气化铁路牵引变压器、立体卷铁心非晶合金变压器、光伏、风电、储能项目电力变压器和箱式变压器等新产品。</w:t>
          </w:r>
        </w:p>
        <w:p w:rsidR="00156DD6" w:rsidRDefault="00D51F5F">
          <w:pPr>
            <w:widowControl w:val="0"/>
            <w:spacing w:line="360" w:lineRule="atLeast"/>
            <w:ind w:firstLineChars="200" w:firstLine="420"/>
            <w:jc w:val="both"/>
          </w:pPr>
          <w:r>
            <w:rPr>
              <w:rFonts w:hint="eastAsia"/>
            </w:rPr>
            <w:t>新能源与智能化产品：光伏</w:t>
          </w:r>
          <w:r>
            <w:rPr>
              <w:rFonts w:hint="eastAsia"/>
            </w:rPr>
            <w:t>/</w:t>
          </w:r>
          <w:r>
            <w:rPr>
              <w:rFonts w:hint="eastAsia"/>
            </w:rPr>
            <w:t>风电智能成套设备、</w:t>
          </w:r>
          <w:r>
            <w:rPr>
              <w:rFonts w:hint="eastAsia"/>
            </w:rPr>
            <w:t>E</w:t>
          </w:r>
          <w:r>
            <w:rPr>
              <w:rFonts w:hint="eastAsia"/>
            </w:rPr>
            <w:t>link-H35</w:t>
          </w:r>
          <w:r>
            <w:rPr>
              <w:rFonts w:hint="eastAsia"/>
            </w:rPr>
            <w:t>智能储能并网箱变、环保充气柜、低压智能柜（</w:t>
          </w:r>
          <w:r>
            <w:rPr>
              <w:rFonts w:hint="eastAsia"/>
            </w:rPr>
            <w:t>IOT</w:t>
          </w:r>
          <w:r>
            <w:rPr>
              <w:rFonts w:hint="eastAsia"/>
            </w:rPr>
            <w:t>集成）。</w:t>
          </w:r>
        </w:p>
        <w:p w:rsidR="00156DD6" w:rsidRDefault="00D51F5F">
          <w:pPr>
            <w:widowControl w:val="0"/>
            <w:spacing w:line="360" w:lineRule="atLeast"/>
            <w:ind w:firstLineChars="200" w:firstLine="420"/>
            <w:jc w:val="both"/>
            <w:rPr>
              <w:b/>
            </w:rPr>
          </w:pPr>
          <w:r>
            <w:rPr>
              <w:rFonts w:hint="eastAsia"/>
            </w:rPr>
            <w:t>公司产品实现前沿领域突破：数据中心专用变压器（满足</w:t>
          </w:r>
          <w:r>
            <w:rPr>
              <w:rFonts w:hint="eastAsia"/>
            </w:rPr>
            <w:t>AI</w:t>
          </w:r>
          <w:r>
            <w:rPr>
              <w:rFonts w:hint="eastAsia"/>
            </w:rPr>
            <w:t>算力高负载需求）、具身智能配套电力系统（前瞻性技术储备）。</w:t>
          </w:r>
        </w:p>
        <w:p w:rsidR="00156DD6" w:rsidRDefault="00D51F5F">
          <w:pPr>
            <w:spacing w:before="48" w:line="360" w:lineRule="atLeast"/>
            <w:ind w:firstLineChars="200" w:firstLine="420"/>
            <w:jc w:val="both"/>
            <w:rPr>
              <w:rStyle w:val="af8"/>
            </w:rPr>
          </w:pPr>
          <w:hyperlink r:id="rId23" w:history="1">
            <w:r>
              <w:rPr>
                <w:rStyle w:val="af7"/>
                <w:rFonts w:hint="eastAsia"/>
                <w:color w:val="auto"/>
                <w:u w:val="none"/>
              </w:rPr>
              <w:t>报告期内，公司紧密围绕年度经营目标，多措并举推动高质量发展：持续加大研发技术投入，积极推进产能提升与高端化产品转型，不断拓展市场布局。通过多渠道引入新质生产力，公司进一步增强了产品盈利能力，为实现可持续高质量发展奠定了坚实基础。</w:t>
            </w:r>
          </w:hyperlink>
        </w:p>
        <w:p w:rsidR="00156DD6" w:rsidRDefault="00D51F5F">
          <w:pPr>
            <w:spacing w:before="48" w:line="360" w:lineRule="atLeast"/>
            <w:ind w:firstLineChars="200" w:firstLine="420"/>
            <w:jc w:val="both"/>
            <w:outlineLvl w:val="2"/>
          </w:pPr>
          <w:r>
            <w:rPr>
              <w:rFonts w:hint="eastAsia"/>
            </w:rPr>
            <w:lastRenderedPageBreak/>
            <w:t>（三）取向</w:t>
          </w:r>
          <w:r>
            <w:rPr>
              <w:rFonts w:hint="eastAsia"/>
            </w:rPr>
            <w:t>硅钢业务稳中有进</w:t>
          </w:r>
        </w:p>
        <w:p w:rsidR="00156DD6" w:rsidRDefault="00D51F5F">
          <w:pPr>
            <w:numPr>
              <w:ilvl w:val="0"/>
              <w:numId w:val="8"/>
            </w:numPr>
            <w:spacing w:before="48" w:line="360" w:lineRule="atLeast"/>
            <w:ind w:left="108" w:firstLineChars="200" w:firstLine="420"/>
            <w:jc w:val="both"/>
            <w:outlineLvl w:val="3"/>
          </w:pPr>
          <w:r>
            <w:rPr>
              <w:rFonts w:hint="eastAsia"/>
            </w:rPr>
            <w:t>产能利用率持续提升，牌号结构持续优化</w:t>
          </w:r>
        </w:p>
        <w:p w:rsidR="00156DD6" w:rsidRDefault="00D51F5F">
          <w:pPr>
            <w:spacing w:line="360" w:lineRule="atLeast"/>
            <w:ind w:firstLineChars="200" w:firstLine="420"/>
            <w:jc w:val="both"/>
          </w:pPr>
          <w:r>
            <w:rPr>
              <w:rFonts w:hint="eastAsia"/>
            </w:rPr>
            <w:t>公司取向硅钢总产能已达</w:t>
          </w:r>
          <w:r>
            <w:rPr>
              <w:rFonts w:hint="eastAsia"/>
            </w:rPr>
            <w:t xml:space="preserve"> 18 </w:t>
          </w:r>
          <w:r>
            <w:rPr>
              <w:rFonts w:hint="eastAsia"/>
            </w:rPr>
            <w:t>万吨，上半年实现产量</w:t>
          </w:r>
          <w:r>
            <w:rPr>
              <w:rFonts w:hint="eastAsia"/>
            </w:rPr>
            <w:t>8.46</w:t>
          </w:r>
          <w:r>
            <w:rPr>
              <w:rFonts w:hint="eastAsia"/>
            </w:rPr>
            <w:t>万吨，同比增加</w:t>
          </w:r>
          <w:r>
            <w:rPr>
              <w:rFonts w:hint="eastAsia"/>
            </w:rPr>
            <w:t>1.34</w:t>
          </w:r>
          <w:r>
            <w:rPr>
              <w:rFonts w:hint="eastAsia"/>
            </w:rPr>
            <w:t>万吨，增长</w:t>
          </w:r>
          <w:r>
            <w:rPr>
              <w:rFonts w:hint="eastAsia"/>
            </w:rPr>
            <w:t>18.82%</w:t>
          </w:r>
          <w:r>
            <w:rPr>
              <w:rFonts w:hint="eastAsia"/>
            </w:rPr>
            <w:t>；上半年产能利用率达</w:t>
          </w:r>
          <w:r>
            <w:rPr>
              <w:rFonts w:hint="eastAsia"/>
            </w:rPr>
            <w:t>101.18%</w:t>
          </w:r>
          <w:r>
            <w:rPr>
              <w:rFonts w:hint="eastAsia"/>
            </w:rPr>
            <w:t>，同比增长</w:t>
          </w:r>
          <w:r>
            <w:rPr>
              <w:rFonts w:hint="eastAsia"/>
            </w:rPr>
            <w:t>3.66%</w:t>
          </w:r>
          <w:r>
            <w:rPr>
              <w:rFonts w:hint="eastAsia"/>
            </w:rPr>
            <w:t>。</w:t>
          </w:r>
        </w:p>
        <w:p w:rsidR="00156DD6" w:rsidRDefault="00D51F5F">
          <w:pPr>
            <w:spacing w:line="360" w:lineRule="atLeast"/>
            <w:ind w:firstLineChars="200" w:firstLine="420"/>
            <w:jc w:val="both"/>
          </w:pPr>
          <w:r>
            <w:rPr>
              <w:rFonts w:hint="eastAsia"/>
            </w:rPr>
            <w:t>在八万吨高端磁性新材料项目中，</w:t>
          </w:r>
          <w:r>
            <w:t>95</w:t>
          </w:r>
          <w:r>
            <w:t>及以上牌号产品占比已接近</w:t>
          </w:r>
          <w:r>
            <w:t>80%</w:t>
          </w:r>
          <w:r>
            <w:t>，产品结构高端化趋势显著，体现了公司持续推进产业升级与结构调整的战略成果。</w:t>
          </w:r>
          <w:r>
            <w:rPr>
              <w:rFonts w:hint="eastAsia"/>
            </w:rPr>
            <w:t>报告期内公司成功实现</w:t>
          </w:r>
          <w:r>
            <w:rPr>
              <w:rFonts w:hint="eastAsia"/>
            </w:rPr>
            <w:t xml:space="preserve"> 075 </w:t>
          </w:r>
          <w:r>
            <w:rPr>
              <w:rFonts w:hint="eastAsia"/>
            </w:rPr>
            <w:t>牌号的技术突破并进入小批量试产阶段，标志着公司在超高磁感取向硅钢领域的技术积累取得重大进展，显著缩小了与国际领先企业的差距，为全球竞争力提升奠定了坚实的技术基础。</w:t>
          </w:r>
        </w:p>
        <w:p w:rsidR="00156DD6" w:rsidRDefault="00D51F5F">
          <w:pPr>
            <w:numPr>
              <w:ilvl w:val="0"/>
              <w:numId w:val="8"/>
            </w:numPr>
            <w:spacing w:before="48" w:line="360" w:lineRule="atLeast"/>
            <w:ind w:left="108" w:firstLineChars="200" w:firstLine="420"/>
            <w:jc w:val="both"/>
            <w:outlineLvl w:val="3"/>
          </w:pPr>
          <w:r>
            <w:rPr>
              <w:rFonts w:hint="eastAsia"/>
            </w:rPr>
            <w:t>降本提质增效显著</w:t>
          </w:r>
        </w:p>
        <w:p w:rsidR="00156DD6" w:rsidRDefault="00D51F5F">
          <w:pPr>
            <w:pStyle w:val="afe"/>
            <w:spacing w:line="360" w:lineRule="atLeast"/>
            <w:ind w:left="105"/>
            <w:jc w:val="both"/>
          </w:pPr>
          <w:r>
            <w:rPr>
              <w:rFonts w:hint="eastAsia"/>
            </w:rPr>
            <w:t>报告期内公司通过源头优化原材料配方、精细化调整关键工艺参数以及产线</w:t>
          </w:r>
          <w:r>
            <w:rPr>
              <w:rFonts w:hint="eastAsia"/>
            </w:rPr>
            <w:t xml:space="preserve"> </w:t>
          </w:r>
          <w:r>
            <w:rPr>
              <w:rFonts w:hint="eastAsia"/>
            </w:rPr>
            <w:t>“人机料法环”全要素的协同升级，公司在保障高端产品质量的同时，实现了生产成本的显著降低与产品质量的稳定跃升，实现生产成本降幅达</w:t>
          </w:r>
          <w:r>
            <w:rPr>
              <w:rFonts w:hint="eastAsia"/>
            </w:rPr>
            <w:t>8</w:t>
          </w:r>
          <w:r>
            <w:t>.01</w:t>
          </w:r>
          <w:r>
            <w:rPr>
              <w:rFonts w:hint="eastAsia"/>
            </w:rPr>
            <w:t>个百分点，进一步刺激了整体效益的提升。</w:t>
          </w:r>
        </w:p>
        <w:p w:rsidR="00156DD6" w:rsidRDefault="00D51F5F">
          <w:pPr>
            <w:numPr>
              <w:ilvl w:val="0"/>
              <w:numId w:val="8"/>
            </w:numPr>
            <w:spacing w:before="48" w:line="360" w:lineRule="atLeast"/>
            <w:ind w:left="108" w:firstLineChars="200" w:firstLine="420"/>
            <w:jc w:val="both"/>
            <w:outlineLvl w:val="3"/>
          </w:pPr>
          <w:r>
            <w:rPr>
              <w:rFonts w:hint="eastAsia"/>
            </w:rPr>
            <w:t>稳定取向硅钢海外市场</w:t>
          </w:r>
        </w:p>
        <w:p w:rsidR="00156DD6" w:rsidRDefault="00D51F5F">
          <w:pPr>
            <w:spacing w:line="360" w:lineRule="atLeast"/>
            <w:ind w:firstLineChars="200" w:firstLine="420"/>
            <w:jc w:val="both"/>
          </w:pPr>
          <w:r>
            <w:rPr>
              <w:rFonts w:hint="eastAsia"/>
            </w:rPr>
            <w:t>报告期内，面对国际市场波动，公司主动应对，加大海外市场调研力度，加速推进海外办事处的筹建工作，以贴近市场、快速响应。</w:t>
          </w:r>
        </w:p>
        <w:p w:rsidR="00156DD6" w:rsidRDefault="00D51F5F">
          <w:pPr>
            <w:spacing w:line="360" w:lineRule="atLeast"/>
            <w:ind w:firstLineChars="200" w:firstLine="420"/>
            <w:jc w:val="both"/>
          </w:pPr>
          <w:r>
            <w:rPr>
              <w:rFonts w:hint="eastAsia"/>
            </w:rPr>
            <w:t>报告期内公司国际营销中心在稳定韩国、土耳其、加拿大、哥伦比亚、墨西哥、泰国、俄罗斯等多个国家常规业务的同时，针对中亚、欧洲、非洲、南亚、东南亚及西亚涉及哈萨克斯坦、希腊、加纳、尼泊尔、菲律宾、阿联酋等</w:t>
          </w:r>
          <w:r>
            <w:rPr>
              <w:rFonts w:hint="eastAsia"/>
            </w:rPr>
            <w:t>1</w:t>
          </w:r>
          <w:r>
            <w:t>8</w:t>
          </w:r>
          <w:r>
            <w:rPr>
              <w:rFonts w:hint="eastAsia"/>
            </w:rPr>
            <w:t>个国家共计</w:t>
          </w:r>
          <w:r>
            <w:rPr>
              <w:rFonts w:hint="eastAsia"/>
            </w:rPr>
            <w:t>2</w:t>
          </w:r>
          <w:r>
            <w:t>3</w:t>
          </w:r>
          <w:r>
            <w:rPr>
              <w:rFonts w:hint="eastAsia"/>
            </w:rPr>
            <w:t>个项目进行密切跟踪，建立</w:t>
          </w:r>
          <w:r>
            <w:rPr>
              <w:rFonts w:hint="eastAsia"/>
            </w:rPr>
            <w:t>Go</w:t>
          </w:r>
          <w:r>
            <w:t>ogle</w:t>
          </w:r>
          <w:r>
            <w:rPr>
              <w:rFonts w:hint="eastAsia"/>
            </w:rPr>
            <w:t>（英文站）、</w:t>
          </w:r>
          <w:r>
            <w:rPr>
              <w:rFonts w:hint="eastAsia"/>
            </w:rPr>
            <w:t>Y</w:t>
          </w:r>
          <w:r>
            <w:t>andex</w:t>
          </w:r>
          <w:r>
            <w:rPr>
              <w:rFonts w:hint="eastAsia"/>
            </w:rPr>
            <w:t>（俄语站）独立宣传网站，注册</w:t>
          </w:r>
          <w:r>
            <w:rPr>
              <w:rFonts w:hint="eastAsia"/>
            </w:rPr>
            <w:t>F</w:t>
          </w:r>
          <w:r>
            <w:t>acebook</w:t>
          </w:r>
          <w:r>
            <w:rPr>
              <w:rFonts w:hint="eastAsia"/>
            </w:rPr>
            <w:t>、</w:t>
          </w:r>
          <w:r>
            <w:rPr>
              <w:rFonts w:hint="eastAsia"/>
            </w:rPr>
            <w:t>I</w:t>
          </w:r>
          <w:r>
            <w:t>ns</w:t>
          </w:r>
          <w:r>
            <w:rPr>
              <w:rFonts w:hint="eastAsia"/>
            </w:rPr>
            <w:t>、</w:t>
          </w:r>
          <w:r>
            <w:rPr>
              <w:rFonts w:hint="eastAsia"/>
            </w:rPr>
            <w:t>Twi</w:t>
          </w:r>
          <w:r>
            <w:t>tter</w:t>
          </w:r>
          <w:r>
            <w:rPr>
              <w:rFonts w:hint="eastAsia"/>
            </w:rPr>
            <w:t>、</w:t>
          </w:r>
          <w:r>
            <w:rPr>
              <w:rFonts w:hint="eastAsia"/>
            </w:rPr>
            <w:t>T</w:t>
          </w:r>
          <w:r>
            <w:t>iktok</w:t>
          </w:r>
          <w:r>
            <w:rPr>
              <w:rFonts w:hint="eastAsia"/>
            </w:rPr>
            <w:t>等海外社交媒体平台，促进海外宣传的</w:t>
          </w:r>
          <w:r>
            <w:rPr>
              <w:rFonts w:hint="eastAsia"/>
            </w:rPr>
            <w:t>渗透，有效保障了海外业务的顺利推进，并为未来更深入的本地化运营打下了基础。</w:t>
          </w:r>
        </w:p>
        <w:p w:rsidR="00156DD6" w:rsidRDefault="00D51F5F">
          <w:pPr>
            <w:numPr>
              <w:ilvl w:val="0"/>
              <w:numId w:val="6"/>
            </w:numPr>
            <w:spacing w:before="48" w:line="360" w:lineRule="atLeast"/>
            <w:ind w:firstLineChars="200" w:firstLine="420"/>
            <w:jc w:val="both"/>
            <w:outlineLvl w:val="2"/>
          </w:pPr>
          <w:r>
            <w:rPr>
              <w:rFonts w:hint="eastAsia"/>
            </w:rPr>
            <w:t>研发创新夯实技术壁垒</w:t>
          </w:r>
        </w:p>
        <w:p w:rsidR="00156DD6" w:rsidRDefault="00D51F5F">
          <w:pPr>
            <w:spacing w:line="360" w:lineRule="atLeast"/>
            <w:ind w:firstLine="420"/>
            <w:jc w:val="both"/>
          </w:pPr>
          <w:r>
            <w:rPr>
              <w:rFonts w:hint="eastAsia"/>
            </w:rPr>
            <w:t>2025</w:t>
          </w:r>
          <w:r>
            <w:rPr>
              <w:rFonts w:hint="eastAsia"/>
            </w:rPr>
            <w:t>年上半年公司正式获批“国家企业技术中心”，跻身国家技术创新体系第一梯队，成为智能输配电领域国家级技术标杆，并完成国家企业技术中心组织架构搭建及人员任命；</w:t>
          </w:r>
          <w:r>
            <w:rPr>
              <w:rFonts w:hint="eastAsia"/>
            </w:rPr>
            <w:t>2025</w:t>
          </w:r>
          <w:r>
            <w:rPr>
              <w:rFonts w:hint="eastAsia"/>
            </w:rPr>
            <w:t>年上半年技术中心多举措开展相关研发工作，确保各研发项目按计划有序高质量开展；新增研发人员</w:t>
          </w:r>
          <w:r>
            <w:rPr>
              <w:rFonts w:hint="eastAsia"/>
            </w:rPr>
            <w:t>2</w:t>
          </w:r>
          <w:r>
            <w:t>1</w:t>
          </w:r>
          <w:r>
            <w:rPr>
              <w:rFonts w:hint="eastAsia"/>
            </w:rPr>
            <w:t>人，完成</w:t>
          </w:r>
          <w:r>
            <w:rPr>
              <w:rFonts w:hint="eastAsia"/>
            </w:rPr>
            <w:t xml:space="preserve"> 20</w:t>
          </w:r>
          <w:r>
            <w:rPr>
              <w:rFonts w:hint="eastAsia"/>
            </w:rPr>
            <w:t>项专利申报，其中发明专利</w:t>
          </w:r>
          <w:r>
            <w:rPr>
              <w:rFonts w:hint="eastAsia"/>
            </w:rPr>
            <w:t xml:space="preserve"> 9 </w:t>
          </w:r>
          <w:r>
            <w:rPr>
              <w:rFonts w:hint="eastAsia"/>
            </w:rPr>
            <w:t>项；促进关键技术攻关工作，知识产权积累加速，为进一步打造和巩固公司的核心技术壁垒提供源源不断的动力，是支撑公司</w:t>
          </w:r>
          <w:r>
            <w:rPr>
              <w:rFonts w:hint="eastAsia"/>
            </w:rPr>
            <w:t>长期竞争优势的基石。</w:t>
          </w:r>
        </w:p>
        <w:p w:rsidR="00156DD6" w:rsidRDefault="00D51F5F">
          <w:pPr>
            <w:numPr>
              <w:ilvl w:val="0"/>
              <w:numId w:val="6"/>
            </w:numPr>
            <w:spacing w:before="48" w:line="360" w:lineRule="atLeast"/>
            <w:ind w:firstLine="420"/>
            <w:jc w:val="both"/>
            <w:outlineLvl w:val="2"/>
          </w:pPr>
          <w:r>
            <w:rPr>
              <w:rFonts w:hint="eastAsia"/>
            </w:rPr>
            <w:t>高效运营，确保短期提速，长期稳健发展</w:t>
          </w:r>
        </w:p>
        <w:p w:rsidR="00156DD6" w:rsidRDefault="00D51F5F">
          <w:pPr>
            <w:pStyle w:val="af2"/>
            <w:spacing w:before="0" w:beforeAutospacing="0" w:after="48" w:afterAutospacing="0" w:line="360" w:lineRule="atLeast"/>
            <w:ind w:firstLineChars="200" w:firstLine="420"/>
            <w:jc w:val="both"/>
            <w:outlineLvl w:val="3"/>
            <w:rPr>
              <w:rFonts w:ascii="宋体" w:hAnsi="宋体"/>
              <w:bCs w:val="0"/>
              <w:sz w:val="21"/>
            </w:rPr>
          </w:pPr>
          <w:r>
            <w:rPr>
              <w:rFonts w:ascii="宋体" w:hAnsi="宋体" w:hint="eastAsia"/>
              <w:bCs w:val="0"/>
              <w:sz w:val="21"/>
            </w:rPr>
            <w:t>1</w:t>
          </w:r>
          <w:r>
            <w:rPr>
              <w:rFonts w:ascii="宋体" w:hAnsi="宋体" w:hint="eastAsia"/>
              <w:bCs w:val="0"/>
              <w:sz w:val="21"/>
            </w:rPr>
            <w:t>、智慧运营实现降本升效</w:t>
          </w:r>
        </w:p>
        <w:p w:rsidR="00156DD6" w:rsidRDefault="00D51F5F">
          <w:pPr>
            <w:pStyle w:val="af2"/>
            <w:spacing w:before="0" w:beforeAutospacing="0" w:after="48" w:afterAutospacing="0" w:line="360" w:lineRule="atLeast"/>
            <w:ind w:firstLineChars="200" w:firstLine="420"/>
            <w:jc w:val="both"/>
            <w:rPr>
              <w:rFonts w:ascii="Segoe UI" w:hAnsi="Segoe UI" w:cs="Segoe UI"/>
              <w:color w:val="404040"/>
              <w:sz w:val="21"/>
              <w:shd w:val="clear" w:color="auto" w:fill="FFFFFF"/>
            </w:rPr>
          </w:pPr>
          <w:r>
            <w:rPr>
              <w:rFonts w:ascii="Segoe UI" w:hAnsi="Segoe UI" w:cs="Segoe UI"/>
              <w:color w:val="404040"/>
              <w:sz w:val="21"/>
              <w:shd w:val="clear" w:color="auto" w:fill="FFFFFF"/>
            </w:rPr>
            <w:t>通过实施工业互联网优化，公司一般取向硅钢产品合格率提升</w:t>
          </w:r>
          <w:r>
            <w:rPr>
              <w:rFonts w:ascii="Segoe UI" w:hAnsi="Segoe UI" w:cs="Segoe UI"/>
              <w:color w:val="404040"/>
              <w:sz w:val="21"/>
              <w:shd w:val="clear" w:color="auto" w:fill="FFFFFF"/>
            </w:rPr>
            <w:t>2.77%</w:t>
          </w:r>
          <w:r>
            <w:rPr>
              <w:rFonts w:ascii="Segoe UI" w:hAnsi="Segoe UI" w:cs="Segoe UI"/>
              <w:color w:val="404040"/>
              <w:sz w:val="21"/>
              <w:shd w:val="clear" w:color="auto" w:fill="FFFFFF"/>
            </w:rPr>
            <w:t>，高磁感取向硅钢合格率提升</w:t>
          </w:r>
          <w:r>
            <w:rPr>
              <w:rFonts w:ascii="Segoe UI" w:hAnsi="Segoe UI" w:cs="Segoe UI"/>
              <w:color w:val="404040"/>
              <w:sz w:val="21"/>
              <w:shd w:val="clear" w:color="auto" w:fill="FFFFFF"/>
            </w:rPr>
            <w:t>12.35%</w:t>
          </w:r>
          <w:r>
            <w:rPr>
              <w:rFonts w:ascii="Segoe UI" w:hAnsi="Segoe UI" w:cs="Segoe UI"/>
              <w:color w:val="404040"/>
              <w:sz w:val="21"/>
              <w:shd w:val="clear" w:color="auto" w:fill="FFFFFF"/>
            </w:rPr>
            <w:t>。同时，集团持续优化供应商体系建设，并通过以增量换取优价等多元化策略降低采购成本，全年相关原材料采购成本同比减少</w:t>
          </w:r>
          <w:r>
            <w:rPr>
              <w:rFonts w:asciiTheme="majorEastAsia" w:eastAsiaTheme="majorEastAsia" w:hAnsiTheme="majorEastAsia" w:cs="Segoe UI"/>
              <w:color w:val="404040"/>
              <w:sz w:val="21"/>
              <w:shd w:val="clear" w:color="auto" w:fill="FFFFFF"/>
            </w:rPr>
            <w:t>1,422</w:t>
          </w:r>
          <w:r>
            <w:rPr>
              <w:rFonts w:ascii="Segoe UI" w:hAnsi="Segoe UI" w:cs="Segoe UI"/>
              <w:color w:val="404040"/>
              <w:sz w:val="21"/>
              <w:shd w:val="clear" w:color="auto" w:fill="FFFFFF"/>
            </w:rPr>
            <w:t>万元。上述举措有效缓解了因销售市场低价竞争所带来的经营压力，增强了公司整体盈利能力与市场竞争力。</w:t>
          </w:r>
        </w:p>
        <w:p w:rsidR="00156DD6" w:rsidRDefault="00D51F5F">
          <w:pPr>
            <w:pStyle w:val="af2"/>
            <w:spacing w:before="0" w:beforeAutospacing="0" w:after="0" w:afterAutospacing="0" w:line="360" w:lineRule="atLeast"/>
            <w:ind w:firstLineChars="200" w:firstLine="420"/>
            <w:jc w:val="both"/>
            <w:outlineLvl w:val="3"/>
            <w:rPr>
              <w:rFonts w:ascii="宋体" w:hAnsi="宋体"/>
              <w:bCs w:val="0"/>
              <w:sz w:val="21"/>
            </w:rPr>
          </w:pPr>
          <w:r>
            <w:rPr>
              <w:rFonts w:ascii="宋体" w:hAnsi="宋体" w:hint="eastAsia"/>
              <w:bCs w:val="0"/>
              <w:sz w:val="21"/>
            </w:rPr>
            <w:t>2</w:t>
          </w:r>
          <w:r>
            <w:rPr>
              <w:rFonts w:ascii="宋体" w:hAnsi="宋体" w:hint="eastAsia"/>
              <w:bCs w:val="0"/>
              <w:sz w:val="21"/>
            </w:rPr>
            <w:t>、人才管理保障可持续发展</w:t>
          </w:r>
        </w:p>
        <w:p w:rsidR="00156DD6" w:rsidRDefault="00D51F5F">
          <w:pPr>
            <w:widowControl w:val="0"/>
            <w:spacing w:line="360" w:lineRule="atLeast"/>
            <w:ind w:firstLineChars="200" w:firstLine="420"/>
            <w:jc w:val="both"/>
          </w:pPr>
          <w:r>
            <w:rPr>
              <w:rFonts w:hint="eastAsia"/>
            </w:rPr>
            <w:t>报告期公司持续深入推进人才机制创新，核心人才计划成效显著：“双导师制</w:t>
          </w:r>
          <w:r>
            <w:t>”</w:t>
          </w:r>
          <w:r>
            <w:rPr>
              <w:rFonts w:hint="eastAsia"/>
            </w:rPr>
            <w:t>管理培训生计划持续进行，实现关键岗位人才</w:t>
          </w:r>
          <w:r>
            <w:rPr>
              <w:rFonts w:hint="eastAsia"/>
            </w:rPr>
            <w:t>100%</w:t>
          </w:r>
          <w:r>
            <w:rPr>
              <w:rFonts w:hint="eastAsia"/>
            </w:rPr>
            <w:t>满足；同步优化激励机制，实施人才晋升与日常绩效考核相结合，同时加大高绩效考核，新纳入</w:t>
          </w:r>
          <w:r>
            <w:rPr>
              <w:rFonts w:hint="eastAsia"/>
            </w:rPr>
            <w:t>31</w:t>
          </w:r>
          <w:r>
            <w:rPr>
              <w:rFonts w:hint="eastAsia"/>
            </w:rPr>
            <w:t>名骨干进入股权激励计划，人才创新效能持续释放；重</w:t>
          </w:r>
          <w:r>
            <w:rPr>
              <w:rFonts w:hint="eastAsia"/>
            </w:rPr>
            <w:lastRenderedPageBreak/>
            <w:t>点岗位按各部门需求开展招聘，</w:t>
          </w:r>
          <w:r>
            <w:rPr>
              <w:rFonts w:hint="eastAsia"/>
            </w:rPr>
            <w:t>14</w:t>
          </w:r>
          <w:r>
            <w:rPr>
              <w:rFonts w:hint="eastAsia"/>
            </w:rPr>
            <w:t>人均在期限内到岗，极大激发人才活力和创新效能，保障了业务发展。</w:t>
          </w:r>
        </w:p>
        <w:p w:rsidR="00156DD6" w:rsidRDefault="00D51F5F">
          <w:pPr>
            <w:widowControl w:val="0"/>
            <w:spacing w:line="360" w:lineRule="atLeast"/>
            <w:ind w:firstLineChars="200" w:firstLine="420"/>
            <w:jc w:val="both"/>
            <w:outlineLvl w:val="3"/>
            <w:rPr>
              <w:bCs w:val="0"/>
            </w:rPr>
          </w:pPr>
          <w:r>
            <w:rPr>
              <w:rFonts w:hint="eastAsia"/>
              <w:bCs w:val="0"/>
            </w:rPr>
            <w:t>3</w:t>
          </w:r>
          <w:r>
            <w:rPr>
              <w:rFonts w:hint="eastAsia"/>
              <w:bCs w:val="0"/>
            </w:rPr>
            <w:t>、全面推进数字化转型</w:t>
          </w:r>
        </w:p>
        <w:p w:rsidR="00156DD6" w:rsidRDefault="00D51F5F">
          <w:pPr>
            <w:widowControl w:val="0"/>
            <w:spacing w:line="360" w:lineRule="atLeast"/>
            <w:ind w:firstLineChars="200" w:firstLine="420"/>
            <w:jc w:val="both"/>
          </w:pPr>
          <w:r>
            <w:rPr>
              <w:rFonts w:hint="eastAsia"/>
            </w:rPr>
            <w:t>智能智造领域实现变压器工厂</w:t>
          </w:r>
          <w:r>
            <w:rPr>
              <w:rFonts w:hint="eastAsia"/>
            </w:rPr>
            <w:t>MES</w:t>
          </w:r>
          <w:r>
            <w:rPr>
              <w:rFonts w:hint="eastAsia"/>
            </w:rPr>
            <w:t>系统全覆盖，生产数据实时采集准确率</w:t>
          </w:r>
          <w:r>
            <w:rPr>
              <w:rFonts w:hint="eastAsia"/>
            </w:rPr>
            <w:t>99.8%</w:t>
          </w:r>
          <w:r>
            <w:rPr>
              <w:rFonts w:hint="eastAsia"/>
            </w:rPr>
            <w:t>；取向硅钢车间通过工业互联网优化工艺参数，良品率提升</w:t>
          </w:r>
          <w:r>
            <w:rPr>
              <w:rFonts w:hint="eastAsia"/>
            </w:rPr>
            <w:t>2.3</w:t>
          </w:r>
          <w:r>
            <w:rPr>
              <w:rFonts w:hint="eastAsia"/>
            </w:rPr>
            <w:t>个百分点；智慧风控体系依托大数据模型实现客户信用实时预警；建成原材料价格波</w:t>
          </w:r>
          <w:r>
            <w:rPr>
              <w:rFonts w:hint="eastAsia"/>
            </w:rPr>
            <w:t>动预警系统，数字化赋能成效显著。</w:t>
          </w:r>
        </w:p>
        <w:p w:rsidR="00156DD6" w:rsidRDefault="00D51F5F">
          <w:pPr>
            <w:widowControl w:val="0"/>
            <w:spacing w:line="360" w:lineRule="atLeast"/>
            <w:ind w:firstLineChars="200" w:firstLine="420"/>
            <w:jc w:val="both"/>
          </w:pPr>
          <w:r>
            <w:rPr>
              <w:rFonts w:hint="eastAsia"/>
            </w:rPr>
            <w:t>2025</w:t>
          </w:r>
          <w:r>
            <w:rPr>
              <w:rFonts w:hint="eastAsia"/>
            </w:rPr>
            <w:t>年上半年，公司在复杂环境中展现了强大的战略定力与经营韧性。通过坚定不移地推进高端化转型、产能释放、技术创新和数字化升级，核心业务实现了有质量的快速增长，特别是在高电压等级输配电设备、高端取向硅钢和智能成套项目等领域取得突破性进展。国家级技术中心的获批标志着创新实力达到新高度。虽然外部环境挑战犹存，部分财务指标阶段性承压，但公司通过产品结构优化、成本管控和效率提升，成功实现了盈利能力的显著改善。</w:t>
          </w:r>
        </w:p>
      </w:sdtContent>
    </w:sdt>
    <w:p w:rsidR="00156DD6" w:rsidRDefault="00D51F5F">
      <w:pPr>
        <w:spacing w:line="360" w:lineRule="exact"/>
        <w:rPr>
          <w:b/>
          <w:bCs w:val="0"/>
          <w:color w:val="000000" w:themeColor="text1"/>
        </w:rPr>
      </w:pPr>
      <w:r>
        <w:rPr>
          <w:rFonts w:hint="eastAsia"/>
          <w:b/>
          <w:color w:val="000000" w:themeColor="text1"/>
        </w:rPr>
        <w:t>报告期内公司经营情况的重大变化，以及报告期内发生的对公司经营情况有重大影响和预计未来会有重大影响的事项</w:t>
      </w:r>
    </w:p>
    <w:sdt>
      <w:sdtPr>
        <w:rPr>
          <w:rFonts w:hint="eastAsia"/>
          <w:color w:val="000000" w:themeColor="text1"/>
        </w:rPr>
        <w:alias w:val="是否适用：报告期内公司经营情况的重大变化，以及报告期内发生的对公司经营情况有重大影响和预计未来会有重大影响的事项[双击切换]"/>
        <w:tag w:val="_GBC_0f91ff55b5a9406ea662149119d7e23c"/>
        <w:id w:val="-36830157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5"/>
        </w:numPr>
        <w:tabs>
          <w:tab w:val="left" w:pos="426"/>
        </w:tabs>
        <w:ind w:left="0" w:firstLine="0"/>
        <w:jc w:val="left"/>
        <w:rPr>
          <w:rFonts w:ascii="宋体" w:hAnsi="宋体"/>
          <w:color w:val="000000" w:themeColor="text1"/>
        </w:rPr>
      </w:pPr>
      <w:r>
        <w:rPr>
          <w:rFonts w:ascii="宋体" w:hAnsi="宋体" w:hint="eastAsia"/>
          <w:color w:val="000000" w:themeColor="text1"/>
        </w:rPr>
        <w:t>报告期内核心竞争力分析</w:t>
      </w:r>
    </w:p>
    <w:sdt>
      <w:sdtPr>
        <w:rPr>
          <w:color w:val="000000" w:themeColor="text1"/>
        </w:rPr>
        <w:alias w:val="是否适用：报告期内核心竞争力分析[双击切换]"/>
        <w:tag w:val="_GBC_f5e4beedb06c4dedb1da9c7f429d840e"/>
        <w:id w:val="86579300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报告期内核心竞争力分析"/>
        <w:tag w:val="_GBC_2aded0644185447a9ec788ba0b35ac4f"/>
        <w:id w:val="1871264523"/>
        <w:placeholder>
          <w:docPart w:val="GBC22222222222222222222222222222"/>
        </w:placeholder>
      </w:sdtPr>
      <w:sdtEndPr/>
      <w:sdtContent>
        <w:p w:rsidR="00156DD6" w:rsidRDefault="00D51F5F">
          <w:pPr>
            <w:spacing w:line="360" w:lineRule="exact"/>
            <w:ind w:firstLineChars="200" w:firstLine="420"/>
            <w:rPr>
              <w:bCs w:val="0"/>
            </w:rPr>
          </w:pPr>
          <w:r>
            <w:rPr>
              <w:rFonts w:hint="eastAsia"/>
              <w:bCs w:val="0"/>
            </w:rPr>
            <w:t>公司作为国内唯一实现“取向硅钢—变压器核心材料—电力变压器—成套</w:t>
          </w:r>
          <w:r>
            <w:rPr>
              <w:rFonts w:hint="eastAsia"/>
              <w:bCs w:val="0"/>
            </w:rPr>
            <w:t>电气设备”全产业链布局的高新技术企业，依托技术研发、工艺创新、产业链协同及市场服务等核心优势，持续巩固在输配电及控制设备领域的领先地位。报告期内，通过产业链延伸与资源整合，公司核心竞争力进一步凸显，具体体现如下：</w:t>
          </w:r>
        </w:p>
        <w:p w:rsidR="00156DD6" w:rsidRDefault="00D51F5F">
          <w:pPr>
            <w:spacing w:line="360" w:lineRule="exact"/>
            <w:ind w:firstLineChars="200" w:firstLine="420"/>
            <w:outlineLvl w:val="2"/>
            <w:rPr>
              <w:bCs w:val="0"/>
            </w:rPr>
          </w:pPr>
          <w:r>
            <w:rPr>
              <w:rFonts w:hint="eastAsia"/>
              <w:bCs w:val="0"/>
            </w:rPr>
            <w:t>（一）全产业链垂直整合优势</w:t>
          </w:r>
        </w:p>
        <w:p w:rsidR="00156DD6" w:rsidRDefault="00D51F5F">
          <w:pPr>
            <w:spacing w:line="360" w:lineRule="exact"/>
            <w:ind w:firstLineChars="200" w:firstLine="420"/>
            <w:outlineLvl w:val="3"/>
            <w:rPr>
              <w:bCs w:val="0"/>
            </w:rPr>
          </w:pPr>
          <w:r>
            <w:rPr>
              <w:rFonts w:hint="eastAsia"/>
              <w:bCs w:val="0"/>
            </w:rPr>
            <w:t>1</w:t>
          </w:r>
          <w:r>
            <w:rPr>
              <w:rFonts w:hint="eastAsia"/>
              <w:bCs w:val="0"/>
            </w:rPr>
            <w:t>、上游关键材料自主可控</w:t>
          </w:r>
        </w:p>
        <w:p w:rsidR="00156DD6" w:rsidRDefault="00D51F5F">
          <w:pPr>
            <w:spacing w:line="360" w:lineRule="exact"/>
            <w:ind w:firstLineChars="200" w:firstLine="420"/>
            <w:rPr>
              <w:bCs w:val="0"/>
            </w:rPr>
          </w:pPr>
          <w:r>
            <w:rPr>
              <w:rFonts w:hint="eastAsia"/>
              <w:bCs w:val="0"/>
            </w:rPr>
            <w:t>公司</w:t>
          </w:r>
          <w:r>
            <w:rPr>
              <w:rFonts w:hint="eastAsia"/>
              <w:bCs w:val="0"/>
            </w:rPr>
            <w:t>2017</w:t>
          </w:r>
          <w:r>
            <w:rPr>
              <w:rFonts w:hint="eastAsia"/>
              <w:bCs w:val="0"/>
            </w:rPr>
            <w:t>年建成西南地区首条取向硅钢生产线，填补区域产业空白，成为国内唯一实现从取向硅钢到电力变压器全链条自主研发的民营企业。</w:t>
          </w:r>
        </w:p>
        <w:p w:rsidR="00156DD6" w:rsidRDefault="00D51F5F">
          <w:pPr>
            <w:spacing w:line="360" w:lineRule="exact"/>
            <w:ind w:firstLineChars="200" w:firstLine="420"/>
            <w:rPr>
              <w:bCs w:val="0"/>
            </w:rPr>
          </w:pPr>
          <w:r>
            <w:rPr>
              <w:rFonts w:hint="eastAsia"/>
              <w:bCs w:val="0"/>
            </w:rPr>
            <w:t>高磁感取向硅钢最高达</w:t>
          </w:r>
          <w:r>
            <w:rPr>
              <w:rFonts w:hint="eastAsia"/>
              <w:bCs w:val="0"/>
            </w:rPr>
            <w:t>080</w:t>
          </w:r>
          <w:r>
            <w:rPr>
              <w:rFonts w:hint="eastAsia"/>
              <w:bCs w:val="0"/>
            </w:rPr>
            <w:t>牌号（国内先进水平），有效保障高端变压器原材料供应稳定性，降低采购成本及市场价格波动风险</w:t>
          </w:r>
          <w:r>
            <w:rPr>
              <w:rFonts w:hint="eastAsia"/>
              <w:bCs w:val="0"/>
            </w:rPr>
            <w:t>。</w:t>
          </w:r>
        </w:p>
        <w:p w:rsidR="00156DD6" w:rsidRDefault="00D51F5F">
          <w:pPr>
            <w:spacing w:line="360" w:lineRule="exact"/>
            <w:ind w:firstLineChars="200" w:firstLine="420"/>
            <w:outlineLvl w:val="3"/>
            <w:rPr>
              <w:bCs w:val="0"/>
            </w:rPr>
          </w:pPr>
          <w:r>
            <w:rPr>
              <w:rFonts w:hint="eastAsia"/>
              <w:bCs w:val="0"/>
            </w:rPr>
            <w:t>2</w:t>
          </w:r>
          <w:r>
            <w:rPr>
              <w:rFonts w:hint="eastAsia"/>
              <w:bCs w:val="0"/>
            </w:rPr>
            <w:t>、产业链双向赋能</w:t>
          </w:r>
        </w:p>
        <w:p w:rsidR="00156DD6" w:rsidRDefault="00D51F5F">
          <w:pPr>
            <w:spacing w:line="360" w:lineRule="exact"/>
            <w:ind w:firstLineChars="200" w:firstLine="420"/>
            <w:rPr>
              <w:bCs w:val="0"/>
            </w:rPr>
          </w:pPr>
          <w:r>
            <w:rPr>
              <w:rFonts w:hint="eastAsia"/>
              <w:bCs w:val="0"/>
            </w:rPr>
            <w:t>公司充分发挥取向硅钢在变压器运用领域的技术积累与成功经验，通过为下游变压器客户提供专业化技术支持与服务，持续提升产品能效与市场竞争力。同时，公司与核心客户建立深度协同创新机制，将终端应用场景的技术需求反馈至上游取向硅钢研发环节，推动取向硅钢材料的工艺升级与性能优化，形成“技术研发—产品应用—迭代升级”的良性循环，进一步巩固公司在高端磁性材料及变压器能效解决方案领域的领先优势。</w:t>
          </w:r>
        </w:p>
        <w:p w:rsidR="00156DD6" w:rsidRDefault="00D51F5F">
          <w:pPr>
            <w:spacing w:line="360" w:lineRule="exact"/>
            <w:ind w:firstLineChars="200" w:firstLine="420"/>
            <w:outlineLvl w:val="2"/>
            <w:rPr>
              <w:bCs w:val="0"/>
            </w:rPr>
          </w:pPr>
          <w:r>
            <w:rPr>
              <w:rFonts w:hint="eastAsia"/>
              <w:bCs w:val="0"/>
            </w:rPr>
            <w:t>（二）高端装备制造与技术壁垒</w:t>
          </w:r>
        </w:p>
        <w:p w:rsidR="00156DD6" w:rsidRDefault="00D51F5F">
          <w:pPr>
            <w:spacing w:line="360" w:lineRule="exact"/>
            <w:ind w:firstLineChars="200" w:firstLine="420"/>
            <w:outlineLvl w:val="3"/>
            <w:rPr>
              <w:bCs w:val="0"/>
            </w:rPr>
          </w:pPr>
          <w:r>
            <w:rPr>
              <w:rFonts w:hint="eastAsia"/>
              <w:bCs w:val="0"/>
            </w:rPr>
            <w:t>1</w:t>
          </w:r>
          <w:r>
            <w:rPr>
              <w:rFonts w:hint="eastAsia"/>
              <w:bCs w:val="0"/>
            </w:rPr>
            <w:t>、</w:t>
          </w:r>
          <w:r>
            <w:rPr>
              <w:rFonts w:hint="eastAsia"/>
              <w:bCs w:val="0"/>
            </w:rPr>
            <w:t>500kV</w:t>
          </w:r>
          <w:r>
            <w:rPr>
              <w:rFonts w:hint="eastAsia"/>
              <w:bCs w:val="0"/>
            </w:rPr>
            <w:t>级变压器资质突破</w:t>
          </w:r>
        </w:p>
        <w:p w:rsidR="00156DD6" w:rsidRDefault="00D51F5F">
          <w:pPr>
            <w:spacing w:line="360" w:lineRule="exact"/>
            <w:ind w:firstLineChars="200" w:firstLine="420"/>
            <w:rPr>
              <w:bCs w:val="0"/>
            </w:rPr>
          </w:pPr>
          <w:r>
            <w:rPr>
              <w:rFonts w:hint="eastAsia"/>
              <w:bCs w:val="0"/>
            </w:rPr>
            <w:t>通过控股云变电气，公司成为具备</w:t>
          </w:r>
          <w:r>
            <w:rPr>
              <w:rFonts w:hint="eastAsia"/>
              <w:bCs w:val="0"/>
            </w:rPr>
            <w:t>500kV</w:t>
          </w:r>
          <w:r>
            <w:rPr>
              <w:rFonts w:hint="eastAsia"/>
              <w:bCs w:val="0"/>
            </w:rPr>
            <w:t>电力变压器生产资质的企业之一，产品覆盖至高压领域。</w:t>
          </w:r>
        </w:p>
        <w:p w:rsidR="00156DD6" w:rsidRDefault="00D51F5F">
          <w:pPr>
            <w:spacing w:line="360" w:lineRule="exact"/>
            <w:ind w:firstLineChars="200" w:firstLine="420"/>
            <w:outlineLvl w:val="3"/>
            <w:rPr>
              <w:bCs w:val="0"/>
            </w:rPr>
          </w:pPr>
          <w:r>
            <w:rPr>
              <w:rFonts w:hint="eastAsia"/>
              <w:bCs w:val="0"/>
            </w:rPr>
            <w:t>2</w:t>
          </w:r>
          <w:r>
            <w:rPr>
              <w:rFonts w:hint="eastAsia"/>
              <w:bCs w:val="0"/>
            </w:rPr>
            <w:t>、轨道交通牵引变压器领军地位</w:t>
          </w:r>
        </w:p>
        <w:p w:rsidR="00156DD6" w:rsidRDefault="00D51F5F">
          <w:pPr>
            <w:spacing w:line="360" w:lineRule="exact"/>
            <w:ind w:firstLineChars="200" w:firstLine="420"/>
            <w:rPr>
              <w:bCs w:val="0"/>
            </w:rPr>
          </w:pPr>
          <w:r>
            <w:rPr>
              <w:rFonts w:hint="eastAsia"/>
              <w:bCs w:val="0"/>
            </w:rPr>
            <w:lastRenderedPageBreak/>
            <w:t>云变电气作为我国电气化铁路牵引变压器领域的技术标杆，凭借近</w:t>
          </w:r>
          <w:r>
            <w:rPr>
              <w:rFonts w:hint="eastAsia"/>
              <w:bCs w:val="0"/>
            </w:rPr>
            <w:t>90</w:t>
          </w:r>
          <w:r>
            <w:rPr>
              <w:rFonts w:hint="eastAsia"/>
              <w:bCs w:val="0"/>
            </w:rPr>
            <w:t>年专业积淀，持续引领行业创新发展。公司成功主导京张、京雄等国家重点高铁项目。在铁路牵引变压器细分市场，公司保持</w:t>
          </w:r>
          <w:r>
            <w:rPr>
              <w:rFonts w:hint="eastAsia"/>
              <w:bCs w:val="0"/>
            </w:rPr>
            <w:t>30%</w:t>
          </w:r>
          <w:r>
            <w:rPr>
              <w:rFonts w:hint="eastAsia"/>
              <w:bCs w:val="0"/>
            </w:rPr>
            <w:t>以上的领先市场份额。同时，公司高原特种变压器产品技术优势显著，成功应用于海拔</w:t>
          </w:r>
          <w:r>
            <w:rPr>
              <w:rFonts w:hint="eastAsia"/>
              <w:bCs w:val="0"/>
            </w:rPr>
            <w:t>5100</w:t>
          </w:r>
          <w:r>
            <w:rPr>
              <w:rFonts w:hint="eastAsia"/>
              <w:bCs w:val="0"/>
            </w:rPr>
            <w:t>米的西藏措美哲古风电场等重大项目，关键性能指标较行业平均水平提升</w:t>
          </w:r>
          <w:r>
            <w:rPr>
              <w:rFonts w:hint="eastAsia"/>
              <w:bCs w:val="0"/>
            </w:rPr>
            <w:t>15%</w:t>
          </w:r>
          <w:r>
            <w:rPr>
              <w:rFonts w:hint="eastAsia"/>
              <w:bCs w:val="0"/>
            </w:rPr>
            <w:t>～</w:t>
          </w:r>
          <w:r>
            <w:rPr>
              <w:rFonts w:hint="eastAsia"/>
              <w:bCs w:val="0"/>
            </w:rPr>
            <w:t>20%</w:t>
          </w:r>
          <w:r>
            <w:rPr>
              <w:rFonts w:hint="eastAsia"/>
              <w:bCs w:val="0"/>
            </w:rPr>
            <w:t>，充分彰显技术领先实力。</w:t>
          </w:r>
        </w:p>
        <w:p w:rsidR="00156DD6" w:rsidRDefault="00D51F5F">
          <w:pPr>
            <w:spacing w:line="360" w:lineRule="exact"/>
            <w:ind w:firstLineChars="200" w:firstLine="420"/>
            <w:outlineLvl w:val="3"/>
            <w:rPr>
              <w:bCs w:val="0"/>
            </w:rPr>
          </w:pPr>
          <w:bookmarkStart w:id="41" w:name="OLE_LINK46"/>
          <w:bookmarkStart w:id="42" w:name="OLE_LINK45"/>
          <w:bookmarkStart w:id="43" w:name="OLE_LINK47"/>
          <w:r>
            <w:rPr>
              <w:rFonts w:hint="eastAsia"/>
              <w:bCs w:val="0"/>
            </w:rPr>
            <w:t>3</w:t>
          </w:r>
          <w:r>
            <w:rPr>
              <w:rFonts w:hint="eastAsia"/>
              <w:bCs w:val="0"/>
            </w:rPr>
            <w:t>、高原型电力变压器战</w:t>
          </w:r>
          <w:r>
            <w:rPr>
              <w:rFonts w:hint="eastAsia"/>
              <w:bCs w:val="0"/>
            </w:rPr>
            <w:t>略协同国家能源建设，</w:t>
          </w:r>
          <w:r>
            <w:rPr>
              <w:bCs w:val="0"/>
            </w:rPr>
            <w:t>本土化服务优势凸显</w:t>
          </w:r>
        </w:p>
        <w:bookmarkEnd w:id="41"/>
        <w:bookmarkEnd w:id="42"/>
        <w:bookmarkEnd w:id="43"/>
        <w:p w:rsidR="00156DD6" w:rsidRDefault="00D51F5F">
          <w:pPr>
            <w:spacing w:line="360" w:lineRule="exact"/>
            <w:ind w:firstLineChars="200" w:firstLine="420"/>
            <w:rPr>
              <w:bCs w:val="0"/>
            </w:rPr>
          </w:pPr>
          <w:r>
            <w:rPr>
              <w:rFonts w:hint="eastAsia"/>
              <w:bCs w:val="0"/>
            </w:rPr>
            <w:t>公司高原型低损耗电力变压器深度服务国家“西电东送”及“双碳”战略，持续为国内能源巨头提供核心装备，近两年新能源领域订单年均增长率达</w:t>
          </w:r>
          <w:r>
            <w:rPr>
              <w:bCs w:val="0"/>
            </w:rPr>
            <w:t>33.49%</w:t>
          </w:r>
          <w:r>
            <w:rPr>
              <w:bCs w:val="0"/>
            </w:rPr>
            <w:t>；截至报告期末，已中标雅下项目</w:t>
          </w:r>
          <w:r>
            <w:rPr>
              <w:bCs w:val="0"/>
            </w:rPr>
            <w:t>39</w:t>
          </w:r>
          <w:r>
            <w:rPr>
              <w:bCs w:val="0"/>
            </w:rPr>
            <w:t>台高原型</w:t>
          </w:r>
          <w:r>
            <w:rPr>
              <w:rFonts w:hint="eastAsia"/>
              <w:bCs w:val="0"/>
            </w:rPr>
            <w:t>施工</w:t>
          </w:r>
          <w:r>
            <w:rPr>
              <w:bCs w:val="0"/>
            </w:rPr>
            <w:t>变压器，并承担</w:t>
          </w:r>
          <w:r>
            <w:rPr>
              <w:rFonts w:hint="eastAsia"/>
              <w:bCs w:val="0"/>
            </w:rPr>
            <w:t>过</w:t>
          </w:r>
          <w:r>
            <w:rPr>
              <w:bCs w:val="0"/>
            </w:rPr>
            <w:t>西藏地区城网改造一期至三期全过程建设任务，其中西藏首台电力变压器由公司自主研发交付。依托高原地带自有工厂、专业化团队及属地化设备布局，公司形成对高原特殊环境的深度产品理解与快速响应服务能力，构建起覆盖研发、制造、运维的全产业链本地化服务优势，为服务国家大型能源基建项目</w:t>
          </w:r>
          <w:r>
            <w:rPr>
              <w:bCs w:val="0"/>
            </w:rPr>
            <w:t>奠定坚实基础。</w:t>
          </w:r>
        </w:p>
        <w:p w:rsidR="00156DD6" w:rsidRDefault="00D51F5F">
          <w:pPr>
            <w:spacing w:line="360" w:lineRule="exact"/>
            <w:ind w:firstLineChars="200" w:firstLine="420"/>
            <w:outlineLvl w:val="2"/>
            <w:rPr>
              <w:bCs w:val="0"/>
            </w:rPr>
          </w:pPr>
          <w:r>
            <w:rPr>
              <w:rFonts w:hint="eastAsia"/>
              <w:bCs w:val="0"/>
            </w:rPr>
            <w:t>（三）一站式解决方案能力</w:t>
          </w:r>
        </w:p>
        <w:p w:rsidR="00156DD6" w:rsidRDefault="00D51F5F">
          <w:pPr>
            <w:spacing w:line="360" w:lineRule="exact"/>
            <w:ind w:firstLineChars="200" w:firstLine="420"/>
            <w:outlineLvl w:val="3"/>
            <w:rPr>
              <w:bCs w:val="0"/>
            </w:rPr>
          </w:pPr>
          <w:r>
            <w:rPr>
              <w:rFonts w:hint="eastAsia"/>
              <w:bCs w:val="0"/>
            </w:rPr>
            <w:t>1</w:t>
          </w:r>
          <w:r>
            <w:rPr>
              <w:rFonts w:hint="eastAsia"/>
              <w:bCs w:val="0"/>
            </w:rPr>
            <w:t>、全产品矩阵覆盖</w:t>
          </w:r>
        </w:p>
        <w:tbl>
          <w:tblPr>
            <w:tblW w:w="5000" w:type="pct"/>
            <w:jc w:val="center"/>
            <w:tblLook w:val="04A0" w:firstRow="1" w:lastRow="0" w:firstColumn="1" w:lastColumn="0" w:noHBand="0" w:noVBand="1"/>
          </w:tblPr>
          <w:tblGrid>
            <w:gridCol w:w="2405"/>
            <w:gridCol w:w="3189"/>
            <w:gridCol w:w="3229"/>
          </w:tblGrid>
          <w:tr w:rsidR="00156DD6">
            <w:trPr>
              <w:trHeight w:val="397"/>
              <w:jc w:val="center"/>
            </w:trPr>
            <w:tc>
              <w:tcPr>
                <w:tcW w:w="1363" w:type="pct"/>
                <w:tcBorders>
                  <w:top w:val="single" w:sz="4" w:space="0" w:color="000000"/>
                  <w:left w:val="single" w:sz="4" w:space="0" w:color="000000"/>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产品层级</w:t>
                </w:r>
              </w:p>
            </w:tc>
            <w:tc>
              <w:tcPr>
                <w:tcW w:w="1807"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核心产品</w:t>
                </w:r>
              </w:p>
            </w:tc>
            <w:tc>
              <w:tcPr>
                <w:tcW w:w="1830"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应用场景</w:t>
                </w:r>
              </w:p>
            </w:tc>
          </w:tr>
          <w:tr w:rsidR="00156DD6">
            <w:trPr>
              <w:trHeight w:val="397"/>
              <w:jc w:val="center"/>
            </w:trPr>
            <w:tc>
              <w:tcPr>
                <w:tcW w:w="1363" w:type="pct"/>
                <w:tcBorders>
                  <w:top w:val="single" w:sz="4" w:space="0" w:color="000000"/>
                  <w:left w:val="single" w:sz="4" w:space="0" w:color="000000"/>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基础材料</w:t>
                </w:r>
              </w:p>
            </w:tc>
            <w:tc>
              <w:tcPr>
                <w:tcW w:w="1807"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高磁感取向硅钢</w:t>
                </w:r>
              </w:p>
            </w:tc>
            <w:tc>
              <w:tcPr>
                <w:tcW w:w="1830"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电力变压器铁芯</w:t>
                </w:r>
              </w:p>
            </w:tc>
          </w:tr>
          <w:tr w:rsidR="00156DD6">
            <w:trPr>
              <w:trHeight w:val="397"/>
              <w:jc w:val="center"/>
            </w:trPr>
            <w:tc>
              <w:tcPr>
                <w:tcW w:w="1363" w:type="pct"/>
                <w:tcBorders>
                  <w:top w:val="single" w:sz="4" w:space="0" w:color="000000"/>
                  <w:left w:val="single" w:sz="4" w:space="0" w:color="000000"/>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核心部件</w:t>
                </w:r>
              </w:p>
            </w:tc>
            <w:tc>
              <w:tcPr>
                <w:tcW w:w="1807"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低铁损铁心加工</w:t>
                </w:r>
              </w:p>
            </w:tc>
            <w:tc>
              <w:tcPr>
                <w:tcW w:w="1830"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新能源变压器定制</w:t>
                </w:r>
              </w:p>
            </w:tc>
          </w:tr>
          <w:tr w:rsidR="00156DD6">
            <w:trPr>
              <w:trHeight w:val="397"/>
              <w:jc w:val="center"/>
            </w:trPr>
            <w:tc>
              <w:tcPr>
                <w:tcW w:w="1363" w:type="pct"/>
                <w:tcBorders>
                  <w:top w:val="single" w:sz="4" w:space="0" w:color="000000"/>
                  <w:left w:val="single" w:sz="4" w:space="0" w:color="000000"/>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终端设备</w:t>
                </w:r>
              </w:p>
            </w:tc>
            <w:tc>
              <w:tcPr>
                <w:tcW w:w="1807"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500kV</w:t>
                </w:r>
                <w:r>
                  <w:rPr>
                    <w:rFonts w:hint="eastAsia"/>
                    <w:bCs w:val="0"/>
                    <w:color w:val="000000"/>
                  </w:rPr>
                  <w:t>级电力变压器</w:t>
                </w:r>
              </w:p>
            </w:tc>
            <w:tc>
              <w:tcPr>
                <w:tcW w:w="1830"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电网主干网升级</w:t>
                </w:r>
              </w:p>
            </w:tc>
          </w:tr>
          <w:tr w:rsidR="00156DD6">
            <w:trPr>
              <w:trHeight w:val="397"/>
              <w:jc w:val="center"/>
            </w:trPr>
            <w:tc>
              <w:tcPr>
                <w:tcW w:w="1363" w:type="pct"/>
                <w:tcBorders>
                  <w:top w:val="single" w:sz="4" w:space="0" w:color="000000"/>
                  <w:left w:val="single" w:sz="4" w:space="0" w:color="000000"/>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系统集成</w:t>
                </w:r>
              </w:p>
            </w:tc>
            <w:tc>
              <w:tcPr>
                <w:tcW w:w="1807"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智能箱式变电站</w:t>
                </w:r>
              </w:p>
            </w:tc>
            <w:tc>
              <w:tcPr>
                <w:tcW w:w="1830" w:type="pct"/>
                <w:tcBorders>
                  <w:top w:val="single" w:sz="4" w:space="0" w:color="000000"/>
                  <w:left w:val="nil"/>
                  <w:bottom w:val="single" w:sz="4" w:space="0" w:color="000000"/>
                  <w:right w:val="single" w:sz="4" w:space="0" w:color="000000"/>
                </w:tcBorders>
                <w:noWrap/>
                <w:vAlign w:val="center"/>
              </w:tcPr>
              <w:p w:rsidR="00156DD6" w:rsidRDefault="00D51F5F">
                <w:pPr>
                  <w:spacing w:line="360" w:lineRule="exact"/>
                  <w:jc w:val="center"/>
                  <w:rPr>
                    <w:bCs w:val="0"/>
                    <w:color w:val="000000"/>
                  </w:rPr>
                </w:pPr>
                <w:r>
                  <w:rPr>
                    <w:rFonts w:hint="eastAsia"/>
                    <w:bCs w:val="0"/>
                    <w:color w:val="000000"/>
                  </w:rPr>
                  <w:t>轨道交通</w:t>
                </w:r>
                <w:r>
                  <w:rPr>
                    <w:rFonts w:hint="eastAsia"/>
                    <w:bCs w:val="0"/>
                    <w:color w:val="000000"/>
                  </w:rPr>
                  <w:t>/</w:t>
                </w:r>
                <w:r>
                  <w:rPr>
                    <w:rFonts w:hint="eastAsia"/>
                    <w:bCs w:val="0"/>
                    <w:color w:val="000000"/>
                  </w:rPr>
                  <w:t>光伏电站</w:t>
                </w:r>
                <w:r>
                  <w:rPr>
                    <w:rFonts w:hint="eastAsia"/>
                    <w:bCs w:val="0"/>
                    <w:color w:val="000000"/>
                  </w:rPr>
                  <w:t>EPC</w:t>
                </w:r>
              </w:p>
            </w:tc>
          </w:tr>
        </w:tbl>
        <w:p w:rsidR="00156DD6" w:rsidRDefault="00D51F5F">
          <w:pPr>
            <w:spacing w:line="360" w:lineRule="exact"/>
            <w:ind w:firstLineChars="200" w:firstLine="420"/>
            <w:outlineLvl w:val="3"/>
            <w:rPr>
              <w:bCs w:val="0"/>
            </w:rPr>
          </w:pPr>
          <w:r>
            <w:rPr>
              <w:rFonts w:hint="eastAsia"/>
              <w:bCs w:val="0"/>
            </w:rPr>
            <w:t>2</w:t>
          </w:r>
          <w:r>
            <w:rPr>
              <w:rFonts w:hint="eastAsia"/>
              <w:bCs w:val="0"/>
            </w:rPr>
            <w:t>、客户价值深化</w:t>
          </w:r>
        </w:p>
        <w:p w:rsidR="00156DD6" w:rsidRDefault="00D51F5F">
          <w:pPr>
            <w:spacing w:line="360" w:lineRule="exact"/>
            <w:ind w:firstLineChars="200" w:firstLine="420"/>
            <w:rPr>
              <w:bCs w:val="0"/>
            </w:rPr>
          </w:pPr>
          <w:r>
            <w:rPr>
              <w:rFonts w:hint="eastAsia"/>
              <w:bCs w:val="0"/>
            </w:rPr>
            <w:t>通过产业链协同，为客户提供从材料选型到设备运维的全生命周期服务，降低综合采购成本；参与客户招标时凭借“材料</w:t>
          </w:r>
          <w:r>
            <w:rPr>
              <w:rFonts w:hint="eastAsia"/>
              <w:bCs w:val="0"/>
            </w:rPr>
            <w:t>+</w:t>
          </w:r>
          <w:r>
            <w:rPr>
              <w:rFonts w:hint="eastAsia"/>
              <w:bCs w:val="0"/>
            </w:rPr>
            <w:t>设备”组合投标模式，可以有效提升中标率。</w:t>
          </w:r>
        </w:p>
        <w:p w:rsidR="00156DD6" w:rsidRDefault="00D51F5F">
          <w:pPr>
            <w:spacing w:line="360" w:lineRule="exact"/>
            <w:ind w:firstLineChars="200" w:firstLine="420"/>
            <w:rPr>
              <w:bCs w:val="0"/>
            </w:rPr>
          </w:pPr>
          <w:r>
            <w:rPr>
              <w:rFonts w:hint="eastAsia"/>
              <w:bCs w:val="0"/>
            </w:rPr>
            <w:t>公司以“技术引领</w:t>
          </w:r>
          <w:r>
            <w:rPr>
              <w:rFonts w:hint="eastAsia"/>
              <w:bCs w:val="0"/>
            </w:rPr>
            <w:t>+</w:t>
          </w:r>
          <w:r>
            <w:rPr>
              <w:rFonts w:hint="eastAsia"/>
              <w:bCs w:val="0"/>
            </w:rPr>
            <w:t>产业链协同”双轮驱动战略为导向，打造贯穿材料研发、高端制造与综合服务的全价值链竞争优势。在材料领域突破高端取向硅钢国产化关键技术，在制造环节掌握</w:t>
          </w:r>
          <w:r>
            <w:rPr>
              <w:rFonts w:hint="eastAsia"/>
              <w:bCs w:val="0"/>
            </w:rPr>
            <w:t>500kV</w:t>
          </w:r>
          <w:r>
            <w:rPr>
              <w:rFonts w:hint="eastAsia"/>
              <w:bCs w:val="0"/>
            </w:rPr>
            <w:t>高等级变压器及特种牵引变压器核心工艺，并构建面向新能源及电网领域的一站式服务体系，形成独特的产业链协同优势，持续巩固行业领先地位，为高质量发展提供全方位支撑。</w:t>
          </w:r>
        </w:p>
      </w:sdtContent>
    </w:sdt>
    <w:p w:rsidR="00156DD6" w:rsidRDefault="00156DD6">
      <w:pPr>
        <w:rPr>
          <w:color w:val="000000" w:themeColor="text1"/>
        </w:rPr>
      </w:pPr>
    </w:p>
    <w:p w:rsidR="00156DD6" w:rsidRDefault="00D51F5F">
      <w:pPr>
        <w:pStyle w:val="2"/>
        <w:numPr>
          <w:ilvl w:val="0"/>
          <w:numId w:val="5"/>
        </w:numPr>
        <w:tabs>
          <w:tab w:val="left" w:pos="426"/>
        </w:tabs>
        <w:ind w:left="0" w:firstLine="0"/>
        <w:jc w:val="left"/>
        <w:rPr>
          <w:rFonts w:ascii="宋体" w:hAnsi="宋体"/>
          <w:color w:val="000000" w:themeColor="text1"/>
        </w:rPr>
      </w:pPr>
      <w:r>
        <w:rPr>
          <w:rFonts w:ascii="宋体" w:hAnsi="宋体" w:hint="eastAsia"/>
          <w:color w:val="000000" w:themeColor="text1"/>
        </w:rPr>
        <w:t>报告期内主要经营情况</w:t>
      </w:r>
    </w:p>
    <w:p w:rsidR="00156DD6" w:rsidRDefault="00D51F5F">
      <w:pPr>
        <w:pStyle w:val="TOC6"/>
        <w:numPr>
          <w:ilvl w:val="0"/>
          <w:numId w:val="9"/>
        </w:numPr>
        <w:rPr>
          <w:rFonts w:ascii="宋体" w:hAnsi="宋体"/>
          <w:color w:val="000000" w:themeColor="text1"/>
          <w:sz w:val="21"/>
          <w:szCs w:val="21"/>
        </w:rPr>
      </w:pPr>
      <w:bookmarkStart w:id="44" w:name="_Toc342559738"/>
      <w:bookmarkStart w:id="45" w:name="_Toc342565895"/>
      <w:r>
        <w:rPr>
          <w:rFonts w:ascii="宋体" w:hAnsi="宋体" w:hint="eastAsia"/>
          <w:color w:val="000000" w:themeColor="text1"/>
          <w:sz w:val="21"/>
          <w:szCs w:val="21"/>
        </w:rPr>
        <w:t>主营业务分析</w:t>
      </w:r>
      <w:bookmarkEnd w:id="44"/>
      <w:bookmarkEnd w:id="45"/>
    </w:p>
    <w:p w:rsidR="00156DD6" w:rsidRDefault="00D51F5F">
      <w:pPr>
        <w:pStyle w:val="Style47"/>
        <w:numPr>
          <w:ilvl w:val="0"/>
          <w:numId w:val="10"/>
        </w:numPr>
        <w:rPr>
          <w:rFonts w:ascii="宋体" w:hAnsi="宋体"/>
          <w:color w:val="000000" w:themeColor="text1"/>
          <w:sz w:val="21"/>
          <w:szCs w:val="21"/>
        </w:rPr>
      </w:pPr>
      <w:bookmarkStart w:id="46" w:name="_Toc342559739"/>
      <w:bookmarkStart w:id="47" w:name="_Toc342565896"/>
      <w:bookmarkStart w:id="48" w:name="OLE_LINK98"/>
      <w:r>
        <w:rPr>
          <w:rFonts w:ascii="宋体" w:hAnsi="宋体" w:hint="eastAsia"/>
          <w:color w:val="000000" w:themeColor="text1"/>
          <w:sz w:val="21"/>
          <w:szCs w:val="21"/>
        </w:rPr>
        <w:t>财务报表相关科目变动分析表</w:t>
      </w:r>
      <w:bookmarkEnd w:id="46"/>
      <w:bookmarkEnd w:id="47"/>
    </w:p>
    <w:p w:rsidR="00156DD6" w:rsidRDefault="00D51F5F">
      <w:pPr>
        <w:pStyle w:val="Style72"/>
        <w:ind w:left="360" w:firstLineChars="0" w:firstLine="0"/>
        <w:jc w:val="right"/>
        <w:rPr>
          <w:rFonts w:ascii="宋体" w:hAnsi="宋体"/>
          <w:color w:val="000000" w:themeColor="text1"/>
        </w:rPr>
      </w:pPr>
      <w:bookmarkStart w:id="49" w:name="_Hlk10208083"/>
      <w:bookmarkEnd w:id="48"/>
      <w:r>
        <w:rPr>
          <w:rFonts w:ascii="宋体" w:hAnsi="宋体" w:hint="eastAsia"/>
          <w:color w:val="000000" w:themeColor="text1"/>
          <w:szCs w:val="21"/>
        </w:rPr>
        <w:t>单位</w:t>
      </w:r>
      <w:r>
        <w:rPr>
          <w:rFonts w:ascii="宋体" w:hAnsi="宋体"/>
          <w:color w:val="000000" w:themeColor="text1"/>
          <w:szCs w:val="21"/>
        </w:rPr>
        <w:t>：</w:t>
      </w:r>
      <w:sdt>
        <w:sdtPr>
          <w:rPr>
            <w:rFonts w:ascii="宋体" w:hAnsi="宋体"/>
            <w:color w:val="000000" w:themeColor="text1"/>
            <w:szCs w:val="21"/>
          </w:rPr>
          <w:alias w:val="单位：利润表及现金流量表相关科目变动分析表"/>
          <w:tag w:val="_GBC_ece1a77905b94e6db0c76206578fe2db"/>
          <w:id w:val="-12265237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color w:val="000000" w:themeColor="text1"/>
              <w:szCs w:val="21"/>
            </w:rPr>
            <w:t>万元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r>
        <w:rPr>
          <w:rFonts w:ascii="宋体" w:hAnsi="宋体"/>
          <w:color w:val="000000" w:themeColor="text1"/>
          <w:szCs w:val="21"/>
        </w:rPr>
        <w:t>：</w:t>
      </w:r>
      <w:sdt>
        <w:sdtPr>
          <w:rPr>
            <w:rFonts w:ascii="宋体" w:hAnsi="宋体"/>
            <w:color w:val="000000" w:themeColor="text1"/>
            <w:szCs w:val="21"/>
          </w:rPr>
          <w:alias w:val="币种：利润表及现金流量表相关科目变动分析表"/>
          <w:tag w:val="_GBC_6c86f79f9e2349b09f37ad908cd43f73"/>
          <w:id w:val="6623519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color w:val="000000" w:themeColor="text1"/>
              <w:szCs w:val="21"/>
            </w:rPr>
            <w:t>人民币</w:t>
          </w:r>
        </w:sdtContent>
      </w:sdt>
    </w:p>
    <w:tbl>
      <w:tblPr>
        <w:tblStyle w:val="g2"/>
        <w:tblW w:w="4994" w:type="pct"/>
        <w:tblInd w:w="0" w:type="dxa"/>
        <w:tblLook w:val="04A0" w:firstRow="1" w:lastRow="0" w:firstColumn="1" w:lastColumn="0" w:noHBand="0" w:noVBand="1"/>
      </w:tblPr>
      <w:tblGrid>
        <w:gridCol w:w="3008"/>
        <w:gridCol w:w="2073"/>
        <w:gridCol w:w="1935"/>
        <w:gridCol w:w="1796"/>
      </w:tblGrid>
      <w:tr w:rsidR="00156DD6">
        <w:bookmarkStart w:id="50" w:name="_Hlk10208057" w:displacedByCustomXml="next"/>
        <w:sdt>
          <w:sdtPr>
            <w:rPr>
              <w:rFonts w:asciiTheme="majorEastAsia" w:eastAsiaTheme="majorEastAsia" w:hAnsiTheme="majorEastAsia"/>
              <w:sz w:val="21"/>
              <w:szCs w:val="21"/>
            </w:rPr>
            <w:tag w:val="_PLD_2e2e0d1bb8d44a278061305ea6808979"/>
            <w:id w:val="771128145"/>
          </w:sdtPr>
          <w:sdtEndPr/>
          <w:sdtContent>
            <w:tc>
              <w:tcPr>
                <w:tcW w:w="1707" w:type="pct"/>
                <w:vAlign w:val="center"/>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科目</w:t>
                </w:r>
              </w:p>
            </w:tc>
          </w:sdtContent>
        </w:sdt>
        <w:sdt>
          <w:sdtPr>
            <w:rPr>
              <w:rFonts w:asciiTheme="majorEastAsia" w:eastAsiaTheme="majorEastAsia" w:hAnsiTheme="majorEastAsia"/>
              <w:sz w:val="21"/>
              <w:szCs w:val="21"/>
            </w:rPr>
            <w:tag w:val="_PLD_37391874ab08430b841a55f53c4d20e6"/>
            <w:id w:val="1040014996"/>
          </w:sdtPr>
          <w:sdtEndPr/>
          <w:sdtContent>
            <w:tc>
              <w:tcPr>
                <w:tcW w:w="1176" w:type="pct"/>
                <w:vAlign w:val="center"/>
              </w:tcPr>
              <w:p w:rsidR="00156DD6" w:rsidRDefault="00D51F5F">
                <w:pPr>
                  <w:pStyle w:val="Style72"/>
                  <w:ind w:firstLineChars="0" w:firstLine="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本期数</w:t>
                </w:r>
              </w:p>
            </w:tc>
          </w:sdtContent>
        </w:sdt>
        <w:sdt>
          <w:sdtPr>
            <w:rPr>
              <w:rFonts w:asciiTheme="majorEastAsia" w:eastAsiaTheme="majorEastAsia" w:hAnsiTheme="majorEastAsia"/>
              <w:sz w:val="21"/>
              <w:szCs w:val="21"/>
            </w:rPr>
            <w:tag w:val="_PLD_d061bf6d7e824e93a5540d2e36feb15d"/>
            <w:id w:val="-1477751217"/>
          </w:sdtPr>
          <w:sdtEndPr/>
          <w:sdtContent>
            <w:tc>
              <w:tcPr>
                <w:tcW w:w="1098" w:type="pct"/>
                <w:vAlign w:val="center"/>
              </w:tcPr>
              <w:p w:rsidR="00156DD6" w:rsidRDefault="00D51F5F">
                <w:pPr>
                  <w:pStyle w:val="Style72"/>
                  <w:ind w:firstLineChars="0" w:firstLine="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上年同期数</w:t>
                </w:r>
              </w:p>
            </w:tc>
          </w:sdtContent>
        </w:sdt>
        <w:sdt>
          <w:sdtPr>
            <w:rPr>
              <w:rFonts w:asciiTheme="majorEastAsia" w:eastAsiaTheme="majorEastAsia" w:hAnsiTheme="majorEastAsia"/>
              <w:sz w:val="21"/>
              <w:szCs w:val="21"/>
            </w:rPr>
            <w:tag w:val="_PLD_1792b71106c34c75af22292391c96e49"/>
            <w:id w:val="2122023008"/>
          </w:sdtPr>
          <w:sdtEndPr/>
          <w:sdtContent>
            <w:tc>
              <w:tcPr>
                <w:tcW w:w="1019" w:type="pct"/>
                <w:vAlign w:val="center"/>
              </w:tcPr>
              <w:p w:rsidR="00156DD6" w:rsidRDefault="00D51F5F">
                <w:pPr>
                  <w:pStyle w:val="Style72"/>
                  <w:ind w:firstLineChars="0" w:firstLine="0"/>
                  <w:jc w:val="center"/>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变动比例（</w:t>
                </w:r>
                <w:r>
                  <w:rPr>
                    <w:rFonts w:asciiTheme="majorEastAsia" w:eastAsiaTheme="majorEastAsia" w:hAnsiTheme="majorEastAsia" w:hint="eastAsia"/>
                    <w:color w:val="000000" w:themeColor="text1"/>
                    <w:sz w:val="21"/>
                    <w:szCs w:val="21"/>
                  </w:rPr>
                  <w:t>%</w:t>
                </w:r>
                <w:r>
                  <w:rPr>
                    <w:rFonts w:asciiTheme="majorEastAsia" w:eastAsiaTheme="majorEastAsia" w:hAnsiTheme="majorEastAsia" w:hint="eastAsia"/>
                    <w:color w:val="000000" w:themeColor="text1"/>
                    <w:sz w:val="21"/>
                    <w:szCs w:val="21"/>
                  </w:rPr>
                  <w:t>）</w:t>
                </w:r>
              </w:p>
            </w:tc>
          </w:sdtContent>
        </w:sdt>
      </w:tr>
      <w:tr w:rsidR="00156DD6">
        <w:tc>
          <w:tcPr>
            <w:tcW w:w="1707" w:type="pct"/>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营业收入</w:t>
            </w:r>
          </w:p>
        </w:tc>
        <w:tc>
          <w:tcPr>
            <w:tcW w:w="1176"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183,598.31 </w:t>
            </w:r>
          </w:p>
        </w:tc>
        <w:tc>
          <w:tcPr>
            <w:tcW w:w="1098"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142,539.54 </w:t>
            </w:r>
          </w:p>
        </w:tc>
        <w:tc>
          <w:tcPr>
            <w:tcW w:w="1019"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28.81 </w:t>
            </w:r>
          </w:p>
        </w:tc>
      </w:tr>
      <w:tr w:rsidR="00156DD6">
        <w:tc>
          <w:tcPr>
            <w:tcW w:w="1707" w:type="pct"/>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color w:val="000000" w:themeColor="text1"/>
                <w:sz w:val="21"/>
                <w:szCs w:val="21"/>
              </w:rPr>
              <w:t>营业成本</w:t>
            </w:r>
          </w:p>
        </w:tc>
        <w:tc>
          <w:tcPr>
            <w:tcW w:w="1176"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160,235.11 </w:t>
            </w:r>
          </w:p>
        </w:tc>
        <w:tc>
          <w:tcPr>
            <w:tcW w:w="1098"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127,368.52 </w:t>
            </w:r>
          </w:p>
        </w:tc>
        <w:tc>
          <w:tcPr>
            <w:tcW w:w="1019"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25.80 </w:t>
            </w:r>
          </w:p>
        </w:tc>
      </w:tr>
      <w:tr w:rsidR="00156DD6">
        <w:tc>
          <w:tcPr>
            <w:tcW w:w="1707" w:type="pct"/>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color w:val="000000" w:themeColor="text1"/>
                <w:sz w:val="21"/>
                <w:szCs w:val="21"/>
              </w:rPr>
              <w:t>销售费用</w:t>
            </w:r>
          </w:p>
        </w:tc>
        <w:tc>
          <w:tcPr>
            <w:tcW w:w="1176"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5,949.14 </w:t>
            </w:r>
          </w:p>
        </w:tc>
        <w:tc>
          <w:tcPr>
            <w:tcW w:w="1098"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5,019.57 </w:t>
            </w:r>
          </w:p>
        </w:tc>
        <w:tc>
          <w:tcPr>
            <w:tcW w:w="1019"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18.52 </w:t>
            </w:r>
          </w:p>
        </w:tc>
      </w:tr>
      <w:tr w:rsidR="00156DD6">
        <w:tc>
          <w:tcPr>
            <w:tcW w:w="1707" w:type="pct"/>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color w:val="000000" w:themeColor="text1"/>
                <w:sz w:val="21"/>
                <w:szCs w:val="21"/>
              </w:rPr>
              <w:t>管理费用</w:t>
            </w:r>
          </w:p>
        </w:tc>
        <w:tc>
          <w:tcPr>
            <w:tcW w:w="1176"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6,317.62 </w:t>
            </w:r>
          </w:p>
        </w:tc>
        <w:tc>
          <w:tcPr>
            <w:tcW w:w="1098"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5,416.48 </w:t>
            </w:r>
          </w:p>
        </w:tc>
        <w:tc>
          <w:tcPr>
            <w:tcW w:w="1019"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16.64 </w:t>
            </w:r>
          </w:p>
        </w:tc>
      </w:tr>
      <w:tr w:rsidR="00156DD6">
        <w:tc>
          <w:tcPr>
            <w:tcW w:w="1707" w:type="pct"/>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color w:val="000000" w:themeColor="text1"/>
                <w:sz w:val="21"/>
                <w:szCs w:val="21"/>
              </w:rPr>
              <w:t>财务费用</w:t>
            </w:r>
          </w:p>
        </w:tc>
        <w:tc>
          <w:tcPr>
            <w:tcW w:w="1176"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961.74 </w:t>
            </w:r>
          </w:p>
        </w:tc>
        <w:tc>
          <w:tcPr>
            <w:tcW w:w="1098"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-3.47 </w:t>
            </w:r>
          </w:p>
        </w:tc>
        <w:tc>
          <w:tcPr>
            <w:tcW w:w="1019"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不适用</w:t>
            </w:r>
            <w:r>
              <w:rPr>
                <w:rFonts w:asciiTheme="majorEastAsia" w:eastAsiaTheme="majorEastAsia" w:hAnsiTheme="majorEastAsia" w:hint="eastAsia"/>
                <w:sz w:val="21"/>
                <w:szCs w:val="21"/>
              </w:rPr>
              <w:t xml:space="preserve"> </w:t>
            </w:r>
          </w:p>
        </w:tc>
      </w:tr>
      <w:tr w:rsidR="00156DD6">
        <w:tc>
          <w:tcPr>
            <w:tcW w:w="1707" w:type="pct"/>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研发费用</w:t>
            </w:r>
          </w:p>
        </w:tc>
        <w:tc>
          <w:tcPr>
            <w:tcW w:w="1176"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2,056.50 </w:t>
            </w:r>
          </w:p>
        </w:tc>
        <w:tc>
          <w:tcPr>
            <w:tcW w:w="1098"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2,061.38 </w:t>
            </w:r>
          </w:p>
        </w:tc>
        <w:tc>
          <w:tcPr>
            <w:tcW w:w="1019"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-0.24 </w:t>
            </w:r>
          </w:p>
        </w:tc>
      </w:tr>
      <w:tr w:rsidR="00156DD6">
        <w:tc>
          <w:tcPr>
            <w:tcW w:w="1707" w:type="pct"/>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color w:val="000000" w:themeColor="text1"/>
                <w:sz w:val="21"/>
                <w:szCs w:val="21"/>
              </w:rPr>
              <w:t>经营活动产生的现金流量净额</w:t>
            </w:r>
          </w:p>
        </w:tc>
        <w:tc>
          <w:tcPr>
            <w:tcW w:w="1176"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1,983.12 </w:t>
            </w:r>
          </w:p>
        </w:tc>
        <w:tc>
          <w:tcPr>
            <w:tcW w:w="1098"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-29,537.17 </w:t>
            </w:r>
          </w:p>
        </w:tc>
        <w:tc>
          <w:tcPr>
            <w:tcW w:w="1019" w:type="pct"/>
            <w:vAlign w:val="center"/>
          </w:tcPr>
          <w:p w:rsidR="00156DD6" w:rsidRDefault="00D51F5F">
            <w:pPr>
              <w:pStyle w:val="Style72"/>
              <w:ind w:firstLineChars="0" w:firstLine="0"/>
              <w:jc w:val="right"/>
              <w:rPr>
                <w:rFonts w:asciiTheme="majorEastAsia" w:eastAsiaTheme="majorEastAsia" w:hAnsiTheme="majorEastAsia"/>
                <w:sz w:val="21"/>
                <w:szCs w:val="21"/>
              </w:rPr>
            </w:pPr>
            <w:bookmarkStart w:id="51" w:name="OLE_LINK51"/>
            <w:r>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不适用</w:t>
            </w:r>
            <w:bookmarkEnd w:id="51"/>
            <w:r>
              <w:rPr>
                <w:rFonts w:asciiTheme="majorEastAsia" w:eastAsiaTheme="majorEastAsia" w:hAnsiTheme="majorEastAsia" w:hint="eastAsia"/>
                <w:sz w:val="21"/>
                <w:szCs w:val="21"/>
              </w:rPr>
              <w:t xml:space="preserve"> </w:t>
            </w:r>
          </w:p>
        </w:tc>
      </w:tr>
      <w:tr w:rsidR="00156DD6">
        <w:tc>
          <w:tcPr>
            <w:tcW w:w="1707" w:type="pct"/>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color w:val="000000" w:themeColor="text1"/>
                <w:sz w:val="21"/>
                <w:szCs w:val="21"/>
              </w:rPr>
              <w:t>投资活动产生的现金流量净额</w:t>
            </w:r>
          </w:p>
        </w:tc>
        <w:tc>
          <w:tcPr>
            <w:tcW w:w="1176"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-3,532.33 </w:t>
            </w:r>
          </w:p>
        </w:tc>
        <w:tc>
          <w:tcPr>
            <w:tcW w:w="1098"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-55,074.25 </w:t>
            </w:r>
          </w:p>
        </w:tc>
        <w:tc>
          <w:tcPr>
            <w:tcW w:w="1019"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93.59 </w:t>
            </w:r>
          </w:p>
        </w:tc>
      </w:tr>
      <w:tr w:rsidR="00156DD6">
        <w:tc>
          <w:tcPr>
            <w:tcW w:w="1707" w:type="pct"/>
          </w:tcPr>
          <w:p w:rsidR="00156DD6" w:rsidRDefault="00D51F5F">
            <w:pPr>
              <w:pStyle w:val="Style72"/>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color w:val="000000" w:themeColor="text1"/>
                <w:sz w:val="21"/>
                <w:szCs w:val="21"/>
              </w:rPr>
              <w:lastRenderedPageBreak/>
              <w:t>筹资活动产生的现金流量净额</w:t>
            </w:r>
          </w:p>
        </w:tc>
        <w:tc>
          <w:tcPr>
            <w:tcW w:w="1176"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7,344.25 </w:t>
            </w:r>
          </w:p>
        </w:tc>
        <w:tc>
          <w:tcPr>
            <w:tcW w:w="1098"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49,570.11 </w:t>
            </w:r>
          </w:p>
        </w:tc>
        <w:tc>
          <w:tcPr>
            <w:tcW w:w="1019" w:type="pct"/>
            <w:vAlign w:val="center"/>
          </w:tcPr>
          <w:p w:rsidR="00156DD6" w:rsidRDefault="00D51F5F">
            <w:pPr>
              <w:pStyle w:val="Style72"/>
              <w:ind w:firstLineChars="0" w:firstLine="0"/>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-85.18 </w:t>
            </w:r>
          </w:p>
        </w:tc>
      </w:tr>
    </w:tbl>
    <w:bookmarkEnd w:id="50"/>
    <w:p w:rsidR="00156DD6" w:rsidRDefault="00D51F5F">
      <w:pPr>
        <w:pStyle w:val="Style72"/>
        <w:spacing w:line="360" w:lineRule="exact"/>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营业收入变动原因说明：</w:t>
      </w:r>
      <w:bookmarkStart w:id="52" w:name="OLE_LINK27"/>
      <w:sdt>
        <w:sdtPr>
          <w:rPr>
            <w:rFonts w:asciiTheme="majorEastAsia" w:eastAsiaTheme="majorEastAsia" w:hAnsiTheme="majorEastAsia"/>
            <w:color w:val="000000" w:themeColor="text1"/>
            <w:sz w:val="21"/>
            <w:szCs w:val="21"/>
          </w:rPr>
          <w:alias w:val="营业收入变动原因说明"/>
          <w:tag w:val="_GBC_f42c61e6c2ef46fe886ea6ecdd4ea15b"/>
          <w:id w:val="1291317422"/>
          <w:placeholder>
            <w:docPart w:val="GBC22222222222222222222222222222"/>
          </w:placeholder>
        </w:sdtPr>
        <w:sdtEndPr/>
        <w:sdtContent>
          <w:r>
            <w:rPr>
              <w:rFonts w:asciiTheme="majorEastAsia" w:eastAsiaTheme="majorEastAsia" w:hAnsiTheme="majorEastAsia" w:hint="eastAsia"/>
              <w:color w:val="000000" w:themeColor="text1"/>
              <w:sz w:val="21"/>
              <w:szCs w:val="21"/>
            </w:rPr>
            <w:t>报告期实现营业收入</w:t>
          </w:r>
          <w:r>
            <w:rPr>
              <w:rFonts w:asciiTheme="majorEastAsia" w:eastAsiaTheme="majorEastAsia" w:hAnsiTheme="majorEastAsia" w:hint="eastAsia"/>
              <w:color w:val="000000" w:themeColor="text1"/>
              <w:sz w:val="21"/>
              <w:szCs w:val="21"/>
            </w:rPr>
            <w:t>183,598</w:t>
          </w:r>
          <w:r>
            <w:rPr>
              <w:rFonts w:asciiTheme="majorEastAsia" w:eastAsiaTheme="majorEastAsia" w:hAnsiTheme="majorEastAsia" w:hint="eastAsia"/>
              <w:color w:val="000000" w:themeColor="text1"/>
              <w:sz w:val="21"/>
              <w:szCs w:val="21"/>
            </w:rPr>
            <w:t>万元，同比增加</w:t>
          </w:r>
          <w:r>
            <w:rPr>
              <w:rFonts w:asciiTheme="majorEastAsia" w:eastAsiaTheme="majorEastAsia" w:hAnsiTheme="majorEastAsia" w:hint="eastAsia"/>
              <w:color w:val="000000" w:themeColor="text1"/>
              <w:sz w:val="21"/>
              <w:szCs w:val="21"/>
            </w:rPr>
            <w:t>41,059</w:t>
          </w:r>
          <w:r>
            <w:rPr>
              <w:rFonts w:asciiTheme="majorEastAsia" w:eastAsiaTheme="majorEastAsia" w:hAnsiTheme="majorEastAsia" w:hint="eastAsia"/>
              <w:color w:val="000000" w:themeColor="text1"/>
              <w:sz w:val="21"/>
              <w:szCs w:val="21"/>
            </w:rPr>
            <w:t>万元，增长</w:t>
          </w:r>
          <w:r>
            <w:rPr>
              <w:rFonts w:asciiTheme="majorEastAsia" w:eastAsiaTheme="majorEastAsia" w:hAnsiTheme="majorEastAsia" w:hint="eastAsia"/>
              <w:color w:val="000000" w:themeColor="text1"/>
              <w:sz w:val="21"/>
              <w:szCs w:val="21"/>
            </w:rPr>
            <w:t>28.81%</w:t>
          </w:r>
          <w:r>
            <w:rPr>
              <w:rFonts w:asciiTheme="majorEastAsia" w:eastAsiaTheme="majorEastAsia" w:hAnsiTheme="majorEastAsia" w:hint="eastAsia"/>
              <w:color w:val="000000" w:themeColor="text1"/>
              <w:sz w:val="21"/>
              <w:szCs w:val="21"/>
            </w:rPr>
            <w:t>。主营业务收入</w:t>
          </w:r>
          <w:r>
            <w:rPr>
              <w:rFonts w:asciiTheme="majorEastAsia" w:eastAsiaTheme="majorEastAsia" w:hAnsiTheme="majorEastAsia"/>
              <w:color w:val="000000" w:themeColor="text1"/>
              <w:sz w:val="21"/>
              <w:szCs w:val="21"/>
            </w:rPr>
            <w:t>177,87</w:t>
          </w:r>
          <w:r>
            <w:rPr>
              <w:rFonts w:asciiTheme="majorEastAsia" w:eastAsiaTheme="majorEastAsia" w:hAnsiTheme="majorEastAsia" w:hint="eastAsia"/>
              <w:color w:val="000000" w:themeColor="text1"/>
              <w:sz w:val="21"/>
              <w:szCs w:val="21"/>
            </w:rPr>
            <w:t>6</w:t>
          </w:r>
          <w:r>
            <w:rPr>
              <w:rFonts w:asciiTheme="majorEastAsia" w:eastAsiaTheme="majorEastAsia" w:hAnsiTheme="majorEastAsia" w:hint="eastAsia"/>
              <w:color w:val="000000" w:themeColor="text1"/>
              <w:sz w:val="21"/>
              <w:szCs w:val="21"/>
            </w:rPr>
            <w:t>万元，其中输配电及控制设备业务收入</w:t>
          </w:r>
          <w:r>
            <w:rPr>
              <w:rFonts w:asciiTheme="majorEastAsia" w:eastAsiaTheme="majorEastAsia" w:hAnsiTheme="majorEastAsia"/>
              <w:color w:val="000000" w:themeColor="text1"/>
              <w:sz w:val="21"/>
              <w:szCs w:val="21"/>
            </w:rPr>
            <w:t>114,25</w:t>
          </w:r>
          <w:r>
            <w:rPr>
              <w:rFonts w:asciiTheme="majorEastAsia" w:eastAsiaTheme="majorEastAsia" w:hAnsiTheme="majorEastAsia" w:hint="eastAsia"/>
              <w:color w:val="000000" w:themeColor="text1"/>
              <w:sz w:val="21"/>
              <w:szCs w:val="21"/>
            </w:rPr>
            <w:t>2</w:t>
          </w:r>
          <w:r>
            <w:rPr>
              <w:rFonts w:asciiTheme="majorEastAsia" w:eastAsiaTheme="majorEastAsia" w:hAnsiTheme="majorEastAsia" w:hint="eastAsia"/>
              <w:color w:val="000000" w:themeColor="text1"/>
              <w:sz w:val="21"/>
              <w:szCs w:val="21"/>
            </w:rPr>
            <w:t>万元，同比增加</w:t>
          </w:r>
          <w:r>
            <w:rPr>
              <w:rFonts w:asciiTheme="majorEastAsia" w:eastAsiaTheme="majorEastAsia" w:hAnsiTheme="majorEastAsia"/>
              <w:color w:val="000000" w:themeColor="text1"/>
              <w:sz w:val="21"/>
              <w:szCs w:val="21"/>
            </w:rPr>
            <w:t>36,383</w:t>
          </w:r>
          <w:r>
            <w:rPr>
              <w:rFonts w:asciiTheme="majorEastAsia" w:eastAsiaTheme="majorEastAsia" w:hAnsiTheme="majorEastAsia" w:hint="eastAsia"/>
              <w:color w:val="000000" w:themeColor="text1"/>
              <w:sz w:val="21"/>
              <w:szCs w:val="21"/>
            </w:rPr>
            <w:t>万元，增长</w:t>
          </w:r>
          <w:r>
            <w:rPr>
              <w:rFonts w:asciiTheme="majorEastAsia" w:eastAsiaTheme="majorEastAsia" w:hAnsiTheme="majorEastAsia" w:hint="eastAsia"/>
              <w:color w:val="000000" w:themeColor="text1"/>
              <w:sz w:val="21"/>
              <w:szCs w:val="21"/>
            </w:rPr>
            <w:t>46.72%</w:t>
          </w:r>
          <w:r>
            <w:rPr>
              <w:rFonts w:asciiTheme="majorEastAsia" w:eastAsiaTheme="majorEastAsia" w:hAnsiTheme="majorEastAsia" w:hint="eastAsia"/>
              <w:color w:val="000000" w:themeColor="text1"/>
              <w:sz w:val="21"/>
              <w:szCs w:val="21"/>
            </w:rPr>
            <w:t>；取向硅钢业务收入</w:t>
          </w:r>
          <w:r>
            <w:rPr>
              <w:rFonts w:asciiTheme="majorEastAsia" w:eastAsiaTheme="majorEastAsia" w:hAnsiTheme="majorEastAsia"/>
              <w:color w:val="000000" w:themeColor="text1"/>
              <w:sz w:val="21"/>
              <w:szCs w:val="21"/>
            </w:rPr>
            <w:t>63,62</w:t>
          </w:r>
          <w:r>
            <w:rPr>
              <w:rFonts w:asciiTheme="majorEastAsia" w:eastAsiaTheme="majorEastAsia" w:hAnsiTheme="majorEastAsia" w:hint="eastAsia"/>
              <w:color w:val="000000" w:themeColor="text1"/>
              <w:sz w:val="21"/>
              <w:szCs w:val="21"/>
            </w:rPr>
            <w:t>4</w:t>
          </w:r>
          <w:r>
            <w:rPr>
              <w:rFonts w:asciiTheme="majorEastAsia" w:eastAsiaTheme="majorEastAsia" w:hAnsiTheme="majorEastAsia" w:hint="eastAsia"/>
              <w:color w:val="000000" w:themeColor="text1"/>
              <w:sz w:val="21"/>
              <w:szCs w:val="21"/>
            </w:rPr>
            <w:t>万元，同比增加</w:t>
          </w:r>
          <w:r>
            <w:rPr>
              <w:rFonts w:asciiTheme="majorEastAsia" w:eastAsiaTheme="majorEastAsia" w:hAnsiTheme="majorEastAsia"/>
              <w:color w:val="000000" w:themeColor="text1"/>
              <w:sz w:val="21"/>
              <w:szCs w:val="21"/>
            </w:rPr>
            <w:t>3,317</w:t>
          </w:r>
          <w:r>
            <w:rPr>
              <w:rFonts w:asciiTheme="majorEastAsia" w:eastAsiaTheme="majorEastAsia" w:hAnsiTheme="majorEastAsia" w:hint="eastAsia"/>
              <w:color w:val="000000" w:themeColor="text1"/>
              <w:sz w:val="21"/>
              <w:szCs w:val="21"/>
            </w:rPr>
            <w:t>万元，增长</w:t>
          </w:r>
          <w:r>
            <w:rPr>
              <w:rFonts w:asciiTheme="majorEastAsia" w:eastAsiaTheme="majorEastAsia" w:hAnsiTheme="majorEastAsia" w:hint="eastAsia"/>
              <w:color w:val="000000" w:themeColor="text1"/>
              <w:sz w:val="21"/>
              <w:szCs w:val="21"/>
            </w:rPr>
            <w:t>5.50%</w:t>
          </w:r>
          <w:r>
            <w:rPr>
              <w:rFonts w:asciiTheme="majorEastAsia" w:eastAsiaTheme="majorEastAsia" w:hAnsiTheme="majorEastAsia" w:hint="eastAsia"/>
              <w:color w:val="000000" w:themeColor="text1"/>
              <w:sz w:val="21"/>
              <w:szCs w:val="21"/>
            </w:rPr>
            <w:t>。（</w:t>
          </w:r>
          <w:r>
            <w:rPr>
              <w:rFonts w:asciiTheme="majorEastAsia" w:eastAsiaTheme="majorEastAsia" w:hAnsiTheme="majorEastAsia" w:hint="eastAsia"/>
              <w:color w:val="000000" w:themeColor="text1"/>
              <w:sz w:val="21"/>
              <w:szCs w:val="21"/>
            </w:rPr>
            <w:t>1</w:t>
          </w:r>
          <w:r>
            <w:rPr>
              <w:rFonts w:asciiTheme="majorEastAsia" w:eastAsiaTheme="majorEastAsia" w:hAnsiTheme="majorEastAsia" w:hint="eastAsia"/>
              <w:color w:val="000000" w:themeColor="text1"/>
              <w:sz w:val="21"/>
              <w:szCs w:val="21"/>
            </w:rPr>
            <w:t>）输配电及控制设备业务增长主要系</w:t>
          </w:r>
          <w:r>
            <w:rPr>
              <w:rFonts w:asciiTheme="majorEastAsia" w:eastAsiaTheme="majorEastAsia" w:hAnsiTheme="majorEastAsia" w:hint="eastAsia"/>
              <w:color w:val="000000" w:themeColor="text1"/>
              <w:sz w:val="21"/>
              <w:szCs w:val="21"/>
            </w:rPr>
            <w:t>110kV</w:t>
          </w:r>
          <w:r>
            <w:rPr>
              <w:rFonts w:asciiTheme="majorEastAsia" w:eastAsiaTheme="majorEastAsia" w:hAnsiTheme="majorEastAsia" w:hint="eastAsia"/>
              <w:color w:val="000000" w:themeColor="text1"/>
              <w:sz w:val="21"/>
              <w:szCs w:val="21"/>
            </w:rPr>
            <w:t>及以上变压器产品营业收入从去年同期的</w:t>
          </w:r>
          <w:r>
            <w:rPr>
              <w:rFonts w:asciiTheme="majorEastAsia" w:eastAsiaTheme="majorEastAsia" w:hAnsiTheme="majorEastAsia" w:hint="eastAsia"/>
              <w:color w:val="000000" w:themeColor="text1"/>
              <w:sz w:val="21"/>
              <w:szCs w:val="21"/>
            </w:rPr>
            <w:t>20,092</w:t>
          </w:r>
          <w:r>
            <w:rPr>
              <w:rFonts w:asciiTheme="majorEastAsia" w:eastAsiaTheme="majorEastAsia" w:hAnsiTheme="majorEastAsia" w:hint="eastAsia"/>
              <w:color w:val="000000" w:themeColor="text1"/>
              <w:sz w:val="21"/>
              <w:szCs w:val="21"/>
            </w:rPr>
            <w:t>万元增加到</w:t>
          </w:r>
          <w:r>
            <w:rPr>
              <w:rFonts w:asciiTheme="majorEastAsia" w:eastAsiaTheme="majorEastAsia" w:hAnsiTheme="majorEastAsia" w:hint="eastAsia"/>
              <w:color w:val="000000" w:themeColor="text1"/>
              <w:sz w:val="21"/>
              <w:szCs w:val="21"/>
            </w:rPr>
            <w:t>50,567</w:t>
          </w:r>
          <w:r>
            <w:rPr>
              <w:rFonts w:asciiTheme="majorEastAsia" w:eastAsiaTheme="majorEastAsia" w:hAnsiTheme="majorEastAsia" w:hint="eastAsia"/>
              <w:color w:val="000000" w:themeColor="text1"/>
              <w:sz w:val="21"/>
              <w:szCs w:val="21"/>
            </w:rPr>
            <w:t>万元，增加</w:t>
          </w:r>
          <w:r>
            <w:rPr>
              <w:rFonts w:asciiTheme="majorEastAsia" w:eastAsiaTheme="majorEastAsia" w:hAnsiTheme="majorEastAsia" w:hint="eastAsia"/>
              <w:color w:val="000000" w:themeColor="text1"/>
              <w:sz w:val="21"/>
              <w:szCs w:val="21"/>
            </w:rPr>
            <w:t>30,475</w:t>
          </w:r>
          <w:r>
            <w:rPr>
              <w:rFonts w:asciiTheme="majorEastAsia" w:eastAsiaTheme="majorEastAsia" w:hAnsiTheme="majorEastAsia" w:hint="eastAsia"/>
              <w:color w:val="000000" w:themeColor="text1"/>
              <w:sz w:val="21"/>
              <w:szCs w:val="21"/>
            </w:rPr>
            <w:t>万元；（</w:t>
          </w:r>
          <w:r>
            <w:rPr>
              <w:rFonts w:asciiTheme="majorEastAsia" w:eastAsiaTheme="majorEastAsia" w:hAnsiTheme="majorEastAsia" w:hint="eastAsia"/>
              <w:color w:val="000000" w:themeColor="text1"/>
              <w:sz w:val="21"/>
              <w:szCs w:val="21"/>
            </w:rPr>
            <w:t>2</w:t>
          </w:r>
          <w:r>
            <w:rPr>
              <w:rFonts w:asciiTheme="majorEastAsia" w:eastAsiaTheme="majorEastAsia" w:hAnsiTheme="majorEastAsia" w:hint="eastAsia"/>
              <w:color w:val="000000" w:themeColor="text1"/>
              <w:sz w:val="21"/>
              <w:szCs w:val="21"/>
            </w:rPr>
            <w:t>）取向硅钢业务增长主要系销售量的增加，对外销售量增加</w:t>
          </w:r>
          <w:r>
            <w:rPr>
              <w:rFonts w:asciiTheme="majorEastAsia" w:eastAsiaTheme="majorEastAsia" w:hAnsiTheme="majorEastAsia" w:hint="eastAsia"/>
              <w:color w:val="000000" w:themeColor="text1"/>
              <w:sz w:val="21"/>
              <w:szCs w:val="21"/>
            </w:rPr>
            <w:t>5,396</w:t>
          </w:r>
          <w:r>
            <w:rPr>
              <w:rFonts w:asciiTheme="majorEastAsia" w:eastAsiaTheme="majorEastAsia" w:hAnsiTheme="majorEastAsia" w:hint="eastAsia"/>
              <w:color w:val="000000" w:themeColor="text1"/>
              <w:sz w:val="21"/>
              <w:szCs w:val="21"/>
            </w:rPr>
            <w:t>吨，实现营业收入增长</w:t>
          </w:r>
          <w:r>
            <w:rPr>
              <w:rFonts w:asciiTheme="majorEastAsia" w:eastAsiaTheme="majorEastAsia" w:hAnsiTheme="majorEastAsia"/>
              <w:color w:val="000000" w:themeColor="text1"/>
              <w:sz w:val="21"/>
              <w:szCs w:val="21"/>
            </w:rPr>
            <w:t>4,770</w:t>
          </w:r>
          <w:r>
            <w:rPr>
              <w:rFonts w:asciiTheme="majorEastAsia" w:eastAsiaTheme="majorEastAsia" w:hAnsiTheme="majorEastAsia" w:hint="eastAsia"/>
              <w:color w:val="000000" w:themeColor="text1"/>
              <w:sz w:val="21"/>
              <w:szCs w:val="21"/>
            </w:rPr>
            <w:t>万元。</w:t>
          </w:r>
        </w:sdtContent>
      </w:sdt>
      <w:bookmarkEnd w:id="52"/>
    </w:p>
    <w:p w:rsidR="00156DD6" w:rsidRDefault="00D51F5F">
      <w:pPr>
        <w:pStyle w:val="Style72"/>
        <w:spacing w:line="360" w:lineRule="exact"/>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营业成本变动原因说明：</w:t>
      </w:r>
      <w:sdt>
        <w:sdtPr>
          <w:rPr>
            <w:rFonts w:asciiTheme="majorEastAsia" w:eastAsiaTheme="majorEastAsia" w:hAnsiTheme="majorEastAsia" w:hint="eastAsia"/>
            <w:color w:val="000000" w:themeColor="text1"/>
            <w:sz w:val="21"/>
            <w:szCs w:val="21"/>
          </w:rPr>
          <w:alias w:val="营业成本变动原因说明"/>
          <w:tag w:val="_GBC_4ab47071f9844da58abe164f6bd272aa"/>
          <w:id w:val="-1077592840"/>
          <w:placeholder>
            <w:docPart w:val="GBC22222222222222222222222222222"/>
          </w:placeholder>
        </w:sdtPr>
        <w:sdtEndPr/>
        <w:sdtContent>
          <w:r>
            <w:rPr>
              <w:rFonts w:asciiTheme="majorEastAsia" w:eastAsiaTheme="majorEastAsia" w:hAnsiTheme="majorEastAsia" w:hint="eastAsia"/>
              <w:color w:val="000000" w:themeColor="text1"/>
              <w:sz w:val="21"/>
              <w:szCs w:val="21"/>
            </w:rPr>
            <w:t>报告期营业成本</w:t>
          </w:r>
          <w:r>
            <w:rPr>
              <w:rFonts w:asciiTheme="majorEastAsia" w:eastAsiaTheme="majorEastAsia" w:hAnsiTheme="majorEastAsia" w:hint="eastAsia"/>
              <w:sz w:val="21"/>
              <w:szCs w:val="21"/>
            </w:rPr>
            <w:t>160,235</w:t>
          </w:r>
          <w:r>
            <w:rPr>
              <w:rFonts w:asciiTheme="majorEastAsia" w:eastAsiaTheme="majorEastAsia" w:hAnsiTheme="majorEastAsia" w:hint="eastAsia"/>
              <w:color w:val="000000" w:themeColor="text1"/>
              <w:sz w:val="21"/>
              <w:szCs w:val="21"/>
            </w:rPr>
            <w:t>万元，同比增加</w:t>
          </w:r>
          <w:r>
            <w:rPr>
              <w:rFonts w:asciiTheme="majorEastAsia" w:eastAsiaTheme="majorEastAsia" w:hAnsiTheme="majorEastAsia" w:hint="eastAsia"/>
              <w:color w:val="000000" w:themeColor="text1"/>
              <w:sz w:val="21"/>
              <w:szCs w:val="21"/>
            </w:rPr>
            <w:t>32,867</w:t>
          </w:r>
          <w:r>
            <w:rPr>
              <w:rFonts w:asciiTheme="majorEastAsia" w:eastAsiaTheme="majorEastAsia" w:hAnsiTheme="majorEastAsia" w:hint="eastAsia"/>
              <w:color w:val="000000" w:themeColor="text1"/>
              <w:sz w:val="21"/>
              <w:szCs w:val="21"/>
            </w:rPr>
            <w:t>万元，增长</w:t>
          </w:r>
          <w:r>
            <w:rPr>
              <w:rFonts w:asciiTheme="majorEastAsia" w:eastAsiaTheme="majorEastAsia" w:hAnsiTheme="majorEastAsia" w:hint="eastAsia"/>
              <w:color w:val="000000" w:themeColor="text1"/>
              <w:sz w:val="21"/>
              <w:szCs w:val="21"/>
            </w:rPr>
            <w:t>25.80 %</w:t>
          </w:r>
          <w:r>
            <w:rPr>
              <w:rFonts w:asciiTheme="majorEastAsia" w:eastAsiaTheme="majorEastAsia" w:hAnsiTheme="majorEastAsia" w:hint="eastAsia"/>
              <w:color w:val="000000" w:themeColor="text1"/>
              <w:sz w:val="21"/>
              <w:szCs w:val="21"/>
            </w:rPr>
            <w:t>。主营业务成本</w:t>
          </w:r>
          <w:r>
            <w:rPr>
              <w:rFonts w:asciiTheme="majorEastAsia" w:eastAsiaTheme="majorEastAsia" w:hAnsiTheme="majorEastAsia"/>
              <w:color w:val="000000" w:themeColor="text1"/>
              <w:sz w:val="21"/>
              <w:szCs w:val="21"/>
            </w:rPr>
            <w:t>154,690</w:t>
          </w:r>
          <w:r>
            <w:rPr>
              <w:rFonts w:asciiTheme="majorEastAsia" w:eastAsiaTheme="majorEastAsia" w:hAnsiTheme="majorEastAsia" w:hint="eastAsia"/>
              <w:color w:val="000000" w:themeColor="text1"/>
              <w:sz w:val="21"/>
              <w:szCs w:val="21"/>
            </w:rPr>
            <w:t>万元，其中输配电及控制设备业务营业成本</w:t>
          </w:r>
          <w:r>
            <w:rPr>
              <w:rFonts w:asciiTheme="majorEastAsia" w:eastAsiaTheme="majorEastAsia" w:hAnsiTheme="majorEastAsia"/>
              <w:color w:val="000000" w:themeColor="text1"/>
              <w:sz w:val="21"/>
              <w:szCs w:val="21"/>
            </w:rPr>
            <w:t>97,968</w:t>
          </w:r>
          <w:r>
            <w:rPr>
              <w:rFonts w:asciiTheme="majorEastAsia" w:eastAsiaTheme="majorEastAsia" w:hAnsiTheme="majorEastAsia" w:hint="eastAsia"/>
              <w:color w:val="000000" w:themeColor="text1"/>
              <w:sz w:val="21"/>
              <w:szCs w:val="21"/>
            </w:rPr>
            <w:t>万元，同比增加</w:t>
          </w:r>
          <w:r>
            <w:rPr>
              <w:rFonts w:asciiTheme="majorEastAsia" w:eastAsiaTheme="majorEastAsia" w:hAnsiTheme="majorEastAsia"/>
              <w:color w:val="000000" w:themeColor="text1"/>
              <w:sz w:val="21"/>
              <w:szCs w:val="21"/>
            </w:rPr>
            <w:t>31,639</w:t>
          </w:r>
          <w:r>
            <w:rPr>
              <w:rFonts w:asciiTheme="majorEastAsia" w:eastAsiaTheme="majorEastAsia" w:hAnsiTheme="majorEastAsia" w:hint="eastAsia"/>
              <w:color w:val="000000" w:themeColor="text1"/>
              <w:sz w:val="21"/>
              <w:szCs w:val="21"/>
            </w:rPr>
            <w:t>万元，增长</w:t>
          </w:r>
          <w:r>
            <w:rPr>
              <w:rFonts w:asciiTheme="majorEastAsia" w:eastAsiaTheme="majorEastAsia" w:hAnsiTheme="majorEastAsia" w:hint="eastAsia"/>
              <w:color w:val="000000" w:themeColor="text1"/>
              <w:sz w:val="21"/>
              <w:szCs w:val="21"/>
            </w:rPr>
            <w:t>47.70%</w:t>
          </w:r>
          <w:r>
            <w:rPr>
              <w:rFonts w:asciiTheme="majorEastAsia" w:eastAsiaTheme="majorEastAsia" w:hAnsiTheme="majorEastAsia" w:hint="eastAsia"/>
              <w:color w:val="000000" w:themeColor="text1"/>
              <w:sz w:val="21"/>
              <w:szCs w:val="21"/>
            </w:rPr>
            <w:t>；取向硅钢业</w:t>
          </w:r>
          <w:r>
            <w:rPr>
              <w:rFonts w:asciiTheme="majorEastAsia" w:eastAsiaTheme="majorEastAsia" w:hAnsiTheme="majorEastAsia" w:hint="eastAsia"/>
              <w:color w:val="000000" w:themeColor="text1"/>
              <w:sz w:val="21"/>
              <w:szCs w:val="21"/>
            </w:rPr>
            <w:t>务营业成本</w:t>
          </w:r>
          <w:r>
            <w:rPr>
              <w:rFonts w:asciiTheme="majorEastAsia" w:eastAsiaTheme="majorEastAsia" w:hAnsiTheme="majorEastAsia"/>
              <w:color w:val="000000" w:themeColor="text1"/>
              <w:sz w:val="21"/>
              <w:szCs w:val="21"/>
            </w:rPr>
            <w:t>56,722</w:t>
          </w:r>
          <w:r>
            <w:rPr>
              <w:rFonts w:asciiTheme="majorEastAsia" w:eastAsiaTheme="majorEastAsia" w:hAnsiTheme="majorEastAsia" w:hint="eastAsia"/>
              <w:color w:val="000000" w:themeColor="text1"/>
              <w:sz w:val="21"/>
              <w:szCs w:val="21"/>
            </w:rPr>
            <w:t>万元，同比减少</w:t>
          </w:r>
          <w:r>
            <w:rPr>
              <w:rFonts w:asciiTheme="majorEastAsia" w:eastAsiaTheme="majorEastAsia" w:hAnsiTheme="majorEastAsia" w:hint="eastAsia"/>
              <w:color w:val="000000" w:themeColor="text1"/>
              <w:sz w:val="21"/>
              <w:szCs w:val="21"/>
            </w:rPr>
            <w:t>500</w:t>
          </w:r>
          <w:r>
            <w:rPr>
              <w:rFonts w:asciiTheme="majorEastAsia" w:eastAsiaTheme="majorEastAsia" w:hAnsiTheme="majorEastAsia" w:hint="eastAsia"/>
              <w:color w:val="000000" w:themeColor="text1"/>
              <w:sz w:val="21"/>
              <w:szCs w:val="21"/>
            </w:rPr>
            <w:t>万元，下降</w:t>
          </w:r>
          <w:r>
            <w:rPr>
              <w:rFonts w:asciiTheme="majorEastAsia" w:eastAsiaTheme="majorEastAsia" w:hAnsiTheme="majorEastAsia" w:hint="eastAsia"/>
              <w:color w:val="000000" w:themeColor="text1"/>
              <w:sz w:val="21"/>
              <w:szCs w:val="21"/>
            </w:rPr>
            <w:t>0.87%</w:t>
          </w:r>
          <w:r>
            <w:rPr>
              <w:rFonts w:asciiTheme="majorEastAsia" w:eastAsiaTheme="majorEastAsia" w:hAnsiTheme="majorEastAsia" w:hint="eastAsia"/>
              <w:color w:val="000000" w:themeColor="text1"/>
              <w:sz w:val="21"/>
              <w:szCs w:val="21"/>
            </w:rPr>
            <w:t>。（</w:t>
          </w:r>
          <w:r>
            <w:rPr>
              <w:rFonts w:asciiTheme="majorEastAsia" w:eastAsiaTheme="majorEastAsia" w:hAnsiTheme="majorEastAsia" w:hint="eastAsia"/>
              <w:color w:val="000000" w:themeColor="text1"/>
              <w:sz w:val="21"/>
              <w:szCs w:val="21"/>
            </w:rPr>
            <w:t>1</w:t>
          </w:r>
          <w:r>
            <w:rPr>
              <w:rFonts w:asciiTheme="majorEastAsia" w:eastAsiaTheme="majorEastAsia" w:hAnsiTheme="majorEastAsia" w:hint="eastAsia"/>
              <w:color w:val="000000" w:themeColor="text1"/>
              <w:sz w:val="21"/>
              <w:szCs w:val="21"/>
            </w:rPr>
            <w:t>）输配电及控制设备业务增长主要系</w:t>
          </w:r>
          <w:r>
            <w:rPr>
              <w:rFonts w:asciiTheme="majorEastAsia" w:eastAsiaTheme="majorEastAsia" w:hAnsiTheme="majorEastAsia" w:hint="eastAsia"/>
              <w:color w:val="000000" w:themeColor="text1"/>
              <w:sz w:val="21"/>
              <w:szCs w:val="21"/>
            </w:rPr>
            <w:t>110kV</w:t>
          </w:r>
          <w:r>
            <w:rPr>
              <w:rFonts w:asciiTheme="majorEastAsia" w:eastAsiaTheme="majorEastAsia" w:hAnsiTheme="majorEastAsia" w:hint="eastAsia"/>
              <w:color w:val="000000" w:themeColor="text1"/>
              <w:sz w:val="21"/>
              <w:szCs w:val="21"/>
            </w:rPr>
            <w:t>及以上变压器产品的营业收入增加</w:t>
          </w:r>
          <w:r>
            <w:rPr>
              <w:rFonts w:asciiTheme="majorEastAsia" w:eastAsiaTheme="majorEastAsia" w:hAnsiTheme="majorEastAsia" w:hint="eastAsia"/>
              <w:color w:val="000000" w:themeColor="text1"/>
              <w:sz w:val="21"/>
              <w:szCs w:val="21"/>
            </w:rPr>
            <w:t>30,475</w:t>
          </w:r>
          <w:r>
            <w:rPr>
              <w:rFonts w:asciiTheme="majorEastAsia" w:eastAsiaTheme="majorEastAsia" w:hAnsiTheme="majorEastAsia" w:hint="eastAsia"/>
              <w:color w:val="000000" w:themeColor="text1"/>
              <w:sz w:val="21"/>
              <w:szCs w:val="21"/>
            </w:rPr>
            <w:t>万元同步带来营业成本增加</w:t>
          </w:r>
          <w:r>
            <w:rPr>
              <w:rFonts w:asciiTheme="majorEastAsia" w:eastAsiaTheme="majorEastAsia" w:hAnsiTheme="majorEastAsia" w:hint="eastAsia"/>
              <w:color w:val="000000" w:themeColor="text1"/>
              <w:sz w:val="21"/>
              <w:szCs w:val="21"/>
            </w:rPr>
            <w:t>25,676</w:t>
          </w:r>
          <w:r>
            <w:rPr>
              <w:rFonts w:asciiTheme="majorEastAsia" w:eastAsiaTheme="majorEastAsia" w:hAnsiTheme="majorEastAsia" w:hint="eastAsia"/>
              <w:color w:val="000000" w:themeColor="text1"/>
              <w:sz w:val="21"/>
              <w:szCs w:val="21"/>
            </w:rPr>
            <w:t>万元；（</w:t>
          </w:r>
          <w:r>
            <w:rPr>
              <w:rFonts w:asciiTheme="majorEastAsia" w:eastAsiaTheme="majorEastAsia" w:hAnsiTheme="majorEastAsia" w:hint="eastAsia"/>
              <w:color w:val="000000" w:themeColor="text1"/>
              <w:sz w:val="21"/>
              <w:szCs w:val="21"/>
            </w:rPr>
            <w:t>2</w:t>
          </w:r>
          <w:r>
            <w:rPr>
              <w:rFonts w:asciiTheme="majorEastAsia" w:eastAsiaTheme="majorEastAsia" w:hAnsiTheme="majorEastAsia" w:hint="eastAsia"/>
              <w:color w:val="000000" w:themeColor="text1"/>
              <w:sz w:val="21"/>
              <w:szCs w:val="21"/>
            </w:rPr>
            <w:t>）取向硅钢业务单位销售成本下降带来总营业成本减少</w:t>
          </w:r>
          <w:r>
            <w:rPr>
              <w:rFonts w:asciiTheme="majorEastAsia" w:eastAsiaTheme="majorEastAsia" w:hAnsiTheme="majorEastAsia"/>
              <w:color w:val="000000" w:themeColor="text1"/>
              <w:sz w:val="21"/>
              <w:szCs w:val="21"/>
            </w:rPr>
            <w:t>5,1</w:t>
          </w:r>
          <w:r>
            <w:rPr>
              <w:rFonts w:asciiTheme="majorEastAsia" w:eastAsiaTheme="majorEastAsia" w:hAnsiTheme="majorEastAsia" w:hint="eastAsia"/>
              <w:color w:val="000000" w:themeColor="text1"/>
              <w:sz w:val="21"/>
              <w:szCs w:val="21"/>
            </w:rPr>
            <w:t>38</w:t>
          </w:r>
          <w:r>
            <w:rPr>
              <w:rFonts w:asciiTheme="majorEastAsia" w:eastAsiaTheme="majorEastAsia" w:hAnsiTheme="majorEastAsia" w:hint="eastAsia"/>
              <w:color w:val="000000" w:themeColor="text1"/>
              <w:sz w:val="21"/>
              <w:szCs w:val="21"/>
            </w:rPr>
            <w:t>万元，销售量的增加带来总营业成本增加</w:t>
          </w:r>
          <w:r>
            <w:rPr>
              <w:rFonts w:asciiTheme="majorEastAsia" w:eastAsiaTheme="majorEastAsia" w:hAnsiTheme="majorEastAsia"/>
              <w:color w:val="000000" w:themeColor="text1"/>
              <w:sz w:val="21"/>
              <w:szCs w:val="21"/>
            </w:rPr>
            <w:t>4,638</w:t>
          </w:r>
          <w:r>
            <w:rPr>
              <w:rFonts w:asciiTheme="majorEastAsia" w:eastAsiaTheme="majorEastAsia" w:hAnsiTheme="majorEastAsia" w:hint="eastAsia"/>
              <w:color w:val="000000" w:themeColor="text1"/>
              <w:sz w:val="21"/>
              <w:szCs w:val="21"/>
            </w:rPr>
            <w:t>万元共同影响所致。</w:t>
          </w:r>
        </w:sdtContent>
      </w:sdt>
    </w:p>
    <w:p w:rsidR="00156DD6" w:rsidRDefault="00D51F5F">
      <w:pPr>
        <w:pStyle w:val="Style72"/>
        <w:spacing w:line="360" w:lineRule="exact"/>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财务费用变动原因说明：</w:t>
      </w:r>
      <w:sdt>
        <w:sdtPr>
          <w:rPr>
            <w:rFonts w:asciiTheme="majorEastAsia" w:eastAsiaTheme="majorEastAsia" w:hAnsiTheme="majorEastAsia" w:hint="eastAsia"/>
            <w:color w:val="000000" w:themeColor="text1"/>
            <w:sz w:val="21"/>
            <w:szCs w:val="21"/>
          </w:rPr>
          <w:alias w:val="财务费用变动原因说明"/>
          <w:tag w:val="_GBC_2876360f1d844724b6ba84d6b9756580"/>
          <w:id w:val="1163974498"/>
          <w:placeholder>
            <w:docPart w:val="GBC22222222222222222222222222222"/>
          </w:placeholder>
        </w:sdtPr>
        <w:sdtEndPr/>
        <w:sdtContent>
          <w:r>
            <w:rPr>
              <w:rFonts w:asciiTheme="majorEastAsia" w:eastAsiaTheme="majorEastAsia" w:hAnsiTheme="majorEastAsia" w:hint="eastAsia"/>
              <w:color w:val="000000" w:themeColor="text1"/>
              <w:sz w:val="21"/>
              <w:szCs w:val="21"/>
            </w:rPr>
            <w:t>财务费用本期增加</w:t>
          </w:r>
          <w:r>
            <w:rPr>
              <w:rFonts w:asciiTheme="majorEastAsia" w:eastAsiaTheme="majorEastAsia" w:hAnsiTheme="majorEastAsia" w:hint="eastAsia"/>
              <w:color w:val="000000" w:themeColor="text1"/>
              <w:sz w:val="21"/>
              <w:szCs w:val="21"/>
            </w:rPr>
            <w:t>965</w:t>
          </w:r>
          <w:r>
            <w:rPr>
              <w:rFonts w:asciiTheme="majorEastAsia" w:eastAsiaTheme="majorEastAsia" w:hAnsiTheme="majorEastAsia" w:hint="eastAsia"/>
              <w:color w:val="000000" w:themeColor="text1"/>
              <w:sz w:val="21"/>
              <w:szCs w:val="21"/>
            </w:rPr>
            <w:t>万元，主要系新增并购贷款及项目贷款导致利息支出增加</w:t>
          </w:r>
          <w:r>
            <w:rPr>
              <w:rFonts w:asciiTheme="majorEastAsia" w:eastAsiaTheme="majorEastAsia" w:hAnsiTheme="majorEastAsia" w:hint="eastAsia"/>
              <w:color w:val="000000" w:themeColor="text1"/>
              <w:sz w:val="21"/>
              <w:szCs w:val="21"/>
            </w:rPr>
            <w:t>739</w:t>
          </w:r>
          <w:r>
            <w:rPr>
              <w:rFonts w:asciiTheme="majorEastAsia" w:eastAsiaTheme="majorEastAsia" w:hAnsiTheme="majorEastAsia" w:hint="eastAsia"/>
              <w:color w:val="000000" w:themeColor="text1"/>
              <w:sz w:val="21"/>
              <w:szCs w:val="21"/>
            </w:rPr>
            <w:t>万元，以及汇率波动导致本期汇兑净收益减少</w:t>
          </w:r>
          <w:r>
            <w:rPr>
              <w:rFonts w:asciiTheme="majorEastAsia" w:eastAsiaTheme="majorEastAsia" w:hAnsiTheme="majorEastAsia" w:hint="eastAsia"/>
              <w:color w:val="000000" w:themeColor="text1"/>
              <w:sz w:val="21"/>
              <w:szCs w:val="21"/>
            </w:rPr>
            <w:t>279</w:t>
          </w:r>
          <w:r>
            <w:rPr>
              <w:rFonts w:asciiTheme="majorEastAsia" w:eastAsiaTheme="majorEastAsia" w:hAnsiTheme="majorEastAsia" w:hint="eastAsia"/>
              <w:color w:val="000000" w:themeColor="text1"/>
              <w:sz w:val="21"/>
              <w:szCs w:val="21"/>
            </w:rPr>
            <w:t>万元共同影响所致。</w:t>
          </w:r>
        </w:sdtContent>
      </w:sdt>
    </w:p>
    <w:p w:rsidR="00156DD6" w:rsidRDefault="00D51F5F">
      <w:pPr>
        <w:pStyle w:val="Style72"/>
        <w:spacing w:line="360" w:lineRule="exact"/>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经营活动产生的现金流量净额变动原因说明：</w:t>
      </w:r>
      <w:bookmarkStart w:id="53" w:name="OLE_LINK23"/>
      <w:sdt>
        <w:sdtPr>
          <w:rPr>
            <w:rFonts w:asciiTheme="majorEastAsia" w:eastAsiaTheme="majorEastAsia" w:hAnsiTheme="majorEastAsia" w:hint="eastAsia"/>
            <w:color w:val="000000" w:themeColor="text1"/>
            <w:sz w:val="21"/>
            <w:szCs w:val="21"/>
          </w:rPr>
          <w:alias w:val="经营活动产生的现金流量净额变动原因说明"/>
          <w:tag w:val="_GBC_309323bb8b0046e9bb6afe0231994d50"/>
          <w:id w:val="900710933"/>
          <w:placeholder>
            <w:docPart w:val="GBC22222222222222222222222222222"/>
          </w:placeholder>
        </w:sdtPr>
        <w:sdtEndPr/>
        <w:sdtContent>
          <w:r>
            <w:rPr>
              <w:rFonts w:asciiTheme="majorEastAsia" w:eastAsiaTheme="majorEastAsia" w:hAnsiTheme="majorEastAsia" w:hint="eastAsia"/>
              <w:color w:val="000000" w:themeColor="text1"/>
              <w:sz w:val="21"/>
              <w:szCs w:val="21"/>
            </w:rPr>
            <w:t>报告期公司经营活动现金流由上年同期的净流出</w:t>
          </w:r>
          <w:r>
            <w:rPr>
              <w:rFonts w:asciiTheme="majorEastAsia" w:eastAsiaTheme="majorEastAsia" w:hAnsiTheme="majorEastAsia" w:hint="eastAsia"/>
              <w:color w:val="000000" w:themeColor="text1"/>
              <w:sz w:val="21"/>
              <w:szCs w:val="21"/>
            </w:rPr>
            <w:t>29,537</w:t>
          </w:r>
          <w:r>
            <w:rPr>
              <w:rFonts w:asciiTheme="majorEastAsia" w:eastAsiaTheme="majorEastAsia" w:hAnsiTheme="majorEastAsia" w:hint="eastAsia"/>
              <w:color w:val="000000" w:themeColor="text1"/>
              <w:sz w:val="21"/>
              <w:szCs w:val="21"/>
            </w:rPr>
            <w:t>万元转为本期净流入</w:t>
          </w:r>
          <w:r>
            <w:rPr>
              <w:rFonts w:asciiTheme="majorEastAsia" w:eastAsiaTheme="majorEastAsia" w:hAnsiTheme="majorEastAsia" w:hint="eastAsia"/>
              <w:color w:val="000000" w:themeColor="text1"/>
              <w:sz w:val="21"/>
              <w:szCs w:val="21"/>
            </w:rPr>
            <w:t>1,983</w:t>
          </w:r>
          <w:r>
            <w:rPr>
              <w:rFonts w:asciiTheme="majorEastAsia" w:eastAsiaTheme="majorEastAsia" w:hAnsiTheme="majorEastAsia" w:hint="eastAsia"/>
              <w:color w:val="000000" w:themeColor="text1"/>
              <w:sz w:val="21"/>
              <w:szCs w:val="21"/>
            </w:rPr>
            <w:t>万元，净流入增加</w:t>
          </w:r>
          <w:r>
            <w:rPr>
              <w:rFonts w:asciiTheme="majorEastAsia" w:eastAsiaTheme="majorEastAsia" w:hAnsiTheme="majorEastAsia" w:hint="eastAsia"/>
              <w:color w:val="000000" w:themeColor="text1"/>
              <w:sz w:val="21"/>
              <w:szCs w:val="21"/>
            </w:rPr>
            <w:t>31,520</w:t>
          </w:r>
          <w:r>
            <w:rPr>
              <w:rFonts w:asciiTheme="majorEastAsia" w:eastAsiaTheme="majorEastAsia" w:hAnsiTheme="majorEastAsia" w:hint="eastAsia"/>
              <w:color w:val="000000" w:themeColor="text1"/>
              <w:sz w:val="21"/>
              <w:szCs w:val="21"/>
            </w:rPr>
            <w:t>万元，主要系公司销售商品、提供劳务收到的现金增加</w:t>
          </w:r>
          <w:r>
            <w:rPr>
              <w:rFonts w:asciiTheme="majorEastAsia" w:eastAsiaTheme="majorEastAsia" w:hAnsiTheme="majorEastAsia" w:hint="eastAsia"/>
              <w:color w:val="000000" w:themeColor="text1"/>
              <w:sz w:val="21"/>
              <w:szCs w:val="21"/>
            </w:rPr>
            <w:t>31,928</w:t>
          </w:r>
          <w:r>
            <w:rPr>
              <w:rFonts w:asciiTheme="majorEastAsia" w:eastAsiaTheme="majorEastAsia" w:hAnsiTheme="majorEastAsia" w:hint="eastAsia"/>
              <w:color w:val="000000" w:themeColor="text1"/>
              <w:sz w:val="21"/>
              <w:szCs w:val="21"/>
            </w:rPr>
            <w:t>万元。</w:t>
          </w:r>
        </w:sdtContent>
      </w:sdt>
      <w:bookmarkEnd w:id="53"/>
    </w:p>
    <w:p w:rsidR="00156DD6" w:rsidRDefault="00D51F5F">
      <w:pPr>
        <w:pStyle w:val="Style72"/>
        <w:spacing w:line="360" w:lineRule="exact"/>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color w:val="000000" w:themeColor="text1"/>
          <w:sz w:val="21"/>
          <w:szCs w:val="21"/>
        </w:rPr>
        <w:t>投资活动产生的现金流量净额</w:t>
      </w:r>
      <w:r>
        <w:rPr>
          <w:rFonts w:asciiTheme="majorEastAsia" w:eastAsiaTheme="majorEastAsia" w:hAnsiTheme="majorEastAsia" w:hint="eastAsia"/>
          <w:color w:val="000000" w:themeColor="text1"/>
          <w:sz w:val="21"/>
          <w:szCs w:val="21"/>
        </w:rPr>
        <w:t>变动原因说明：</w:t>
      </w:r>
      <w:sdt>
        <w:sdtPr>
          <w:rPr>
            <w:rFonts w:asciiTheme="majorEastAsia" w:eastAsiaTheme="majorEastAsia" w:hAnsiTheme="majorEastAsia" w:hint="eastAsia"/>
            <w:color w:val="000000" w:themeColor="text1"/>
            <w:sz w:val="21"/>
            <w:szCs w:val="21"/>
          </w:rPr>
          <w:alias w:val="投资活动产生的现金流量净额变动原因说明"/>
          <w:tag w:val="_GBC_981bcb9573814b8080b52fae435fb1b0"/>
          <w:id w:val="-136882804"/>
          <w:placeholder>
            <w:docPart w:val="GBC22222222222222222222222222222"/>
          </w:placeholder>
        </w:sdtPr>
        <w:sdtEndPr/>
        <w:sdtContent>
          <w:r>
            <w:rPr>
              <w:rFonts w:asciiTheme="majorEastAsia" w:eastAsiaTheme="majorEastAsia" w:hAnsiTheme="majorEastAsia" w:hint="eastAsia"/>
              <w:color w:val="000000" w:themeColor="text1"/>
              <w:sz w:val="21"/>
              <w:szCs w:val="21"/>
            </w:rPr>
            <w:t>报告期投资活动产生的现金流量为净流出</w:t>
          </w:r>
          <w:r>
            <w:rPr>
              <w:rFonts w:asciiTheme="majorEastAsia" w:eastAsiaTheme="majorEastAsia" w:hAnsiTheme="majorEastAsia" w:hint="eastAsia"/>
              <w:color w:val="000000" w:themeColor="text1"/>
              <w:sz w:val="21"/>
              <w:szCs w:val="21"/>
            </w:rPr>
            <w:t>3,532</w:t>
          </w:r>
          <w:r>
            <w:rPr>
              <w:rFonts w:asciiTheme="majorEastAsia" w:eastAsiaTheme="majorEastAsia" w:hAnsiTheme="majorEastAsia" w:hint="eastAsia"/>
              <w:color w:val="000000" w:themeColor="text1"/>
              <w:sz w:val="21"/>
              <w:szCs w:val="21"/>
            </w:rPr>
            <w:t>万元，较上年同期减少</w:t>
          </w:r>
          <w:r>
            <w:rPr>
              <w:rFonts w:asciiTheme="majorEastAsia" w:eastAsiaTheme="majorEastAsia" w:hAnsiTheme="majorEastAsia" w:hint="eastAsia"/>
              <w:color w:val="000000" w:themeColor="text1"/>
              <w:sz w:val="21"/>
              <w:szCs w:val="21"/>
            </w:rPr>
            <w:t>51,542</w:t>
          </w:r>
          <w:r>
            <w:rPr>
              <w:rFonts w:asciiTheme="majorEastAsia" w:eastAsiaTheme="majorEastAsia" w:hAnsiTheme="majorEastAsia" w:hint="eastAsia"/>
              <w:color w:val="000000" w:themeColor="text1"/>
              <w:sz w:val="21"/>
              <w:szCs w:val="21"/>
            </w:rPr>
            <w:t>万元，主要系上期收购云变电气</w:t>
          </w:r>
          <w:r>
            <w:rPr>
              <w:rFonts w:asciiTheme="majorEastAsia" w:eastAsiaTheme="majorEastAsia" w:hAnsiTheme="majorEastAsia" w:hint="eastAsia"/>
              <w:color w:val="000000" w:themeColor="text1"/>
              <w:sz w:val="21"/>
              <w:szCs w:val="21"/>
            </w:rPr>
            <w:t>79.97%</w:t>
          </w:r>
          <w:r>
            <w:rPr>
              <w:rFonts w:asciiTheme="majorEastAsia" w:eastAsiaTheme="majorEastAsia" w:hAnsiTheme="majorEastAsia" w:hint="eastAsia"/>
              <w:color w:val="000000" w:themeColor="text1"/>
              <w:sz w:val="21"/>
              <w:szCs w:val="21"/>
            </w:rPr>
            <w:t>股权支付的现金</w:t>
          </w:r>
          <w:r>
            <w:rPr>
              <w:rFonts w:asciiTheme="majorEastAsia" w:eastAsiaTheme="majorEastAsia" w:hAnsiTheme="majorEastAsia" w:hint="eastAsia"/>
              <w:color w:val="000000" w:themeColor="text1"/>
              <w:sz w:val="21"/>
              <w:szCs w:val="21"/>
            </w:rPr>
            <w:t>43,095</w:t>
          </w:r>
          <w:r>
            <w:rPr>
              <w:rFonts w:asciiTheme="majorEastAsia" w:eastAsiaTheme="majorEastAsia" w:hAnsiTheme="majorEastAsia" w:hint="eastAsia"/>
              <w:color w:val="000000" w:themeColor="text1"/>
              <w:sz w:val="21"/>
              <w:szCs w:val="21"/>
            </w:rPr>
            <w:t>万元，同时本期购买资产支付的现金较上期减少</w:t>
          </w:r>
          <w:r>
            <w:rPr>
              <w:rFonts w:asciiTheme="majorEastAsia" w:eastAsiaTheme="majorEastAsia" w:hAnsiTheme="majorEastAsia" w:hint="eastAsia"/>
              <w:color w:val="000000" w:themeColor="text1"/>
              <w:sz w:val="21"/>
              <w:szCs w:val="21"/>
            </w:rPr>
            <w:t>7,266</w:t>
          </w:r>
          <w:r>
            <w:rPr>
              <w:rFonts w:asciiTheme="majorEastAsia" w:eastAsiaTheme="majorEastAsia" w:hAnsiTheme="majorEastAsia" w:hint="eastAsia"/>
              <w:color w:val="000000" w:themeColor="text1"/>
              <w:sz w:val="21"/>
              <w:szCs w:val="21"/>
            </w:rPr>
            <w:t>万元。</w:t>
          </w:r>
        </w:sdtContent>
      </w:sdt>
    </w:p>
    <w:p w:rsidR="00156DD6" w:rsidRDefault="00D51F5F">
      <w:pPr>
        <w:pStyle w:val="Style72"/>
        <w:spacing w:line="360" w:lineRule="exact"/>
        <w:ind w:firstLineChars="0" w:firstLine="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筹资活动产生的现金流量净额变动原因说明：</w:t>
      </w:r>
      <w:sdt>
        <w:sdtPr>
          <w:rPr>
            <w:rFonts w:asciiTheme="majorEastAsia" w:eastAsiaTheme="majorEastAsia" w:hAnsiTheme="majorEastAsia" w:hint="eastAsia"/>
            <w:color w:val="000000" w:themeColor="text1"/>
            <w:sz w:val="21"/>
            <w:szCs w:val="21"/>
          </w:rPr>
          <w:alias w:val="筹资活动产生的现金流量净额变动原因说明"/>
          <w:tag w:val="_GBC_900a9d8acfac4ec18a35c4034161c13e"/>
          <w:id w:val="680862450"/>
          <w:placeholder>
            <w:docPart w:val="GBC22222222222222222222222222222"/>
          </w:placeholder>
        </w:sdtPr>
        <w:sdtEndPr/>
        <w:sdtContent>
          <w:r>
            <w:rPr>
              <w:rFonts w:asciiTheme="majorEastAsia" w:eastAsiaTheme="majorEastAsia" w:hAnsiTheme="majorEastAsia" w:hint="eastAsia"/>
              <w:color w:val="000000" w:themeColor="text1"/>
              <w:sz w:val="21"/>
              <w:szCs w:val="21"/>
            </w:rPr>
            <w:t>报</w:t>
          </w:r>
          <w:r>
            <w:rPr>
              <w:rFonts w:asciiTheme="majorEastAsia" w:eastAsiaTheme="majorEastAsia" w:hAnsiTheme="majorEastAsia" w:hint="eastAsia"/>
              <w:color w:val="000000" w:themeColor="text1"/>
              <w:sz w:val="21"/>
              <w:szCs w:val="21"/>
            </w:rPr>
            <w:t>告期筹资活动现金流量同比净流入减少</w:t>
          </w:r>
          <w:r>
            <w:rPr>
              <w:rFonts w:asciiTheme="majorEastAsia" w:eastAsiaTheme="majorEastAsia" w:hAnsiTheme="majorEastAsia" w:hint="eastAsia"/>
              <w:color w:val="000000" w:themeColor="text1"/>
              <w:sz w:val="21"/>
              <w:szCs w:val="21"/>
            </w:rPr>
            <w:t>42,226</w:t>
          </w:r>
          <w:r>
            <w:rPr>
              <w:rFonts w:asciiTheme="majorEastAsia" w:eastAsiaTheme="majorEastAsia" w:hAnsiTheme="majorEastAsia" w:hint="eastAsia"/>
              <w:color w:val="000000" w:themeColor="text1"/>
              <w:sz w:val="21"/>
              <w:szCs w:val="21"/>
            </w:rPr>
            <w:t>万元，主要系公司本期偿还借款增加</w:t>
          </w:r>
          <w:r>
            <w:rPr>
              <w:rFonts w:asciiTheme="majorEastAsia" w:eastAsiaTheme="majorEastAsia" w:hAnsiTheme="majorEastAsia" w:hint="eastAsia"/>
              <w:color w:val="000000" w:themeColor="text1"/>
              <w:sz w:val="21"/>
              <w:szCs w:val="21"/>
            </w:rPr>
            <w:t>48,237</w:t>
          </w:r>
          <w:r>
            <w:rPr>
              <w:rFonts w:asciiTheme="majorEastAsia" w:eastAsiaTheme="majorEastAsia" w:hAnsiTheme="majorEastAsia" w:hint="eastAsia"/>
              <w:color w:val="000000" w:themeColor="text1"/>
              <w:sz w:val="21"/>
              <w:szCs w:val="21"/>
            </w:rPr>
            <w:t>万元，收购云变电气少数股东股权支付</w:t>
          </w:r>
          <w:r>
            <w:rPr>
              <w:rFonts w:asciiTheme="majorEastAsia" w:eastAsiaTheme="majorEastAsia" w:hAnsiTheme="majorEastAsia" w:hint="eastAsia"/>
              <w:color w:val="000000" w:themeColor="text1"/>
              <w:sz w:val="21"/>
              <w:szCs w:val="21"/>
            </w:rPr>
            <w:t>12,841</w:t>
          </w:r>
          <w:r>
            <w:rPr>
              <w:rFonts w:asciiTheme="majorEastAsia" w:eastAsiaTheme="majorEastAsia" w:hAnsiTheme="majorEastAsia" w:hint="eastAsia"/>
              <w:color w:val="000000" w:themeColor="text1"/>
              <w:sz w:val="21"/>
              <w:szCs w:val="21"/>
            </w:rPr>
            <w:t>万元，借款增加</w:t>
          </w:r>
          <w:r>
            <w:rPr>
              <w:rFonts w:asciiTheme="majorEastAsia" w:eastAsiaTheme="majorEastAsia" w:hAnsiTheme="majorEastAsia" w:hint="eastAsia"/>
              <w:color w:val="000000" w:themeColor="text1"/>
              <w:sz w:val="21"/>
              <w:szCs w:val="21"/>
            </w:rPr>
            <w:t>17,356</w:t>
          </w:r>
          <w:r>
            <w:rPr>
              <w:rFonts w:asciiTheme="majorEastAsia" w:eastAsiaTheme="majorEastAsia" w:hAnsiTheme="majorEastAsia" w:hint="eastAsia"/>
              <w:color w:val="000000" w:themeColor="text1"/>
              <w:sz w:val="21"/>
              <w:szCs w:val="21"/>
            </w:rPr>
            <w:t>万元共同影响所致。</w:t>
          </w:r>
        </w:sdtContent>
      </w:sdt>
      <w:bookmarkStart w:id="54" w:name="_Toc342565903"/>
      <w:bookmarkEnd w:id="49"/>
    </w:p>
    <w:p w:rsidR="00156DD6" w:rsidRDefault="00D51F5F">
      <w:pPr>
        <w:pStyle w:val="Style47"/>
        <w:numPr>
          <w:ilvl w:val="0"/>
          <w:numId w:val="10"/>
        </w:numPr>
        <w:rPr>
          <w:rFonts w:ascii="宋体" w:hAnsi="宋体"/>
          <w:color w:val="000000" w:themeColor="text1"/>
          <w:sz w:val="21"/>
          <w:szCs w:val="21"/>
        </w:rPr>
      </w:pPr>
      <w:bookmarkStart w:id="55" w:name="OLE_LINK97"/>
      <w:r>
        <w:rPr>
          <w:rFonts w:ascii="宋体" w:hAnsi="宋体" w:hint="eastAsia"/>
          <w:color w:val="000000" w:themeColor="text1"/>
          <w:sz w:val="21"/>
          <w:szCs w:val="21"/>
        </w:rPr>
        <w:t>本期公司业务类型、利润构成或利润来源发生重大变动的详细说明</w:t>
      </w:r>
    </w:p>
    <w:bookmarkEnd w:id="55" w:displacedByCustomXml="next"/>
    <w:sdt>
      <w:sdtPr>
        <w:rPr>
          <w:color w:val="000000" w:themeColor="text1"/>
        </w:rPr>
        <w:alias w:val="是否适用：公司利润构成或利润来源发生重大变动的详细说明[双击切换]"/>
        <w:tag w:val="_GBC_cf62b49cb7b54052a77aa6c4ec7218c8"/>
        <w:id w:val="204447645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sdt>
      <w:sdtPr>
        <w:rPr>
          <w:rFonts w:hint="eastAsia"/>
          <w:color w:val="000000" w:themeColor="text1"/>
        </w:rPr>
        <w:alias w:val="主营业务构成情况的说明"/>
        <w:tag w:val="_GBC_41b59ccce05a44b68f8d6cbcf3c41007"/>
        <w:id w:val="1282083857"/>
        <w:placeholder>
          <w:docPart w:val="9F83990B8D2E43CDBFD3DB439B4BBE75"/>
        </w:placeholder>
      </w:sdtPr>
      <w:sdtEndPr/>
      <w:sdtContent>
        <w:p w:rsidR="00156DD6" w:rsidRDefault="00D51F5F">
          <w:pPr>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）本公司主营业务类型及毛利构成情况表：</w:t>
          </w:r>
        </w:p>
        <w:p w:rsidR="00156DD6" w:rsidRDefault="00D51F5F">
          <w:pPr>
            <w:spacing w:line="360" w:lineRule="exact"/>
            <w:jc w:val="right"/>
            <w:rPr>
              <w:rFonts w:asciiTheme="minorEastAsia" w:eastAsiaTheme="minorEastAsia" w:hAnsiTheme="minorEastAsia" w:cstheme="minorEastAsia"/>
            </w:rPr>
          </w:pPr>
          <w:r>
            <w:rPr>
              <w:rFonts w:asciiTheme="minorEastAsia" w:eastAsiaTheme="minorEastAsia" w:hAnsiTheme="minorEastAsia" w:cstheme="minorEastAsia" w:hint="eastAsia"/>
            </w:rPr>
            <w:t>单位：万元</w:t>
          </w:r>
        </w:p>
        <w:tbl>
          <w:tblPr>
            <w:tblStyle w:val="af5"/>
            <w:tblW w:w="0" w:type="auto"/>
            <w:tblLook w:val="04A0" w:firstRow="1" w:lastRow="0" w:firstColumn="1" w:lastColumn="0" w:noHBand="0" w:noVBand="1"/>
          </w:tblPr>
          <w:tblGrid>
            <w:gridCol w:w="1980"/>
            <w:gridCol w:w="1548"/>
            <w:gridCol w:w="1429"/>
            <w:gridCol w:w="1417"/>
            <w:gridCol w:w="2449"/>
          </w:tblGrid>
          <w:tr w:rsidR="00156DD6">
            <w:tc>
              <w:tcPr>
                <w:tcW w:w="1980" w:type="dxa"/>
                <w:vAlign w:val="center"/>
              </w:tcPr>
              <w:p w:rsidR="00156DD6" w:rsidRDefault="00D51F5F">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产品大类</w:t>
                </w:r>
              </w:p>
            </w:tc>
            <w:tc>
              <w:tcPr>
                <w:tcW w:w="1548" w:type="dxa"/>
                <w:vAlign w:val="center"/>
              </w:tcPr>
              <w:p w:rsidR="00156DD6" w:rsidRDefault="00D51F5F">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营业收入</w:t>
                </w:r>
              </w:p>
            </w:tc>
            <w:tc>
              <w:tcPr>
                <w:tcW w:w="1429" w:type="dxa"/>
                <w:vAlign w:val="center"/>
              </w:tcPr>
              <w:p w:rsidR="00156DD6" w:rsidRDefault="00D51F5F">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营业成本</w:t>
                </w:r>
              </w:p>
            </w:tc>
            <w:tc>
              <w:tcPr>
                <w:tcW w:w="1417" w:type="dxa"/>
                <w:vAlign w:val="center"/>
              </w:tcPr>
              <w:p w:rsidR="00156DD6" w:rsidRDefault="00D51F5F">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毛利率（</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w:t>
                </w:r>
              </w:p>
            </w:tc>
            <w:tc>
              <w:tcPr>
                <w:tcW w:w="2449" w:type="dxa"/>
                <w:vAlign w:val="center"/>
              </w:tcPr>
              <w:p w:rsidR="00156DD6" w:rsidRDefault="00D51F5F">
                <w:pPr>
                  <w:spacing w:line="3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rPr>
                  <w:t>营业收入增长比例（</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w:t>
                </w:r>
              </w:p>
            </w:tc>
          </w:tr>
          <w:tr w:rsidR="00156DD6">
            <w:tc>
              <w:tcPr>
                <w:tcW w:w="1980" w:type="dxa"/>
              </w:tcPr>
              <w:p w:rsidR="00156DD6" w:rsidRDefault="00D51F5F">
                <w:pPr>
                  <w:spacing w:line="360" w:lineRule="exact"/>
                  <w:rPr>
                    <w:rFonts w:asciiTheme="minorEastAsia" w:eastAsiaTheme="minorEastAsia" w:hAnsiTheme="minorEastAsia" w:cstheme="minorEastAsia"/>
                  </w:rPr>
                </w:pPr>
                <w:r>
                  <w:rPr>
                    <w:rFonts w:asciiTheme="minorEastAsia" w:eastAsiaTheme="minorEastAsia" w:hAnsiTheme="minorEastAsia" w:cstheme="minorEastAsia" w:hint="eastAsia"/>
                  </w:rPr>
                  <w:t>输配电及控制设备</w:t>
                </w:r>
              </w:p>
            </w:tc>
            <w:tc>
              <w:tcPr>
                <w:tcW w:w="1548"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114,251.99</w:t>
                </w:r>
              </w:p>
            </w:tc>
            <w:tc>
              <w:tcPr>
                <w:tcW w:w="1429"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97,968.09</w:t>
                </w:r>
              </w:p>
            </w:tc>
            <w:tc>
              <w:tcPr>
                <w:tcW w:w="1417"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14.25 </w:t>
                </w:r>
              </w:p>
            </w:tc>
            <w:tc>
              <w:tcPr>
                <w:tcW w:w="2449"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46.72 </w:t>
                </w:r>
              </w:p>
            </w:tc>
          </w:tr>
          <w:tr w:rsidR="00156DD6">
            <w:tc>
              <w:tcPr>
                <w:tcW w:w="1980" w:type="dxa"/>
              </w:tcPr>
              <w:p w:rsidR="00156DD6" w:rsidRDefault="00D51F5F">
                <w:pPr>
                  <w:spacing w:line="360" w:lineRule="exact"/>
                  <w:rPr>
                    <w:rFonts w:asciiTheme="minorEastAsia" w:eastAsiaTheme="minorEastAsia" w:hAnsiTheme="minorEastAsia" w:cstheme="minorEastAsia"/>
                  </w:rPr>
                </w:pPr>
                <w:r>
                  <w:rPr>
                    <w:rFonts w:asciiTheme="minorEastAsia" w:eastAsiaTheme="minorEastAsia" w:hAnsiTheme="minorEastAsia" w:cstheme="minorEastAsia" w:hint="eastAsia"/>
                  </w:rPr>
                  <w:t>取向硅钢</w:t>
                </w:r>
              </w:p>
            </w:tc>
            <w:tc>
              <w:tcPr>
                <w:tcW w:w="1548"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63,623.57</w:t>
                </w:r>
              </w:p>
            </w:tc>
            <w:tc>
              <w:tcPr>
                <w:tcW w:w="1429"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56,722.00</w:t>
                </w:r>
              </w:p>
            </w:tc>
            <w:tc>
              <w:tcPr>
                <w:tcW w:w="1417"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10.85 </w:t>
                </w:r>
              </w:p>
            </w:tc>
            <w:tc>
              <w:tcPr>
                <w:tcW w:w="2449"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5.50 </w:t>
                </w:r>
              </w:p>
            </w:tc>
          </w:tr>
          <w:tr w:rsidR="00156DD6">
            <w:tc>
              <w:tcPr>
                <w:tcW w:w="1980" w:type="dxa"/>
              </w:tcPr>
              <w:p w:rsidR="00156DD6" w:rsidRDefault="00D51F5F">
                <w:pPr>
                  <w:spacing w:line="360" w:lineRule="exact"/>
                  <w:rPr>
                    <w:rFonts w:asciiTheme="minorEastAsia" w:eastAsiaTheme="minorEastAsia" w:hAnsiTheme="minorEastAsia" w:cstheme="minorEastAsia"/>
                  </w:rPr>
                </w:pPr>
                <w:r>
                  <w:rPr>
                    <w:rFonts w:asciiTheme="minorEastAsia" w:eastAsiaTheme="minorEastAsia" w:hAnsiTheme="minorEastAsia" w:cstheme="minorEastAsia" w:hint="eastAsia"/>
                  </w:rPr>
                  <w:t>合计</w:t>
                </w:r>
              </w:p>
            </w:tc>
            <w:tc>
              <w:tcPr>
                <w:tcW w:w="1548" w:type="dxa"/>
              </w:tcPr>
              <w:p w:rsidR="00156DD6" w:rsidRDefault="00D51F5F">
                <w:pPr>
                  <w:widowControl/>
                  <w:spacing w:line="360" w:lineRule="exact"/>
                  <w:jc w:val="right"/>
                  <w:textAlignment w:val="center"/>
                  <w:rPr>
                    <w:rFonts w:asciiTheme="minorEastAsia" w:eastAsiaTheme="minorEastAsia" w:hAnsiTheme="minorEastAsia" w:cstheme="minorEastAsia"/>
                  </w:rPr>
                </w:pPr>
                <w:r>
                  <w:rPr>
                    <w:rFonts w:hint="eastAsia"/>
                  </w:rPr>
                  <w:t>177,875.56</w:t>
                </w:r>
              </w:p>
            </w:tc>
            <w:tc>
              <w:tcPr>
                <w:tcW w:w="1429" w:type="dxa"/>
              </w:tcPr>
              <w:p w:rsidR="00156DD6" w:rsidRDefault="00D51F5F">
                <w:pPr>
                  <w:widowControl/>
                  <w:spacing w:line="360" w:lineRule="exact"/>
                  <w:jc w:val="right"/>
                  <w:textAlignment w:val="center"/>
                  <w:rPr>
                    <w:rFonts w:asciiTheme="minorEastAsia" w:eastAsiaTheme="minorEastAsia" w:hAnsiTheme="minorEastAsia" w:cstheme="minorEastAsia"/>
                  </w:rPr>
                </w:pPr>
                <w:r>
                  <w:rPr>
                    <w:rFonts w:hint="eastAsia"/>
                  </w:rPr>
                  <w:t>154,690.09</w:t>
                </w:r>
              </w:p>
            </w:tc>
            <w:tc>
              <w:tcPr>
                <w:tcW w:w="1417"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13.03 </w:t>
                </w:r>
              </w:p>
            </w:tc>
            <w:tc>
              <w:tcPr>
                <w:tcW w:w="2449" w:type="dxa"/>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28.73 </w:t>
                </w:r>
              </w:p>
            </w:tc>
          </w:tr>
        </w:tbl>
        <w:p w:rsidR="00156DD6" w:rsidRDefault="00D51F5F">
          <w:pPr>
            <w:spacing w:line="360" w:lineRule="exact"/>
            <w:ind w:firstLineChars="200" w:firstLine="420"/>
          </w:pPr>
          <w:r>
            <w:rPr>
              <w:rFonts w:hint="eastAsia"/>
            </w:rPr>
            <w:t>公司主营业务类型由输配电及控制设备和取向硅钢业务构成，业务类型未发生重大变化。</w:t>
          </w:r>
        </w:p>
        <w:p w:rsidR="00156DD6" w:rsidRDefault="00D51F5F">
          <w:pPr>
            <w:spacing w:line="360" w:lineRule="exact"/>
            <w:ind w:firstLineChars="200" w:firstLine="420"/>
          </w:pPr>
          <w:r>
            <w:rPr>
              <w:rFonts w:hint="eastAsia"/>
            </w:rPr>
            <w:t>（</w:t>
          </w:r>
          <w:r>
            <w:rPr>
              <w:rFonts w:hint="eastAsia"/>
            </w:rPr>
            <w:t>2</w:t>
          </w:r>
          <w:r>
            <w:rPr>
              <w:rFonts w:hint="eastAsia"/>
            </w:rPr>
            <w:t>）利润构成同比有较大变动，主要影响如下：</w:t>
          </w:r>
        </w:p>
        <w:p w:rsidR="00156DD6" w:rsidRDefault="00D51F5F">
          <w:pPr>
            <w:spacing w:line="360" w:lineRule="exact"/>
            <w:jc w:val="right"/>
            <w:rPr>
              <w:rFonts w:asciiTheme="minorEastAsia" w:eastAsiaTheme="minorEastAsia" w:hAnsiTheme="minorEastAsia" w:cstheme="minorEastAsia"/>
            </w:rPr>
          </w:pPr>
          <w:r>
            <w:rPr>
              <w:rFonts w:asciiTheme="minorEastAsia" w:eastAsiaTheme="minorEastAsia" w:hAnsiTheme="minorEastAsia" w:cstheme="minorEastAsia" w:hint="eastAsia"/>
            </w:rPr>
            <w:t>单位：万元</w:t>
          </w:r>
        </w:p>
        <w:tbl>
          <w:tblPr>
            <w:tblStyle w:val="af5"/>
            <w:tblW w:w="5000" w:type="pct"/>
            <w:tblLook w:val="04A0" w:firstRow="1" w:lastRow="0" w:firstColumn="1" w:lastColumn="0" w:noHBand="0" w:noVBand="1"/>
          </w:tblPr>
          <w:tblGrid>
            <w:gridCol w:w="3539"/>
            <w:gridCol w:w="1276"/>
            <w:gridCol w:w="1133"/>
            <w:gridCol w:w="2875"/>
          </w:tblGrid>
          <w:tr w:rsidR="00156DD6">
            <w:tc>
              <w:tcPr>
                <w:tcW w:w="2006" w:type="pct"/>
                <w:vAlign w:val="center"/>
              </w:tcPr>
              <w:p w:rsidR="00156DD6" w:rsidRDefault="00D51F5F">
                <w:pPr>
                  <w:spacing w:line="360" w:lineRule="exact"/>
                  <w:jc w:val="center"/>
                  <w:rPr>
                    <w:rFonts w:asciiTheme="minorEastAsia" w:eastAsiaTheme="minorEastAsia" w:hAnsiTheme="minorEastAsia" w:cstheme="minorEastAsia"/>
                  </w:rPr>
                </w:pPr>
                <w:bookmarkStart w:id="56" w:name="_Hlk206143682"/>
                <w:r>
                  <w:rPr>
                    <w:rFonts w:hint="eastAsia"/>
                  </w:rPr>
                  <w:t>主要会计数据</w:t>
                </w:r>
              </w:p>
            </w:tc>
            <w:tc>
              <w:tcPr>
                <w:tcW w:w="723" w:type="pct"/>
                <w:vAlign w:val="center"/>
              </w:tcPr>
              <w:p w:rsidR="00156DD6" w:rsidRDefault="00D51F5F">
                <w:pPr>
                  <w:spacing w:line="360" w:lineRule="exact"/>
                  <w:jc w:val="center"/>
                  <w:rPr>
                    <w:rFonts w:asciiTheme="minorEastAsia" w:eastAsiaTheme="minorEastAsia" w:hAnsiTheme="minorEastAsia" w:cstheme="minorEastAsia"/>
                  </w:rPr>
                </w:pPr>
                <w:r>
                  <w:rPr>
                    <w:rFonts w:hint="eastAsia"/>
                  </w:rPr>
                  <w:t>本报告期</w:t>
                </w:r>
              </w:p>
            </w:tc>
            <w:tc>
              <w:tcPr>
                <w:tcW w:w="642" w:type="pct"/>
                <w:vAlign w:val="center"/>
              </w:tcPr>
              <w:p w:rsidR="00156DD6" w:rsidRDefault="00D51F5F">
                <w:pPr>
                  <w:spacing w:line="360" w:lineRule="exact"/>
                  <w:jc w:val="center"/>
                  <w:rPr>
                    <w:rFonts w:asciiTheme="minorEastAsia" w:eastAsiaTheme="minorEastAsia" w:hAnsiTheme="minorEastAsia" w:cstheme="minorEastAsia"/>
                  </w:rPr>
                </w:pPr>
                <w:r>
                  <w:rPr>
                    <w:rFonts w:hint="eastAsia"/>
                  </w:rPr>
                  <w:t>上年同期</w:t>
                </w:r>
              </w:p>
            </w:tc>
            <w:tc>
              <w:tcPr>
                <w:tcW w:w="1629" w:type="pct"/>
                <w:vAlign w:val="center"/>
              </w:tcPr>
              <w:p w:rsidR="00156DD6" w:rsidRDefault="00D51F5F">
                <w:pPr>
                  <w:spacing w:line="360" w:lineRule="exact"/>
                  <w:jc w:val="center"/>
                  <w:rPr>
                    <w:rFonts w:asciiTheme="minorEastAsia" w:eastAsiaTheme="minorEastAsia" w:hAnsiTheme="minorEastAsia" w:cstheme="minorEastAsia"/>
                  </w:rPr>
                </w:pPr>
                <w:r>
                  <w:rPr>
                    <w:rFonts w:hint="eastAsia"/>
                  </w:rPr>
                  <w:t>本报告期比上年同期增减</w:t>
                </w:r>
                <w:r>
                  <w:rPr>
                    <w:rFonts w:hint="eastAsia"/>
                  </w:rPr>
                  <w:t>(%)</w:t>
                </w:r>
              </w:p>
            </w:tc>
          </w:tr>
          <w:tr w:rsidR="00156DD6">
            <w:tc>
              <w:tcPr>
                <w:tcW w:w="2006" w:type="pct"/>
                <w:vAlign w:val="center"/>
              </w:tcPr>
              <w:p w:rsidR="00156DD6" w:rsidRDefault="00D51F5F">
                <w:pPr>
                  <w:spacing w:line="360" w:lineRule="exact"/>
                  <w:rPr>
                    <w:rFonts w:asciiTheme="minorEastAsia" w:eastAsiaTheme="minorEastAsia" w:hAnsiTheme="minorEastAsia" w:cstheme="minorEastAsia"/>
                  </w:rPr>
                </w:pPr>
                <w:r>
                  <w:rPr>
                    <w:rFonts w:hint="eastAsia"/>
                  </w:rPr>
                  <w:t>利润总额</w:t>
                </w:r>
              </w:p>
            </w:tc>
            <w:tc>
              <w:tcPr>
                <w:tcW w:w="723" w:type="pct"/>
                <w:vAlign w:val="center"/>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6,979.19 </w:t>
                </w:r>
              </w:p>
            </w:tc>
            <w:tc>
              <w:tcPr>
                <w:tcW w:w="642" w:type="pct"/>
                <w:vAlign w:val="center"/>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3,975.12 </w:t>
                </w:r>
              </w:p>
            </w:tc>
            <w:tc>
              <w:tcPr>
                <w:tcW w:w="1629" w:type="pct"/>
                <w:vAlign w:val="center"/>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75.57 </w:t>
                </w:r>
              </w:p>
            </w:tc>
          </w:tr>
          <w:tr w:rsidR="00156DD6">
            <w:tc>
              <w:tcPr>
                <w:tcW w:w="2006" w:type="pct"/>
                <w:vAlign w:val="center"/>
              </w:tcPr>
              <w:p w:rsidR="00156DD6" w:rsidRDefault="00D51F5F">
                <w:pPr>
                  <w:spacing w:line="360" w:lineRule="exact"/>
                  <w:rPr>
                    <w:rFonts w:asciiTheme="minorEastAsia" w:eastAsiaTheme="minorEastAsia" w:hAnsiTheme="minorEastAsia" w:cstheme="minorEastAsia"/>
                  </w:rPr>
                </w:pPr>
                <w:r>
                  <w:rPr>
                    <w:rFonts w:hint="eastAsia"/>
                  </w:rPr>
                  <w:t>归属于上市公司股东的净利润</w:t>
                </w:r>
              </w:p>
            </w:tc>
            <w:tc>
              <w:tcPr>
                <w:tcW w:w="723" w:type="pct"/>
                <w:vAlign w:val="center"/>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5,463.22 </w:t>
                </w:r>
              </w:p>
            </w:tc>
            <w:tc>
              <w:tcPr>
                <w:tcW w:w="642" w:type="pct"/>
                <w:vAlign w:val="center"/>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3,479.32 </w:t>
                </w:r>
              </w:p>
            </w:tc>
            <w:tc>
              <w:tcPr>
                <w:tcW w:w="1629" w:type="pct"/>
                <w:vAlign w:val="center"/>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57.02 </w:t>
                </w:r>
              </w:p>
            </w:tc>
          </w:tr>
          <w:tr w:rsidR="00156DD6">
            <w:tc>
              <w:tcPr>
                <w:tcW w:w="2006" w:type="pct"/>
                <w:vAlign w:val="center"/>
              </w:tcPr>
              <w:p w:rsidR="00156DD6" w:rsidRDefault="00D51F5F">
                <w:pPr>
                  <w:spacing w:line="360" w:lineRule="exact"/>
                  <w:rPr>
                    <w:rFonts w:asciiTheme="minorEastAsia" w:eastAsiaTheme="minorEastAsia" w:hAnsiTheme="minorEastAsia" w:cstheme="minorEastAsia"/>
                  </w:rPr>
                </w:pPr>
                <w:r>
                  <w:rPr>
                    <w:rFonts w:hint="eastAsia"/>
                  </w:rPr>
                  <w:lastRenderedPageBreak/>
                  <w:t>归属于上市公司股东的扣除非经常性损益的净利润</w:t>
                </w:r>
              </w:p>
            </w:tc>
            <w:tc>
              <w:tcPr>
                <w:tcW w:w="723" w:type="pct"/>
                <w:vAlign w:val="center"/>
              </w:tcPr>
              <w:p w:rsidR="00156DD6" w:rsidRDefault="00D51F5F">
                <w:pPr>
                  <w:widowControl/>
                  <w:spacing w:line="360" w:lineRule="exact"/>
                  <w:jc w:val="right"/>
                  <w:textAlignment w:val="center"/>
                  <w:rPr>
                    <w:rFonts w:asciiTheme="minorEastAsia" w:eastAsiaTheme="minorEastAsia" w:hAnsiTheme="minorEastAsia" w:cstheme="minorEastAsia"/>
                  </w:rPr>
                </w:pPr>
                <w:r>
                  <w:rPr>
                    <w:rFonts w:hint="eastAsia"/>
                  </w:rPr>
                  <w:t xml:space="preserve"> 4,921.56 </w:t>
                </w:r>
              </w:p>
            </w:tc>
            <w:tc>
              <w:tcPr>
                <w:tcW w:w="642" w:type="pct"/>
                <w:vAlign w:val="center"/>
              </w:tcPr>
              <w:p w:rsidR="00156DD6" w:rsidRDefault="00D51F5F">
                <w:pPr>
                  <w:widowControl/>
                  <w:spacing w:line="360" w:lineRule="exact"/>
                  <w:jc w:val="right"/>
                  <w:textAlignment w:val="center"/>
                  <w:rPr>
                    <w:rFonts w:asciiTheme="minorEastAsia" w:eastAsiaTheme="minorEastAsia" w:hAnsiTheme="minorEastAsia" w:cstheme="minorEastAsia"/>
                  </w:rPr>
                </w:pPr>
                <w:r>
                  <w:rPr>
                    <w:rFonts w:hint="eastAsia"/>
                  </w:rPr>
                  <w:t xml:space="preserve">1,654.89 </w:t>
                </w:r>
              </w:p>
            </w:tc>
            <w:tc>
              <w:tcPr>
                <w:tcW w:w="1629" w:type="pct"/>
                <w:vAlign w:val="center"/>
              </w:tcPr>
              <w:p w:rsidR="00156DD6" w:rsidRDefault="00D51F5F">
                <w:pPr>
                  <w:widowControl/>
                  <w:spacing w:line="360" w:lineRule="exact"/>
                  <w:jc w:val="right"/>
                  <w:textAlignment w:val="top"/>
                  <w:rPr>
                    <w:rFonts w:asciiTheme="minorEastAsia" w:eastAsiaTheme="minorEastAsia" w:hAnsiTheme="minorEastAsia" w:cstheme="minorEastAsia"/>
                  </w:rPr>
                </w:pPr>
                <w:r>
                  <w:rPr>
                    <w:rFonts w:hint="eastAsia"/>
                  </w:rPr>
                  <w:t xml:space="preserve"> 197.39 </w:t>
                </w:r>
              </w:p>
            </w:tc>
          </w:tr>
        </w:tbl>
        <w:bookmarkEnd w:id="56"/>
        <w:p w:rsidR="00156DD6" w:rsidRDefault="00D51F5F">
          <w:pPr>
            <w:spacing w:line="360" w:lineRule="exact"/>
            <w:ind w:firstLineChars="200" w:firstLine="420"/>
            <w:jc w:val="both"/>
          </w:pPr>
          <w:r>
            <w:rPr>
              <w:rFonts w:hint="eastAsia"/>
            </w:rPr>
            <w:t>报告期归属于上市公司股东的净利润同比增长</w:t>
          </w:r>
          <w:r>
            <w:rPr>
              <w:rFonts w:hint="eastAsia"/>
            </w:rPr>
            <w:t>57.02%,</w:t>
          </w:r>
          <w:r>
            <w:rPr>
              <w:rFonts w:hint="eastAsia"/>
            </w:rPr>
            <w:t>主要系：输配电及控制设备业务收入增长</w:t>
          </w:r>
          <w:r>
            <w:rPr>
              <w:rFonts w:hint="eastAsia"/>
            </w:rPr>
            <w:t>3.64</w:t>
          </w:r>
          <w:r>
            <w:rPr>
              <w:rFonts w:hint="eastAsia"/>
            </w:rPr>
            <w:t>亿元，带来毛利额同比增加</w:t>
          </w:r>
          <w:r>
            <w:rPr>
              <w:rFonts w:hint="eastAsia"/>
            </w:rPr>
            <w:t>0.47</w:t>
          </w:r>
          <w:r>
            <w:rPr>
              <w:rFonts w:hint="eastAsia"/>
            </w:rPr>
            <w:t>亿元；取向硅钢业务</w:t>
          </w:r>
          <w:r>
            <w:rPr>
              <w:rFonts w:hint="eastAsia"/>
            </w:rPr>
            <w:t>2025</w:t>
          </w:r>
          <w:r>
            <w:rPr>
              <w:rFonts w:hint="eastAsia"/>
            </w:rPr>
            <w:t>年上半年盈利能力提升，毛利率同比增长</w:t>
          </w:r>
          <w:r>
            <w:rPr>
              <w:rFonts w:hint="eastAsia"/>
            </w:rPr>
            <w:t>5.73</w:t>
          </w:r>
          <w:r>
            <w:rPr>
              <w:rFonts w:hint="eastAsia"/>
            </w:rPr>
            <w:t>个百分点，带来毛利额增加</w:t>
          </w:r>
          <w:r>
            <w:rPr>
              <w:rFonts w:hint="eastAsia"/>
            </w:rPr>
            <w:t>0.38</w:t>
          </w:r>
          <w:r>
            <w:rPr>
              <w:rFonts w:hint="eastAsia"/>
            </w:rPr>
            <w:t>亿元；公司市场扩张、规模扩大导致期间费用等支出同比增加</w:t>
          </w:r>
          <w:r>
            <w:rPr>
              <w:rFonts w:hint="eastAsia"/>
            </w:rPr>
            <w:t>0.28</w:t>
          </w:r>
          <w:r>
            <w:rPr>
              <w:rFonts w:hint="eastAsia"/>
            </w:rPr>
            <w:t>亿元共同影响所致。</w:t>
          </w:r>
        </w:p>
      </w:sdtContent>
    </w:sdt>
    <w:p w:rsidR="00156DD6" w:rsidRDefault="00D51F5F">
      <w:pPr>
        <w:pStyle w:val="TOC6"/>
        <w:numPr>
          <w:ilvl w:val="0"/>
          <w:numId w:val="9"/>
        </w:numPr>
        <w:rPr>
          <w:rFonts w:ascii="宋体" w:hAnsi="宋体"/>
          <w:color w:val="000000" w:themeColor="text1"/>
          <w:sz w:val="21"/>
          <w:szCs w:val="21"/>
        </w:rPr>
      </w:pPr>
      <w:r>
        <w:rPr>
          <w:rFonts w:ascii="宋体" w:hAnsi="宋体" w:hint="eastAsia"/>
          <w:color w:val="000000" w:themeColor="text1"/>
          <w:sz w:val="21"/>
          <w:szCs w:val="21"/>
        </w:rPr>
        <w:t>非主营业务导致利润重大变化的说明</w:t>
      </w:r>
    </w:p>
    <w:sdt>
      <w:sdtPr>
        <w:rPr>
          <w:rFonts w:hint="eastAsia"/>
          <w:color w:val="000000" w:themeColor="text1"/>
        </w:rPr>
        <w:alias w:val="是否适用：非主营业务来源分析[双击切换]"/>
        <w:tag w:val="_GBC_45f0580c6f114551af0270412b25ccd0"/>
        <w:id w:val="54718696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
        </w:numPr>
        <w:rPr>
          <w:rFonts w:ascii="宋体" w:hAnsi="宋体"/>
          <w:color w:val="000000" w:themeColor="text1"/>
          <w:sz w:val="21"/>
          <w:szCs w:val="21"/>
        </w:rPr>
      </w:pPr>
      <w:r>
        <w:rPr>
          <w:rFonts w:ascii="宋体" w:hAnsi="宋体" w:hint="eastAsia"/>
          <w:color w:val="000000" w:themeColor="text1"/>
          <w:sz w:val="21"/>
          <w:szCs w:val="21"/>
        </w:rPr>
        <w:t>资产、负债情况分析</w:t>
      </w:r>
    </w:p>
    <w:p w:rsidR="00156DD6" w:rsidRDefault="00D51F5F">
      <w:pPr>
        <w:rPr>
          <w:color w:val="000000" w:themeColor="text1"/>
        </w:rPr>
      </w:pPr>
      <w:sdt>
        <w:sdtPr>
          <w:rPr>
            <w:rFonts w:hint="eastAsia"/>
            <w:color w:val="000000" w:themeColor="text1"/>
          </w:rPr>
          <w:alias w:val="是否适用：资产、负债情况分析[双击切换]"/>
          <w:tag w:val="_GBC_7e768f46f428417e8696bff3cfaf9902"/>
          <w:id w:val="-1303078615"/>
          <w:lock w:val="contentLocked"/>
          <w:placeholder>
            <w:docPart w:val="GBC22222222222222222222222222222"/>
          </w:placeholder>
        </w:sdtPr>
        <w:sdtEndPr/>
        <w:sdtContent>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p w:rsidR="00156DD6" w:rsidRDefault="00D51F5F">
      <w:pPr>
        <w:pStyle w:val="Style47"/>
        <w:numPr>
          <w:ilvl w:val="0"/>
          <w:numId w:val="11"/>
        </w:numPr>
        <w:rPr>
          <w:rFonts w:ascii="宋体" w:hAnsi="宋体"/>
          <w:b w:val="0"/>
          <w:color w:val="000000" w:themeColor="text1"/>
          <w:sz w:val="21"/>
          <w:szCs w:val="21"/>
        </w:rPr>
      </w:pPr>
      <w:bookmarkStart w:id="57" w:name="_Hlk74730011"/>
      <w:r>
        <w:rPr>
          <w:rFonts w:ascii="宋体" w:hAnsi="宋体"/>
          <w:color w:val="000000" w:themeColor="text1"/>
          <w:sz w:val="21"/>
          <w:szCs w:val="21"/>
        </w:rPr>
        <w:t>资产</w:t>
      </w:r>
      <w:r>
        <w:rPr>
          <w:rFonts w:ascii="宋体" w:hAnsi="宋体" w:hint="eastAsia"/>
          <w:color w:val="000000" w:themeColor="text1"/>
          <w:sz w:val="21"/>
          <w:szCs w:val="21"/>
        </w:rPr>
        <w:t>及</w:t>
      </w:r>
      <w:r>
        <w:rPr>
          <w:rFonts w:ascii="宋体" w:hAnsi="宋体"/>
          <w:color w:val="000000" w:themeColor="text1"/>
          <w:sz w:val="21"/>
          <w:szCs w:val="21"/>
        </w:rPr>
        <w:t>负债</w:t>
      </w:r>
      <w:r>
        <w:rPr>
          <w:rFonts w:ascii="宋体" w:hAnsi="宋体" w:hint="eastAsia"/>
          <w:color w:val="000000" w:themeColor="text1"/>
          <w:sz w:val="21"/>
          <w:szCs w:val="21"/>
        </w:rPr>
        <w:t>状</w:t>
      </w:r>
      <w:r>
        <w:rPr>
          <w:rFonts w:ascii="宋体" w:hAnsi="宋体"/>
          <w:color w:val="000000" w:themeColor="text1"/>
          <w:sz w:val="21"/>
          <w:szCs w:val="21"/>
        </w:rPr>
        <w:t>况</w:t>
      </w:r>
    </w:p>
    <w:p w:rsidR="00156DD6" w:rsidRDefault="00D51F5F">
      <w:pPr>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利润表及现金流量表相关科目变动分析表"/>
          <w:tag w:val="_GBC_ece1a77905b94e6db0c76206578fe2db"/>
          <w:id w:val="-1913466465"/>
          <w:placeholder>
            <w:docPart w:val="74F3EBD48A7E46CEBC0D2CDC9AC79F8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万元</w:t>
          </w:r>
        </w:sdtContent>
      </w:sdt>
      <w:r>
        <w:rPr>
          <w:rFonts w:hint="eastAsia"/>
          <w:color w:val="000000" w:themeColor="text1"/>
        </w:rPr>
        <w:t xml:space="preserve">  </w:t>
      </w:r>
      <w:r>
        <w:rPr>
          <w:rFonts w:hint="eastAsia"/>
          <w:color w:val="000000" w:themeColor="text1"/>
        </w:rPr>
        <w:t>币种</w:t>
      </w:r>
      <w:r>
        <w:rPr>
          <w:color w:val="000000" w:themeColor="text1"/>
        </w:rPr>
        <w:t>：</w:t>
      </w:r>
      <w:sdt>
        <w:sdtPr>
          <w:rPr>
            <w:color w:val="000000" w:themeColor="text1"/>
          </w:rPr>
          <w:alias w:val="币种：利润表及现金流量表相关科目变动分析表"/>
          <w:tag w:val="_GBC_6c86f79f9e2349b09f37ad908cd43f73"/>
          <w:id w:val="490527893"/>
          <w:placeholder>
            <w:docPart w:val="74F3EBD48A7E46CEBC0D2CDC9AC79F8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g2"/>
        <w:tblW w:w="5000" w:type="pct"/>
        <w:tblInd w:w="0" w:type="dxa"/>
        <w:tblLook w:val="04A0" w:firstRow="1" w:lastRow="0" w:firstColumn="1" w:lastColumn="0" w:noHBand="0" w:noVBand="1"/>
      </w:tblPr>
      <w:tblGrid>
        <w:gridCol w:w="1696"/>
        <w:gridCol w:w="1133"/>
        <w:gridCol w:w="1276"/>
        <w:gridCol w:w="1276"/>
        <w:gridCol w:w="1278"/>
        <w:gridCol w:w="1276"/>
        <w:gridCol w:w="888"/>
      </w:tblGrid>
      <w:tr w:rsidR="00156DD6">
        <w:trPr>
          <w:trHeight w:val="180"/>
        </w:trPr>
        <w:bookmarkStart w:id="58" w:name="_Hlk74646362" w:displacedByCustomXml="next"/>
        <w:sdt>
          <w:sdtPr>
            <w:tag w:val="_PLD_d0f356a255cd4ad2a1d809f43b17afe4"/>
            <w:id w:val="-794983135"/>
          </w:sdtPr>
          <w:sdtEndPr/>
          <w:sdtContent>
            <w:tc>
              <w:tcPr>
                <w:tcW w:w="961" w:type="pct"/>
                <w:vAlign w:val="center"/>
              </w:tcPr>
              <w:p w:rsidR="00156DD6" w:rsidRDefault="00D51F5F">
                <w:pPr>
                  <w:jc w:val="center"/>
                  <w:rPr>
                    <w:rStyle w:val="Style57"/>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项目名称</w:t>
                </w:r>
              </w:p>
            </w:tc>
          </w:sdtContent>
        </w:sdt>
        <w:sdt>
          <w:sdtPr>
            <w:tag w:val="_PLD_908740cf286747d79d5abbe407fef2b5"/>
            <w:id w:val="-1604173616"/>
          </w:sdtPr>
          <w:sdtEndPr/>
          <w:sdtContent>
            <w:tc>
              <w:tcPr>
                <w:tcW w:w="642" w:type="pct"/>
                <w:vAlign w:val="center"/>
              </w:tcPr>
              <w:p w:rsidR="00156DD6" w:rsidRDefault="00D51F5F">
                <w:pPr>
                  <w:jc w:val="center"/>
                  <w:rPr>
                    <w:rStyle w:val="Style57"/>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本期期末数</w:t>
                </w:r>
              </w:p>
            </w:tc>
          </w:sdtContent>
        </w:sdt>
        <w:sdt>
          <w:sdtPr>
            <w:tag w:val="_PLD_329bbbc9fa484c0990e705c4343b8bd2"/>
            <w:id w:val="-1242014544"/>
          </w:sdtPr>
          <w:sdtEndPr/>
          <w:sdtContent>
            <w:tc>
              <w:tcPr>
                <w:tcW w:w="723" w:type="pct"/>
                <w:vAlign w:val="center"/>
              </w:tcPr>
              <w:p w:rsidR="00156DD6" w:rsidRDefault="00D51F5F">
                <w:pPr>
                  <w:jc w:val="center"/>
                  <w:rPr>
                    <w:rStyle w:val="Style57"/>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本期期末数占总资产的比例（</w:t>
                </w:r>
                <w:r>
                  <w:rPr>
                    <w:rFonts w:asciiTheme="minorEastAsia" w:eastAsiaTheme="minorEastAsia" w:hAnsiTheme="minorEastAsia"/>
                    <w:color w:val="000000" w:themeColor="text1"/>
                  </w:rPr>
                  <w:t>%</w:t>
                </w:r>
                <w:r>
                  <w:rPr>
                    <w:rFonts w:asciiTheme="minorEastAsia" w:eastAsiaTheme="minorEastAsia" w:hAnsiTheme="minorEastAsia"/>
                    <w:color w:val="000000" w:themeColor="text1"/>
                  </w:rPr>
                  <w:t>）</w:t>
                </w:r>
              </w:p>
            </w:tc>
          </w:sdtContent>
        </w:sdt>
        <w:sdt>
          <w:sdtPr>
            <w:tag w:val="_PLD_56ec8d815a204f39816e77d18cf2ac7e"/>
            <w:id w:val="726274266"/>
          </w:sdtPr>
          <w:sdtEndPr/>
          <w:sdtContent>
            <w:tc>
              <w:tcPr>
                <w:tcW w:w="723" w:type="pct"/>
                <w:vAlign w:val="center"/>
              </w:tcPr>
              <w:p w:rsidR="00156DD6" w:rsidRDefault="00D51F5F">
                <w:pPr>
                  <w:jc w:val="center"/>
                  <w:rPr>
                    <w:rStyle w:val="Style57"/>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期末数</w:t>
                </w:r>
              </w:p>
            </w:tc>
          </w:sdtContent>
        </w:sdt>
        <w:sdt>
          <w:sdtPr>
            <w:tag w:val="_PLD_4bc2806364aa476db7b5ac96d585ad18"/>
            <w:id w:val="-801390674"/>
          </w:sdtPr>
          <w:sdtEndPr/>
          <w:sdtContent>
            <w:tc>
              <w:tcPr>
                <w:tcW w:w="724" w:type="pct"/>
                <w:vAlign w:val="center"/>
              </w:tcPr>
              <w:p w:rsidR="00156DD6" w:rsidRDefault="00D51F5F">
                <w:pPr>
                  <w:jc w:val="center"/>
                  <w:rPr>
                    <w:rStyle w:val="Style57"/>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期末数占总资产的比例（</w:t>
                </w:r>
                <w:r>
                  <w:rPr>
                    <w:rFonts w:asciiTheme="minorEastAsia" w:eastAsiaTheme="minorEastAsia" w:hAnsiTheme="minorEastAsia"/>
                    <w:color w:val="000000" w:themeColor="text1"/>
                  </w:rPr>
                  <w:t>%</w:t>
                </w:r>
                <w:r>
                  <w:rPr>
                    <w:rFonts w:asciiTheme="minorEastAsia" w:eastAsiaTheme="minorEastAsia" w:hAnsiTheme="minorEastAsia"/>
                    <w:color w:val="000000" w:themeColor="text1"/>
                  </w:rPr>
                  <w:t>）</w:t>
                </w:r>
              </w:p>
            </w:tc>
          </w:sdtContent>
        </w:sdt>
        <w:sdt>
          <w:sdtPr>
            <w:tag w:val="_PLD_4cfcbfaae8d94f2d87cb33b122df7a82"/>
            <w:id w:val="-900438466"/>
          </w:sdtPr>
          <w:sdtEndPr/>
          <w:sdtContent>
            <w:tc>
              <w:tcPr>
                <w:tcW w:w="723" w:type="pct"/>
                <w:vAlign w:val="center"/>
              </w:tcPr>
              <w:p w:rsidR="00156DD6" w:rsidRDefault="00D51F5F">
                <w:pPr>
                  <w:jc w:val="center"/>
                  <w:rPr>
                    <w:rStyle w:val="Style57"/>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本期期末金额较上</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期末变动比例（</w:t>
                </w:r>
                <w:r>
                  <w:rPr>
                    <w:rFonts w:asciiTheme="minorEastAsia" w:eastAsiaTheme="minorEastAsia" w:hAnsiTheme="minorEastAsia"/>
                    <w:color w:val="000000" w:themeColor="text1"/>
                  </w:rPr>
                  <w:t>%</w:t>
                </w:r>
                <w:r>
                  <w:rPr>
                    <w:rFonts w:asciiTheme="minorEastAsia" w:eastAsiaTheme="minorEastAsia" w:hAnsiTheme="minorEastAsia"/>
                    <w:color w:val="000000" w:themeColor="text1"/>
                  </w:rPr>
                  <w:t>）</w:t>
                </w:r>
              </w:p>
            </w:tc>
          </w:sdtContent>
        </w:sdt>
        <w:sdt>
          <w:sdtPr>
            <w:tag w:val="_PLD_2acc4b359fa846d5bfb9939daf2ce46b"/>
            <w:id w:val="-1306844221"/>
          </w:sdtPr>
          <w:sdtEndPr/>
          <w:sdtContent>
            <w:tc>
              <w:tcPr>
                <w:tcW w:w="503" w:type="pct"/>
                <w:vAlign w:val="center"/>
              </w:tcPr>
              <w:p w:rsidR="00156DD6" w:rsidRDefault="00D51F5F">
                <w:pPr>
                  <w:jc w:val="center"/>
                  <w:rPr>
                    <w:rStyle w:val="Style57"/>
                    <w:rFonts w:asciiTheme="minorEastAsia" w:eastAsiaTheme="minorEastAsia" w:hAnsiTheme="minorEastAsia"/>
                    <w:b w:val="0"/>
                    <w:color w:val="000000" w:themeColor="text1"/>
                    <w:szCs w:val="21"/>
                  </w:rPr>
                </w:pPr>
                <w:r>
                  <w:rPr>
                    <w:rFonts w:asciiTheme="minorEastAsia" w:eastAsiaTheme="minorEastAsia" w:hAnsiTheme="minorEastAsia"/>
                    <w:color w:val="000000" w:themeColor="text1"/>
                  </w:rPr>
                  <w:t>情况说明</w:t>
                </w:r>
              </w:p>
            </w:tc>
          </w:sdtContent>
        </w:sdt>
      </w:tr>
      <w:tr w:rsidR="00156DD6">
        <w:trPr>
          <w:trHeight w:val="135"/>
        </w:trPr>
        <w:tc>
          <w:tcPr>
            <w:tcW w:w="961" w:type="pct"/>
          </w:tcPr>
          <w:p w:rsidR="00156DD6" w:rsidRDefault="00D51F5F">
            <w:pPr>
              <w:rPr>
                <w:rStyle w:val="Style57"/>
                <w:rFonts w:asciiTheme="minorEastAsia" w:eastAsiaTheme="minorEastAsia" w:hAnsiTheme="minorEastAsia"/>
                <w:b w:val="0"/>
                <w:color w:val="000000" w:themeColor="text1"/>
                <w:szCs w:val="21"/>
              </w:rPr>
            </w:pPr>
            <w:r>
              <w:rPr>
                <w:rFonts w:hint="eastAsia"/>
              </w:rPr>
              <w:t>交易性金融资产</w:t>
            </w:r>
          </w:p>
        </w:tc>
        <w:tc>
          <w:tcPr>
            <w:tcW w:w="642" w:type="pct"/>
          </w:tcPr>
          <w:p w:rsidR="00156DD6" w:rsidRDefault="00156DD6">
            <w:pPr>
              <w:jc w:val="right"/>
              <w:rPr>
                <w:rFonts w:eastAsiaTheme="minorEastAsia"/>
              </w:rPr>
            </w:pPr>
          </w:p>
        </w:tc>
        <w:tc>
          <w:tcPr>
            <w:tcW w:w="723" w:type="pct"/>
          </w:tcPr>
          <w:p w:rsidR="00156DD6" w:rsidRDefault="00156DD6">
            <w:pPr>
              <w:jc w:val="right"/>
              <w:rPr>
                <w:rFonts w:eastAsiaTheme="minorEastAsia"/>
              </w:rPr>
            </w:pPr>
          </w:p>
        </w:tc>
        <w:tc>
          <w:tcPr>
            <w:tcW w:w="723" w:type="pct"/>
          </w:tcPr>
          <w:p w:rsidR="00156DD6" w:rsidRDefault="00D51F5F">
            <w:pPr>
              <w:jc w:val="right"/>
              <w:rPr>
                <w:rFonts w:eastAsiaTheme="minorEastAsia"/>
              </w:rPr>
            </w:pPr>
            <w:r>
              <w:rPr>
                <w:rFonts w:hint="eastAsia"/>
              </w:rPr>
              <w:t xml:space="preserve"> 2,505.88 </w:t>
            </w:r>
          </w:p>
        </w:tc>
        <w:tc>
          <w:tcPr>
            <w:tcW w:w="724" w:type="pct"/>
          </w:tcPr>
          <w:p w:rsidR="00156DD6" w:rsidRDefault="00D51F5F">
            <w:pPr>
              <w:jc w:val="right"/>
              <w:rPr>
                <w:rFonts w:eastAsiaTheme="minorEastAsia"/>
              </w:rPr>
            </w:pPr>
            <w:r>
              <w:rPr>
                <w:rFonts w:hint="eastAsia"/>
              </w:rPr>
              <w:t xml:space="preserve"> 0.38 </w:t>
            </w:r>
          </w:p>
        </w:tc>
        <w:tc>
          <w:tcPr>
            <w:tcW w:w="723" w:type="pct"/>
          </w:tcPr>
          <w:p w:rsidR="00156DD6" w:rsidRDefault="00D51F5F">
            <w:pPr>
              <w:jc w:val="right"/>
              <w:rPr>
                <w:rFonts w:eastAsiaTheme="minorEastAsia"/>
              </w:rPr>
            </w:pPr>
            <w:r>
              <w:rPr>
                <w:rFonts w:hint="eastAsia"/>
              </w:rPr>
              <w:t xml:space="preserve"> -100.00 </w:t>
            </w:r>
          </w:p>
        </w:tc>
        <w:tc>
          <w:tcPr>
            <w:tcW w:w="503" w:type="pct"/>
          </w:tcPr>
          <w:p w:rsidR="00156DD6" w:rsidRDefault="00D51F5F">
            <w:pPr>
              <w:jc w:val="center"/>
              <w:rPr>
                <w:rFonts w:asciiTheme="minorEastAsia" w:eastAsiaTheme="minorEastAsia" w:hAnsiTheme="minorEastAsia"/>
              </w:rPr>
            </w:pPr>
            <w:r>
              <w:rPr>
                <w:rFonts w:hint="eastAsia"/>
              </w:rPr>
              <w:t>说明</w:t>
            </w:r>
            <w:r>
              <w:rPr>
                <w:rFonts w:hint="eastAsia"/>
              </w:rPr>
              <w:t>1</w:t>
            </w:r>
          </w:p>
        </w:tc>
      </w:tr>
      <w:tr w:rsidR="00156DD6">
        <w:trPr>
          <w:trHeight w:val="135"/>
        </w:trPr>
        <w:tc>
          <w:tcPr>
            <w:tcW w:w="961" w:type="pct"/>
          </w:tcPr>
          <w:p w:rsidR="00156DD6" w:rsidRDefault="00D51F5F">
            <w:pPr>
              <w:rPr>
                <w:rStyle w:val="Style57"/>
                <w:rFonts w:asciiTheme="minorEastAsia" w:eastAsiaTheme="minorEastAsia" w:hAnsiTheme="minorEastAsia"/>
                <w:b w:val="0"/>
                <w:color w:val="000000" w:themeColor="text1"/>
                <w:szCs w:val="21"/>
              </w:rPr>
            </w:pPr>
            <w:r>
              <w:rPr>
                <w:rFonts w:hint="eastAsia"/>
              </w:rPr>
              <w:t>应收款项融资</w:t>
            </w:r>
          </w:p>
        </w:tc>
        <w:tc>
          <w:tcPr>
            <w:tcW w:w="642" w:type="pct"/>
          </w:tcPr>
          <w:p w:rsidR="00156DD6" w:rsidRDefault="00D51F5F">
            <w:pPr>
              <w:jc w:val="right"/>
              <w:rPr>
                <w:rFonts w:eastAsiaTheme="minorEastAsia"/>
              </w:rPr>
            </w:pPr>
            <w:r>
              <w:rPr>
                <w:rFonts w:hint="eastAsia"/>
              </w:rPr>
              <w:t xml:space="preserve"> 3,418.38 </w:t>
            </w:r>
          </w:p>
        </w:tc>
        <w:tc>
          <w:tcPr>
            <w:tcW w:w="723" w:type="pct"/>
          </w:tcPr>
          <w:p w:rsidR="00156DD6" w:rsidRDefault="00D51F5F">
            <w:pPr>
              <w:jc w:val="right"/>
              <w:rPr>
                <w:rFonts w:eastAsiaTheme="minorEastAsia"/>
              </w:rPr>
            </w:pPr>
            <w:r>
              <w:rPr>
                <w:rFonts w:hint="eastAsia"/>
              </w:rPr>
              <w:t xml:space="preserve"> 0.51 </w:t>
            </w:r>
          </w:p>
        </w:tc>
        <w:tc>
          <w:tcPr>
            <w:tcW w:w="723" w:type="pct"/>
          </w:tcPr>
          <w:p w:rsidR="00156DD6" w:rsidRDefault="00D51F5F">
            <w:pPr>
              <w:jc w:val="right"/>
              <w:rPr>
                <w:rFonts w:eastAsiaTheme="minorEastAsia"/>
              </w:rPr>
            </w:pPr>
            <w:r>
              <w:rPr>
                <w:rFonts w:hint="eastAsia"/>
              </w:rPr>
              <w:t xml:space="preserve"> 1,499.52 </w:t>
            </w:r>
          </w:p>
        </w:tc>
        <w:tc>
          <w:tcPr>
            <w:tcW w:w="724" w:type="pct"/>
          </w:tcPr>
          <w:p w:rsidR="00156DD6" w:rsidRDefault="00D51F5F">
            <w:pPr>
              <w:jc w:val="right"/>
              <w:rPr>
                <w:rFonts w:eastAsiaTheme="minorEastAsia"/>
              </w:rPr>
            </w:pPr>
            <w:r>
              <w:rPr>
                <w:rFonts w:hint="eastAsia"/>
              </w:rPr>
              <w:t xml:space="preserve"> 0.23 </w:t>
            </w:r>
          </w:p>
        </w:tc>
        <w:tc>
          <w:tcPr>
            <w:tcW w:w="723" w:type="pct"/>
          </w:tcPr>
          <w:p w:rsidR="00156DD6" w:rsidRDefault="00D51F5F">
            <w:pPr>
              <w:jc w:val="right"/>
              <w:rPr>
                <w:rFonts w:eastAsiaTheme="minorEastAsia"/>
              </w:rPr>
            </w:pPr>
            <w:r>
              <w:rPr>
                <w:rFonts w:hint="eastAsia"/>
              </w:rPr>
              <w:t xml:space="preserve"> 127.97 </w:t>
            </w:r>
          </w:p>
        </w:tc>
        <w:tc>
          <w:tcPr>
            <w:tcW w:w="503" w:type="pct"/>
          </w:tcPr>
          <w:p w:rsidR="00156DD6" w:rsidRDefault="00D51F5F">
            <w:pPr>
              <w:jc w:val="center"/>
              <w:rPr>
                <w:rFonts w:asciiTheme="minorEastAsia" w:eastAsiaTheme="minorEastAsia" w:hAnsiTheme="minorEastAsia"/>
              </w:rPr>
            </w:pPr>
            <w:r>
              <w:rPr>
                <w:rFonts w:hint="eastAsia"/>
              </w:rPr>
              <w:t>说明</w:t>
            </w:r>
            <w:r>
              <w:rPr>
                <w:rFonts w:hint="eastAsia"/>
              </w:rPr>
              <w:t>2</w:t>
            </w:r>
          </w:p>
        </w:tc>
      </w:tr>
      <w:tr w:rsidR="00156DD6">
        <w:trPr>
          <w:trHeight w:val="135"/>
        </w:trPr>
        <w:tc>
          <w:tcPr>
            <w:tcW w:w="961" w:type="pct"/>
          </w:tcPr>
          <w:p w:rsidR="00156DD6" w:rsidRDefault="00D51F5F">
            <w:pPr>
              <w:rPr>
                <w:rStyle w:val="Style57"/>
                <w:rFonts w:asciiTheme="minorEastAsia" w:eastAsiaTheme="minorEastAsia" w:hAnsiTheme="minorEastAsia"/>
                <w:b w:val="0"/>
                <w:color w:val="000000" w:themeColor="text1"/>
                <w:szCs w:val="21"/>
              </w:rPr>
            </w:pPr>
            <w:r>
              <w:rPr>
                <w:rFonts w:hint="eastAsia"/>
              </w:rPr>
              <w:t>其他流动资产</w:t>
            </w:r>
          </w:p>
        </w:tc>
        <w:tc>
          <w:tcPr>
            <w:tcW w:w="642" w:type="pct"/>
          </w:tcPr>
          <w:p w:rsidR="00156DD6" w:rsidRDefault="00D51F5F">
            <w:pPr>
              <w:jc w:val="right"/>
              <w:rPr>
                <w:rFonts w:eastAsiaTheme="minorEastAsia"/>
              </w:rPr>
            </w:pPr>
            <w:r>
              <w:rPr>
                <w:rFonts w:hint="eastAsia"/>
              </w:rPr>
              <w:t xml:space="preserve"> 1,081.13 </w:t>
            </w:r>
          </w:p>
        </w:tc>
        <w:tc>
          <w:tcPr>
            <w:tcW w:w="723" w:type="pct"/>
          </w:tcPr>
          <w:p w:rsidR="00156DD6" w:rsidRDefault="00D51F5F">
            <w:pPr>
              <w:jc w:val="right"/>
              <w:rPr>
                <w:rFonts w:eastAsiaTheme="minorEastAsia"/>
              </w:rPr>
            </w:pPr>
            <w:r>
              <w:rPr>
                <w:rFonts w:hint="eastAsia"/>
              </w:rPr>
              <w:t xml:space="preserve"> 0.16 </w:t>
            </w:r>
          </w:p>
        </w:tc>
        <w:tc>
          <w:tcPr>
            <w:tcW w:w="723" w:type="pct"/>
          </w:tcPr>
          <w:p w:rsidR="00156DD6" w:rsidRDefault="00D51F5F">
            <w:pPr>
              <w:jc w:val="right"/>
              <w:rPr>
                <w:rFonts w:eastAsiaTheme="minorEastAsia"/>
              </w:rPr>
            </w:pPr>
            <w:r>
              <w:rPr>
                <w:rFonts w:hint="eastAsia"/>
              </w:rPr>
              <w:t xml:space="preserve"> 209.26 </w:t>
            </w:r>
          </w:p>
        </w:tc>
        <w:tc>
          <w:tcPr>
            <w:tcW w:w="724" w:type="pct"/>
          </w:tcPr>
          <w:p w:rsidR="00156DD6" w:rsidRDefault="00D51F5F">
            <w:pPr>
              <w:jc w:val="right"/>
              <w:rPr>
                <w:rFonts w:eastAsiaTheme="minorEastAsia"/>
              </w:rPr>
            </w:pPr>
            <w:r>
              <w:rPr>
                <w:rFonts w:hint="eastAsia"/>
              </w:rPr>
              <w:t xml:space="preserve"> 0.03 </w:t>
            </w:r>
          </w:p>
        </w:tc>
        <w:tc>
          <w:tcPr>
            <w:tcW w:w="723" w:type="pct"/>
          </w:tcPr>
          <w:p w:rsidR="00156DD6" w:rsidRDefault="00D51F5F">
            <w:pPr>
              <w:jc w:val="right"/>
              <w:rPr>
                <w:rFonts w:eastAsiaTheme="minorEastAsia"/>
              </w:rPr>
            </w:pPr>
            <w:r>
              <w:rPr>
                <w:rFonts w:hint="eastAsia"/>
              </w:rPr>
              <w:t xml:space="preserve"> 416.66 </w:t>
            </w:r>
          </w:p>
        </w:tc>
        <w:tc>
          <w:tcPr>
            <w:tcW w:w="503" w:type="pct"/>
          </w:tcPr>
          <w:p w:rsidR="00156DD6" w:rsidRDefault="00D51F5F">
            <w:pPr>
              <w:jc w:val="center"/>
              <w:rPr>
                <w:rFonts w:asciiTheme="minorEastAsia" w:eastAsiaTheme="minorEastAsia" w:hAnsiTheme="minorEastAsia"/>
              </w:rPr>
            </w:pPr>
            <w:r>
              <w:rPr>
                <w:rFonts w:hint="eastAsia"/>
              </w:rPr>
              <w:t>说明</w:t>
            </w:r>
            <w:r>
              <w:rPr>
                <w:rFonts w:hint="eastAsia"/>
              </w:rPr>
              <w:t>3</w:t>
            </w:r>
          </w:p>
        </w:tc>
      </w:tr>
      <w:tr w:rsidR="00156DD6">
        <w:trPr>
          <w:trHeight w:val="135"/>
        </w:trPr>
        <w:tc>
          <w:tcPr>
            <w:tcW w:w="961" w:type="pct"/>
          </w:tcPr>
          <w:p w:rsidR="00156DD6" w:rsidRDefault="00D51F5F">
            <w:pPr>
              <w:rPr>
                <w:rStyle w:val="Style57"/>
                <w:rFonts w:asciiTheme="minorEastAsia" w:eastAsiaTheme="minorEastAsia" w:hAnsiTheme="minorEastAsia"/>
                <w:b w:val="0"/>
                <w:color w:val="000000" w:themeColor="text1"/>
                <w:szCs w:val="21"/>
              </w:rPr>
            </w:pPr>
            <w:r>
              <w:rPr>
                <w:rFonts w:hint="eastAsia"/>
              </w:rPr>
              <w:t>在建工程</w:t>
            </w:r>
          </w:p>
        </w:tc>
        <w:tc>
          <w:tcPr>
            <w:tcW w:w="642" w:type="pct"/>
          </w:tcPr>
          <w:p w:rsidR="00156DD6" w:rsidRDefault="00D51F5F">
            <w:pPr>
              <w:jc w:val="right"/>
              <w:rPr>
                <w:rFonts w:eastAsiaTheme="minorEastAsia"/>
              </w:rPr>
            </w:pPr>
            <w:r>
              <w:rPr>
                <w:rFonts w:hint="eastAsia"/>
              </w:rPr>
              <w:t xml:space="preserve"> 3,822.86 </w:t>
            </w:r>
          </w:p>
        </w:tc>
        <w:tc>
          <w:tcPr>
            <w:tcW w:w="723" w:type="pct"/>
          </w:tcPr>
          <w:p w:rsidR="00156DD6" w:rsidRDefault="00D51F5F">
            <w:pPr>
              <w:jc w:val="right"/>
              <w:rPr>
                <w:rFonts w:eastAsiaTheme="minorEastAsia"/>
              </w:rPr>
            </w:pPr>
            <w:r>
              <w:rPr>
                <w:rFonts w:hint="eastAsia"/>
              </w:rPr>
              <w:t xml:space="preserve"> 0.57 </w:t>
            </w:r>
          </w:p>
        </w:tc>
        <w:tc>
          <w:tcPr>
            <w:tcW w:w="723" w:type="pct"/>
          </w:tcPr>
          <w:p w:rsidR="00156DD6" w:rsidRDefault="00D51F5F">
            <w:pPr>
              <w:jc w:val="right"/>
              <w:rPr>
                <w:rFonts w:eastAsiaTheme="minorEastAsia"/>
              </w:rPr>
            </w:pPr>
            <w:r>
              <w:rPr>
                <w:rFonts w:hint="eastAsia"/>
              </w:rPr>
              <w:t xml:space="preserve"> 2,503.42 </w:t>
            </w:r>
          </w:p>
        </w:tc>
        <w:tc>
          <w:tcPr>
            <w:tcW w:w="724" w:type="pct"/>
          </w:tcPr>
          <w:p w:rsidR="00156DD6" w:rsidRDefault="00D51F5F">
            <w:pPr>
              <w:jc w:val="right"/>
              <w:rPr>
                <w:rFonts w:eastAsiaTheme="minorEastAsia"/>
              </w:rPr>
            </w:pPr>
            <w:r>
              <w:rPr>
                <w:rFonts w:hint="eastAsia"/>
              </w:rPr>
              <w:t xml:space="preserve"> 0.38 </w:t>
            </w:r>
          </w:p>
        </w:tc>
        <w:tc>
          <w:tcPr>
            <w:tcW w:w="723" w:type="pct"/>
          </w:tcPr>
          <w:p w:rsidR="00156DD6" w:rsidRDefault="00D51F5F">
            <w:pPr>
              <w:jc w:val="right"/>
              <w:rPr>
                <w:rFonts w:eastAsiaTheme="minorEastAsia"/>
              </w:rPr>
            </w:pPr>
            <w:r>
              <w:rPr>
                <w:rFonts w:hint="eastAsia"/>
              </w:rPr>
              <w:t xml:space="preserve"> 52.71 </w:t>
            </w:r>
          </w:p>
        </w:tc>
        <w:tc>
          <w:tcPr>
            <w:tcW w:w="503" w:type="pct"/>
          </w:tcPr>
          <w:p w:rsidR="00156DD6" w:rsidRDefault="00D51F5F">
            <w:pPr>
              <w:jc w:val="center"/>
              <w:rPr>
                <w:rFonts w:asciiTheme="minorEastAsia" w:eastAsiaTheme="minorEastAsia" w:hAnsiTheme="minorEastAsia"/>
              </w:rPr>
            </w:pPr>
            <w:r>
              <w:rPr>
                <w:rFonts w:hint="eastAsia"/>
              </w:rPr>
              <w:t>说明</w:t>
            </w:r>
            <w:r>
              <w:rPr>
                <w:rFonts w:hint="eastAsia"/>
              </w:rPr>
              <w:t>4</w:t>
            </w:r>
          </w:p>
        </w:tc>
      </w:tr>
      <w:tr w:rsidR="00156DD6">
        <w:trPr>
          <w:trHeight w:val="135"/>
        </w:trPr>
        <w:tc>
          <w:tcPr>
            <w:tcW w:w="961" w:type="pct"/>
          </w:tcPr>
          <w:p w:rsidR="00156DD6" w:rsidRDefault="00D51F5F">
            <w:pPr>
              <w:rPr>
                <w:rStyle w:val="Style57"/>
                <w:rFonts w:asciiTheme="minorEastAsia" w:eastAsiaTheme="minorEastAsia" w:hAnsiTheme="minorEastAsia"/>
                <w:b w:val="0"/>
                <w:color w:val="000000" w:themeColor="text1"/>
                <w:szCs w:val="21"/>
              </w:rPr>
            </w:pPr>
            <w:r>
              <w:rPr>
                <w:rFonts w:hint="eastAsia"/>
              </w:rPr>
              <w:t>使用权资产</w:t>
            </w:r>
          </w:p>
        </w:tc>
        <w:tc>
          <w:tcPr>
            <w:tcW w:w="642" w:type="pct"/>
          </w:tcPr>
          <w:p w:rsidR="00156DD6" w:rsidRDefault="00D51F5F">
            <w:pPr>
              <w:jc w:val="right"/>
              <w:rPr>
                <w:rFonts w:eastAsiaTheme="minorEastAsia"/>
              </w:rPr>
            </w:pPr>
            <w:r>
              <w:rPr>
                <w:rFonts w:hint="eastAsia"/>
              </w:rPr>
              <w:t xml:space="preserve"> 857.00 </w:t>
            </w:r>
          </w:p>
        </w:tc>
        <w:tc>
          <w:tcPr>
            <w:tcW w:w="723" w:type="pct"/>
          </w:tcPr>
          <w:p w:rsidR="00156DD6" w:rsidRDefault="00D51F5F">
            <w:pPr>
              <w:jc w:val="right"/>
              <w:rPr>
                <w:rFonts w:eastAsiaTheme="minorEastAsia"/>
              </w:rPr>
            </w:pPr>
            <w:r>
              <w:rPr>
                <w:rFonts w:hint="eastAsia"/>
              </w:rPr>
              <w:t xml:space="preserve"> 0.13 </w:t>
            </w:r>
          </w:p>
        </w:tc>
        <w:tc>
          <w:tcPr>
            <w:tcW w:w="723" w:type="pct"/>
          </w:tcPr>
          <w:p w:rsidR="00156DD6" w:rsidRDefault="00D51F5F">
            <w:pPr>
              <w:jc w:val="right"/>
              <w:rPr>
                <w:rFonts w:eastAsiaTheme="minorEastAsia"/>
              </w:rPr>
            </w:pPr>
            <w:r>
              <w:rPr>
                <w:rFonts w:hint="eastAsia"/>
              </w:rPr>
              <w:t xml:space="preserve"> 556.93 </w:t>
            </w:r>
          </w:p>
        </w:tc>
        <w:tc>
          <w:tcPr>
            <w:tcW w:w="724" w:type="pct"/>
          </w:tcPr>
          <w:p w:rsidR="00156DD6" w:rsidRDefault="00D51F5F">
            <w:pPr>
              <w:jc w:val="right"/>
              <w:rPr>
                <w:rFonts w:eastAsiaTheme="minorEastAsia"/>
              </w:rPr>
            </w:pPr>
            <w:r>
              <w:rPr>
                <w:rFonts w:hint="eastAsia"/>
              </w:rPr>
              <w:t xml:space="preserve"> 0.09 </w:t>
            </w:r>
          </w:p>
        </w:tc>
        <w:tc>
          <w:tcPr>
            <w:tcW w:w="723" w:type="pct"/>
          </w:tcPr>
          <w:p w:rsidR="00156DD6" w:rsidRDefault="00D51F5F">
            <w:pPr>
              <w:jc w:val="right"/>
              <w:rPr>
                <w:rFonts w:eastAsiaTheme="minorEastAsia"/>
              </w:rPr>
            </w:pPr>
            <w:r>
              <w:rPr>
                <w:rFonts w:hint="eastAsia"/>
              </w:rPr>
              <w:t xml:space="preserve"> 53.88 </w:t>
            </w:r>
          </w:p>
        </w:tc>
        <w:tc>
          <w:tcPr>
            <w:tcW w:w="503" w:type="pct"/>
          </w:tcPr>
          <w:p w:rsidR="00156DD6" w:rsidRDefault="00D51F5F">
            <w:pPr>
              <w:jc w:val="center"/>
              <w:rPr>
                <w:rFonts w:asciiTheme="minorEastAsia" w:eastAsiaTheme="minorEastAsia" w:hAnsiTheme="minorEastAsia"/>
              </w:rPr>
            </w:pPr>
            <w:r>
              <w:rPr>
                <w:rFonts w:hint="eastAsia"/>
              </w:rPr>
              <w:t>说明</w:t>
            </w:r>
            <w:r>
              <w:rPr>
                <w:rFonts w:hint="eastAsia"/>
              </w:rPr>
              <w:t>5</w:t>
            </w:r>
          </w:p>
        </w:tc>
      </w:tr>
      <w:tr w:rsidR="00156DD6">
        <w:trPr>
          <w:trHeight w:val="135"/>
        </w:trPr>
        <w:tc>
          <w:tcPr>
            <w:tcW w:w="961" w:type="pct"/>
          </w:tcPr>
          <w:p w:rsidR="00156DD6" w:rsidRDefault="00D51F5F">
            <w:pPr>
              <w:rPr>
                <w:rStyle w:val="Style57"/>
                <w:rFonts w:asciiTheme="minorEastAsia" w:eastAsiaTheme="minorEastAsia" w:hAnsiTheme="minorEastAsia"/>
                <w:b w:val="0"/>
                <w:color w:val="000000" w:themeColor="text1"/>
                <w:szCs w:val="21"/>
              </w:rPr>
            </w:pPr>
            <w:r>
              <w:rPr>
                <w:rFonts w:hint="eastAsia"/>
              </w:rPr>
              <w:t>其他非流动资产</w:t>
            </w:r>
          </w:p>
        </w:tc>
        <w:tc>
          <w:tcPr>
            <w:tcW w:w="642" w:type="pct"/>
          </w:tcPr>
          <w:p w:rsidR="00156DD6" w:rsidRDefault="00D51F5F">
            <w:pPr>
              <w:jc w:val="right"/>
              <w:rPr>
                <w:rFonts w:eastAsiaTheme="minorEastAsia"/>
              </w:rPr>
            </w:pPr>
            <w:r>
              <w:rPr>
                <w:rFonts w:hint="eastAsia"/>
              </w:rPr>
              <w:t xml:space="preserve"> 2,258.49 </w:t>
            </w:r>
          </w:p>
        </w:tc>
        <w:tc>
          <w:tcPr>
            <w:tcW w:w="723" w:type="pct"/>
          </w:tcPr>
          <w:p w:rsidR="00156DD6" w:rsidRDefault="00D51F5F">
            <w:pPr>
              <w:jc w:val="right"/>
              <w:rPr>
                <w:rFonts w:eastAsiaTheme="minorEastAsia"/>
              </w:rPr>
            </w:pPr>
            <w:r>
              <w:rPr>
                <w:rFonts w:hint="eastAsia"/>
              </w:rPr>
              <w:t xml:space="preserve"> 0.33 </w:t>
            </w:r>
          </w:p>
        </w:tc>
        <w:tc>
          <w:tcPr>
            <w:tcW w:w="723" w:type="pct"/>
          </w:tcPr>
          <w:p w:rsidR="00156DD6" w:rsidRDefault="00D51F5F">
            <w:pPr>
              <w:jc w:val="right"/>
              <w:rPr>
                <w:rFonts w:eastAsiaTheme="minorEastAsia"/>
              </w:rPr>
            </w:pPr>
            <w:r>
              <w:rPr>
                <w:rFonts w:hint="eastAsia"/>
              </w:rPr>
              <w:t xml:space="preserve"> 1,165.61 </w:t>
            </w:r>
          </w:p>
        </w:tc>
        <w:tc>
          <w:tcPr>
            <w:tcW w:w="724" w:type="pct"/>
          </w:tcPr>
          <w:p w:rsidR="00156DD6" w:rsidRDefault="00D51F5F">
            <w:pPr>
              <w:jc w:val="right"/>
              <w:rPr>
                <w:rFonts w:eastAsiaTheme="minorEastAsia"/>
              </w:rPr>
            </w:pPr>
            <w:r>
              <w:rPr>
                <w:rFonts w:hint="eastAsia"/>
              </w:rPr>
              <w:t xml:space="preserve"> 0.18 </w:t>
            </w:r>
          </w:p>
        </w:tc>
        <w:tc>
          <w:tcPr>
            <w:tcW w:w="723" w:type="pct"/>
          </w:tcPr>
          <w:p w:rsidR="00156DD6" w:rsidRDefault="00D51F5F">
            <w:pPr>
              <w:jc w:val="right"/>
              <w:rPr>
                <w:rFonts w:eastAsiaTheme="minorEastAsia"/>
              </w:rPr>
            </w:pPr>
            <w:r>
              <w:rPr>
                <w:rFonts w:hint="eastAsia"/>
              </w:rPr>
              <w:t xml:space="preserve"> 93.76 </w:t>
            </w:r>
          </w:p>
        </w:tc>
        <w:tc>
          <w:tcPr>
            <w:tcW w:w="503" w:type="pct"/>
          </w:tcPr>
          <w:p w:rsidR="00156DD6" w:rsidRDefault="00D51F5F">
            <w:pPr>
              <w:jc w:val="center"/>
              <w:rPr>
                <w:rFonts w:asciiTheme="minorEastAsia" w:eastAsiaTheme="minorEastAsia" w:hAnsiTheme="minorEastAsia"/>
              </w:rPr>
            </w:pPr>
            <w:r>
              <w:rPr>
                <w:rFonts w:hint="eastAsia"/>
              </w:rPr>
              <w:t>说明</w:t>
            </w:r>
            <w:r>
              <w:rPr>
                <w:rFonts w:hint="eastAsia"/>
              </w:rPr>
              <w:t>6</w:t>
            </w:r>
          </w:p>
        </w:tc>
      </w:tr>
      <w:tr w:rsidR="00156DD6">
        <w:trPr>
          <w:trHeight w:val="135"/>
        </w:trPr>
        <w:tc>
          <w:tcPr>
            <w:tcW w:w="961" w:type="pct"/>
          </w:tcPr>
          <w:p w:rsidR="00156DD6" w:rsidRDefault="00D51F5F">
            <w:pPr>
              <w:rPr>
                <w:rStyle w:val="Style57"/>
                <w:rFonts w:asciiTheme="minorEastAsia" w:eastAsiaTheme="minorEastAsia" w:hAnsiTheme="minorEastAsia"/>
                <w:b w:val="0"/>
                <w:color w:val="000000" w:themeColor="text1"/>
                <w:szCs w:val="21"/>
              </w:rPr>
            </w:pPr>
            <w:r>
              <w:rPr>
                <w:rFonts w:hint="eastAsia"/>
              </w:rPr>
              <w:t>应交税费</w:t>
            </w:r>
          </w:p>
        </w:tc>
        <w:tc>
          <w:tcPr>
            <w:tcW w:w="642" w:type="pct"/>
          </w:tcPr>
          <w:p w:rsidR="00156DD6" w:rsidRDefault="00D51F5F">
            <w:pPr>
              <w:jc w:val="right"/>
              <w:rPr>
                <w:rFonts w:eastAsiaTheme="minorEastAsia"/>
              </w:rPr>
            </w:pPr>
            <w:r>
              <w:rPr>
                <w:rFonts w:hint="eastAsia"/>
              </w:rPr>
              <w:t xml:space="preserve"> 4,242.35 </w:t>
            </w:r>
          </w:p>
        </w:tc>
        <w:tc>
          <w:tcPr>
            <w:tcW w:w="723" w:type="pct"/>
          </w:tcPr>
          <w:p w:rsidR="00156DD6" w:rsidRDefault="00D51F5F">
            <w:pPr>
              <w:jc w:val="right"/>
              <w:rPr>
                <w:rFonts w:eastAsiaTheme="minorEastAsia"/>
              </w:rPr>
            </w:pPr>
            <w:r>
              <w:rPr>
                <w:rFonts w:hint="eastAsia"/>
              </w:rPr>
              <w:t xml:space="preserve"> 0.63 </w:t>
            </w:r>
          </w:p>
        </w:tc>
        <w:tc>
          <w:tcPr>
            <w:tcW w:w="723" w:type="pct"/>
          </w:tcPr>
          <w:p w:rsidR="00156DD6" w:rsidRDefault="00D51F5F">
            <w:pPr>
              <w:jc w:val="right"/>
              <w:rPr>
                <w:rFonts w:eastAsiaTheme="minorEastAsia"/>
              </w:rPr>
            </w:pPr>
            <w:r>
              <w:rPr>
                <w:rFonts w:hint="eastAsia"/>
              </w:rPr>
              <w:t xml:space="preserve"> 2,587.67 </w:t>
            </w:r>
          </w:p>
        </w:tc>
        <w:tc>
          <w:tcPr>
            <w:tcW w:w="724" w:type="pct"/>
          </w:tcPr>
          <w:p w:rsidR="00156DD6" w:rsidRDefault="00D51F5F">
            <w:pPr>
              <w:jc w:val="right"/>
              <w:rPr>
                <w:rFonts w:eastAsiaTheme="minorEastAsia"/>
              </w:rPr>
            </w:pPr>
            <w:r>
              <w:rPr>
                <w:rFonts w:hint="eastAsia"/>
              </w:rPr>
              <w:t xml:space="preserve"> 0.40 </w:t>
            </w:r>
          </w:p>
        </w:tc>
        <w:tc>
          <w:tcPr>
            <w:tcW w:w="723" w:type="pct"/>
          </w:tcPr>
          <w:p w:rsidR="00156DD6" w:rsidRDefault="00D51F5F">
            <w:pPr>
              <w:jc w:val="right"/>
              <w:rPr>
                <w:rFonts w:eastAsiaTheme="minorEastAsia"/>
              </w:rPr>
            </w:pPr>
            <w:r>
              <w:rPr>
                <w:rFonts w:hint="eastAsia"/>
              </w:rPr>
              <w:t xml:space="preserve"> 63.94 </w:t>
            </w:r>
          </w:p>
        </w:tc>
        <w:tc>
          <w:tcPr>
            <w:tcW w:w="503" w:type="pct"/>
          </w:tcPr>
          <w:p w:rsidR="00156DD6" w:rsidRDefault="00D51F5F">
            <w:pPr>
              <w:jc w:val="center"/>
              <w:rPr>
                <w:rFonts w:asciiTheme="minorEastAsia" w:eastAsiaTheme="minorEastAsia" w:hAnsiTheme="minorEastAsia"/>
              </w:rPr>
            </w:pPr>
            <w:r>
              <w:rPr>
                <w:rFonts w:hint="eastAsia"/>
              </w:rPr>
              <w:t>说明</w:t>
            </w:r>
            <w:r>
              <w:rPr>
                <w:rFonts w:hint="eastAsia"/>
              </w:rPr>
              <w:t>7</w:t>
            </w:r>
          </w:p>
        </w:tc>
      </w:tr>
      <w:tr w:rsidR="00156DD6">
        <w:trPr>
          <w:trHeight w:val="135"/>
        </w:trPr>
        <w:tc>
          <w:tcPr>
            <w:tcW w:w="961" w:type="pct"/>
          </w:tcPr>
          <w:p w:rsidR="00156DD6" w:rsidRDefault="00D51F5F">
            <w:r>
              <w:rPr>
                <w:rFonts w:hint="eastAsia"/>
              </w:rPr>
              <w:t>长期借款</w:t>
            </w:r>
          </w:p>
        </w:tc>
        <w:tc>
          <w:tcPr>
            <w:tcW w:w="642" w:type="pct"/>
          </w:tcPr>
          <w:p w:rsidR="00156DD6" w:rsidRDefault="00D51F5F">
            <w:pPr>
              <w:jc w:val="right"/>
            </w:pPr>
            <w:r>
              <w:rPr>
                <w:rFonts w:hint="eastAsia"/>
              </w:rPr>
              <w:t xml:space="preserve">143,927.46 </w:t>
            </w:r>
          </w:p>
        </w:tc>
        <w:tc>
          <w:tcPr>
            <w:tcW w:w="723" w:type="pct"/>
          </w:tcPr>
          <w:p w:rsidR="00156DD6" w:rsidRDefault="00D51F5F">
            <w:pPr>
              <w:jc w:val="right"/>
            </w:pPr>
            <w:r>
              <w:rPr>
                <w:rFonts w:hint="eastAsia"/>
              </w:rPr>
              <w:t xml:space="preserve"> 21.28 </w:t>
            </w:r>
          </w:p>
        </w:tc>
        <w:tc>
          <w:tcPr>
            <w:tcW w:w="723" w:type="pct"/>
          </w:tcPr>
          <w:p w:rsidR="00156DD6" w:rsidRDefault="00D51F5F">
            <w:pPr>
              <w:jc w:val="right"/>
            </w:pPr>
            <w:r>
              <w:rPr>
                <w:rFonts w:hint="eastAsia"/>
              </w:rPr>
              <w:t xml:space="preserve"> 110,357.15 </w:t>
            </w:r>
          </w:p>
        </w:tc>
        <w:tc>
          <w:tcPr>
            <w:tcW w:w="724" w:type="pct"/>
          </w:tcPr>
          <w:p w:rsidR="00156DD6" w:rsidRDefault="00D51F5F">
            <w:pPr>
              <w:jc w:val="right"/>
            </w:pPr>
            <w:r>
              <w:rPr>
                <w:rFonts w:hint="eastAsia"/>
              </w:rPr>
              <w:t xml:space="preserve"> 16.89 </w:t>
            </w:r>
          </w:p>
        </w:tc>
        <w:tc>
          <w:tcPr>
            <w:tcW w:w="723" w:type="pct"/>
          </w:tcPr>
          <w:p w:rsidR="00156DD6" w:rsidRDefault="00D51F5F">
            <w:pPr>
              <w:jc w:val="right"/>
            </w:pPr>
            <w:r>
              <w:rPr>
                <w:rFonts w:hint="eastAsia"/>
              </w:rPr>
              <w:t xml:space="preserve"> 30.42 </w:t>
            </w:r>
          </w:p>
        </w:tc>
        <w:tc>
          <w:tcPr>
            <w:tcW w:w="503" w:type="pct"/>
          </w:tcPr>
          <w:p w:rsidR="00156DD6" w:rsidRDefault="00D51F5F">
            <w:pPr>
              <w:jc w:val="center"/>
            </w:pPr>
            <w:r>
              <w:rPr>
                <w:rFonts w:hint="eastAsia"/>
              </w:rPr>
              <w:t>说明</w:t>
            </w:r>
            <w:r>
              <w:rPr>
                <w:rFonts w:hint="eastAsia"/>
              </w:rPr>
              <w:t>8</w:t>
            </w:r>
          </w:p>
        </w:tc>
      </w:tr>
      <w:tr w:rsidR="00156DD6">
        <w:trPr>
          <w:trHeight w:val="135"/>
        </w:trPr>
        <w:tc>
          <w:tcPr>
            <w:tcW w:w="961" w:type="pct"/>
          </w:tcPr>
          <w:p w:rsidR="00156DD6" w:rsidRDefault="00D51F5F">
            <w:pPr>
              <w:rPr>
                <w:rStyle w:val="Style57"/>
                <w:rFonts w:asciiTheme="minorEastAsia" w:eastAsiaTheme="minorEastAsia" w:hAnsiTheme="minorEastAsia"/>
                <w:b w:val="0"/>
                <w:color w:val="000000" w:themeColor="text1"/>
                <w:szCs w:val="21"/>
              </w:rPr>
            </w:pPr>
            <w:r>
              <w:rPr>
                <w:rFonts w:hint="eastAsia"/>
              </w:rPr>
              <w:t>长期应付款</w:t>
            </w:r>
          </w:p>
        </w:tc>
        <w:tc>
          <w:tcPr>
            <w:tcW w:w="642" w:type="pct"/>
          </w:tcPr>
          <w:p w:rsidR="00156DD6" w:rsidRDefault="00D51F5F">
            <w:pPr>
              <w:jc w:val="right"/>
              <w:rPr>
                <w:rFonts w:eastAsiaTheme="minorEastAsia"/>
              </w:rPr>
            </w:pPr>
            <w:r>
              <w:rPr>
                <w:rFonts w:hint="eastAsia"/>
              </w:rPr>
              <w:t xml:space="preserve"> 16,168.10 </w:t>
            </w:r>
          </w:p>
        </w:tc>
        <w:tc>
          <w:tcPr>
            <w:tcW w:w="723" w:type="pct"/>
          </w:tcPr>
          <w:p w:rsidR="00156DD6" w:rsidRDefault="00D51F5F">
            <w:pPr>
              <w:jc w:val="right"/>
              <w:rPr>
                <w:rFonts w:eastAsiaTheme="minorEastAsia"/>
              </w:rPr>
            </w:pPr>
            <w:r>
              <w:rPr>
                <w:rFonts w:hint="eastAsia"/>
              </w:rPr>
              <w:t xml:space="preserve"> 2.39 </w:t>
            </w:r>
          </w:p>
        </w:tc>
        <w:tc>
          <w:tcPr>
            <w:tcW w:w="723" w:type="pct"/>
          </w:tcPr>
          <w:p w:rsidR="00156DD6" w:rsidRDefault="00156DD6">
            <w:pPr>
              <w:jc w:val="right"/>
              <w:rPr>
                <w:rFonts w:eastAsiaTheme="minorEastAsia"/>
              </w:rPr>
            </w:pPr>
          </w:p>
        </w:tc>
        <w:tc>
          <w:tcPr>
            <w:tcW w:w="724" w:type="pct"/>
          </w:tcPr>
          <w:p w:rsidR="00156DD6" w:rsidRDefault="00156DD6">
            <w:pPr>
              <w:jc w:val="right"/>
              <w:rPr>
                <w:rFonts w:eastAsiaTheme="minorEastAsia"/>
              </w:rPr>
            </w:pPr>
          </w:p>
        </w:tc>
        <w:tc>
          <w:tcPr>
            <w:tcW w:w="723" w:type="pct"/>
          </w:tcPr>
          <w:p w:rsidR="00156DD6" w:rsidRDefault="00D51F5F">
            <w:pPr>
              <w:jc w:val="right"/>
              <w:rPr>
                <w:rFonts w:eastAsiaTheme="minorEastAsia"/>
              </w:rPr>
            </w:pPr>
            <w:r>
              <w:rPr>
                <w:rFonts w:hint="eastAsia"/>
              </w:rPr>
              <w:t>不适用</w:t>
            </w:r>
          </w:p>
        </w:tc>
        <w:tc>
          <w:tcPr>
            <w:tcW w:w="503" w:type="pct"/>
          </w:tcPr>
          <w:p w:rsidR="00156DD6" w:rsidRDefault="00D51F5F">
            <w:pPr>
              <w:jc w:val="center"/>
              <w:rPr>
                <w:rFonts w:asciiTheme="minorEastAsia" w:eastAsiaTheme="minorEastAsia" w:hAnsiTheme="minorEastAsia"/>
              </w:rPr>
            </w:pPr>
            <w:r>
              <w:rPr>
                <w:rFonts w:hint="eastAsia"/>
              </w:rPr>
              <w:t>说明</w:t>
            </w:r>
            <w:r>
              <w:rPr>
                <w:rFonts w:hint="eastAsia"/>
              </w:rPr>
              <w:t>9</w:t>
            </w:r>
          </w:p>
        </w:tc>
      </w:tr>
    </w:tbl>
    <w:bookmarkEnd w:id="58"/>
    <w:p w:rsidR="00156DD6" w:rsidRDefault="00D51F5F">
      <w:pPr>
        <w:rPr>
          <w:color w:val="000000" w:themeColor="text1"/>
        </w:rPr>
      </w:pPr>
      <w:r>
        <w:rPr>
          <w:rFonts w:hint="eastAsia"/>
          <w:color w:val="000000" w:themeColor="text1"/>
        </w:rPr>
        <w:t>其他说明</w:t>
      </w:r>
    </w:p>
    <w:sdt>
      <w:sdtPr>
        <w:rPr>
          <w:rFonts w:hint="eastAsia"/>
          <w:color w:val="000000" w:themeColor="text1"/>
        </w:rPr>
        <w:alias w:val="资产及负债状况的其他说明"/>
        <w:tag w:val="_GBC_cb3eda90e3e24589a444c633ca113f7e"/>
        <w:id w:val="1117568274"/>
        <w:placeholder>
          <w:docPart w:val="GBC22222222222222222222222222222"/>
        </w:placeholder>
      </w:sdtPr>
      <w:sdtEndPr/>
      <w:sdtContent>
        <w:p w:rsidR="00156DD6" w:rsidRDefault="00D51F5F">
          <w:pPr>
            <w:spacing w:line="360" w:lineRule="exact"/>
            <w:rPr>
              <w:color w:val="000000" w:themeColor="text1"/>
            </w:rPr>
          </w:pPr>
          <w:r>
            <w:rPr>
              <w:rFonts w:hint="eastAsia"/>
              <w:color w:val="000000" w:themeColor="text1"/>
            </w:rPr>
            <w:t>说明</w:t>
          </w:r>
          <w:r>
            <w:rPr>
              <w:rFonts w:hint="eastAsia"/>
              <w:color w:val="000000" w:themeColor="text1"/>
            </w:rPr>
            <w:t>1</w:t>
          </w:r>
          <w:r>
            <w:rPr>
              <w:rFonts w:hint="eastAsia"/>
              <w:color w:val="000000" w:themeColor="text1"/>
            </w:rPr>
            <w:t>：交易性金融资产较期初减少</w:t>
          </w:r>
          <w:r>
            <w:rPr>
              <w:rFonts w:hint="eastAsia"/>
              <w:color w:val="000000" w:themeColor="text1"/>
            </w:rPr>
            <w:t>2,505.88</w:t>
          </w:r>
          <w:r>
            <w:rPr>
              <w:rFonts w:hint="eastAsia"/>
              <w:color w:val="000000" w:themeColor="text1"/>
            </w:rPr>
            <w:t>万元，主要系本期结构性存款到期赎回所致。</w:t>
          </w:r>
        </w:p>
        <w:p w:rsidR="00156DD6" w:rsidRDefault="00D51F5F">
          <w:pPr>
            <w:spacing w:line="360" w:lineRule="exact"/>
            <w:rPr>
              <w:color w:val="000000" w:themeColor="text1"/>
            </w:rPr>
          </w:pPr>
          <w:r>
            <w:rPr>
              <w:rFonts w:hint="eastAsia"/>
              <w:color w:val="000000" w:themeColor="text1"/>
            </w:rPr>
            <w:t>说明</w:t>
          </w:r>
          <w:r>
            <w:rPr>
              <w:rFonts w:hint="eastAsia"/>
              <w:color w:val="000000" w:themeColor="text1"/>
            </w:rPr>
            <w:t>2</w:t>
          </w:r>
          <w:r>
            <w:rPr>
              <w:rFonts w:hint="eastAsia"/>
              <w:color w:val="000000" w:themeColor="text1"/>
            </w:rPr>
            <w:t>：应收款项融资较期初增加</w:t>
          </w:r>
          <w:r>
            <w:rPr>
              <w:rFonts w:hint="eastAsia"/>
              <w:color w:val="000000" w:themeColor="text1"/>
            </w:rPr>
            <w:t>1,918.87</w:t>
          </w:r>
          <w:r>
            <w:rPr>
              <w:rFonts w:hint="eastAsia"/>
              <w:color w:val="000000" w:themeColor="text1"/>
            </w:rPr>
            <w:t>万元，同比增长</w:t>
          </w:r>
          <w:r>
            <w:rPr>
              <w:rFonts w:hint="eastAsia"/>
              <w:color w:val="000000" w:themeColor="text1"/>
            </w:rPr>
            <w:t>127.97%</w:t>
          </w:r>
          <w:r>
            <w:rPr>
              <w:rFonts w:hint="eastAsia"/>
              <w:color w:val="000000" w:themeColor="text1"/>
            </w:rPr>
            <w:t>，主要系本期收取的电子银行承兑汇票尚未对外背书导致应收账款融资余额增加所致。</w:t>
          </w:r>
        </w:p>
        <w:p w:rsidR="00156DD6" w:rsidRDefault="00D51F5F">
          <w:pPr>
            <w:spacing w:line="360" w:lineRule="exact"/>
            <w:rPr>
              <w:color w:val="000000" w:themeColor="text1"/>
            </w:rPr>
          </w:pPr>
          <w:r>
            <w:rPr>
              <w:rFonts w:hint="eastAsia"/>
              <w:color w:val="000000" w:themeColor="text1"/>
            </w:rPr>
            <w:t>说明</w:t>
          </w:r>
          <w:r>
            <w:rPr>
              <w:rFonts w:hint="eastAsia"/>
              <w:color w:val="000000" w:themeColor="text1"/>
            </w:rPr>
            <w:t>3</w:t>
          </w:r>
          <w:r>
            <w:rPr>
              <w:rFonts w:hint="eastAsia"/>
              <w:color w:val="000000" w:themeColor="text1"/>
            </w:rPr>
            <w:t>：其他流动资产较期初增加</w:t>
          </w:r>
          <w:r>
            <w:rPr>
              <w:rFonts w:hint="eastAsia"/>
              <w:color w:val="000000" w:themeColor="text1"/>
            </w:rPr>
            <w:t>871.87</w:t>
          </w:r>
          <w:r>
            <w:rPr>
              <w:rFonts w:hint="eastAsia"/>
              <w:color w:val="000000" w:themeColor="text1"/>
            </w:rPr>
            <w:t>万元，同比增长</w:t>
          </w:r>
          <w:r>
            <w:rPr>
              <w:rFonts w:hint="eastAsia"/>
              <w:color w:val="000000" w:themeColor="text1"/>
            </w:rPr>
            <w:t>416.66%</w:t>
          </w:r>
          <w:r>
            <w:rPr>
              <w:rFonts w:hint="eastAsia"/>
              <w:color w:val="000000" w:themeColor="text1"/>
            </w:rPr>
            <w:t>，主要系本期待抵扣进项税增加所致。</w:t>
          </w:r>
        </w:p>
        <w:p w:rsidR="00156DD6" w:rsidRDefault="00D51F5F">
          <w:pPr>
            <w:spacing w:line="360" w:lineRule="exact"/>
            <w:rPr>
              <w:color w:val="000000" w:themeColor="text1"/>
            </w:rPr>
          </w:pPr>
          <w:r>
            <w:rPr>
              <w:rFonts w:hint="eastAsia"/>
              <w:color w:val="000000" w:themeColor="text1"/>
            </w:rPr>
            <w:t>说明</w:t>
          </w:r>
          <w:r>
            <w:rPr>
              <w:rFonts w:hint="eastAsia"/>
              <w:color w:val="000000" w:themeColor="text1"/>
            </w:rPr>
            <w:t>4</w:t>
          </w:r>
          <w:r>
            <w:rPr>
              <w:rFonts w:hint="eastAsia"/>
              <w:color w:val="000000" w:themeColor="text1"/>
            </w:rPr>
            <w:t>：在建工程较期初增加</w:t>
          </w:r>
          <w:r>
            <w:rPr>
              <w:rFonts w:hint="eastAsia"/>
              <w:color w:val="000000" w:themeColor="text1"/>
            </w:rPr>
            <w:t>1,319.44</w:t>
          </w:r>
          <w:r>
            <w:rPr>
              <w:rFonts w:hint="eastAsia"/>
              <w:color w:val="000000" w:themeColor="text1"/>
            </w:rPr>
            <w:t>万元，同比增长</w:t>
          </w:r>
          <w:r>
            <w:rPr>
              <w:rFonts w:hint="eastAsia"/>
              <w:color w:val="000000" w:themeColor="text1"/>
            </w:rPr>
            <w:t>52.71%</w:t>
          </w:r>
          <w:r>
            <w:rPr>
              <w:rFonts w:hint="eastAsia"/>
              <w:color w:val="000000" w:themeColor="text1"/>
            </w:rPr>
            <w:t>，主要系本期新增在建工程项目建设投入所致。</w:t>
          </w:r>
        </w:p>
        <w:p w:rsidR="00156DD6" w:rsidRDefault="00D51F5F">
          <w:pPr>
            <w:spacing w:line="360" w:lineRule="exact"/>
            <w:rPr>
              <w:color w:val="000000" w:themeColor="text1"/>
            </w:rPr>
          </w:pPr>
          <w:r>
            <w:rPr>
              <w:rFonts w:hint="eastAsia"/>
              <w:color w:val="000000" w:themeColor="text1"/>
            </w:rPr>
            <w:t>说明</w:t>
          </w:r>
          <w:r>
            <w:rPr>
              <w:rFonts w:hint="eastAsia"/>
              <w:color w:val="000000" w:themeColor="text1"/>
            </w:rPr>
            <w:t>5</w:t>
          </w:r>
          <w:r>
            <w:rPr>
              <w:rFonts w:hint="eastAsia"/>
              <w:color w:val="000000" w:themeColor="text1"/>
            </w:rPr>
            <w:t>：使用权资产较期初增加</w:t>
          </w:r>
          <w:r>
            <w:rPr>
              <w:rFonts w:hint="eastAsia"/>
              <w:color w:val="000000" w:themeColor="text1"/>
            </w:rPr>
            <w:t>300.08</w:t>
          </w:r>
          <w:r>
            <w:rPr>
              <w:rFonts w:hint="eastAsia"/>
              <w:color w:val="000000" w:themeColor="text1"/>
            </w:rPr>
            <w:t>万元，同比增长</w:t>
          </w:r>
          <w:r>
            <w:rPr>
              <w:rFonts w:hint="eastAsia"/>
              <w:color w:val="000000" w:themeColor="text1"/>
            </w:rPr>
            <w:t>53.88%</w:t>
          </w:r>
          <w:r>
            <w:rPr>
              <w:rFonts w:hint="eastAsia"/>
              <w:color w:val="000000" w:themeColor="text1"/>
            </w:rPr>
            <w:t>，主要系新增租赁办公场所导致使用权资产余额增加所致。</w:t>
          </w:r>
        </w:p>
        <w:p w:rsidR="00156DD6" w:rsidRDefault="00D51F5F">
          <w:pPr>
            <w:spacing w:line="360" w:lineRule="exact"/>
            <w:rPr>
              <w:color w:val="000000" w:themeColor="text1"/>
            </w:rPr>
          </w:pPr>
          <w:r>
            <w:rPr>
              <w:rFonts w:hint="eastAsia"/>
              <w:color w:val="000000" w:themeColor="text1"/>
            </w:rPr>
            <w:t>说明</w:t>
          </w:r>
          <w:r>
            <w:rPr>
              <w:rFonts w:hint="eastAsia"/>
              <w:color w:val="000000" w:themeColor="text1"/>
            </w:rPr>
            <w:t>6</w:t>
          </w:r>
          <w:r>
            <w:rPr>
              <w:rFonts w:hint="eastAsia"/>
              <w:color w:val="000000" w:themeColor="text1"/>
            </w:rPr>
            <w:t>：其他非流动资产</w:t>
          </w:r>
          <w:r>
            <w:rPr>
              <w:rFonts w:hint="eastAsia"/>
              <w:color w:val="000000" w:themeColor="text1"/>
            </w:rPr>
            <w:t>较期初增加</w:t>
          </w:r>
          <w:r>
            <w:rPr>
              <w:rFonts w:hint="eastAsia"/>
              <w:color w:val="000000" w:themeColor="text1"/>
            </w:rPr>
            <w:t>1,092.89</w:t>
          </w:r>
          <w:r>
            <w:rPr>
              <w:rFonts w:hint="eastAsia"/>
              <w:color w:val="000000" w:themeColor="text1"/>
            </w:rPr>
            <w:t>万元，同比增长</w:t>
          </w:r>
          <w:r>
            <w:rPr>
              <w:rFonts w:hint="eastAsia"/>
              <w:color w:val="000000" w:themeColor="text1"/>
            </w:rPr>
            <w:t>93.76%</w:t>
          </w:r>
          <w:r>
            <w:rPr>
              <w:rFonts w:hint="eastAsia"/>
              <w:color w:val="000000" w:themeColor="text1"/>
            </w:rPr>
            <w:t>，主要系本期预付工程设备款增加所致。</w:t>
          </w:r>
        </w:p>
        <w:p w:rsidR="00156DD6" w:rsidRDefault="00D51F5F">
          <w:pPr>
            <w:spacing w:line="360" w:lineRule="exact"/>
            <w:rPr>
              <w:color w:val="000000" w:themeColor="text1"/>
            </w:rPr>
          </w:pPr>
          <w:r>
            <w:rPr>
              <w:rFonts w:hint="eastAsia"/>
              <w:color w:val="000000" w:themeColor="text1"/>
            </w:rPr>
            <w:t>说明</w:t>
          </w:r>
          <w:r>
            <w:rPr>
              <w:rFonts w:hint="eastAsia"/>
              <w:color w:val="000000" w:themeColor="text1"/>
            </w:rPr>
            <w:t>7</w:t>
          </w:r>
          <w:r>
            <w:rPr>
              <w:rFonts w:hint="eastAsia"/>
              <w:color w:val="000000" w:themeColor="text1"/>
            </w:rPr>
            <w:t>：应交税费较期初增加</w:t>
          </w:r>
          <w:r>
            <w:rPr>
              <w:rFonts w:hint="eastAsia"/>
              <w:color w:val="000000" w:themeColor="text1"/>
            </w:rPr>
            <w:t>1,654.68</w:t>
          </w:r>
          <w:r>
            <w:rPr>
              <w:rFonts w:hint="eastAsia"/>
              <w:color w:val="000000" w:themeColor="text1"/>
            </w:rPr>
            <w:t>万元，同比增长</w:t>
          </w:r>
          <w:r>
            <w:rPr>
              <w:rFonts w:hint="eastAsia"/>
              <w:color w:val="000000" w:themeColor="text1"/>
            </w:rPr>
            <w:t>63.94%</w:t>
          </w:r>
          <w:r>
            <w:rPr>
              <w:rFonts w:hint="eastAsia"/>
              <w:color w:val="000000" w:themeColor="text1"/>
            </w:rPr>
            <w:t>，主要系本期收购云变电气少数股东股权款项尚未完成代缴税款支付导致应交税费余额增加所致。</w:t>
          </w:r>
        </w:p>
        <w:p w:rsidR="00156DD6" w:rsidRDefault="00D51F5F">
          <w:pPr>
            <w:spacing w:line="360" w:lineRule="exact"/>
            <w:rPr>
              <w:color w:val="000000" w:themeColor="text1"/>
            </w:rPr>
          </w:pPr>
          <w:r>
            <w:rPr>
              <w:rFonts w:hint="eastAsia"/>
              <w:color w:val="000000" w:themeColor="text1"/>
            </w:rPr>
            <w:t>说明</w:t>
          </w:r>
          <w:r>
            <w:rPr>
              <w:rFonts w:hint="eastAsia"/>
              <w:color w:val="000000" w:themeColor="text1"/>
            </w:rPr>
            <w:t>8</w:t>
          </w:r>
          <w:r>
            <w:rPr>
              <w:rFonts w:hint="eastAsia"/>
              <w:color w:val="000000" w:themeColor="text1"/>
            </w:rPr>
            <w:t>：长期借款较期初增加</w:t>
          </w:r>
          <w:r>
            <w:rPr>
              <w:rFonts w:hint="eastAsia"/>
              <w:color w:val="000000" w:themeColor="text1"/>
            </w:rPr>
            <w:t>33,570.31</w:t>
          </w:r>
          <w:r>
            <w:rPr>
              <w:rFonts w:hint="eastAsia"/>
              <w:color w:val="000000" w:themeColor="text1"/>
            </w:rPr>
            <w:t>万元，同比增长</w:t>
          </w:r>
          <w:r>
            <w:rPr>
              <w:rFonts w:hint="eastAsia"/>
              <w:color w:val="000000" w:themeColor="text1"/>
            </w:rPr>
            <w:t>30.42%</w:t>
          </w:r>
          <w:r>
            <w:rPr>
              <w:rFonts w:hint="eastAsia"/>
              <w:color w:val="000000" w:themeColor="text1"/>
            </w:rPr>
            <w:t>，主要系本期增加项目贷款及并购贷款所致。</w:t>
          </w:r>
        </w:p>
        <w:p w:rsidR="00156DD6" w:rsidRDefault="00D51F5F">
          <w:pPr>
            <w:spacing w:line="360" w:lineRule="exact"/>
            <w:rPr>
              <w:color w:val="000000" w:themeColor="text1"/>
            </w:rPr>
          </w:pPr>
          <w:r>
            <w:rPr>
              <w:rFonts w:hint="eastAsia"/>
              <w:color w:val="000000" w:themeColor="text1"/>
            </w:rPr>
            <w:t>说明</w:t>
          </w:r>
          <w:r>
            <w:rPr>
              <w:rFonts w:hint="eastAsia"/>
              <w:color w:val="000000" w:themeColor="text1"/>
            </w:rPr>
            <w:t>9</w:t>
          </w:r>
          <w:r>
            <w:rPr>
              <w:rFonts w:hint="eastAsia"/>
              <w:color w:val="000000" w:themeColor="text1"/>
            </w:rPr>
            <w:t>：长期应付款较期初增加</w:t>
          </w:r>
          <w:r>
            <w:rPr>
              <w:rFonts w:hint="eastAsia"/>
              <w:color w:val="000000" w:themeColor="text1"/>
            </w:rPr>
            <w:t>16,168.10</w:t>
          </w:r>
          <w:r>
            <w:rPr>
              <w:rFonts w:hint="eastAsia"/>
              <w:color w:val="000000" w:themeColor="text1"/>
            </w:rPr>
            <w:t>万元，主要系新增售后回租业务影响所致。</w:t>
          </w:r>
        </w:p>
      </w:sdtContent>
    </w:sdt>
    <w:bookmarkEnd w:id="57"/>
    <w:p w:rsidR="00156DD6" w:rsidRDefault="00D51F5F">
      <w:pPr>
        <w:pStyle w:val="Style47"/>
        <w:numPr>
          <w:ilvl w:val="0"/>
          <w:numId w:val="11"/>
        </w:numPr>
        <w:rPr>
          <w:rFonts w:ascii="宋体" w:hAnsi="宋体"/>
          <w:b w:val="0"/>
          <w:color w:val="000000" w:themeColor="text1"/>
          <w:sz w:val="21"/>
          <w:szCs w:val="21"/>
        </w:rPr>
      </w:pPr>
      <w:r>
        <w:rPr>
          <w:rFonts w:ascii="宋体" w:hAnsi="宋体"/>
          <w:color w:val="000000" w:themeColor="text1"/>
          <w:sz w:val="21"/>
          <w:szCs w:val="21"/>
        </w:rPr>
        <w:lastRenderedPageBreak/>
        <w:t>境外资产情况</w:t>
      </w:r>
    </w:p>
    <w:sdt>
      <w:sdtPr>
        <w:rPr>
          <w:color w:val="000000" w:themeColor="text1"/>
        </w:rPr>
        <w:alias w:val="是否适用：境外资产情况 [双击切换]"/>
        <w:tag w:val="_GBC_95d71e9a9dcd4966863ba2859a3bf0b7"/>
        <w:id w:val="-127031551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w:instrText>
          </w:r>
          <w:r>
            <w:rPr>
              <w:color w:val="000000" w:themeColor="text1"/>
            </w:rPr>
            <w:instrText>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47"/>
        <w:numPr>
          <w:ilvl w:val="0"/>
          <w:numId w:val="11"/>
        </w:numPr>
        <w:rPr>
          <w:rFonts w:ascii="宋体" w:hAnsi="宋体"/>
          <w:b w:val="0"/>
          <w:color w:val="000000" w:themeColor="text1"/>
          <w:sz w:val="21"/>
          <w:szCs w:val="21"/>
        </w:rPr>
      </w:pPr>
      <w:r>
        <w:rPr>
          <w:rFonts w:ascii="宋体" w:hAnsi="宋体"/>
          <w:color w:val="000000" w:themeColor="text1"/>
          <w:sz w:val="21"/>
          <w:szCs w:val="21"/>
        </w:rPr>
        <w:t>截至报告期末主要资产受限情况</w:t>
      </w:r>
    </w:p>
    <w:sdt>
      <w:sdtPr>
        <w:rPr>
          <w:rFonts w:hint="eastAsia"/>
          <w:color w:val="000000" w:themeColor="text1"/>
        </w:rPr>
        <w:alias w:val="是否适用：主要资产受限情况[双击切换]"/>
        <w:tag w:val="_GBC_e9f1a2b3f13345eaac848c40837fffbb"/>
        <w:id w:val="131761523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主要资产受限情况"/>
        <w:tag w:val="_GBC_a45de9537ca94b758cc1d9c201a60b53"/>
        <w:id w:val="1750229701"/>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七、合并财务报表项目注释</w:t>
          </w:r>
          <w:r>
            <w:rPr>
              <w:rFonts w:hint="eastAsia"/>
              <w:color w:val="000000" w:themeColor="text1"/>
            </w:rPr>
            <w:t>.31</w:t>
          </w:r>
          <w:r>
            <w:rPr>
              <w:rFonts w:hint="eastAsia"/>
              <w:color w:val="000000" w:themeColor="text1"/>
            </w:rPr>
            <w:t>、所有权或使用权受限资产”。</w:t>
          </w:r>
        </w:p>
      </w:sdtContent>
    </w:sdt>
    <w:p w:rsidR="00156DD6" w:rsidRDefault="00D51F5F">
      <w:pPr>
        <w:pStyle w:val="Style47"/>
        <w:numPr>
          <w:ilvl w:val="0"/>
          <w:numId w:val="11"/>
        </w:numPr>
        <w:rPr>
          <w:rFonts w:ascii="宋体" w:hAnsi="宋体"/>
          <w:b w:val="0"/>
          <w:color w:val="000000" w:themeColor="text1"/>
          <w:sz w:val="21"/>
          <w:szCs w:val="21"/>
        </w:rPr>
      </w:pPr>
      <w:r>
        <w:rPr>
          <w:rFonts w:ascii="宋体" w:hAnsi="宋体"/>
          <w:color w:val="000000" w:themeColor="text1"/>
          <w:sz w:val="21"/>
          <w:szCs w:val="21"/>
        </w:rPr>
        <w:t>其他说明</w:t>
      </w:r>
    </w:p>
    <w:sdt>
      <w:sdtPr>
        <w:rPr>
          <w:rFonts w:hint="eastAsia"/>
          <w:color w:val="000000" w:themeColor="text1"/>
        </w:rPr>
        <w:alias w:val="是否适用：资产及负债状况的其他说明[双击切换]"/>
        <w:tag w:val="_GBC_ba674147d80648fba521aedf33ce0b27"/>
        <w:id w:val="-198993901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pStyle w:val="TOC6"/>
        <w:numPr>
          <w:ilvl w:val="0"/>
          <w:numId w:val="9"/>
        </w:numPr>
        <w:rPr>
          <w:rFonts w:ascii="宋体" w:hAnsi="宋体"/>
          <w:color w:val="000000" w:themeColor="text1"/>
          <w:sz w:val="21"/>
          <w:szCs w:val="21"/>
        </w:rPr>
        <w:sectPr w:rsidR="00156DD6">
          <w:pgSz w:w="11906" w:h="16838"/>
          <w:pgMar w:top="1525" w:right="1276" w:bottom="1440" w:left="1797" w:header="851" w:footer="992" w:gutter="0"/>
          <w:cols w:space="425"/>
          <w:docGrid w:linePitch="312"/>
        </w:sectPr>
      </w:pPr>
      <w:bookmarkStart w:id="59" w:name="OLE_LINK100"/>
    </w:p>
    <w:p w:rsidR="00156DD6" w:rsidRDefault="00D51F5F">
      <w:pPr>
        <w:pStyle w:val="TOC6"/>
        <w:numPr>
          <w:ilvl w:val="0"/>
          <w:numId w:val="9"/>
        </w:numPr>
        <w:rPr>
          <w:rFonts w:ascii="宋体" w:hAnsi="宋体"/>
          <w:color w:val="000000" w:themeColor="text1"/>
          <w:sz w:val="21"/>
          <w:szCs w:val="21"/>
        </w:rPr>
      </w:pPr>
      <w:r>
        <w:rPr>
          <w:rFonts w:ascii="宋体" w:hAnsi="宋体" w:hint="eastAsia"/>
          <w:color w:val="000000" w:themeColor="text1"/>
          <w:sz w:val="21"/>
          <w:szCs w:val="21"/>
        </w:rPr>
        <w:lastRenderedPageBreak/>
        <w:t>投资状况分析</w:t>
      </w:r>
    </w:p>
    <w:bookmarkEnd w:id="59"/>
    <w:p w:rsidR="00156DD6" w:rsidRDefault="00D51F5F">
      <w:pPr>
        <w:pStyle w:val="Style47"/>
        <w:numPr>
          <w:ilvl w:val="0"/>
          <w:numId w:val="12"/>
        </w:numPr>
        <w:rPr>
          <w:rFonts w:ascii="宋体" w:hAnsi="宋体"/>
          <w:color w:val="000000" w:themeColor="text1"/>
          <w:sz w:val="21"/>
          <w:szCs w:val="21"/>
        </w:rPr>
      </w:pPr>
      <w:r>
        <w:rPr>
          <w:rFonts w:ascii="宋体" w:hAnsi="宋体"/>
          <w:color w:val="000000" w:themeColor="text1"/>
          <w:sz w:val="21"/>
          <w:szCs w:val="21"/>
        </w:rPr>
        <w:t>对外股权投资总体分析</w:t>
      </w:r>
    </w:p>
    <w:p w:rsidR="00156DD6" w:rsidRDefault="00D51F5F">
      <w:pPr>
        <w:rPr>
          <w:color w:val="000000" w:themeColor="text1"/>
        </w:rPr>
      </w:pPr>
      <w:sdt>
        <w:sdtPr>
          <w:rPr>
            <w:color w:val="000000" w:themeColor="text1"/>
          </w:rPr>
          <w:alias w:val="是否适用：对外股权投资总体分析[双击切换]"/>
          <w:tag w:val="_GBC_d1852fb41d2a420f9f1d78c35235341a"/>
          <w:id w:val="-521467503"/>
          <w:placeholder>
            <w:docPart w:val="GBC22222222222222222222222222222"/>
          </w:placeholder>
        </w:sdtPr>
        <w:sdtEndPr/>
        <w:sdtContent>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p>
    <w:p w:rsidR="00156DD6" w:rsidRDefault="00D51F5F">
      <w:pPr>
        <w:pStyle w:val="Style48"/>
        <w:numPr>
          <w:ilvl w:val="0"/>
          <w:numId w:val="13"/>
        </w:numPr>
        <w:tabs>
          <w:tab w:val="left" w:pos="360"/>
        </w:tabs>
        <w:ind w:left="0" w:firstLine="0"/>
        <w:rPr>
          <w:color w:val="000000" w:themeColor="text1"/>
          <w:sz w:val="21"/>
          <w:szCs w:val="21"/>
        </w:rPr>
      </w:pPr>
      <w:bookmarkStart w:id="60" w:name="_Hlk137045665"/>
      <w:r>
        <w:rPr>
          <w:rFonts w:hint="eastAsia"/>
          <w:color w:val="000000" w:themeColor="text1"/>
          <w:sz w:val="21"/>
          <w:szCs w:val="21"/>
        </w:rPr>
        <w:t>重大的股权投资</w:t>
      </w:r>
    </w:p>
    <w:sdt>
      <w:sdtPr>
        <w:rPr>
          <w:rFonts w:hint="eastAsia"/>
          <w:color w:val="000000" w:themeColor="text1"/>
        </w:rPr>
        <w:alias w:val="是否适用：重大的股权投资[双击切换]"/>
        <w:tag w:val="_GBC_9d4d997d9f994cccbb938afa207cfaf2"/>
        <w:id w:val="114061778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60"/>
    <w:p w:rsidR="00156DD6" w:rsidRDefault="00D51F5F">
      <w:pPr>
        <w:pStyle w:val="Style48"/>
        <w:numPr>
          <w:ilvl w:val="0"/>
          <w:numId w:val="13"/>
        </w:numPr>
        <w:tabs>
          <w:tab w:val="left" w:pos="360"/>
        </w:tabs>
        <w:ind w:left="0" w:firstLine="0"/>
        <w:rPr>
          <w:color w:val="000000" w:themeColor="text1"/>
          <w:sz w:val="21"/>
          <w:szCs w:val="21"/>
        </w:rPr>
      </w:pPr>
      <w:r>
        <w:rPr>
          <w:rFonts w:hint="eastAsia"/>
          <w:color w:val="000000" w:themeColor="text1"/>
          <w:sz w:val="21"/>
          <w:szCs w:val="21"/>
        </w:rPr>
        <w:t>重大的非股权投资</w:t>
      </w:r>
    </w:p>
    <w:sdt>
      <w:sdtPr>
        <w:rPr>
          <w:rFonts w:hint="eastAsia"/>
          <w:color w:val="000000" w:themeColor="text1"/>
        </w:rPr>
        <w:alias w:val="是否适用：重大的非股权投资[双击切换]"/>
        <w:tag w:val="_GBC_ea7fdcb7583549f38c0db41e73af0a8b"/>
        <w:id w:val="24862641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13"/>
        </w:numPr>
        <w:tabs>
          <w:tab w:val="left" w:pos="360"/>
        </w:tabs>
        <w:ind w:left="0" w:firstLine="0"/>
        <w:rPr>
          <w:color w:val="000000" w:themeColor="text1"/>
          <w:sz w:val="21"/>
          <w:szCs w:val="21"/>
        </w:rPr>
      </w:pPr>
      <w:bookmarkStart w:id="61" w:name="_Hlk40532846"/>
      <w:bookmarkStart w:id="62" w:name="_Hlk137045755"/>
      <w:r>
        <w:rPr>
          <w:rFonts w:hint="eastAsia"/>
          <w:color w:val="000000" w:themeColor="text1"/>
          <w:sz w:val="21"/>
          <w:szCs w:val="21"/>
        </w:rPr>
        <w:t>以公允价值计量的金融资产</w:t>
      </w:r>
    </w:p>
    <w:sdt>
      <w:sdtPr>
        <w:rPr>
          <w:rFonts w:hint="eastAsia"/>
          <w:color w:val="000000" w:themeColor="text1"/>
        </w:rPr>
        <w:alias w:val="是否适用：以公允价值计量的金融资产[双击切换]"/>
        <w:tag w:val="_GBC_541ff98e64424f46b08f9f3687c1ea7a"/>
        <w:id w:val="-65661454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127"/>
        <w:wordWrap w:val="0"/>
        <w:ind w:left="360" w:firstLineChars="0" w:firstLine="0"/>
        <w:jc w:val="right"/>
        <w:rPr>
          <w:color w:val="000000" w:themeColor="text1"/>
        </w:rPr>
      </w:pPr>
      <w:r>
        <w:rPr>
          <w:rFonts w:hint="eastAsia"/>
          <w:color w:val="000000" w:themeColor="text1"/>
        </w:rPr>
        <w:t>单位：</w:t>
      </w:r>
      <w:sdt>
        <w:sdtPr>
          <w:rPr>
            <w:rFonts w:hint="eastAsia"/>
            <w:color w:val="000000" w:themeColor="text1"/>
          </w:rPr>
          <w:alias w:val="单位：以公允价值计量的金融资产"/>
          <w:tag w:val="_GBC_1c2aaa623bd0423791ad9edf7fcfb564"/>
          <w:id w:val="-9829240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以公允价值计量的金融资产"/>
          <w:tag w:val="_GBC_7946a1d9804e4752a8d28bb04a1c1fe2"/>
          <w:id w:val="860558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40"/>
        <w:gridCol w:w="1540"/>
        <w:gridCol w:w="1541"/>
        <w:gridCol w:w="1540"/>
        <w:gridCol w:w="1541"/>
        <w:gridCol w:w="1540"/>
        <w:gridCol w:w="1541"/>
        <w:gridCol w:w="1541"/>
      </w:tblGrid>
      <w:tr w:rsidR="00156DD6">
        <w:bookmarkEnd w:id="61" w:displacedByCustomXml="next"/>
        <w:sdt>
          <w:sdtPr>
            <w:tag w:val="_PLD_b4279fe84ffd49f892f0e4236d8485e0"/>
            <w:id w:val="-2043048535"/>
          </w:sdtPr>
          <w:sdtEndPr/>
          <w:sdtContent>
            <w:tc>
              <w:tcPr>
                <w:tcW w:w="1539" w:type="dxa"/>
                <w:vAlign w:val="center"/>
              </w:tcPr>
              <w:p w:rsidR="00156DD6" w:rsidRDefault="00D51F5F">
                <w:pPr>
                  <w:jc w:val="center"/>
                  <w:rPr>
                    <w:color w:val="000000" w:themeColor="text1"/>
                  </w:rPr>
                </w:pPr>
                <w:r>
                  <w:rPr>
                    <w:rFonts w:cs="Times New Roman" w:hint="eastAsia"/>
                    <w:color w:val="000000" w:themeColor="text1"/>
                    <w:szCs w:val="22"/>
                  </w:rPr>
                  <w:t>资产类别</w:t>
                </w:r>
              </w:p>
            </w:tc>
          </w:sdtContent>
        </w:sdt>
        <w:sdt>
          <w:sdtPr>
            <w:tag w:val="_PLD_8c2e4dc1bb324e79bc03b22ad26f792e"/>
            <w:id w:val="-138336562"/>
          </w:sdtPr>
          <w:sdtEndPr/>
          <w:sdtContent>
            <w:tc>
              <w:tcPr>
                <w:tcW w:w="1540" w:type="dxa"/>
                <w:vAlign w:val="center"/>
              </w:tcPr>
              <w:p w:rsidR="00156DD6" w:rsidRDefault="00D51F5F">
                <w:pPr>
                  <w:jc w:val="center"/>
                  <w:rPr>
                    <w:color w:val="000000" w:themeColor="text1"/>
                  </w:rPr>
                </w:pPr>
                <w:r>
                  <w:rPr>
                    <w:rFonts w:hint="eastAsia"/>
                    <w:color w:val="000000" w:themeColor="text1"/>
                  </w:rPr>
                  <w:t>期初数</w:t>
                </w:r>
              </w:p>
            </w:tc>
          </w:sdtContent>
        </w:sdt>
        <w:sdt>
          <w:sdtPr>
            <w:tag w:val="_PLD_7f931a153d8147eda6f368a9567bc298"/>
            <w:id w:val="120422948"/>
          </w:sdtPr>
          <w:sdtEndPr/>
          <w:sdtContent>
            <w:tc>
              <w:tcPr>
                <w:tcW w:w="1540" w:type="dxa"/>
                <w:vAlign w:val="center"/>
              </w:tcPr>
              <w:p w:rsidR="00156DD6" w:rsidRDefault="00D51F5F">
                <w:pPr>
                  <w:jc w:val="center"/>
                  <w:rPr>
                    <w:b/>
                    <w:color w:val="000000" w:themeColor="text1"/>
                  </w:rPr>
                </w:pPr>
                <w:r>
                  <w:rPr>
                    <w:rFonts w:hint="eastAsia"/>
                    <w:color w:val="000000" w:themeColor="text1"/>
                  </w:rPr>
                  <w:t>本期公允价值变动损益</w:t>
                </w:r>
              </w:p>
            </w:tc>
          </w:sdtContent>
        </w:sdt>
        <w:sdt>
          <w:sdtPr>
            <w:tag w:val="_PLD_27da79c178c64f67a920ab85f142ffda"/>
            <w:id w:val="-367058105"/>
          </w:sdtPr>
          <w:sdtEndPr/>
          <w:sdtContent>
            <w:tc>
              <w:tcPr>
                <w:tcW w:w="1541" w:type="dxa"/>
                <w:vAlign w:val="center"/>
              </w:tcPr>
              <w:p w:rsidR="00156DD6" w:rsidRDefault="00D51F5F">
                <w:pPr>
                  <w:jc w:val="center"/>
                  <w:rPr>
                    <w:color w:val="000000" w:themeColor="text1"/>
                  </w:rPr>
                </w:pPr>
                <w:r>
                  <w:rPr>
                    <w:rFonts w:hint="eastAsia"/>
                    <w:color w:val="000000" w:themeColor="text1"/>
                  </w:rPr>
                  <w:t>计入权益的累计公允价值变动</w:t>
                </w:r>
              </w:p>
            </w:tc>
          </w:sdtContent>
        </w:sdt>
        <w:sdt>
          <w:sdtPr>
            <w:tag w:val="_PLD_0fad7d8c41374a0d890f4c32253b8649"/>
            <w:id w:val="-1208032738"/>
          </w:sdtPr>
          <w:sdtEndPr/>
          <w:sdtContent>
            <w:tc>
              <w:tcPr>
                <w:tcW w:w="1540" w:type="dxa"/>
                <w:vAlign w:val="center"/>
              </w:tcPr>
              <w:p w:rsidR="00156DD6" w:rsidRDefault="00D51F5F">
                <w:pPr>
                  <w:jc w:val="center"/>
                  <w:rPr>
                    <w:color w:val="000000" w:themeColor="text1"/>
                  </w:rPr>
                </w:pPr>
                <w:r>
                  <w:rPr>
                    <w:rFonts w:hint="eastAsia"/>
                    <w:color w:val="000000" w:themeColor="text1"/>
                  </w:rPr>
                  <w:t>本期计提的减值</w:t>
                </w:r>
              </w:p>
            </w:tc>
          </w:sdtContent>
        </w:sdt>
        <w:sdt>
          <w:sdtPr>
            <w:tag w:val="_PLD_8ff680d02d9d41dca633590f5d9750a8"/>
            <w:id w:val="-7688817"/>
          </w:sdtPr>
          <w:sdtEndPr/>
          <w:sdtContent>
            <w:tc>
              <w:tcPr>
                <w:tcW w:w="1541" w:type="dxa"/>
                <w:vAlign w:val="center"/>
              </w:tcPr>
              <w:p w:rsidR="00156DD6" w:rsidRDefault="00D51F5F">
                <w:pPr>
                  <w:jc w:val="center"/>
                  <w:rPr>
                    <w:color w:val="000000" w:themeColor="text1"/>
                  </w:rPr>
                </w:pPr>
                <w:r>
                  <w:rPr>
                    <w:rFonts w:hint="eastAsia"/>
                    <w:color w:val="000000" w:themeColor="text1"/>
                  </w:rPr>
                  <w:t>本期购买金额</w:t>
                </w:r>
              </w:p>
            </w:tc>
          </w:sdtContent>
        </w:sdt>
        <w:sdt>
          <w:sdtPr>
            <w:tag w:val="_PLD_e83492f8af03443b91d02a1661f56291"/>
            <w:id w:val="-1692224070"/>
          </w:sdtPr>
          <w:sdtEndPr/>
          <w:sdtContent>
            <w:tc>
              <w:tcPr>
                <w:tcW w:w="1540" w:type="dxa"/>
                <w:vAlign w:val="center"/>
              </w:tcPr>
              <w:p w:rsidR="00156DD6" w:rsidRDefault="00D51F5F">
                <w:pPr>
                  <w:jc w:val="center"/>
                  <w:rPr>
                    <w:color w:val="000000" w:themeColor="text1"/>
                  </w:rPr>
                </w:pPr>
                <w:r>
                  <w:rPr>
                    <w:rFonts w:hint="eastAsia"/>
                    <w:color w:val="000000" w:themeColor="text1"/>
                  </w:rPr>
                  <w:t>本期出售</w:t>
                </w:r>
                <w:r>
                  <w:rPr>
                    <w:rFonts w:hint="eastAsia"/>
                    <w:color w:val="000000" w:themeColor="text1"/>
                  </w:rPr>
                  <w:t>/</w:t>
                </w:r>
                <w:r>
                  <w:rPr>
                    <w:rFonts w:hint="eastAsia"/>
                    <w:color w:val="000000" w:themeColor="text1"/>
                  </w:rPr>
                  <w:t>赎回金额</w:t>
                </w:r>
              </w:p>
            </w:tc>
          </w:sdtContent>
        </w:sdt>
        <w:sdt>
          <w:sdtPr>
            <w:tag w:val="_PLD_7aaffff291e240b5adc74b8ad3728c6e"/>
            <w:id w:val="-214814890"/>
          </w:sdtPr>
          <w:sdtEndPr/>
          <w:sdtContent>
            <w:tc>
              <w:tcPr>
                <w:tcW w:w="1541" w:type="dxa"/>
                <w:vAlign w:val="center"/>
              </w:tcPr>
              <w:p w:rsidR="00156DD6" w:rsidRDefault="00D51F5F">
                <w:pPr>
                  <w:jc w:val="center"/>
                  <w:rPr>
                    <w:color w:val="000000" w:themeColor="text1"/>
                  </w:rPr>
                </w:pPr>
                <w:r>
                  <w:rPr>
                    <w:rFonts w:hint="eastAsia"/>
                    <w:color w:val="000000" w:themeColor="text1"/>
                  </w:rPr>
                  <w:t>其他变动</w:t>
                </w:r>
              </w:p>
            </w:tc>
          </w:sdtContent>
        </w:sdt>
        <w:sdt>
          <w:sdtPr>
            <w:tag w:val="_PLD_d765878830274571b732d6e366f7811e"/>
            <w:id w:val="1172069925"/>
          </w:sdtPr>
          <w:sdtEndPr/>
          <w:sdtContent>
            <w:tc>
              <w:tcPr>
                <w:tcW w:w="1541" w:type="dxa"/>
                <w:vAlign w:val="center"/>
              </w:tcPr>
              <w:p w:rsidR="00156DD6" w:rsidRDefault="00D51F5F">
                <w:pPr>
                  <w:jc w:val="center"/>
                  <w:rPr>
                    <w:color w:val="000000" w:themeColor="text1"/>
                  </w:rPr>
                </w:pPr>
                <w:r>
                  <w:rPr>
                    <w:rFonts w:hint="eastAsia"/>
                    <w:color w:val="000000" w:themeColor="text1"/>
                  </w:rPr>
                  <w:t>期末数</w:t>
                </w:r>
              </w:p>
            </w:tc>
          </w:sdtContent>
        </w:sdt>
      </w:tr>
      <w:tr w:rsidR="00156DD6">
        <w:sdt>
          <w:sdtPr>
            <w:alias w:val="以公允价值计量的金融资产情况明细_资产类别"/>
            <w:tag w:val="_GBC_c997e562cc4b41daad4593e89dd8a6f5"/>
            <w:id w:val="-8684223"/>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1539" w:type="dxa"/>
              </w:tcPr>
              <w:p w:rsidR="00156DD6" w:rsidRDefault="00D51F5F">
                <w:pPr>
                  <w:jc w:val="both"/>
                </w:pPr>
                <w:r>
                  <w:t>其他权益工具投资</w:t>
                </w:r>
              </w:p>
            </w:tc>
          </w:sdtContent>
        </w:sdt>
        <w:tc>
          <w:tcPr>
            <w:tcW w:w="1540" w:type="dxa"/>
            <w:vAlign w:val="center"/>
          </w:tcPr>
          <w:p w:rsidR="00156DD6" w:rsidRDefault="00D51F5F">
            <w:pPr>
              <w:jc w:val="right"/>
            </w:pPr>
            <w:r>
              <w:t>1,620.77</w:t>
            </w:r>
          </w:p>
        </w:tc>
        <w:tc>
          <w:tcPr>
            <w:tcW w:w="1540" w:type="dxa"/>
          </w:tcPr>
          <w:p w:rsidR="00156DD6" w:rsidRDefault="00156DD6">
            <w:pPr>
              <w:jc w:val="right"/>
            </w:pPr>
          </w:p>
        </w:tc>
        <w:tc>
          <w:tcPr>
            <w:tcW w:w="1541" w:type="dxa"/>
            <w:vAlign w:val="center"/>
          </w:tcPr>
          <w:p w:rsidR="00156DD6" w:rsidRDefault="00D51F5F">
            <w:pPr>
              <w:jc w:val="right"/>
            </w:pPr>
            <w:r>
              <w:t>47.98</w:t>
            </w:r>
          </w:p>
        </w:tc>
        <w:tc>
          <w:tcPr>
            <w:tcW w:w="1540" w:type="dxa"/>
          </w:tcPr>
          <w:p w:rsidR="00156DD6" w:rsidRDefault="00156DD6">
            <w:pPr>
              <w:jc w:val="right"/>
            </w:pPr>
          </w:p>
        </w:tc>
        <w:tc>
          <w:tcPr>
            <w:tcW w:w="1541" w:type="dxa"/>
          </w:tcPr>
          <w:p w:rsidR="00156DD6" w:rsidRDefault="00156DD6">
            <w:pPr>
              <w:jc w:val="right"/>
            </w:pPr>
          </w:p>
        </w:tc>
        <w:tc>
          <w:tcPr>
            <w:tcW w:w="1540" w:type="dxa"/>
          </w:tcPr>
          <w:p w:rsidR="00156DD6" w:rsidRDefault="00156DD6">
            <w:pPr>
              <w:jc w:val="right"/>
            </w:pPr>
          </w:p>
        </w:tc>
        <w:tc>
          <w:tcPr>
            <w:tcW w:w="1541" w:type="dxa"/>
          </w:tcPr>
          <w:p w:rsidR="00156DD6" w:rsidRDefault="00156DD6">
            <w:pPr>
              <w:jc w:val="right"/>
            </w:pPr>
          </w:p>
        </w:tc>
        <w:tc>
          <w:tcPr>
            <w:tcW w:w="1541" w:type="dxa"/>
            <w:vAlign w:val="center"/>
          </w:tcPr>
          <w:p w:rsidR="00156DD6" w:rsidRDefault="00D51F5F">
            <w:pPr>
              <w:jc w:val="right"/>
            </w:pPr>
            <w:r>
              <w:t xml:space="preserve"> 1,668.74 </w:t>
            </w:r>
          </w:p>
        </w:tc>
      </w:tr>
      <w:tr w:rsidR="00156DD6">
        <w:tc>
          <w:tcPr>
            <w:tcW w:w="1539" w:type="dxa"/>
          </w:tcPr>
          <w:p w:rsidR="00156DD6" w:rsidRDefault="00D51F5F">
            <w:pPr>
              <w:jc w:val="both"/>
            </w:pPr>
            <w:r>
              <w:rPr>
                <w:rFonts w:hint="eastAsia"/>
              </w:rPr>
              <w:t>交易性金融资产</w:t>
            </w:r>
          </w:p>
        </w:tc>
        <w:tc>
          <w:tcPr>
            <w:tcW w:w="1540" w:type="dxa"/>
            <w:vAlign w:val="center"/>
          </w:tcPr>
          <w:p w:rsidR="00156DD6" w:rsidRDefault="00D51F5F">
            <w:pPr>
              <w:jc w:val="right"/>
            </w:pPr>
            <w:r>
              <w:t>2,505.88</w:t>
            </w:r>
          </w:p>
        </w:tc>
        <w:tc>
          <w:tcPr>
            <w:tcW w:w="1540" w:type="dxa"/>
          </w:tcPr>
          <w:p w:rsidR="00156DD6" w:rsidRDefault="00156DD6">
            <w:pPr>
              <w:jc w:val="right"/>
            </w:pPr>
          </w:p>
        </w:tc>
        <w:tc>
          <w:tcPr>
            <w:tcW w:w="1541" w:type="dxa"/>
            <w:vAlign w:val="center"/>
          </w:tcPr>
          <w:p w:rsidR="00156DD6" w:rsidRDefault="00156DD6">
            <w:pPr>
              <w:jc w:val="right"/>
            </w:pPr>
          </w:p>
        </w:tc>
        <w:tc>
          <w:tcPr>
            <w:tcW w:w="1540" w:type="dxa"/>
          </w:tcPr>
          <w:p w:rsidR="00156DD6" w:rsidRDefault="00156DD6">
            <w:pPr>
              <w:jc w:val="right"/>
            </w:pPr>
          </w:p>
        </w:tc>
        <w:tc>
          <w:tcPr>
            <w:tcW w:w="1541" w:type="dxa"/>
          </w:tcPr>
          <w:p w:rsidR="00156DD6" w:rsidRDefault="00156DD6">
            <w:pPr>
              <w:jc w:val="right"/>
            </w:pPr>
          </w:p>
        </w:tc>
        <w:tc>
          <w:tcPr>
            <w:tcW w:w="1540" w:type="dxa"/>
            <w:vAlign w:val="center"/>
          </w:tcPr>
          <w:p w:rsidR="00156DD6" w:rsidRDefault="00D51F5F">
            <w:pPr>
              <w:jc w:val="right"/>
            </w:pPr>
            <w:r>
              <w:t>2,505.88</w:t>
            </w:r>
          </w:p>
        </w:tc>
        <w:tc>
          <w:tcPr>
            <w:tcW w:w="1541" w:type="dxa"/>
          </w:tcPr>
          <w:p w:rsidR="00156DD6" w:rsidRDefault="00156DD6">
            <w:pPr>
              <w:jc w:val="right"/>
            </w:pPr>
          </w:p>
        </w:tc>
        <w:tc>
          <w:tcPr>
            <w:tcW w:w="1541" w:type="dxa"/>
            <w:vAlign w:val="center"/>
          </w:tcPr>
          <w:p w:rsidR="00156DD6" w:rsidRDefault="00D51F5F">
            <w:pPr>
              <w:jc w:val="right"/>
            </w:pPr>
            <w:r>
              <w:t xml:space="preserve">   </w:t>
            </w:r>
          </w:p>
        </w:tc>
      </w:tr>
      <w:tr w:rsidR="00156DD6">
        <w:tc>
          <w:tcPr>
            <w:tcW w:w="1539" w:type="dxa"/>
          </w:tcPr>
          <w:p w:rsidR="00156DD6" w:rsidRDefault="00D51F5F">
            <w:pPr>
              <w:jc w:val="both"/>
            </w:pPr>
            <w:r>
              <w:t>应收款项融资</w:t>
            </w:r>
          </w:p>
        </w:tc>
        <w:tc>
          <w:tcPr>
            <w:tcW w:w="1540" w:type="dxa"/>
            <w:vAlign w:val="center"/>
          </w:tcPr>
          <w:p w:rsidR="00156DD6" w:rsidRDefault="00D51F5F">
            <w:pPr>
              <w:jc w:val="right"/>
            </w:pPr>
            <w:r>
              <w:t>1,499.52</w:t>
            </w:r>
          </w:p>
        </w:tc>
        <w:tc>
          <w:tcPr>
            <w:tcW w:w="1540" w:type="dxa"/>
          </w:tcPr>
          <w:p w:rsidR="00156DD6" w:rsidRDefault="00156DD6">
            <w:pPr>
              <w:jc w:val="right"/>
            </w:pPr>
          </w:p>
        </w:tc>
        <w:tc>
          <w:tcPr>
            <w:tcW w:w="1541" w:type="dxa"/>
            <w:vAlign w:val="center"/>
          </w:tcPr>
          <w:p w:rsidR="00156DD6" w:rsidRDefault="00156DD6">
            <w:pPr>
              <w:jc w:val="right"/>
            </w:pPr>
          </w:p>
        </w:tc>
        <w:tc>
          <w:tcPr>
            <w:tcW w:w="1540" w:type="dxa"/>
          </w:tcPr>
          <w:p w:rsidR="00156DD6" w:rsidRDefault="00156DD6">
            <w:pPr>
              <w:jc w:val="right"/>
            </w:pPr>
          </w:p>
        </w:tc>
        <w:tc>
          <w:tcPr>
            <w:tcW w:w="1541" w:type="dxa"/>
          </w:tcPr>
          <w:p w:rsidR="00156DD6" w:rsidRDefault="00156DD6">
            <w:pPr>
              <w:jc w:val="right"/>
            </w:pPr>
          </w:p>
        </w:tc>
        <w:tc>
          <w:tcPr>
            <w:tcW w:w="1540" w:type="dxa"/>
            <w:vAlign w:val="center"/>
          </w:tcPr>
          <w:p w:rsidR="00156DD6" w:rsidRDefault="00156DD6">
            <w:pPr>
              <w:jc w:val="right"/>
            </w:pPr>
          </w:p>
        </w:tc>
        <w:tc>
          <w:tcPr>
            <w:tcW w:w="1541" w:type="dxa"/>
          </w:tcPr>
          <w:p w:rsidR="00156DD6" w:rsidRDefault="00D51F5F">
            <w:pPr>
              <w:jc w:val="right"/>
            </w:pPr>
            <w:r>
              <w:t xml:space="preserve"> 1,918.86 </w:t>
            </w:r>
          </w:p>
        </w:tc>
        <w:tc>
          <w:tcPr>
            <w:tcW w:w="1541" w:type="dxa"/>
            <w:vAlign w:val="center"/>
          </w:tcPr>
          <w:p w:rsidR="00156DD6" w:rsidRDefault="00D51F5F">
            <w:pPr>
              <w:jc w:val="right"/>
            </w:pPr>
            <w:r>
              <w:t xml:space="preserve"> 3,418.38 </w:t>
            </w:r>
          </w:p>
        </w:tc>
      </w:tr>
      <w:tr w:rsidR="00156DD6">
        <w:tc>
          <w:tcPr>
            <w:tcW w:w="1539" w:type="dxa"/>
          </w:tcPr>
          <w:p w:rsidR="00156DD6" w:rsidRDefault="00D51F5F">
            <w:pPr>
              <w:jc w:val="center"/>
              <w:rPr>
                <w:color w:val="000000" w:themeColor="text1"/>
              </w:rPr>
            </w:pPr>
            <w:r>
              <w:rPr>
                <w:color w:val="000000" w:themeColor="text1"/>
              </w:rPr>
              <w:t>合计</w:t>
            </w:r>
          </w:p>
        </w:tc>
        <w:tc>
          <w:tcPr>
            <w:tcW w:w="1540" w:type="dxa"/>
            <w:vAlign w:val="center"/>
          </w:tcPr>
          <w:p w:rsidR="00156DD6" w:rsidRDefault="00D51F5F">
            <w:pPr>
              <w:jc w:val="right"/>
            </w:pPr>
            <w:r>
              <w:t>5,626.17</w:t>
            </w:r>
          </w:p>
        </w:tc>
        <w:tc>
          <w:tcPr>
            <w:tcW w:w="1540" w:type="dxa"/>
          </w:tcPr>
          <w:p w:rsidR="00156DD6" w:rsidRDefault="00156DD6">
            <w:pPr>
              <w:jc w:val="right"/>
            </w:pPr>
          </w:p>
        </w:tc>
        <w:tc>
          <w:tcPr>
            <w:tcW w:w="1541" w:type="dxa"/>
            <w:vAlign w:val="center"/>
          </w:tcPr>
          <w:p w:rsidR="00156DD6" w:rsidRDefault="00D51F5F">
            <w:pPr>
              <w:jc w:val="right"/>
            </w:pPr>
            <w:r>
              <w:t>47.98</w:t>
            </w:r>
          </w:p>
        </w:tc>
        <w:tc>
          <w:tcPr>
            <w:tcW w:w="1540" w:type="dxa"/>
          </w:tcPr>
          <w:p w:rsidR="00156DD6" w:rsidRDefault="00156DD6">
            <w:pPr>
              <w:jc w:val="right"/>
            </w:pPr>
          </w:p>
        </w:tc>
        <w:tc>
          <w:tcPr>
            <w:tcW w:w="1541" w:type="dxa"/>
          </w:tcPr>
          <w:p w:rsidR="00156DD6" w:rsidRDefault="00156DD6">
            <w:pPr>
              <w:jc w:val="right"/>
            </w:pPr>
          </w:p>
        </w:tc>
        <w:tc>
          <w:tcPr>
            <w:tcW w:w="1540" w:type="dxa"/>
            <w:vAlign w:val="center"/>
          </w:tcPr>
          <w:p w:rsidR="00156DD6" w:rsidRDefault="00D51F5F">
            <w:pPr>
              <w:jc w:val="right"/>
            </w:pPr>
            <w:r>
              <w:t>2,505.88</w:t>
            </w:r>
          </w:p>
        </w:tc>
        <w:tc>
          <w:tcPr>
            <w:tcW w:w="1541" w:type="dxa"/>
          </w:tcPr>
          <w:p w:rsidR="00156DD6" w:rsidRDefault="00D51F5F">
            <w:pPr>
              <w:jc w:val="right"/>
            </w:pPr>
            <w:r>
              <w:t xml:space="preserve"> 1,918.86 </w:t>
            </w:r>
          </w:p>
        </w:tc>
        <w:tc>
          <w:tcPr>
            <w:tcW w:w="1541" w:type="dxa"/>
            <w:vAlign w:val="center"/>
          </w:tcPr>
          <w:p w:rsidR="00156DD6" w:rsidRDefault="00D51F5F">
            <w:pPr>
              <w:jc w:val="right"/>
            </w:pPr>
            <w:r>
              <w:t xml:space="preserve"> 5,087.13 </w:t>
            </w:r>
          </w:p>
        </w:tc>
      </w:tr>
    </w:tbl>
    <w:p w:rsidR="00156DD6" w:rsidRDefault="00D51F5F">
      <w:pPr>
        <w:rPr>
          <w:color w:val="000000" w:themeColor="text1"/>
        </w:rPr>
      </w:pPr>
      <w:r>
        <w:rPr>
          <w:rFonts w:hint="eastAsia"/>
          <w:color w:val="000000" w:themeColor="text1"/>
        </w:rPr>
        <w:t>证券投资情况</w:t>
      </w:r>
    </w:p>
    <w:sdt>
      <w:sdtPr>
        <w:rPr>
          <w:color w:val="000000" w:themeColor="text1"/>
        </w:rPr>
        <w:alias w:val="是否适用：证券投资情况[双击切换]"/>
        <w:tag w:val="_GBC_5a8828b10b2a437a9b496037ef93ad06"/>
        <w:id w:val="-182512053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127"/>
        <w:wordWrap w:val="0"/>
        <w:ind w:left="360" w:firstLineChars="0" w:firstLine="0"/>
        <w:jc w:val="right"/>
        <w:rPr>
          <w:color w:val="000000" w:themeColor="text1"/>
        </w:rPr>
      </w:pPr>
      <w:r>
        <w:rPr>
          <w:rFonts w:hint="eastAsia"/>
          <w:color w:val="000000" w:themeColor="text1"/>
        </w:rPr>
        <w:t>单位：</w:t>
      </w:r>
      <w:sdt>
        <w:sdtPr>
          <w:rPr>
            <w:rFonts w:hint="eastAsia"/>
            <w:color w:val="000000" w:themeColor="text1"/>
          </w:rPr>
          <w:alias w:val="单位：证券投资情况"/>
          <w:tag w:val="_GBC_5a75af14e433444597923ebce50689a8"/>
          <w:id w:val="-3383917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证券投资情况"/>
          <w:tag w:val="_GBC_47440d8bf014467ab6dfe74bc9d19131"/>
          <w:id w:val="19732440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8"/>
        <w:gridCol w:w="1068"/>
        <w:gridCol w:w="1068"/>
        <w:gridCol w:w="1067"/>
        <w:gridCol w:w="1067"/>
        <w:gridCol w:w="1065"/>
        <w:gridCol w:w="1067"/>
        <w:gridCol w:w="1067"/>
        <w:gridCol w:w="1067"/>
        <w:gridCol w:w="1067"/>
        <w:gridCol w:w="1067"/>
        <w:gridCol w:w="1059"/>
      </w:tblGrid>
      <w:tr w:rsidR="00156DD6">
        <w:bookmarkStart w:id="63" w:name="_Hlk40533881" w:displacedByCustomXml="next"/>
        <w:sdt>
          <w:sdtPr>
            <w:tag w:val="_PLD_1a6385f8cdab43e88408479fba4d9229"/>
            <w:id w:val="914744561"/>
          </w:sdtPr>
          <w:sdtEndPr/>
          <w:sdtContent>
            <w:tc>
              <w:tcPr>
                <w:tcW w:w="384" w:type="pct"/>
                <w:vAlign w:val="center"/>
              </w:tcPr>
              <w:p w:rsidR="00156DD6" w:rsidRDefault="00D51F5F">
                <w:pPr>
                  <w:widowControl w:val="0"/>
                  <w:jc w:val="center"/>
                  <w:rPr>
                    <w:color w:val="000000" w:themeColor="text1"/>
                  </w:rPr>
                </w:pPr>
                <w:r>
                  <w:rPr>
                    <w:rFonts w:hint="eastAsia"/>
                    <w:color w:val="000000" w:themeColor="text1"/>
                  </w:rPr>
                  <w:t>证券品种</w:t>
                </w:r>
              </w:p>
            </w:tc>
          </w:sdtContent>
        </w:sdt>
        <w:sdt>
          <w:sdtPr>
            <w:tag w:val="_PLD_f57d06c7b56240de84f37921f1d5f0a5"/>
            <w:id w:val="1678298325"/>
          </w:sdtPr>
          <w:sdtEndPr/>
          <w:sdtContent>
            <w:tc>
              <w:tcPr>
                <w:tcW w:w="385" w:type="pct"/>
                <w:vAlign w:val="center"/>
              </w:tcPr>
              <w:p w:rsidR="00156DD6" w:rsidRDefault="00D51F5F">
                <w:pPr>
                  <w:widowControl w:val="0"/>
                  <w:jc w:val="center"/>
                  <w:rPr>
                    <w:color w:val="000000" w:themeColor="text1"/>
                  </w:rPr>
                </w:pPr>
                <w:r>
                  <w:rPr>
                    <w:rFonts w:hint="eastAsia"/>
                    <w:color w:val="000000" w:themeColor="text1"/>
                  </w:rPr>
                  <w:t>证券代码</w:t>
                </w:r>
              </w:p>
            </w:tc>
          </w:sdtContent>
        </w:sdt>
        <w:sdt>
          <w:sdtPr>
            <w:tag w:val="_PLD_c8973b349e6844f6b68aa45d2db197c6"/>
            <w:id w:val="1871173134"/>
          </w:sdtPr>
          <w:sdtEndPr/>
          <w:sdtContent>
            <w:tc>
              <w:tcPr>
                <w:tcW w:w="385" w:type="pct"/>
                <w:vAlign w:val="center"/>
              </w:tcPr>
              <w:p w:rsidR="00156DD6" w:rsidRDefault="00D51F5F">
                <w:pPr>
                  <w:widowControl w:val="0"/>
                  <w:tabs>
                    <w:tab w:val="left" w:pos="60"/>
                  </w:tabs>
                  <w:jc w:val="center"/>
                  <w:rPr>
                    <w:color w:val="000000" w:themeColor="text1"/>
                  </w:rPr>
                </w:pPr>
                <w:r>
                  <w:rPr>
                    <w:rFonts w:hint="eastAsia"/>
                    <w:color w:val="000000" w:themeColor="text1"/>
                  </w:rPr>
                  <w:t>证券简称</w:t>
                </w:r>
              </w:p>
            </w:tc>
          </w:sdtContent>
        </w:sdt>
        <w:sdt>
          <w:sdtPr>
            <w:tag w:val="_PLD_347e7e935c4840d199d2a43abb9a0277"/>
            <w:id w:val="1326785713"/>
          </w:sdtPr>
          <w:sdtEndPr/>
          <w:sdtContent>
            <w:tc>
              <w:tcPr>
                <w:tcW w:w="385" w:type="pct"/>
                <w:vAlign w:val="center"/>
              </w:tcPr>
              <w:p w:rsidR="00156DD6" w:rsidRDefault="00D51F5F">
                <w:pPr>
                  <w:widowControl w:val="0"/>
                  <w:jc w:val="center"/>
                  <w:rPr>
                    <w:color w:val="000000" w:themeColor="text1"/>
                  </w:rPr>
                </w:pPr>
                <w:r>
                  <w:rPr>
                    <w:rFonts w:hint="eastAsia"/>
                    <w:color w:val="000000" w:themeColor="text1"/>
                  </w:rPr>
                  <w:t>最初投资成本</w:t>
                </w:r>
              </w:p>
            </w:tc>
          </w:sdtContent>
        </w:sdt>
        <w:sdt>
          <w:sdtPr>
            <w:tag w:val="_PLD_eaf04e6e781c40e2a2c9841ec22e9a3c"/>
            <w:id w:val="-364911825"/>
          </w:sdtPr>
          <w:sdtEndPr/>
          <w:sdtContent>
            <w:tc>
              <w:tcPr>
                <w:tcW w:w="385" w:type="pct"/>
                <w:vAlign w:val="center"/>
              </w:tcPr>
              <w:p w:rsidR="00156DD6" w:rsidRDefault="00D51F5F">
                <w:pPr>
                  <w:widowControl w:val="0"/>
                  <w:jc w:val="center"/>
                  <w:rPr>
                    <w:color w:val="000000" w:themeColor="text1"/>
                  </w:rPr>
                </w:pPr>
                <w:r>
                  <w:rPr>
                    <w:rFonts w:hint="eastAsia"/>
                    <w:color w:val="000000" w:themeColor="text1"/>
                  </w:rPr>
                  <w:t>资金来源</w:t>
                </w:r>
              </w:p>
            </w:tc>
          </w:sdtContent>
        </w:sdt>
        <w:sdt>
          <w:sdtPr>
            <w:tag w:val="_PLD_9216cb595859499fb9e2aa94797691b7"/>
            <w:id w:val="-128785626"/>
          </w:sdtPr>
          <w:sdtEndPr/>
          <w:sdtContent>
            <w:tc>
              <w:tcPr>
                <w:tcW w:w="385" w:type="pct"/>
                <w:vAlign w:val="center"/>
              </w:tcPr>
              <w:p w:rsidR="00156DD6" w:rsidRDefault="00D51F5F">
                <w:pPr>
                  <w:widowControl w:val="0"/>
                  <w:jc w:val="center"/>
                  <w:rPr>
                    <w:color w:val="000000" w:themeColor="text1"/>
                  </w:rPr>
                </w:pPr>
                <w:r>
                  <w:rPr>
                    <w:rFonts w:hint="eastAsia"/>
                    <w:color w:val="000000" w:themeColor="text1"/>
                  </w:rPr>
                  <w:t>期初账面价值</w:t>
                </w:r>
              </w:p>
            </w:tc>
          </w:sdtContent>
        </w:sdt>
        <w:sdt>
          <w:sdtPr>
            <w:tag w:val="_PLD_70bd034e9b744b00b4ed7fdd4f0a93f4"/>
            <w:id w:val="-1562792544"/>
          </w:sdtPr>
          <w:sdtEndPr/>
          <w:sdtContent>
            <w:tc>
              <w:tcPr>
                <w:tcW w:w="384" w:type="pct"/>
                <w:vAlign w:val="center"/>
              </w:tcPr>
              <w:p w:rsidR="00156DD6" w:rsidRDefault="00D51F5F">
                <w:pPr>
                  <w:widowControl w:val="0"/>
                  <w:jc w:val="center"/>
                  <w:rPr>
                    <w:color w:val="000000" w:themeColor="text1"/>
                  </w:rPr>
                </w:pPr>
                <w:r>
                  <w:rPr>
                    <w:rFonts w:hint="eastAsia"/>
                    <w:color w:val="000000" w:themeColor="text1"/>
                  </w:rPr>
                  <w:t>本期公允价值变动损益</w:t>
                </w:r>
              </w:p>
            </w:tc>
          </w:sdtContent>
        </w:sdt>
        <w:sdt>
          <w:sdtPr>
            <w:tag w:val="_PLD_30b4adc6a16b4f11aeb1b5a776f3974a"/>
            <w:id w:val="1042171814"/>
          </w:sdtPr>
          <w:sdtEndPr/>
          <w:sdtContent>
            <w:tc>
              <w:tcPr>
                <w:tcW w:w="385" w:type="pct"/>
                <w:vAlign w:val="center"/>
              </w:tcPr>
              <w:p w:rsidR="00156DD6" w:rsidRDefault="00D51F5F">
                <w:pPr>
                  <w:widowControl w:val="0"/>
                  <w:jc w:val="center"/>
                  <w:rPr>
                    <w:color w:val="000000" w:themeColor="text1"/>
                  </w:rPr>
                </w:pPr>
                <w:r>
                  <w:rPr>
                    <w:rFonts w:hint="eastAsia"/>
                    <w:color w:val="000000" w:themeColor="text1"/>
                  </w:rPr>
                  <w:t>计入权益的累计公允价值变动</w:t>
                </w:r>
              </w:p>
            </w:tc>
          </w:sdtContent>
        </w:sdt>
        <w:sdt>
          <w:sdtPr>
            <w:tag w:val="_PLD_3a4ce8b113e6440e88c4092cbb39ae07"/>
            <w:id w:val="-236553145"/>
          </w:sdtPr>
          <w:sdtEndPr/>
          <w:sdtContent>
            <w:tc>
              <w:tcPr>
                <w:tcW w:w="385" w:type="pct"/>
                <w:vAlign w:val="center"/>
              </w:tcPr>
              <w:p w:rsidR="00156DD6" w:rsidRDefault="00D51F5F">
                <w:pPr>
                  <w:widowControl w:val="0"/>
                  <w:jc w:val="center"/>
                  <w:rPr>
                    <w:color w:val="000000" w:themeColor="text1"/>
                  </w:rPr>
                </w:pPr>
                <w:r>
                  <w:rPr>
                    <w:rFonts w:hint="eastAsia"/>
                    <w:color w:val="000000" w:themeColor="text1"/>
                  </w:rPr>
                  <w:t>本期购买金额</w:t>
                </w:r>
              </w:p>
            </w:tc>
          </w:sdtContent>
        </w:sdt>
        <w:sdt>
          <w:sdtPr>
            <w:tag w:val="_PLD_e7e0a0b50a064c0d90f4bb3d36650d56"/>
            <w:id w:val="444428672"/>
          </w:sdtPr>
          <w:sdtEndPr/>
          <w:sdtContent>
            <w:tc>
              <w:tcPr>
                <w:tcW w:w="385" w:type="pct"/>
                <w:vAlign w:val="center"/>
              </w:tcPr>
              <w:p w:rsidR="00156DD6" w:rsidRDefault="00D51F5F">
                <w:pPr>
                  <w:widowControl w:val="0"/>
                  <w:jc w:val="center"/>
                  <w:rPr>
                    <w:color w:val="000000" w:themeColor="text1"/>
                  </w:rPr>
                </w:pPr>
                <w:r>
                  <w:rPr>
                    <w:rFonts w:hint="eastAsia"/>
                    <w:color w:val="000000" w:themeColor="text1"/>
                  </w:rPr>
                  <w:t>本期出售金额</w:t>
                </w:r>
              </w:p>
            </w:tc>
          </w:sdtContent>
        </w:sdt>
        <w:sdt>
          <w:sdtPr>
            <w:tag w:val="_PLD_56522d18099a4ba78a8ad3f3062f485d"/>
            <w:id w:val="-1555388298"/>
          </w:sdtPr>
          <w:sdtEndPr/>
          <w:sdtContent>
            <w:tc>
              <w:tcPr>
                <w:tcW w:w="385" w:type="pct"/>
                <w:vAlign w:val="center"/>
              </w:tcPr>
              <w:p w:rsidR="00156DD6" w:rsidRDefault="00D51F5F">
                <w:pPr>
                  <w:widowControl w:val="0"/>
                  <w:jc w:val="center"/>
                  <w:rPr>
                    <w:color w:val="000000" w:themeColor="text1"/>
                  </w:rPr>
                </w:pPr>
                <w:r>
                  <w:rPr>
                    <w:rFonts w:hint="eastAsia"/>
                    <w:color w:val="000000" w:themeColor="text1"/>
                  </w:rPr>
                  <w:t>本期投资损益</w:t>
                </w:r>
              </w:p>
            </w:tc>
          </w:sdtContent>
        </w:sdt>
        <w:sdt>
          <w:sdtPr>
            <w:tag w:val="_PLD_9146d628bb674fb68b7075af9f301304"/>
            <w:id w:val="275456910"/>
          </w:sdtPr>
          <w:sdtEndPr/>
          <w:sdtContent>
            <w:tc>
              <w:tcPr>
                <w:tcW w:w="385" w:type="pct"/>
                <w:vAlign w:val="center"/>
              </w:tcPr>
              <w:p w:rsidR="00156DD6" w:rsidRDefault="00D51F5F">
                <w:pPr>
                  <w:widowControl w:val="0"/>
                  <w:jc w:val="center"/>
                  <w:rPr>
                    <w:color w:val="000000" w:themeColor="text1"/>
                  </w:rPr>
                </w:pPr>
                <w:r>
                  <w:rPr>
                    <w:rFonts w:hint="eastAsia"/>
                    <w:color w:val="000000" w:themeColor="text1"/>
                  </w:rPr>
                  <w:t>期末账面价值</w:t>
                </w:r>
              </w:p>
            </w:tc>
          </w:sdtContent>
        </w:sdt>
        <w:sdt>
          <w:sdtPr>
            <w:tag w:val="_PLD_002d877100d94db78bee085431d85d09"/>
            <w:id w:val="1136376454"/>
          </w:sdtPr>
          <w:sdtEndPr/>
          <w:sdtContent>
            <w:tc>
              <w:tcPr>
                <w:tcW w:w="382" w:type="pct"/>
                <w:vAlign w:val="center"/>
              </w:tcPr>
              <w:p w:rsidR="00156DD6" w:rsidRDefault="00D51F5F">
                <w:pPr>
                  <w:widowControl w:val="0"/>
                  <w:jc w:val="center"/>
                  <w:rPr>
                    <w:color w:val="000000" w:themeColor="text1"/>
                  </w:rPr>
                </w:pPr>
                <w:r>
                  <w:rPr>
                    <w:rFonts w:hint="eastAsia"/>
                    <w:color w:val="000000" w:themeColor="text1"/>
                  </w:rPr>
                  <w:t>会计核算科目</w:t>
                </w:r>
              </w:p>
            </w:tc>
          </w:sdtContent>
        </w:sdt>
      </w:tr>
      <w:tr w:rsidR="00156DD6">
        <w:sdt>
          <w:sdtPr>
            <w:rPr>
              <w:color w:val="000000" w:themeColor="text1"/>
            </w:rPr>
            <w:alias w:val="上市公司证券投资情况明细－证券品种"/>
            <w:tag w:val="_GBC_da25a1f6f6b84402a355faf78614b543"/>
            <w:id w:val="465248358"/>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tc>
              <w:tcPr>
                <w:tcW w:w="384" w:type="pct"/>
                <w:vAlign w:val="center"/>
              </w:tcPr>
              <w:p w:rsidR="00156DD6" w:rsidRDefault="00D51F5F">
                <w:pPr>
                  <w:widowControl w:val="0"/>
                  <w:jc w:val="both"/>
                  <w:rPr>
                    <w:color w:val="000000" w:themeColor="text1"/>
                  </w:rPr>
                </w:pPr>
                <w:r>
                  <w:rPr>
                    <w:color w:val="000000" w:themeColor="text1"/>
                  </w:rPr>
                  <w:t>股票</w:t>
                </w:r>
              </w:p>
            </w:tc>
          </w:sdtContent>
        </w:sdt>
        <w:tc>
          <w:tcPr>
            <w:tcW w:w="385" w:type="pct"/>
            <w:vAlign w:val="center"/>
          </w:tcPr>
          <w:p w:rsidR="00156DD6" w:rsidRDefault="00D51F5F">
            <w:pPr>
              <w:widowControl w:val="0"/>
            </w:pPr>
            <w:r>
              <w:t>601328</w:t>
            </w:r>
          </w:p>
        </w:tc>
        <w:tc>
          <w:tcPr>
            <w:tcW w:w="385" w:type="pct"/>
            <w:vAlign w:val="center"/>
          </w:tcPr>
          <w:p w:rsidR="00156DD6" w:rsidRDefault="00D51F5F">
            <w:pPr>
              <w:widowControl w:val="0"/>
            </w:pPr>
            <w:r>
              <w:t>交通银行</w:t>
            </w:r>
          </w:p>
        </w:tc>
        <w:tc>
          <w:tcPr>
            <w:tcW w:w="385" w:type="pct"/>
            <w:vAlign w:val="center"/>
          </w:tcPr>
          <w:p w:rsidR="00156DD6" w:rsidRDefault="00D51F5F">
            <w:pPr>
              <w:widowControl w:val="0"/>
              <w:jc w:val="right"/>
            </w:pPr>
            <w:r>
              <w:t>227.56</w:t>
            </w:r>
          </w:p>
        </w:tc>
        <w:tc>
          <w:tcPr>
            <w:tcW w:w="385" w:type="pct"/>
            <w:vAlign w:val="center"/>
          </w:tcPr>
          <w:p w:rsidR="00156DD6" w:rsidRDefault="00D51F5F">
            <w:pPr>
              <w:widowControl w:val="0"/>
            </w:pPr>
            <w:r>
              <w:t>自有资金</w:t>
            </w:r>
          </w:p>
        </w:tc>
        <w:tc>
          <w:tcPr>
            <w:tcW w:w="385" w:type="pct"/>
            <w:vAlign w:val="center"/>
          </w:tcPr>
          <w:p w:rsidR="00156DD6" w:rsidRDefault="00D51F5F">
            <w:pPr>
              <w:widowControl w:val="0"/>
              <w:jc w:val="right"/>
            </w:pPr>
            <w:r>
              <w:t>1,620.77</w:t>
            </w:r>
          </w:p>
        </w:tc>
        <w:tc>
          <w:tcPr>
            <w:tcW w:w="384" w:type="pct"/>
          </w:tcPr>
          <w:p w:rsidR="00156DD6" w:rsidRDefault="00156DD6">
            <w:pPr>
              <w:widowControl w:val="0"/>
              <w:jc w:val="right"/>
            </w:pPr>
          </w:p>
        </w:tc>
        <w:tc>
          <w:tcPr>
            <w:tcW w:w="385" w:type="pct"/>
            <w:vAlign w:val="center"/>
          </w:tcPr>
          <w:p w:rsidR="00156DD6" w:rsidRDefault="00D51F5F">
            <w:pPr>
              <w:widowControl w:val="0"/>
              <w:jc w:val="right"/>
            </w:pPr>
            <w:r>
              <w:t>47.98</w:t>
            </w:r>
          </w:p>
        </w:tc>
        <w:tc>
          <w:tcPr>
            <w:tcW w:w="385" w:type="pct"/>
          </w:tcPr>
          <w:p w:rsidR="00156DD6" w:rsidRDefault="00156DD6">
            <w:pPr>
              <w:widowControl w:val="0"/>
              <w:jc w:val="right"/>
            </w:pPr>
          </w:p>
        </w:tc>
        <w:tc>
          <w:tcPr>
            <w:tcW w:w="385" w:type="pct"/>
          </w:tcPr>
          <w:p w:rsidR="00156DD6" w:rsidRDefault="00156DD6">
            <w:pPr>
              <w:widowControl w:val="0"/>
              <w:jc w:val="right"/>
            </w:pPr>
          </w:p>
        </w:tc>
        <w:tc>
          <w:tcPr>
            <w:tcW w:w="385" w:type="pct"/>
            <w:vAlign w:val="center"/>
          </w:tcPr>
          <w:p w:rsidR="00156DD6" w:rsidRDefault="00D51F5F">
            <w:pPr>
              <w:widowControl w:val="0"/>
              <w:jc w:val="right"/>
            </w:pPr>
            <w:r>
              <w:rPr>
                <w:rFonts w:hint="eastAsia"/>
              </w:rPr>
              <w:t>-79.06</w:t>
            </w:r>
          </w:p>
        </w:tc>
        <w:tc>
          <w:tcPr>
            <w:tcW w:w="385" w:type="pct"/>
            <w:vAlign w:val="center"/>
          </w:tcPr>
          <w:p w:rsidR="00156DD6" w:rsidRDefault="00D51F5F">
            <w:pPr>
              <w:widowControl w:val="0"/>
              <w:jc w:val="right"/>
            </w:pPr>
            <w:r>
              <w:t xml:space="preserve">1,668.74 </w:t>
            </w:r>
          </w:p>
        </w:tc>
        <w:sdt>
          <w:sdtPr>
            <w:rPr>
              <w:color w:val="000000" w:themeColor="text1"/>
            </w:rPr>
            <w:alias w:val="上市公司证券投资情况明细－会计核算科目"/>
            <w:tag w:val="_GBC_414476e3ed004196953166bc33839d22"/>
            <w:id w:val="748005600"/>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tc>
              <w:tcPr>
                <w:tcW w:w="382" w:type="pct"/>
              </w:tcPr>
              <w:p w:rsidR="00156DD6" w:rsidRDefault="00D51F5F">
                <w:pPr>
                  <w:widowControl w:val="0"/>
                  <w:rPr>
                    <w:color w:val="000000" w:themeColor="text1"/>
                  </w:rPr>
                </w:pPr>
                <w:r>
                  <w:rPr>
                    <w:color w:val="000000" w:themeColor="text1"/>
                  </w:rPr>
                  <w:t>其他权益工具投资</w:t>
                </w:r>
              </w:p>
            </w:tc>
          </w:sdtContent>
        </w:sdt>
      </w:tr>
      <w:tr w:rsidR="00156DD6">
        <w:tc>
          <w:tcPr>
            <w:tcW w:w="384" w:type="pct"/>
          </w:tcPr>
          <w:p w:rsidR="00156DD6" w:rsidRDefault="00D51F5F">
            <w:pPr>
              <w:widowControl w:val="0"/>
              <w:jc w:val="both"/>
              <w:rPr>
                <w:color w:val="000000" w:themeColor="text1"/>
              </w:rPr>
            </w:pPr>
            <w:r>
              <w:rPr>
                <w:color w:val="000000" w:themeColor="text1"/>
              </w:rPr>
              <w:t>合计</w:t>
            </w:r>
          </w:p>
        </w:tc>
        <w:tc>
          <w:tcPr>
            <w:tcW w:w="385" w:type="pct"/>
            <w:vAlign w:val="center"/>
          </w:tcPr>
          <w:p w:rsidR="00156DD6" w:rsidRDefault="00D51F5F">
            <w:pPr>
              <w:widowControl w:val="0"/>
              <w:jc w:val="center"/>
              <w:rPr>
                <w:color w:val="000000" w:themeColor="text1"/>
              </w:rPr>
            </w:pPr>
            <w:r>
              <w:t>/</w:t>
            </w:r>
          </w:p>
        </w:tc>
        <w:tc>
          <w:tcPr>
            <w:tcW w:w="385" w:type="pct"/>
            <w:vAlign w:val="center"/>
          </w:tcPr>
          <w:p w:rsidR="00156DD6" w:rsidRDefault="00D51F5F">
            <w:pPr>
              <w:widowControl w:val="0"/>
              <w:jc w:val="center"/>
              <w:rPr>
                <w:color w:val="000000" w:themeColor="text1"/>
              </w:rPr>
            </w:pPr>
            <w:r>
              <w:t>/</w:t>
            </w:r>
          </w:p>
        </w:tc>
        <w:tc>
          <w:tcPr>
            <w:tcW w:w="385" w:type="pct"/>
            <w:vAlign w:val="center"/>
          </w:tcPr>
          <w:p w:rsidR="00156DD6" w:rsidRDefault="00D51F5F">
            <w:pPr>
              <w:widowControl w:val="0"/>
              <w:jc w:val="right"/>
            </w:pPr>
            <w:r>
              <w:t>227.56</w:t>
            </w:r>
          </w:p>
        </w:tc>
        <w:tc>
          <w:tcPr>
            <w:tcW w:w="385" w:type="pct"/>
            <w:vAlign w:val="center"/>
          </w:tcPr>
          <w:p w:rsidR="00156DD6" w:rsidRDefault="00D51F5F">
            <w:pPr>
              <w:widowControl w:val="0"/>
              <w:jc w:val="center"/>
              <w:rPr>
                <w:color w:val="000000" w:themeColor="text1"/>
              </w:rPr>
            </w:pPr>
            <w:r>
              <w:t>/</w:t>
            </w:r>
          </w:p>
        </w:tc>
        <w:tc>
          <w:tcPr>
            <w:tcW w:w="385" w:type="pct"/>
            <w:vAlign w:val="center"/>
          </w:tcPr>
          <w:p w:rsidR="00156DD6" w:rsidRDefault="00D51F5F">
            <w:pPr>
              <w:widowControl w:val="0"/>
              <w:jc w:val="right"/>
            </w:pPr>
            <w:r>
              <w:t>1,620.77</w:t>
            </w:r>
          </w:p>
        </w:tc>
        <w:tc>
          <w:tcPr>
            <w:tcW w:w="384" w:type="pct"/>
          </w:tcPr>
          <w:p w:rsidR="00156DD6" w:rsidRDefault="00156DD6">
            <w:pPr>
              <w:widowControl w:val="0"/>
              <w:jc w:val="right"/>
            </w:pPr>
          </w:p>
        </w:tc>
        <w:tc>
          <w:tcPr>
            <w:tcW w:w="385" w:type="pct"/>
            <w:vAlign w:val="center"/>
          </w:tcPr>
          <w:p w:rsidR="00156DD6" w:rsidRDefault="00D51F5F">
            <w:pPr>
              <w:widowControl w:val="0"/>
              <w:jc w:val="right"/>
            </w:pPr>
            <w:r>
              <w:t>47.98</w:t>
            </w:r>
          </w:p>
        </w:tc>
        <w:tc>
          <w:tcPr>
            <w:tcW w:w="385" w:type="pct"/>
          </w:tcPr>
          <w:p w:rsidR="00156DD6" w:rsidRDefault="00156DD6">
            <w:pPr>
              <w:widowControl w:val="0"/>
              <w:jc w:val="right"/>
            </w:pPr>
          </w:p>
        </w:tc>
        <w:tc>
          <w:tcPr>
            <w:tcW w:w="385" w:type="pct"/>
          </w:tcPr>
          <w:p w:rsidR="00156DD6" w:rsidRDefault="00156DD6">
            <w:pPr>
              <w:widowControl w:val="0"/>
              <w:jc w:val="right"/>
            </w:pPr>
          </w:p>
        </w:tc>
        <w:tc>
          <w:tcPr>
            <w:tcW w:w="385" w:type="pct"/>
            <w:vAlign w:val="center"/>
          </w:tcPr>
          <w:p w:rsidR="00156DD6" w:rsidRDefault="00D51F5F">
            <w:pPr>
              <w:widowControl w:val="0"/>
              <w:jc w:val="right"/>
            </w:pPr>
            <w:r>
              <w:rPr>
                <w:rFonts w:hint="eastAsia"/>
              </w:rPr>
              <w:t>-79.06</w:t>
            </w:r>
          </w:p>
        </w:tc>
        <w:tc>
          <w:tcPr>
            <w:tcW w:w="385" w:type="pct"/>
            <w:vAlign w:val="center"/>
          </w:tcPr>
          <w:p w:rsidR="00156DD6" w:rsidRDefault="00D51F5F">
            <w:pPr>
              <w:widowControl w:val="0"/>
              <w:jc w:val="right"/>
            </w:pPr>
            <w:r>
              <w:t xml:space="preserve">1,668.74 </w:t>
            </w:r>
          </w:p>
        </w:tc>
        <w:tc>
          <w:tcPr>
            <w:tcW w:w="382" w:type="pct"/>
          </w:tcPr>
          <w:p w:rsidR="00156DD6" w:rsidRDefault="00D51F5F">
            <w:pPr>
              <w:widowControl w:val="0"/>
              <w:jc w:val="center"/>
              <w:rPr>
                <w:color w:val="000000" w:themeColor="text1"/>
              </w:rPr>
            </w:pPr>
            <w:r>
              <w:rPr>
                <w:rFonts w:hint="eastAsia"/>
                <w:color w:val="000000" w:themeColor="text1"/>
              </w:rPr>
              <w:t>/</w:t>
            </w:r>
          </w:p>
        </w:tc>
      </w:tr>
    </w:tbl>
    <w:bookmarkEnd w:id="63"/>
    <w:p w:rsidR="00156DD6" w:rsidRDefault="00D51F5F">
      <w:pPr>
        <w:rPr>
          <w:color w:val="000000" w:themeColor="text1"/>
        </w:rPr>
      </w:pPr>
      <w:r>
        <w:rPr>
          <w:rFonts w:hint="eastAsia"/>
          <w:color w:val="000000" w:themeColor="text1"/>
        </w:rPr>
        <w:lastRenderedPageBreak/>
        <w:t>证券投资情况的说明</w:t>
      </w:r>
    </w:p>
    <w:sdt>
      <w:sdtPr>
        <w:rPr>
          <w:color w:val="000000" w:themeColor="text1"/>
        </w:rPr>
        <w:alias w:val="是否适用：证券投资情况的说明[双击切换]"/>
        <w:tag w:val="_GBC_8d1fa1a2f7a54e699abfdd630205bd35"/>
        <w:id w:val="10053006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证券投资情况的说明"/>
        <w:tag w:val="_GBC_abdbfda8aa9943258e88072364f7c63a"/>
        <w:id w:val="-1949610325"/>
        <w:placeholder>
          <w:docPart w:val="GBC22222222222222222222222222222"/>
        </w:placeholder>
      </w:sdtPr>
      <w:sdtEndPr/>
      <w:sdtContent>
        <w:p w:rsidR="00156DD6" w:rsidRDefault="00D51F5F">
          <w:pPr>
            <w:rPr>
              <w:color w:val="000000" w:themeColor="text1"/>
            </w:rPr>
          </w:pPr>
          <w:r>
            <w:rPr>
              <w:rFonts w:hint="eastAsia"/>
              <w:color w:val="000000" w:themeColor="text1"/>
            </w:rPr>
            <w:t>以上股票系收购云变电气增加，是云变电气早期持有的交通银行发行的原始股。</w:t>
          </w:r>
        </w:p>
      </w:sdtContent>
    </w:sdt>
    <w:p w:rsidR="00156DD6" w:rsidRDefault="00D51F5F">
      <w:pPr>
        <w:rPr>
          <w:color w:val="000000" w:themeColor="text1"/>
        </w:rPr>
      </w:pPr>
      <w:bookmarkStart w:id="64" w:name="_Hlk40534809"/>
      <w:r>
        <w:rPr>
          <w:rFonts w:hint="eastAsia"/>
          <w:color w:val="000000" w:themeColor="text1"/>
        </w:rPr>
        <w:t>私募基金投资情况</w:t>
      </w:r>
    </w:p>
    <w:sdt>
      <w:sdtPr>
        <w:rPr>
          <w:color w:val="000000" w:themeColor="text1"/>
        </w:rPr>
        <w:alias w:val="是否适用：私募基金投资情况[双击切换]"/>
        <w:tag w:val="_GBC_56fccff6af834e4e8e9f8aea6f269d2f"/>
        <w:id w:val="125269667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64"/>
    <w:p w:rsidR="00156DD6" w:rsidRDefault="00D51F5F">
      <w:pPr>
        <w:rPr>
          <w:color w:val="000000" w:themeColor="text1"/>
        </w:rPr>
      </w:pPr>
      <w:r>
        <w:rPr>
          <w:rFonts w:hint="eastAsia"/>
          <w:color w:val="000000" w:themeColor="text1"/>
        </w:rPr>
        <w:t>衍生品投资情况</w:t>
      </w:r>
    </w:p>
    <w:sdt>
      <w:sdtPr>
        <w:rPr>
          <w:rFonts w:hint="eastAsia"/>
          <w:color w:val="000000" w:themeColor="text1"/>
        </w:rPr>
        <w:alias w:val="是否适用：衍生品投资情况  [双击切换]"/>
        <w:tag w:val="_GBC_bfd154b38b804edbb19ff4896b6b9c42"/>
        <w:id w:val="12062976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
        </w:numPr>
        <w:rPr>
          <w:rFonts w:ascii="宋体" w:hAnsi="宋体"/>
          <w:color w:val="000000" w:themeColor="text1"/>
          <w:sz w:val="21"/>
          <w:szCs w:val="21"/>
        </w:rPr>
      </w:pPr>
      <w:bookmarkStart w:id="65" w:name="_Hlk155617745"/>
      <w:bookmarkStart w:id="66" w:name="_Hlk167797508"/>
      <w:bookmarkEnd w:id="62"/>
      <w:bookmarkEnd w:id="65"/>
      <w:bookmarkEnd w:id="66"/>
      <w:r>
        <w:rPr>
          <w:rFonts w:ascii="宋体" w:hAnsi="宋体" w:hint="eastAsia"/>
          <w:color w:val="000000" w:themeColor="text1"/>
          <w:sz w:val="21"/>
          <w:szCs w:val="21"/>
        </w:rPr>
        <w:t>重大资产和股权出售</w:t>
      </w:r>
    </w:p>
    <w:sdt>
      <w:sdtPr>
        <w:rPr>
          <w:rFonts w:hint="eastAsia"/>
          <w:color w:val="000000" w:themeColor="text1"/>
        </w:rPr>
        <w:alias w:val="是否适用：重大资产和股权出售[双击切换]"/>
        <w:tag w:val="_GBC_f566f251245e49238092032f065852be"/>
        <w:id w:val="-162346210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
        </w:numPr>
        <w:rPr>
          <w:rFonts w:ascii="宋体" w:hAnsi="宋体"/>
          <w:color w:val="000000" w:themeColor="text1"/>
          <w:sz w:val="21"/>
          <w:szCs w:val="21"/>
        </w:rPr>
      </w:pPr>
      <w:bookmarkStart w:id="67" w:name="_Hlk200011206"/>
      <w:r>
        <w:rPr>
          <w:rFonts w:ascii="宋体" w:hAnsi="宋体" w:hint="eastAsia"/>
          <w:color w:val="000000" w:themeColor="text1"/>
          <w:sz w:val="21"/>
          <w:szCs w:val="21"/>
        </w:rPr>
        <w:t>主要控股参股公司分析</w:t>
      </w:r>
    </w:p>
    <w:sdt>
      <w:sdtPr>
        <w:rPr>
          <w:color w:val="000000" w:themeColor="text1"/>
        </w:rPr>
        <w:alias w:val="是否适用：主要控股参股公司分析[双击切换]"/>
        <w:tag w:val="_GBC_3f3bd67865a44413bcd1143c0df7558d"/>
        <w:id w:val="-130445888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43"/>
      </w:pPr>
      <w:r>
        <w:rPr>
          <w:rFonts w:hint="eastAsia"/>
        </w:rPr>
        <w:t>主要子公司及对公司净利润影响达</w:t>
      </w:r>
      <w:r>
        <w:rPr>
          <w:rFonts w:hint="eastAsia"/>
        </w:rPr>
        <w:t>10%</w:t>
      </w:r>
      <w:r>
        <w:rPr>
          <w:rFonts w:hint="eastAsia"/>
        </w:rPr>
        <w:t>以上的参股公司情况</w:t>
      </w:r>
    </w:p>
    <w:sdt>
      <w:sdtPr>
        <w:rPr>
          <w:rFonts w:hint="eastAsia"/>
          <w:color w:val="000000"/>
        </w:rPr>
        <w:alias w:val="是否适用：主要子公司及对公司净利润影响达10%以上的参股公司情况[双击切换]"/>
        <w:tag w:val="_GBC_4b9f7b6cc7ff4175a466417ec956e9a1"/>
        <w:id w:val="-388876551"/>
        <w:placeholder>
          <w:docPart w:val="GBC22222222222222222222222222222"/>
        </w:placeholder>
      </w:sdtPr>
      <w:sdtEndPr/>
      <w:sdtContent>
        <w:p w:rsidR="00156DD6" w:rsidRDefault="00D51F5F">
          <w:pPr>
            <w:rPr>
              <w:color w:val="000000"/>
            </w:rPr>
          </w:pPr>
          <w:r>
            <w:rPr>
              <w:rFonts w:hint="eastAsia"/>
              <w:color w:val="000000"/>
            </w:rPr>
            <w:fldChar w:fldCharType="begin"/>
          </w:r>
          <w:r>
            <w:rPr>
              <w:rFonts w:hint="eastAsia"/>
              <w:color w:val="000000"/>
            </w:rPr>
            <w:instrText xml:space="preserve"> MACROBUTTON  SnrToggleCheckbox </w:instrText>
          </w:r>
          <w:r>
            <w:rPr>
              <w:rFonts w:hint="eastAsia"/>
              <w:color w:val="000000"/>
            </w:rPr>
            <w:instrText>√适用</w:instrText>
          </w:r>
          <w:r>
            <w:rPr>
              <w:rFonts w:hint="eastAsia"/>
              <w:color w:val="000000"/>
            </w:rPr>
            <w:instrText xml:space="preserve"> </w:instrText>
          </w:r>
          <w:r>
            <w:rPr>
              <w:rFonts w:hint="eastAsia"/>
              <w:color w:val="000000"/>
            </w:rPr>
            <w:fldChar w:fldCharType="end"/>
          </w:r>
          <w:r>
            <w:rPr>
              <w:rFonts w:hint="eastAsia"/>
              <w:color w:val="000000"/>
            </w:rPr>
            <w:fldChar w:fldCharType="begin"/>
          </w:r>
          <w:r>
            <w:rPr>
              <w:rFonts w:hint="eastAsia"/>
              <w:color w:val="000000"/>
            </w:rPr>
            <w:instrText xml:space="preserve"> MACROBUTTON  SnrToggleCheckbox </w:instrText>
          </w:r>
          <w:r>
            <w:rPr>
              <w:rFonts w:hint="eastAsia"/>
              <w:color w:val="000000"/>
            </w:rPr>
            <w:instrText>□不适用</w:instrText>
          </w:r>
          <w:r>
            <w:rPr>
              <w:rFonts w:hint="eastAsia"/>
              <w:color w:val="000000"/>
            </w:rPr>
            <w:instrText xml:space="preserve"> </w:instrText>
          </w:r>
          <w:r>
            <w:rPr>
              <w:rFonts w:hint="eastAsia"/>
              <w:color w:val="000000"/>
            </w:rPr>
            <w:fldChar w:fldCharType="end"/>
          </w:r>
        </w:p>
      </w:sdtContent>
    </w:sdt>
    <w:p w:rsidR="00156DD6" w:rsidRDefault="00D51F5F">
      <w:pPr>
        <w:jc w:val="right"/>
        <w:rPr>
          <w:color w:val="000000"/>
        </w:rPr>
      </w:pPr>
      <w:r>
        <w:rPr>
          <w:rFonts w:hint="eastAsia"/>
          <w:color w:val="000000"/>
        </w:rPr>
        <w:t>单位：</w:t>
      </w:r>
      <w:sdt>
        <w:sdtPr>
          <w:rPr>
            <w:rFonts w:hint="eastAsia"/>
            <w:color w:val="000000"/>
          </w:rPr>
          <w:alias w:val="单位：主要控股参股公司分析"/>
          <w:tag w:val="_GBC_ce7ca356e78b431aa58669bcbfe4f636"/>
          <w:id w:val="8099814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rPr>
            <w:t>万元</w:t>
          </w:r>
        </w:sdtContent>
      </w:sdt>
      <w:r>
        <w:rPr>
          <w:rFonts w:hint="eastAsia"/>
          <w:color w:val="000000"/>
        </w:rPr>
        <w:t xml:space="preserve">  </w:t>
      </w:r>
      <w:r>
        <w:rPr>
          <w:rFonts w:hint="eastAsia"/>
          <w:color w:val="000000"/>
        </w:rPr>
        <w:t>币种：</w:t>
      </w:r>
      <w:sdt>
        <w:sdtPr>
          <w:rPr>
            <w:rFonts w:hint="eastAsia"/>
            <w:color w:val="000000"/>
          </w:rPr>
          <w:alias w:val="币种：主要控股参股公司分析"/>
          <w:tag w:val="_GBC_d54cbb72b883465cb4a40fd97ee74139"/>
          <w:id w:val="-7394761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rPr>
            <w:t>人民币</w:t>
          </w:r>
        </w:sdtContent>
      </w:sdt>
      <w:r>
        <w:rPr>
          <w:rFonts w:hint="eastAsia"/>
          <w:color w:val="000000"/>
        </w:rPr>
        <w:t xml:space="preserve"> </w:t>
      </w:r>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32"/>
        <w:gridCol w:w="1618"/>
        <w:gridCol w:w="1517"/>
        <w:gridCol w:w="1517"/>
        <w:gridCol w:w="1517"/>
        <w:gridCol w:w="1517"/>
        <w:gridCol w:w="1517"/>
        <w:gridCol w:w="1514"/>
        <w:gridCol w:w="1614"/>
      </w:tblGrid>
      <w:tr w:rsidR="00156DD6">
        <w:sdt>
          <w:sdtPr>
            <w:tag w:val="_PLD_511822bad18243ca984a448b1d5e9c6d"/>
            <w:id w:val="-448940051"/>
          </w:sdtPr>
          <w:sdtEndPr/>
          <w:sdtContent>
            <w:tc>
              <w:tcPr>
                <w:tcW w:w="553" w:type="pct"/>
              </w:tcPr>
              <w:p w:rsidR="00156DD6" w:rsidRDefault="00D51F5F">
                <w:pPr>
                  <w:kinsoku w:val="0"/>
                  <w:overflowPunct w:val="0"/>
                  <w:autoSpaceDE w:val="0"/>
                  <w:autoSpaceDN w:val="0"/>
                  <w:adjustRightInd w:val="0"/>
                  <w:snapToGrid w:val="0"/>
                  <w:jc w:val="center"/>
                </w:pPr>
                <w:r>
                  <w:t>公司名称</w:t>
                </w:r>
              </w:p>
            </w:tc>
          </w:sdtContent>
        </w:sdt>
        <w:sdt>
          <w:sdtPr>
            <w:tag w:val="_PLD_d832e7bea43d415e86e5df292e30861d"/>
            <w:id w:val="1448428139"/>
          </w:sdtPr>
          <w:sdtEndPr/>
          <w:sdtContent>
            <w:tc>
              <w:tcPr>
                <w:tcW w:w="584" w:type="pct"/>
              </w:tcPr>
              <w:p w:rsidR="00156DD6" w:rsidRDefault="00D51F5F">
                <w:pPr>
                  <w:kinsoku w:val="0"/>
                  <w:overflowPunct w:val="0"/>
                  <w:autoSpaceDE w:val="0"/>
                  <w:autoSpaceDN w:val="0"/>
                  <w:adjustRightInd w:val="0"/>
                  <w:snapToGrid w:val="0"/>
                  <w:jc w:val="center"/>
                </w:pPr>
                <w:r>
                  <w:t>公司类型</w:t>
                </w:r>
              </w:p>
            </w:tc>
          </w:sdtContent>
        </w:sdt>
        <w:sdt>
          <w:sdtPr>
            <w:tag w:val="_PLD_504000c87b6441849362fe7fcd841ffd"/>
            <w:id w:val="1309127406"/>
          </w:sdtPr>
          <w:sdtEndPr/>
          <w:sdtContent>
            <w:tc>
              <w:tcPr>
                <w:tcW w:w="547" w:type="pct"/>
              </w:tcPr>
              <w:p w:rsidR="00156DD6" w:rsidRDefault="00D51F5F">
                <w:pPr>
                  <w:kinsoku w:val="0"/>
                  <w:overflowPunct w:val="0"/>
                  <w:autoSpaceDE w:val="0"/>
                  <w:autoSpaceDN w:val="0"/>
                  <w:adjustRightInd w:val="0"/>
                  <w:snapToGrid w:val="0"/>
                  <w:jc w:val="center"/>
                </w:pPr>
                <w:r>
                  <w:t>主要业务</w:t>
                </w:r>
              </w:p>
            </w:tc>
          </w:sdtContent>
        </w:sdt>
        <w:sdt>
          <w:sdtPr>
            <w:tag w:val="_PLD_4e755197acd74c7c8f261f7362539fe2"/>
            <w:id w:val="-1051075878"/>
          </w:sdtPr>
          <w:sdtEndPr/>
          <w:sdtContent>
            <w:tc>
              <w:tcPr>
                <w:tcW w:w="547" w:type="pct"/>
              </w:tcPr>
              <w:p w:rsidR="00156DD6" w:rsidRDefault="00D51F5F">
                <w:pPr>
                  <w:kinsoku w:val="0"/>
                  <w:overflowPunct w:val="0"/>
                  <w:autoSpaceDE w:val="0"/>
                  <w:autoSpaceDN w:val="0"/>
                  <w:adjustRightInd w:val="0"/>
                  <w:snapToGrid w:val="0"/>
                  <w:jc w:val="center"/>
                </w:pPr>
                <w:r>
                  <w:t>注册资本</w:t>
                </w:r>
              </w:p>
            </w:tc>
          </w:sdtContent>
        </w:sdt>
        <w:sdt>
          <w:sdtPr>
            <w:tag w:val="_PLD_198557953dd6417b8383682dc2f22f88"/>
            <w:id w:val="914588196"/>
          </w:sdtPr>
          <w:sdtEndPr/>
          <w:sdtContent>
            <w:tc>
              <w:tcPr>
                <w:tcW w:w="547" w:type="pct"/>
              </w:tcPr>
              <w:p w:rsidR="00156DD6" w:rsidRDefault="00D51F5F">
                <w:pPr>
                  <w:kinsoku w:val="0"/>
                  <w:overflowPunct w:val="0"/>
                  <w:autoSpaceDE w:val="0"/>
                  <w:autoSpaceDN w:val="0"/>
                  <w:adjustRightInd w:val="0"/>
                  <w:snapToGrid w:val="0"/>
                  <w:jc w:val="center"/>
                </w:pPr>
                <w:r>
                  <w:t>总资产</w:t>
                </w:r>
              </w:p>
            </w:tc>
          </w:sdtContent>
        </w:sdt>
        <w:sdt>
          <w:sdtPr>
            <w:tag w:val="_PLD_970ef0a1e0e447cebd29209c05ba1fc2"/>
            <w:id w:val="130064853"/>
          </w:sdtPr>
          <w:sdtEndPr/>
          <w:sdtContent>
            <w:tc>
              <w:tcPr>
                <w:tcW w:w="547" w:type="pct"/>
              </w:tcPr>
              <w:p w:rsidR="00156DD6" w:rsidRDefault="00D51F5F">
                <w:pPr>
                  <w:kinsoku w:val="0"/>
                  <w:overflowPunct w:val="0"/>
                  <w:autoSpaceDE w:val="0"/>
                  <w:autoSpaceDN w:val="0"/>
                  <w:adjustRightInd w:val="0"/>
                  <w:snapToGrid w:val="0"/>
                  <w:jc w:val="center"/>
                </w:pPr>
                <w:r>
                  <w:t>净资产</w:t>
                </w:r>
              </w:p>
            </w:tc>
          </w:sdtContent>
        </w:sdt>
        <w:sdt>
          <w:sdtPr>
            <w:tag w:val="_PLD_0181251db664423ba29eb5f6a1e81eec"/>
            <w:id w:val="-975529771"/>
          </w:sdtPr>
          <w:sdtEndPr/>
          <w:sdtContent>
            <w:tc>
              <w:tcPr>
                <w:tcW w:w="547" w:type="pct"/>
              </w:tcPr>
              <w:p w:rsidR="00156DD6" w:rsidRDefault="00D51F5F">
                <w:pPr>
                  <w:kinsoku w:val="0"/>
                  <w:overflowPunct w:val="0"/>
                  <w:autoSpaceDE w:val="0"/>
                  <w:autoSpaceDN w:val="0"/>
                  <w:adjustRightInd w:val="0"/>
                  <w:snapToGrid w:val="0"/>
                  <w:jc w:val="center"/>
                </w:pPr>
                <w:r>
                  <w:t>营业收入</w:t>
                </w:r>
              </w:p>
            </w:tc>
          </w:sdtContent>
        </w:sdt>
        <w:sdt>
          <w:sdtPr>
            <w:tag w:val="_PLD_a3b6a5568dbe49adac1f2f6a8954c8d8"/>
            <w:id w:val="-1870138570"/>
          </w:sdtPr>
          <w:sdtEndPr/>
          <w:sdtContent>
            <w:tc>
              <w:tcPr>
                <w:tcW w:w="546" w:type="pct"/>
              </w:tcPr>
              <w:p w:rsidR="00156DD6" w:rsidRDefault="00D51F5F">
                <w:pPr>
                  <w:kinsoku w:val="0"/>
                  <w:overflowPunct w:val="0"/>
                  <w:autoSpaceDE w:val="0"/>
                  <w:autoSpaceDN w:val="0"/>
                  <w:adjustRightInd w:val="0"/>
                  <w:snapToGrid w:val="0"/>
                  <w:jc w:val="center"/>
                </w:pPr>
                <w:r>
                  <w:t>营业利润</w:t>
                </w:r>
              </w:p>
            </w:tc>
          </w:sdtContent>
        </w:sdt>
        <w:sdt>
          <w:sdtPr>
            <w:tag w:val="_PLD_a6776b47f9a845978fbed08d37050d0e"/>
            <w:id w:val="-1158217110"/>
          </w:sdtPr>
          <w:sdtEndPr/>
          <w:sdtContent>
            <w:tc>
              <w:tcPr>
                <w:tcW w:w="582" w:type="pct"/>
              </w:tcPr>
              <w:p w:rsidR="00156DD6" w:rsidRDefault="00D51F5F">
                <w:pPr>
                  <w:kinsoku w:val="0"/>
                  <w:overflowPunct w:val="0"/>
                  <w:autoSpaceDE w:val="0"/>
                  <w:autoSpaceDN w:val="0"/>
                  <w:adjustRightInd w:val="0"/>
                  <w:snapToGrid w:val="0"/>
                  <w:jc w:val="center"/>
                </w:pPr>
                <w:r>
                  <w:t>净利润</w:t>
                </w:r>
              </w:p>
            </w:tc>
          </w:sdtContent>
        </w:sdt>
      </w:tr>
      <w:tr w:rsidR="00156DD6">
        <w:tc>
          <w:tcPr>
            <w:tcW w:w="553" w:type="pct"/>
            <w:vAlign w:val="center"/>
          </w:tcPr>
          <w:p w:rsidR="00156DD6" w:rsidRDefault="00D51F5F">
            <w:pPr>
              <w:kinsoku w:val="0"/>
              <w:overflowPunct w:val="0"/>
              <w:autoSpaceDE w:val="0"/>
              <w:autoSpaceDN w:val="0"/>
              <w:adjustRightInd w:val="0"/>
              <w:snapToGrid w:val="0"/>
              <w:jc w:val="both"/>
            </w:pPr>
            <w:r>
              <w:rPr>
                <w:rFonts w:hint="eastAsia"/>
              </w:rPr>
              <w:t>云变电气</w:t>
            </w:r>
          </w:p>
        </w:tc>
        <w:sdt>
          <w:sdtPr>
            <w:rPr>
              <w:rFonts w:hint="eastAsia"/>
            </w:rPr>
            <w:alias w:val="主要控股参股公司分析明细_公司类型"/>
            <w:tag w:val="_GBC_b63dea9292ad4cfe8575aac30c468aa9"/>
            <w:id w:val="-246040081"/>
            <w:comboBox>
              <w:listItem w:displayText="子公司" w:value="子公司"/>
              <w:listItem w:displayText="参股公司" w:value="参股公司"/>
            </w:comboBox>
          </w:sdtPr>
          <w:sdtEndPr/>
          <w:sdtContent>
            <w:tc>
              <w:tcPr>
                <w:tcW w:w="584" w:type="pct"/>
                <w:vAlign w:val="center"/>
              </w:tcPr>
              <w:p w:rsidR="00156DD6" w:rsidRDefault="00D51F5F">
                <w:pPr>
                  <w:kinsoku w:val="0"/>
                  <w:overflowPunct w:val="0"/>
                  <w:autoSpaceDE w:val="0"/>
                  <w:autoSpaceDN w:val="0"/>
                  <w:adjustRightInd w:val="0"/>
                  <w:snapToGrid w:val="0"/>
                  <w:jc w:val="both"/>
                </w:pPr>
                <w:r>
                  <w:rPr>
                    <w:rFonts w:hint="eastAsia"/>
                  </w:rPr>
                  <w:t>子公司</w:t>
                </w:r>
              </w:p>
            </w:tc>
          </w:sdtContent>
        </w:sdt>
        <w:tc>
          <w:tcPr>
            <w:tcW w:w="547" w:type="pct"/>
            <w:vAlign w:val="center"/>
          </w:tcPr>
          <w:p w:rsidR="00156DD6" w:rsidRDefault="00D51F5F">
            <w:pPr>
              <w:kinsoku w:val="0"/>
              <w:overflowPunct w:val="0"/>
              <w:autoSpaceDE w:val="0"/>
              <w:autoSpaceDN w:val="0"/>
              <w:adjustRightInd w:val="0"/>
              <w:snapToGrid w:val="0"/>
              <w:jc w:val="both"/>
            </w:pPr>
            <w:r>
              <w:rPr>
                <w:rFonts w:hint="eastAsia"/>
              </w:rPr>
              <w:t>输配电及控制设备</w:t>
            </w:r>
          </w:p>
        </w:tc>
        <w:tc>
          <w:tcPr>
            <w:tcW w:w="547" w:type="pct"/>
            <w:vAlign w:val="center"/>
          </w:tcPr>
          <w:p w:rsidR="00156DD6" w:rsidRDefault="00D51F5F">
            <w:pPr>
              <w:kinsoku w:val="0"/>
              <w:overflowPunct w:val="0"/>
              <w:autoSpaceDE w:val="0"/>
              <w:autoSpaceDN w:val="0"/>
              <w:adjustRightInd w:val="0"/>
              <w:snapToGrid w:val="0"/>
              <w:jc w:val="right"/>
            </w:pPr>
            <w:r>
              <w:rPr>
                <w:rFonts w:hint="eastAsia"/>
              </w:rPr>
              <w:t xml:space="preserve"> 10,041.36 </w:t>
            </w:r>
          </w:p>
        </w:tc>
        <w:tc>
          <w:tcPr>
            <w:tcW w:w="547" w:type="pct"/>
            <w:vAlign w:val="center"/>
          </w:tcPr>
          <w:p w:rsidR="00156DD6" w:rsidRDefault="00D51F5F">
            <w:pPr>
              <w:kinsoku w:val="0"/>
              <w:overflowPunct w:val="0"/>
              <w:autoSpaceDE w:val="0"/>
              <w:autoSpaceDN w:val="0"/>
              <w:adjustRightInd w:val="0"/>
              <w:snapToGrid w:val="0"/>
              <w:jc w:val="right"/>
            </w:pPr>
            <w:r>
              <w:rPr>
                <w:rFonts w:hint="eastAsia"/>
              </w:rPr>
              <w:t xml:space="preserve"> 202,993.61 </w:t>
            </w:r>
          </w:p>
        </w:tc>
        <w:tc>
          <w:tcPr>
            <w:tcW w:w="547" w:type="pct"/>
            <w:vAlign w:val="center"/>
          </w:tcPr>
          <w:p w:rsidR="00156DD6" w:rsidRDefault="00D51F5F">
            <w:pPr>
              <w:kinsoku w:val="0"/>
              <w:overflowPunct w:val="0"/>
              <w:autoSpaceDE w:val="0"/>
              <w:autoSpaceDN w:val="0"/>
              <w:adjustRightInd w:val="0"/>
              <w:snapToGrid w:val="0"/>
              <w:jc w:val="right"/>
            </w:pPr>
            <w:r>
              <w:rPr>
                <w:rFonts w:hint="eastAsia"/>
              </w:rPr>
              <w:t xml:space="preserve"> 72,498.56 </w:t>
            </w:r>
          </w:p>
        </w:tc>
        <w:tc>
          <w:tcPr>
            <w:tcW w:w="547" w:type="pct"/>
            <w:vAlign w:val="center"/>
          </w:tcPr>
          <w:p w:rsidR="00156DD6" w:rsidRDefault="00D51F5F">
            <w:pPr>
              <w:kinsoku w:val="0"/>
              <w:overflowPunct w:val="0"/>
              <w:autoSpaceDE w:val="0"/>
              <w:autoSpaceDN w:val="0"/>
              <w:adjustRightInd w:val="0"/>
              <w:snapToGrid w:val="0"/>
              <w:jc w:val="right"/>
            </w:pPr>
            <w:r>
              <w:rPr>
                <w:rFonts w:hint="eastAsia"/>
              </w:rPr>
              <w:t xml:space="preserve"> 59,531.70 </w:t>
            </w:r>
          </w:p>
        </w:tc>
        <w:tc>
          <w:tcPr>
            <w:tcW w:w="546" w:type="pct"/>
            <w:vAlign w:val="center"/>
          </w:tcPr>
          <w:p w:rsidR="00156DD6" w:rsidRDefault="00D51F5F">
            <w:pPr>
              <w:kinsoku w:val="0"/>
              <w:overflowPunct w:val="0"/>
              <w:autoSpaceDE w:val="0"/>
              <w:autoSpaceDN w:val="0"/>
              <w:adjustRightInd w:val="0"/>
              <w:snapToGrid w:val="0"/>
              <w:jc w:val="right"/>
            </w:pPr>
            <w:r>
              <w:rPr>
                <w:rFonts w:hint="eastAsia"/>
              </w:rPr>
              <w:t xml:space="preserve"> 3,202.57 </w:t>
            </w:r>
          </w:p>
        </w:tc>
        <w:tc>
          <w:tcPr>
            <w:tcW w:w="582" w:type="pct"/>
            <w:vAlign w:val="center"/>
          </w:tcPr>
          <w:p w:rsidR="00156DD6" w:rsidRDefault="00D51F5F">
            <w:pPr>
              <w:kinsoku w:val="0"/>
              <w:overflowPunct w:val="0"/>
              <w:autoSpaceDE w:val="0"/>
              <w:autoSpaceDN w:val="0"/>
              <w:adjustRightInd w:val="0"/>
              <w:snapToGrid w:val="0"/>
              <w:jc w:val="right"/>
            </w:pPr>
            <w:r>
              <w:rPr>
                <w:rFonts w:hint="eastAsia"/>
              </w:rPr>
              <w:t xml:space="preserve"> 2,723.31 </w:t>
            </w:r>
          </w:p>
        </w:tc>
      </w:tr>
    </w:tbl>
    <w:p w:rsidR="00156DD6" w:rsidRDefault="00D51F5F">
      <w:pPr>
        <w:pStyle w:val="Style43"/>
      </w:pPr>
      <w:r>
        <w:rPr>
          <w:rFonts w:hint="eastAsia"/>
        </w:rPr>
        <w:t>报告期内取得和处置子公司的情况</w:t>
      </w:r>
    </w:p>
    <w:sdt>
      <w:sdtPr>
        <w:rPr>
          <w:rFonts w:hint="eastAsia"/>
          <w:color w:val="000000"/>
        </w:rPr>
        <w:alias w:val="是否适用：报告期内取得和处置子公司的情况[双击切换]"/>
        <w:tag w:val="_GBC_317312bfb3a94aa5a285111b44182c04"/>
        <w:id w:val="1594358328"/>
        <w:placeholder>
          <w:docPart w:val="GBC22222222222222222222222222222"/>
        </w:placeholder>
      </w:sdtPr>
      <w:sdtEndPr/>
      <w:sdtContent>
        <w:p w:rsidR="00156DD6" w:rsidRDefault="00D51F5F">
          <w:pPr>
            <w:rPr>
              <w:color w:val="000000"/>
            </w:rPr>
          </w:pPr>
          <w:r>
            <w:rPr>
              <w:rFonts w:hint="eastAsia"/>
              <w:color w:val="000000"/>
            </w:rPr>
            <w:fldChar w:fldCharType="begin"/>
          </w:r>
          <w:r>
            <w:rPr>
              <w:rFonts w:hint="eastAsia"/>
              <w:color w:val="000000"/>
            </w:rPr>
            <w:instrText xml:space="preserve"> MACROBUTTON  SnrToggleCheckbox </w:instrText>
          </w:r>
          <w:r>
            <w:rPr>
              <w:rFonts w:hint="eastAsia"/>
              <w:color w:val="000000"/>
            </w:rPr>
            <w:instrText>□适用</w:instrText>
          </w:r>
          <w:r>
            <w:rPr>
              <w:rFonts w:hint="eastAsia"/>
              <w:color w:val="000000"/>
            </w:rPr>
            <w:instrText xml:space="preserve"> </w:instrText>
          </w:r>
          <w:r>
            <w:rPr>
              <w:rFonts w:hint="eastAsia"/>
              <w:color w:val="000000"/>
            </w:rPr>
            <w:fldChar w:fldCharType="end"/>
          </w:r>
          <w:r>
            <w:rPr>
              <w:rFonts w:hint="eastAsia"/>
              <w:color w:val="000000"/>
            </w:rPr>
            <w:fldChar w:fldCharType="begin"/>
          </w:r>
          <w:r>
            <w:rPr>
              <w:rFonts w:hint="eastAsia"/>
              <w:color w:val="000000"/>
            </w:rPr>
            <w:instrText xml:space="preserve"> MACROBUTTON  SnrToggleCheckbox </w:instrText>
          </w:r>
          <w:r>
            <w:rPr>
              <w:rFonts w:hint="eastAsia"/>
              <w:color w:val="000000"/>
            </w:rPr>
            <w:instrText>√不适用</w:instrText>
          </w:r>
          <w:r>
            <w:rPr>
              <w:rFonts w:hint="eastAsia"/>
              <w:color w:val="000000"/>
            </w:rPr>
            <w:instrText xml:space="preserve"> </w:instrText>
          </w:r>
          <w:r>
            <w:rPr>
              <w:rFonts w:hint="eastAsia"/>
              <w:color w:val="000000"/>
            </w:rPr>
            <w:fldChar w:fldCharType="end"/>
          </w:r>
        </w:p>
      </w:sdtContent>
    </w:sdt>
    <w:p w:rsidR="00156DD6" w:rsidRDefault="00D51F5F">
      <w:pPr>
        <w:pStyle w:val="Style43"/>
      </w:pPr>
      <w:r>
        <w:rPr>
          <w:rFonts w:hint="eastAsia"/>
        </w:rPr>
        <w:t>其他说明</w:t>
      </w:r>
    </w:p>
    <w:sdt>
      <w:sdtPr>
        <w:rPr>
          <w:rFonts w:hint="eastAsia"/>
          <w:color w:val="000000"/>
        </w:rPr>
        <w:alias w:val="是否适用：主要控股参股公司分析其他说明[双击切换]"/>
        <w:tag w:val="_GBC_97a87b72cb0240beb3adbde0107adfd5"/>
        <w:id w:val="121045502"/>
        <w:placeholder>
          <w:docPart w:val="GBC22222222222222222222222222222"/>
        </w:placeholder>
      </w:sdtPr>
      <w:sdtEndPr/>
      <w:sdtContent>
        <w:p w:rsidR="00156DD6" w:rsidRDefault="00D51F5F">
          <w:pPr>
            <w:rPr>
              <w:color w:val="000000" w:themeColor="text1"/>
            </w:rPr>
          </w:pPr>
          <w:r>
            <w:rPr>
              <w:rFonts w:hint="eastAsia"/>
              <w:color w:val="000000"/>
            </w:rPr>
            <w:fldChar w:fldCharType="begin"/>
          </w:r>
          <w:r>
            <w:rPr>
              <w:rFonts w:hint="eastAsia"/>
              <w:color w:val="000000"/>
            </w:rPr>
            <w:instrText xml:space="preserve"> MACROBUTTON  SnrToggleCheckbox </w:instrText>
          </w:r>
          <w:r>
            <w:rPr>
              <w:rFonts w:hint="eastAsia"/>
              <w:color w:val="000000"/>
            </w:rPr>
            <w:instrText>□适用</w:instrText>
          </w:r>
          <w:r>
            <w:rPr>
              <w:rFonts w:hint="eastAsia"/>
              <w:color w:val="000000"/>
            </w:rPr>
            <w:instrText xml:space="preserve"> </w:instrText>
          </w:r>
          <w:r>
            <w:rPr>
              <w:rFonts w:hint="eastAsia"/>
              <w:color w:val="000000"/>
            </w:rPr>
            <w:fldChar w:fldCharType="end"/>
          </w:r>
          <w:r>
            <w:rPr>
              <w:rFonts w:hint="eastAsia"/>
              <w:color w:val="000000"/>
            </w:rPr>
            <w:fldChar w:fldCharType="begin"/>
          </w:r>
          <w:r>
            <w:rPr>
              <w:rFonts w:hint="eastAsia"/>
              <w:color w:val="000000"/>
            </w:rPr>
            <w:instrText xml:space="preserve"> MACROBUTTON  SnrToggleCheckbox </w:instrText>
          </w:r>
          <w:r>
            <w:rPr>
              <w:rFonts w:hint="eastAsia"/>
              <w:color w:val="000000"/>
            </w:rPr>
            <w:instrText>√不适用</w:instrText>
          </w:r>
          <w:r>
            <w:rPr>
              <w:rFonts w:hint="eastAsia"/>
              <w:color w:val="000000"/>
            </w:rPr>
            <w:instrText xml:space="preserve"> </w:instrText>
          </w:r>
          <w:r>
            <w:rPr>
              <w:rFonts w:hint="eastAsia"/>
              <w:color w:val="000000"/>
            </w:rPr>
            <w:fldChar w:fldCharType="end"/>
          </w:r>
        </w:p>
      </w:sdtContent>
    </w:sdt>
    <w:bookmarkEnd w:id="67"/>
    <w:p w:rsidR="00156DD6" w:rsidRDefault="00D51F5F">
      <w:pPr>
        <w:pStyle w:val="TOC6"/>
        <w:numPr>
          <w:ilvl w:val="0"/>
          <w:numId w:val="9"/>
        </w:numPr>
        <w:rPr>
          <w:rFonts w:ascii="宋体" w:hAnsi="宋体"/>
          <w:color w:val="000000" w:themeColor="text1"/>
          <w:sz w:val="21"/>
          <w:szCs w:val="21"/>
        </w:rPr>
      </w:pPr>
      <w:r>
        <w:rPr>
          <w:rFonts w:ascii="宋体" w:hAnsi="宋体" w:hint="eastAsia"/>
          <w:color w:val="000000" w:themeColor="text1"/>
          <w:sz w:val="21"/>
          <w:szCs w:val="21"/>
        </w:rPr>
        <w:t>公司控制的结构化主体情况</w:t>
      </w:r>
    </w:p>
    <w:sdt>
      <w:sdtPr>
        <w:rPr>
          <w:rFonts w:hint="eastAsia"/>
          <w:color w:val="000000" w:themeColor="text1"/>
        </w:rPr>
        <w:alias w:val="是否适用：公司控制的结构化主体情况[双击切换]"/>
        <w:tag w:val="_GBC_6dee8f13bc9a4596ad3e5af6f90f0b8b"/>
        <w:id w:val="-11554432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
        <w:numPr>
          <w:ilvl w:val="0"/>
          <w:numId w:val="5"/>
        </w:numPr>
        <w:tabs>
          <w:tab w:val="left" w:pos="426"/>
        </w:tabs>
        <w:ind w:left="0" w:firstLine="0"/>
        <w:jc w:val="left"/>
        <w:rPr>
          <w:rFonts w:ascii="宋体" w:hAnsi="宋体"/>
          <w:color w:val="000000" w:themeColor="text1"/>
        </w:rPr>
      </w:pPr>
      <w:r>
        <w:rPr>
          <w:rFonts w:ascii="宋体" w:hAnsi="宋体" w:hint="eastAsia"/>
          <w:color w:val="000000" w:themeColor="text1"/>
        </w:rPr>
        <w:t>其他披露事项</w:t>
      </w:r>
    </w:p>
    <w:p w:rsidR="00156DD6" w:rsidRDefault="00D51F5F">
      <w:pPr>
        <w:pStyle w:val="3"/>
        <w:numPr>
          <w:ilvl w:val="0"/>
          <w:numId w:val="14"/>
        </w:numPr>
        <w:rPr>
          <w:rFonts w:ascii="宋体" w:hAnsi="宋体"/>
          <w:color w:val="000000" w:themeColor="text1"/>
        </w:rPr>
      </w:pPr>
      <w:r>
        <w:rPr>
          <w:rFonts w:ascii="宋体" w:hAnsi="宋体"/>
          <w:color w:val="000000" w:themeColor="text1"/>
        </w:rPr>
        <w:t>可能面对的风险</w:t>
      </w:r>
    </w:p>
    <w:sdt>
      <w:sdtPr>
        <w:rPr>
          <w:rFonts w:hint="eastAsia"/>
          <w:color w:val="000000" w:themeColor="text1"/>
        </w:rPr>
        <w:alias w:val="是否适用：可能面对的风险[双击切换]"/>
        <w:tag w:val="_GBC_2a971d8ab5884d3eb5547ede4e1e17c9"/>
        <w:id w:val="54665266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公司可能面对的风险"/>
        <w:tag w:val="_GBC_6e03b01ba4f1453dbc563404b41bfdbc"/>
        <w:id w:val="452445393"/>
        <w:placeholder>
          <w:docPart w:val="GBC22222222222222222222222222222"/>
        </w:placeholder>
      </w:sdtPr>
      <w:sdtEndPr/>
      <w:sdtContent>
        <w:p w:rsidR="00156DD6" w:rsidRDefault="00D51F5F">
          <w:pPr>
            <w:spacing w:line="360" w:lineRule="exact"/>
            <w:ind w:firstLineChars="200" w:firstLine="420"/>
            <w:rPr>
              <w:color w:val="000000"/>
            </w:rPr>
          </w:pPr>
          <w:r>
            <w:rPr>
              <w:rFonts w:hint="eastAsia"/>
            </w:rPr>
            <w:t>1</w:t>
          </w:r>
          <w:r>
            <w:rPr>
              <w:rFonts w:hint="eastAsia"/>
              <w:color w:val="000000"/>
            </w:rPr>
            <w:t>、宏观经济风险和行业风险</w:t>
          </w:r>
        </w:p>
        <w:p w:rsidR="00156DD6" w:rsidRDefault="00D51F5F">
          <w:pPr>
            <w:spacing w:line="360" w:lineRule="exact"/>
            <w:ind w:firstLineChars="200" w:firstLine="420"/>
            <w:rPr>
              <w:color w:val="000000"/>
            </w:rPr>
          </w:pPr>
          <w:r>
            <w:rPr>
              <w:rFonts w:hint="eastAsia"/>
              <w:color w:val="000000"/>
            </w:rPr>
            <w:lastRenderedPageBreak/>
            <w:t>公司所从事的取向硅钢和输配电及控制设备产业均与电力行业投资及需求紧密相关，电力行业是关系国民经济持续稳定发展的主要环节之一，行业整体需求与宏观经济情况以及社会用电需求密切相关；如果国际经济环境进一步恶化影响国内实体企业发展或者国家宏观政策变化、宏观经济风险加剧，电力能源发展战略、产业结构、市场结构调整、行业资源整合、市场供需变动等因素都有可能对公司的盈利能力造成冲击。</w:t>
          </w:r>
        </w:p>
        <w:p w:rsidR="00156DD6" w:rsidRDefault="00D51F5F">
          <w:pPr>
            <w:spacing w:line="360" w:lineRule="exact"/>
            <w:ind w:firstLineChars="200" w:firstLine="420"/>
            <w:rPr>
              <w:color w:val="000000"/>
            </w:rPr>
          </w:pPr>
          <w:r>
            <w:rPr>
              <w:rFonts w:hint="eastAsia"/>
              <w:color w:val="000000"/>
            </w:rPr>
            <w:t>应对措施：公司将加强对国际形势和国内宏观经济的研判，及时掌握国家、行业、区域相关政策，结合公司发展实际情况，保障公司生产经营、战略发展决策的</w:t>
          </w:r>
          <w:r>
            <w:rPr>
              <w:rFonts w:hint="eastAsia"/>
              <w:color w:val="000000"/>
            </w:rPr>
            <w:t>科学、有效。</w:t>
          </w:r>
        </w:p>
        <w:p w:rsidR="00156DD6" w:rsidRDefault="00D51F5F">
          <w:pPr>
            <w:spacing w:line="360" w:lineRule="exact"/>
            <w:ind w:firstLineChars="200" w:firstLine="420"/>
            <w:rPr>
              <w:color w:val="000000"/>
            </w:rPr>
          </w:pPr>
          <w:r>
            <w:rPr>
              <w:rFonts w:hint="eastAsia"/>
              <w:color w:val="000000"/>
            </w:rPr>
            <w:t>2</w:t>
          </w:r>
          <w:r>
            <w:rPr>
              <w:rFonts w:hint="eastAsia"/>
              <w:color w:val="000000"/>
            </w:rPr>
            <w:t>、市场竞争风险</w:t>
          </w:r>
        </w:p>
        <w:p w:rsidR="00156DD6" w:rsidRDefault="00D51F5F">
          <w:pPr>
            <w:spacing w:line="360" w:lineRule="exact"/>
            <w:ind w:firstLineChars="200" w:firstLine="420"/>
            <w:rPr>
              <w:color w:val="000000"/>
            </w:rPr>
          </w:pPr>
          <w:r>
            <w:rPr>
              <w:rFonts w:hint="eastAsia"/>
              <w:color w:val="000000"/>
            </w:rPr>
            <w:t>取向硅钢行业因为需求拉动带来同业大量扩产，新投产装置产能将逐步释放，同时进口取向硅钢也对市场带来冲击，未来取向硅钢市场竞争会持续增加；输配电及控制设备行业受宏观经济影响，普遍存在成本增加、毛利率下降、竞争日趋激烈的问题，给公司生产经营带来更多的市场风险。</w:t>
          </w:r>
        </w:p>
        <w:p w:rsidR="00156DD6" w:rsidRDefault="00D51F5F">
          <w:pPr>
            <w:spacing w:line="360" w:lineRule="exact"/>
            <w:ind w:firstLineChars="200" w:firstLine="420"/>
            <w:rPr>
              <w:color w:val="000000"/>
            </w:rPr>
          </w:pPr>
          <w:r>
            <w:rPr>
              <w:rFonts w:hint="eastAsia"/>
              <w:color w:val="000000"/>
            </w:rPr>
            <w:t>应对措施：公司将整合优势资源加大取向硅钢高牌号研发力度，进一步提升优化产品牌号结构，以此提升公司产品市场竞争力；输配电及控制设备将通过加大科技创新投入、设备技改投入等多种方式降低制造成本、提升产品质量、增强客户定制化和一体化服务能力等手段不断增强公司市场竞争力，逐步巩固和提升行业品牌影响力和市场占有率。</w:t>
          </w:r>
        </w:p>
        <w:p w:rsidR="00156DD6" w:rsidRDefault="00D51F5F">
          <w:pPr>
            <w:spacing w:line="360" w:lineRule="exact"/>
            <w:ind w:firstLineChars="200" w:firstLine="420"/>
            <w:rPr>
              <w:color w:val="000000"/>
            </w:rPr>
          </w:pPr>
          <w:r>
            <w:rPr>
              <w:rFonts w:hint="eastAsia"/>
              <w:color w:val="000000"/>
            </w:rPr>
            <w:t>3</w:t>
          </w:r>
          <w:r>
            <w:rPr>
              <w:rFonts w:hint="eastAsia"/>
              <w:color w:val="000000"/>
            </w:rPr>
            <w:t>、客户信用风险</w:t>
          </w:r>
        </w:p>
        <w:p w:rsidR="00156DD6" w:rsidRDefault="00D51F5F">
          <w:pPr>
            <w:spacing w:line="360" w:lineRule="exact"/>
            <w:ind w:firstLineChars="200" w:firstLine="420"/>
            <w:rPr>
              <w:color w:val="000000"/>
            </w:rPr>
          </w:pPr>
          <w:r>
            <w:rPr>
              <w:rFonts w:hint="eastAsia"/>
              <w:color w:val="000000"/>
            </w:rPr>
            <w:t>当前国内需求不足，重点领域风险隐患较多，国际大宗商品价格剧烈波动，国内外经济压力进一步加大，外部环境复杂严峻，公司部分客户可能存在信用风险增加，给公司持续稳定健康发展带来一定影响和冲击。</w:t>
          </w:r>
        </w:p>
        <w:p w:rsidR="00156DD6" w:rsidRDefault="00D51F5F">
          <w:pPr>
            <w:spacing w:line="360" w:lineRule="exact"/>
            <w:ind w:firstLineChars="200" w:firstLine="420"/>
            <w:rPr>
              <w:color w:val="000000"/>
            </w:rPr>
          </w:pPr>
          <w:r>
            <w:rPr>
              <w:rFonts w:hint="eastAsia"/>
              <w:color w:val="000000"/>
            </w:rPr>
            <w:t>截至本报告期末应收账款账面价值</w:t>
          </w:r>
          <w:r>
            <w:rPr>
              <w:rFonts w:hint="eastAsia"/>
              <w:color w:val="000000"/>
            </w:rPr>
            <w:t>17.62</w:t>
          </w:r>
          <w:r>
            <w:rPr>
              <w:rFonts w:hint="eastAsia"/>
              <w:color w:val="000000"/>
            </w:rPr>
            <w:t>亿元，占总资产比例</w:t>
          </w:r>
          <w:r>
            <w:rPr>
              <w:rFonts w:hint="eastAsia"/>
              <w:color w:val="000000"/>
            </w:rPr>
            <w:t>26.05%</w:t>
          </w:r>
          <w:r>
            <w:rPr>
              <w:rFonts w:hint="eastAsia"/>
              <w:color w:val="000000"/>
            </w:rPr>
            <w:t>。若未来经济环境及产业政策变化，部分客户经营情况发生重大不利变化，则公司将面临不能按期收回或无法收回应收账款的风险，从而对公司经营活动净现金流量产生不利影响。</w:t>
          </w:r>
        </w:p>
        <w:p w:rsidR="00156DD6" w:rsidRDefault="00D51F5F">
          <w:pPr>
            <w:spacing w:line="360" w:lineRule="exact"/>
            <w:ind w:firstLineChars="200" w:firstLine="420"/>
            <w:rPr>
              <w:color w:val="000000"/>
            </w:rPr>
          </w:pPr>
          <w:r>
            <w:rPr>
              <w:rFonts w:hint="eastAsia"/>
              <w:color w:val="000000"/>
            </w:rPr>
            <w:t>应对措施：建立完善的客户信用评估体系，筛选优质客户；加强对客户进行事前、事中、事后全过程调研和跟踪，按公司相关流程和权限审批授信额度；成立客户信用管理专项小组，及时跟踪账期较长的客户基本面，若发现客户资信出现方向性变化，立即调整收款策略。</w:t>
          </w:r>
        </w:p>
        <w:p w:rsidR="00156DD6" w:rsidRDefault="00D51F5F">
          <w:pPr>
            <w:spacing w:line="360" w:lineRule="exact"/>
            <w:ind w:firstLineChars="200" w:firstLine="420"/>
            <w:rPr>
              <w:color w:val="000000"/>
            </w:rPr>
          </w:pPr>
          <w:r>
            <w:rPr>
              <w:rFonts w:hint="eastAsia"/>
              <w:color w:val="000000"/>
            </w:rPr>
            <w:t>4</w:t>
          </w:r>
          <w:r>
            <w:rPr>
              <w:rFonts w:hint="eastAsia"/>
              <w:color w:val="000000"/>
            </w:rPr>
            <w:t>、大宗商品价格波动的风险</w:t>
          </w:r>
        </w:p>
        <w:p w:rsidR="00156DD6" w:rsidRDefault="00D51F5F">
          <w:pPr>
            <w:spacing w:line="360" w:lineRule="exact"/>
            <w:ind w:firstLineChars="200" w:firstLine="420"/>
            <w:rPr>
              <w:color w:val="000000"/>
            </w:rPr>
          </w:pPr>
          <w:r>
            <w:rPr>
              <w:rFonts w:hint="eastAsia"/>
              <w:color w:val="000000"/>
            </w:rPr>
            <w:t>公司产品的主要</w:t>
          </w:r>
          <w:r>
            <w:rPr>
              <w:rFonts w:hint="eastAsia"/>
              <w:color w:val="000000"/>
            </w:rPr>
            <w:t>原材料包括铜、硅钢原料卷、电力变压器油等大宗材料价格波动，直接影响公司的生产成本，进而影响公司的盈利水平。同时，受经济周期波动、市场供求以及投机炒作的影响，大宗材料价格存在剧烈波动风险，将对公司的盈利能力产生较大不利影响。</w:t>
          </w:r>
        </w:p>
        <w:p w:rsidR="00156DD6" w:rsidRDefault="00D51F5F">
          <w:pPr>
            <w:spacing w:line="360" w:lineRule="exact"/>
            <w:ind w:firstLineChars="200" w:firstLine="420"/>
            <w:rPr>
              <w:color w:val="000000"/>
            </w:rPr>
          </w:pPr>
          <w:r>
            <w:rPr>
              <w:rFonts w:hint="eastAsia"/>
              <w:color w:val="000000"/>
            </w:rPr>
            <w:t>应对措施：公司将加强科技研发、自主创新能力建设，不断降低生产成本；加强大宗材料价格趋势研究、强化与大宗材料及设备供应商的战略合作关系，通过加大储备、集团科学采购、套期保值等多种方式有效降低大宗材料价格波动影响。</w:t>
          </w:r>
        </w:p>
        <w:p w:rsidR="00156DD6" w:rsidRDefault="00D51F5F">
          <w:pPr>
            <w:spacing w:line="360" w:lineRule="exact"/>
            <w:ind w:firstLineChars="200" w:firstLine="420"/>
            <w:rPr>
              <w:color w:val="000000"/>
            </w:rPr>
          </w:pPr>
          <w:r>
            <w:rPr>
              <w:rFonts w:hint="eastAsia"/>
              <w:color w:val="000000"/>
            </w:rPr>
            <w:t>5</w:t>
          </w:r>
          <w:r>
            <w:rPr>
              <w:rFonts w:hint="eastAsia"/>
              <w:color w:val="000000"/>
            </w:rPr>
            <w:t>、汇率波动风险</w:t>
          </w:r>
        </w:p>
        <w:p w:rsidR="00156DD6" w:rsidRDefault="00D51F5F">
          <w:pPr>
            <w:spacing w:line="360" w:lineRule="exact"/>
            <w:ind w:firstLineChars="200" w:firstLine="420"/>
            <w:rPr>
              <w:color w:val="000000"/>
            </w:rPr>
          </w:pPr>
          <w:r>
            <w:rPr>
              <w:rFonts w:hint="eastAsia"/>
              <w:color w:val="000000"/>
            </w:rPr>
            <w:lastRenderedPageBreak/>
            <w:t>公司取向硅钢产品出口占比较高，且主要以美元作为结算货币，受</w:t>
          </w:r>
          <w:r>
            <w:rPr>
              <w:rFonts w:hint="eastAsia"/>
              <w:color w:val="000000"/>
            </w:rPr>
            <w:t>外币汇率波动影响，汇率波动将直接影响公司的经营业绩。未来若公司主要结算外币的汇率出现大幅不利变动，导致公司汇兑损益持续上升，将对公司经营业绩产生不利影响。</w:t>
          </w:r>
        </w:p>
        <w:p w:rsidR="00156DD6" w:rsidRDefault="00D51F5F">
          <w:pPr>
            <w:spacing w:line="360" w:lineRule="exact"/>
            <w:ind w:firstLineChars="200" w:firstLine="420"/>
            <w:rPr>
              <w:color w:val="000000"/>
            </w:rPr>
          </w:pPr>
          <w:r>
            <w:rPr>
              <w:rFonts w:hint="eastAsia"/>
              <w:color w:val="000000"/>
            </w:rPr>
            <w:t>应对措施：公司将充分利用国家支持优势企业加快走出去的政策环境，通过外汇套期保值工具，通过选择合理币种结算、对人民币跨境结算试点地区业务尽量以人民币作为结算币种、利用国际信贷等多种方式降低汇率波动带来的风险。</w:t>
          </w:r>
        </w:p>
        <w:p w:rsidR="00156DD6" w:rsidRDefault="00D51F5F">
          <w:pPr>
            <w:spacing w:line="360" w:lineRule="exact"/>
            <w:ind w:firstLineChars="200" w:firstLine="420"/>
          </w:pPr>
          <w:r>
            <w:rPr>
              <w:rFonts w:hint="eastAsia"/>
              <w:color w:val="000000"/>
            </w:rPr>
            <w:t>6</w:t>
          </w:r>
          <w:r>
            <w:rPr>
              <w:rFonts w:hint="eastAsia"/>
              <w:color w:val="000000"/>
            </w:rPr>
            <w:t>、流动性风险</w:t>
          </w:r>
        </w:p>
        <w:p w:rsidR="00156DD6" w:rsidRDefault="00D51F5F">
          <w:pPr>
            <w:spacing w:line="360" w:lineRule="exact"/>
            <w:ind w:firstLineChars="200" w:firstLine="420"/>
            <w:rPr>
              <w:color w:val="000000"/>
            </w:rPr>
          </w:pPr>
          <w:r>
            <w:rPr>
              <w:rFonts w:hint="eastAsia"/>
              <w:color w:val="000000"/>
            </w:rPr>
            <w:t>截止报告期末公司</w:t>
          </w:r>
          <w:r>
            <w:rPr>
              <w:rFonts w:hint="eastAsia"/>
              <w:color w:val="000000"/>
            </w:rPr>
            <w:t>1</w:t>
          </w:r>
          <w:r>
            <w:rPr>
              <w:rFonts w:hint="eastAsia"/>
              <w:color w:val="000000"/>
            </w:rPr>
            <w:t>年内需偿还的有息负债金额为</w:t>
          </w:r>
          <w:r>
            <w:rPr>
              <w:rFonts w:hint="eastAsia"/>
              <w:color w:val="000000"/>
            </w:rPr>
            <w:t>6.49</w:t>
          </w:r>
          <w:r>
            <w:rPr>
              <w:rFonts w:hint="eastAsia"/>
              <w:color w:val="000000"/>
            </w:rPr>
            <w:t>亿元</w:t>
          </w:r>
          <w:r>
            <w:rPr>
              <w:rFonts w:hint="eastAsia"/>
              <w:color w:val="000000"/>
            </w:rPr>
            <w:t>,</w:t>
          </w:r>
          <w:r>
            <w:rPr>
              <w:rFonts w:hint="eastAsia"/>
              <w:color w:val="000000"/>
            </w:rPr>
            <w:t>存在因集中偿付导致短期流动性压力的潜在风险。</w:t>
          </w:r>
        </w:p>
        <w:p w:rsidR="00156DD6" w:rsidRDefault="00D51F5F">
          <w:pPr>
            <w:spacing w:line="360" w:lineRule="exact"/>
            <w:ind w:firstLineChars="200" w:firstLine="420"/>
          </w:pPr>
          <w:r>
            <w:rPr>
              <w:rFonts w:hint="eastAsia"/>
              <w:color w:val="000000"/>
            </w:rPr>
            <w:t>应对措施：截止本报告披露日公</w:t>
          </w:r>
          <w:r>
            <w:rPr>
              <w:rFonts w:hint="eastAsia"/>
              <w:color w:val="000000"/>
            </w:rPr>
            <w:t>司可使用融资授信总额</w:t>
          </w:r>
          <w:r>
            <w:rPr>
              <w:rFonts w:hint="eastAsia"/>
              <w:color w:val="000000"/>
            </w:rPr>
            <w:t>52.08</w:t>
          </w:r>
          <w:r>
            <w:rPr>
              <w:rFonts w:hint="eastAsia"/>
              <w:color w:val="000000"/>
            </w:rPr>
            <w:t>亿元，剩余可使用授信额度</w:t>
          </w:r>
          <w:r>
            <w:rPr>
              <w:rFonts w:hint="eastAsia"/>
              <w:color w:val="000000"/>
            </w:rPr>
            <w:t>27.57</w:t>
          </w:r>
          <w:r>
            <w:rPr>
              <w:rFonts w:hint="eastAsia"/>
              <w:color w:val="000000"/>
            </w:rPr>
            <w:t>亿元且有</w:t>
          </w:r>
          <w:r>
            <w:rPr>
              <w:rFonts w:hint="eastAsia"/>
              <w:color w:val="000000"/>
            </w:rPr>
            <w:t>13.4</w:t>
          </w:r>
          <w:r>
            <w:rPr>
              <w:rFonts w:hint="eastAsia"/>
              <w:color w:val="000000"/>
            </w:rPr>
            <w:t>亿元可以置换他行贷款，公司偿还有息负债资金充分；随着公司产能逐步释放，可持续增长能力逐步提升，经营性净现金流获取能力也将逐步改善；同时公司有完善的资金预算管理体系，并通过多元化融资渠道安排确保偿债能力。未来将持续优化资产负债结构，保持合理的流动性储备，以有效应对可能的资金周转需求。</w:t>
          </w:r>
        </w:p>
      </w:sdtContent>
    </w:sdt>
    <w:p w:rsidR="00156DD6" w:rsidRDefault="00D51F5F">
      <w:pPr>
        <w:pStyle w:val="3"/>
        <w:numPr>
          <w:ilvl w:val="0"/>
          <w:numId w:val="14"/>
        </w:numPr>
        <w:rPr>
          <w:rFonts w:ascii="宋体" w:hAnsi="宋体"/>
          <w:color w:val="000000" w:themeColor="text1"/>
        </w:rPr>
      </w:pPr>
      <w:r>
        <w:rPr>
          <w:rFonts w:ascii="宋体" w:hAnsi="宋体"/>
          <w:color w:val="000000" w:themeColor="text1"/>
        </w:rPr>
        <w:t>其他披露事项</w:t>
      </w:r>
    </w:p>
    <w:sdt>
      <w:sdtPr>
        <w:rPr>
          <w:rFonts w:hint="eastAsia"/>
          <w:color w:val="000000" w:themeColor="text1"/>
        </w:rPr>
        <w:alias w:val="是否适用：董事会其他需要披露的事项[双击切换]"/>
        <w:tag w:val="_GBC_4bd5ba6bf4044aee9ecd40a0c2fc29bf"/>
        <w:id w:val="-3452429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w:instrText>
          </w:r>
          <w:r>
            <w:rPr>
              <w:color w:val="000000" w:themeColor="text1"/>
            </w:rPr>
            <w:instrText>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156DD6">
      <w:pPr>
        <w:rPr>
          <w:color w:val="000000" w:themeColor="text1"/>
        </w:rPr>
      </w:pPr>
    </w:p>
    <w:bookmarkEnd w:id="54"/>
    <w:p w:rsidR="00156DD6" w:rsidRDefault="00156DD6">
      <w:pPr>
        <w:rPr>
          <w:color w:val="000000" w:themeColor="text1"/>
        </w:rPr>
        <w:sectPr w:rsidR="00156DD6">
          <w:pgSz w:w="16838" w:h="11906" w:orient="landscape"/>
          <w:pgMar w:top="1797" w:right="1525" w:bottom="1276" w:left="1440" w:header="851" w:footer="992" w:gutter="0"/>
          <w:cols w:space="425"/>
          <w:docGrid w:linePitch="312"/>
        </w:sectPr>
      </w:pPr>
    </w:p>
    <w:p w:rsidR="00156DD6" w:rsidRDefault="00156DD6">
      <w:pPr>
        <w:rPr>
          <w:color w:val="000000" w:themeColor="text1"/>
        </w:rPr>
      </w:pPr>
    </w:p>
    <w:p w:rsidR="00156DD6" w:rsidRDefault="00D51F5F">
      <w:pPr>
        <w:pStyle w:val="1"/>
        <w:numPr>
          <w:ilvl w:val="0"/>
          <w:numId w:val="2"/>
        </w:numPr>
        <w:rPr>
          <w:rFonts w:ascii="黑体" w:hAnsi="黑体"/>
          <w:color w:val="000000" w:themeColor="text1"/>
        </w:rPr>
      </w:pPr>
      <w:bookmarkStart w:id="68" w:name="_Toc76114275"/>
      <w:bookmarkStart w:id="69" w:name="_Toc200030542"/>
      <w:r>
        <w:rPr>
          <w:rFonts w:ascii="黑体" w:hAnsi="黑体" w:hint="eastAsia"/>
          <w:color w:val="000000" w:themeColor="text1"/>
        </w:rPr>
        <w:t>公司治理</w:t>
      </w:r>
      <w:bookmarkEnd w:id="68"/>
      <w:r>
        <w:rPr>
          <w:rFonts w:ascii="黑体" w:hAnsi="黑体" w:hint="eastAsia"/>
          <w:color w:val="000000" w:themeColor="text1"/>
        </w:rPr>
        <w:t>、环境和社会</w:t>
      </w:r>
    </w:p>
    <w:p w:rsidR="00156DD6" w:rsidRDefault="00D51F5F">
      <w:pPr>
        <w:pStyle w:val="2"/>
        <w:numPr>
          <w:ilvl w:val="0"/>
          <w:numId w:val="15"/>
        </w:numPr>
        <w:tabs>
          <w:tab w:val="left" w:pos="426"/>
        </w:tabs>
        <w:jc w:val="left"/>
        <w:rPr>
          <w:rFonts w:ascii="宋体" w:hAnsi="宋体"/>
          <w:color w:val="000000" w:themeColor="text1"/>
        </w:rPr>
      </w:pPr>
      <w:bookmarkStart w:id="70" w:name="_Toc342566009"/>
      <w:bookmarkStart w:id="71" w:name="_Toc342057949"/>
      <w:bookmarkEnd w:id="69"/>
      <w:r>
        <w:rPr>
          <w:rFonts w:ascii="宋体" w:hAnsi="宋体" w:hint="eastAsia"/>
          <w:color w:val="000000" w:themeColor="text1"/>
        </w:rPr>
        <w:t>公司董事</w:t>
      </w:r>
      <w:sdt>
        <w:sdtPr>
          <w:tag w:val="_PLD_3637b4c0b8be4e27acfc82062bee9dc2"/>
          <w:id w:val="150188047"/>
        </w:sdtPr>
        <w:sdtEndPr/>
        <w:sdtContent>
          <w:r>
            <w:rPr>
              <w:rFonts w:ascii="宋体" w:hAnsi="宋体" w:hint="eastAsia"/>
              <w:vanish/>
              <w:color w:val="000000" w:themeColor="text1"/>
            </w:rPr>
            <w:t>、监事</w:t>
          </w:r>
        </w:sdtContent>
      </w:sdt>
      <w:r>
        <w:rPr>
          <w:rFonts w:ascii="宋体" w:hAnsi="宋体"/>
          <w:color w:val="000000" w:themeColor="text1"/>
        </w:rPr>
        <w:t>、</w:t>
      </w:r>
      <w:r>
        <w:rPr>
          <w:rFonts w:ascii="宋体" w:hAnsi="宋体" w:hint="eastAsia"/>
          <w:color w:val="000000" w:themeColor="text1"/>
        </w:rPr>
        <w:t>高级管理人员变动情况</w:t>
      </w:r>
      <w:bookmarkEnd w:id="70"/>
      <w:bookmarkEnd w:id="71"/>
    </w:p>
    <w:sdt>
      <w:sdtPr>
        <w:rPr>
          <w:color w:val="000000" w:themeColor="text1"/>
        </w:rPr>
        <w:alias w:val="是否适用：公司董事、监事、高级管理人员变动情况[双击切换]"/>
        <w:tag w:val="_GBC_001d837207464f1aaa52a7fb8cd9d226"/>
        <w:id w:val="-204928849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D51F5F">
      <w:pPr>
        <w:rPr>
          <w:color w:val="000000" w:themeColor="text1"/>
        </w:rPr>
      </w:pPr>
      <w:r>
        <w:rPr>
          <w:rFonts w:hint="eastAsia"/>
          <w:color w:val="000000" w:themeColor="text1"/>
        </w:rPr>
        <w:t>公司董事</w:t>
      </w:r>
      <w:sdt>
        <w:sdtPr>
          <w:tag w:val="_PLD_613c7c20bfc34529ae9217528bf7ed10"/>
          <w:id w:val="-1877918862"/>
        </w:sdtPr>
        <w:sdtEndPr/>
        <w:sdtContent>
          <w:r>
            <w:rPr>
              <w:rFonts w:hint="eastAsia"/>
              <w:vanish/>
              <w:color w:val="000000" w:themeColor="text1"/>
            </w:rPr>
            <w:t>、监事</w:t>
          </w:r>
        </w:sdtContent>
      </w:sdt>
      <w:r>
        <w:rPr>
          <w:rFonts w:hint="eastAsia"/>
          <w:color w:val="000000" w:themeColor="text1"/>
        </w:rPr>
        <w:t>、高级管理人员变动的情况说明</w:t>
      </w:r>
    </w:p>
    <w:sdt>
      <w:sdtPr>
        <w:rPr>
          <w:rFonts w:hint="eastAsia"/>
          <w:color w:val="000000" w:themeColor="text1"/>
        </w:rPr>
        <w:alias w:val="是否适用：公司董事、监事、高级管理人员变动的情况说明 [双击切换]"/>
        <w:tag w:val="_GBC_1eda708e71a542fa89f6ad1bb8abbf70"/>
        <w:id w:val="-99023982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D51F5F">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利润分配或资本公积金转增预案</w:t>
      </w:r>
    </w:p>
    <w:p w:rsidR="00156DD6" w:rsidRDefault="00D51F5F">
      <w:pPr>
        <w:rPr>
          <w:b/>
          <w:bCs w:val="0"/>
          <w:color w:val="000000" w:themeColor="text1"/>
        </w:rPr>
      </w:pPr>
      <w:r>
        <w:rPr>
          <w:b/>
          <w:color w:val="000000" w:themeColor="text1"/>
        </w:rPr>
        <w:t>半年度拟定的利润分配预案、公积金转增股本预案</w:t>
      </w:r>
    </w:p>
    <w:tbl>
      <w:tblPr>
        <w:tblStyle w:val="af5"/>
        <w:tblW w:w="0" w:type="auto"/>
        <w:tblLook w:val="04A0" w:firstRow="1" w:lastRow="0" w:firstColumn="1" w:lastColumn="0" w:noHBand="0" w:noVBand="1"/>
      </w:tblPr>
      <w:tblGrid>
        <w:gridCol w:w="4418"/>
        <w:gridCol w:w="4405"/>
      </w:tblGrid>
      <w:tr w:rsidR="00156DD6">
        <w:sdt>
          <w:sdtPr>
            <w:tag w:val="_PLD_dee68179c02c4ccc8a9b8d7e3f70f2c6"/>
            <w:id w:val="331350815"/>
          </w:sdtPr>
          <w:sdtEndPr/>
          <w:sdtContent>
            <w:tc>
              <w:tcPr>
                <w:tcW w:w="4524" w:type="dxa"/>
              </w:tcPr>
              <w:p w:rsidR="00156DD6" w:rsidRDefault="00D51F5F">
                <w:pPr>
                  <w:rPr>
                    <w:color w:val="000000" w:themeColor="text1"/>
                  </w:rPr>
                </w:pPr>
                <w:r>
                  <w:rPr>
                    <w:color w:val="000000" w:themeColor="text1"/>
                  </w:rPr>
                  <w:t>是否分配或转增</w:t>
                </w:r>
              </w:p>
            </w:tc>
          </w:sdtContent>
        </w:sdt>
        <w:sdt>
          <w:sdtPr>
            <w:rPr>
              <w:rFonts w:hint="eastAsia"/>
              <w:color w:val="000000" w:themeColor="text1"/>
            </w:rPr>
            <w:alias w:val="是否分配或转增"/>
            <w:tag w:val="_GBC_1aa3bb539f35454da0536200efcc4f60"/>
            <w:id w:val="-86465091"/>
            <w:comboBox>
              <w:listItem w:displayText="是" w:value="true"/>
              <w:listItem w:displayText="否" w:value="false"/>
            </w:comboBox>
          </w:sdtPr>
          <w:sdtEndPr/>
          <w:sdtContent>
            <w:tc>
              <w:tcPr>
                <w:tcW w:w="4524" w:type="dxa"/>
              </w:tcPr>
              <w:p w:rsidR="00156DD6" w:rsidRDefault="00D51F5F">
                <w:pPr>
                  <w:rPr>
                    <w:color w:val="000000" w:themeColor="text1"/>
                  </w:rPr>
                </w:pPr>
                <w:r>
                  <w:rPr>
                    <w:rFonts w:hint="eastAsia"/>
                    <w:color w:val="000000" w:themeColor="text1"/>
                  </w:rPr>
                  <w:t>否</w:t>
                </w:r>
              </w:p>
            </w:tc>
          </w:sdtContent>
        </w:sdt>
      </w:tr>
      <w:tr w:rsidR="00156DD6">
        <w:tc>
          <w:tcPr>
            <w:tcW w:w="4524" w:type="dxa"/>
          </w:tcPr>
          <w:p w:rsidR="00156DD6" w:rsidRDefault="00D51F5F">
            <w:pPr>
              <w:rPr>
                <w:color w:val="000000" w:themeColor="text1"/>
              </w:rPr>
            </w:pPr>
            <w:r>
              <w:rPr>
                <w:color w:val="000000" w:themeColor="text1"/>
              </w:rPr>
              <w:t>每</w:t>
            </w:r>
            <w:r>
              <w:rPr>
                <w:color w:val="000000" w:themeColor="text1"/>
              </w:rPr>
              <w:t>10</w:t>
            </w:r>
            <w:r>
              <w:rPr>
                <w:color w:val="000000" w:themeColor="text1"/>
              </w:rPr>
              <w:t>股送红股数（股）</w:t>
            </w:r>
          </w:p>
        </w:tc>
        <w:tc>
          <w:tcPr>
            <w:tcW w:w="4524" w:type="dxa"/>
          </w:tcPr>
          <w:p w:rsidR="00156DD6" w:rsidRDefault="00D51F5F">
            <w:pPr>
              <w:jc w:val="right"/>
            </w:pPr>
            <w:r>
              <w:rPr>
                <w:rFonts w:hint="eastAsia"/>
              </w:rPr>
              <w:t>-</w:t>
            </w:r>
          </w:p>
        </w:tc>
      </w:tr>
      <w:tr w:rsidR="00156DD6">
        <w:tc>
          <w:tcPr>
            <w:tcW w:w="4524" w:type="dxa"/>
          </w:tcPr>
          <w:p w:rsidR="00156DD6" w:rsidRDefault="00D51F5F">
            <w:pPr>
              <w:rPr>
                <w:color w:val="000000" w:themeColor="text1"/>
              </w:rPr>
            </w:pPr>
            <w:r>
              <w:rPr>
                <w:color w:val="000000" w:themeColor="text1"/>
              </w:rPr>
              <w:t>每</w:t>
            </w:r>
            <w:r>
              <w:rPr>
                <w:color w:val="000000" w:themeColor="text1"/>
              </w:rPr>
              <w:t>10</w:t>
            </w:r>
            <w:r>
              <w:rPr>
                <w:color w:val="000000" w:themeColor="text1"/>
              </w:rPr>
              <w:t>股派息数</w:t>
            </w:r>
            <w:r>
              <w:rPr>
                <w:color w:val="000000" w:themeColor="text1"/>
              </w:rPr>
              <w:t>(</w:t>
            </w:r>
            <w:r>
              <w:rPr>
                <w:color w:val="000000" w:themeColor="text1"/>
              </w:rPr>
              <w:t>元</w:t>
            </w:r>
            <w:r>
              <w:rPr>
                <w:color w:val="000000" w:themeColor="text1"/>
              </w:rPr>
              <w:t>)</w:t>
            </w:r>
            <w:r>
              <w:rPr>
                <w:color w:val="000000" w:themeColor="text1"/>
              </w:rPr>
              <w:t>（含税）</w:t>
            </w:r>
          </w:p>
        </w:tc>
        <w:tc>
          <w:tcPr>
            <w:tcW w:w="4524" w:type="dxa"/>
          </w:tcPr>
          <w:p w:rsidR="00156DD6" w:rsidRDefault="00D51F5F">
            <w:pPr>
              <w:jc w:val="right"/>
            </w:pPr>
            <w:r>
              <w:rPr>
                <w:rFonts w:hint="eastAsia"/>
              </w:rPr>
              <w:t>-</w:t>
            </w:r>
          </w:p>
        </w:tc>
      </w:tr>
      <w:tr w:rsidR="00156DD6">
        <w:tc>
          <w:tcPr>
            <w:tcW w:w="4524" w:type="dxa"/>
          </w:tcPr>
          <w:p w:rsidR="00156DD6" w:rsidRDefault="00D51F5F">
            <w:pPr>
              <w:rPr>
                <w:color w:val="000000" w:themeColor="text1"/>
              </w:rPr>
            </w:pPr>
            <w:r>
              <w:rPr>
                <w:color w:val="000000" w:themeColor="text1"/>
              </w:rPr>
              <w:t>每</w:t>
            </w:r>
            <w:r>
              <w:rPr>
                <w:color w:val="000000" w:themeColor="text1"/>
              </w:rPr>
              <w:t>10</w:t>
            </w:r>
            <w:r>
              <w:rPr>
                <w:color w:val="000000" w:themeColor="text1"/>
              </w:rPr>
              <w:t>股转增数（股）</w:t>
            </w:r>
          </w:p>
        </w:tc>
        <w:tc>
          <w:tcPr>
            <w:tcW w:w="4524" w:type="dxa"/>
          </w:tcPr>
          <w:p w:rsidR="00156DD6" w:rsidRDefault="00D51F5F">
            <w:pPr>
              <w:jc w:val="right"/>
            </w:pPr>
            <w:r>
              <w:rPr>
                <w:rFonts w:hint="eastAsia"/>
              </w:rPr>
              <w:t>-</w:t>
            </w:r>
          </w:p>
        </w:tc>
      </w:tr>
      <w:tr w:rsidR="00156DD6">
        <w:sdt>
          <w:sdtPr>
            <w:tag w:val="_PLD_6f4b1db2793f4d00b5b11589fa8a57fc"/>
            <w:id w:val="-1770845461"/>
          </w:sdtPr>
          <w:sdtEndPr/>
          <w:sdtContent>
            <w:tc>
              <w:tcPr>
                <w:tcW w:w="9048" w:type="dxa"/>
                <w:gridSpan w:val="2"/>
              </w:tcPr>
              <w:p w:rsidR="00156DD6" w:rsidRDefault="00D51F5F">
                <w:pPr>
                  <w:jc w:val="center"/>
                  <w:rPr>
                    <w:color w:val="000000" w:themeColor="text1"/>
                  </w:rPr>
                </w:pPr>
                <w:r>
                  <w:rPr>
                    <w:color w:val="000000" w:themeColor="text1"/>
                  </w:rPr>
                  <w:t>利润分配或资本公积金转增预案的相关情况说明</w:t>
                </w:r>
              </w:p>
            </w:tc>
          </w:sdtContent>
        </w:sdt>
      </w:tr>
      <w:tr w:rsidR="00156DD6">
        <w:tc>
          <w:tcPr>
            <w:tcW w:w="9048" w:type="dxa"/>
            <w:gridSpan w:val="2"/>
          </w:tcPr>
          <w:p w:rsidR="00156DD6" w:rsidRDefault="00D51F5F">
            <w:pPr>
              <w:rPr>
                <w:color w:val="000000" w:themeColor="text1"/>
              </w:rPr>
            </w:pPr>
            <w:r>
              <w:rPr>
                <w:rFonts w:hint="eastAsia"/>
                <w:color w:val="000000" w:themeColor="text1"/>
              </w:rPr>
              <w:t xml:space="preserve">　</w:t>
            </w:r>
            <w:r>
              <w:rPr>
                <w:rFonts w:hint="eastAsia"/>
                <w:color w:val="000000" w:themeColor="text1"/>
              </w:rPr>
              <w:t>-</w:t>
            </w:r>
          </w:p>
        </w:tc>
      </w:tr>
    </w:tbl>
    <w:p w:rsidR="00156DD6" w:rsidRDefault="00156DD6">
      <w:pPr>
        <w:rPr>
          <w:color w:val="000000" w:themeColor="text1"/>
        </w:rPr>
      </w:pPr>
    </w:p>
    <w:p w:rsidR="00156DD6" w:rsidRDefault="00D51F5F">
      <w:pPr>
        <w:pStyle w:val="2"/>
        <w:numPr>
          <w:ilvl w:val="0"/>
          <w:numId w:val="15"/>
        </w:numPr>
        <w:tabs>
          <w:tab w:val="left" w:pos="426"/>
        </w:tabs>
        <w:jc w:val="left"/>
        <w:rPr>
          <w:rFonts w:ascii="宋体" w:hAnsi="宋体"/>
          <w:color w:val="000000" w:themeColor="text1"/>
        </w:rPr>
      </w:pPr>
      <w:r>
        <w:rPr>
          <w:rFonts w:ascii="宋体" w:hAnsi="宋体" w:hint="eastAsia"/>
          <w:color w:val="000000" w:themeColor="text1"/>
        </w:rPr>
        <w:t>公司股权激励计划、员工持股计划或其他员工激励措施的情况及其影响</w:t>
      </w:r>
    </w:p>
    <w:p w:rsidR="00156DD6" w:rsidRDefault="00D51F5F">
      <w:pPr>
        <w:pStyle w:val="3"/>
        <w:numPr>
          <w:ilvl w:val="1"/>
          <w:numId w:val="16"/>
        </w:numPr>
        <w:rPr>
          <w:rFonts w:ascii="宋体" w:hAnsi="宋体"/>
          <w:color w:val="000000" w:themeColor="text1"/>
          <w:kern w:val="44"/>
        </w:rPr>
      </w:pPr>
      <w:bookmarkStart w:id="72" w:name="_Hlk74641818"/>
      <w:r>
        <w:rPr>
          <w:rFonts w:ascii="宋体" w:hAnsi="宋体" w:hint="eastAsia"/>
          <w:color w:val="000000" w:themeColor="text1"/>
          <w:kern w:val="44"/>
        </w:rPr>
        <w:t>相关股权激励事项已在临时公告披露且后续实施无进展或变化的</w:t>
      </w:r>
    </w:p>
    <w:sdt>
      <w:sdtPr>
        <w:rPr>
          <w:color w:val="000000" w:themeColor="text1"/>
        </w:rPr>
        <w:alias w:val="是否适用：相关激励事项已在临时公告披露且后续实施无进展或变化的[双击切换]"/>
        <w:tag w:val="_GBC_3c43a5cea9ef47daa40f133532dcd63c"/>
        <w:id w:val="77420988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5731"/>
      </w:tblGrid>
      <w:tr w:rsidR="00156DD6">
        <w:sdt>
          <w:sdtPr>
            <w:tag w:val="_PLD_ef812a0a3e304bed86eb0a29278eb98f"/>
            <w:id w:val="1508400908"/>
          </w:sdtPr>
          <w:sdtEndPr/>
          <w:sdtContent>
            <w:tc>
              <w:tcPr>
                <w:tcW w:w="1752" w:type="pct"/>
              </w:tcPr>
              <w:p w:rsidR="00156DD6" w:rsidRDefault="00D51F5F">
                <w:pPr>
                  <w:jc w:val="center"/>
                  <w:rPr>
                    <w:bCs w:val="0"/>
                    <w:color w:val="000000" w:themeColor="text1"/>
                    <w:kern w:val="44"/>
                  </w:rPr>
                </w:pPr>
                <w:r>
                  <w:rPr>
                    <w:rFonts w:hint="eastAsia"/>
                    <w:color w:val="000000" w:themeColor="text1"/>
                    <w:kern w:val="44"/>
                  </w:rPr>
                  <w:t>事项概述</w:t>
                </w:r>
              </w:p>
            </w:tc>
          </w:sdtContent>
        </w:sdt>
        <w:sdt>
          <w:sdtPr>
            <w:tag w:val="_PLD_765d129d92594e59b6a30bc92f2cc4f2"/>
            <w:id w:val="-1397351073"/>
          </w:sdtPr>
          <w:sdtEndPr/>
          <w:sdtContent>
            <w:tc>
              <w:tcPr>
                <w:tcW w:w="3248" w:type="pct"/>
              </w:tcPr>
              <w:p w:rsidR="00156DD6" w:rsidRDefault="00D51F5F">
                <w:pPr>
                  <w:jc w:val="center"/>
                  <w:rPr>
                    <w:bCs w:val="0"/>
                    <w:color w:val="000000" w:themeColor="text1"/>
                    <w:kern w:val="44"/>
                  </w:rPr>
                </w:pPr>
                <w:r>
                  <w:rPr>
                    <w:rFonts w:hint="eastAsia"/>
                    <w:color w:val="000000" w:themeColor="text1"/>
                    <w:kern w:val="44"/>
                  </w:rPr>
                  <w:t>查询索引</w:t>
                </w:r>
              </w:p>
            </w:tc>
          </w:sdtContent>
        </w:sdt>
      </w:tr>
      <w:tr w:rsidR="00156DD6">
        <w:tc>
          <w:tcPr>
            <w:tcW w:w="1752" w:type="pct"/>
          </w:tcPr>
          <w:p w:rsidR="00156DD6" w:rsidRDefault="00D51F5F">
            <w:pPr>
              <w:rPr>
                <w:bCs w:val="0"/>
                <w:kern w:val="44"/>
              </w:rPr>
            </w:pPr>
            <w:r>
              <w:rPr>
                <w:rFonts w:hint="eastAsia"/>
                <w:bCs w:val="0"/>
                <w:kern w:val="44"/>
              </w:rPr>
              <w:t>202</w:t>
            </w:r>
            <w:r>
              <w:rPr>
                <w:bCs w:val="0"/>
                <w:kern w:val="44"/>
              </w:rPr>
              <w:t>5</w:t>
            </w:r>
            <w:r>
              <w:rPr>
                <w:rFonts w:hint="eastAsia"/>
                <w:bCs w:val="0"/>
                <w:kern w:val="44"/>
              </w:rPr>
              <w:t>年</w:t>
            </w:r>
            <w:r>
              <w:rPr>
                <w:rFonts w:hint="eastAsia"/>
                <w:bCs w:val="0"/>
                <w:kern w:val="44"/>
              </w:rPr>
              <w:t>1</w:t>
            </w:r>
            <w:r>
              <w:rPr>
                <w:rFonts w:hint="eastAsia"/>
                <w:bCs w:val="0"/>
                <w:kern w:val="44"/>
              </w:rPr>
              <w:t>月</w:t>
            </w:r>
            <w:r>
              <w:rPr>
                <w:bCs w:val="0"/>
                <w:kern w:val="44"/>
              </w:rPr>
              <w:t>20</w:t>
            </w:r>
            <w:r>
              <w:rPr>
                <w:rFonts w:hint="eastAsia"/>
                <w:bCs w:val="0"/>
                <w:kern w:val="44"/>
              </w:rPr>
              <w:t>日，公司召开第四届董事会第十次会议审议通过了《关于向</w:t>
            </w:r>
            <w:r>
              <w:rPr>
                <w:rFonts w:hint="eastAsia"/>
                <w:bCs w:val="0"/>
                <w:kern w:val="44"/>
              </w:rPr>
              <w:t>2024</w:t>
            </w:r>
            <w:r>
              <w:rPr>
                <w:rFonts w:hint="eastAsia"/>
                <w:bCs w:val="0"/>
                <w:kern w:val="44"/>
              </w:rPr>
              <w:t>年限制性股票激励计划激励对象授予预留部分限制性股票的议案》，并于</w:t>
            </w:r>
            <w:r>
              <w:rPr>
                <w:rFonts w:hint="eastAsia"/>
                <w:bCs w:val="0"/>
                <w:kern w:val="44"/>
              </w:rPr>
              <w:t>202</w:t>
            </w:r>
            <w:r>
              <w:rPr>
                <w:bCs w:val="0"/>
                <w:kern w:val="44"/>
              </w:rPr>
              <w:t>5</w:t>
            </w:r>
            <w:r>
              <w:rPr>
                <w:rFonts w:hint="eastAsia"/>
                <w:bCs w:val="0"/>
                <w:kern w:val="44"/>
              </w:rPr>
              <w:t>年</w:t>
            </w:r>
            <w:r>
              <w:rPr>
                <w:rFonts w:hint="eastAsia"/>
                <w:bCs w:val="0"/>
                <w:kern w:val="44"/>
              </w:rPr>
              <w:t>1</w:t>
            </w:r>
            <w:r>
              <w:rPr>
                <w:rFonts w:hint="eastAsia"/>
                <w:bCs w:val="0"/>
                <w:kern w:val="44"/>
              </w:rPr>
              <w:t>月</w:t>
            </w:r>
            <w:r>
              <w:rPr>
                <w:rFonts w:hint="eastAsia"/>
                <w:bCs w:val="0"/>
                <w:kern w:val="44"/>
              </w:rPr>
              <w:t>22</w:t>
            </w:r>
            <w:r>
              <w:rPr>
                <w:rFonts w:hint="eastAsia"/>
                <w:bCs w:val="0"/>
                <w:kern w:val="44"/>
              </w:rPr>
              <w:t>日披露了《关于向</w:t>
            </w:r>
            <w:r>
              <w:rPr>
                <w:rFonts w:hint="eastAsia"/>
                <w:bCs w:val="0"/>
                <w:kern w:val="44"/>
              </w:rPr>
              <w:t>2024</w:t>
            </w:r>
            <w:r>
              <w:rPr>
                <w:rFonts w:hint="eastAsia"/>
                <w:bCs w:val="0"/>
                <w:kern w:val="44"/>
              </w:rPr>
              <w:t>年限制性股票激励计划激励对象授予预留部分限制性股票的公告》（公告编号：</w:t>
            </w:r>
            <w:r>
              <w:rPr>
                <w:rFonts w:hint="eastAsia"/>
                <w:bCs w:val="0"/>
                <w:kern w:val="44"/>
              </w:rPr>
              <w:t>2</w:t>
            </w:r>
            <w:r>
              <w:rPr>
                <w:bCs w:val="0"/>
                <w:kern w:val="44"/>
              </w:rPr>
              <w:t>025-006</w:t>
            </w:r>
            <w:r>
              <w:rPr>
                <w:rFonts w:hint="eastAsia"/>
                <w:bCs w:val="0"/>
                <w:kern w:val="44"/>
              </w:rPr>
              <w:t>）。</w:t>
            </w:r>
          </w:p>
          <w:p w:rsidR="00156DD6" w:rsidRDefault="00D51F5F">
            <w:pPr>
              <w:rPr>
                <w:bCs w:val="0"/>
                <w:kern w:val="44"/>
              </w:rPr>
            </w:pPr>
            <w:r>
              <w:rPr>
                <w:rFonts w:hint="eastAsia"/>
                <w:bCs w:val="0"/>
                <w:kern w:val="44"/>
              </w:rPr>
              <w:t>202</w:t>
            </w:r>
            <w:r>
              <w:rPr>
                <w:bCs w:val="0"/>
                <w:kern w:val="44"/>
              </w:rPr>
              <w:t>5</w:t>
            </w:r>
            <w:r>
              <w:rPr>
                <w:rFonts w:hint="eastAsia"/>
                <w:bCs w:val="0"/>
                <w:kern w:val="44"/>
              </w:rPr>
              <w:t>年</w:t>
            </w:r>
            <w:r>
              <w:rPr>
                <w:bCs w:val="0"/>
                <w:kern w:val="44"/>
              </w:rPr>
              <w:t>2</w:t>
            </w:r>
            <w:r>
              <w:rPr>
                <w:rFonts w:hint="eastAsia"/>
                <w:bCs w:val="0"/>
                <w:kern w:val="44"/>
              </w:rPr>
              <w:t>月</w:t>
            </w:r>
            <w:r>
              <w:rPr>
                <w:bCs w:val="0"/>
                <w:kern w:val="44"/>
              </w:rPr>
              <w:t>19</w:t>
            </w:r>
            <w:r>
              <w:rPr>
                <w:rFonts w:hint="eastAsia"/>
                <w:bCs w:val="0"/>
                <w:kern w:val="44"/>
              </w:rPr>
              <w:t>日公司在中国结算上海分公司办理完成了公司</w:t>
            </w:r>
            <w:r>
              <w:rPr>
                <w:rFonts w:hint="eastAsia"/>
                <w:bCs w:val="0"/>
                <w:kern w:val="44"/>
              </w:rPr>
              <w:t>2024</w:t>
            </w:r>
            <w:r>
              <w:rPr>
                <w:rFonts w:hint="eastAsia"/>
                <w:bCs w:val="0"/>
                <w:kern w:val="44"/>
              </w:rPr>
              <w:t>年限制性股票激励计划预留部分限制性股票授予登记工作，授予</w:t>
            </w:r>
            <w:r>
              <w:rPr>
                <w:bCs w:val="0"/>
                <w:kern w:val="44"/>
              </w:rPr>
              <w:t>31</w:t>
            </w:r>
            <w:r>
              <w:rPr>
                <w:rFonts w:hint="eastAsia"/>
                <w:bCs w:val="0"/>
                <w:kern w:val="44"/>
              </w:rPr>
              <w:t>人共计</w:t>
            </w:r>
            <w:r>
              <w:rPr>
                <w:bCs w:val="0"/>
                <w:kern w:val="44"/>
              </w:rPr>
              <w:t>58</w:t>
            </w:r>
            <w:r>
              <w:rPr>
                <w:rFonts w:hint="eastAsia"/>
                <w:bCs w:val="0"/>
                <w:kern w:val="44"/>
              </w:rPr>
              <w:t>万股限制性股票。</w:t>
            </w:r>
          </w:p>
        </w:tc>
        <w:tc>
          <w:tcPr>
            <w:tcW w:w="3248" w:type="pct"/>
          </w:tcPr>
          <w:p w:rsidR="00156DD6" w:rsidRDefault="00D51F5F">
            <w:pPr>
              <w:rPr>
                <w:bCs w:val="0"/>
                <w:kern w:val="44"/>
              </w:rPr>
            </w:pPr>
            <w:r>
              <w:rPr>
                <w:rFonts w:hint="eastAsia"/>
                <w:bCs w:val="0"/>
                <w:kern w:val="44"/>
              </w:rPr>
              <w:t>分别详见公司于</w:t>
            </w:r>
            <w:r>
              <w:rPr>
                <w:rFonts w:hint="eastAsia"/>
                <w:bCs w:val="0"/>
                <w:kern w:val="44"/>
              </w:rPr>
              <w:t>2025</w:t>
            </w:r>
            <w:r>
              <w:rPr>
                <w:rFonts w:hint="eastAsia"/>
                <w:bCs w:val="0"/>
                <w:kern w:val="44"/>
              </w:rPr>
              <w:t>年</w:t>
            </w:r>
            <w:r>
              <w:rPr>
                <w:rFonts w:hint="eastAsia"/>
                <w:bCs w:val="0"/>
                <w:kern w:val="44"/>
              </w:rPr>
              <w:t>1</w:t>
            </w:r>
            <w:r>
              <w:rPr>
                <w:rFonts w:hint="eastAsia"/>
                <w:bCs w:val="0"/>
                <w:kern w:val="44"/>
              </w:rPr>
              <w:t>月</w:t>
            </w:r>
            <w:r>
              <w:rPr>
                <w:rFonts w:hint="eastAsia"/>
                <w:bCs w:val="0"/>
                <w:kern w:val="44"/>
              </w:rPr>
              <w:t>22</w:t>
            </w:r>
            <w:r>
              <w:rPr>
                <w:rFonts w:hint="eastAsia"/>
                <w:bCs w:val="0"/>
                <w:kern w:val="44"/>
              </w:rPr>
              <w:t>日和</w:t>
            </w:r>
            <w:r>
              <w:rPr>
                <w:rFonts w:hint="eastAsia"/>
                <w:bCs w:val="0"/>
                <w:kern w:val="44"/>
              </w:rPr>
              <w:t>2025</w:t>
            </w:r>
            <w:r>
              <w:rPr>
                <w:rFonts w:hint="eastAsia"/>
                <w:bCs w:val="0"/>
                <w:kern w:val="44"/>
              </w:rPr>
              <w:t>年</w:t>
            </w:r>
            <w:r>
              <w:rPr>
                <w:rFonts w:hint="eastAsia"/>
                <w:bCs w:val="0"/>
                <w:kern w:val="44"/>
              </w:rPr>
              <w:t>2</w:t>
            </w:r>
            <w:r>
              <w:rPr>
                <w:rFonts w:hint="eastAsia"/>
                <w:bCs w:val="0"/>
                <w:kern w:val="44"/>
              </w:rPr>
              <w:t>月</w:t>
            </w:r>
            <w:r>
              <w:rPr>
                <w:rFonts w:hint="eastAsia"/>
                <w:bCs w:val="0"/>
                <w:kern w:val="44"/>
              </w:rPr>
              <w:t>19</w:t>
            </w:r>
            <w:r>
              <w:rPr>
                <w:rFonts w:hint="eastAsia"/>
                <w:bCs w:val="0"/>
                <w:kern w:val="44"/>
              </w:rPr>
              <w:t>日刊登于上海证券交易所网站及《上海证券报》《中国证券报》《证券时报》《证券日报》和《经济参考报》的《第四届董事会第十次会议决议公告》（公告编号：</w:t>
            </w:r>
            <w:r>
              <w:rPr>
                <w:rFonts w:hint="eastAsia"/>
                <w:bCs w:val="0"/>
                <w:kern w:val="44"/>
              </w:rPr>
              <w:t>2025-004</w:t>
            </w:r>
            <w:r>
              <w:rPr>
                <w:rFonts w:hint="eastAsia"/>
                <w:bCs w:val="0"/>
                <w:kern w:val="44"/>
              </w:rPr>
              <w:t>）及《关于向</w:t>
            </w:r>
            <w:r>
              <w:rPr>
                <w:rFonts w:hint="eastAsia"/>
                <w:bCs w:val="0"/>
                <w:kern w:val="44"/>
              </w:rPr>
              <w:t>2024</w:t>
            </w:r>
            <w:r>
              <w:rPr>
                <w:rFonts w:hint="eastAsia"/>
                <w:bCs w:val="0"/>
                <w:kern w:val="44"/>
              </w:rPr>
              <w:t>年限制性股票激励计划激励对象授予预留部分限制性股票的公告》（公告编号：</w:t>
            </w:r>
            <w:r>
              <w:rPr>
                <w:rFonts w:hint="eastAsia"/>
                <w:bCs w:val="0"/>
                <w:kern w:val="44"/>
              </w:rPr>
              <w:t>2</w:t>
            </w:r>
            <w:r>
              <w:rPr>
                <w:bCs w:val="0"/>
                <w:kern w:val="44"/>
              </w:rPr>
              <w:t>025-006</w:t>
            </w:r>
            <w:r>
              <w:rPr>
                <w:rFonts w:hint="eastAsia"/>
                <w:bCs w:val="0"/>
                <w:kern w:val="44"/>
              </w:rPr>
              <w:t>）。</w:t>
            </w:r>
          </w:p>
        </w:tc>
      </w:tr>
    </w:tbl>
    <w:bookmarkEnd w:id="72"/>
    <w:p w:rsidR="00156DD6" w:rsidRDefault="00D51F5F">
      <w:pPr>
        <w:pStyle w:val="3"/>
        <w:numPr>
          <w:ilvl w:val="1"/>
          <w:numId w:val="16"/>
        </w:numPr>
        <w:rPr>
          <w:rFonts w:ascii="宋体" w:hAnsi="宋体"/>
          <w:color w:val="000000" w:themeColor="text1"/>
          <w:kern w:val="44"/>
        </w:rPr>
      </w:pPr>
      <w:r>
        <w:rPr>
          <w:rFonts w:ascii="宋体" w:hAnsi="宋体" w:hint="eastAsia"/>
          <w:color w:val="000000" w:themeColor="text1"/>
          <w:kern w:val="44"/>
        </w:rPr>
        <w:t>临时公告未披露或有后续进展的激励情况</w:t>
      </w:r>
    </w:p>
    <w:p w:rsidR="00156DD6" w:rsidRDefault="00D51F5F">
      <w:pPr>
        <w:rPr>
          <w:color w:val="000000" w:themeColor="text1"/>
        </w:rPr>
      </w:pPr>
      <w:r>
        <w:rPr>
          <w:rFonts w:hint="eastAsia"/>
          <w:color w:val="000000" w:themeColor="text1"/>
        </w:rPr>
        <w:t>股权激励情况</w:t>
      </w:r>
    </w:p>
    <w:sdt>
      <w:sdtPr>
        <w:rPr>
          <w:color w:val="000000" w:themeColor="text1"/>
        </w:rPr>
        <w:alias w:val="是否适用：股权激励情况[双击切换]"/>
        <w:tag w:val="_GBC_388221bc7be24cdca55be337256c8bc1"/>
        <w:id w:val="41120212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p w:rsidR="00156DD6" w:rsidRDefault="00D51F5F">
      <w:pPr>
        <w:rPr>
          <w:color w:val="000000" w:themeColor="text1"/>
        </w:rPr>
      </w:pPr>
      <w:sdt>
        <w:sdtPr>
          <w:rPr>
            <w:rFonts w:hint="eastAsia"/>
            <w:color w:val="000000" w:themeColor="text1"/>
          </w:rPr>
          <w:alias w:val="是否适用：股权激励情况的说明[双击切换]"/>
          <w:tag w:val="_GBC_e5a032ecd3e24335b29a38809f65a990"/>
          <w:id w:val="-928348413"/>
          <w:placeholder>
            <w:docPart w:val="GBC22222222222222222222222222222"/>
          </w:placeholder>
        </w:sdtPr>
        <w:sdtEndPr/>
        <w:sdtContent>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p w:rsidR="00156DD6" w:rsidRDefault="00D51F5F">
      <w:pPr>
        <w:rPr>
          <w:color w:val="000000" w:themeColor="text1"/>
        </w:rPr>
      </w:pPr>
      <w:r>
        <w:rPr>
          <w:rFonts w:hint="eastAsia"/>
          <w:color w:val="000000" w:themeColor="text1"/>
        </w:rPr>
        <w:t>员工持股计划情况</w:t>
      </w:r>
    </w:p>
    <w:sdt>
      <w:sdtPr>
        <w:rPr>
          <w:color w:val="000000" w:themeColor="text1"/>
        </w:rPr>
        <w:alias w:val="是否适用：员工持股计划情况[双击切换]"/>
        <w:tag w:val="_GBC_60a13b60efda4715a83fed9c5960ee3b"/>
        <w:id w:val="-357811848"/>
        <w:placeholder>
          <w:docPart w:val="GBC22222222222222222222222222222"/>
        </w:placeholder>
      </w:sdtPr>
      <w:sdtEndPr/>
      <w:sdtContent>
        <w:p w:rsidR="00156DD6" w:rsidRDefault="00D51F5F">
          <w:pPr>
            <w:rPr>
              <w:bCs w:val="0"/>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其他激励措施</w:t>
      </w:r>
    </w:p>
    <w:sdt>
      <w:sdtPr>
        <w:rPr>
          <w:color w:val="000000" w:themeColor="text1"/>
        </w:rPr>
        <w:alias w:val="是否适用：其他激励措施[双击切换]"/>
        <w:tag w:val="_GBC_87e3c04518ac4bed97846d84cc8784e1"/>
        <w:id w:val="-25647169"/>
        <w:placeholder>
          <w:docPart w:val="GBC22222222222222222222222222222"/>
        </w:placeholder>
      </w:sdtPr>
      <w:sdtEndPr/>
      <w:sdtContent>
        <w:p w:rsidR="00156DD6" w:rsidRDefault="00D51F5F">
          <w:pPr>
            <w:rPr>
              <w:bCs w:val="0"/>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15"/>
        </w:numPr>
        <w:tabs>
          <w:tab w:val="left" w:pos="426"/>
        </w:tabs>
        <w:jc w:val="left"/>
        <w:rPr>
          <w:rFonts w:ascii="宋体" w:hAnsi="宋体"/>
          <w:color w:val="000000" w:themeColor="text1"/>
        </w:rPr>
      </w:pPr>
      <w:bookmarkStart w:id="73" w:name="_Hlk200011887"/>
      <w:bookmarkStart w:id="74" w:name="_Hlk199840683"/>
      <w:r>
        <w:rPr>
          <w:rFonts w:ascii="宋体" w:hAnsi="宋体" w:hint="eastAsia"/>
          <w:color w:val="000000" w:themeColor="text1"/>
        </w:rPr>
        <w:lastRenderedPageBreak/>
        <w:t>纳入环境信息依法披露企业名单的上市公司及其主要子公司的环境信息情况</w:t>
      </w:r>
    </w:p>
    <w:sdt>
      <w:sdtPr>
        <w:rPr>
          <w:rFonts w:hint="eastAsia"/>
          <w:color w:val="000000"/>
        </w:rPr>
        <w:alias w:val="是否适用：纳入环境信息依法披露企业名单的上市公司及其主要子公司的环境信息情况[双击切换]"/>
        <w:tag w:val="_GBC_b74e72cb07f94db28869a8424482d034"/>
        <w:id w:val="-1716885900"/>
        <w:placeholder>
          <w:docPart w:val="GBC22222222222222222222222222222"/>
        </w:placeholder>
      </w:sdtPr>
      <w:sdtEndPr/>
      <w:sdtContent>
        <w:p w:rsidR="00156DD6" w:rsidRDefault="00D51F5F">
          <w:pPr>
            <w:rPr>
              <w:color w:val="000000"/>
            </w:rPr>
          </w:pPr>
          <w:r>
            <w:rPr>
              <w:rFonts w:hint="eastAsia"/>
              <w:color w:val="000000"/>
            </w:rPr>
            <w:fldChar w:fldCharType="begin"/>
          </w:r>
          <w:r>
            <w:rPr>
              <w:rFonts w:hint="eastAsia"/>
              <w:color w:val="000000"/>
            </w:rPr>
            <w:instrText xml:space="preserve"> MACROBUTTON  SnrToggleCheckbox </w:instrText>
          </w:r>
          <w:r>
            <w:rPr>
              <w:rFonts w:hint="eastAsia"/>
              <w:color w:val="000000"/>
            </w:rPr>
            <w:instrText>√适用</w:instrText>
          </w:r>
          <w:r>
            <w:rPr>
              <w:rFonts w:hint="eastAsia"/>
              <w:color w:val="000000"/>
            </w:rPr>
            <w:instrText xml:space="preserve"> </w:instrText>
          </w:r>
          <w:r>
            <w:rPr>
              <w:rFonts w:hint="eastAsia"/>
              <w:color w:val="000000"/>
            </w:rPr>
            <w:fldChar w:fldCharType="end"/>
          </w:r>
          <w:r>
            <w:rPr>
              <w:rFonts w:hint="eastAsia"/>
              <w:color w:val="000000"/>
            </w:rPr>
            <w:fldChar w:fldCharType="begin"/>
          </w:r>
          <w:r>
            <w:rPr>
              <w:rFonts w:hint="eastAsia"/>
              <w:color w:val="000000"/>
            </w:rPr>
            <w:instrText xml:space="preserve"> MACROBUTTON  SnrToggleCheckbox </w:instrText>
          </w:r>
          <w:r>
            <w:rPr>
              <w:rFonts w:hint="eastAsia"/>
              <w:color w:val="000000"/>
            </w:rPr>
            <w:instrText>□不适用</w:instrText>
          </w:r>
          <w:r>
            <w:rPr>
              <w:rFonts w:hint="eastAsia"/>
              <w:color w:val="000000"/>
            </w:rPr>
            <w:instrText xml:space="preserve"> </w:instrText>
          </w:r>
          <w:r>
            <w:rPr>
              <w:rFonts w:hint="eastAsia"/>
              <w:color w:val="000000"/>
            </w:rPr>
            <w:fldChar w:fldCharType="end"/>
          </w:r>
        </w:p>
      </w:sdtContent>
    </w:sdt>
    <w:p w:rsidR="00156DD6" w:rsidRDefault="00156DD6">
      <w:pPr>
        <w:pStyle w:val="Style43"/>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112"/>
        <w:gridCol w:w="3582"/>
      </w:tblGrid>
      <w:tr w:rsidR="00156DD6">
        <w:trPr>
          <w:trHeight w:val="270"/>
        </w:trPr>
        <w:sdt>
          <w:sdtPr>
            <w:tag w:val="_PLD_7288e62233d246828b89afc3b35261ec"/>
            <w:id w:val="-1071813765"/>
          </w:sdtPr>
          <w:sdtEndPr>
            <w:rPr>
              <w:rFonts w:hint="eastAsia"/>
            </w:rPr>
          </w:sdtEndPr>
          <w:sdtContent>
            <w:tc>
              <w:tcPr>
                <w:tcW w:w="2970" w:type="pct"/>
                <w:gridSpan w:val="2"/>
                <w:vAlign w:val="center"/>
              </w:tcPr>
              <w:p w:rsidR="00156DD6" w:rsidRDefault="00D51F5F">
                <w:pPr>
                  <w:rPr>
                    <w:color w:val="000000"/>
                  </w:rPr>
                </w:pPr>
                <w:r>
                  <w:rPr>
                    <w:color w:val="000000"/>
                  </w:rPr>
                  <w:t>纳入环境信息依法披露企业名单中的企业数量</w:t>
                </w:r>
                <w:r>
                  <w:rPr>
                    <w:rFonts w:hint="eastAsia"/>
                    <w:color w:val="000000"/>
                  </w:rPr>
                  <w:t>（个）</w:t>
                </w:r>
              </w:p>
            </w:tc>
          </w:sdtContent>
        </w:sdt>
        <w:sdt>
          <w:sdtPr>
            <w:rPr>
              <w:rFonts w:hint="eastAsia"/>
              <w:color w:val="000000"/>
            </w:rPr>
            <w:alias w:val="纳入环境信息依法披露企业名单中的企业数量"/>
            <w:tag w:val="_GBC_dd7d38af30cb4c86b3e38770129e8965"/>
            <w:id w:val="-1336838034"/>
          </w:sdtPr>
          <w:sdtEndPr/>
          <w:sdtContent>
            <w:tc>
              <w:tcPr>
                <w:tcW w:w="2030" w:type="pct"/>
                <w:vAlign w:val="center"/>
              </w:tcPr>
              <w:p w:rsidR="00156DD6" w:rsidRDefault="00D51F5F">
                <w:pPr>
                  <w:rPr>
                    <w:color w:val="000000"/>
                  </w:rPr>
                </w:pPr>
                <w:r>
                  <w:rPr>
                    <w:rFonts w:hint="eastAsia"/>
                    <w:color w:val="000000"/>
                  </w:rPr>
                  <w:t>1</w:t>
                </w:r>
              </w:p>
            </w:tc>
          </w:sdtContent>
        </w:sdt>
      </w:tr>
      <w:tr w:rsidR="00156DD6">
        <w:trPr>
          <w:trHeight w:val="90"/>
        </w:trPr>
        <w:sdt>
          <w:sdtPr>
            <w:tag w:val="_PLD_cd9b676999aa473ca7d99a3f88297e23"/>
            <w:id w:val="1737364420"/>
          </w:sdtPr>
          <w:sdtEndPr/>
          <w:sdtContent>
            <w:tc>
              <w:tcPr>
                <w:tcW w:w="640" w:type="pct"/>
              </w:tcPr>
              <w:p w:rsidR="00156DD6" w:rsidRDefault="00D51F5F">
                <w:pPr>
                  <w:jc w:val="center"/>
                  <w:rPr>
                    <w:color w:val="000000"/>
                  </w:rPr>
                </w:pPr>
                <w:r>
                  <w:rPr>
                    <w:rFonts w:hint="eastAsia"/>
                    <w:color w:val="000000"/>
                  </w:rPr>
                  <w:t>序号</w:t>
                </w:r>
              </w:p>
            </w:tc>
          </w:sdtContent>
        </w:sdt>
        <w:sdt>
          <w:sdtPr>
            <w:tag w:val="_PLD_01a5b693c5604d2bb52f37ceb750fdc5"/>
            <w:id w:val="-1872915340"/>
          </w:sdtPr>
          <w:sdtEndPr/>
          <w:sdtContent>
            <w:tc>
              <w:tcPr>
                <w:tcW w:w="2330" w:type="pct"/>
                <w:vAlign w:val="center"/>
              </w:tcPr>
              <w:p w:rsidR="00156DD6" w:rsidRDefault="00D51F5F">
                <w:pPr>
                  <w:jc w:val="center"/>
                  <w:rPr>
                    <w:color w:val="000000"/>
                  </w:rPr>
                </w:pPr>
                <w:r>
                  <w:rPr>
                    <w:rFonts w:hint="eastAsia"/>
                    <w:color w:val="000000"/>
                  </w:rPr>
                  <w:t>企业名称</w:t>
                </w:r>
              </w:p>
            </w:tc>
          </w:sdtContent>
        </w:sdt>
        <w:sdt>
          <w:sdtPr>
            <w:tag w:val="_PLD_452bbf5c81084d18bf0f995d0240bf2f"/>
            <w:id w:val="2103916436"/>
          </w:sdtPr>
          <w:sdtEndPr/>
          <w:sdtContent>
            <w:tc>
              <w:tcPr>
                <w:tcW w:w="2030" w:type="pct"/>
                <w:vAlign w:val="center"/>
              </w:tcPr>
              <w:p w:rsidR="00156DD6" w:rsidRDefault="00D51F5F">
                <w:pPr>
                  <w:jc w:val="center"/>
                  <w:rPr>
                    <w:iCs/>
                    <w:color w:val="000000"/>
                  </w:rPr>
                </w:pPr>
                <w:r>
                  <w:rPr>
                    <w:rFonts w:hint="eastAsia"/>
                    <w:iCs/>
                    <w:color w:val="000000"/>
                  </w:rPr>
                  <w:t>环境信息依法披露报告的查询索引</w:t>
                </w:r>
              </w:p>
            </w:tc>
          </w:sdtContent>
        </w:sdt>
      </w:tr>
      <w:tr w:rsidR="00156DD6">
        <w:trPr>
          <w:trHeight w:val="270"/>
        </w:trPr>
        <w:tc>
          <w:tcPr>
            <w:tcW w:w="640" w:type="pct"/>
          </w:tcPr>
          <w:p w:rsidR="00156DD6" w:rsidRDefault="00D51F5F">
            <w:pPr>
              <w:pStyle w:val="Style43"/>
            </w:pPr>
            <w:r>
              <w:rPr>
                <w:rFonts w:hint="eastAsia"/>
              </w:rPr>
              <w:t>1</w:t>
            </w:r>
          </w:p>
        </w:tc>
        <w:tc>
          <w:tcPr>
            <w:tcW w:w="2330" w:type="pct"/>
            <w:vAlign w:val="center"/>
          </w:tcPr>
          <w:p w:rsidR="00156DD6" w:rsidRDefault="00D51F5F">
            <w:pPr>
              <w:pStyle w:val="Style43"/>
            </w:pPr>
            <w:r>
              <w:rPr>
                <w:rFonts w:hint="eastAsia"/>
              </w:rPr>
              <w:t>重庆望变电气（集团）股份有限公司</w:t>
            </w:r>
          </w:p>
        </w:tc>
        <w:tc>
          <w:tcPr>
            <w:tcW w:w="2030" w:type="pct"/>
            <w:vAlign w:val="center"/>
          </w:tcPr>
          <w:p w:rsidR="00156DD6" w:rsidRDefault="00D51F5F">
            <w:pPr>
              <w:pStyle w:val="Style43"/>
            </w:pPr>
            <w:r>
              <w:rPr>
                <w:rFonts w:hint="eastAsia"/>
              </w:rPr>
              <w:t>企业环境信息依法披露系统（重庆）披露平台</w:t>
            </w:r>
            <w:bookmarkStart w:id="75" w:name="OLE_LINK20"/>
            <w:r>
              <w:t>http://183.66.66.47:10001/eps/</w:t>
            </w:r>
            <w:bookmarkEnd w:id="75"/>
          </w:p>
        </w:tc>
      </w:tr>
    </w:tbl>
    <w:p w:rsidR="00156DD6" w:rsidRDefault="00D51F5F">
      <w:pPr>
        <w:rPr>
          <w:color w:val="000000"/>
        </w:rPr>
      </w:pPr>
      <w:r>
        <w:rPr>
          <w:rFonts w:hint="eastAsia"/>
          <w:color w:val="000000"/>
        </w:rPr>
        <w:t>其他说明</w:t>
      </w:r>
    </w:p>
    <w:sdt>
      <w:sdtPr>
        <w:rPr>
          <w:rFonts w:hint="eastAsia"/>
          <w:color w:val="000000"/>
        </w:rPr>
        <w:alias w:val="是否适用：纳入环境信息依法披露企业名单的上市公司及其主要子公司的环境信息情况其他说明[双击切换]"/>
        <w:tag w:val="_GBC_047d333fc006452891574305ff7e477a"/>
        <w:id w:val="-2121513298"/>
        <w:placeholder>
          <w:docPart w:val="GBC22222222222222222222222222222"/>
        </w:placeholder>
      </w:sdtPr>
      <w:sdtEndPr/>
      <w:sdtContent>
        <w:p w:rsidR="00156DD6" w:rsidRDefault="00D51F5F">
          <w:pPr>
            <w:rPr>
              <w:color w:val="000000"/>
            </w:rPr>
          </w:pPr>
          <w:r>
            <w:rPr>
              <w:rFonts w:hint="eastAsia"/>
              <w:color w:val="000000"/>
            </w:rPr>
            <w:fldChar w:fldCharType="begin"/>
          </w:r>
          <w:r>
            <w:rPr>
              <w:color w:val="000000"/>
            </w:rPr>
            <w:instrText xml:space="preserve"> MACROBUTTON  SnrToggleCheckbox □</w:instrText>
          </w:r>
          <w:r>
            <w:rPr>
              <w:color w:val="000000"/>
            </w:rPr>
            <w:instrText>适用</w:instrText>
          </w:r>
          <w:r>
            <w:rPr>
              <w:color w:val="000000"/>
            </w:rPr>
            <w:instrText xml:space="preserve"> </w:instrText>
          </w:r>
          <w:r>
            <w:rPr>
              <w:rFonts w:hint="eastAsia"/>
              <w:color w:val="000000"/>
            </w:rPr>
            <w:fldChar w:fldCharType="end"/>
          </w:r>
          <w:r>
            <w:rPr>
              <w:rFonts w:hint="eastAsia"/>
              <w:color w:val="000000"/>
            </w:rPr>
            <w:fldChar w:fldCharType="begin"/>
          </w:r>
          <w:r>
            <w:rPr>
              <w:color w:val="000000"/>
            </w:rPr>
            <w:instrText xml:space="preserve"> MACROBUTTON  SnrToggleCheckbox √</w:instrText>
          </w:r>
          <w:r>
            <w:rPr>
              <w:color w:val="000000"/>
            </w:rPr>
            <w:instrText>不适用</w:instrText>
          </w:r>
          <w:r>
            <w:rPr>
              <w:color w:val="000000"/>
            </w:rPr>
            <w:instrText xml:space="preserve"> </w:instrText>
          </w:r>
          <w:r>
            <w:rPr>
              <w:rFonts w:hint="eastAsia"/>
              <w:color w:val="000000"/>
            </w:rPr>
            <w:fldChar w:fldCharType="end"/>
          </w:r>
        </w:p>
      </w:sdtContent>
    </w:sdt>
    <w:p w:rsidR="00156DD6" w:rsidRDefault="00D51F5F">
      <w:pPr>
        <w:pStyle w:val="2"/>
        <w:numPr>
          <w:ilvl w:val="0"/>
          <w:numId w:val="15"/>
        </w:numPr>
        <w:tabs>
          <w:tab w:val="left" w:pos="426"/>
        </w:tabs>
        <w:jc w:val="left"/>
        <w:rPr>
          <w:rFonts w:ascii="宋体" w:hAnsi="宋体"/>
          <w:color w:val="000000" w:themeColor="text1"/>
        </w:rPr>
      </w:pPr>
      <w:bookmarkStart w:id="76" w:name="_Hlk138060542"/>
      <w:bookmarkStart w:id="77" w:name="_Hlk137046383"/>
      <w:bookmarkEnd w:id="73"/>
      <w:bookmarkEnd w:id="74"/>
      <w:r>
        <w:rPr>
          <w:rFonts w:ascii="宋体" w:hAnsi="宋体" w:hint="eastAsia"/>
          <w:color w:val="000000" w:themeColor="text1"/>
        </w:rPr>
        <w:t>巩固拓展脱贫攻坚成果、乡村振兴等工作具体情况</w:t>
      </w:r>
    </w:p>
    <w:sdt>
      <w:sdtPr>
        <w:rPr>
          <w:color w:val="000000" w:themeColor="text1"/>
        </w:rPr>
        <w:alias w:val="是否适用：巩固拓展脱贫攻坚成果、乡村振兴工作具体情况[双击切换]"/>
        <w:tag w:val="_GBC_7f424183824c43c9809b2bbaefe89688"/>
        <w:id w:val="-103449857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asciiTheme="minorEastAsia" w:eastAsiaTheme="minorEastAsia" w:hAnsiTheme="minorEastAsia"/>
          <w:color w:val="000000" w:themeColor="text1"/>
        </w:rPr>
        <w:alias w:val="巩固拓展脱贫攻坚成果、乡村振兴工作具体情况"/>
        <w:tag w:val="_GBC_47fe8bcbd1294a14b7be74e9da037113"/>
        <w:id w:val="-5218225"/>
        <w:placeholder>
          <w:docPart w:val="GBC22222222222222222222222222222"/>
        </w:placeholder>
      </w:sdtPr>
      <w:sdtEndPr>
        <w:rPr>
          <w:rFonts w:ascii="宋体" w:eastAsia="宋体" w:hAnsi="宋体"/>
        </w:rPr>
      </w:sdtEndPr>
      <w:sdtContent>
        <w:tbl>
          <w:tblPr>
            <w:tblStyle w:val="g8"/>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8"/>
            <w:gridCol w:w="2210"/>
            <w:gridCol w:w="3602"/>
          </w:tblGrid>
          <w:tr w:rsidR="00156DD6">
            <w:tc>
              <w:tcPr>
                <w:tcW w:w="3008" w:type="dxa"/>
                <w:tcBorders>
                  <w:top w:val="single" w:sz="4" w:space="0" w:color="auto"/>
                  <w:left w:val="single" w:sz="4" w:space="0" w:color="auto"/>
                  <w:bottom w:val="single" w:sz="4" w:space="0" w:color="auto"/>
                  <w:right w:val="single" w:sz="4" w:space="0" w:color="auto"/>
                </w:tcBorders>
              </w:tcPr>
              <w:p w:rsidR="00156DD6" w:rsidRDefault="00D51F5F">
                <w:pPr>
                  <w:jc w:val="center"/>
                  <w:rPr>
                    <w:rFonts w:asciiTheme="minorEastAsia" w:eastAsiaTheme="minorEastAsia" w:hAnsiTheme="minorEastAsia" w:cs="Calibri"/>
                    <w:sz w:val="24"/>
                    <w:szCs w:val="24"/>
                  </w:rPr>
                </w:pPr>
                <w:r>
                  <w:rPr>
                    <w:rFonts w:asciiTheme="minorEastAsia" w:eastAsiaTheme="minorEastAsia" w:hAnsiTheme="minorEastAsia" w:cs="Calibri" w:hint="eastAsia"/>
                  </w:rPr>
                  <w:t>扶贫及乡村振兴项目</w:t>
                </w:r>
              </w:p>
            </w:tc>
            <w:tc>
              <w:tcPr>
                <w:tcW w:w="2210" w:type="dxa"/>
                <w:tcBorders>
                  <w:top w:val="single" w:sz="4" w:space="0" w:color="auto"/>
                  <w:left w:val="nil"/>
                  <w:bottom w:val="single" w:sz="4" w:space="0" w:color="auto"/>
                  <w:right w:val="single" w:sz="4" w:space="0" w:color="auto"/>
                </w:tcBorders>
              </w:tcPr>
              <w:p w:rsidR="00156DD6" w:rsidRDefault="00D51F5F">
                <w:pPr>
                  <w:jc w:val="center"/>
                  <w:rPr>
                    <w:rFonts w:eastAsia="Times New Roman" w:cs="Calibri"/>
                  </w:rPr>
                </w:pPr>
                <w:r>
                  <w:rPr>
                    <w:rFonts w:eastAsia="Times New Roman" w:cs="Calibri" w:hint="eastAsia"/>
                  </w:rPr>
                  <w:t>数量/内容</w:t>
                </w:r>
              </w:p>
            </w:tc>
            <w:tc>
              <w:tcPr>
                <w:tcW w:w="3602" w:type="dxa"/>
                <w:tcBorders>
                  <w:top w:val="single" w:sz="4" w:space="0" w:color="auto"/>
                  <w:left w:val="nil"/>
                  <w:bottom w:val="single" w:sz="4" w:space="0" w:color="auto"/>
                  <w:right w:val="single" w:sz="4" w:space="0" w:color="auto"/>
                </w:tcBorders>
              </w:tcPr>
              <w:p w:rsidR="00156DD6" w:rsidRDefault="00D51F5F">
                <w:pPr>
                  <w:jc w:val="center"/>
                  <w:rPr>
                    <w:rFonts w:eastAsia="Times New Roman" w:cs="Calibri"/>
                  </w:rPr>
                </w:pPr>
                <w:r>
                  <w:rPr>
                    <w:rFonts w:eastAsia="Times New Roman" w:cs="Calibri" w:hint="eastAsia"/>
                  </w:rPr>
                  <w:t>情况说明</w:t>
                </w:r>
              </w:p>
            </w:tc>
          </w:tr>
          <w:tr w:rsidR="00156DD6">
            <w:tc>
              <w:tcPr>
                <w:tcW w:w="3008"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asciiTheme="minorEastAsia" w:eastAsiaTheme="minorEastAsia" w:hAnsiTheme="minorEastAsia" w:cs="Calibri"/>
                  </w:rPr>
                </w:pPr>
                <w:r>
                  <w:rPr>
                    <w:rFonts w:asciiTheme="minorEastAsia" w:eastAsiaTheme="minorEastAsia" w:hAnsiTheme="minorEastAsia" w:cs="Calibri" w:hint="eastAsia"/>
                  </w:rPr>
                  <w:t>总投入（万元）</w:t>
                </w:r>
              </w:p>
            </w:tc>
            <w:tc>
              <w:tcPr>
                <w:tcW w:w="2210" w:type="dxa"/>
                <w:tcBorders>
                  <w:top w:val="single" w:sz="4" w:space="0" w:color="auto"/>
                  <w:left w:val="nil"/>
                  <w:bottom w:val="single" w:sz="4" w:space="0" w:color="auto"/>
                  <w:right w:val="single" w:sz="4" w:space="0" w:color="auto"/>
                </w:tcBorders>
                <w:vAlign w:val="center"/>
              </w:tcPr>
              <w:p w:rsidR="00156DD6" w:rsidRDefault="00D51F5F">
                <w:pPr>
                  <w:jc w:val="right"/>
                  <w:rPr>
                    <w:rFonts w:eastAsia="Times New Roman" w:cs="Calibri"/>
                  </w:rPr>
                </w:pPr>
                <w:r>
                  <w:rPr>
                    <w:rFonts w:eastAsia="Times New Roman" w:cs="Calibri"/>
                  </w:rPr>
                  <w:t>225.30</w:t>
                </w:r>
              </w:p>
            </w:tc>
            <w:tc>
              <w:tcPr>
                <w:tcW w:w="3602" w:type="dxa"/>
                <w:tcBorders>
                  <w:top w:val="single" w:sz="4" w:space="0" w:color="auto"/>
                  <w:left w:val="nil"/>
                  <w:bottom w:val="single" w:sz="4" w:space="0" w:color="auto"/>
                  <w:right w:val="single" w:sz="4" w:space="0" w:color="auto"/>
                </w:tcBorders>
                <w:vAlign w:val="center"/>
              </w:tcPr>
              <w:p w:rsidR="00156DD6" w:rsidRDefault="00D51F5F">
                <w:pPr>
                  <w:jc w:val="right"/>
                  <w:rPr>
                    <w:rFonts w:eastAsiaTheme="minorEastAsia" w:cs="Calibri"/>
                  </w:rPr>
                </w:pPr>
                <w:r>
                  <w:rPr>
                    <w:rFonts w:eastAsiaTheme="minorEastAsia" w:cs="Calibri"/>
                  </w:rPr>
                  <w:t>/</w:t>
                </w:r>
              </w:p>
            </w:tc>
          </w:tr>
          <w:tr w:rsidR="00156DD6">
            <w:tc>
              <w:tcPr>
                <w:tcW w:w="3008"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asciiTheme="minorEastAsia" w:eastAsiaTheme="minorEastAsia" w:hAnsiTheme="minorEastAsia" w:cs="Calibri"/>
                  </w:rPr>
                </w:pPr>
                <w:r>
                  <w:rPr>
                    <w:rFonts w:asciiTheme="minorEastAsia" w:eastAsiaTheme="minorEastAsia" w:hAnsiTheme="minorEastAsia" w:cs="Calibri" w:hint="eastAsia"/>
                  </w:rPr>
                  <w:t>其中：资金（万元）</w:t>
                </w:r>
              </w:p>
            </w:tc>
            <w:tc>
              <w:tcPr>
                <w:tcW w:w="2210" w:type="dxa"/>
                <w:tcBorders>
                  <w:top w:val="single" w:sz="4" w:space="0" w:color="auto"/>
                  <w:left w:val="nil"/>
                  <w:bottom w:val="single" w:sz="4" w:space="0" w:color="auto"/>
                  <w:right w:val="single" w:sz="4" w:space="0" w:color="auto"/>
                </w:tcBorders>
                <w:vAlign w:val="center"/>
              </w:tcPr>
              <w:p w:rsidR="00156DD6" w:rsidRDefault="00D51F5F">
                <w:pPr>
                  <w:jc w:val="right"/>
                  <w:rPr>
                    <w:rFonts w:eastAsia="Times New Roman" w:cs="Calibri"/>
                  </w:rPr>
                </w:pPr>
                <w:r>
                  <w:rPr>
                    <w:rFonts w:eastAsia="Times New Roman" w:cs="Calibri"/>
                  </w:rPr>
                  <w:t>2</w:t>
                </w:r>
                <w:r>
                  <w:rPr>
                    <w:rFonts w:eastAsiaTheme="minorEastAsia" w:cs="Calibri" w:hint="eastAsia"/>
                  </w:rPr>
                  <w:t>2</w:t>
                </w:r>
                <w:r>
                  <w:rPr>
                    <w:rFonts w:eastAsia="Times New Roman" w:cs="Calibri"/>
                  </w:rPr>
                  <w:t>5.30</w:t>
                </w:r>
              </w:p>
            </w:tc>
            <w:tc>
              <w:tcPr>
                <w:tcW w:w="3602" w:type="dxa"/>
                <w:tcBorders>
                  <w:top w:val="single" w:sz="4" w:space="0" w:color="auto"/>
                  <w:left w:val="nil"/>
                  <w:bottom w:val="single" w:sz="4" w:space="0" w:color="auto"/>
                  <w:right w:val="single" w:sz="4" w:space="0" w:color="auto"/>
                </w:tcBorders>
                <w:vAlign w:val="center"/>
              </w:tcPr>
              <w:p w:rsidR="00156DD6" w:rsidRDefault="00D51F5F">
                <w:pPr>
                  <w:jc w:val="right"/>
                  <w:rPr>
                    <w:rFonts w:eastAsiaTheme="minorEastAsia" w:cs="Calibri"/>
                  </w:rPr>
                </w:pPr>
                <w:bookmarkStart w:id="78" w:name="OLE_LINK13"/>
                <w:r>
                  <w:rPr>
                    <w:rFonts w:eastAsiaTheme="minorEastAsia" w:cs="Calibri" w:hint="eastAsia"/>
                  </w:rPr>
                  <w:t>/</w:t>
                </w:r>
                <w:bookmarkEnd w:id="78"/>
              </w:p>
            </w:tc>
          </w:tr>
          <w:tr w:rsidR="00156DD6">
            <w:tc>
              <w:tcPr>
                <w:tcW w:w="3008"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asciiTheme="minorEastAsia" w:eastAsiaTheme="minorEastAsia" w:hAnsiTheme="minorEastAsia" w:cs="Calibri"/>
                  </w:rPr>
                </w:pPr>
                <w:r>
                  <w:rPr>
                    <w:rFonts w:asciiTheme="minorEastAsia" w:eastAsiaTheme="minorEastAsia" w:hAnsiTheme="minorEastAsia" w:cs="Calibri" w:hint="eastAsia"/>
                  </w:rPr>
                  <w:t>物资折款（万元）</w:t>
                </w:r>
              </w:p>
            </w:tc>
            <w:tc>
              <w:tcPr>
                <w:tcW w:w="2210" w:type="dxa"/>
                <w:tcBorders>
                  <w:top w:val="single" w:sz="4" w:space="0" w:color="auto"/>
                  <w:left w:val="nil"/>
                  <w:bottom w:val="single" w:sz="4" w:space="0" w:color="auto"/>
                  <w:right w:val="single" w:sz="4" w:space="0" w:color="auto"/>
                </w:tcBorders>
                <w:vAlign w:val="center"/>
              </w:tcPr>
              <w:p w:rsidR="00156DD6" w:rsidRDefault="00D51F5F">
                <w:pPr>
                  <w:jc w:val="right"/>
                  <w:rPr>
                    <w:rFonts w:eastAsia="Times New Roman" w:cs="Calibri"/>
                  </w:rPr>
                </w:pPr>
                <w:r>
                  <w:rPr>
                    <w:rFonts w:eastAsia="Times New Roman" w:cs="Calibri" w:hint="eastAsia"/>
                  </w:rPr>
                  <w:t>/</w:t>
                </w:r>
              </w:p>
            </w:tc>
            <w:tc>
              <w:tcPr>
                <w:tcW w:w="3602" w:type="dxa"/>
                <w:tcBorders>
                  <w:top w:val="single" w:sz="4" w:space="0" w:color="auto"/>
                  <w:left w:val="nil"/>
                  <w:bottom w:val="single" w:sz="4" w:space="0" w:color="auto"/>
                  <w:right w:val="single" w:sz="4" w:space="0" w:color="auto"/>
                </w:tcBorders>
                <w:vAlign w:val="center"/>
              </w:tcPr>
              <w:p w:rsidR="00156DD6" w:rsidRDefault="00D51F5F">
                <w:pPr>
                  <w:jc w:val="right"/>
                  <w:rPr>
                    <w:rFonts w:eastAsia="Times New Roman" w:cs="Calibri"/>
                  </w:rPr>
                </w:pPr>
                <w:r>
                  <w:rPr>
                    <w:rFonts w:eastAsia="Times New Roman" w:cs="Calibri" w:hint="eastAsia"/>
                  </w:rPr>
                  <w:t>/</w:t>
                </w:r>
              </w:p>
            </w:tc>
          </w:tr>
          <w:tr w:rsidR="00156DD6">
            <w:tc>
              <w:tcPr>
                <w:tcW w:w="3008"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asciiTheme="minorEastAsia" w:eastAsiaTheme="minorEastAsia" w:hAnsiTheme="minorEastAsia" w:cs="Calibri"/>
                  </w:rPr>
                </w:pPr>
                <w:r>
                  <w:rPr>
                    <w:rFonts w:asciiTheme="minorEastAsia" w:eastAsiaTheme="minorEastAsia" w:hAnsiTheme="minorEastAsia" w:cs="Calibri" w:hint="eastAsia"/>
                  </w:rPr>
                  <w:t>惠及人数（人）</w:t>
                </w:r>
              </w:p>
            </w:tc>
            <w:tc>
              <w:tcPr>
                <w:tcW w:w="2210" w:type="dxa"/>
                <w:tcBorders>
                  <w:top w:val="single" w:sz="4" w:space="0" w:color="auto"/>
                  <w:left w:val="nil"/>
                  <w:bottom w:val="single" w:sz="4" w:space="0" w:color="auto"/>
                  <w:right w:val="single" w:sz="4" w:space="0" w:color="auto"/>
                </w:tcBorders>
                <w:vAlign w:val="center"/>
              </w:tcPr>
              <w:p w:rsidR="00156DD6" w:rsidRDefault="00D51F5F">
                <w:pPr>
                  <w:jc w:val="right"/>
                  <w:rPr>
                    <w:rFonts w:eastAsia="Times New Roman" w:cs="Calibri"/>
                  </w:rPr>
                </w:pPr>
                <w:r>
                  <w:rPr>
                    <w:rFonts w:eastAsia="Times New Roman" w:cs="Calibri" w:hint="eastAsia"/>
                  </w:rPr>
                  <w:t>/</w:t>
                </w:r>
              </w:p>
            </w:tc>
            <w:tc>
              <w:tcPr>
                <w:tcW w:w="3602" w:type="dxa"/>
                <w:tcBorders>
                  <w:top w:val="single" w:sz="4" w:space="0" w:color="auto"/>
                  <w:left w:val="nil"/>
                  <w:bottom w:val="single" w:sz="4" w:space="0" w:color="auto"/>
                  <w:right w:val="single" w:sz="4" w:space="0" w:color="auto"/>
                </w:tcBorders>
                <w:vAlign w:val="center"/>
              </w:tcPr>
              <w:p w:rsidR="00156DD6" w:rsidRDefault="00D51F5F">
                <w:pPr>
                  <w:jc w:val="right"/>
                  <w:rPr>
                    <w:rFonts w:eastAsia="Times New Roman" w:cs="Calibri"/>
                  </w:rPr>
                </w:pPr>
                <w:r>
                  <w:rPr>
                    <w:rFonts w:eastAsia="Times New Roman" w:cs="Calibri" w:hint="eastAsia"/>
                  </w:rPr>
                  <w:t>/</w:t>
                </w:r>
              </w:p>
            </w:tc>
          </w:tr>
          <w:tr w:rsidR="00156DD6">
            <w:tc>
              <w:tcPr>
                <w:tcW w:w="3008"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asciiTheme="minorEastAsia" w:eastAsiaTheme="minorEastAsia" w:hAnsiTheme="minorEastAsia" w:cs="Calibri"/>
                  </w:rPr>
                </w:pPr>
                <w:r>
                  <w:rPr>
                    <w:rFonts w:asciiTheme="minorEastAsia" w:eastAsiaTheme="minorEastAsia" w:hAnsiTheme="minorEastAsia" w:cs="Calibri" w:hint="eastAsia"/>
                  </w:rPr>
                  <w:t>帮扶形式（如产业扶贫、就业扶贫、教育扶贫等）（万元）</w:t>
                </w:r>
              </w:p>
            </w:tc>
            <w:tc>
              <w:tcPr>
                <w:tcW w:w="2210" w:type="dxa"/>
                <w:tcBorders>
                  <w:top w:val="single" w:sz="4" w:space="0" w:color="auto"/>
                  <w:left w:val="nil"/>
                  <w:bottom w:val="single" w:sz="4" w:space="0" w:color="auto"/>
                  <w:right w:val="single" w:sz="4" w:space="0" w:color="auto"/>
                </w:tcBorders>
                <w:vAlign w:val="center"/>
              </w:tcPr>
              <w:p w:rsidR="00156DD6" w:rsidRDefault="00D51F5F">
                <w:pPr>
                  <w:jc w:val="right"/>
                  <w:rPr>
                    <w:rFonts w:eastAsia="Times New Roman" w:cs="Calibri"/>
                  </w:rPr>
                </w:pPr>
                <w:r>
                  <w:rPr>
                    <w:rFonts w:asciiTheme="minorEastAsia" w:eastAsiaTheme="minorEastAsia" w:hAnsiTheme="minorEastAsia" w:cs="Calibri" w:hint="eastAsia"/>
                  </w:rPr>
                  <w:t>/</w:t>
                </w:r>
              </w:p>
            </w:tc>
            <w:tc>
              <w:tcPr>
                <w:tcW w:w="3602" w:type="dxa"/>
                <w:tcBorders>
                  <w:top w:val="single" w:sz="4" w:space="0" w:color="auto"/>
                  <w:left w:val="nil"/>
                  <w:bottom w:val="single" w:sz="4" w:space="0" w:color="auto"/>
                  <w:right w:val="single" w:sz="4" w:space="0" w:color="auto"/>
                </w:tcBorders>
                <w:vAlign w:val="center"/>
              </w:tcPr>
              <w:p w:rsidR="00156DD6" w:rsidRDefault="00D51F5F">
                <w:pPr>
                  <w:jc w:val="right"/>
                  <w:rPr>
                    <w:rFonts w:eastAsiaTheme="minorEastAsia" w:cs="Calibri"/>
                  </w:rPr>
                </w:pPr>
                <w:r>
                  <w:rPr>
                    <w:rFonts w:eastAsiaTheme="minorEastAsia" w:cs="Calibri"/>
                  </w:rPr>
                  <w:t>/</w:t>
                </w:r>
              </w:p>
            </w:tc>
          </w:tr>
        </w:tbl>
        <w:p w:rsidR="00156DD6" w:rsidRDefault="00D51F5F">
          <w:pPr>
            <w:rPr>
              <w:color w:val="000000" w:themeColor="text1"/>
            </w:rPr>
          </w:pPr>
        </w:p>
      </w:sdtContent>
    </w:sdt>
    <w:p w:rsidR="00156DD6" w:rsidRDefault="00156DD6">
      <w:pPr>
        <w:rPr>
          <w:color w:val="000000" w:themeColor="text1"/>
        </w:rPr>
      </w:pPr>
    </w:p>
    <w:bookmarkEnd w:id="76"/>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sectPr w:rsidR="00156DD6">
          <w:pgSz w:w="11906" w:h="16838"/>
          <w:pgMar w:top="1525" w:right="1276" w:bottom="1440" w:left="1797" w:header="851" w:footer="992" w:gutter="0"/>
          <w:cols w:space="425"/>
          <w:docGrid w:linePitch="312"/>
        </w:sectPr>
      </w:pPr>
    </w:p>
    <w:p w:rsidR="00156DD6" w:rsidRDefault="00D51F5F">
      <w:pPr>
        <w:pStyle w:val="1"/>
        <w:numPr>
          <w:ilvl w:val="0"/>
          <w:numId w:val="2"/>
        </w:numPr>
        <w:rPr>
          <w:rFonts w:ascii="黑体" w:hAnsi="黑体"/>
          <w:color w:val="000000" w:themeColor="text1"/>
        </w:rPr>
      </w:pPr>
      <w:bookmarkStart w:id="79" w:name="_Toc200030543"/>
      <w:bookmarkStart w:id="80" w:name="_Toc76114277"/>
      <w:bookmarkEnd w:id="77"/>
      <w:r>
        <w:rPr>
          <w:rFonts w:ascii="黑体" w:hAnsi="黑体" w:hint="eastAsia"/>
          <w:color w:val="000000" w:themeColor="text1"/>
        </w:rPr>
        <w:lastRenderedPageBreak/>
        <w:t>重要事项</w:t>
      </w:r>
    </w:p>
    <w:bookmarkEnd w:id="79"/>
    <w:bookmarkEnd w:id="80"/>
    <w:p w:rsidR="00156DD6" w:rsidRDefault="00156DD6">
      <w:pPr>
        <w:rPr>
          <w:color w:val="000000" w:themeColor="text1"/>
        </w:rPr>
      </w:pPr>
    </w:p>
    <w:p w:rsidR="00156DD6" w:rsidRDefault="00D51F5F">
      <w:pPr>
        <w:pStyle w:val="2"/>
        <w:numPr>
          <w:ilvl w:val="0"/>
          <w:numId w:val="17"/>
        </w:numPr>
        <w:tabs>
          <w:tab w:val="left" w:pos="426"/>
        </w:tabs>
        <w:jc w:val="left"/>
        <w:rPr>
          <w:rFonts w:ascii="宋体" w:hAnsi="宋体"/>
          <w:color w:val="000000" w:themeColor="text1"/>
        </w:rPr>
      </w:pPr>
      <w:bookmarkStart w:id="81" w:name="_Toc342565988"/>
      <w:r>
        <w:rPr>
          <w:rFonts w:ascii="宋体" w:hAnsi="宋体" w:hint="eastAsia"/>
          <w:color w:val="000000" w:themeColor="text1"/>
        </w:rPr>
        <w:t>承诺事项履行情况</w:t>
      </w:r>
    </w:p>
    <w:p w:rsidR="00156DD6" w:rsidRDefault="00D51F5F">
      <w:pPr>
        <w:pStyle w:val="3"/>
        <w:numPr>
          <w:ilvl w:val="1"/>
          <w:numId w:val="18"/>
        </w:numPr>
        <w:rPr>
          <w:color w:val="000000" w:themeColor="text1"/>
          <w:szCs w:val="21"/>
        </w:rPr>
      </w:pPr>
      <w:bookmarkStart w:id="82" w:name="_Hlk167798036"/>
      <w:r>
        <w:rPr>
          <w:rFonts w:hint="eastAsia"/>
          <w:color w:val="000000" w:themeColor="text1"/>
          <w:szCs w:val="21"/>
        </w:rPr>
        <w:t>公司实际控制人、股东、关联方、收购人以及公司等承诺相关方在报告期内或持续到报告期内的承诺事项</w:t>
      </w:r>
    </w:p>
    <w:sdt>
      <w:sdtPr>
        <w:rPr>
          <w:color w:val="000000" w:themeColor="text1"/>
        </w:rPr>
        <w:alias w:val="是否适用：公司实际控制人、股东、关联方、收购人以及公司等承诺相关方在报告期内或持续到报告期内的承诺事项 [双击切换]"/>
        <w:tag w:val="_GBC_1b3cd268fdf44711b46a5537ed6234e6"/>
        <w:id w:val="53385988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217"/>
        <w:gridCol w:w="1253"/>
        <w:gridCol w:w="1306"/>
        <w:gridCol w:w="1339"/>
        <w:gridCol w:w="1339"/>
        <w:gridCol w:w="1317"/>
        <w:gridCol w:w="1317"/>
        <w:gridCol w:w="1519"/>
        <w:gridCol w:w="1209"/>
      </w:tblGrid>
      <w:tr w:rsidR="00156DD6">
        <w:sdt>
          <w:sdtPr>
            <w:tag w:val="_PLD_2f48c631d4f145bb89e0b412b579c044"/>
            <w:id w:val="1273054882"/>
          </w:sdtPr>
          <w:sdtEndPr/>
          <w:sdtContent>
            <w:tc>
              <w:tcPr>
                <w:tcW w:w="738" w:type="pct"/>
                <w:vAlign w:val="center"/>
              </w:tcPr>
              <w:p w:rsidR="00156DD6" w:rsidRDefault="00D51F5F">
                <w:pPr>
                  <w:jc w:val="center"/>
                  <w:rPr>
                    <w:color w:val="000000" w:themeColor="text1"/>
                  </w:rPr>
                </w:pPr>
                <w:r>
                  <w:rPr>
                    <w:rFonts w:hint="eastAsia"/>
                    <w:color w:val="000000" w:themeColor="text1"/>
                  </w:rPr>
                  <w:t>承诺背景</w:t>
                </w:r>
              </w:p>
            </w:tc>
          </w:sdtContent>
        </w:sdt>
        <w:sdt>
          <w:sdtPr>
            <w:tag w:val="_PLD_9a17726fa949480a8fa734c2daa367c5"/>
            <w:id w:val="382983303"/>
          </w:sdtPr>
          <w:sdtEndPr/>
          <w:sdtContent>
            <w:tc>
              <w:tcPr>
                <w:tcW w:w="439" w:type="pct"/>
                <w:vAlign w:val="center"/>
              </w:tcPr>
              <w:p w:rsidR="00156DD6" w:rsidRDefault="00D51F5F">
                <w:pPr>
                  <w:jc w:val="center"/>
                  <w:rPr>
                    <w:color w:val="000000" w:themeColor="text1"/>
                  </w:rPr>
                </w:pPr>
                <w:r>
                  <w:rPr>
                    <w:rFonts w:hint="eastAsia"/>
                    <w:color w:val="000000" w:themeColor="text1"/>
                  </w:rPr>
                  <w:t>承诺</w:t>
                </w:r>
              </w:p>
              <w:p w:rsidR="00156DD6" w:rsidRDefault="00D51F5F">
                <w:pPr>
                  <w:jc w:val="center"/>
                  <w:rPr>
                    <w:color w:val="000000" w:themeColor="text1"/>
                  </w:rPr>
                </w:pPr>
                <w:r>
                  <w:rPr>
                    <w:rFonts w:hint="eastAsia"/>
                    <w:color w:val="000000" w:themeColor="text1"/>
                  </w:rPr>
                  <w:t>类型</w:t>
                </w:r>
              </w:p>
            </w:tc>
          </w:sdtContent>
        </w:sdt>
        <w:sdt>
          <w:sdtPr>
            <w:tag w:val="_PLD_dd4d33263e224736aca1317e23b8393b"/>
            <w:id w:val="-2003418610"/>
          </w:sdtPr>
          <w:sdtEndPr/>
          <w:sdtContent>
            <w:tc>
              <w:tcPr>
                <w:tcW w:w="452" w:type="pct"/>
                <w:vAlign w:val="center"/>
              </w:tcPr>
              <w:p w:rsidR="00156DD6" w:rsidRDefault="00D51F5F">
                <w:pPr>
                  <w:jc w:val="center"/>
                  <w:rPr>
                    <w:color w:val="000000" w:themeColor="text1"/>
                  </w:rPr>
                </w:pPr>
                <w:r>
                  <w:rPr>
                    <w:rFonts w:hint="eastAsia"/>
                    <w:color w:val="000000" w:themeColor="text1"/>
                  </w:rPr>
                  <w:t>承诺方</w:t>
                </w:r>
              </w:p>
            </w:tc>
          </w:sdtContent>
        </w:sdt>
        <w:sdt>
          <w:sdtPr>
            <w:tag w:val="_PLD_2827daa4881746e8af82dd1a4a5cdfc9"/>
            <w:id w:val="1914512773"/>
          </w:sdtPr>
          <w:sdtEndPr/>
          <w:sdtContent>
            <w:tc>
              <w:tcPr>
                <w:tcW w:w="471" w:type="pct"/>
                <w:vAlign w:val="center"/>
              </w:tcPr>
              <w:p w:rsidR="00156DD6" w:rsidRDefault="00D51F5F">
                <w:pPr>
                  <w:jc w:val="center"/>
                  <w:rPr>
                    <w:color w:val="000000" w:themeColor="text1"/>
                  </w:rPr>
                </w:pPr>
                <w:r>
                  <w:rPr>
                    <w:rFonts w:hint="eastAsia"/>
                    <w:color w:val="000000" w:themeColor="text1"/>
                  </w:rPr>
                  <w:t>承诺</w:t>
                </w:r>
              </w:p>
              <w:p w:rsidR="00156DD6" w:rsidRDefault="00D51F5F">
                <w:pPr>
                  <w:jc w:val="center"/>
                  <w:rPr>
                    <w:color w:val="000000" w:themeColor="text1"/>
                  </w:rPr>
                </w:pPr>
                <w:r>
                  <w:rPr>
                    <w:rFonts w:hint="eastAsia"/>
                    <w:color w:val="000000" w:themeColor="text1"/>
                  </w:rPr>
                  <w:t>内容</w:t>
                </w:r>
              </w:p>
            </w:tc>
          </w:sdtContent>
        </w:sdt>
        <w:sdt>
          <w:sdtPr>
            <w:tag w:val="_PLD_0faf19b77a3a4c9f9dfef5d67a6c073e"/>
            <w:id w:val="-1335451135"/>
          </w:sdtPr>
          <w:sdtEndPr/>
          <w:sdtContent>
            <w:tc>
              <w:tcPr>
                <w:tcW w:w="483" w:type="pct"/>
                <w:vAlign w:val="center"/>
              </w:tcPr>
              <w:p w:rsidR="00156DD6" w:rsidRDefault="00D51F5F">
                <w:pPr>
                  <w:jc w:val="center"/>
                  <w:rPr>
                    <w:color w:val="000000" w:themeColor="text1"/>
                  </w:rPr>
                </w:pPr>
                <w:r>
                  <w:rPr>
                    <w:rFonts w:hint="eastAsia"/>
                    <w:color w:val="000000" w:themeColor="text1"/>
                  </w:rPr>
                  <w:t>承诺时间</w:t>
                </w:r>
              </w:p>
            </w:tc>
          </w:sdtContent>
        </w:sdt>
        <w:sdt>
          <w:sdtPr>
            <w:tag w:val="_PLD_5712764119844cacbd807a7b3cc06229"/>
            <w:id w:val="1388923909"/>
          </w:sdtPr>
          <w:sdtEndPr/>
          <w:sdtContent>
            <w:tc>
              <w:tcPr>
                <w:tcW w:w="483" w:type="pct"/>
                <w:vAlign w:val="center"/>
              </w:tcPr>
              <w:p w:rsidR="00156DD6" w:rsidRDefault="00D51F5F">
                <w:pPr>
                  <w:jc w:val="center"/>
                  <w:rPr>
                    <w:color w:val="000000" w:themeColor="text1"/>
                  </w:rPr>
                </w:pPr>
                <w:r>
                  <w:rPr>
                    <w:rFonts w:hint="eastAsia"/>
                    <w:color w:val="000000" w:themeColor="text1"/>
                  </w:rPr>
                  <w:t>是否有履行期限</w:t>
                </w:r>
              </w:p>
            </w:tc>
          </w:sdtContent>
        </w:sdt>
        <w:sdt>
          <w:sdtPr>
            <w:tag w:val="_PLD_086966425efd4cf5aa843a606f19d41f"/>
            <w:id w:val="-1531724941"/>
          </w:sdtPr>
          <w:sdtEndPr/>
          <w:sdtContent>
            <w:tc>
              <w:tcPr>
                <w:tcW w:w="475" w:type="pct"/>
                <w:vAlign w:val="center"/>
              </w:tcPr>
              <w:p w:rsidR="00156DD6" w:rsidRDefault="00D51F5F">
                <w:pPr>
                  <w:jc w:val="center"/>
                  <w:rPr>
                    <w:color w:val="000000" w:themeColor="text1"/>
                  </w:rPr>
                </w:pPr>
                <w:r>
                  <w:rPr>
                    <w:rFonts w:hint="eastAsia"/>
                    <w:color w:val="000000" w:themeColor="text1"/>
                  </w:rPr>
                  <w:t>承诺期限</w:t>
                </w:r>
              </w:p>
            </w:tc>
          </w:sdtContent>
        </w:sdt>
        <w:sdt>
          <w:sdtPr>
            <w:tag w:val="_PLD_c57f62b5ce044c04a606e760d1fb2925"/>
            <w:id w:val="-1687516477"/>
          </w:sdtPr>
          <w:sdtEndPr/>
          <w:sdtContent>
            <w:tc>
              <w:tcPr>
                <w:tcW w:w="475" w:type="pct"/>
                <w:vAlign w:val="center"/>
              </w:tcPr>
              <w:p w:rsidR="00156DD6" w:rsidRDefault="00D51F5F">
                <w:pPr>
                  <w:jc w:val="center"/>
                  <w:rPr>
                    <w:color w:val="000000" w:themeColor="text1"/>
                  </w:rPr>
                </w:pPr>
                <w:r>
                  <w:rPr>
                    <w:rFonts w:hint="eastAsia"/>
                    <w:color w:val="000000" w:themeColor="text1"/>
                  </w:rPr>
                  <w:t>是否及时严格履行</w:t>
                </w:r>
              </w:p>
            </w:tc>
          </w:sdtContent>
        </w:sdt>
        <w:sdt>
          <w:sdtPr>
            <w:tag w:val="_PLD_aa8ea8bcfcba4d8d9cf09df53934a60e"/>
            <w:id w:val="-991711715"/>
          </w:sdtPr>
          <w:sdtEndPr/>
          <w:sdtContent>
            <w:tc>
              <w:tcPr>
                <w:tcW w:w="548" w:type="pct"/>
                <w:vAlign w:val="center"/>
              </w:tcPr>
              <w:p w:rsidR="00156DD6" w:rsidRDefault="00D51F5F">
                <w:pPr>
                  <w:jc w:val="center"/>
                  <w:rPr>
                    <w:color w:val="000000" w:themeColor="text1"/>
                  </w:rPr>
                </w:pPr>
                <w:r>
                  <w:rPr>
                    <w:rFonts w:hint="eastAsia"/>
                    <w:color w:val="000000" w:themeColor="text1"/>
                  </w:rPr>
                  <w:t>如未能及时履行应说明未完成履行的具体原因</w:t>
                </w:r>
              </w:p>
            </w:tc>
          </w:sdtContent>
        </w:sdt>
        <w:sdt>
          <w:sdtPr>
            <w:tag w:val="_PLD_10e867610a5447f294ff667276bb94e5"/>
            <w:id w:val="-139496197"/>
          </w:sdtPr>
          <w:sdtEndPr/>
          <w:sdtContent>
            <w:tc>
              <w:tcPr>
                <w:tcW w:w="436" w:type="pct"/>
                <w:vAlign w:val="center"/>
              </w:tcPr>
              <w:p w:rsidR="00156DD6" w:rsidRDefault="00D51F5F">
                <w:pPr>
                  <w:jc w:val="center"/>
                  <w:rPr>
                    <w:color w:val="000000" w:themeColor="text1"/>
                  </w:rPr>
                </w:pPr>
                <w:r>
                  <w:rPr>
                    <w:rFonts w:hint="eastAsia"/>
                    <w:color w:val="000000" w:themeColor="text1"/>
                  </w:rPr>
                  <w:t>如未能及时履行应说明下一步计划</w:t>
                </w:r>
              </w:p>
            </w:tc>
          </w:sdtContent>
        </w:sdt>
      </w:tr>
      <w:tr w:rsidR="00156DD6">
        <w:tc>
          <w:tcPr>
            <w:tcW w:w="738" w:type="pct"/>
            <w:vMerge w:val="restart"/>
            <w:vAlign w:val="center"/>
          </w:tcPr>
          <w:p w:rsidR="00156DD6" w:rsidRDefault="00D51F5F">
            <w:pPr>
              <w:widowControl w:val="0"/>
              <w:jc w:val="both"/>
              <w:rPr>
                <w:color w:val="000000" w:themeColor="text1"/>
              </w:rPr>
            </w:pPr>
            <w:r>
              <w:rPr>
                <w:rFonts w:hint="eastAsia"/>
                <w:color w:val="000000" w:themeColor="text1"/>
              </w:rPr>
              <w:t>与首次公开发行相关的承诺</w:t>
            </w:r>
          </w:p>
        </w:tc>
        <w:tc>
          <w:tcPr>
            <w:tcW w:w="439" w:type="pct"/>
            <w:vAlign w:val="center"/>
          </w:tcPr>
          <w:p w:rsidR="00156DD6" w:rsidRDefault="00D51F5F">
            <w:pPr>
              <w:jc w:val="center"/>
              <w:rPr>
                <w:color w:val="000000" w:themeColor="text1"/>
              </w:rPr>
            </w:pPr>
            <w:r>
              <w:rPr>
                <w:rFonts w:hint="eastAsia"/>
                <w:color w:val="000000" w:themeColor="text1"/>
              </w:rPr>
              <w:t>股份限售</w:t>
            </w:r>
          </w:p>
        </w:tc>
        <w:tc>
          <w:tcPr>
            <w:tcW w:w="452" w:type="pct"/>
            <w:vAlign w:val="center"/>
          </w:tcPr>
          <w:p w:rsidR="00156DD6" w:rsidRDefault="00D51F5F">
            <w:pPr>
              <w:jc w:val="center"/>
            </w:pPr>
            <w:r>
              <w:rPr>
                <w:rFonts w:hint="eastAsia"/>
              </w:rPr>
              <w:t>公司上市前全体股东</w:t>
            </w:r>
          </w:p>
        </w:tc>
        <w:tc>
          <w:tcPr>
            <w:tcW w:w="471" w:type="pct"/>
            <w:vAlign w:val="center"/>
          </w:tcPr>
          <w:p w:rsidR="00156DD6" w:rsidRDefault="00D51F5F">
            <w:pPr>
              <w:pStyle w:val="21"/>
              <w:jc w:val="center"/>
            </w:pPr>
            <w:r>
              <w:rPr>
                <w:rFonts w:ascii="宋体" w:hAnsi="宋体" w:hint="eastAsia"/>
              </w:rPr>
              <w:t>股份锁定的承诺，具体详见注</w:t>
            </w:r>
            <w:r>
              <w:rPr>
                <w:rFonts w:hint="eastAsia"/>
              </w:rPr>
              <w:t>1</w:t>
            </w:r>
          </w:p>
          <w:p w:rsidR="00156DD6" w:rsidRDefault="00156DD6">
            <w:pPr>
              <w:jc w:val="center"/>
            </w:pPr>
          </w:p>
        </w:tc>
        <w:tc>
          <w:tcPr>
            <w:tcW w:w="483" w:type="pct"/>
            <w:vAlign w:val="center"/>
          </w:tcPr>
          <w:p w:rsidR="00156DD6" w:rsidRDefault="00D51F5F">
            <w:pPr>
              <w:pStyle w:val="Style43"/>
              <w:jc w:val="center"/>
            </w:pPr>
            <w:r>
              <w:rPr>
                <w:rFonts w:hint="eastAsia"/>
              </w:rPr>
              <w:t>注</w:t>
            </w:r>
            <w:r>
              <w:rPr>
                <w:rFonts w:hint="eastAsia"/>
              </w:rPr>
              <w:t>1</w:t>
            </w:r>
          </w:p>
        </w:tc>
        <w:tc>
          <w:tcPr>
            <w:tcW w:w="483" w:type="pct"/>
            <w:vAlign w:val="center"/>
          </w:tcPr>
          <w:p w:rsidR="00156DD6" w:rsidRDefault="00D51F5F">
            <w:pPr>
              <w:jc w:val="center"/>
              <w:rPr>
                <w:color w:val="000000" w:themeColor="text1"/>
              </w:rPr>
            </w:pPr>
            <w:r>
              <w:rPr>
                <w:rFonts w:hint="eastAsia"/>
              </w:rPr>
              <w:t>是</w:t>
            </w:r>
          </w:p>
        </w:tc>
        <w:tc>
          <w:tcPr>
            <w:tcW w:w="475" w:type="pct"/>
            <w:vAlign w:val="center"/>
          </w:tcPr>
          <w:p w:rsidR="00156DD6" w:rsidRDefault="00D51F5F">
            <w:pPr>
              <w:pStyle w:val="Style43"/>
              <w:jc w:val="center"/>
            </w:pPr>
            <w:r>
              <w:rPr>
                <w:rFonts w:hint="eastAsia"/>
              </w:rPr>
              <w:t>注</w:t>
            </w:r>
            <w:r>
              <w:rPr>
                <w:rFonts w:hint="eastAsia"/>
              </w:rPr>
              <w:t>1</w:t>
            </w:r>
          </w:p>
        </w:tc>
        <w:tc>
          <w:tcPr>
            <w:tcW w:w="475" w:type="pct"/>
            <w:vAlign w:val="center"/>
          </w:tcPr>
          <w:p w:rsidR="00156DD6" w:rsidRDefault="00D51F5F">
            <w:pPr>
              <w:jc w:val="center"/>
              <w:rPr>
                <w:color w:val="000000" w:themeColor="text1"/>
              </w:rP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r w:rsidR="00156DD6">
        <w:tc>
          <w:tcPr>
            <w:tcW w:w="738" w:type="pct"/>
            <w:vMerge/>
            <w:vAlign w:val="center"/>
          </w:tcPr>
          <w:p w:rsidR="00156DD6" w:rsidRDefault="00156DD6">
            <w:pPr>
              <w:rPr>
                <w:color w:val="000000" w:themeColor="text1"/>
              </w:rPr>
            </w:pPr>
          </w:p>
        </w:tc>
        <w:tc>
          <w:tcPr>
            <w:tcW w:w="439" w:type="pct"/>
            <w:vAlign w:val="center"/>
          </w:tcPr>
          <w:p w:rsidR="00156DD6" w:rsidRDefault="00D51F5F">
            <w:pPr>
              <w:jc w:val="center"/>
              <w:rPr>
                <w:color w:val="000000" w:themeColor="text1"/>
              </w:rPr>
            </w:pPr>
            <w:r>
              <w:rPr>
                <w:rFonts w:hint="eastAsia"/>
                <w:color w:val="000000" w:themeColor="text1"/>
              </w:rPr>
              <w:t>其他</w:t>
            </w:r>
          </w:p>
        </w:tc>
        <w:tc>
          <w:tcPr>
            <w:tcW w:w="452" w:type="pct"/>
            <w:vAlign w:val="center"/>
          </w:tcPr>
          <w:p w:rsidR="00156DD6" w:rsidRDefault="00D51F5F">
            <w:pPr>
              <w:pStyle w:val="Style43"/>
              <w:jc w:val="center"/>
            </w:pPr>
            <w:r>
              <w:rPr>
                <w:rFonts w:hint="eastAsia"/>
              </w:rPr>
              <w:t>杨泽民、秦惠兰、杨耀、杨秦、杨厚群、皮天彬、秦勇、隆志钢、杨小林</w:t>
            </w:r>
          </w:p>
        </w:tc>
        <w:tc>
          <w:tcPr>
            <w:tcW w:w="471" w:type="pct"/>
            <w:vAlign w:val="center"/>
          </w:tcPr>
          <w:p w:rsidR="00156DD6" w:rsidRDefault="00D51F5F">
            <w:pPr>
              <w:pStyle w:val="Style43"/>
              <w:jc w:val="center"/>
            </w:pPr>
            <w:r>
              <w:rPr>
                <w:rFonts w:hint="eastAsia"/>
              </w:rPr>
              <w:t>5%</w:t>
            </w:r>
            <w:r>
              <w:rPr>
                <w:rFonts w:hint="eastAsia"/>
              </w:rPr>
              <w:t>以上股东的减持意向承诺，详见注</w:t>
            </w:r>
            <w:r>
              <w:rPr>
                <w:rFonts w:hint="eastAsia"/>
              </w:rPr>
              <w:t>2</w:t>
            </w:r>
          </w:p>
        </w:tc>
        <w:tc>
          <w:tcPr>
            <w:tcW w:w="483" w:type="pct"/>
            <w:vAlign w:val="center"/>
          </w:tcPr>
          <w:p w:rsidR="00156DD6" w:rsidRDefault="00D51F5F">
            <w:pPr>
              <w:pStyle w:val="Style43"/>
              <w:jc w:val="center"/>
            </w:pPr>
            <w:r>
              <w:rPr>
                <w:rFonts w:hint="eastAsia"/>
              </w:rPr>
              <w:t>注</w:t>
            </w:r>
            <w:r>
              <w:rPr>
                <w:rFonts w:hint="eastAsia"/>
              </w:rPr>
              <w:t>2</w:t>
            </w:r>
          </w:p>
        </w:tc>
        <w:tc>
          <w:tcPr>
            <w:tcW w:w="483" w:type="pct"/>
            <w:vAlign w:val="center"/>
          </w:tcPr>
          <w:p w:rsidR="00156DD6" w:rsidRDefault="00D51F5F">
            <w:pPr>
              <w:jc w:val="center"/>
              <w:rPr>
                <w:color w:val="000000" w:themeColor="text1"/>
              </w:rPr>
            </w:pPr>
            <w:r>
              <w:rPr>
                <w:rFonts w:hint="eastAsia"/>
              </w:rPr>
              <w:t>是</w:t>
            </w:r>
          </w:p>
        </w:tc>
        <w:tc>
          <w:tcPr>
            <w:tcW w:w="475" w:type="pct"/>
            <w:vAlign w:val="center"/>
          </w:tcPr>
          <w:p w:rsidR="00156DD6" w:rsidRDefault="00D51F5F">
            <w:pPr>
              <w:pStyle w:val="Style43"/>
              <w:jc w:val="center"/>
            </w:pPr>
            <w:r>
              <w:rPr>
                <w:rFonts w:hint="eastAsia"/>
              </w:rPr>
              <w:t>注</w:t>
            </w:r>
            <w:r>
              <w:rPr>
                <w:rFonts w:hint="eastAsia"/>
              </w:rPr>
              <w:t>2</w:t>
            </w:r>
          </w:p>
        </w:tc>
        <w:tc>
          <w:tcPr>
            <w:tcW w:w="475" w:type="pct"/>
            <w:vAlign w:val="center"/>
          </w:tcPr>
          <w:p w:rsidR="00156DD6" w:rsidRDefault="00D51F5F">
            <w:pPr>
              <w:jc w:val="center"/>
              <w:rPr>
                <w:color w:val="000000" w:themeColor="text1"/>
              </w:rP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r w:rsidR="00156DD6">
        <w:tc>
          <w:tcPr>
            <w:tcW w:w="738" w:type="pct"/>
            <w:vMerge/>
            <w:vAlign w:val="center"/>
          </w:tcPr>
          <w:p w:rsidR="00156DD6" w:rsidRDefault="00156DD6">
            <w:pPr>
              <w:pStyle w:val="Style43"/>
            </w:pPr>
          </w:p>
        </w:tc>
        <w:tc>
          <w:tcPr>
            <w:tcW w:w="439" w:type="pct"/>
            <w:vAlign w:val="center"/>
          </w:tcPr>
          <w:p w:rsidR="00156DD6" w:rsidRDefault="00D51F5F">
            <w:pPr>
              <w:jc w:val="center"/>
              <w:rPr>
                <w:color w:val="000000" w:themeColor="text1"/>
              </w:rPr>
            </w:pPr>
            <w:r>
              <w:rPr>
                <w:rFonts w:hint="eastAsia"/>
                <w:color w:val="000000" w:themeColor="text1"/>
              </w:rPr>
              <w:t>其他</w:t>
            </w:r>
          </w:p>
        </w:tc>
        <w:tc>
          <w:tcPr>
            <w:tcW w:w="452" w:type="pct"/>
            <w:vAlign w:val="center"/>
          </w:tcPr>
          <w:p w:rsidR="00156DD6" w:rsidRDefault="00D51F5F">
            <w:pPr>
              <w:pStyle w:val="Style43"/>
              <w:jc w:val="center"/>
            </w:pPr>
            <w:r>
              <w:rPr>
                <w:rFonts w:hint="eastAsia"/>
              </w:rPr>
              <w:t>公司、杨泽民、秦惠兰、杨耀、杨秦、董事、高级管理人员</w:t>
            </w:r>
          </w:p>
        </w:tc>
        <w:tc>
          <w:tcPr>
            <w:tcW w:w="471" w:type="pct"/>
            <w:vAlign w:val="center"/>
          </w:tcPr>
          <w:p w:rsidR="00156DD6" w:rsidRDefault="00D51F5F">
            <w:pPr>
              <w:pStyle w:val="Style43"/>
              <w:jc w:val="center"/>
            </w:pPr>
            <w:r>
              <w:rPr>
                <w:rFonts w:hint="eastAsia"/>
              </w:rPr>
              <w:t>摊薄即期回报采取填补措施的承诺，详见注</w:t>
            </w:r>
            <w:r>
              <w:rPr>
                <w:rFonts w:hint="eastAsia"/>
              </w:rPr>
              <w:t>3</w:t>
            </w:r>
          </w:p>
        </w:tc>
        <w:tc>
          <w:tcPr>
            <w:tcW w:w="483" w:type="pct"/>
            <w:vAlign w:val="center"/>
          </w:tcPr>
          <w:p w:rsidR="00156DD6" w:rsidRDefault="00D51F5F">
            <w:pPr>
              <w:pStyle w:val="Style43"/>
              <w:jc w:val="center"/>
            </w:pPr>
            <w:r>
              <w:rPr>
                <w:rFonts w:hint="eastAsia"/>
              </w:rPr>
              <w:t>注</w:t>
            </w:r>
            <w:r>
              <w:rPr>
                <w:rFonts w:hint="eastAsia"/>
              </w:rPr>
              <w:t>3</w:t>
            </w:r>
          </w:p>
        </w:tc>
        <w:tc>
          <w:tcPr>
            <w:tcW w:w="483" w:type="pct"/>
            <w:vAlign w:val="center"/>
          </w:tcPr>
          <w:p w:rsidR="00156DD6" w:rsidRDefault="00D51F5F">
            <w:pPr>
              <w:jc w:val="center"/>
              <w:rPr>
                <w:color w:val="000000" w:themeColor="text1"/>
              </w:rPr>
            </w:pPr>
            <w:r>
              <w:rPr>
                <w:rFonts w:hint="eastAsia"/>
              </w:rPr>
              <w:t>否</w:t>
            </w:r>
          </w:p>
        </w:tc>
        <w:tc>
          <w:tcPr>
            <w:tcW w:w="475" w:type="pct"/>
            <w:vAlign w:val="center"/>
          </w:tcPr>
          <w:p w:rsidR="00156DD6" w:rsidRDefault="00D51F5F">
            <w:pPr>
              <w:pStyle w:val="Style43"/>
              <w:jc w:val="center"/>
            </w:pPr>
            <w:r>
              <w:rPr>
                <w:rFonts w:hint="eastAsia"/>
              </w:rPr>
              <w:t>注</w:t>
            </w:r>
            <w:r>
              <w:rPr>
                <w:rFonts w:hint="eastAsia"/>
              </w:rPr>
              <w:t>3</w:t>
            </w:r>
          </w:p>
        </w:tc>
        <w:tc>
          <w:tcPr>
            <w:tcW w:w="475" w:type="pct"/>
            <w:vAlign w:val="center"/>
          </w:tcPr>
          <w:p w:rsidR="00156DD6" w:rsidRDefault="00D51F5F">
            <w:pPr>
              <w:jc w:val="center"/>
              <w:rPr>
                <w:color w:val="000000" w:themeColor="text1"/>
              </w:rP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r w:rsidR="00156DD6">
        <w:tc>
          <w:tcPr>
            <w:tcW w:w="738" w:type="pct"/>
            <w:vMerge/>
            <w:vAlign w:val="center"/>
          </w:tcPr>
          <w:p w:rsidR="00156DD6" w:rsidRDefault="00156DD6">
            <w:pPr>
              <w:pStyle w:val="Style43"/>
            </w:pPr>
          </w:p>
        </w:tc>
        <w:tc>
          <w:tcPr>
            <w:tcW w:w="439" w:type="pct"/>
            <w:vAlign w:val="center"/>
          </w:tcPr>
          <w:p w:rsidR="00156DD6" w:rsidRDefault="00D51F5F">
            <w:pPr>
              <w:jc w:val="center"/>
              <w:rPr>
                <w:color w:val="000000" w:themeColor="text1"/>
              </w:rPr>
            </w:pPr>
            <w:r>
              <w:rPr>
                <w:rFonts w:hint="eastAsia"/>
                <w:color w:val="000000" w:themeColor="text1"/>
              </w:rPr>
              <w:t>其他</w:t>
            </w:r>
          </w:p>
        </w:tc>
        <w:tc>
          <w:tcPr>
            <w:tcW w:w="452" w:type="pct"/>
            <w:vAlign w:val="center"/>
          </w:tcPr>
          <w:p w:rsidR="00156DD6" w:rsidRDefault="00D51F5F">
            <w:pPr>
              <w:pStyle w:val="Style43"/>
              <w:jc w:val="center"/>
            </w:pPr>
            <w:r>
              <w:rPr>
                <w:rFonts w:hint="eastAsia"/>
              </w:rPr>
              <w:t>杨泽民、秦惠兰、杨耀、杨秦</w:t>
            </w:r>
          </w:p>
        </w:tc>
        <w:tc>
          <w:tcPr>
            <w:tcW w:w="471" w:type="pct"/>
            <w:vAlign w:val="center"/>
          </w:tcPr>
          <w:p w:rsidR="00156DD6" w:rsidRDefault="00D51F5F">
            <w:pPr>
              <w:pStyle w:val="Style43"/>
              <w:jc w:val="center"/>
            </w:pPr>
            <w:r>
              <w:rPr>
                <w:rFonts w:hint="eastAsia"/>
              </w:rPr>
              <w:t>避免同业竞争的承诺，详见注</w:t>
            </w:r>
            <w:r>
              <w:rPr>
                <w:rFonts w:hint="eastAsia"/>
              </w:rPr>
              <w:t>4</w:t>
            </w:r>
          </w:p>
        </w:tc>
        <w:tc>
          <w:tcPr>
            <w:tcW w:w="483" w:type="pct"/>
            <w:vAlign w:val="center"/>
          </w:tcPr>
          <w:p w:rsidR="00156DD6" w:rsidRDefault="00D51F5F">
            <w:pPr>
              <w:pStyle w:val="Style43"/>
              <w:jc w:val="center"/>
            </w:pPr>
            <w:r>
              <w:rPr>
                <w:rFonts w:hint="eastAsia"/>
              </w:rPr>
              <w:t>注</w:t>
            </w:r>
            <w:r>
              <w:rPr>
                <w:rFonts w:hint="eastAsia"/>
              </w:rPr>
              <w:t>4</w:t>
            </w:r>
          </w:p>
        </w:tc>
        <w:tc>
          <w:tcPr>
            <w:tcW w:w="483" w:type="pct"/>
            <w:vAlign w:val="center"/>
          </w:tcPr>
          <w:p w:rsidR="00156DD6" w:rsidRDefault="00D51F5F">
            <w:pPr>
              <w:jc w:val="center"/>
              <w:rPr>
                <w:color w:val="000000" w:themeColor="text1"/>
              </w:rPr>
            </w:pPr>
            <w:r>
              <w:rPr>
                <w:rFonts w:hint="eastAsia"/>
              </w:rPr>
              <w:t>否</w:t>
            </w:r>
          </w:p>
        </w:tc>
        <w:tc>
          <w:tcPr>
            <w:tcW w:w="475" w:type="pct"/>
            <w:vAlign w:val="center"/>
          </w:tcPr>
          <w:p w:rsidR="00156DD6" w:rsidRDefault="00D51F5F">
            <w:pPr>
              <w:pStyle w:val="Style43"/>
              <w:jc w:val="center"/>
            </w:pPr>
            <w:r>
              <w:rPr>
                <w:rFonts w:hint="eastAsia"/>
              </w:rPr>
              <w:t>注</w:t>
            </w:r>
            <w:r>
              <w:rPr>
                <w:rFonts w:hint="eastAsia"/>
              </w:rPr>
              <w:t>4</w:t>
            </w:r>
          </w:p>
        </w:tc>
        <w:tc>
          <w:tcPr>
            <w:tcW w:w="475" w:type="pct"/>
            <w:vAlign w:val="center"/>
          </w:tcPr>
          <w:p w:rsidR="00156DD6" w:rsidRDefault="00D51F5F">
            <w:pPr>
              <w:jc w:val="center"/>
              <w:rPr>
                <w:color w:val="000000" w:themeColor="text1"/>
              </w:rP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r w:rsidR="00156DD6">
        <w:tc>
          <w:tcPr>
            <w:tcW w:w="738" w:type="pct"/>
            <w:vMerge/>
            <w:vAlign w:val="center"/>
          </w:tcPr>
          <w:p w:rsidR="00156DD6" w:rsidRDefault="00156DD6">
            <w:pPr>
              <w:pStyle w:val="Style43"/>
            </w:pPr>
          </w:p>
        </w:tc>
        <w:tc>
          <w:tcPr>
            <w:tcW w:w="439" w:type="pct"/>
            <w:vAlign w:val="center"/>
          </w:tcPr>
          <w:p w:rsidR="00156DD6" w:rsidRDefault="00D51F5F">
            <w:pPr>
              <w:jc w:val="center"/>
              <w:rPr>
                <w:color w:val="000000" w:themeColor="text1"/>
              </w:rPr>
            </w:pPr>
            <w:r>
              <w:rPr>
                <w:rFonts w:hint="eastAsia"/>
                <w:color w:val="000000" w:themeColor="text1"/>
              </w:rPr>
              <w:t>其他</w:t>
            </w:r>
          </w:p>
        </w:tc>
        <w:tc>
          <w:tcPr>
            <w:tcW w:w="452" w:type="pct"/>
            <w:vAlign w:val="center"/>
          </w:tcPr>
          <w:p w:rsidR="00156DD6" w:rsidRDefault="00D51F5F">
            <w:pPr>
              <w:pStyle w:val="Style43"/>
              <w:jc w:val="center"/>
            </w:pPr>
            <w:r>
              <w:rPr>
                <w:rFonts w:hint="eastAsia"/>
              </w:rPr>
              <w:t>杨泽民、秦惠兰、杨耀、杨秦和董监高</w:t>
            </w:r>
          </w:p>
        </w:tc>
        <w:tc>
          <w:tcPr>
            <w:tcW w:w="471" w:type="pct"/>
            <w:vAlign w:val="center"/>
          </w:tcPr>
          <w:p w:rsidR="00156DD6" w:rsidRDefault="00D51F5F">
            <w:pPr>
              <w:pStyle w:val="Style43"/>
              <w:jc w:val="center"/>
            </w:pPr>
            <w:r>
              <w:rPr>
                <w:rFonts w:hint="eastAsia"/>
              </w:rPr>
              <w:t>规范和减少关联交易的承诺，详见注</w:t>
            </w:r>
            <w:r>
              <w:rPr>
                <w:rFonts w:hint="eastAsia"/>
              </w:rPr>
              <w:t>5</w:t>
            </w:r>
          </w:p>
        </w:tc>
        <w:tc>
          <w:tcPr>
            <w:tcW w:w="483" w:type="pct"/>
            <w:vAlign w:val="center"/>
          </w:tcPr>
          <w:p w:rsidR="00156DD6" w:rsidRDefault="00D51F5F">
            <w:pPr>
              <w:pStyle w:val="Style43"/>
              <w:jc w:val="center"/>
            </w:pPr>
            <w:r>
              <w:rPr>
                <w:rFonts w:hint="eastAsia"/>
              </w:rPr>
              <w:t>注</w:t>
            </w:r>
            <w:r>
              <w:rPr>
                <w:rFonts w:hint="eastAsia"/>
              </w:rPr>
              <w:t>5</w:t>
            </w:r>
          </w:p>
        </w:tc>
        <w:tc>
          <w:tcPr>
            <w:tcW w:w="483" w:type="pct"/>
            <w:vAlign w:val="center"/>
          </w:tcPr>
          <w:p w:rsidR="00156DD6" w:rsidRDefault="00D51F5F">
            <w:pPr>
              <w:jc w:val="center"/>
              <w:rPr>
                <w:color w:val="000000" w:themeColor="text1"/>
              </w:rPr>
            </w:pPr>
            <w:r>
              <w:rPr>
                <w:rFonts w:hint="eastAsia"/>
              </w:rPr>
              <w:t>否</w:t>
            </w:r>
          </w:p>
        </w:tc>
        <w:tc>
          <w:tcPr>
            <w:tcW w:w="475" w:type="pct"/>
            <w:vAlign w:val="center"/>
          </w:tcPr>
          <w:p w:rsidR="00156DD6" w:rsidRDefault="00D51F5F">
            <w:pPr>
              <w:pStyle w:val="Style43"/>
              <w:jc w:val="center"/>
            </w:pPr>
            <w:r>
              <w:rPr>
                <w:rFonts w:hint="eastAsia"/>
              </w:rPr>
              <w:t>注</w:t>
            </w:r>
            <w:r>
              <w:rPr>
                <w:rFonts w:hint="eastAsia"/>
              </w:rPr>
              <w:t>5</w:t>
            </w:r>
          </w:p>
        </w:tc>
        <w:tc>
          <w:tcPr>
            <w:tcW w:w="475" w:type="pct"/>
            <w:vAlign w:val="center"/>
          </w:tcPr>
          <w:p w:rsidR="00156DD6" w:rsidRDefault="00D51F5F">
            <w:pPr>
              <w:jc w:val="center"/>
              <w:rPr>
                <w:color w:val="000000" w:themeColor="text1"/>
              </w:rP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r w:rsidR="00156DD6">
        <w:tc>
          <w:tcPr>
            <w:tcW w:w="738" w:type="pct"/>
            <w:vMerge/>
            <w:vAlign w:val="center"/>
          </w:tcPr>
          <w:p w:rsidR="00156DD6" w:rsidRDefault="00156DD6">
            <w:pPr>
              <w:pStyle w:val="Style43"/>
            </w:pPr>
          </w:p>
        </w:tc>
        <w:tc>
          <w:tcPr>
            <w:tcW w:w="439" w:type="pct"/>
            <w:vAlign w:val="center"/>
          </w:tcPr>
          <w:p w:rsidR="00156DD6" w:rsidRDefault="00D51F5F">
            <w:pPr>
              <w:jc w:val="center"/>
              <w:rPr>
                <w:color w:val="000000" w:themeColor="text1"/>
              </w:rPr>
            </w:pPr>
            <w:r>
              <w:rPr>
                <w:rFonts w:hint="eastAsia"/>
                <w:color w:val="000000" w:themeColor="text1"/>
              </w:rPr>
              <w:t>其他</w:t>
            </w:r>
          </w:p>
        </w:tc>
        <w:tc>
          <w:tcPr>
            <w:tcW w:w="452" w:type="pct"/>
            <w:vAlign w:val="center"/>
          </w:tcPr>
          <w:p w:rsidR="00156DD6" w:rsidRDefault="00D51F5F">
            <w:pPr>
              <w:pStyle w:val="Style43"/>
              <w:jc w:val="center"/>
            </w:pPr>
            <w:r>
              <w:rPr>
                <w:rFonts w:hint="eastAsia"/>
              </w:rPr>
              <w:t>杨泽民、秦惠兰、杨耀、杨秦</w:t>
            </w:r>
          </w:p>
        </w:tc>
        <w:tc>
          <w:tcPr>
            <w:tcW w:w="471" w:type="pct"/>
            <w:vAlign w:val="center"/>
          </w:tcPr>
          <w:p w:rsidR="00156DD6" w:rsidRDefault="00D51F5F">
            <w:pPr>
              <w:pStyle w:val="Style43"/>
              <w:jc w:val="center"/>
            </w:pPr>
            <w:r>
              <w:rPr>
                <w:rFonts w:hint="eastAsia"/>
              </w:rPr>
              <w:t>避免资金占用的承诺，详见注</w:t>
            </w:r>
            <w:r>
              <w:rPr>
                <w:rFonts w:hint="eastAsia"/>
              </w:rPr>
              <w:t>6</w:t>
            </w:r>
          </w:p>
        </w:tc>
        <w:tc>
          <w:tcPr>
            <w:tcW w:w="483" w:type="pct"/>
            <w:vAlign w:val="center"/>
          </w:tcPr>
          <w:p w:rsidR="00156DD6" w:rsidRDefault="00D51F5F">
            <w:pPr>
              <w:pStyle w:val="Style43"/>
              <w:jc w:val="center"/>
            </w:pPr>
            <w:r>
              <w:rPr>
                <w:rFonts w:hint="eastAsia"/>
              </w:rPr>
              <w:t>注</w:t>
            </w:r>
            <w:r>
              <w:rPr>
                <w:rFonts w:hint="eastAsia"/>
              </w:rPr>
              <w:t>6</w:t>
            </w:r>
          </w:p>
        </w:tc>
        <w:tc>
          <w:tcPr>
            <w:tcW w:w="483" w:type="pct"/>
            <w:vAlign w:val="center"/>
          </w:tcPr>
          <w:p w:rsidR="00156DD6" w:rsidRDefault="00D51F5F">
            <w:pPr>
              <w:jc w:val="center"/>
              <w:rPr>
                <w:color w:val="000000" w:themeColor="text1"/>
              </w:rPr>
            </w:pPr>
            <w:r>
              <w:rPr>
                <w:rFonts w:hint="eastAsia"/>
              </w:rPr>
              <w:t>否</w:t>
            </w:r>
          </w:p>
        </w:tc>
        <w:tc>
          <w:tcPr>
            <w:tcW w:w="475" w:type="pct"/>
            <w:vAlign w:val="center"/>
          </w:tcPr>
          <w:p w:rsidR="00156DD6" w:rsidRDefault="00D51F5F">
            <w:pPr>
              <w:pStyle w:val="Style43"/>
              <w:jc w:val="center"/>
            </w:pPr>
            <w:r>
              <w:rPr>
                <w:rFonts w:hint="eastAsia"/>
              </w:rPr>
              <w:t>注</w:t>
            </w:r>
            <w:r>
              <w:rPr>
                <w:rFonts w:hint="eastAsia"/>
              </w:rPr>
              <w:t>6</w:t>
            </w:r>
          </w:p>
        </w:tc>
        <w:tc>
          <w:tcPr>
            <w:tcW w:w="475" w:type="pct"/>
            <w:vAlign w:val="center"/>
          </w:tcPr>
          <w:p w:rsidR="00156DD6" w:rsidRDefault="00D51F5F">
            <w:pPr>
              <w:jc w:val="center"/>
              <w:rPr>
                <w:color w:val="000000" w:themeColor="text1"/>
              </w:rP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r w:rsidR="00156DD6">
        <w:tc>
          <w:tcPr>
            <w:tcW w:w="738" w:type="pct"/>
            <w:vMerge/>
            <w:vAlign w:val="center"/>
          </w:tcPr>
          <w:p w:rsidR="00156DD6" w:rsidRDefault="00156DD6">
            <w:pPr>
              <w:pStyle w:val="Style43"/>
            </w:pPr>
          </w:p>
        </w:tc>
        <w:tc>
          <w:tcPr>
            <w:tcW w:w="439" w:type="pct"/>
            <w:vAlign w:val="center"/>
          </w:tcPr>
          <w:p w:rsidR="00156DD6" w:rsidRDefault="00D51F5F">
            <w:pPr>
              <w:jc w:val="center"/>
              <w:rPr>
                <w:color w:val="000000" w:themeColor="text1"/>
              </w:rPr>
            </w:pPr>
            <w:r>
              <w:rPr>
                <w:rFonts w:hint="eastAsia"/>
                <w:color w:val="000000" w:themeColor="text1"/>
              </w:rPr>
              <w:t>其他</w:t>
            </w:r>
          </w:p>
        </w:tc>
        <w:tc>
          <w:tcPr>
            <w:tcW w:w="452" w:type="pct"/>
            <w:vAlign w:val="center"/>
          </w:tcPr>
          <w:p w:rsidR="00156DD6" w:rsidRDefault="00D51F5F">
            <w:pPr>
              <w:pStyle w:val="Style43"/>
              <w:jc w:val="center"/>
            </w:pPr>
            <w:r>
              <w:rPr>
                <w:rFonts w:hint="eastAsia"/>
              </w:rPr>
              <w:t>公司、杨泽民、秦惠兰、杨耀、杨秦</w:t>
            </w:r>
          </w:p>
        </w:tc>
        <w:tc>
          <w:tcPr>
            <w:tcW w:w="471" w:type="pct"/>
            <w:vAlign w:val="center"/>
          </w:tcPr>
          <w:p w:rsidR="00156DD6" w:rsidRDefault="00D51F5F">
            <w:pPr>
              <w:pStyle w:val="Style43"/>
              <w:jc w:val="center"/>
            </w:pPr>
            <w:r>
              <w:rPr>
                <w:rFonts w:hint="eastAsia"/>
              </w:rPr>
              <w:t>股份回购和股份购回的措施和承诺，详见注</w:t>
            </w:r>
            <w:r>
              <w:rPr>
                <w:rFonts w:hint="eastAsia"/>
              </w:rPr>
              <w:t>7</w:t>
            </w:r>
          </w:p>
        </w:tc>
        <w:tc>
          <w:tcPr>
            <w:tcW w:w="483" w:type="pct"/>
            <w:vAlign w:val="center"/>
          </w:tcPr>
          <w:p w:rsidR="00156DD6" w:rsidRDefault="00D51F5F">
            <w:pPr>
              <w:pStyle w:val="Style43"/>
              <w:jc w:val="center"/>
            </w:pPr>
            <w:r>
              <w:rPr>
                <w:rFonts w:hint="eastAsia"/>
              </w:rPr>
              <w:t>注</w:t>
            </w:r>
            <w:r>
              <w:rPr>
                <w:rFonts w:hint="eastAsia"/>
              </w:rPr>
              <w:t>7</w:t>
            </w:r>
          </w:p>
        </w:tc>
        <w:tc>
          <w:tcPr>
            <w:tcW w:w="483" w:type="pct"/>
            <w:vAlign w:val="center"/>
          </w:tcPr>
          <w:p w:rsidR="00156DD6" w:rsidRDefault="00D51F5F">
            <w:pPr>
              <w:jc w:val="center"/>
              <w:rPr>
                <w:color w:val="000000" w:themeColor="text1"/>
              </w:rPr>
            </w:pPr>
            <w:r>
              <w:rPr>
                <w:rFonts w:hint="eastAsia"/>
              </w:rPr>
              <w:t>否</w:t>
            </w:r>
          </w:p>
        </w:tc>
        <w:tc>
          <w:tcPr>
            <w:tcW w:w="475" w:type="pct"/>
            <w:vAlign w:val="center"/>
          </w:tcPr>
          <w:p w:rsidR="00156DD6" w:rsidRDefault="00D51F5F">
            <w:pPr>
              <w:pStyle w:val="Style43"/>
              <w:jc w:val="center"/>
            </w:pPr>
            <w:r>
              <w:rPr>
                <w:rFonts w:hint="eastAsia"/>
              </w:rPr>
              <w:t>注</w:t>
            </w:r>
            <w:r>
              <w:rPr>
                <w:rFonts w:hint="eastAsia"/>
              </w:rPr>
              <w:t>7</w:t>
            </w:r>
          </w:p>
        </w:tc>
        <w:tc>
          <w:tcPr>
            <w:tcW w:w="475" w:type="pct"/>
            <w:vAlign w:val="center"/>
          </w:tcPr>
          <w:p w:rsidR="00156DD6" w:rsidRDefault="00D51F5F">
            <w:pPr>
              <w:jc w:val="center"/>
              <w:rPr>
                <w:color w:val="000000" w:themeColor="text1"/>
              </w:rP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r w:rsidR="00156DD6">
        <w:tc>
          <w:tcPr>
            <w:tcW w:w="738" w:type="pct"/>
            <w:vMerge/>
            <w:vAlign w:val="center"/>
          </w:tcPr>
          <w:p w:rsidR="00156DD6" w:rsidRDefault="00156DD6">
            <w:pPr>
              <w:pStyle w:val="Style43"/>
            </w:pPr>
          </w:p>
        </w:tc>
        <w:tc>
          <w:tcPr>
            <w:tcW w:w="439" w:type="pct"/>
            <w:vAlign w:val="center"/>
          </w:tcPr>
          <w:p w:rsidR="00156DD6" w:rsidRDefault="00D51F5F">
            <w:pPr>
              <w:jc w:val="center"/>
              <w:rPr>
                <w:color w:val="000000" w:themeColor="text1"/>
              </w:rPr>
            </w:pPr>
            <w:r>
              <w:rPr>
                <w:rFonts w:hint="eastAsia"/>
                <w:color w:val="000000" w:themeColor="text1"/>
              </w:rPr>
              <w:t>其他</w:t>
            </w:r>
          </w:p>
        </w:tc>
        <w:tc>
          <w:tcPr>
            <w:tcW w:w="452" w:type="pct"/>
            <w:vAlign w:val="center"/>
          </w:tcPr>
          <w:p w:rsidR="00156DD6" w:rsidRDefault="00D51F5F">
            <w:pPr>
              <w:pStyle w:val="Style43"/>
              <w:jc w:val="center"/>
            </w:pPr>
            <w:r>
              <w:rPr>
                <w:rFonts w:hint="eastAsia"/>
              </w:rPr>
              <w:t>公司、杨泽民、秦惠兰、杨耀、杨秦、董监高</w:t>
            </w:r>
          </w:p>
        </w:tc>
        <w:tc>
          <w:tcPr>
            <w:tcW w:w="471" w:type="pct"/>
            <w:vAlign w:val="center"/>
          </w:tcPr>
          <w:p w:rsidR="00156DD6" w:rsidRDefault="00D51F5F">
            <w:pPr>
              <w:pStyle w:val="Style43"/>
              <w:jc w:val="center"/>
            </w:pPr>
            <w:r>
              <w:rPr>
                <w:rFonts w:hint="eastAsia"/>
              </w:rPr>
              <w:t>未履行承诺的约束措施的承诺，详见注</w:t>
            </w:r>
            <w:r>
              <w:rPr>
                <w:rFonts w:hint="eastAsia"/>
              </w:rPr>
              <w:t>8</w:t>
            </w:r>
          </w:p>
        </w:tc>
        <w:tc>
          <w:tcPr>
            <w:tcW w:w="483" w:type="pct"/>
            <w:vAlign w:val="center"/>
          </w:tcPr>
          <w:p w:rsidR="00156DD6" w:rsidRDefault="00D51F5F">
            <w:pPr>
              <w:pStyle w:val="Style43"/>
              <w:jc w:val="center"/>
            </w:pPr>
            <w:r>
              <w:rPr>
                <w:rFonts w:hint="eastAsia"/>
              </w:rPr>
              <w:t>注</w:t>
            </w:r>
            <w:r>
              <w:rPr>
                <w:rFonts w:hint="eastAsia"/>
              </w:rPr>
              <w:t>8</w:t>
            </w:r>
          </w:p>
        </w:tc>
        <w:tc>
          <w:tcPr>
            <w:tcW w:w="483" w:type="pct"/>
            <w:vAlign w:val="center"/>
          </w:tcPr>
          <w:p w:rsidR="00156DD6" w:rsidRDefault="00D51F5F">
            <w:pPr>
              <w:jc w:val="center"/>
              <w:rPr>
                <w:color w:val="000000" w:themeColor="text1"/>
              </w:rPr>
            </w:pPr>
            <w:r>
              <w:rPr>
                <w:rFonts w:hint="eastAsia"/>
              </w:rPr>
              <w:t>否</w:t>
            </w:r>
          </w:p>
        </w:tc>
        <w:tc>
          <w:tcPr>
            <w:tcW w:w="475" w:type="pct"/>
            <w:vAlign w:val="center"/>
          </w:tcPr>
          <w:p w:rsidR="00156DD6" w:rsidRDefault="00D51F5F">
            <w:pPr>
              <w:pStyle w:val="Style43"/>
              <w:jc w:val="center"/>
            </w:pPr>
            <w:r>
              <w:rPr>
                <w:rFonts w:hint="eastAsia"/>
              </w:rPr>
              <w:t>注</w:t>
            </w:r>
            <w:r>
              <w:rPr>
                <w:rFonts w:hint="eastAsia"/>
              </w:rPr>
              <w:t>8</w:t>
            </w:r>
          </w:p>
        </w:tc>
        <w:tc>
          <w:tcPr>
            <w:tcW w:w="475" w:type="pct"/>
            <w:vAlign w:val="center"/>
          </w:tcPr>
          <w:p w:rsidR="00156DD6" w:rsidRDefault="00D51F5F">
            <w:pPr>
              <w:jc w:val="center"/>
              <w:rPr>
                <w:color w:val="000000" w:themeColor="text1"/>
              </w:rP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r w:rsidR="00156DD6">
        <w:tc>
          <w:tcPr>
            <w:tcW w:w="738" w:type="pct"/>
            <w:vMerge/>
            <w:vAlign w:val="center"/>
          </w:tcPr>
          <w:p w:rsidR="00156DD6" w:rsidRDefault="00156DD6">
            <w:pPr>
              <w:pStyle w:val="Style43"/>
            </w:pPr>
            <w:bookmarkStart w:id="83" w:name="_Hlk206770383"/>
          </w:p>
        </w:tc>
        <w:tc>
          <w:tcPr>
            <w:tcW w:w="439" w:type="pct"/>
            <w:vAlign w:val="center"/>
          </w:tcPr>
          <w:p w:rsidR="00156DD6" w:rsidRDefault="00D51F5F">
            <w:pPr>
              <w:jc w:val="center"/>
              <w:rPr>
                <w:color w:val="000000" w:themeColor="text1"/>
              </w:rPr>
            </w:pPr>
            <w:r>
              <w:rPr>
                <w:rFonts w:hint="eastAsia"/>
                <w:color w:val="000000" w:themeColor="text1"/>
              </w:rPr>
              <w:t>其他</w:t>
            </w:r>
          </w:p>
        </w:tc>
        <w:tc>
          <w:tcPr>
            <w:tcW w:w="452" w:type="pct"/>
            <w:vAlign w:val="center"/>
          </w:tcPr>
          <w:p w:rsidR="00156DD6" w:rsidRDefault="00D51F5F">
            <w:pPr>
              <w:pStyle w:val="Style43"/>
              <w:jc w:val="center"/>
            </w:pPr>
            <w:r>
              <w:rPr>
                <w:rFonts w:hint="eastAsia"/>
              </w:rPr>
              <w:t>公司、杨泽民、秦惠兰、董事（不含独立董事）、高级管理人员</w:t>
            </w:r>
          </w:p>
        </w:tc>
        <w:tc>
          <w:tcPr>
            <w:tcW w:w="471" w:type="pct"/>
            <w:vAlign w:val="center"/>
          </w:tcPr>
          <w:p w:rsidR="00156DD6" w:rsidRDefault="00D51F5F">
            <w:pPr>
              <w:pStyle w:val="Style43"/>
              <w:jc w:val="center"/>
            </w:pPr>
            <w:r>
              <w:rPr>
                <w:rFonts w:hint="eastAsia"/>
              </w:rPr>
              <w:t>稳定股价及相应约束措施的承诺，详见注</w:t>
            </w:r>
            <w:r>
              <w:rPr>
                <w:rFonts w:hint="eastAsia"/>
              </w:rPr>
              <w:t>9</w:t>
            </w:r>
          </w:p>
        </w:tc>
        <w:tc>
          <w:tcPr>
            <w:tcW w:w="483" w:type="pct"/>
            <w:vAlign w:val="center"/>
          </w:tcPr>
          <w:p w:rsidR="00156DD6" w:rsidRDefault="00D51F5F">
            <w:pPr>
              <w:pStyle w:val="Style43"/>
              <w:jc w:val="center"/>
            </w:pPr>
            <w:r>
              <w:rPr>
                <w:rFonts w:hint="eastAsia"/>
              </w:rPr>
              <w:t>注</w:t>
            </w:r>
            <w:r>
              <w:rPr>
                <w:rFonts w:hint="eastAsia"/>
              </w:rPr>
              <w:t>9</w:t>
            </w:r>
          </w:p>
        </w:tc>
        <w:tc>
          <w:tcPr>
            <w:tcW w:w="483" w:type="pct"/>
            <w:vAlign w:val="center"/>
          </w:tcPr>
          <w:p w:rsidR="00156DD6" w:rsidRDefault="00D51F5F">
            <w:pPr>
              <w:jc w:val="center"/>
              <w:rPr>
                <w:color w:val="000000" w:themeColor="text1"/>
              </w:rPr>
            </w:pPr>
            <w:r>
              <w:rPr>
                <w:rFonts w:hint="eastAsia"/>
              </w:rPr>
              <w:t>是</w:t>
            </w:r>
          </w:p>
        </w:tc>
        <w:tc>
          <w:tcPr>
            <w:tcW w:w="475" w:type="pct"/>
            <w:vAlign w:val="center"/>
          </w:tcPr>
          <w:p w:rsidR="00156DD6" w:rsidRDefault="00D51F5F">
            <w:pPr>
              <w:pStyle w:val="Style43"/>
              <w:jc w:val="center"/>
            </w:pPr>
            <w:r>
              <w:rPr>
                <w:rFonts w:hint="eastAsia"/>
              </w:rPr>
              <w:t>注</w:t>
            </w:r>
            <w:r>
              <w:rPr>
                <w:rFonts w:hint="eastAsia"/>
              </w:rPr>
              <w:t>9</w:t>
            </w:r>
          </w:p>
        </w:tc>
        <w:tc>
          <w:tcPr>
            <w:tcW w:w="475" w:type="pct"/>
            <w:vAlign w:val="center"/>
          </w:tcPr>
          <w:p w:rsidR="00156DD6" w:rsidRDefault="00D51F5F">
            <w:pPr>
              <w:jc w:val="center"/>
              <w:rPr>
                <w:color w:val="000000" w:themeColor="text1"/>
              </w:rP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r w:rsidR="00156DD6">
        <w:tc>
          <w:tcPr>
            <w:tcW w:w="738" w:type="pct"/>
            <w:vAlign w:val="center"/>
          </w:tcPr>
          <w:p w:rsidR="00156DD6" w:rsidRDefault="00D51F5F">
            <w:pPr>
              <w:pStyle w:val="Style43"/>
            </w:pPr>
            <w:bookmarkStart w:id="84" w:name="_Hlk206770395"/>
            <w:bookmarkEnd w:id="83"/>
            <w:r>
              <w:rPr>
                <w:rFonts w:hint="eastAsia"/>
              </w:rPr>
              <w:t>其他</w:t>
            </w:r>
          </w:p>
        </w:tc>
        <w:tc>
          <w:tcPr>
            <w:tcW w:w="439" w:type="pct"/>
            <w:vAlign w:val="center"/>
          </w:tcPr>
          <w:p w:rsidR="00156DD6" w:rsidRDefault="00D51F5F">
            <w:pPr>
              <w:jc w:val="center"/>
              <w:rPr>
                <w:color w:val="000000" w:themeColor="text1"/>
              </w:rPr>
            </w:pPr>
            <w:r>
              <w:rPr>
                <w:rFonts w:hint="eastAsia"/>
                <w:color w:val="000000" w:themeColor="text1"/>
              </w:rPr>
              <w:t>其他</w:t>
            </w:r>
          </w:p>
        </w:tc>
        <w:tc>
          <w:tcPr>
            <w:tcW w:w="452" w:type="pct"/>
            <w:vAlign w:val="center"/>
          </w:tcPr>
          <w:p w:rsidR="00156DD6" w:rsidRDefault="00D51F5F">
            <w:pPr>
              <w:pStyle w:val="Style43"/>
              <w:jc w:val="center"/>
            </w:pPr>
            <w:r>
              <w:rPr>
                <w:rFonts w:hint="eastAsia"/>
              </w:rPr>
              <w:t>杨泽民、秦惠兰、杨耀、杨秦</w:t>
            </w:r>
          </w:p>
        </w:tc>
        <w:tc>
          <w:tcPr>
            <w:tcW w:w="471" w:type="pct"/>
            <w:vAlign w:val="center"/>
          </w:tcPr>
          <w:p w:rsidR="00156DD6" w:rsidRDefault="00D51F5F">
            <w:pPr>
              <w:pStyle w:val="Style43"/>
              <w:jc w:val="center"/>
            </w:pPr>
            <w:r>
              <w:rPr>
                <w:rFonts w:hint="eastAsia"/>
              </w:rPr>
              <w:t>关于自愿不减持公司股份的承诺</w:t>
            </w:r>
          </w:p>
        </w:tc>
        <w:tc>
          <w:tcPr>
            <w:tcW w:w="483" w:type="pct"/>
            <w:vAlign w:val="center"/>
          </w:tcPr>
          <w:p w:rsidR="00156DD6" w:rsidRDefault="00D51F5F">
            <w:pPr>
              <w:pStyle w:val="Style43"/>
              <w:jc w:val="center"/>
            </w:pPr>
            <w:r>
              <w:rPr>
                <w:rFonts w:hint="eastAsia"/>
              </w:rPr>
              <w:t>注</w:t>
            </w:r>
            <w:r>
              <w:rPr>
                <w:rFonts w:hint="eastAsia"/>
              </w:rPr>
              <w:t>1</w:t>
            </w:r>
            <w:r>
              <w:t>0</w:t>
            </w:r>
          </w:p>
        </w:tc>
        <w:tc>
          <w:tcPr>
            <w:tcW w:w="483" w:type="pct"/>
            <w:vAlign w:val="center"/>
          </w:tcPr>
          <w:p w:rsidR="00156DD6" w:rsidRDefault="00D51F5F">
            <w:pPr>
              <w:jc w:val="center"/>
            </w:pPr>
            <w:r>
              <w:rPr>
                <w:rFonts w:hint="eastAsia"/>
              </w:rPr>
              <w:t>是</w:t>
            </w:r>
          </w:p>
        </w:tc>
        <w:tc>
          <w:tcPr>
            <w:tcW w:w="475" w:type="pct"/>
            <w:vAlign w:val="center"/>
          </w:tcPr>
          <w:p w:rsidR="00156DD6" w:rsidRDefault="00D51F5F">
            <w:pPr>
              <w:pStyle w:val="Style43"/>
              <w:jc w:val="center"/>
            </w:pPr>
            <w:r>
              <w:rPr>
                <w:rFonts w:hint="eastAsia"/>
              </w:rPr>
              <w:t>注</w:t>
            </w:r>
            <w:r>
              <w:t>10</w:t>
            </w:r>
          </w:p>
        </w:tc>
        <w:tc>
          <w:tcPr>
            <w:tcW w:w="475" w:type="pct"/>
            <w:vAlign w:val="center"/>
          </w:tcPr>
          <w:p w:rsidR="00156DD6" w:rsidRDefault="00D51F5F">
            <w:pPr>
              <w:jc w:val="center"/>
            </w:pPr>
            <w:r>
              <w:rPr>
                <w:rFonts w:hint="eastAsia"/>
              </w:rPr>
              <w:t>是</w:t>
            </w:r>
          </w:p>
        </w:tc>
        <w:tc>
          <w:tcPr>
            <w:tcW w:w="548" w:type="pct"/>
            <w:vAlign w:val="center"/>
          </w:tcPr>
          <w:p w:rsidR="00156DD6" w:rsidRDefault="00D51F5F">
            <w:pPr>
              <w:pStyle w:val="Style43"/>
              <w:jc w:val="center"/>
            </w:pPr>
            <w:r>
              <w:rPr>
                <w:rFonts w:hint="eastAsia"/>
              </w:rPr>
              <w:t>不适用</w:t>
            </w:r>
          </w:p>
        </w:tc>
        <w:tc>
          <w:tcPr>
            <w:tcW w:w="436" w:type="pct"/>
            <w:vAlign w:val="center"/>
          </w:tcPr>
          <w:p w:rsidR="00156DD6" w:rsidRDefault="00D51F5F">
            <w:pPr>
              <w:pStyle w:val="Style43"/>
              <w:jc w:val="center"/>
            </w:pPr>
            <w:r>
              <w:rPr>
                <w:rFonts w:hint="eastAsia"/>
              </w:rPr>
              <w:t>不适用</w:t>
            </w:r>
          </w:p>
        </w:tc>
      </w:tr>
    </w:tbl>
    <w:bookmarkEnd w:id="84"/>
    <w:p w:rsidR="00156DD6" w:rsidRDefault="00D51F5F">
      <w:pPr>
        <w:widowControl w:val="0"/>
        <w:spacing w:line="360" w:lineRule="exact"/>
        <w:ind w:firstLineChars="200" w:firstLine="420"/>
        <w:jc w:val="both"/>
        <w:rPr>
          <w:bCs w:val="0"/>
        </w:rPr>
      </w:pPr>
      <w:r>
        <w:rPr>
          <w:rFonts w:hint="eastAsia"/>
          <w:bCs w:val="0"/>
        </w:rPr>
        <w:t>注</w:t>
      </w:r>
      <w:r>
        <w:rPr>
          <w:rFonts w:hint="eastAsia"/>
          <w:bCs w:val="0"/>
        </w:rPr>
        <w:t>1</w:t>
      </w:r>
      <w:r>
        <w:rPr>
          <w:rFonts w:hint="eastAsia"/>
          <w:bCs w:val="0"/>
        </w:rPr>
        <w:t>：关于股份锁定的承诺</w:t>
      </w:r>
    </w:p>
    <w:p w:rsidR="00156DD6" w:rsidRDefault="00D51F5F">
      <w:pPr>
        <w:widowControl w:val="0"/>
        <w:spacing w:line="360" w:lineRule="exact"/>
        <w:ind w:firstLineChars="200" w:firstLine="420"/>
        <w:jc w:val="both"/>
        <w:rPr>
          <w:bCs w:val="0"/>
        </w:rPr>
      </w:pPr>
      <w:r>
        <w:rPr>
          <w:rFonts w:hint="eastAsia"/>
          <w:bCs w:val="0"/>
        </w:rPr>
        <w:t>1</w:t>
      </w:r>
      <w:r>
        <w:rPr>
          <w:rFonts w:hint="eastAsia"/>
          <w:bCs w:val="0"/>
        </w:rPr>
        <w:t>、公司控股股东、实际控制人、董事长、总经理杨泽民，公司股东、董事、公司实际控制人一致行动人杨厚群，公司股东、公司实际控制人一致行动人皮天彬分别承诺：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、自公司股票上市之日起</w:t>
      </w:r>
      <w:r>
        <w:rPr>
          <w:rFonts w:hint="eastAsia"/>
          <w:bCs w:val="0"/>
        </w:rPr>
        <w:t>36</w:t>
      </w:r>
      <w:r>
        <w:rPr>
          <w:rFonts w:hint="eastAsia"/>
          <w:bCs w:val="0"/>
        </w:rPr>
        <w:t>个月内，不转让或者委托他人管理本人直接和间接持有的公司公开发行股票前已发行的股份，也不提议由公司回购本人直接或间接持有的公司公开发行股票前已发行的股份。</w:t>
      </w:r>
    </w:p>
    <w:p w:rsidR="00156DD6" w:rsidRDefault="00D51F5F">
      <w:pPr>
        <w:widowControl w:val="0"/>
        <w:spacing w:line="360" w:lineRule="exact"/>
        <w:ind w:firstLineChars="200" w:firstLine="420"/>
        <w:jc w:val="both"/>
        <w:rPr>
          <w:bCs w:val="0"/>
        </w:rPr>
      </w:pPr>
      <w:r>
        <w:rPr>
          <w:rFonts w:hint="eastAsia"/>
          <w:bCs w:val="0"/>
        </w:rPr>
        <w:lastRenderedPageBreak/>
        <w:t>2</w:t>
      </w:r>
      <w:r>
        <w:rPr>
          <w:rFonts w:hint="eastAsia"/>
          <w:bCs w:val="0"/>
        </w:rPr>
        <w:t>、本人所持公司上述股份在锁定期满后两年内减持的，减持价格不低于发行价。公司上市后</w:t>
      </w:r>
      <w:r>
        <w:rPr>
          <w:rFonts w:hint="eastAsia"/>
          <w:bCs w:val="0"/>
        </w:rPr>
        <w:t>6</w:t>
      </w:r>
      <w:r>
        <w:rPr>
          <w:rFonts w:hint="eastAsia"/>
          <w:bCs w:val="0"/>
        </w:rPr>
        <w:t>个月内如公司股票连续</w:t>
      </w:r>
      <w:r>
        <w:rPr>
          <w:rFonts w:hint="eastAsia"/>
          <w:bCs w:val="0"/>
        </w:rPr>
        <w:t>20</w:t>
      </w:r>
      <w:r>
        <w:rPr>
          <w:rFonts w:hint="eastAsia"/>
          <w:bCs w:val="0"/>
        </w:rPr>
        <w:t>个交易日的收盘价均</w:t>
      </w:r>
      <w:r>
        <w:rPr>
          <w:rFonts w:hint="eastAsia"/>
          <w:bCs w:val="0"/>
        </w:rPr>
        <w:t>低于发行价，或者上市后</w:t>
      </w:r>
      <w:r>
        <w:rPr>
          <w:rFonts w:hint="eastAsia"/>
          <w:bCs w:val="0"/>
        </w:rPr>
        <w:t>6</w:t>
      </w:r>
      <w:r>
        <w:rPr>
          <w:rFonts w:hint="eastAsia"/>
          <w:bCs w:val="0"/>
        </w:rPr>
        <w:t>个月期末（如该日不是交易日，则为该日后第一个交易日）收盘价低于发行价，本人所持上述股份的锁定期限自动延长</w:t>
      </w:r>
      <w:r>
        <w:rPr>
          <w:rFonts w:hint="eastAsia"/>
          <w:bCs w:val="0"/>
        </w:rPr>
        <w:t>6</w:t>
      </w:r>
      <w:r>
        <w:rPr>
          <w:rFonts w:hint="eastAsia"/>
          <w:bCs w:val="0"/>
        </w:rPr>
        <w:t>个月。在延长锁定期内，本人不转让或者委托他人管理本人直接或者间接持有的公司首次公开发行股票前已发行的股份，也不提议由公司回购该等股份。</w:t>
      </w:r>
    </w:p>
    <w:p w:rsidR="00156DD6" w:rsidRDefault="00D51F5F">
      <w:pPr>
        <w:widowControl w:val="0"/>
        <w:spacing w:line="360" w:lineRule="exact"/>
        <w:ind w:firstLineChars="200" w:firstLine="420"/>
        <w:jc w:val="both"/>
        <w:rPr>
          <w:bCs w:val="0"/>
        </w:rPr>
      </w:pPr>
      <w:r>
        <w:rPr>
          <w:rFonts w:hint="eastAsia"/>
          <w:bCs w:val="0"/>
        </w:rPr>
        <w:t>上述发行价指公司首次公开发行股票的发行价格，如果因派发现金红利、送股、转增股本、增发新股等原因进行除权、除息的，则按照相关规定作除权、除息处理。</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、在上述锁定期满后，在本人担任公司董事或高级管理人员期间，本人将向公司申报所持有的公司股份及其变动</w:t>
      </w:r>
      <w:r>
        <w:rPr>
          <w:rFonts w:hint="eastAsia"/>
          <w:bCs w:val="0"/>
        </w:rPr>
        <w:t>情况，在任职期间每年转让的公司股份不超过本人持有的公司股份总数的</w:t>
      </w:r>
      <w:r>
        <w:rPr>
          <w:rFonts w:hint="eastAsia"/>
          <w:bCs w:val="0"/>
        </w:rPr>
        <w:t>25%</w:t>
      </w:r>
      <w:r>
        <w:rPr>
          <w:rFonts w:hint="eastAsia"/>
          <w:bCs w:val="0"/>
        </w:rPr>
        <w:t>；在任期届满前离职的，在本人就任时确定的任期内和任期届满后</w:t>
      </w:r>
      <w:r>
        <w:rPr>
          <w:rFonts w:hint="eastAsia"/>
          <w:bCs w:val="0"/>
        </w:rPr>
        <w:t>6</w:t>
      </w:r>
      <w:r>
        <w:rPr>
          <w:rFonts w:hint="eastAsia"/>
          <w:bCs w:val="0"/>
        </w:rPr>
        <w:t>个月内，遵守下列限制性规定：（</w:t>
      </w:r>
      <w:r>
        <w:rPr>
          <w:rFonts w:hint="eastAsia"/>
          <w:bCs w:val="0"/>
        </w:rPr>
        <w:t>1</w:t>
      </w:r>
      <w:r>
        <w:rPr>
          <w:rFonts w:hint="eastAsia"/>
          <w:bCs w:val="0"/>
        </w:rPr>
        <w:t>）每年转让的公司股份不超过本人持有的公司股份总数的</w:t>
      </w:r>
      <w:r>
        <w:rPr>
          <w:rFonts w:hint="eastAsia"/>
          <w:bCs w:val="0"/>
        </w:rPr>
        <w:t>25%</w:t>
      </w:r>
      <w:r>
        <w:rPr>
          <w:rFonts w:hint="eastAsia"/>
          <w:bCs w:val="0"/>
        </w:rPr>
        <w:t>；（</w:t>
      </w:r>
      <w:r>
        <w:rPr>
          <w:rFonts w:hint="eastAsia"/>
          <w:bCs w:val="0"/>
        </w:rPr>
        <w:t>2</w:t>
      </w:r>
      <w:r>
        <w:rPr>
          <w:rFonts w:hint="eastAsia"/>
          <w:bCs w:val="0"/>
        </w:rPr>
        <w:t>）自本人离职之日起</w:t>
      </w:r>
      <w:r>
        <w:rPr>
          <w:rFonts w:hint="eastAsia"/>
          <w:bCs w:val="0"/>
        </w:rPr>
        <w:t>6</w:t>
      </w:r>
      <w:r>
        <w:rPr>
          <w:rFonts w:hint="eastAsia"/>
          <w:bCs w:val="0"/>
        </w:rPr>
        <w:t>个月内，不转让本人持有的公司股份。</w:t>
      </w:r>
    </w:p>
    <w:p w:rsidR="00156DD6" w:rsidRDefault="00D51F5F">
      <w:pPr>
        <w:widowControl w:val="0"/>
        <w:spacing w:line="360" w:lineRule="exact"/>
        <w:ind w:firstLineChars="200" w:firstLine="420"/>
        <w:jc w:val="both"/>
        <w:rPr>
          <w:bCs w:val="0"/>
        </w:rPr>
      </w:pPr>
      <w:r>
        <w:rPr>
          <w:rFonts w:hint="eastAsia"/>
          <w:bCs w:val="0"/>
        </w:rPr>
        <w:t>4</w:t>
      </w:r>
      <w:r>
        <w:rPr>
          <w:rFonts w:hint="eastAsia"/>
          <w:bCs w:val="0"/>
        </w:rPr>
        <w:t>、本人不会因职务变更、离职等原因而拒绝履行上述承诺。</w:t>
      </w:r>
    </w:p>
    <w:p w:rsidR="00156DD6" w:rsidRDefault="00D51F5F">
      <w:pPr>
        <w:widowControl w:val="0"/>
        <w:spacing w:line="360" w:lineRule="exact"/>
        <w:ind w:firstLineChars="200" w:firstLine="420"/>
        <w:jc w:val="both"/>
        <w:rPr>
          <w:bCs w:val="0"/>
        </w:rPr>
      </w:pPr>
      <w:r>
        <w:rPr>
          <w:rFonts w:hint="eastAsia"/>
          <w:bCs w:val="0"/>
        </w:rPr>
        <w:t>5</w:t>
      </w:r>
      <w:r>
        <w:rPr>
          <w:rFonts w:hint="eastAsia"/>
          <w:bCs w:val="0"/>
        </w:rPr>
        <w:t>、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、公司控股股东、实际控制人秦惠兰，公司持股</w:t>
      </w:r>
      <w:r>
        <w:rPr>
          <w:rFonts w:hint="eastAsia"/>
          <w:bCs w:val="0"/>
        </w:rPr>
        <w:t>5%</w:t>
      </w:r>
      <w:r>
        <w:rPr>
          <w:rFonts w:hint="eastAsia"/>
          <w:bCs w:val="0"/>
        </w:rPr>
        <w:t>以上股东、实际控制人杨耀、杨秦，公司实际控制人一致行动人秦勇、杨小林、隆志钢分别承诺：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、自公司股票上市之日起</w:t>
      </w:r>
      <w:r>
        <w:rPr>
          <w:rFonts w:hint="eastAsia"/>
          <w:bCs w:val="0"/>
        </w:rPr>
        <w:t>36</w:t>
      </w:r>
      <w:r>
        <w:rPr>
          <w:rFonts w:hint="eastAsia"/>
          <w:bCs w:val="0"/>
        </w:rPr>
        <w:t>个月内，不转让或者委托他人管理本人直接和间接</w:t>
      </w:r>
      <w:r>
        <w:rPr>
          <w:rFonts w:hint="eastAsia"/>
          <w:bCs w:val="0"/>
        </w:rPr>
        <w:t>持有的公司公开发行股票前已发行的股份，也不提议由公司回购本人直接或间接持有的公司公开发行股票前已发行的股份。</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、本人所持公司上述股份在锁定期满后两年内减持的，减持价格不低于发行价。公司上市后</w:t>
      </w:r>
      <w:r>
        <w:rPr>
          <w:rFonts w:hint="eastAsia"/>
          <w:bCs w:val="0"/>
        </w:rPr>
        <w:t>6</w:t>
      </w:r>
      <w:r>
        <w:rPr>
          <w:rFonts w:hint="eastAsia"/>
          <w:bCs w:val="0"/>
        </w:rPr>
        <w:t>个月内如公司股票连续</w:t>
      </w:r>
      <w:r>
        <w:rPr>
          <w:rFonts w:hint="eastAsia"/>
          <w:bCs w:val="0"/>
        </w:rPr>
        <w:t>20</w:t>
      </w:r>
      <w:r>
        <w:rPr>
          <w:rFonts w:hint="eastAsia"/>
          <w:bCs w:val="0"/>
        </w:rPr>
        <w:t>个交易日的收盘价均低于发行价，或者上市后</w:t>
      </w:r>
      <w:r>
        <w:rPr>
          <w:rFonts w:hint="eastAsia"/>
          <w:bCs w:val="0"/>
        </w:rPr>
        <w:t>6</w:t>
      </w:r>
      <w:r>
        <w:rPr>
          <w:rFonts w:hint="eastAsia"/>
          <w:bCs w:val="0"/>
        </w:rPr>
        <w:t>个月期末（如该日不是交易日，则为该日后第一个交易日）收盘价低于发行价，本人所持上述股份的锁定期限自动延长</w:t>
      </w:r>
      <w:r>
        <w:rPr>
          <w:rFonts w:hint="eastAsia"/>
          <w:bCs w:val="0"/>
        </w:rPr>
        <w:t>6</w:t>
      </w:r>
      <w:r>
        <w:rPr>
          <w:rFonts w:hint="eastAsia"/>
          <w:bCs w:val="0"/>
        </w:rPr>
        <w:t>个月。在延长锁定期内，本人不转让或者委托他人管理本人直接或者间接持有的公司首次公开发行股票前已发行的股份，也不提议由公司回购该等股份。</w:t>
      </w:r>
    </w:p>
    <w:p w:rsidR="00156DD6" w:rsidRDefault="00D51F5F">
      <w:pPr>
        <w:widowControl w:val="0"/>
        <w:spacing w:line="360" w:lineRule="exact"/>
        <w:ind w:firstLineChars="200" w:firstLine="420"/>
        <w:jc w:val="both"/>
        <w:rPr>
          <w:bCs w:val="0"/>
        </w:rPr>
      </w:pPr>
      <w:r>
        <w:rPr>
          <w:rFonts w:hint="eastAsia"/>
          <w:bCs w:val="0"/>
        </w:rPr>
        <w:t>上述发行价</w:t>
      </w:r>
      <w:r>
        <w:rPr>
          <w:rFonts w:hint="eastAsia"/>
          <w:bCs w:val="0"/>
        </w:rPr>
        <w:t>指公司首次公开发行股票的发行价格，如果因派发现金红利、送股、转增股本、增发新股等原因进行除权、除息的，则按照相关规定作除权、除息处理。</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rsidR="00156DD6" w:rsidRDefault="00D51F5F">
      <w:pPr>
        <w:widowControl w:val="0"/>
        <w:spacing w:line="360" w:lineRule="exact"/>
        <w:ind w:firstLineChars="200" w:firstLine="420"/>
        <w:jc w:val="both"/>
        <w:rPr>
          <w:bCs w:val="0"/>
        </w:rPr>
      </w:pPr>
      <w:r>
        <w:rPr>
          <w:rFonts w:hint="eastAsia"/>
          <w:bCs w:val="0"/>
        </w:rPr>
        <w:lastRenderedPageBreak/>
        <w:t>3</w:t>
      </w:r>
      <w:r>
        <w:rPr>
          <w:rFonts w:hint="eastAsia"/>
          <w:bCs w:val="0"/>
        </w:rPr>
        <w:t>、公司持股董事、高级管理人员分别承诺：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、自公司股票上市之日起</w:t>
      </w:r>
      <w:r>
        <w:rPr>
          <w:rFonts w:hint="eastAsia"/>
          <w:bCs w:val="0"/>
        </w:rPr>
        <w:t>12</w:t>
      </w:r>
      <w:r>
        <w:rPr>
          <w:rFonts w:hint="eastAsia"/>
          <w:bCs w:val="0"/>
        </w:rPr>
        <w:t>个</w:t>
      </w:r>
      <w:r>
        <w:rPr>
          <w:rFonts w:hint="eastAsia"/>
          <w:bCs w:val="0"/>
        </w:rPr>
        <w:t>月内，不转让或者委托他人管理本人持有的公司公开发行股票前已发行的股份，也不提议由公司回购本人持有的公司公开发行股票前已发行的股份。</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、本人所持公司上述股份在锁定期满后两年内减持的，减持价格不低于发行价。公司上市后</w:t>
      </w:r>
      <w:r>
        <w:rPr>
          <w:rFonts w:hint="eastAsia"/>
          <w:bCs w:val="0"/>
        </w:rPr>
        <w:t>6</w:t>
      </w:r>
      <w:r>
        <w:rPr>
          <w:rFonts w:hint="eastAsia"/>
          <w:bCs w:val="0"/>
        </w:rPr>
        <w:t>个月内如公司股票连续</w:t>
      </w:r>
      <w:r>
        <w:rPr>
          <w:rFonts w:hint="eastAsia"/>
          <w:bCs w:val="0"/>
        </w:rPr>
        <w:t>20</w:t>
      </w:r>
      <w:r>
        <w:rPr>
          <w:rFonts w:hint="eastAsia"/>
          <w:bCs w:val="0"/>
        </w:rPr>
        <w:t>个交易日的收盘价均低于发行价，或者上市后</w:t>
      </w:r>
      <w:r>
        <w:rPr>
          <w:rFonts w:hint="eastAsia"/>
          <w:bCs w:val="0"/>
        </w:rPr>
        <w:t>6</w:t>
      </w:r>
      <w:r>
        <w:rPr>
          <w:rFonts w:hint="eastAsia"/>
          <w:bCs w:val="0"/>
        </w:rPr>
        <w:t>个月期末（如该日不是交易日，则为该日后第一个交易日）收盘价低于发行价，本人所持上述股份的锁定期限自动延长</w:t>
      </w:r>
      <w:r>
        <w:rPr>
          <w:rFonts w:hint="eastAsia"/>
          <w:bCs w:val="0"/>
        </w:rPr>
        <w:t>6</w:t>
      </w:r>
      <w:r>
        <w:rPr>
          <w:rFonts w:hint="eastAsia"/>
          <w:bCs w:val="0"/>
        </w:rPr>
        <w:t>个月。在延长锁定期内，本人不转让或者委托他人管理本人持有的公司首次公开发行股票前已发行的股份，也不提议由公司回购该等股份。</w:t>
      </w:r>
    </w:p>
    <w:p w:rsidR="00156DD6" w:rsidRDefault="00D51F5F">
      <w:pPr>
        <w:widowControl w:val="0"/>
        <w:spacing w:line="360" w:lineRule="exact"/>
        <w:ind w:firstLineChars="200" w:firstLine="420"/>
        <w:jc w:val="both"/>
        <w:rPr>
          <w:bCs w:val="0"/>
        </w:rPr>
      </w:pPr>
      <w:r>
        <w:rPr>
          <w:rFonts w:hint="eastAsia"/>
          <w:bCs w:val="0"/>
        </w:rPr>
        <w:t>上述发行价指公司首次公开发行股票的发行价格，如果因派发现金红利、送股、转增股本、增发新股等原因进行除权、除息的，则按照相关规定作除权、除息处理。</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、在上述锁定期满后，在本人担任公司董事或高级管理人员期间，本人将向公司申报所持有的公司股份及其变动情况，在任职期间每年转让的公司股份不超过本人持有的公司股份总数的</w:t>
      </w:r>
      <w:r>
        <w:rPr>
          <w:rFonts w:hint="eastAsia"/>
          <w:bCs w:val="0"/>
        </w:rPr>
        <w:t>25%</w:t>
      </w:r>
      <w:r>
        <w:rPr>
          <w:rFonts w:hint="eastAsia"/>
          <w:bCs w:val="0"/>
        </w:rPr>
        <w:t>；在任期届满前离职的，在本人就任时确定的任期内和任期届满后</w:t>
      </w:r>
      <w:r>
        <w:rPr>
          <w:rFonts w:hint="eastAsia"/>
          <w:bCs w:val="0"/>
        </w:rPr>
        <w:t>6</w:t>
      </w:r>
      <w:r>
        <w:rPr>
          <w:rFonts w:hint="eastAsia"/>
          <w:bCs w:val="0"/>
        </w:rPr>
        <w:t>个月内，遵守下列限制性规定：（</w:t>
      </w:r>
      <w:r>
        <w:rPr>
          <w:rFonts w:hint="eastAsia"/>
          <w:bCs w:val="0"/>
        </w:rPr>
        <w:t>1</w:t>
      </w:r>
      <w:r>
        <w:rPr>
          <w:rFonts w:hint="eastAsia"/>
          <w:bCs w:val="0"/>
        </w:rPr>
        <w:t>）每年转让的公司股份不超过本人持有的公司股份总数的</w:t>
      </w:r>
      <w:r>
        <w:rPr>
          <w:rFonts w:hint="eastAsia"/>
          <w:bCs w:val="0"/>
        </w:rPr>
        <w:t>25%</w:t>
      </w:r>
      <w:r>
        <w:rPr>
          <w:rFonts w:hint="eastAsia"/>
          <w:bCs w:val="0"/>
        </w:rPr>
        <w:t>；（</w:t>
      </w:r>
      <w:r>
        <w:rPr>
          <w:rFonts w:hint="eastAsia"/>
          <w:bCs w:val="0"/>
        </w:rPr>
        <w:t>2</w:t>
      </w:r>
      <w:r>
        <w:rPr>
          <w:rFonts w:hint="eastAsia"/>
          <w:bCs w:val="0"/>
        </w:rPr>
        <w:t>）自本人离职之日起</w:t>
      </w:r>
      <w:r>
        <w:rPr>
          <w:rFonts w:hint="eastAsia"/>
          <w:bCs w:val="0"/>
        </w:rPr>
        <w:t>6</w:t>
      </w:r>
      <w:r>
        <w:rPr>
          <w:rFonts w:hint="eastAsia"/>
          <w:bCs w:val="0"/>
        </w:rPr>
        <w:t>个月内，不转让本人持有</w:t>
      </w:r>
      <w:r>
        <w:rPr>
          <w:rFonts w:hint="eastAsia"/>
          <w:bCs w:val="0"/>
        </w:rPr>
        <w:t>的公司股份。</w:t>
      </w:r>
    </w:p>
    <w:p w:rsidR="00156DD6" w:rsidRDefault="00D51F5F">
      <w:pPr>
        <w:widowControl w:val="0"/>
        <w:spacing w:line="360" w:lineRule="exact"/>
        <w:ind w:firstLineChars="200" w:firstLine="420"/>
        <w:jc w:val="both"/>
        <w:rPr>
          <w:bCs w:val="0"/>
        </w:rPr>
      </w:pPr>
      <w:r>
        <w:rPr>
          <w:rFonts w:hint="eastAsia"/>
          <w:bCs w:val="0"/>
        </w:rPr>
        <w:t>4</w:t>
      </w:r>
      <w:r>
        <w:rPr>
          <w:rFonts w:hint="eastAsia"/>
          <w:bCs w:val="0"/>
        </w:rPr>
        <w:t>、本人不会因职务变更、离职等原因而拒绝履行上述承诺。</w:t>
      </w:r>
    </w:p>
    <w:p w:rsidR="00156DD6" w:rsidRDefault="00D51F5F">
      <w:pPr>
        <w:widowControl w:val="0"/>
        <w:spacing w:line="360" w:lineRule="exact"/>
        <w:ind w:firstLineChars="200" w:firstLine="420"/>
        <w:jc w:val="both"/>
        <w:rPr>
          <w:bCs w:val="0"/>
        </w:rPr>
      </w:pPr>
      <w:r>
        <w:rPr>
          <w:rFonts w:hint="eastAsia"/>
          <w:bCs w:val="0"/>
        </w:rPr>
        <w:t>5</w:t>
      </w:r>
      <w:r>
        <w:rPr>
          <w:rFonts w:hint="eastAsia"/>
          <w:bCs w:val="0"/>
        </w:rPr>
        <w:t>、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rsidR="00156DD6" w:rsidRDefault="00156DD6">
      <w:pPr>
        <w:widowControl w:val="0"/>
        <w:spacing w:line="360" w:lineRule="exact"/>
        <w:ind w:firstLineChars="200" w:firstLine="420"/>
        <w:jc w:val="both"/>
        <w:rPr>
          <w:bCs w:val="0"/>
        </w:rPr>
      </w:pPr>
    </w:p>
    <w:p w:rsidR="00156DD6" w:rsidRDefault="00D51F5F">
      <w:pPr>
        <w:widowControl w:val="0"/>
        <w:spacing w:line="360" w:lineRule="exact"/>
        <w:ind w:firstLineChars="200" w:firstLine="420"/>
        <w:jc w:val="both"/>
        <w:rPr>
          <w:bCs w:val="0"/>
        </w:rPr>
      </w:pPr>
      <w:r>
        <w:rPr>
          <w:rFonts w:hint="eastAsia"/>
          <w:bCs w:val="0"/>
        </w:rPr>
        <w:t>注</w:t>
      </w:r>
      <w:r>
        <w:rPr>
          <w:rFonts w:hint="eastAsia"/>
          <w:bCs w:val="0"/>
        </w:rPr>
        <w:t>2</w:t>
      </w:r>
      <w:r>
        <w:rPr>
          <w:rFonts w:hint="eastAsia"/>
          <w:bCs w:val="0"/>
        </w:rPr>
        <w:t>：关于持股</w:t>
      </w:r>
      <w:r>
        <w:rPr>
          <w:rFonts w:hint="eastAsia"/>
          <w:bCs w:val="0"/>
        </w:rPr>
        <w:t>5%</w:t>
      </w:r>
      <w:r>
        <w:rPr>
          <w:rFonts w:hint="eastAsia"/>
          <w:bCs w:val="0"/>
        </w:rPr>
        <w:t>以上股东的减持意向承诺</w:t>
      </w:r>
    </w:p>
    <w:p w:rsidR="00156DD6" w:rsidRDefault="00D51F5F">
      <w:pPr>
        <w:widowControl w:val="0"/>
        <w:spacing w:line="360" w:lineRule="exact"/>
        <w:ind w:firstLineChars="200" w:firstLine="420"/>
        <w:jc w:val="both"/>
        <w:rPr>
          <w:bCs w:val="0"/>
        </w:rPr>
      </w:pPr>
      <w:r>
        <w:rPr>
          <w:rFonts w:hint="eastAsia"/>
          <w:bCs w:val="0"/>
        </w:rPr>
        <w:t>1</w:t>
      </w:r>
      <w:r>
        <w:rPr>
          <w:rFonts w:hint="eastAsia"/>
          <w:bCs w:val="0"/>
        </w:rPr>
        <w:t>、公司控股股东、实际控制人杨泽民、秦惠兰，公司持股</w:t>
      </w:r>
      <w:r>
        <w:rPr>
          <w:rFonts w:hint="eastAsia"/>
          <w:bCs w:val="0"/>
        </w:rPr>
        <w:t>5%</w:t>
      </w:r>
      <w:r>
        <w:rPr>
          <w:rFonts w:hint="eastAsia"/>
          <w:bCs w:val="0"/>
        </w:rPr>
        <w:t>以上股东、实际控制人杨耀、杨秦，公司实际</w:t>
      </w:r>
      <w:r>
        <w:rPr>
          <w:rFonts w:hint="eastAsia"/>
          <w:bCs w:val="0"/>
        </w:rPr>
        <w:t>控制人一致行动人杨厚群、秦勇、杨小林、皮天彬、隆志钢分别承诺：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、本人持续看好公司业务前景，拟长期持有公司股票。</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减持前提：如果在锁定期满后拟减持股票的，将认真遵守中国证监会、证券交易所关于股东减持的相关规定，结合公司稳定股价、开展经营、资本运作的需要，审慎制定股票减持计划，在股票锁定期满后逐步减持，且不违反在公司首次公开发行时所作出的公开承诺。</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、减持方式：本人减持所持有的公司股份的方式应符合届时适用的相关法律、法规、规章及规范性文件的规定，包括但不限于二级市场集中竞价交易、大宗交易、协议转让等</w:t>
      </w:r>
      <w:r>
        <w:rPr>
          <w:rFonts w:hint="eastAsia"/>
          <w:bCs w:val="0"/>
        </w:rPr>
        <w:t>。</w:t>
      </w:r>
    </w:p>
    <w:p w:rsidR="00156DD6" w:rsidRDefault="00D51F5F">
      <w:pPr>
        <w:widowControl w:val="0"/>
        <w:spacing w:line="360" w:lineRule="exact"/>
        <w:ind w:firstLineChars="200" w:firstLine="420"/>
        <w:jc w:val="both"/>
        <w:rPr>
          <w:bCs w:val="0"/>
        </w:rPr>
      </w:pPr>
      <w:r>
        <w:rPr>
          <w:rFonts w:hint="eastAsia"/>
          <w:bCs w:val="0"/>
        </w:rPr>
        <w:lastRenderedPageBreak/>
        <w:t>4</w:t>
      </w:r>
      <w:r>
        <w:rPr>
          <w:rFonts w:hint="eastAsia"/>
          <w:bCs w:val="0"/>
        </w:rPr>
        <w:t>、减持价格：本人所持股票在锁定期满后两年内减持的，减持价格不低于公司首次公开发行股票时的发行价，若公司自股票上市至本人减持前有派息、送股、资本公积金转增股本、增发、配股等除权、除息事项，减持价格下限和股份数将相应进行调整。若本人所持股票在锁定期满后两年内减持价格低于发行价的，则减持价格与发行价之间的差额由公司在现金分红时从本人应获得分配的当年及以后年度的现金分红中予以先行扣除，且扣除的现金分红归公司所有。</w:t>
      </w:r>
    </w:p>
    <w:p w:rsidR="00156DD6" w:rsidRDefault="00D51F5F">
      <w:pPr>
        <w:widowControl w:val="0"/>
        <w:spacing w:line="360" w:lineRule="exact"/>
        <w:ind w:firstLineChars="200" w:firstLine="420"/>
        <w:jc w:val="both"/>
        <w:rPr>
          <w:bCs w:val="0"/>
        </w:rPr>
      </w:pPr>
      <w:r>
        <w:rPr>
          <w:rFonts w:hint="eastAsia"/>
          <w:bCs w:val="0"/>
        </w:rPr>
        <w:t>5</w:t>
      </w:r>
      <w:r>
        <w:rPr>
          <w:rFonts w:hint="eastAsia"/>
          <w:bCs w:val="0"/>
        </w:rPr>
        <w:t>、减持公告：本人通过集中竞价交易方式减持的，应在首次卖出股份的</w:t>
      </w:r>
      <w:r>
        <w:rPr>
          <w:rFonts w:hint="eastAsia"/>
          <w:bCs w:val="0"/>
        </w:rPr>
        <w:t>15</w:t>
      </w:r>
      <w:r>
        <w:rPr>
          <w:rFonts w:hint="eastAsia"/>
          <w:bCs w:val="0"/>
        </w:rPr>
        <w:t>个交易日前向证券交易所报告备</w:t>
      </w:r>
      <w:r>
        <w:rPr>
          <w:rFonts w:hint="eastAsia"/>
          <w:bCs w:val="0"/>
        </w:rPr>
        <w:t>案减持计划，并予以公告。但届时本人持有公司股份比例低于</w:t>
      </w:r>
      <w:r>
        <w:rPr>
          <w:rFonts w:hint="eastAsia"/>
          <w:bCs w:val="0"/>
        </w:rPr>
        <w:t>5%</w:t>
      </w:r>
      <w:r>
        <w:rPr>
          <w:rFonts w:hint="eastAsia"/>
          <w:bCs w:val="0"/>
        </w:rPr>
        <w:t>时除外。本人通过其他方式减持公司股票，将提前</w:t>
      </w:r>
      <w:r>
        <w:rPr>
          <w:rFonts w:hint="eastAsia"/>
          <w:bCs w:val="0"/>
        </w:rPr>
        <w:t>3</w:t>
      </w:r>
      <w:r>
        <w:rPr>
          <w:rFonts w:hint="eastAsia"/>
          <w:bCs w:val="0"/>
        </w:rPr>
        <w:t>个交易日，并按照证券监管机构、证券交易所届时适用的规则及时、准确地履行信息披露义务。</w:t>
      </w:r>
    </w:p>
    <w:p w:rsidR="00156DD6" w:rsidRDefault="00D51F5F">
      <w:pPr>
        <w:widowControl w:val="0"/>
        <w:spacing w:line="360" w:lineRule="exact"/>
        <w:ind w:firstLineChars="200" w:firstLine="420"/>
        <w:jc w:val="both"/>
        <w:rPr>
          <w:bCs w:val="0"/>
        </w:rPr>
      </w:pPr>
      <w:r>
        <w:rPr>
          <w:rFonts w:hint="eastAsia"/>
          <w:bCs w:val="0"/>
        </w:rPr>
        <w:t>6</w:t>
      </w:r>
      <w:r>
        <w:rPr>
          <w:rFonts w:hint="eastAsia"/>
          <w:bCs w:val="0"/>
        </w:rPr>
        <w:t>、除上述限制外，本次发行上市后本人所持有公司股份的持股变动及申报工作将严格遵守《中华人民共和国公司法》《上海证券交易所股票上市规则》《上海证券交易所上市公司股东及董事、监事、高级管理人员减持股份实施细则》及其他法律、行政法规及规范性文件的相关规定。</w:t>
      </w:r>
    </w:p>
    <w:p w:rsidR="00156DD6" w:rsidRDefault="00D51F5F">
      <w:pPr>
        <w:widowControl w:val="0"/>
        <w:spacing w:line="360" w:lineRule="exact"/>
        <w:ind w:firstLineChars="200" w:firstLine="420"/>
        <w:jc w:val="both"/>
        <w:rPr>
          <w:bCs w:val="0"/>
        </w:rPr>
      </w:pPr>
      <w:r>
        <w:rPr>
          <w:rFonts w:hint="eastAsia"/>
          <w:bCs w:val="0"/>
        </w:rPr>
        <w:t>7</w:t>
      </w:r>
      <w:r>
        <w:rPr>
          <w:rFonts w:hint="eastAsia"/>
          <w:bCs w:val="0"/>
        </w:rPr>
        <w:t>、本人如未履行上述减持意向的承诺事项，将在公司股东大会及中国证监会指</w:t>
      </w:r>
      <w:r>
        <w:rPr>
          <w:rFonts w:hint="eastAsia"/>
          <w:bCs w:val="0"/>
        </w:rPr>
        <w:t>定的披露媒体上公开说明未履行承诺的具体原因并向公司的其他股东和社会公众投资者道歉；因违反上述承诺减持股票获得的收益归公司所有。”</w:t>
      </w:r>
    </w:p>
    <w:p w:rsidR="00156DD6" w:rsidRDefault="00156DD6">
      <w:pPr>
        <w:widowControl w:val="0"/>
        <w:spacing w:line="360" w:lineRule="exact"/>
        <w:ind w:firstLineChars="200" w:firstLine="420"/>
        <w:jc w:val="both"/>
        <w:rPr>
          <w:bCs w:val="0"/>
        </w:rPr>
      </w:pPr>
    </w:p>
    <w:p w:rsidR="00156DD6" w:rsidRDefault="00D51F5F">
      <w:pPr>
        <w:widowControl w:val="0"/>
        <w:spacing w:line="360" w:lineRule="exact"/>
        <w:ind w:firstLineChars="200" w:firstLine="420"/>
        <w:jc w:val="both"/>
        <w:rPr>
          <w:bCs w:val="0"/>
        </w:rPr>
      </w:pPr>
      <w:r>
        <w:rPr>
          <w:rFonts w:hint="eastAsia"/>
          <w:bCs w:val="0"/>
        </w:rPr>
        <w:t>注</w:t>
      </w:r>
      <w:r>
        <w:rPr>
          <w:rFonts w:hint="eastAsia"/>
          <w:bCs w:val="0"/>
        </w:rPr>
        <w:t>3</w:t>
      </w:r>
      <w:r>
        <w:rPr>
          <w:rFonts w:hint="eastAsia"/>
          <w:bCs w:val="0"/>
        </w:rPr>
        <w:t>：关于摊薄即期回报采取填补措施的承诺</w:t>
      </w:r>
    </w:p>
    <w:p w:rsidR="00156DD6" w:rsidRDefault="00D51F5F">
      <w:pPr>
        <w:widowControl w:val="0"/>
        <w:spacing w:line="360" w:lineRule="exact"/>
        <w:ind w:firstLineChars="200" w:firstLine="420"/>
        <w:jc w:val="both"/>
        <w:rPr>
          <w:bCs w:val="0"/>
        </w:rPr>
      </w:pPr>
      <w:r>
        <w:rPr>
          <w:rFonts w:hint="eastAsia"/>
          <w:bCs w:val="0"/>
        </w:rPr>
        <w:t>1</w:t>
      </w:r>
      <w:r>
        <w:rPr>
          <w:rFonts w:hint="eastAsia"/>
          <w:bCs w:val="0"/>
        </w:rPr>
        <w:t>、公司承诺：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、迅速提升公司整体实力，扩大公司业务规模</w:t>
      </w:r>
    </w:p>
    <w:p w:rsidR="00156DD6" w:rsidRDefault="00D51F5F">
      <w:pPr>
        <w:widowControl w:val="0"/>
        <w:spacing w:line="360" w:lineRule="exact"/>
        <w:ind w:firstLineChars="200" w:firstLine="420"/>
        <w:jc w:val="both"/>
        <w:rPr>
          <w:bCs w:val="0"/>
        </w:rPr>
      </w:pPr>
      <w:r>
        <w:rPr>
          <w:rFonts w:hint="eastAsia"/>
          <w:bCs w:val="0"/>
        </w:rPr>
        <w:t>公司首次公开发行股票并上市完成后，公司的总资产将大幅度增加，抗风险能力和综合实力明显增强，市场价值明显提升。公司将借助资本市场和良好的发展机遇，不断拓展公司主营业务规模，充分发挥公司在客户忠诚度领域的优势地位，推动公司持续、健康、稳定地发展。</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、全面提升公司管理水平，提高资金使用效率</w:t>
      </w:r>
    </w:p>
    <w:p w:rsidR="00156DD6" w:rsidRDefault="00D51F5F">
      <w:pPr>
        <w:widowControl w:val="0"/>
        <w:spacing w:line="360" w:lineRule="exact"/>
        <w:ind w:firstLineChars="200" w:firstLine="420"/>
        <w:jc w:val="both"/>
        <w:rPr>
          <w:bCs w:val="0"/>
        </w:rPr>
      </w:pPr>
      <w:r>
        <w:rPr>
          <w:rFonts w:hint="eastAsia"/>
          <w:bCs w:val="0"/>
        </w:rPr>
        <w:t>公司将采取措施努力提高运营效率，加强预算管理，控制公司的各项费用支出，提升资金使用效率，全面有效地控制公司经营和管理风险，提升公司的经营效率和盈利能力。此外，公司将积极完善薪酬和激励机制，引进市场优秀人才，最大限度地激发员工工作的积极性，充分提升员工创新意识，发挥员工的创造力。通过以上措施，公司将全面提升公司的运营效率，降低成本，进一步提升公司的经营业绩。</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、加快募集资金投资项目建设，加强募集资金管理</w:t>
      </w:r>
    </w:p>
    <w:p w:rsidR="00156DD6" w:rsidRDefault="00D51F5F">
      <w:pPr>
        <w:widowControl w:val="0"/>
        <w:spacing w:line="360" w:lineRule="exact"/>
        <w:ind w:firstLineChars="200" w:firstLine="420"/>
        <w:jc w:val="both"/>
        <w:rPr>
          <w:bCs w:val="0"/>
        </w:rPr>
      </w:pPr>
      <w:r>
        <w:rPr>
          <w:rFonts w:hint="eastAsia"/>
          <w:bCs w:val="0"/>
        </w:rPr>
        <w:t>公司本次发行募集资金投资项目符合国家产业政策和公司的发展战略</w:t>
      </w:r>
      <w:r>
        <w:rPr>
          <w:rFonts w:hint="eastAsia"/>
          <w:bCs w:val="0"/>
        </w:rPr>
        <w:t>，具有良好的市场前景和经济效益。公司将结合自身的实际情况和需要，积极实施募集资金投资项目建设，争取早日建成并实现预期效益，增强以后年度的股东回报，降低本次发行导致的股东即期回报被摊薄的风险。公司将严格</w:t>
      </w:r>
      <w:r>
        <w:rPr>
          <w:rFonts w:hint="eastAsia"/>
          <w:bCs w:val="0"/>
        </w:rPr>
        <w:lastRenderedPageBreak/>
        <w:t>按照上海证券交易所关于募集资金管理的相关规定，将募集资金存放于董事会指定的专项账户，专户存储，专款专用，严格规范募集资金的管理和使用，保障募集资金得到充分、有效的利用。</w:t>
      </w:r>
    </w:p>
    <w:p w:rsidR="00156DD6" w:rsidRDefault="00D51F5F">
      <w:pPr>
        <w:widowControl w:val="0"/>
        <w:spacing w:line="360" w:lineRule="exact"/>
        <w:ind w:firstLineChars="200" w:firstLine="420"/>
        <w:jc w:val="both"/>
        <w:rPr>
          <w:bCs w:val="0"/>
        </w:rPr>
      </w:pPr>
      <w:r>
        <w:rPr>
          <w:rFonts w:hint="eastAsia"/>
          <w:bCs w:val="0"/>
        </w:rPr>
        <w:t>4</w:t>
      </w:r>
      <w:r>
        <w:rPr>
          <w:rFonts w:hint="eastAsia"/>
          <w:bCs w:val="0"/>
        </w:rPr>
        <w:t>、完善利润分配机制，强化投资者回报</w:t>
      </w:r>
    </w:p>
    <w:p w:rsidR="00156DD6" w:rsidRDefault="00D51F5F">
      <w:pPr>
        <w:widowControl w:val="0"/>
        <w:spacing w:line="360" w:lineRule="exact"/>
        <w:ind w:firstLineChars="200" w:firstLine="420"/>
        <w:jc w:val="both"/>
        <w:rPr>
          <w:bCs w:val="0"/>
        </w:rPr>
      </w:pPr>
      <w:r>
        <w:rPr>
          <w:rFonts w:hint="eastAsia"/>
          <w:bCs w:val="0"/>
        </w:rPr>
        <w:t>公司已根据中国证监会的相关规定制定了《重庆望变电气（集团）股份有限公司上市后三年股东分红回报规划》，明确了分红的原则、形式、条件、比例、决策程序和机制等，建立了较为完善的利润分配制度。未来，公司将进一步按照中国证监会的要求和公司自身的实际情况完善利润分配机制，强化投资者回报。”</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、公司控股股东、实际控制人、董事长、总经理杨泽民承诺：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、承诺将严格执行关于上市公司治理的各项法律、法规、规章制度，保护公司和公众利益，加强公司独立性，完善公司治理，不越权干预公司经营管理活动；</w:t>
      </w:r>
      <w:r>
        <w:rPr>
          <w:rFonts w:hint="eastAsia"/>
          <w:bCs w:val="0"/>
        </w:rPr>
        <w:t>2</w:t>
      </w:r>
      <w:r>
        <w:rPr>
          <w:rFonts w:hint="eastAsia"/>
          <w:bCs w:val="0"/>
        </w:rPr>
        <w:t>、承诺不以任何方式侵占公司利益</w:t>
      </w:r>
      <w:r>
        <w:rPr>
          <w:rFonts w:hint="eastAsia"/>
          <w:bCs w:val="0"/>
        </w:rPr>
        <w:t>；</w:t>
      </w:r>
      <w:r>
        <w:rPr>
          <w:rFonts w:hint="eastAsia"/>
          <w:bCs w:val="0"/>
        </w:rPr>
        <w:t>3</w:t>
      </w:r>
      <w:r>
        <w:rPr>
          <w:rFonts w:hint="eastAsia"/>
          <w:bCs w:val="0"/>
        </w:rPr>
        <w:t>、不无偿或以不公平条件向其他单位或者个人输送利益，也不采用其他方式损害公司利益；</w:t>
      </w:r>
      <w:r>
        <w:rPr>
          <w:rFonts w:hint="eastAsia"/>
          <w:bCs w:val="0"/>
        </w:rPr>
        <w:t>4</w:t>
      </w:r>
      <w:r>
        <w:rPr>
          <w:rFonts w:hint="eastAsia"/>
          <w:bCs w:val="0"/>
        </w:rPr>
        <w:t>、对职务消费行为进行约束；</w:t>
      </w:r>
      <w:r>
        <w:rPr>
          <w:rFonts w:hint="eastAsia"/>
          <w:bCs w:val="0"/>
        </w:rPr>
        <w:t>5</w:t>
      </w:r>
      <w:r>
        <w:rPr>
          <w:rFonts w:hint="eastAsia"/>
          <w:bCs w:val="0"/>
        </w:rPr>
        <w:t>、不动用公司资产从事与履行职责无关的投资、消费活动；</w:t>
      </w:r>
      <w:r>
        <w:rPr>
          <w:rFonts w:hint="eastAsia"/>
          <w:bCs w:val="0"/>
        </w:rPr>
        <w:t>6</w:t>
      </w:r>
      <w:r>
        <w:rPr>
          <w:rFonts w:hint="eastAsia"/>
          <w:bCs w:val="0"/>
        </w:rPr>
        <w:t>、在自身职责和权限范围内，全力促使公司董事会或者薪酬与考核委员会制定的薪酬制度与公司填补回报措施的执行情况相挂钩，并对公司董事会和股东大会审议的相关议案投票赞成（如有表决权）；</w:t>
      </w:r>
      <w:r>
        <w:rPr>
          <w:rFonts w:hint="eastAsia"/>
          <w:bCs w:val="0"/>
        </w:rPr>
        <w:t>7</w:t>
      </w:r>
      <w:r>
        <w:rPr>
          <w:rFonts w:hint="eastAsia"/>
          <w:bCs w:val="0"/>
        </w:rPr>
        <w:t>、如果公司未来拟实施股权激励，在自身职责和权限范围内，全力促使公司拟公布的股权激励行权条件与公司填补回报措施的执行情况相挂钩，并对公司董事会和股东大会审议的相关议案投</w:t>
      </w:r>
      <w:r>
        <w:rPr>
          <w:rFonts w:hint="eastAsia"/>
          <w:bCs w:val="0"/>
        </w:rPr>
        <w:t>票赞成（如有表决权）；</w:t>
      </w:r>
      <w:r>
        <w:rPr>
          <w:rFonts w:hint="eastAsia"/>
          <w:bCs w:val="0"/>
        </w:rPr>
        <w:t>8</w:t>
      </w:r>
      <w:r>
        <w:rPr>
          <w:rFonts w:hint="eastAsia"/>
          <w:bCs w:val="0"/>
        </w:rPr>
        <w:t>、在中国证监会、证券交易所另行发布摊薄即期填补回报措施及其承诺的相关意见及实施细则后，使得公司的相关规定及上述承诺与该等规定不符时，承诺将立即按照中国证监会及证券交易所的规定出具补充承诺，并积极推进公司作出新的规定，以符合中国证监会及证券交易所的要求；</w:t>
      </w:r>
      <w:r>
        <w:rPr>
          <w:rFonts w:hint="eastAsia"/>
          <w:bCs w:val="0"/>
        </w:rPr>
        <w:t>9</w:t>
      </w:r>
      <w:r>
        <w:rPr>
          <w:rFonts w:hint="eastAsia"/>
          <w:bCs w:val="0"/>
        </w:rPr>
        <w:t>、全面、完整、及时履行公司制定的有关填补被摊薄即期回报措施以及公司对此作出的任何有关填补被摊薄即期回报措施的承诺；</w:t>
      </w:r>
      <w:r>
        <w:rPr>
          <w:rFonts w:hint="eastAsia"/>
          <w:bCs w:val="0"/>
        </w:rPr>
        <w:t>10</w:t>
      </w:r>
      <w:r>
        <w:rPr>
          <w:rFonts w:hint="eastAsia"/>
          <w:bCs w:val="0"/>
        </w:rPr>
        <w:t>、若本人违反前述承诺或拒不履行前述承诺的，本人将在公司股东大会及中国证监会指定媒体上公开说明未履行承诺的具体原因并向</w:t>
      </w:r>
      <w:r>
        <w:rPr>
          <w:rFonts w:hint="eastAsia"/>
          <w:bCs w:val="0"/>
        </w:rPr>
        <w:t>股东和社会公众投资者道歉；对公司或其他股东造成损失的，本人将依法给予赔偿；</w:t>
      </w:r>
      <w:r>
        <w:rPr>
          <w:rFonts w:hint="eastAsia"/>
          <w:bCs w:val="0"/>
        </w:rPr>
        <w:t>11</w:t>
      </w:r>
      <w:r>
        <w:rPr>
          <w:rFonts w:hint="eastAsia"/>
          <w:bCs w:val="0"/>
        </w:rPr>
        <w:t>、若上述承诺适用的法律、法规、规范性文件、政策及证券监管机构的要求发生变化，则本人愿意自动适用变更后的法律、法规、规范性文件、政策及证券监管机构的要求。”</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、公司控股股东、实际控制人秦惠兰，公司实际控制人杨耀、杨秦分别承诺：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、承诺将严格执行关于上市公司治理的各项法律、法规、规章制度，保护公司和公众利益，加强公司独立性，完善公司治理，不越权干预公司经营管理活动；</w:t>
      </w:r>
      <w:r>
        <w:rPr>
          <w:rFonts w:hint="eastAsia"/>
          <w:bCs w:val="0"/>
        </w:rPr>
        <w:t>2</w:t>
      </w:r>
      <w:r>
        <w:rPr>
          <w:rFonts w:hint="eastAsia"/>
          <w:bCs w:val="0"/>
        </w:rPr>
        <w:t>、承诺不以任何方式侵占公司利益；</w:t>
      </w:r>
      <w:r>
        <w:rPr>
          <w:rFonts w:hint="eastAsia"/>
          <w:bCs w:val="0"/>
        </w:rPr>
        <w:t>3</w:t>
      </w:r>
      <w:r>
        <w:rPr>
          <w:rFonts w:hint="eastAsia"/>
          <w:bCs w:val="0"/>
        </w:rPr>
        <w:t>、若本人违反前述承诺或拒不履</w:t>
      </w:r>
      <w:r>
        <w:rPr>
          <w:rFonts w:hint="eastAsia"/>
          <w:bCs w:val="0"/>
        </w:rPr>
        <w:t>行前述承诺的，本人将在公司股东大会及中国证监会指定媒体上公开说明未履行承诺的具体原因并向股东和社会公众投资者道歉；对公司或其他股东造成损失的，本人将依法给予赔偿；</w:t>
      </w:r>
      <w:r>
        <w:rPr>
          <w:rFonts w:hint="eastAsia"/>
          <w:bCs w:val="0"/>
        </w:rPr>
        <w:t>4</w:t>
      </w:r>
      <w:r>
        <w:rPr>
          <w:rFonts w:hint="eastAsia"/>
          <w:bCs w:val="0"/>
        </w:rPr>
        <w:t>、若上述承诺适用的法律、法规、规范性文件、政策及证券监管机构的要求发生变化，则本人愿意自动适用变更后的法律、法规、规范性文件、政策及证券监管机构的要求。”</w:t>
      </w:r>
    </w:p>
    <w:p w:rsidR="00156DD6" w:rsidRDefault="00D51F5F">
      <w:pPr>
        <w:widowControl w:val="0"/>
        <w:spacing w:line="360" w:lineRule="exact"/>
        <w:ind w:firstLineChars="200" w:firstLine="420"/>
        <w:jc w:val="both"/>
        <w:rPr>
          <w:bCs w:val="0"/>
        </w:rPr>
      </w:pPr>
      <w:r>
        <w:rPr>
          <w:rFonts w:hint="eastAsia"/>
          <w:bCs w:val="0"/>
        </w:rPr>
        <w:t>4</w:t>
      </w:r>
      <w:r>
        <w:rPr>
          <w:rFonts w:hint="eastAsia"/>
          <w:bCs w:val="0"/>
        </w:rPr>
        <w:t>、公司全体董事（杨泽民除外）、高级管理人员分别承诺：</w:t>
      </w:r>
    </w:p>
    <w:p w:rsidR="00156DD6" w:rsidRDefault="00D51F5F">
      <w:pPr>
        <w:widowControl w:val="0"/>
        <w:spacing w:line="360" w:lineRule="exact"/>
        <w:ind w:firstLineChars="200" w:firstLine="420"/>
        <w:jc w:val="both"/>
        <w:rPr>
          <w:bCs w:val="0"/>
        </w:rPr>
      </w:pPr>
      <w:r>
        <w:rPr>
          <w:rFonts w:hint="eastAsia"/>
          <w:bCs w:val="0"/>
        </w:rPr>
        <w:lastRenderedPageBreak/>
        <w:t>“</w:t>
      </w:r>
      <w:r>
        <w:rPr>
          <w:rFonts w:hint="eastAsia"/>
          <w:bCs w:val="0"/>
        </w:rPr>
        <w:t>1</w:t>
      </w:r>
      <w:r>
        <w:rPr>
          <w:rFonts w:hint="eastAsia"/>
          <w:bCs w:val="0"/>
        </w:rPr>
        <w:t>、不无偿或以不公平条件向其他单位或者个人输送利益，也不采用其他方式损害公司利益；</w:t>
      </w:r>
      <w:r>
        <w:rPr>
          <w:rFonts w:hint="eastAsia"/>
          <w:bCs w:val="0"/>
        </w:rPr>
        <w:t>2</w:t>
      </w:r>
      <w:r>
        <w:rPr>
          <w:rFonts w:hint="eastAsia"/>
          <w:bCs w:val="0"/>
        </w:rPr>
        <w:t>、对职务消费行为进行约束；</w:t>
      </w:r>
      <w:r>
        <w:rPr>
          <w:rFonts w:hint="eastAsia"/>
          <w:bCs w:val="0"/>
        </w:rPr>
        <w:t>3</w:t>
      </w:r>
      <w:r>
        <w:rPr>
          <w:rFonts w:hint="eastAsia"/>
          <w:bCs w:val="0"/>
        </w:rPr>
        <w:t>、不动用公司资产从事与</w:t>
      </w:r>
      <w:r>
        <w:rPr>
          <w:rFonts w:hint="eastAsia"/>
          <w:bCs w:val="0"/>
        </w:rPr>
        <w:t>履行职责无关的投资、消费活动；</w:t>
      </w:r>
      <w:r>
        <w:rPr>
          <w:rFonts w:hint="eastAsia"/>
          <w:bCs w:val="0"/>
        </w:rPr>
        <w:t>4</w:t>
      </w:r>
      <w:r>
        <w:rPr>
          <w:rFonts w:hint="eastAsia"/>
          <w:bCs w:val="0"/>
        </w:rPr>
        <w:t>、在自身职责和权限范围内，全力促使公司董事会或者薪酬与考核委员会制定的薪酬制度与公司填补回报措施的执行情况相挂钩，并对公司董事会和股东大会审议的相关议案投票赞成（如有表决权）；</w:t>
      </w:r>
      <w:r>
        <w:rPr>
          <w:rFonts w:hint="eastAsia"/>
          <w:bCs w:val="0"/>
        </w:rPr>
        <w:t>5</w:t>
      </w:r>
      <w:r>
        <w:rPr>
          <w:rFonts w:hint="eastAsia"/>
          <w:bCs w:val="0"/>
        </w:rPr>
        <w:t>、如果公司未来拟实施股权激励，在自身职责和权限范围内，全力促使公司拟公布的股权激励行权条件与公司填补回报措施的执行情况相挂钩，并对公司董事会和股东大会审议的相关议案投票赞成（如有表决权）；</w:t>
      </w:r>
      <w:r>
        <w:rPr>
          <w:rFonts w:hint="eastAsia"/>
          <w:bCs w:val="0"/>
        </w:rPr>
        <w:t>6</w:t>
      </w:r>
      <w:r>
        <w:rPr>
          <w:rFonts w:hint="eastAsia"/>
          <w:bCs w:val="0"/>
        </w:rPr>
        <w:t>、在中国证监会、证券交易所另行发布摊薄即期填补回报措施及其承诺的相关意见及实施细则后，使得公司的相关规定及上述承</w:t>
      </w:r>
      <w:r>
        <w:rPr>
          <w:rFonts w:hint="eastAsia"/>
          <w:bCs w:val="0"/>
        </w:rPr>
        <w:t>诺与该等规定不符时，承诺将立即按照中国证监会及证券交易所的规定出具补充承诺，并积极推进公司作出新的规定，以符合中国证监会及证券交易所的要求；</w:t>
      </w:r>
      <w:r>
        <w:rPr>
          <w:rFonts w:hint="eastAsia"/>
          <w:bCs w:val="0"/>
        </w:rPr>
        <w:t>7</w:t>
      </w:r>
      <w:r>
        <w:rPr>
          <w:rFonts w:hint="eastAsia"/>
          <w:bCs w:val="0"/>
        </w:rPr>
        <w:t>、全面、完整、及时履行公司制定的有关填补被摊薄即期回报措施以及公司对此作出的任何有关填补被摊薄即期回报措施的承诺。</w:t>
      </w:r>
    </w:p>
    <w:p w:rsidR="00156DD6" w:rsidRDefault="00D51F5F">
      <w:pPr>
        <w:widowControl w:val="0"/>
        <w:spacing w:line="360" w:lineRule="exact"/>
        <w:ind w:firstLineChars="200" w:firstLine="420"/>
        <w:jc w:val="both"/>
        <w:rPr>
          <w:bCs w:val="0"/>
        </w:rPr>
      </w:pPr>
      <w:r>
        <w:rPr>
          <w:rFonts w:hint="eastAsia"/>
          <w:bCs w:val="0"/>
        </w:rPr>
        <w:t>如违反上述承诺或拒不履行上述承诺，本人同意按照中国证监会和证券交易所等证券监管机构制定或发布的有关规定、规则，对本人作出相关处罚或采取相关管理措施。”</w:t>
      </w:r>
    </w:p>
    <w:p w:rsidR="00156DD6" w:rsidRDefault="00156DD6">
      <w:pPr>
        <w:widowControl w:val="0"/>
        <w:spacing w:line="360" w:lineRule="exact"/>
        <w:ind w:firstLineChars="200" w:firstLine="420"/>
        <w:jc w:val="both"/>
        <w:rPr>
          <w:bCs w:val="0"/>
        </w:rPr>
      </w:pPr>
    </w:p>
    <w:p w:rsidR="00156DD6" w:rsidRDefault="00D51F5F">
      <w:pPr>
        <w:widowControl w:val="0"/>
        <w:spacing w:line="360" w:lineRule="exact"/>
        <w:ind w:firstLineChars="200" w:firstLine="420"/>
        <w:jc w:val="both"/>
        <w:rPr>
          <w:bCs w:val="0"/>
        </w:rPr>
      </w:pPr>
      <w:r>
        <w:rPr>
          <w:rFonts w:hint="eastAsia"/>
          <w:bCs w:val="0"/>
        </w:rPr>
        <w:t>注</w:t>
      </w:r>
      <w:r>
        <w:rPr>
          <w:rFonts w:hint="eastAsia"/>
          <w:bCs w:val="0"/>
        </w:rPr>
        <w:t>4</w:t>
      </w:r>
      <w:r>
        <w:rPr>
          <w:rFonts w:hint="eastAsia"/>
          <w:bCs w:val="0"/>
        </w:rPr>
        <w:t>：关于避免同业竞争的承诺</w:t>
      </w:r>
    </w:p>
    <w:p w:rsidR="00156DD6" w:rsidRDefault="00D51F5F">
      <w:pPr>
        <w:widowControl w:val="0"/>
        <w:spacing w:line="360" w:lineRule="exact"/>
        <w:ind w:firstLineChars="200" w:firstLine="420"/>
        <w:jc w:val="both"/>
        <w:rPr>
          <w:bCs w:val="0"/>
        </w:rPr>
      </w:pPr>
      <w:r>
        <w:rPr>
          <w:rFonts w:hint="eastAsia"/>
          <w:bCs w:val="0"/>
        </w:rPr>
        <w:t>公司控股股东、实际控制人杨泽民、秦惠兰，公司实际控制人杨耀、杨秦分别承</w:t>
      </w:r>
      <w:r>
        <w:rPr>
          <w:rFonts w:hint="eastAsia"/>
          <w:bCs w:val="0"/>
        </w:rPr>
        <w:t>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、本人及本人所控制的其他企业目前没有以任何形式于中国境内和境外从事与望变电气及其控制企业所从事的主营业务构成或可能构成直接或间接竞争关系的业务或活动。</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、自本承诺函签署之日起，本人及本人所控制的其他企业在中国境内和境外将继续不直接或间接从事或参与对望变电气及其控制企业从事的主营业务构成直接或间接竞争关系的业务或活动。</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、对本人直接或间接控制的其他企业，本人将通过各公司的股东（大）会、董事会（执行董事）等公司治理机制和派出机构及人员（包括但不限于董事、高级管理人员）敦促该等企业履行本承诺项下的义</w:t>
      </w:r>
      <w:r>
        <w:rPr>
          <w:rFonts w:hint="eastAsia"/>
          <w:bCs w:val="0"/>
        </w:rPr>
        <w:t>务，并愿意对违反上述承诺而给望变电气或其控制企业造成的经济损失承担赔偿责任。</w:t>
      </w:r>
    </w:p>
    <w:p w:rsidR="00156DD6" w:rsidRDefault="00D51F5F">
      <w:pPr>
        <w:widowControl w:val="0"/>
        <w:spacing w:line="360" w:lineRule="exact"/>
        <w:ind w:firstLineChars="200" w:firstLine="420"/>
        <w:jc w:val="both"/>
        <w:rPr>
          <w:bCs w:val="0"/>
        </w:rPr>
      </w:pPr>
      <w:r>
        <w:rPr>
          <w:rFonts w:hint="eastAsia"/>
          <w:bCs w:val="0"/>
        </w:rPr>
        <w:t>4</w:t>
      </w:r>
      <w:r>
        <w:rPr>
          <w:rFonts w:hint="eastAsia"/>
          <w:bCs w:val="0"/>
        </w:rPr>
        <w:t>、本人保证不为自身或者他人谋取属于望变电气或其控制企业的商业机会，自营或者为他人经营与望变电气或其控制企业从事的主营业务。如从任何第三方获得的商业机会与望变电气或其控制企业经营的主营业务构成竞争或可能构成竞争，本人将立即通知望变电气，并应促成将该商业机会让予望变电气及其控制企业或采用任何其他可以被监管部门所认可的方案，以最终排除本承诺人对该等商业机会所涉及资产</w:t>
      </w:r>
      <w:r>
        <w:rPr>
          <w:rFonts w:hint="eastAsia"/>
          <w:bCs w:val="0"/>
        </w:rPr>
        <w:t>/</w:t>
      </w:r>
      <w:r>
        <w:rPr>
          <w:rFonts w:hint="eastAsia"/>
          <w:bCs w:val="0"/>
        </w:rPr>
        <w:t>股权</w:t>
      </w:r>
      <w:r>
        <w:rPr>
          <w:rFonts w:hint="eastAsia"/>
          <w:bCs w:val="0"/>
        </w:rPr>
        <w:t>/</w:t>
      </w:r>
      <w:r>
        <w:rPr>
          <w:rFonts w:hint="eastAsia"/>
          <w:bCs w:val="0"/>
        </w:rPr>
        <w:t>业务之实际管理、运营权，从而避免与望变电气及其控制企业所从事主</w:t>
      </w:r>
      <w:r>
        <w:rPr>
          <w:rFonts w:hint="eastAsia"/>
          <w:bCs w:val="0"/>
        </w:rPr>
        <w:t>营业务形成同业竞争的情况。</w:t>
      </w:r>
    </w:p>
    <w:p w:rsidR="00156DD6" w:rsidRDefault="00D51F5F">
      <w:pPr>
        <w:widowControl w:val="0"/>
        <w:spacing w:line="360" w:lineRule="exact"/>
        <w:ind w:firstLineChars="200" w:firstLine="420"/>
        <w:jc w:val="both"/>
        <w:rPr>
          <w:bCs w:val="0"/>
        </w:rPr>
      </w:pPr>
      <w:r>
        <w:rPr>
          <w:rFonts w:hint="eastAsia"/>
          <w:bCs w:val="0"/>
        </w:rPr>
        <w:t>5</w:t>
      </w:r>
      <w:r>
        <w:rPr>
          <w:rFonts w:hint="eastAsia"/>
          <w:bCs w:val="0"/>
        </w:rPr>
        <w:t>、本人保证有权签署本承诺函，且本承诺函一经本人签署，即对本人构成有效的、合法的、具有约束力的责任。本承诺函所载承诺事项在本人作为望变电气控股股东</w:t>
      </w:r>
      <w:r>
        <w:rPr>
          <w:rFonts w:hint="eastAsia"/>
          <w:bCs w:val="0"/>
        </w:rPr>
        <w:t>/</w:t>
      </w:r>
      <w:r>
        <w:rPr>
          <w:rFonts w:hint="eastAsia"/>
          <w:bCs w:val="0"/>
        </w:rPr>
        <w:t>实际控制人期间持续有效，且不可撤销。如违反以上承诺，本人愿意承担由此产生的全部责任，充分赔偿或补偿由此给望变电气及其</w:t>
      </w:r>
      <w:r>
        <w:rPr>
          <w:rFonts w:hint="eastAsia"/>
          <w:bCs w:val="0"/>
        </w:rPr>
        <w:lastRenderedPageBreak/>
        <w:t>控制企业造成的所有直接或间接损失。”</w:t>
      </w:r>
    </w:p>
    <w:p w:rsidR="00156DD6" w:rsidRDefault="00156DD6">
      <w:pPr>
        <w:widowControl w:val="0"/>
        <w:spacing w:line="360" w:lineRule="exact"/>
        <w:ind w:firstLineChars="200" w:firstLine="420"/>
        <w:jc w:val="both"/>
        <w:rPr>
          <w:bCs w:val="0"/>
        </w:rPr>
      </w:pPr>
    </w:p>
    <w:p w:rsidR="00156DD6" w:rsidRDefault="00D51F5F">
      <w:pPr>
        <w:widowControl w:val="0"/>
        <w:spacing w:line="360" w:lineRule="exact"/>
        <w:ind w:firstLineChars="200" w:firstLine="420"/>
        <w:jc w:val="both"/>
        <w:rPr>
          <w:bCs w:val="0"/>
        </w:rPr>
      </w:pPr>
      <w:r>
        <w:rPr>
          <w:rFonts w:hint="eastAsia"/>
          <w:bCs w:val="0"/>
        </w:rPr>
        <w:t>注</w:t>
      </w:r>
      <w:r>
        <w:rPr>
          <w:rFonts w:hint="eastAsia"/>
          <w:bCs w:val="0"/>
        </w:rPr>
        <w:t>5</w:t>
      </w:r>
      <w:r>
        <w:rPr>
          <w:rFonts w:hint="eastAsia"/>
          <w:bCs w:val="0"/>
        </w:rPr>
        <w:t>：关于规范和减少关联交易的承诺</w:t>
      </w:r>
    </w:p>
    <w:p w:rsidR="00156DD6" w:rsidRDefault="00D51F5F">
      <w:pPr>
        <w:widowControl w:val="0"/>
        <w:spacing w:line="360" w:lineRule="exact"/>
        <w:ind w:firstLineChars="200" w:firstLine="420"/>
        <w:jc w:val="both"/>
        <w:rPr>
          <w:bCs w:val="0"/>
        </w:rPr>
      </w:pPr>
      <w:r>
        <w:rPr>
          <w:rFonts w:hint="eastAsia"/>
          <w:bCs w:val="0"/>
        </w:rPr>
        <w:t>1</w:t>
      </w:r>
      <w:r>
        <w:rPr>
          <w:rFonts w:hint="eastAsia"/>
          <w:bCs w:val="0"/>
        </w:rPr>
        <w:t>、公司控股股东、实际控制人杨泽民、秦惠兰，公司实际控制人杨耀、杨秦分别承诺：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、本人控制的其他企业与公司及其控股子公司之间不存在严重影响独</w:t>
      </w:r>
      <w:r>
        <w:rPr>
          <w:rFonts w:hint="eastAsia"/>
          <w:bCs w:val="0"/>
        </w:rPr>
        <w:t>立性或者显失公平的关联交易；本人及本人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、不利用自身对望变电气的重大影响，谋求望变电气在业务合作等方面给予本人及本人所控制的企业优于市场第三方的权利或与望变电气达成交易的优先权利。</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、不利用自身对望变电气的重大影响公司的独立性，保证不</w:t>
      </w:r>
      <w:r>
        <w:rPr>
          <w:rFonts w:hint="eastAsia"/>
          <w:bCs w:val="0"/>
        </w:rPr>
        <w:t>利用关联交易非法转移公司的资金、利润、谋取其他任何不正当利益或使公司承担任何不正当的义务。</w:t>
      </w:r>
    </w:p>
    <w:p w:rsidR="00156DD6" w:rsidRDefault="00D51F5F">
      <w:pPr>
        <w:widowControl w:val="0"/>
        <w:spacing w:line="360" w:lineRule="exact"/>
        <w:ind w:firstLineChars="200" w:firstLine="420"/>
        <w:jc w:val="both"/>
        <w:rPr>
          <w:bCs w:val="0"/>
        </w:rPr>
      </w:pPr>
      <w:r>
        <w:rPr>
          <w:rFonts w:hint="eastAsia"/>
          <w:bCs w:val="0"/>
        </w:rPr>
        <w:t>4</w:t>
      </w:r>
      <w:r>
        <w:rPr>
          <w:rFonts w:hint="eastAsia"/>
          <w:bCs w:val="0"/>
        </w:rPr>
        <w:t>、本人保证有权签署本承诺函，且本承诺函一经本人签署，即依上述所述前提对本人构成有效的、合法的、具有约束力的责任，且依上述所述前提持续有效，不可撤销。若由于本人的上述承诺与实际不符给公司或其投资人造成损失的，本人将依法承担相应的法律责任。”</w:t>
      </w:r>
    </w:p>
    <w:p w:rsidR="00156DD6" w:rsidRDefault="00D51F5F">
      <w:pPr>
        <w:widowControl w:val="0"/>
        <w:spacing w:line="360" w:lineRule="exact"/>
        <w:ind w:firstLineChars="200" w:firstLine="420"/>
        <w:jc w:val="both"/>
        <w:rPr>
          <w:bCs w:val="0"/>
        </w:rPr>
      </w:pPr>
      <w:r>
        <w:rPr>
          <w:bCs w:val="0"/>
        </w:rPr>
        <w:t>2</w:t>
      </w:r>
      <w:r>
        <w:rPr>
          <w:rFonts w:hint="eastAsia"/>
          <w:bCs w:val="0"/>
        </w:rPr>
        <w:t>、公司全体董事、监事、高级管理人员承诺：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控制的其他企业与公司及其控股子公司之间不存在严重影响独立性或者显失公平的关联交易；本人及本人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、不利用自身对望变电气的重大影响，谋求望变电气在业务合作等方面给予本人及本人所控制的企业优于市场第三方的权利或与望变电气达成交易的优</w:t>
      </w:r>
      <w:r>
        <w:rPr>
          <w:rFonts w:hint="eastAsia"/>
          <w:bCs w:val="0"/>
        </w:rPr>
        <w:t>先权利。</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、不利用自身对望变电气的重大影响公司的独立性，保证不利用关联交易非法转移公司的资金、利润、谋取其他任何不正当利益或使公司承担任何不正当的义务。</w:t>
      </w:r>
    </w:p>
    <w:p w:rsidR="00156DD6" w:rsidRDefault="00D51F5F">
      <w:pPr>
        <w:widowControl w:val="0"/>
        <w:spacing w:line="360" w:lineRule="exact"/>
        <w:ind w:firstLineChars="200" w:firstLine="420"/>
        <w:jc w:val="both"/>
        <w:rPr>
          <w:bCs w:val="0"/>
        </w:rPr>
      </w:pPr>
      <w:r>
        <w:rPr>
          <w:rFonts w:hint="eastAsia"/>
          <w:bCs w:val="0"/>
        </w:rPr>
        <w:t>4</w:t>
      </w:r>
      <w:r>
        <w:rPr>
          <w:rFonts w:hint="eastAsia"/>
          <w:bCs w:val="0"/>
        </w:rPr>
        <w:t>、本人保证有权签署本承诺函，且本承诺函一经本人签署，即依上述所述前提对本人构成有效的、合法的、具有约束力的责任，且依上述所述前提持续有效，不可撤销。若由于本人的上述承诺与实际不符给公司或其投资人造成损失的，本人将依法承担相应的法律责任。”</w:t>
      </w:r>
    </w:p>
    <w:p w:rsidR="00156DD6" w:rsidRDefault="00156DD6">
      <w:pPr>
        <w:widowControl w:val="0"/>
        <w:spacing w:line="360" w:lineRule="exact"/>
        <w:ind w:firstLineChars="200" w:firstLine="420"/>
        <w:jc w:val="both"/>
        <w:rPr>
          <w:bCs w:val="0"/>
        </w:rPr>
      </w:pPr>
    </w:p>
    <w:p w:rsidR="00156DD6" w:rsidRDefault="00D51F5F">
      <w:pPr>
        <w:widowControl w:val="0"/>
        <w:spacing w:line="360" w:lineRule="exact"/>
        <w:ind w:firstLineChars="200" w:firstLine="420"/>
        <w:jc w:val="both"/>
        <w:rPr>
          <w:bCs w:val="0"/>
        </w:rPr>
      </w:pPr>
      <w:r>
        <w:rPr>
          <w:rFonts w:hint="eastAsia"/>
          <w:bCs w:val="0"/>
        </w:rPr>
        <w:lastRenderedPageBreak/>
        <w:t>注</w:t>
      </w:r>
      <w:r>
        <w:rPr>
          <w:rFonts w:hint="eastAsia"/>
          <w:bCs w:val="0"/>
        </w:rPr>
        <w:t>6</w:t>
      </w:r>
      <w:r>
        <w:rPr>
          <w:rFonts w:hint="eastAsia"/>
          <w:bCs w:val="0"/>
        </w:rPr>
        <w:t>：关于避免资金占用的承诺</w:t>
      </w:r>
    </w:p>
    <w:p w:rsidR="00156DD6" w:rsidRDefault="00D51F5F">
      <w:pPr>
        <w:widowControl w:val="0"/>
        <w:spacing w:line="360" w:lineRule="exact"/>
        <w:ind w:firstLineChars="200" w:firstLine="420"/>
        <w:jc w:val="both"/>
        <w:rPr>
          <w:bCs w:val="0"/>
        </w:rPr>
      </w:pPr>
      <w:r>
        <w:rPr>
          <w:rFonts w:hint="eastAsia"/>
          <w:bCs w:val="0"/>
        </w:rPr>
        <w:t>公司控股股东、实际控制人杨泽民、秦惠兰，公司实际控制人杨耀、杨秦分别承诺：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w:t>
      </w:r>
      <w:r>
        <w:rPr>
          <w:rFonts w:hint="eastAsia"/>
          <w:bCs w:val="0"/>
        </w:rPr>
        <w:t>截至本承诺函出具之日，本人及本人直接或间接控制的企业（以下简称‘本人控制的企业’）不存在占用望变电气及其子公司资金的情况。</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自本承诺函出具之日起，本人及本人控制的企业将不以借款、代偿债务、代垫款项或其他任何方式占用望变电气及其子公司的资金，且将严格遵守法律、法规关于上市公司法人治理的相关规定，避免与望变电气及其子公司发生与正常生产经营无关的资金往来。</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、若本人违反本承诺函给望变电气造成损失的，本人愿意承担由此产生的全部责任，充分赔偿或补偿由此给望变电气造成的所有直接或间接损失。”</w:t>
      </w:r>
    </w:p>
    <w:p w:rsidR="00156DD6" w:rsidRDefault="00156DD6">
      <w:pPr>
        <w:widowControl w:val="0"/>
        <w:spacing w:line="360" w:lineRule="exact"/>
        <w:ind w:firstLineChars="200" w:firstLine="420"/>
        <w:jc w:val="both"/>
        <w:rPr>
          <w:bCs w:val="0"/>
        </w:rPr>
      </w:pPr>
    </w:p>
    <w:p w:rsidR="00156DD6" w:rsidRDefault="00D51F5F">
      <w:pPr>
        <w:widowControl w:val="0"/>
        <w:spacing w:line="360" w:lineRule="exact"/>
        <w:ind w:firstLineChars="200" w:firstLine="420"/>
        <w:jc w:val="both"/>
        <w:rPr>
          <w:bCs w:val="0"/>
        </w:rPr>
      </w:pPr>
      <w:r>
        <w:rPr>
          <w:rFonts w:hint="eastAsia"/>
          <w:bCs w:val="0"/>
        </w:rPr>
        <w:t>注</w:t>
      </w:r>
      <w:r>
        <w:rPr>
          <w:rFonts w:hint="eastAsia"/>
          <w:bCs w:val="0"/>
        </w:rPr>
        <w:t>7</w:t>
      </w:r>
      <w:r>
        <w:rPr>
          <w:rFonts w:hint="eastAsia"/>
          <w:bCs w:val="0"/>
        </w:rPr>
        <w:t>：关于股份回购</w:t>
      </w:r>
      <w:r>
        <w:rPr>
          <w:rFonts w:hint="eastAsia"/>
          <w:bCs w:val="0"/>
        </w:rPr>
        <w:t>和股份购回的措施和承诺</w:t>
      </w:r>
    </w:p>
    <w:p w:rsidR="00156DD6" w:rsidRDefault="00D51F5F">
      <w:pPr>
        <w:widowControl w:val="0"/>
        <w:spacing w:line="360" w:lineRule="exact"/>
        <w:ind w:firstLineChars="200" w:firstLine="420"/>
        <w:jc w:val="both"/>
        <w:rPr>
          <w:bCs w:val="0"/>
        </w:rPr>
      </w:pPr>
      <w:r>
        <w:rPr>
          <w:rFonts w:hint="eastAsia"/>
          <w:bCs w:val="0"/>
        </w:rPr>
        <w:t>1</w:t>
      </w:r>
      <w:r>
        <w:rPr>
          <w:rFonts w:hint="eastAsia"/>
          <w:bCs w:val="0"/>
        </w:rPr>
        <w:t>、公司承诺：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启动股份回购及购回措施的条件本次公开发行完成后，如本次公开发行的招股说明书及其他申报文件被中国证监会、证券交易所或司法机关认定为有虚假记载、误导性陈述或者重大遗漏的，对判断发行人是否符合法律规定的发行条件构成重大且实质性影响的，公司将依法从投资者手中回购及购回本次公开发行的股票以及转让的限售股。</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、股份回购及购回措施的启动程序</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）若上述情形发生于公司本次公开发行的新股已完成发行但未上市交易的阶段内，则公司将于上述情形发生之日起</w:t>
      </w:r>
      <w:r>
        <w:rPr>
          <w:rFonts w:hint="eastAsia"/>
          <w:bCs w:val="0"/>
        </w:rPr>
        <w:t>5</w:t>
      </w:r>
      <w:r>
        <w:rPr>
          <w:rFonts w:hint="eastAsia"/>
          <w:bCs w:val="0"/>
        </w:rPr>
        <w:t>个工作日内，将本次公开发行的</w:t>
      </w:r>
      <w:r>
        <w:rPr>
          <w:rFonts w:hint="eastAsia"/>
          <w:bCs w:val="0"/>
        </w:rPr>
        <w:t>募集资金，按照发行价并加算银行同期存款利息返还已缴纳股票申购款的投资者。</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2</w:t>
      </w:r>
      <w:r>
        <w:rPr>
          <w:rFonts w:hint="eastAsia"/>
          <w:bCs w:val="0"/>
        </w:rPr>
        <w:t>）若上述情形发生于公司本次公开发行的新股已完成上市交易之后，公司董事会将在中国证监会或其他有权部门依法对上述事实作出最终认定或处罚决定后</w:t>
      </w:r>
      <w:r>
        <w:rPr>
          <w:rFonts w:hint="eastAsia"/>
          <w:bCs w:val="0"/>
        </w:rPr>
        <w:t>10</w:t>
      </w:r>
      <w:r>
        <w:rPr>
          <w:rFonts w:hint="eastAsia"/>
          <w:bCs w:val="0"/>
        </w:rPr>
        <w:t>个工作日内，制订股份回购方案并提交股东大会审议批准，依法回购本次公开发行的全部新股，按照发行价格加新股上市日至回购日期间的同期银行活期存款利息，或不低于中国证监会对公司招股说明书及其他信息披露材料存在虚假记载、误导性陈述或者重大遗漏问题进行立案稽查之日前</w:t>
      </w:r>
      <w:r>
        <w:rPr>
          <w:rFonts w:hint="eastAsia"/>
          <w:bCs w:val="0"/>
        </w:rPr>
        <w:t>30</w:t>
      </w:r>
      <w:r>
        <w:rPr>
          <w:rFonts w:hint="eastAsia"/>
          <w:bCs w:val="0"/>
        </w:rPr>
        <w:t>个交易日公司股票的每日加权平均价格的</w:t>
      </w:r>
      <w:r>
        <w:rPr>
          <w:rFonts w:hint="eastAsia"/>
          <w:bCs w:val="0"/>
        </w:rPr>
        <w:t>算术平均值（公司如有分红、派息、送股、资本公积金转增股本、配股等除权除息事项，前述价格应相应调整），或中国证监会认可的其他价格，通过证券交易所交易系统回购公司本次公开发行的全部新股。</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3</w:t>
      </w:r>
      <w:r>
        <w:rPr>
          <w:rFonts w:hint="eastAsia"/>
          <w:bCs w:val="0"/>
        </w:rPr>
        <w:t>）当公司未来涉及股份回购时，公司应同时遵守中国证监会及证券交易所等证券监管机构的相关规定。</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、约束措施</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）公司将严格履行在本次发行时已作出的关于股份回购、购回措施的相应承诺。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2</w:t>
      </w:r>
      <w:r>
        <w:rPr>
          <w:rFonts w:hint="eastAsia"/>
          <w:bCs w:val="0"/>
        </w:rPr>
        <w:t>）公司自愿接受中国证监会及证券交易所等证券监管机构对股份回购、购回预案的制定、实施等进行监督，并承担法律责任。在启动股份回购、</w:t>
      </w:r>
      <w:r>
        <w:rPr>
          <w:rFonts w:hint="eastAsia"/>
          <w:bCs w:val="0"/>
        </w:rPr>
        <w:lastRenderedPageBreak/>
        <w:t>购回措施的条</w:t>
      </w:r>
      <w:r>
        <w:rPr>
          <w:rFonts w:hint="eastAsia"/>
          <w:bCs w:val="0"/>
        </w:rPr>
        <w:t>件满足时，如果公司未采取上述股份回购、购回的具体措施的，公司承诺接受以下约束措施：</w:t>
      </w:r>
    </w:p>
    <w:p w:rsidR="00156DD6" w:rsidRDefault="00D51F5F">
      <w:pPr>
        <w:widowControl w:val="0"/>
        <w:spacing w:line="360" w:lineRule="exact"/>
        <w:ind w:firstLineChars="200" w:firstLine="420"/>
        <w:jc w:val="both"/>
        <w:rPr>
          <w:bCs w:val="0"/>
        </w:rPr>
      </w:pPr>
      <w:r>
        <w:rPr>
          <w:rFonts w:hint="eastAsia"/>
          <w:bCs w:val="0"/>
        </w:rPr>
        <w:t>1</w:t>
      </w:r>
      <w:r>
        <w:rPr>
          <w:rFonts w:hint="eastAsia"/>
          <w:bCs w:val="0"/>
        </w:rPr>
        <w:t>）在中国证监会指定媒体上公开说明承诺未能履行、无法履行或无法按期履行的具体原因，并提出补充承诺或替代承诺，以尽可能保护投资者的权益。</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）因未能履行该项承诺造成投资者损失的，公司将依据证券监管部门或司法机关认定的方式及金额进行赔偿。”</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、公司实际控制人杨泽民、秦惠兰、杨耀、杨秦分别承诺：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、本次公开发行完成后，如本次公开发行的招股说明书及其他申报文件被中国证监会、证券交易所或司法机关认定为有虚假记载、误导性陈述或者重</w:t>
      </w:r>
      <w:r>
        <w:rPr>
          <w:rFonts w:hint="eastAsia"/>
          <w:bCs w:val="0"/>
        </w:rPr>
        <w:t>大遗漏的，对判断发行人是否符合法律规定的发行条件构成重大且实质性影响的，则本人承诺将极力督促望变电气依法从投资者手中回购及购回本次公开发行的股票以及转让的限售股。</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若中国证监会或其他有权部门认定招股说明书及其他信息披露材料所载之内容存在任何虚假记载、误导性陈述或者重大遗漏之情形，致使投资者在证券交易中遭受损失的，本人将依据证券监管部门或司法机关认定的方式及金额进行赔偿。”</w:t>
      </w:r>
    </w:p>
    <w:p w:rsidR="00156DD6" w:rsidRDefault="00156DD6">
      <w:pPr>
        <w:widowControl w:val="0"/>
        <w:spacing w:line="360" w:lineRule="exact"/>
        <w:ind w:firstLineChars="200" w:firstLine="420"/>
        <w:jc w:val="both"/>
        <w:rPr>
          <w:bCs w:val="0"/>
        </w:rPr>
      </w:pPr>
    </w:p>
    <w:p w:rsidR="00156DD6" w:rsidRDefault="00D51F5F">
      <w:pPr>
        <w:widowControl w:val="0"/>
        <w:spacing w:line="360" w:lineRule="exact"/>
        <w:ind w:firstLineChars="200" w:firstLine="420"/>
        <w:jc w:val="both"/>
        <w:rPr>
          <w:bCs w:val="0"/>
        </w:rPr>
      </w:pPr>
      <w:r>
        <w:rPr>
          <w:rFonts w:hint="eastAsia"/>
          <w:bCs w:val="0"/>
        </w:rPr>
        <w:t>注</w:t>
      </w:r>
      <w:r>
        <w:rPr>
          <w:rFonts w:hint="eastAsia"/>
          <w:bCs w:val="0"/>
        </w:rPr>
        <w:t>8</w:t>
      </w:r>
      <w:r>
        <w:rPr>
          <w:rFonts w:hint="eastAsia"/>
          <w:bCs w:val="0"/>
        </w:rPr>
        <w:t>：关于未履行承诺的约束措施的承诺</w:t>
      </w:r>
    </w:p>
    <w:p w:rsidR="00156DD6" w:rsidRDefault="00D51F5F">
      <w:pPr>
        <w:widowControl w:val="0"/>
        <w:spacing w:line="360" w:lineRule="exact"/>
        <w:ind w:firstLineChars="200" w:firstLine="420"/>
        <w:jc w:val="both"/>
        <w:rPr>
          <w:bCs w:val="0"/>
        </w:rPr>
      </w:pPr>
      <w:r>
        <w:rPr>
          <w:rFonts w:hint="eastAsia"/>
          <w:bCs w:val="0"/>
        </w:rPr>
        <w:t>1</w:t>
      </w:r>
      <w:r>
        <w:rPr>
          <w:rFonts w:hint="eastAsia"/>
          <w:bCs w:val="0"/>
        </w:rPr>
        <w:t>、公司承诺：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、本公司在招股说明书中公开作出的相关承诺中已经包含约束措施的，则以该等承诺中的约束措施为准；若本公司违反该等承诺，本公司同意采取该等承诺中已经明确的约束措施；</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本公司在招股说明书中公开作出的相关承诺未包含约束措施的，如本公司非因不可抗力原因导致未能履行公开承诺事项的，需提出新的承诺（相关承诺需按法律、法规、公司章程的规定履行相关审批程序）并接受如下约束措施，直至新的承诺履行完毕或相应补救措施实施完毕：</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）本公司将在股东大会及中国证监会指定报刊上公开说明未履行承诺的具体原因并向股东和社会公众投资者</w:t>
      </w:r>
      <w:r>
        <w:rPr>
          <w:rFonts w:hint="eastAsia"/>
          <w:bCs w:val="0"/>
        </w:rPr>
        <w:t>道歉；</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2</w:t>
      </w:r>
      <w:r>
        <w:rPr>
          <w:rFonts w:hint="eastAsia"/>
          <w:bCs w:val="0"/>
        </w:rPr>
        <w:t>）及时、充分披露相关承诺未能履行、确已无法履行或无法按期履行的具体原因；</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3</w:t>
      </w:r>
      <w:r>
        <w:rPr>
          <w:rFonts w:hint="eastAsia"/>
          <w:bCs w:val="0"/>
        </w:rPr>
        <w:t>）对该等未履行承诺的行为负有个人责任的董事、监事、高级管理人员调减或停发薪酬或津贴；</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4</w:t>
      </w:r>
      <w:r>
        <w:rPr>
          <w:rFonts w:hint="eastAsia"/>
          <w:bCs w:val="0"/>
        </w:rPr>
        <w:t>）向投资者提出补充承诺或替代承诺，以尽可能保护投资者的权益；并同意将上述补充承诺或替代承诺提交股东大会审议；</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5</w:t>
      </w:r>
      <w:r>
        <w:rPr>
          <w:rFonts w:hint="eastAsia"/>
          <w:bCs w:val="0"/>
        </w:rPr>
        <w:t>）如违反相关承诺给投资者造成损失的，将依法赔偿投资者的损失。如该等已违反的承诺仍可继续履行，本公司将继续履行该等承诺。”</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、公司实际控制人杨泽民、秦惠兰、杨耀、杨秦，全体董事、监事、高级管理人员分别承诺：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w:t>
      </w:r>
      <w:r>
        <w:rPr>
          <w:rFonts w:hint="eastAsia"/>
          <w:bCs w:val="0"/>
        </w:rPr>
        <w:t>在招股说明书中公开作出的相关承诺中已经包含约束措施的，则以该等承诺中的约束措施为准；若本人违反该等承诺，本人同意采取该等</w:t>
      </w:r>
      <w:r>
        <w:rPr>
          <w:rFonts w:hint="eastAsia"/>
          <w:bCs w:val="0"/>
        </w:rPr>
        <w:lastRenderedPageBreak/>
        <w:t>承诺中已经明确的约束措施；</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本人在招股说明书中公开作出的相关承诺未包含约束措施的，如本人非因不可抗力原因导致未能履行公开承诺事项的，需提出新的承诺（相关承诺需按法律、法规、公司章程的规定履行相关审批程序）并接受如下约束措施，直至新的承诺履行完毕或相应补救措施实施完毕：</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1</w:t>
      </w:r>
      <w:r>
        <w:rPr>
          <w:rFonts w:hint="eastAsia"/>
          <w:bCs w:val="0"/>
        </w:rPr>
        <w:t>）本人将在股东大会及中国证监会指定报刊上公开说明未履行承诺的具体原因并向股东和社会公众投资者道歉；</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2</w:t>
      </w:r>
      <w:r>
        <w:rPr>
          <w:rFonts w:hint="eastAsia"/>
          <w:bCs w:val="0"/>
        </w:rPr>
        <w:t>）及时、充</w:t>
      </w:r>
      <w:r>
        <w:rPr>
          <w:rFonts w:hint="eastAsia"/>
          <w:bCs w:val="0"/>
        </w:rPr>
        <w:t>分披露相关承诺未能履行、确已无法履行或无法按期履行的具体原因；</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3</w:t>
      </w:r>
      <w:r>
        <w:rPr>
          <w:rFonts w:hint="eastAsia"/>
          <w:bCs w:val="0"/>
        </w:rPr>
        <w:t>）如本人未能履行相关承诺事项，公司有权在前述事项发生之日起</w:t>
      </w:r>
      <w:r>
        <w:rPr>
          <w:rFonts w:hint="eastAsia"/>
          <w:bCs w:val="0"/>
        </w:rPr>
        <w:t>10</w:t>
      </w:r>
      <w:r>
        <w:rPr>
          <w:rFonts w:hint="eastAsia"/>
          <w:bCs w:val="0"/>
        </w:rPr>
        <w:t>个交易日内，停止对本人进行现金分红，并停发本人应在公司领取的薪酬、津贴（如有），直至本人履行相关承诺；</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4</w:t>
      </w:r>
      <w:r>
        <w:rPr>
          <w:rFonts w:hint="eastAsia"/>
          <w:bCs w:val="0"/>
        </w:rPr>
        <w:t>）不转让直接或间接持有的发行人的股份（如持有）。因继承、被强制执行、上市公司重组、为履行保护投资者利益承诺等必须转股的情形除外；</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5</w:t>
      </w:r>
      <w:r>
        <w:rPr>
          <w:rFonts w:hint="eastAsia"/>
          <w:bCs w:val="0"/>
        </w:rPr>
        <w:t>）向投资者提出补充承诺或替代承诺，以尽可能保护投资者的权益；并同意将上述补充承诺或替代承诺提交股东大会审议；</w:t>
      </w:r>
    </w:p>
    <w:p w:rsidR="00156DD6" w:rsidRDefault="00D51F5F">
      <w:pPr>
        <w:widowControl w:val="0"/>
        <w:spacing w:line="360" w:lineRule="exact"/>
        <w:ind w:firstLineChars="200" w:firstLine="420"/>
        <w:jc w:val="both"/>
        <w:rPr>
          <w:bCs w:val="0"/>
        </w:rPr>
      </w:pPr>
      <w:r>
        <w:rPr>
          <w:rFonts w:hint="eastAsia"/>
          <w:bCs w:val="0"/>
        </w:rPr>
        <w:t>（</w:t>
      </w:r>
      <w:r>
        <w:rPr>
          <w:rFonts w:hint="eastAsia"/>
          <w:bCs w:val="0"/>
        </w:rPr>
        <w:t>6</w:t>
      </w:r>
      <w:r>
        <w:rPr>
          <w:rFonts w:hint="eastAsia"/>
          <w:bCs w:val="0"/>
        </w:rPr>
        <w:t>）如违反相关承诺给投资者造</w:t>
      </w:r>
      <w:r>
        <w:rPr>
          <w:rFonts w:hint="eastAsia"/>
          <w:bCs w:val="0"/>
        </w:rPr>
        <w:t>成损失的，将依法赔偿投资者的损失。如该等已违反的承诺仍可继续履行，本人将继续履行该等承诺。”</w:t>
      </w:r>
    </w:p>
    <w:p w:rsidR="00156DD6" w:rsidRDefault="00156DD6">
      <w:pPr>
        <w:widowControl w:val="0"/>
        <w:spacing w:line="360" w:lineRule="exact"/>
        <w:ind w:firstLineChars="200" w:firstLine="420"/>
        <w:jc w:val="both"/>
        <w:rPr>
          <w:bCs w:val="0"/>
        </w:rPr>
      </w:pPr>
    </w:p>
    <w:p w:rsidR="00156DD6" w:rsidRDefault="00D51F5F">
      <w:pPr>
        <w:widowControl w:val="0"/>
        <w:spacing w:line="360" w:lineRule="exact"/>
        <w:ind w:firstLineChars="200" w:firstLine="420"/>
        <w:jc w:val="both"/>
        <w:rPr>
          <w:bCs w:val="0"/>
        </w:rPr>
      </w:pPr>
      <w:r>
        <w:rPr>
          <w:rFonts w:hint="eastAsia"/>
          <w:bCs w:val="0"/>
        </w:rPr>
        <w:t>注</w:t>
      </w:r>
      <w:r>
        <w:rPr>
          <w:rFonts w:hint="eastAsia"/>
          <w:bCs w:val="0"/>
        </w:rPr>
        <w:t>9</w:t>
      </w:r>
      <w:r>
        <w:rPr>
          <w:rFonts w:hint="eastAsia"/>
          <w:bCs w:val="0"/>
        </w:rPr>
        <w:t>：稳定股价及相应约束措施的承诺</w:t>
      </w:r>
    </w:p>
    <w:p w:rsidR="00156DD6" w:rsidRDefault="00D51F5F">
      <w:pPr>
        <w:widowControl w:val="0"/>
        <w:spacing w:line="360" w:lineRule="exact"/>
        <w:ind w:firstLineChars="200" w:firstLine="420"/>
        <w:jc w:val="both"/>
        <w:rPr>
          <w:bCs w:val="0"/>
        </w:rPr>
      </w:pPr>
      <w:r>
        <w:rPr>
          <w:rFonts w:hint="eastAsia"/>
          <w:bCs w:val="0"/>
        </w:rPr>
        <w:t>1.</w:t>
      </w:r>
      <w:r>
        <w:rPr>
          <w:rFonts w:hint="eastAsia"/>
          <w:bCs w:val="0"/>
        </w:rPr>
        <w:t>公司承诺</w:t>
      </w:r>
    </w:p>
    <w:p w:rsidR="00156DD6" w:rsidRDefault="00D51F5F">
      <w:pPr>
        <w:widowControl w:val="0"/>
        <w:spacing w:line="360" w:lineRule="exact"/>
        <w:ind w:firstLineChars="200" w:firstLine="420"/>
        <w:jc w:val="both"/>
        <w:rPr>
          <w:bCs w:val="0"/>
        </w:rPr>
      </w:pPr>
      <w:r>
        <w:rPr>
          <w:rFonts w:hint="eastAsia"/>
          <w:bCs w:val="0"/>
        </w:rPr>
        <w:t>“自公司股票上市之日起</w:t>
      </w:r>
      <w:r>
        <w:rPr>
          <w:rFonts w:hint="eastAsia"/>
          <w:bCs w:val="0"/>
        </w:rPr>
        <w:t>3</w:t>
      </w:r>
      <w:r>
        <w:rPr>
          <w:rFonts w:hint="eastAsia"/>
          <w:bCs w:val="0"/>
        </w:rPr>
        <w:t>年内，当公司股票连续</w:t>
      </w:r>
      <w:r>
        <w:rPr>
          <w:rFonts w:hint="eastAsia"/>
          <w:bCs w:val="0"/>
        </w:rPr>
        <w:t>20</w:t>
      </w:r>
      <w:r>
        <w:rPr>
          <w:rFonts w:hint="eastAsia"/>
          <w:bCs w:val="0"/>
        </w:rPr>
        <w:t>个交易日的收盘价均低于公司最近一期经审计的每股净资产时，应实施相关稳定股价的措施。</w:t>
      </w:r>
    </w:p>
    <w:p w:rsidR="00156DD6" w:rsidRDefault="00D51F5F">
      <w:pPr>
        <w:widowControl w:val="0"/>
        <w:spacing w:line="360" w:lineRule="exact"/>
        <w:ind w:firstLineChars="200" w:firstLine="420"/>
        <w:jc w:val="both"/>
        <w:rPr>
          <w:bCs w:val="0"/>
        </w:rPr>
      </w:pPr>
      <w:r>
        <w:rPr>
          <w:rFonts w:hint="eastAsia"/>
          <w:bCs w:val="0"/>
        </w:rPr>
        <w:t>公司将提示及督促公司的控股股东、董事、高级管理人员（包括公司现任董事、高级管理人员，以及在本预案承诺签署时尚未就任的或者未来新选举或聘任的董事、高级管理人员）严格履行在公司首次公开发行股票并上市时公司、控股股东、董事、高级管理人员已作</w:t>
      </w:r>
      <w:r>
        <w:rPr>
          <w:rFonts w:hint="eastAsia"/>
          <w:bCs w:val="0"/>
        </w:rPr>
        <w:t>出的关于股价稳定措施的相应承诺。本公司将通过合法自有资金履行股份回购义务，同时保证回购结果不会导致本公司的股权分布不符合上市条件。</w:t>
      </w:r>
    </w:p>
    <w:p w:rsidR="00156DD6" w:rsidRDefault="00D51F5F">
      <w:pPr>
        <w:widowControl w:val="0"/>
        <w:spacing w:line="360" w:lineRule="exact"/>
        <w:ind w:firstLineChars="200" w:firstLine="420"/>
        <w:jc w:val="both"/>
        <w:rPr>
          <w:bCs w:val="0"/>
        </w:rPr>
      </w:pPr>
      <w:r>
        <w:rPr>
          <w:rFonts w:hint="eastAsia"/>
          <w:bCs w:val="0"/>
        </w:rPr>
        <w:t>若公司违反上市后三年内稳定股价预案中的承诺，则公司应：</w:t>
      </w:r>
      <w:r>
        <w:rPr>
          <w:rFonts w:hint="eastAsia"/>
          <w:bCs w:val="0"/>
        </w:rPr>
        <w:t>(1)</w:t>
      </w:r>
      <w:r>
        <w:rPr>
          <w:rFonts w:hint="eastAsia"/>
          <w:bCs w:val="0"/>
        </w:rPr>
        <w:t>在公司股东大会及中国证监会指定媒体上公开说明未履行承诺的具体原因并向股东和社会公众投资者道歉，并提出补充承诺或替代承诺，以尽可能保护投资者的权益；</w:t>
      </w:r>
      <w:r>
        <w:rPr>
          <w:rFonts w:hint="eastAsia"/>
          <w:bCs w:val="0"/>
        </w:rPr>
        <w:t>(2)</w:t>
      </w:r>
      <w:r>
        <w:rPr>
          <w:rFonts w:hint="eastAsia"/>
          <w:bCs w:val="0"/>
        </w:rPr>
        <w:t>因未能履行该项承诺造成投资者损失的，公司将依法向投资者进行赔偿。”</w:t>
      </w:r>
    </w:p>
    <w:p w:rsidR="00156DD6" w:rsidRDefault="00D51F5F">
      <w:pPr>
        <w:widowControl w:val="0"/>
        <w:spacing w:line="360" w:lineRule="exact"/>
        <w:ind w:firstLineChars="200" w:firstLine="420"/>
        <w:jc w:val="both"/>
        <w:rPr>
          <w:bCs w:val="0"/>
        </w:rPr>
      </w:pPr>
      <w:r>
        <w:rPr>
          <w:rFonts w:hint="eastAsia"/>
          <w:bCs w:val="0"/>
        </w:rPr>
        <w:t>2</w:t>
      </w:r>
      <w:r>
        <w:rPr>
          <w:rFonts w:hint="eastAsia"/>
          <w:bCs w:val="0"/>
        </w:rPr>
        <w:t>、控股股东承诺</w:t>
      </w:r>
    </w:p>
    <w:p w:rsidR="00156DD6" w:rsidRDefault="00D51F5F">
      <w:pPr>
        <w:widowControl w:val="0"/>
        <w:spacing w:line="360" w:lineRule="exact"/>
        <w:ind w:firstLineChars="200" w:firstLine="420"/>
        <w:jc w:val="both"/>
        <w:rPr>
          <w:bCs w:val="0"/>
        </w:rPr>
      </w:pPr>
      <w:r>
        <w:rPr>
          <w:rFonts w:hint="eastAsia"/>
          <w:bCs w:val="0"/>
        </w:rPr>
        <w:t>“自公司股票上市之日起</w:t>
      </w:r>
      <w:r>
        <w:rPr>
          <w:rFonts w:hint="eastAsia"/>
          <w:bCs w:val="0"/>
        </w:rPr>
        <w:t>3</w:t>
      </w:r>
      <w:r>
        <w:rPr>
          <w:rFonts w:hint="eastAsia"/>
          <w:bCs w:val="0"/>
        </w:rPr>
        <w:t>年内，当公司股票连续</w:t>
      </w:r>
      <w:r>
        <w:rPr>
          <w:rFonts w:hint="eastAsia"/>
          <w:bCs w:val="0"/>
        </w:rPr>
        <w:t>20</w:t>
      </w:r>
      <w:r>
        <w:rPr>
          <w:rFonts w:hint="eastAsia"/>
          <w:bCs w:val="0"/>
        </w:rPr>
        <w:t>个交易日的收盘价均低于公司最近一期</w:t>
      </w:r>
      <w:r>
        <w:rPr>
          <w:rFonts w:hint="eastAsia"/>
          <w:bCs w:val="0"/>
        </w:rPr>
        <w:t>经审计的每股净资产时，且因</w:t>
      </w:r>
      <w:r>
        <w:rPr>
          <w:rFonts w:hint="eastAsia"/>
          <w:bCs w:val="0"/>
        </w:rPr>
        <w:t>(1)</w:t>
      </w:r>
      <w:r>
        <w:rPr>
          <w:rFonts w:hint="eastAsia"/>
          <w:bCs w:val="0"/>
        </w:rPr>
        <w:t>公司无法实施回购股票或回购股票议案未获得公司股东大会批准；（</w:t>
      </w:r>
      <w:r>
        <w:rPr>
          <w:rFonts w:hint="eastAsia"/>
          <w:bCs w:val="0"/>
        </w:rPr>
        <w:t>2</w:t>
      </w:r>
      <w:r>
        <w:rPr>
          <w:rFonts w:hint="eastAsia"/>
          <w:bCs w:val="0"/>
        </w:rPr>
        <w:t>）公司虽实施股票回购计划但仍未满足“公司股票连续</w:t>
      </w:r>
      <w:r>
        <w:rPr>
          <w:rFonts w:hint="eastAsia"/>
          <w:bCs w:val="0"/>
        </w:rPr>
        <w:t>3</w:t>
      </w:r>
      <w:r>
        <w:rPr>
          <w:rFonts w:hint="eastAsia"/>
          <w:bCs w:val="0"/>
        </w:rPr>
        <w:t>个交易日的收盘价均已高于最近一期经审计的每股净资产”之条件时，控股股东将在符合《上市公司收购管理办法》及中国证监会相关规定的前提下增持公司股票。</w:t>
      </w:r>
    </w:p>
    <w:p w:rsidR="00156DD6" w:rsidRDefault="00D51F5F">
      <w:pPr>
        <w:widowControl w:val="0"/>
        <w:spacing w:line="360" w:lineRule="exact"/>
        <w:ind w:firstLineChars="200" w:firstLine="420"/>
        <w:jc w:val="both"/>
        <w:rPr>
          <w:bCs w:val="0"/>
        </w:rPr>
      </w:pPr>
      <w:r>
        <w:rPr>
          <w:rFonts w:hint="eastAsia"/>
          <w:bCs w:val="0"/>
        </w:rPr>
        <w:lastRenderedPageBreak/>
        <w:t>若本人</w:t>
      </w:r>
      <w:r>
        <w:rPr>
          <w:rFonts w:hint="eastAsia"/>
          <w:bCs w:val="0"/>
        </w:rPr>
        <w:t>/</w:t>
      </w:r>
      <w:r>
        <w:rPr>
          <w:rFonts w:hint="eastAsia"/>
          <w:bCs w:val="0"/>
        </w:rPr>
        <w:t>本公司违反上市后三年内稳定股价预案中的承诺，则控股股东应：（</w:t>
      </w:r>
      <w:r>
        <w:rPr>
          <w:rFonts w:hint="eastAsia"/>
          <w:bCs w:val="0"/>
        </w:rPr>
        <w:t>1</w:t>
      </w:r>
      <w:r>
        <w:rPr>
          <w:rFonts w:hint="eastAsia"/>
          <w:bCs w:val="0"/>
        </w:rPr>
        <w:t>）在公司股东大会及中国证监会指定媒体上公开说明未履行承诺的具体原因并向其他股东和社会公众投资者道歉，并提出补充承诺或者替代承诺，以尽可能保护投资者的权益</w:t>
      </w:r>
      <w:r>
        <w:rPr>
          <w:rFonts w:hint="eastAsia"/>
          <w:bCs w:val="0"/>
        </w:rPr>
        <w:t>；（</w:t>
      </w:r>
      <w:r>
        <w:rPr>
          <w:rFonts w:hint="eastAsia"/>
          <w:bCs w:val="0"/>
        </w:rPr>
        <w:t>2</w:t>
      </w:r>
      <w:r>
        <w:rPr>
          <w:rFonts w:hint="eastAsia"/>
          <w:bCs w:val="0"/>
        </w:rPr>
        <w:t>）控股股东所持限售股锁定期自期满后延长六个月，并将其在最近一个会计年度从公司分得的税后现金股利返还给公司。如未按期返还，公司可以从之后发放的现金股利中扣发，直至扣减金额累计达到应履行稳定股价义务的最近一个会计年度从公司已分得的税后现金股利总额。”</w:t>
      </w:r>
    </w:p>
    <w:p w:rsidR="00156DD6" w:rsidRDefault="00D51F5F">
      <w:pPr>
        <w:widowControl w:val="0"/>
        <w:spacing w:line="360" w:lineRule="exact"/>
        <w:ind w:firstLineChars="200" w:firstLine="420"/>
        <w:jc w:val="both"/>
        <w:rPr>
          <w:bCs w:val="0"/>
        </w:rPr>
      </w:pPr>
      <w:r>
        <w:rPr>
          <w:rFonts w:hint="eastAsia"/>
          <w:bCs w:val="0"/>
        </w:rPr>
        <w:t>3</w:t>
      </w:r>
      <w:r>
        <w:rPr>
          <w:rFonts w:hint="eastAsia"/>
          <w:bCs w:val="0"/>
        </w:rPr>
        <w:t>、董事（不含独立董事，下同）、高级管理人员承诺：</w:t>
      </w:r>
    </w:p>
    <w:p w:rsidR="00156DD6" w:rsidRDefault="00D51F5F">
      <w:pPr>
        <w:widowControl w:val="0"/>
        <w:spacing w:line="360" w:lineRule="exact"/>
        <w:ind w:firstLineChars="200" w:firstLine="420"/>
        <w:jc w:val="both"/>
        <w:rPr>
          <w:bCs w:val="0"/>
        </w:rPr>
      </w:pPr>
      <w:r>
        <w:rPr>
          <w:rFonts w:hint="eastAsia"/>
          <w:bCs w:val="0"/>
        </w:rPr>
        <w:t>“在公司控股股东增持公司股票方案实施完成后，如公司股票仍未满足“公司股票连续</w:t>
      </w:r>
      <w:r>
        <w:rPr>
          <w:rFonts w:hint="eastAsia"/>
          <w:bCs w:val="0"/>
        </w:rPr>
        <w:t>3</w:t>
      </w:r>
      <w:r>
        <w:rPr>
          <w:rFonts w:hint="eastAsia"/>
          <w:bCs w:val="0"/>
        </w:rPr>
        <w:t>个交易日的收盘价均已高于公司最近一期经审计的每股净资产”之条件，并且董事和高级管理人员增持公司股票不会致使公司将不满足法定上市条件或促使控股股东履行要约收购义务时，董事或高级管理人员将在控股股东增持公司股票方案实施完成后</w:t>
      </w:r>
      <w:r>
        <w:rPr>
          <w:rFonts w:hint="eastAsia"/>
          <w:bCs w:val="0"/>
        </w:rPr>
        <w:t>90</w:t>
      </w:r>
      <w:r>
        <w:rPr>
          <w:rFonts w:hint="eastAsia"/>
          <w:bCs w:val="0"/>
        </w:rPr>
        <w:t>日内增持公司股票。</w:t>
      </w:r>
    </w:p>
    <w:p w:rsidR="00156DD6" w:rsidRDefault="00D51F5F">
      <w:pPr>
        <w:widowControl w:val="0"/>
        <w:spacing w:line="360" w:lineRule="exact"/>
        <w:ind w:firstLineChars="200" w:firstLine="420"/>
        <w:jc w:val="both"/>
        <w:rPr>
          <w:bCs w:val="0"/>
        </w:rPr>
      </w:pPr>
      <w:r>
        <w:rPr>
          <w:rFonts w:hint="eastAsia"/>
          <w:bCs w:val="0"/>
        </w:rPr>
        <w:t>在公司控股股东增持公司股票方案实施完成后，如公司股票仍未满足“公司股票连续</w:t>
      </w:r>
      <w:r>
        <w:rPr>
          <w:rFonts w:hint="eastAsia"/>
          <w:bCs w:val="0"/>
        </w:rPr>
        <w:t>3</w:t>
      </w:r>
      <w:r>
        <w:rPr>
          <w:rFonts w:hint="eastAsia"/>
          <w:bCs w:val="0"/>
        </w:rPr>
        <w:t>个交易日的收盘价均已高于公司最近一期经审计的每股净资产”之条件，并且董事和高级管理人员增持公司股票不会致使公司将不</w:t>
      </w:r>
      <w:r>
        <w:rPr>
          <w:rFonts w:hint="eastAsia"/>
          <w:bCs w:val="0"/>
        </w:rPr>
        <w:t>满足法定上市条件或促使控股股东履行要约收购义务时，董事或高级管理人员将在控股股东增持公司股票方案实施完成后</w:t>
      </w:r>
      <w:r>
        <w:rPr>
          <w:rFonts w:hint="eastAsia"/>
          <w:bCs w:val="0"/>
        </w:rPr>
        <w:t>90</w:t>
      </w:r>
      <w:r>
        <w:rPr>
          <w:rFonts w:hint="eastAsia"/>
          <w:bCs w:val="0"/>
        </w:rPr>
        <w:t>日内增持公司股票。</w:t>
      </w:r>
    </w:p>
    <w:p w:rsidR="00156DD6" w:rsidRDefault="00D51F5F">
      <w:pPr>
        <w:widowControl w:val="0"/>
        <w:spacing w:line="360" w:lineRule="exact"/>
        <w:ind w:firstLineChars="200" w:firstLine="420"/>
        <w:jc w:val="both"/>
        <w:rPr>
          <w:bCs w:val="0"/>
        </w:rPr>
      </w:pPr>
      <w:r>
        <w:rPr>
          <w:rFonts w:hint="eastAsia"/>
          <w:bCs w:val="0"/>
        </w:rPr>
        <w:t>若本人违反上市后三年内稳定股价预案中的承诺，则应：（</w:t>
      </w:r>
      <w:r>
        <w:rPr>
          <w:rFonts w:hint="eastAsia"/>
          <w:bCs w:val="0"/>
        </w:rPr>
        <w:t>1</w:t>
      </w:r>
      <w:r>
        <w:rPr>
          <w:rFonts w:hint="eastAsia"/>
          <w:bCs w:val="0"/>
        </w:rPr>
        <w:t>）在公司股东大会及中国证监会指定媒体上公开说明未履行承诺的具体原因并向股东和社会公众投资者道歉，并提出补充承诺或替代承诺，以尽可能保护投资者的权益；（</w:t>
      </w:r>
      <w:r>
        <w:rPr>
          <w:rFonts w:hint="eastAsia"/>
          <w:bCs w:val="0"/>
        </w:rPr>
        <w:t>2</w:t>
      </w:r>
      <w:r>
        <w:rPr>
          <w:rFonts w:hint="eastAsia"/>
          <w:bCs w:val="0"/>
        </w:rPr>
        <w:t>）公司应当自本人未能履行稳定股价承诺当月起，扣减本人每月税后薪酬的</w:t>
      </w:r>
      <w:r>
        <w:rPr>
          <w:rFonts w:hint="eastAsia"/>
          <w:bCs w:val="0"/>
        </w:rPr>
        <w:t>20%</w:t>
      </w:r>
      <w:r>
        <w:rPr>
          <w:rFonts w:hint="eastAsia"/>
          <w:bCs w:val="0"/>
        </w:rPr>
        <w:t>，直至累计扣减金额达到应履行稳定股价义务的最近一个会计年度从公司已获得税后薪酬的</w:t>
      </w:r>
      <w:r>
        <w:rPr>
          <w:rFonts w:hint="eastAsia"/>
          <w:bCs w:val="0"/>
        </w:rPr>
        <w:t>20%</w:t>
      </w:r>
      <w:r>
        <w:rPr>
          <w:rFonts w:hint="eastAsia"/>
          <w:bCs w:val="0"/>
        </w:rPr>
        <w:t>。”</w:t>
      </w:r>
    </w:p>
    <w:p w:rsidR="00156DD6" w:rsidRDefault="00156DD6">
      <w:pPr>
        <w:widowControl w:val="0"/>
        <w:spacing w:line="360" w:lineRule="exact"/>
        <w:ind w:firstLineChars="200" w:firstLine="420"/>
        <w:jc w:val="both"/>
        <w:rPr>
          <w:bCs w:val="0"/>
        </w:rPr>
      </w:pPr>
    </w:p>
    <w:p w:rsidR="00156DD6" w:rsidRDefault="00D51F5F">
      <w:pPr>
        <w:widowControl w:val="0"/>
        <w:spacing w:line="360" w:lineRule="exact"/>
        <w:ind w:firstLineChars="200" w:firstLine="420"/>
        <w:jc w:val="both"/>
        <w:rPr>
          <w:bCs w:val="0"/>
        </w:rPr>
      </w:pPr>
      <w:r>
        <w:rPr>
          <w:rFonts w:hint="eastAsia"/>
          <w:bCs w:val="0"/>
        </w:rPr>
        <w:t>注</w:t>
      </w:r>
      <w:r>
        <w:rPr>
          <w:rFonts w:hint="eastAsia"/>
          <w:bCs w:val="0"/>
        </w:rPr>
        <w:t>1</w:t>
      </w:r>
      <w:r>
        <w:rPr>
          <w:bCs w:val="0"/>
        </w:rPr>
        <w:t>0</w:t>
      </w:r>
      <w:r>
        <w:rPr>
          <w:rFonts w:hint="eastAsia"/>
          <w:bCs w:val="0"/>
        </w:rPr>
        <w:t>：关</w:t>
      </w:r>
      <w:r>
        <w:rPr>
          <w:rFonts w:hint="eastAsia"/>
          <w:bCs w:val="0"/>
        </w:rPr>
        <w:t>于自愿不减持公司股份的承诺</w:t>
      </w:r>
    </w:p>
    <w:p w:rsidR="00156DD6" w:rsidRDefault="00D51F5F">
      <w:pPr>
        <w:widowControl w:val="0"/>
        <w:spacing w:line="360" w:lineRule="exact"/>
        <w:ind w:firstLineChars="200" w:firstLine="420"/>
        <w:jc w:val="both"/>
        <w:rPr>
          <w:bCs w:val="0"/>
        </w:rPr>
      </w:pPr>
      <w:r>
        <w:rPr>
          <w:rFonts w:hint="eastAsia"/>
          <w:bCs w:val="0"/>
        </w:rPr>
        <w:t>公司实际控制人杨泽民先生、秦惠兰女士、杨秦女士、杨耀先生于</w:t>
      </w:r>
      <w:r>
        <w:rPr>
          <w:rFonts w:hint="eastAsia"/>
          <w:bCs w:val="0"/>
        </w:rPr>
        <w:t>2</w:t>
      </w:r>
      <w:r>
        <w:rPr>
          <w:bCs w:val="0"/>
        </w:rPr>
        <w:t>025</w:t>
      </w:r>
      <w:r>
        <w:rPr>
          <w:rFonts w:hint="eastAsia"/>
          <w:bCs w:val="0"/>
        </w:rPr>
        <w:t>年</w:t>
      </w:r>
      <w:r>
        <w:rPr>
          <w:rFonts w:hint="eastAsia"/>
          <w:bCs w:val="0"/>
        </w:rPr>
        <w:t>4</w:t>
      </w:r>
      <w:r>
        <w:rPr>
          <w:rFonts w:hint="eastAsia"/>
          <w:bCs w:val="0"/>
        </w:rPr>
        <w:t>月共同承诺：</w:t>
      </w:r>
    </w:p>
    <w:p w:rsidR="00156DD6" w:rsidRDefault="00D51F5F">
      <w:pPr>
        <w:widowControl w:val="0"/>
        <w:spacing w:line="360" w:lineRule="exact"/>
        <w:ind w:firstLineChars="200" w:firstLine="420"/>
        <w:jc w:val="both"/>
        <w:rPr>
          <w:bCs w:val="0"/>
        </w:rPr>
      </w:pPr>
      <w:r>
        <w:rPr>
          <w:rFonts w:hint="eastAsia"/>
          <w:bCs w:val="0"/>
        </w:rPr>
        <w:t>“基于对公司未来发展的信心，同时为增强广大投资者信心，切实维护投资者权益和资本市场的稳定，杨泽民先生、秦惠兰女士、杨秦女士、杨耀先生自愿承诺自</w:t>
      </w:r>
      <w:r>
        <w:rPr>
          <w:bCs w:val="0"/>
        </w:rPr>
        <w:t>2025</w:t>
      </w:r>
      <w:r>
        <w:rPr>
          <w:bCs w:val="0"/>
        </w:rPr>
        <w:t>年</w:t>
      </w:r>
      <w:r>
        <w:rPr>
          <w:bCs w:val="0"/>
        </w:rPr>
        <w:t>4</w:t>
      </w:r>
      <w:r>
        <w:rPr>
          <w:bCs w:val="0"/>
        </w:rPr>
        <w:t>月</w:t>
      </w:r>
      <w:r>
        <w:rPr>
          <w:bCs w:val="0"/>
        </w:rPr>
        <w:t>28</w:t>
      </w:r>
      <w:r>
        <w:rPr>
          <w:bCs w:val="0"/>
        </w:rPr>
        <w:t>日起</w:t>
      </w:r>
      <w:r>
        <w:rPr>
          <w:bCs w:val="0"/>
        </w:rPr>
        <w:t>12</w:t>
      </w:r>
      <w:r>
        <w:rPr>
          <w:bCs w:val="0"/>
        </w:rPr>
        <w:t>个月内不通过二级市场集中竞价、大宗交易的方式减持所持有的公司股份。在上述承诺期间内，如发生资本公积转增股本、派送股票红利、配股等产生新增股份，亦遵守该不减持承诺。</w:t>
      </w:r>
      <w:r>
        <w:rPr>
          <w:rFonts w:hint="eastAsia"/>
          <w:bCs w:val="0"/>
        </w:rPr>
        <w:t>”</w:t>
      </w:r>
    </w:p>
    <w:bookmarkEnd w:id="82"/>
    <w:p w:rsidR="00156DD6" w:rsidRDefault="00D51F5F">
      <w:pPr>
        <w:pStyle w:val="2"/>
        <w:numPr>
          <w:ilvl w:val="0"/>
          <w:numId w:val="17"/>
        </w:numPr>
        <w:tabs>
          <w:tab w:val="left" w:pos="426"/>
        </w:tabs>
        <w:jc w:val="left"/>
        <w:rPr>
          <w:rFonts w:ascii="宋体" w:hAnsi="宋体"/>
          <w:color w:val="000000" w:themeColor="text1"/>
        </w:rPr>
      </w:pPr>
      <w:r>
        <w:rPr>
          <w:rFonts w:ascii="宋体" w:hAnsi="宋体" w:hint="eastAsia"/>
          <w:color w:val="000000" w:themeColor="text1"/>
        </w:rPr>
        <w:t>报告期内控股股东及其他关联方非经营性占用资金情况</w:t>
      </w:r>
    </w:p>
    <w:sdt>
      <w:sdtPr>
        <w:rPr>
          <w:color w:val="000000" w:themeColor="text1"/>
        </w:rPr>
        <w:alias w:val="是否适用：资金被占用情况及清欠进展情况[双击切换]"/>
        <w:tag w:val="_GBC_ae82394ae54d49eba71e8d8d6447c499"/>
        <w:id w:val="70700381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w:instrText>
          </w:r>
          <w:r>
            <w:rPr>
              <w:color w:val="000000" w:themeColor="text1"/>
            </w:rPr>
            <w:instrText>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r>
        <w:rPr>
          <w:rFonts w:ascii="宋体" w:hAnsi="宋体" w:hint="eastAsia"/>
          <w:color w:val="000000" w:themeColor="text1"/>
        </w:rPr>
        <w:t>违规担保情况</w:t>
      </w:r>
    </w:p>
    <w:sdt>
      <w:sdtPr>
        <w:rPr>
          <w:color w:val="000000" w:themeColor="text1"/>
        </w:rPr>
        <w:alias w:val="是否适用：违规担保情况[双击切换]"/>
        <w:tag w:val="_GBC_725722c7a37d40c28caf80b13d948933"/>
        <w:id w:val="19503557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156DD6">
      <w:pPr>
        <w:rPr>
          <w:color w:val="000000" w:themeColor="text1"/>
        </w:rPr>
        <w:sectPr w:rsidR="00156DD6">
          <w:pgSz w:w="16838" w:h="11906" w:orient="landscape"/>
          <w:pgMar w:top="1797" w:right="1525" w:bottom="1276" w:left="1440" w:header="851" w:footer="992" w:gutter="0"/>
          <w:cols w:space="425"/>
          <w:docGrid w:linePitch="312"/>
        </w:sectPr>
      </w:pPr>
      <w:bookmarkStart w:id="85" w:name="_Hlk74646368"/>
      <w:bookmarkEnd w:id="85"/>
    </w:p>
    <w:p w:rsidR="00156DD6" w:rsidRDefault="00D51F5F">
      <w:pPr>
        <w:pStyle w:val="2"/>
        <w:numPr>
          <w:ilvl w:val="0"/>
          <w:numId w:val="17"/>
        </w:numPr>
        <w:tabs>
          <w:tab w:val="left" w:pos="426"/>
        </w:tabs>
        <w:jc w:val="left"/>
        <w:rPr>
          <w:rFonts w:ascii="宋体" w:hAnsi="宋体"/>
          <w:color w:val="000000" w:themeColor="text1"/>
        </w:rPr>
      </w:pPr>
      <w:r>
        <w:rPr>
          <w:rFonts w:ascii="宋体" w:hAnsi="宋体" w:hint="eastAsia"/>
          <w:color w:val="000000" w:themeColor="text1"/>
        </w:rPr>
        <w:lastRenderedPageBreak/>
        <w:t>半年报审计情况</w:t>
      </w:r>
    </w:p>
    <w:sdt>
      <w:sdtPr>
        <w:rPr>
          <w:color w:val="000000" w:themeColor="text1"/>
        </w:rPr>
        <w:alias w:val="是否适用：半年报审计情况  [双击切换]"/>
        <w:tag w:val="_GBC_b2faf86be7fd4060a2a7ad4018aaf033"/>
        <w:id w:val="45151820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r>
        <w:rPr>
          <w:rFonts w:ascii="宋体" w:hAnsi="宋体" w:hint="eastAsia"/>
          <w:color w:val="000000" w:themeColor="text1"/>
        </w:rPr>
        <w:t>上年年度报告非标准审计意见涉及事项的变化及处理情况</w:t>
      </w:r>
    </w:p>
    <w:sdt>
      <w:sdtPr>
        <w:rPr>
          <w:rFonts w:hint="eastAsia"/>
          <w:color w:val="000000" w:themeColor="text1"/>
        </w:rPr>
        <w:alias w:val="是否适用：公司对上年年度报告中的财务报告被注册会计师出具“非标准审计报告”的说明 [双击切换]"/>
        <w:tag w:val="_GBC_06e0811c47124b6da79369103f766350"/>
        <w:id w:val="14293820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r>
        <w:rPr>
          <w:rFonts w:ascii="宋体" w:hAnsi="宋体" w:hint="eastAsia"/>
          <w:color w:val="000000" w:themeColor="text1"/>
        </w:rPr>
        <w:t>破产重整相关事项</w:t>
      </w:r>
    </w:p>
    <w:sdt>
      <w:sdtPr>
        <w:rPr>
          <w:rFonts w:hint="eastAsia"/>
          <w:color w:val="000000" w:themeColor="text1"/>
        </w:rPr>
        <w:alias w:val="是否适用：破产重整相关事项[双击切换]"/>
        <w:tag w:val="_GBC_c4fc8890d63b44b19353d2188a5bce59"/>
        <w:id w:val="-11653406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bookmarkStart w:id="86" w:name="OLE_LINK35"/>
      <w:r>
        <w:rPr>
          <w:rFonts w:ascii="宋体" w:hAnsi="宋体" w:hint="eastAsia"/>
          <w:color w:val="000000" w:themeColor="text1"/>
        </w:rPr>
        <w:t>重大诉讼、仲裁事项</w:t>
      </w:r>
    </w:p>
    <w:bookmarkEnd w:id="86" w:displacedByCustomXml="next"/>
    <w:sdt>
      <w:sdtPr>
        <w:rPr>
          <w:rFonts w:asciiTheme="minorEastAsia" w:eastAsiaTheme="minorEastAsia" w:hAnsiTheme="minorEastAsia"/>
          <w:color w:val="000000" w:themeColor="text1"/>
        </w:rPr>
        <w:alias w:val="本年度公司有无重大诉讼、仲裁事项"/>
        <w:tag w:val="_GBC_0fcf1cd2d0814185bde747855edf5227"/>
        <w:id w:val="-1648432459"/>
        <w:placeholder>
          <w:docPart w:val="GBC22222222222222222222222222222"/>
        </w:placeholder>
      </w:sdtPr>
      <w:sdtEndPr/>
      <w:sdtContent>
        <w:p w:rsidR="00156DD6" w:rsidRDefault="00D51F5F">
          <w:r>
            <w:rPr>
              <w:rFonts w:asciiTheme="minorEastAsia" w:eastAsiaTheme="minorEastAsia" w:hAnsiTheme="minorEastAsia"/>
              <w:color w:val="000000" w:themeColor="text1"/>
            </w:rPr>
            <w:fldChar w:fldCharType="begin"/>
          </w:r>
          <w:r>
            <w:rPr>
              <w:rFonts w:asciiTheme="minorEastAsia" w:eastAsiaTheme="minorEastAsia" w:hAnsiTheme="minorEastAsia" w:hint="eastAsia"/>
              <w:color w:val="000000" w:themeColor="text1"/>
            </w:rPr>
            <w:instrText xml:space="preserve"> MACROBUT</w:instrText>
          </w:r>
          <w:r>
            <w:rPr>
              <w:rFonts w:asciiTheme="minorEastAsia" w:eastAsiaTheme="minorEastAsia" w:hAnsiTheme="minorEastAsia" w:hint="eastAsia"/>
              <w:color w:val="000000" w:themeColor="text1"/>
            </w:rPr>
            <w:instrText xml:space="preserve">TON  SnrToggleCheckbox </w:instrText>
          </w:r>
          <w:r>
            <w:rPr>
              <w:rFonts w:asciiTheme="minorEastAsia" w:eastAsiaTheme="minorEastAsia" w:hAnsiTheme="minorEastAsia" w:hint="eastAsia"/>
              <w:color w:val="000000" w:themeColor="text1"/>
            </w:rPr>
            <w:instrText>□本报告期公司有重大诉讼、仲裁事项</w:instrText>
          </w:r>
          <w:r>
            <w:rPr>
              <w:rFonts w:asciiTheme="minorEastAsia" w:eastAsiaTheme="minorEastAsia" w:hAnsiTheme="minorEastAsia" w:hint="eastAsia"/>
              <w:color w:val="000000" w:themeColor="text1"/>
            </w:rPr>
            <w:instrText xml:space="preserve"> </w:instrText>
          </w:r>
          <w:r>
            <w:rPr>
              <w:rFonts w:asciiTheme="minorEastAsia" w:eastAsiaTheme="minorEastAsia" w:hAnsiTheme="minorEastAsia"/>
              <w:color w:val="000000" w:themeColor="text1"/>
            </w:rPr>
            <w:fldChar w:fldCharType="end"/>
          </w:r>
          <w:r>
            <w:rPr>
              <w:rFonts w:asciiTheme="minorEastAsia" w:eastAsiaTheme="minorEastAsia" w:hAnsiTheme="minorEastAsia"/>
              <w:color w:val="000000" w:themeColor="text1"/>
            </w:rPr>
            <w:fldChar w:fldCharType="begin"/>
          </w:r>
          <w:r>
            <w:rPr>
              <w:rFonts w:asciiTheme="minorEastAsia" w:eastAsiaTheme="minorEastAsia" w:hAnsiTheme="minorEastAsia" w:hint="eastAsia"/>
              <w:color w:val="000000" w:themeColor="text1"/>
            </w:rPr>
            <w:instrText xml:space="preserve"> MACROBUTTON  SnrToggleCheckbox </w:instrText>
          </w:r>
          <w:r>
            <w:rPr>
              <w:rFonts w:asciiTheme="minorEastAsia" w:eastAsiaTheme="minorEastAsia" w:hAnsiTheme="minorEastAsia" w:hint="eastAsia"/>
              <w:color w:val="000000" w:themeColor="text1"/>
            </w:rPr>
            <w:instrText>√本报告期公司无重大诉讼、仲裁事项</w:instrText>
          </w:r>
          <w:r>
            <w:rPr>
              <w:rFonts w:asciiTheme="minorEastAsia" w:eastAsiaTheme="minorEastAsia" w:hAnsiTheme="minorEastAsia" w:hint="eastAsia"/>
              <w:color w:val="000000" w:themeColor="text1"/>
            </w:rPr>
            <w:instrText xml:space="preserve"> </w:instrText>
          </w:r>
          <w:r>
            <w:rPr>
              <w:rFonts w:asciiTheme="minorEastAsia" w:eastAsiaTheme="minorEastAsia" w:hAnsiTheme="minorEastAsia"/>
              <w:color w:val="000000" w:themeColor="text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r>
        <w:rPr>
          <w:rFonts w:ascii="宋体" w:hAnsi="宋体" w:hint="eastAsia"/>
          <w:color w:val="000000" w:themeColor="text1"/>
        </w:rPr>
        <w:t>上市公司及其董事</w:t>
      </w:r>
      <w:sdt>
        <w:sdtPr>
          <w:tag w:val="_PLD_fa9d0d62b2ad4d128fa74b3ce6ac509f"/>
          <w:id w:val="-1648660004"/>
        </w:sdtPr>
        <w:sdtEndPr/>
        <w:sdtContent>
          <w:r>
            <w:rPr>
              <w:rFonts w:ascii="宋体" w:hAnsi="宋体" w:hint="eastAsia"/>
              <w:color w:val="000000" w:themeColor="text1"/>
            </w:rPr>
            <w:t>、监事</w:t>
          </w:r>
        </w:sdtContent>
      </w:sdt>
      <w:r>
        <w:rPr>
          <w:rFonts w:ascii="宋体" w:hAnsi="宋体" w:hint="eastAsia"/>
          <w:color w:val="000000" w:themeColor="text1"/>
        </w:rPr>
        <w:t>、高级管理人员、控股股东、实际控制人涉嫌违法违规、受到处罚及整改情况</w:t>
      </w:r>
    </w:p>
    <w:sdt>
      <w:sdtPr>
        <w:rPr>
          <w:rFonts w:hint="eastAsia"/>
          <w:color w:val="000000" w:themeColor="text1"/>
        </w:rPr>
        <w:alias w:val="是否适用：上市公司及其董事、监事、高级管理人员、持有5%以上股份的股东、实际控制人、收购人处罚及整改情况[双击切换]"/>
        <w:tag w:val="_GBC_05b097ae59254d13916df227f563a3ed"/>
        <w:id w:val="154109419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r>
        <w:rPr>
          <w:rFonts w:ascii="宋体" w:hAnsi="宋体" w:hint="eastAsia"/>
          <w:color w:val="000000" w:themeColor="text1"/>
        </w:rPr>
        <w:t>报告期内公司及其控股股东、实际控制人诚信状况的说明</w:t>
      </w:r>
    </w:p>
    <w:sdt>
      <w:sdtPr>
        <w:rPr>
          <w:rFonts w:hint="eastAsia"/>
          <w:color w:val="000000" w:themeColor="text1"/>
        </w:rPr>
        <w:alias w:val="是否适用：报告期内公司及其控股股东、实际控制人诚信状况的说明[双击切换]"/>
        <w:tag w:val="_GBC_650ef1e21808426d806ee2024dd14590"/>
        <w:id w:val="-15399178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r>
        <w:rPr>
          <w:rFonts w:ascii="宋体" w:hAnsi="宋体" w:hint="eastAsia"/>
          <w:color w:val="000000" w:themeColor="text1"/>
        </w:rPr>
        <w:t>重大关联交易</w:t>
      </w:r>
    </w:p>
    <w:p w:rsidR="00156DD6" w:rsidRDefault="00D51F5F">
      <w:pPr>
        <w:pStyle w:val="TOC6"/>
        <w:numPr>
          <w:ilvl w:val="2"/>
          <w:numId w:val="4"/>
        </w:numPr>
        <w:rPr>
          <w:rFonts w:ascii="宋体" w:hAnsi="宋体"/>
          <w:color w:val="000000" w:themeColor="text1"/>
          <w:sz w:val="21"/>
          <w:szCs w:val="21"/>
        </w:rPr>
      </w:pPr>
      <w:r>
        <w:rPr>
          <w:rFonts w:ascii="宋体" w:hAnsi="宋体" w:hint="eastAsia"/>
          <w:color w:val="000000" w:themeColor="text1"/>
          <w:sz w:val="21"/>
          <w:szCs w:val="21"/>
        </w:rPr>
        <w:t>与日常经营相关的关联交易</w:t>
      </w:r>
    </w:p>
    <w:p w:rsidR="00156DD6" w:rsidRDefault="00D51F5F">
      <w:pPr>
        <w:pStyle w:val="4"/>
        <w:numPr>
          <w:ilvl w:val="2"/>
          <w:numId w:val="19"/>
        </w:numPr>
        <w:ind w:left="0" w:firstLine="0"/>
        <w:rPr>
          <w:rFonts w:ascii="宋体" w:hAnsi="宋体"/>
          <w:bCs/>
          <w:color w:val="000000" w:themeColor="text1"/>
        </w:rPr>
      </w:pPr>
      <w:r>
        <w:rPr>
          <w:rFonts w:ascii="宋体" w:hAnsi="宋体"/>
          <w:bCs/>
          <w:color w:val="000000" w:themeColor="text1"/>
        </w:rPr>
        <w:t>已在临时公告披露且后续实施无进展或变化的事项</w:t>
      </w:r>
    </w:p>
    <w:sdt>
      <w:sdtPr>
        <w:rPr>
          <w:color w:val="000000" w:themeColor="text1"/>
        </w:rPr>
        <w:alias w:val="是否适用：已在临时公告披露且后续实施无进展或变化的事项_与日常经营相关的关联交易[双击切换]"/>
        <w:tag w:val="_GBC_9cce66e2c46445bea6fd259dd8b5277c"/>
        <w:id w:val="154579899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af5"/>
        <w:tblW w:w="0" w:type="auto"/>
        <w:tblLook w:val="04A0" w:firstRow="1" w:lastRow="0" w:firstColumn="1" w:lastColumn="0" w:noHBand="0" w:noVBand="1"/>
      </w:tblPr>
      <w:tblGrid>
        <w:gridCol w:w="4408"/>
        <w:gridCol w:w="4415"/>
      </w:tblGrid>
      <w:tr w:rsidR="00156DD6">
        <w:sdt>
          <w:sdtPr>
            <w:tag w:val="_PLD_3978b66ad729485ab420902ac1d8641a"/>
            <w:id w:val="-2143868060"/>
          </w:sdtPr>
          <w:sdtEndPr/>
          <w:sdtContent>
            <w:tc>
              <w:tcPr>
                <w:tcW w:w="4408" w:type="dxa"/>
              </w:tcPr>
              <w:p w:rsidR="00156DD6" w:rsidRDefault="00D51F5F">
                <w:pPr>
                  <w:jc w:val="center"/>
                  <w:rPr>
                    <w:color w:val="000000" w:themeColor="text1"/>
                  </w:rPr>
                </w:pPr>
                <w:r>
                  <w:rPr>
                    <w:color w:val="000000" w:themeColor="text1"/>
                  </w:rPr>
                  <w:t>事项概述</w:t>
                </w:r>
              </w:p>
            </w:tc>
          </w:sdtContent>
        </w:sdt>
        <w:sdt>
          <w:sdtPr>
            <w:tag w:val="_PLD_28c260015cd145a7bdcdc3be1a2f9896"/>
            <w:id w:val="-139736261"/>
          </w:sdtPr>
          <w:sdtEndPr/>
          <w:sdtContent>
            <w:tc>
              <w:tcPr>
                <w:tcW w:w="4415" w:type="dxa"/>
              </w:tcPr>
              <w:p w:rsidR="00156DD6" w:rsidRDefault="00D51F5F">
                <w:pPr>
                  <w:jc w:val="center"/>
                  <w:rPr>
                    <w:color w:val="000000" w:themeColor="text1"/>
                  </w:rPr>
                </w:pPr>
                <w:r>
                  <w:rPr>
                    <w:color w:val="000000" w:themeColor="text1"/>
                  </w:rPr>
                  <w:t>查询索引</w:t>
                </w:r>
              </w:p>
            </w:tc>
          </w:sdtContent>
        </w:sdt>
      </w:tr>
      <w:tr w:rsidR="00156DD6">
        <w:tc>
          <w:tcPr>
            <w:tcW w:w="4408" w:type="dxa"/>
          </w:tcPr>
          <w:p w:rsidR="00156DD6" w:rsidRDefault="00D51F5F">
            <w:r>
              <w:rPr>
                <w:rFonts w:hint="eastAsia"/>
              </w:rPr>
              <w:t>深圳南海电气科技有限公司与望变万家</w:t>
            </w:r>
            <w:r>
              <w:t>(</w:t>
            </w:r>
            <w:r>
              <w:t>贵州</w:t>
            </w:r>
            <w:r>
              <w:t>)</w:t>
            </w:r>
            <w:r>
              <w:t>科技有限公司</w:t>
            </w:r>
            <w:r>
              <w:rPr>
                <w:rFonts w:hint="eastAsia"/>
              </w:rPr>
              <w:t>关联交易预计</w:t>
            </w:r>
          </w:p>
        </w:tc>
        <w:tc>
          <w:tcPr>
            <w:tcW w:w="4415" w:type="dxa"/>
          </w:tcPr>
          <w:p w:rsidR="00156DD6" w:rsidRDefault="00D51F5F">
            <w:r>
              <w:rPr>
                <w:rFonts w:hint="eastAsia"/>
              </w:rPr>
              <w:t>公司于</w:t>
            </w:r>
            <w:r>
              <w:rPr>
                <w:rFonts w:hint="eastAsia"/>
              </w:rPr>
              <w:t>2</w:t>
            </w:r>
            <w:r>
              <w:t>025</w:t>
            </w:r>
            <w:r>
              <w:rPr>
                <w:rFonts w:hint="eastAsia"/>
              </w:rPr>
              <w:t>年</w:t>
            </w:r>
            <w:r>
              <w:rPr>
                <w:rFonts w:hint="eastAsia"/>
              </w:rPr>
              <w:t>3</w:t>
            </w:r>
            <w:r>
              <w:rPr>
                <w:rFonts w:hint="eastAsia"/>
              </w:rPr>
              <w:t>月</w:t>
            </w:r>
            <w:r>
              <w:rPr>
                <w:rFonts w:hint="eastAsia"/>
              </w:rPr>
              <w:t>5</w:t>
            </w:r>
            <w:r>
              <w:rPr>
                <w:rFonts w:hint="eastAsia"/>
              </w:rPr>
              <w:t>日在上海证券交易所披露的《关于增加</w:t>
            </w:r>
            <w:r>
              <w:t>2025</w:t>
            </w:r>
            <w:r>
              <w:t>年度日常关联交易预计的公告</w:t>
            </w:r>
            <w:r>
              <w:rPr>
                <w:rFonts w:hint="eastAsia"/>
              </w:rPr>
              <w:t>》（公告编号：</w:t>
            </w:r>
            <w:r>
              <w:rPr>
                <w:rFonts w:hint="eastAsia"/>
              </w:rPr>
              <w:t>2</w:t>
            </w:r>
            <w:r>
              <w:t>025-014</w:t>
            </w:r>
            <w:r>
              <w:rPr>
                <w:rFonts w:hint="eastAsia"/>
              </w:rPr>
              <w:t>）</w:t>
            </w:r>
          </w:p>
        </w:tc>
      </w:tr>
    </w:tbl>
    <w:p w:rsidR="00156DD6" w:rsidRDefault="00156DD6"/>
    <w:p w:rsidR="00156DD6" w:rsidRDefault="00D51F5F">
      <w:pPr>
        <w:pStyle w:val="4"/>
        <w:numPr>
          <w:ilvl w:val="2"/>
          <w:numId w:val="19"/>
        </w:numPr>
        <w:ind w:left="0" w:firstLine="0"/>
        <w:rPr>
          <w:rFonts w:ascii="宋体" w:hAnsi="宋体"/>
          <w:bCs/>
          <w:color w:val="000000" w:themeColor="text1"/>
        </w:rPr>
      </w:pPr>
      <w:r>
        <w:rPr>
          <w:rFonts w:ascii="宋体" w:hAnsi="宋体"/>
          <w:bCs/>
          <w:color w:val="000000" w:themeColor="text1"/>
        </w:rPr>
        <w:t>已在临时公告披露，但有后续实施的进展或变化的事项</w:t>
      </w:r>
    </w:p>
    <w:sdt>
      <w:sdtPr>
        <w:rPr>
          <w:color w:val="000000" w:themeColor="text1"/>
        </w:rPr>
        <w:alias w:val="是否适用：已在临时公告披露，但有后续实施的进展或变化的事项_与日常经营相关的关联交易[双击切换]"/>
        <w:tag w:val="_GBC_3d236e76c44140259dd09a3aed77ca15"/>
        <w:id w:val="-82944894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与日常经营相关的关联交易事项已在临时报告披露，后续实施的进展或变化"/>
        <w:tag w:val="_GBC_0a4da36928c04bc784d8c97bc6a4a9d9"/>
        <w:id w:val="-617062095"/>
        <w:placeholder>
          <w:docPart w:val="GBC22222222222222222222222222222"/>
        </w:placeholder>
      </w:sdtPr>
      <w:sdtEndPr/>
      <w:sdtConten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报告期末公司前三年主要会计数据和财务指标"/>
              <w:tag w:val="_GBC_c7cd0dd826b247dbba8cc8b1a811aefb"/>
              <w:id w:val="1679307876"/>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报告期末公司前三年主要会计数据和财务指标"/>
              <w:tag w:val="_GBC_2df6a5d441324c13bcf6c4c54ac41eb0"/>
              <w:id w:val="103430964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0" w:type="auto"/>
            <w:tblInd w:w="0" w:type="dxa"/>
            <w:tblLook w:val="04A0" w:firstRow="1" w:lastRow="0" w:firstColumn="1" w:lastColumn="0" w:noHBand="0" w:noVBand="1"/>
          </w:tblPr>
          <w:tblGrid>
            <w:gridCol w:w="1381"/>
            <w:gridCol w:w="780"/>
            <w:gridCol w:w="1080"/>
            <w:gridCol w:w="923"/>
            <w:gridCol w:w="1238"/>
            <w:gridCol w:w="1016"/>
            <w:gridCol w:w="1325"/>
            <w:gridCol w:w="1080"/>
          </w:tblGrid>
          <w:tr w:rsidR="00156DD6">
            <w:trPr>
              <w:cantSplit/>
              <w:tblHeader/>
            </w:trPr>
            <w:tc>
              <w:tcPr>
                <w:tcW w:w="1381" w:type="dxa"/>
                <w:vAlign w:val="center"/>
              </w:tcPr>
              <w:p w:rsidR="00156DD6" w:rsidRDefault="00D51F5F">
                <w:pPr>
                  <w:pStyle w:val="Style151"/>
                  <w:jc w:val="center"/>
                  <w:rPr>
                    <w:sz w:val="21"/>
                    <w:szCs w:val="21"/>
                  </w:rPr>
                </w:pPr>
                <w:r>
                  <w:rPr>
                    <w:rFonts w:hint="eastAsia"/>
                    <w:sz w:val="21"/>
                    <w:szCs w:val="21"/>
                  </w:rPr>
                  <w:t>关联交易方</w:t>
                </w:r>
              </w:p>
            </w:tc>
            <w:tc>
              <w:tcPr>
                <w:tcW w:w="780" w:type="dxa"/>
                <w:vAlign w:val="center"/>
              </w:tcPr>
              <w:p w:rsidR="00156DD6" w:rsidRDefault="00D51F5F">
                <w:pPr>
                  <w:pStyle w:val="Style151"/>
                  <w:jc w:val="center"/>
                  <w:rPr>
                    <w:sz w:val="21"/>
                    <w:szCs w:val="21"/>
                  </w:rPr>
                </w:pPr>
                <w:r>
                  <w:rPr>
                    <w:rFonts w:hint="eastAsia"/>
                    <w:sz w:val="21"/>
                    <w:szCs w:val="21"/>
                  </w:rPr>
                  <w:t>关联关系</w:t>
                </w:r>
              </w:p>
            </w:tc>
            <w:tc>
              <w:tcPr>
                <w:tcW w:w="1080" w:type="dxa"/>
                <w:vAlign w:val="center"/>
              </w:tcPr>
              <w:p w:rsidR="00156DD6" w:rsidRDefault="00D51F5F">
                <w:pPr>
                  <w:pStyle w:val="Style151"/>
                  <w:jc w:val="center"/>
                  <w:rPr>
                    <w:sz w:val="21"/>
                    <w:szCs w:val="21"/>
                  </w:rPr>
                </w:pPr>
                <w:r>
                  <w:rPr>
                    <w:rFonts w:hint="eastAsia"/>
                    <w:sz w:val="21"/>
                    <w:szCs w:val="21"/>
                  </w:rPr>
                  <w:t>关联交易类型</w:t>
                </w:r>
              </w:p>
            </w:tc>
            <w:tc>
              <w:tcPr>
                <w:tcW w:w="923" w:type="dxa"/>
                <w:vAlign w:val="center"/>
              </w:tcPr>
              <w:p w:rsidR="00156DD6" w:rsidRDefault="00D51F5F">
                <w:pPr>
                  <w:pStyle w:val="Style151"/>
                  <w:jc w:val="center"/>
                  <w:rPr>
                    <w:sz w:val="21"/>
                    <w:szCs w:val="21"/>
                  </w:rPr>
                </w:pPr>
                <w:r>
                  <w:rPr>
                    <w:rFonts w:hint="eastAsia"/>
                    <w:sz w:val="21"/>
                    <w:szCs w:val="21"/>
                  </w:rPr>
                  <w:t>关联交易内容</w:t>
                </w:r>
              </w:p>
            </w:tc>
            <w:tc>
              <w:tcPr>
                <w:tcW w:w="1238" w:type="dxa"/>
                <w:vAlign w:val="center"/>
              </w:tcPr>
              <w:p w:rsidR="00156DD6" w:rsidRDefault="00D51F5F">
                <w:pPr>
                  <w:pStyle w:val="Style151"/>
                  <w:jc w:val="center"/>
                  <w:rPr>
                    <w:sz w:val="21"/>
                    <w:szCs w:val="21"/>
                  </w:rPr>
                </w:pPr>
                <w:r>
                  <w:rPr>
                    <w:rFonts w:hint="eastAsia"/>
                    <w:sz w:val="21"/>
                    <w:szCs w:val="21"/>
                  </w:rPr>
                  <w:t>关联交易定价原则</w:t>
                </w:r>
              </w:p>
            </w:tc>
            <w:tc>
              <w:tcPr>
                <w:tcW w:w="1016" w:type="dxa"/>
                <w:vAlign w:val="center"/>
              </w:tcPr>
              <w:p w:rsidR="00156DD6" w:rsidRDefault="00D51F5F">
                <w:pPr>
                  <w:pStyle w:val="Style151"/>
                  <w:jc w:val="center"/>
                  <w:rPr>
                    <w:sz w:val="21"/>
                    <w:szCs w:val="21"/>
                  </w:rPr>
                </w:pPr>
                <w:r>
                  <w:rPr>
                    <w:rFonts w:hint="eastAsia"/>
                    <w:sz w:val="21"/>
                    <w:szCs w:val="21"/>
                  </w:rPr>
                  <w:t>关联交易金额</w:t>
                </w:r>
              </w:p>
            </w:tc>
            <w:tc>
              <w:tcPr>
                <w:tcW w:w="1325" w:type="dxa"/>
                <w:vAlign w:val="center"/>
              </w:tcPr>
              <w:p w:rsidR="00156DD6" w:rsidRDefault="00D51F5F">
                <w:pPr>
                  <w:pStyle w:val="Style151"/>
                  <w:jc w:val="center"/>
                  <w:rPr>
                    <w:sz w:val="21"/>
                    <w:szCs w:val="21"/>
                  </w:rPr>
                </w:pPr>
                <w:r>
                  <w:rPr>
                    <w:rFonts w:hint="eastAsia"/>
                    <w:sz w:val="21"/>
                    <w:szCs w:val="21"/>
                  </w:rPr>
                  <w:t>占同类交易金额的比例（</w:t>
                </w:r>
                <w:r>
                  <w:rPr>
                    <w:rFonts w:hint="eastAsia"/>
                    <w:sz w:val="21"/>
                    <w:szCs w:val="21"/>
                  </w:rPr>
                  <w:t>%</w:t>
                </w:r>
                <w:r>
                  <w:rPr>
                    <w:sz w:val="21"/>
                    <w:szCs w:val="21"/>
                  </w:rPr>
                  <w:t>）</w:t>
                </w:r>
              </w:p>
            </w:tc>
            <w:tc>
              <w:tcPr>
                <w:tcW w:w="1080" w:type="dxa"/>
                <w:vAlign w:val="center"/>
              </w:tcPr>
              <w:p w:rsidR="00156DD6" w:rsidRDefault="00D51F5F">
                <w:pPr>
                  <w:pStyle w:val="Style151"/>
                  <w:jc w:val="center"/>
                  <w:rPr>
                    <w:sz w:val="21"/>
                    <w:szCs w:val="21"/>
                  </w:rPr>
                </w:pPr>
                <w:r>
                  <w:rPr>
                    <w:rFonts w:hint="eastAsia"/>
                    <w:sz w:val="21"/>
                    <w:szCs w:val="21"/>
                  </w:rPr>
                  <w:t>关联交易结算方式</w:t>
                </w:r>
              </w:p>
            </w:tc>
          </w:tr>
          <w:tr w:rsidR="00156DD6">
            <w:tc>
              <w:tcPr>
                <w:tcW w:w="1381" w:type="dxa"/>
                <w:vAlign w:val="center"/>
              </w:tcPr>
              <w:p w:rsidR="00156DD6" w:rsidRDefault="00D51F5F">
                <w:pPr>
                  <w:pStyle w:val="Style151"/>
                  <w:rPr>
                    <w:sz w:val="21"/>
                    <w:szCs w:val="21"/>
                  </w:rPr>
                </w:pPr>
                <w:r>
                  <w:rPr>
                    <w:rFonts w:hint="eastAsia"/>
                    <w:sz w:val="21"/>
                    <w:szCs w:val="21"/>
                  </w:rPr>
                  <w:t>四川明珠电工材料有限责任公司</w:t>
                </w:r>
              </w:p>
            </w:tc>
            <w:tc>
              <w:tcPr>
                <w:tcW w:w="780" w:type="dxa"/>
                <w:vAlign w:val="center"/>
              </w:tcPr>
              <w:p w:rsidR="00156DD6" w:rsidRDefault="00D51F5F">
                <w:pPr>
                  <w:pStyle w:val="Style151"/>
                  <w:rPr>
                    <w:sz w:val="21"/>
                    <w:szCs w:val="21"/>
                  </w:rPr>
                </w:pPr>
                <w:r>
                  <w:rPr>
                    <w:rFonts w:hint="eastAsia"/>
                    <w:sz w:val="21"/>
                    <w:szCs w:val="21"/>
                  </w:rPr>
                  <w:t>其他</w:t>
                </w:r>
              </w:p>
            </w:tc>
            <w:tc>
              <w:tcPr>
                <w:tcW w:w="1080" w:type="dxa"/>
                <w:vAlign w:val="center"/>
              </w:tcPr>
              <w:p w:rsidR="00156DD6" w:rsidRDefault="00D51F5F">
                <w:pPr>
                  <w:pStyle w:val="Style151"/>
                  <w:rPr>
                    <w:sz w:val="21"/>
                    <w:szCs w:val="21"/>
                  </w:rPr>
                </w:pPr>
                <w:r>
                  <w:rPr>
                    <w:rFonts w:hint="eastAsia"/>
                    <w:sz w:val="21"/>
                    <w:szCs w:val="21"/>
                  </w:rPr>
                  <w:t>购买商品</w:t>
                </w:r>
              </w:p>
            </w:tc>
            <w:tc>
              <w:tcPr>
                <w:tcW w:w="923" w:type="dxa"/>
                <w:vAlign w:val="center"/>
              </w:tcPr>
              <w:p w:rsidR="00156DD6" w:rsidRDefault="00D51F5F">
                <w:pPr>
                  <w:pStyle w:val="Style151"/>
                  <w:rPr>
                    <w:sz w:val="21"/>
                    <w:szCs w:val="21"/>
                  </w:rPr>
                </w:pPr>
                <w:r>
                  <w:rPr>
                    <w:rFonts w:hint="eastAsia"/>
                    <w:sz w:val="21"/>
                    <w:szCs w:val="21"/>
                  </w:rPr>
                  <w:t>采购原材料</w:t>
                </w:r>
              </w:p>
            </w:tc>
            <w:tc>
              <w:tcPr>
                <w:tcW w:w="1238" w:type="dxa"/>
                <w:vAlign w:val="center"/>
              </w:tcPr>
              <w:p w:rsidR="00156DD6" w:rsidRDefault="00D51F5F">
                <w:pPr>
                  <w:pStyle w:val="Style151"/>
                  <w:rPr>
                    <w:sz w:val="21"/>
                    <w:szCs w:val="21"/>
                  </w:rPr>
                </w:pPr>
                <w:r>
                  <w:rPr>
                    <w:rFonts w:hint="eastAsia"/>
                    <w:sz w:val="21"/>
                    <w:szCs w:val="21"/>
                  </w:rPr>
                  <w:t>参照市场价格协商确定</w:t>
                </w:r>
              </w:p>
            </w:tc>
            <w:tc>
              <w:tcPr>
                <w:tcW w:w="1016" w:type="dxa"/>
                <w:vAlign w:val="center"/>
              </w:tcPr>
              <w:p w:rsidR="00156DD6" w:rsidRDefault="00D51F5F">
                <w:pPr>
                  <w:pStyle w:val="Style151"/>
                  <w:jc w:val="right"/>
                  <w:rPr>
                    <w:sz w:val="21"/>
                    <w:szCs w:val="21"/>
                  </w:rPr>
                </w:pPr>
                <w:r>
                  <w:rPr>
                    <w:rFonts w:hint="eastAsia"/>
                  </w:rPr>
                  <w:t xml:space="preserve"> 2,524.48 </w:t>
                </w:r>
              </w:p>
            </w:tc>
            <w:tc>
              <w:tcPr>
                <w:tcW w:w="1325" w:type="dxa"/>
                <w:vAlign w:val="center"/>
              </w:tcPr>
              <w:p w:rsidR="00156DD6" w:rsidRDefault="00D51F5F">
                <w:pPr>
                  <w:pStyle w:val="Style151"/>
                  <w:jc w:val="right"/>
                  <w:rPr>
                    <w:sz w:val="21"/>
                    <w:szCs w:val="21"/>
                  </w:rPr>
                </w:pPr>
                <w:r>
                  <w:rPr>
                    <w:rFonts w:hint="eastAsia"/>
                  </w:rPr>
                  <w:t xml:space="preserve"> 1.96 </w:t>
                </w:r>
              </w:p>
            </w:tc>
            <w:tc>
              <w:tcPr>
                <w:tcW w:w="1080" w:type="dxa"/>
                <w:vAlign w:val="center"/>
              </w:tcPr>
              <w:p w:rsidR="00156DD6" w:rsidRDefault="00D51F5F">
                <w:pPr>
                  <w:pStyle w:val="Style151"/>
                  <w:rPr>
                    <w:sz w:val="21"/>
                    <w:szCs w:val="21"/>
                  </w:rPr>
                </w:pPr>
                <w:r>
                  <w:rPr>
                    <w:rFonts w:hint="eastAsia"/>
                    <w:sz w:val="21"/>
                    <w:szCs w:val="21"/>
                  </w:rPr>
                  <w:t>银行转账、电子银行承兑</w:t>
                </w:r>
              </w:p>
            </w:tc>
          </w:tr>
        </w:tbl>
        <w:p w:rsidR="00156DD6" w:rsidRDefault="00D51F5F">
          <w:pPr>
            <w:rPr>
              <w:color w:val="000000" w:themeColor="text1"/>
            </w:rPr>
          </w:pPr>
        </w:p>
      </w:sdtContent>
    </w:sdt>
    <w:p w:rsidR="00156DD6" w:rsidRDefault="00D51F5F">
      <w:pPr>
        <w:pStyle w:val="4"/>
        <w:numPr>
          <w:ilvl w:val="2"/>
          <w:numId w:val="19"/>
        </w:numPr>
        <w:ind w:left="0" w:firstLine="0"/>
        <w:rPr>
          <w:rFonts w:ascii="宋体" w:hAnsi="宋体"/>
          <w:bCs/>
          <w:color w:val="000000" w:themeColor="text1"/>
        </w:rPr>
      </w:pPr>
      <w:r>
        <w:rPr>
          <w:rFonts w:ascii="宋体" w:hAnsi="宋体"/>
          <w:bCs/>
          <w:color w:val="000000" w:themeColor="text1"/>
        </w:rPr>
        <w:t>临时公告未披露的事项</w:t>
      </w:r>
    </w:p>
    <w:sdt>
      <w:sdtPr>
        <w:rPr>
          <w:color w:val="000000" w:themeColor="text1"/>
        </w:rPr>
        <w:alias w:val="是否适用：与日常经营相关的关联交易_临时公告未披露的事项[双击切换]"/>
        <w:tag w:val="_GBC_91ad548daaa84603a8faa6c0ce358499"/>
        <w:id w:val="-14151341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TOC6"/>
        <w:numPr>
          <w:ilvl w:val="2"/>
          <w:numId w:val="4"/>
        </w:numPr>
        <w:rPr>
          <w:rFonts w:ascii="宋体" w:hAnsi="宋体"/>
          <w:color w:val="000000" w:themeColor="text1"/>
          <w:sz w:val="21"/>
          <w:szCs w:val="21"/>
        </w:rPr>
      </w:pPr>
      <w:r>
        <w:rPr>
          <w:rFonts w:ascii="宋体" w:hAnsi="宋体" w:hint="eastAsia"/>
          <w:color w:val="000000" w:themeColor="text1"/>
          <w:sz w:val="21"/>
          <w:szCs w:val="21"/>
        </w:rPr>
        <w:t>资产收购或股权收购、出售发生的关联交易</w:t>
      </w:r>
    </w:p>
    <w:p w:rsidR="00156DD6" w:rsidRDefault="00D51F5F">
      <w:pPr>
        <w:pStyle w:val="Style47"/>
        <w:numPr>
          <w:ilvl w:val="0"/>
          <w:numId w:val="20"/>
        </w:numPr>
        <w:rPr>
          <w:rFonts w:ascii="宋体" w:hAnsi="宋体"/>
          <w:color w:val="000000" w:themeColor="text1"/>
          <w:sz w:val="21"/>
          <w:szCs w:val="21"/>
        </w:rPr>
      </w:pPr>
      <w:r>
        <w:rPr>
          <w:rFonts w:ascii="宋体" w:hAnsi="宋体"/>
          <w:color w:val="000000" w:themeColor="text1"/>
          <w:sz w:val="21"/>
          <w:szCs w:val="21"/>
        </w:rPr>
        <w:t>已在临时公告披露且后续实施无进展或变化的事项</w:t>
      </w:r>
    </w:p>
    <w:sdt>
      <w:sdtPr>
        <w:rPr>
          <w:color w:val="000000" w:themeColor="text1"/>
        </w:rPr>
        <w:alias w:val="是否适用：已在临时公告披露且后续实施无进展或变化的事项_资产或股权收购、出售发生的关联交易[双击切换]"/>
        <w:tag w:val="_GBC_208b69178a984ade8f4f4dd7a3362ae3"/>
        <w:id w:val="-130892979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20"/>
        </w:numPr>
        <w:rPr>
          <w:rFonts w:ascii="宋体" w:hAnsi="宋体"/>
          <w:color w:val="000000" w:themeColor="text1"/>
          <w:sz w:val="21"/>
          <w:szCs w:val="21"/>
        </w:rPr>
      </w:pPr>
      <w:r>
        <w:rPr>
          <w:rFonts w:ascii="宋体" w:hAnsi="宋体"/>
          <w:color w:val="000000" w:themeColor="text1"/>
          <w:sz w:val="21"/>
          <w:szCs w:val="21"/>
        </w:rPr>
        <w:t>已在临时公告披露，但有后续实施的进展或变化的事项</w:t>
      </w:r>
    </w:p>
    <w:sdt>
      <w:sdtPr>
        <w:rPr>
          <w:color w:val="000000" w:themeColor="text1"/>
        </w:rPr>
        <w:alias w:val="是否适用：已在临时公告披露，但有后续实施的进展或变化的事项_资产或股权收购、出售发生的关联交易[双击切换]"/>
        <w:tag w:val="_GBC_b72de17637e74020b42aa0636b393f25"/>
        <w:id w:val="-183212316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20"/>
        </w:numPr>
        <w:rPr>
          <w:rFonts w:ascii="宋体" w:hAnsi="宋体"/>
          <w:color w:val="000000" w:themeColor="text1"/>
          <w:sz w:val="21"/>
          <w:szCs w:val="21"/>
        </w:rPr>
      </w:pPr>
      <w:r>
        <w:rPr>
          <w:rFonts w:ascii="宋体" w:hAnsi="宋体"/>
          <w:color w:val="000000" w:themeColor="text1"/>
          <w:sz w:val="21"/>
          <w:szCs w:val="21"/>
        </w:rPr>
        <w:t>临时公告未披露的事项</w:t>
      </w:r>
    </w:p>
    <w:sdt>
      <w:sdtPr>
        <w:rPr>
          <w:color w:val="000000" w:themeColor="text1"/>
        </w:rPr>
        <w:alias w:val="是否适用：资产收购、出售发生的关联交易_临时公告未披露的事项[双击切换]"/>
        <w:tag w:val="_GBC_d3f1f3f5ce564209aee49197432643af"/>
        <w:id w:val="-19607971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20"/>
        </w:numPr>
        <w:rPr>
          <w:rFonts w:ascii="宋体" w:hAnsi="宋体"/>
          <w:color w:val="000000" w:themeColor="text1"/>
          <w:sz w:val="21"/>
          <w:szCs w:val="21"/>
        </w:rPr>
      </w:pPr>
      <w:r>
        <w:rPr>
          <w:rFonts w:ascii="宋体" w:hAnsi="宋体"/>
          <w:color w:val="000000" w:themeColor="text1"/>
          <w:sz w:val="21"/>
          <w:szCs w:val="21"/>
        </w:rPr>
        <w:t>涉及业绩约定的，应当披露报告期内的业绩实现情况</w:t>
      </w:r>
    </w:p>
    <w:sdt>
      <w:sdtPr>
        <w:rPr>
          <w:color w:val="000000" w:themeColor="text1"/>
        </w:rPr>
        <w:alias w:val="是否适用：涉及业绩约定的，应当披露报告期内的业绩实现情况[双击切换]"/>
        <w:tag w:val="_GBC_0640a8fc3526461ca1eed7810b087c23"/>
        <w:id w:val="148027616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2"/>
          <w:numId w:val="4"/>
        </w:numPr>
        <w:rPr>
          <w:rFonts w:ascii="宋体" w:hAnsi="宋体"/>
          <w:color w:val="000000" w:themeColor="text1"/>
          <w:sz w:val="21"/>
          <w:szCs w:val="21"/>
        </w:rPr>
      </w:pPr>
      <w:r>
        <w:rPr>
          <w:rFonts w:ascii="宋体" w:hAnsi="宋体" w:hint="eastAsia"/>
          <w:color w:val="000000" w:themeColor="text1"/>
          <w:sz w:val="21"/>
          <w:szCs w:val="21"/>
        </w:rPr>
        <w:lastRenderedPageBreak/>
        <w:t>共同对外投资的重大关联交易</w:t>
      </w:r>
    </w:p>
    <w:p w:rsidR="00156DD6" w:rsidRDefault="00D51F5F">
      <w:pPr>
        <w:pStyle w:val="Style47"/>
        <w:numPr>
          <w:ilvl w:val="0"/>
          <w:numId w:val="21"/>
        </w:numPr>
        <w:rPr>
          <w:rFonts w:ascii="宋体" w:hAnsi="宋体"/>
          <w:color w:val="000000" w:themeColor="text1"/>
          <w:sz w:val="21"/>
          <w:szCs w:val="21"/>
        </w:rPr>
      </w:pPr>
      <w:r>
        <w:rPr>
          <w:rFonts w:ascii="宋体" w:hAnsi="宋体"/>
          <w:color w:val="000000" w:themeColor="text1"/>
          <w:sz w:val="21"/>
          <w:szCs w:val="21"/>
        </w:rPr>
        <w:t>已在临时公告披露且后续实施无进展或变化的事项</w:t>
      </w:r>
    </w:p>
    <w:sdt>
      <w:sdtPr>
        <w:rPr>
          <w:color w:val="000000" w:themeColor="text1"/>
        </w:rPr>
        <w:alias w:val="是否适用：已在临时公告披露且后续实施无进展或变化的事项_共同对外投资的重大关联交易[双击切换]"/>
        <w:tag w:val="_GBC_dda9192a67f44f8698afb5d0b3e3c767"/>
        <w:id w:val="-39589771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21"/>
        </w:numPr>
        <w:rPr>
          <w:rFonts w:ascii="宋体" w:hAnsi="宋体"/>
          <w:color w:val="000000" w:themeColor="text1"/>
          <w:sz w:val="21"/>
          <w:szCs w:val="21"/>
        </w:rPr>
      </w:pPr>
      <w:r>
        <w:rPr>
          <w:rFonts w:ascii="宋体" w:hAnsi="宋体"/>
          <w:color w:val="000000" w:themeColor="text1"/>
          <w:sz w:val="21"/>
          <w:szCs w:val="21"/>
        </w:rPr>
        <w:t>已在临时公告披露，但有后续实施的进展或变化的事项</w:t>
      </w:r>
    </w:p>
    <w:sdt>
      <w:sdtPr>
        <w:rPr>
          <w:color w:val="000000" w:themeColor="text1"/>
        </w:rPr>
        <w:alias w:val="是否适用：已在临时公告披露，但有后续实施的进展或变化的事项_共同对外投资的重大关联交易[双击切换]"/>
        <w:tag w:val="_GBC_f5354c189ecd4cad9ef1e263c325c0db"/>
        <w:id w:val="-5025843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21"/>
        </w:numPr>
        <w:rPr>
          <w:rFonts w:ascii="宋体" w:hAnsi="宋体"/>
          <w:color w:val="000000" w:themeColor="text1"/>
          <w:sz w:val="21"/>
          <w:szCs w:val="21"/>
        </w:rPr>
      </w:pPr>
      <w:r>
        <w:rPr>
          <w:rFonts w:ascii="宋体" w:hAnsi="宋体"/>
          <w:color w:val="000000" w:themeColor="text1"/>
          <w:sz w:val="21"/>
          <w:szCs w:val="21"/>
        </w:rPr>
        <w:t>临时公告未披露的事项</w:t>
      </w:r>
    </w:p>
    <w:sdt>
      <w:sdtPr>
        <w:rPr>
          <w:rFonts w:hint="eastAsia"/>
          <w:color w:val="000000" w:themeColor="text1"/>
        </w:rPr>
        <w:alias w:val="是否适用：共同对外投资的重大关联交易_临时公告未披露的事项[双击切换]"/>
        <w:tag w:val="_GBC_3ac28148c3754202ba544078ad581a24"/>
        <w:id w:val="-155645719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2"/>
          <w:numId w:val="4"/>
        </w:numPr>
        <w:rPr>
          <w:rFonts w:ascii="宋体" w:hAnsi="宋体"/>
          <w:color w:val="000000" w:themeColor="text1"/>
          <w:sz w:val="21"/>
          <w:szCs w:val="21"/>
        </w:rPr>
      </w:pPr>
      <w:r>
        <w:rPr>
          <w:rFonts w:ascii="宋体" w:hAnsi="宋体" w:hint="eastAsia"/>
          <w:color w:val="000000" w:themeColor="text1"/>
          <w:sz w:val="21"/>
          <w:szCs w:val="21"/>
        </w:rPr>
        <w:t>关联债权债务往来</w:t>
      </w:r>
    </w:p>
    <w:p w:rsidR="00156DD6" w:rsidRDefault="00D51F5F">
      <w:pPr>
        <w:pStyle w:val="Style47"/>
        <w:numPr>
          <w:ilvl w:val="0"/>
          <w:numId w:val="22"/>
        </w:numPr>
        <w:rPr>
          <w:rFonts w:ascii="宋体" w:hAnsi="宋体"/>
          <w:color w:val="000000" w:themeColor="text1"/>
          <w:sz w:val="21"/>
          <w:szCs w:val="21"/>
        </w:rPr>
      </w:pPr>
      <w:r>
        <w:rPr>
          <w:rFonts w:ascii="宋体" w:hAnsi="宋体"/>
          <w:color w:val="000000" w:themeColor="text1"/>
          <w:sz w:val="21"/>
          <w:szCs w:val="21"/>
        </w:rPr>
        <w:t>已在临时公告披露且后续实施无进展或变化的事项</w:t>
      </w:r>
    </w:p>
    <w:sdt>
      <w:sdtPr>
        <w:rPr>
          <w:color w:val="000000" w:themeColor="text1"/>
        </w:rPr>
        <w:alias w:val="是否适用：已在临时公告披露且后续实施无进展或变化的事项_关联债权债务往来[双击切换]"/>
        <w:tag w:val="_GBC_480ccdae6247445ca78cf6327eb0e24f"/>
        <w:id w:val="181467306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22"/>
        </w:numPr>
        <w:rPr>
          <w:rFonts w:ascii="宋体" w:hAnsi="宋体"/>
          <w:color w:val="000000" w:themeColor="text1"/>
          <w:sz w:val="21"/>
          <w:szCs w:val="21"/>
        </w:rPr>
      </w:pPr>
      <w:r>
        <w:rPr>
          <w:rFonts w:ascii="宋体" w:hAnsi="宋体"/>
          <w:color w:val="000000" w:themeColor="text1"/>
          <w:sz w:val="21"/>
          <w:szCs w:val="21"/>
        </w:rPr>
        <w:t>已在临时公告披露，但有后续实施的进展或变化的事项</w:t>
      </w:r>
    </w:p>
    <w:sdt>
      <w:sdtPr>
        <w:rPr>
          <w:color w:val="000000" w:themeColor="text1"/>
        </w:rPr>
        <w:alias w:val="是否适用：已在临时公告披露，但有后续实施的进展或变化的事项_关联债权债务往来[双击切换]"/>
        <w:tag w:val="_GBC_06dcfbbd6aed49aa878ab07a09b2270b"/>
        <w:id w:val="-185618715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22"/>
        </w:numPr>
        <w:rPr>
          <w:rFonts w:ascii="宋体" w:hAnsi="宋体"/>
          <w:color w:val="000000" w:themeColor="text1"/>
          <w:sz w:val="21"/>
          <w:szCs w:val="21"/>
        </w:rPr>
      </w:pPr>
      <w:r>
        <w:rPr>
          <w:rFonts w:ascii="宋体" w:hAnsi="宋体"/>
          <w:color w:val="000000" w:themeColor="text1"/>
          <w:sz w:val="21"/>
          <w:szCs w:val="21"/>
        </w:rPr>
        <w:t>临时公告未披露的事项</w:t>
      </w:r>
    </w:p>
    <w:sdt>
      <w:sdtPr>
        <w:rPr>
          <w:color w:val="000000" w:themeColor="text1"/>
        </w:rPr>
        <w:alias w:val="是否适用：关联债权债务往来_临时公告未披露的事项[双击切换]"/>
        <w:tag w:val="_GBC_0f4a6802ca704b49a413888379a91f0b"/>
        <w:id w:val="12278046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2"/>
          <w:numId w:val="4"/>
        </w:numPr>
        <w:rPr>
          <w:rFonts w:ascii="宋体" w:hAnsi="宋体"/>
          <w:color w:val="000000" w:themeColor="text1"/>
          <w:sz w:val="21"/>
          <w:szCs w:val="21"/>
        </w:rPr>
      </w:pPr>
      <w:r>
        <w:rPr>
          <w:rFonts w:ascii="宋体" w:hAnsi="宋体" w:hint="eastAsia"/>
          <w:color w:val="000000" w:themeColor="text1"/>
          <w:sz w:val="21"/>
          <w:szCs w:val="21"/>
        </w:rPr>
        <w:t>公司与存在关联关系的财务公司、公司控股财务公司与关联方之间的金融业务</w:t>
      </w:r>
    </w:p>
    <w:sdt>
      <w:sdtPr>
        <w:rPr>
          <w:color w:val="000000" w:themeColor="text1"/>
        </w:rPr>
        <w:alias w:val="是否适用：公司与存在关联关系的财务公司、公司控股财务公司与关联方之间的金融业务 [双击切换]"/>
        <w:tag w:val="_GBC_918ef76103ad41b4a79075b59fdb8bf4"/>
        <w:id w:val="207985932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TOC6"/>
        <w:numPr>
          <w:ilvl w:val="2"/>
          <w:numId w:val="4"/>
        </w:numPr>
        <w:rPr>
          <w:rFonts w:ascii="宋体" w:hAnsi="宋体"/>
          <w:color w:val="000000" w:themeColor="text1"/>
          <w:sz w:val="21"/>
          <w:szCs w:val="21"/>
        </w:rPr>
      </w:pPr>
      <w:bookmarkStart w:id="87" w:name="_Hlk106875230"/>
      <w:bookmarkStart w:id="88" w:name="OLE_LINK102"/>
      <w:bookmarkEnd w:id="87"/>
      <w:r>
        <w:rPr>
          <w:rFonts w:ascii="宋体" w:hAnsi="宋体" w:hint="eastAsia"/>
          <w:color w:val="000000" w:themeColor="text1"/>
          <w:sz w:val="21"/>
          <w:szCs w:val="21"/>
        </w:rPr>
        <w:t>其他重大关联交易</w:t>
      </w:r>
    </w:p>
    <w:bookmarkEnd w:id="88" w:displacedByCustomXml="next"/>
    <w:sdt>
      <w:sdtPr>
        <w:rPr>
          <w:rFonts w:hint="eastAsia"/>
          <w:color w:val="000000" w:themeColor="text1"/>
        </w:rPr>
        <w:alias w:val="是否适用：重大关联交易其他说明[双击切换]"/>
        <w:tag w:val="_GBC_7dd39ac420a244dcb8ea88c29ac07190"/>
        <w:id w:val="-20967758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2"/>
          <w:numId w:val="4"/>
        </w:numPr>
        <w:rPr>
          <w:rFonts w:ascii="宋体" w:hAnsi="宋体"/>
          <w:color w:val="000000" w:themeColor="text1"/>
          <w:sz w:val="21"/>
          <w:szCs w:val="21"/>
        </w:rPr>
      </w:pPr>
      <w:r>
        <w:rPr>
          <w:rFonts w:ascii="宋体" w:hAnsi="宋体" w:hint="eastAsia"/>
          <w:color w:val="000000" w:themeColor="text1"/>
          <w:sz w:val="21"/>
          <w:szCs w:val="21"/>
        </w:rPr>
        <w:t>其他</w:t>
      </w:r>
    </w:p>
    <w:sdt>
      <w:sdtPr>
        <w:rPr>
          <w:rFonts w:hint="eastAsia"/>
          <w:color w:val="000000" w:themeColor="text1"/>
        </w:rPr>
        <w:alias w:val="是否适用：重大关联交易事项其他补充说明[双击切换]"/>
        <w:tag w:val="_GBC_272061194cde466a9c566f0881c76d0d"/>
        <w:id w:val="-107389566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w:instrText>
          </w:r>
          <w:r>
            <w:rPr>
              <w:rFonts w:hint="eastAsia"/>
              <w:color w:val="000000" w:themeColor="text1"/>
            </w:rPr>
            <w:instrText xml:space="preserve">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r>
        <w:rPr>
          <w:rFonts w:ascii="宋体" w:hAnsi="宋体" w:hint="eastAsia"/>
          <w:color w:val="000000" w:themeColor="text1"/>
        </w:rPr>
        <w:t>重大合同及其履行情况</w:t>
      </w:r>
    </w:p>
    <w:p w:rsidR="00156DD6" w:rsidRDefault="00D51F5F">
      <w:pPr>
        <w:pStyle w:val="3"/>
        <w:numPr>
          <w:ilvl w:val="0"/>
          <w:numId w:val="23"/>
        </w:numPr>
        <w:rPr>
          <w:rFonts w:ascii="宋体" w:hAnsi="宋体"/>
          <w:color w:val="000000" w:themeColor="text1"/>
        </w:rPr>
      </w:pPr>
      <w:r>
        <w:rPr>
          <w:rFonts w:ascii="宋体" w:hAnsi="宋体"/>
          <w:color w:val="000000" w:themeColor="text1"/>
        </w:rPr>
        <w:t>托管、承包、租赁事项</w:t>
      </w:r>
    </w:p>
    <w:p w:rsidR="00156DD6" w:rsidRDefault="00D51F5F">
      <w:pPr>
        <w:rPr>
          <w:color w:val="000000" w:themeColor="text1"/>
          <w:shd w:val="pct15" w:color="auto" w:fill="FFFFFF"/>
        </w:rPr>
      </w:pPr>
      <w:sdt>
        <w:sdtPr>
          <w:rPr>
            <w:color w:val="000000" w:themeColor="text1"/>
          </w:rPr>
          <w:alias w:val="是否适用：托管、承包、租赁事项[双击切换]"/>
          <w:tag w:val="_GBC_daed561e68674d828a348a97bffbc154"/>
          <w:id w:val="237916030"/>
          <w:placeholder>
            <w:docPart w:val="GBC22222222222222222222222222222"/>
          </w:placeholder>
        </w:sdtPr>
        <w:sdtEndPr/>
        <w:sdtContent>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p w:rsidR="00156DD6" w:rsidRDefault="00156DD6">
      <w:pPr>
        <w:rPr>
          <w:color w:val="000000" w:themeColor="text1"/>
          <w:shd w:val="pct15" w:color="auto" w:fill="FFFFFF"/>
        </w:rPr>
      </w:pPr>
    </w:p>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shd w:val="pct15" w:color="auto" w:fill="FFFFFF"/>
        </w:rPr>
        <w:sectPr w:rsidR="00156DD6">
          <w:pgSz w:w="11906" w:h="16838"/>
          <w:pgMar w:top="1525" w:right="1276" w:bottom="1440" w:left="1797" w:header="851" w:footer="992" w:gutter="0"/>
          <w:cols w:space="425"/>
          <w:docGrid w:linePitch="312"/>
        </w:sectPr>
      </w:pPr>
    </w:p>
    <w:p w:rsidR="00156DD6" w:rsidRDefault="00D51F5F">
      <w:pPr>
        <w:pStyle w:val="3"/>
        <w:numPr>
          <w:ilvl w:val="0"/>
          <w:numId w:val="23"/>
        </w:numPr>
        <w:rPr>
          <w:rFonts w:ascii="宋体" w:hAnsi="宋体"/>
          <w:color w:val="000000" w:themeColor="text1"/>
        </w:rPr>
      </w:pPr>
      <w:r>
        <w:rPr>
          <w:rFonts w:ascii="宋体" w:hAnsi="宋体"/>
          <w:color w:val="000000" w:themeColor="text1"/>
        </w:rPr>
        <w:lastRenderedPageBreak/>
        <w:t>报告期内履行的及尚未履行完毕的重大担保情况</w:t>
      </w:r>
    </w:p>
    <w:sdt>
      <w:sdtPr>
        <w:rPr>
          <w:color w:val="000000" w:themeColor="text1"/>
        </w:rPr>
        <w:alias w:val="是否适用：担保情况[双击切换]"/>
        <w:tag w:val="_GBC_aae98b3e30bd49e4b2e1d2643f200047"/>
        <w:id w:val="-651679015"/>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bookmarkStart w:id="89" w:name="_Hlk42868045"/>
      <w:r>
        <w:rPr>
          <w:rFonts w:hint="eastAsia"/>
          <w:color w:val="000000" w:themeColor="text1"/>
        </w:rPr>
        <w:t>单位</w:t>
      </w:r>
      <w:r>
        <w:rPr>
          <w:color w:val="000000" w:themeColor="text1"/>
        </w:rPr>
        <w:t>：</w:t>
      </w:r>
      <w:sdt>
        <w:sdtPr>
          <w:rPr>
            <w:color w:val="000000" w:themeColor="text1"/>
          </w:rPr>
          <w:alias w:val="单位：担保情况"/>
          <w:tag w:val="_GBC_27c8b92380c14fd7885db4b4050dbded"/>
          <w:id w:val="5872087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万元</w:t>
          </w:r>
        </w:sdtContent>
      </w:sdt>
      <w:r>
        <w:rPr>
          <w:rFonts w:hint="eastAsia"/>
          <w:color w:val="000000" w:themeColor="text1"/>
        </w:rPr>
        <w:t xml:space="preserve">  </w:t>
      </w:r>
      <w:r>
        <w:rPr>
          <w:rFonts w:hint="eastAsia"/>
          <w:color w:val="000000" w:themeColor="text1"/>
        </w:rPr>
        <w:t>币种</w:t>
      </w:r>
      <w:r>
        <w:rPr>
          <w:color w:val="000000" w:themeColor="text1"/>
        </w:rPr>
        <w:t>：</w:t>
      </w:r>
      <w:sdt>
        <w:sdtPr>
          <w:rPr>
            <w:color w:val="000000" w:themeColor="text1"/>
          </w:rPr>
          <w:alias w:val="币种：担保情况"/>
          <w:tag w:val="_GBC_a5bed87537d146398206f22cc051cc03"/>
          <w:id w:val="-17616655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820"/>
        <w:gridCol w:w="859"/>
        <w:gridCol w:w="859"/>
        <w:gridCol w:w="950"/>
        <w:gridCol w:w="859"/>
        <w:gridCol w:w="857"/>
        <w:gridCol w:w="743"/>
        <w:gridCol w:w="965"/>
        <w:gridCol w:w="860"/>
        <w:gridCol w:w="860"/>
        <w:gridCol w:w="860"/>
        <w:gridCol w:w="860"/>
        <w:gridCol w:w="945"/>
        <w:gridCol w:w="860"/>
        <w:gridCol w:w="860"/>
        <w:gridCol w:w="846"/>
      </w:tblGrid>
      <w:tr w:rsidR="00156DD6">
        <w:trPr>
          <w:trHeight w:val="293"/>
        </w:trPr>
        <w:sdt>
          <w:sdtPr>
            <w:tag w:val="_PLD_e4c50adfca70424b94b9e8ceed3333ed"/>
            <w:id w:val="-332908540"/>
          </w:sdtPr>
          <w:sdtEndPr/>
          <w:sdtContent>
            <w:tc>
              <w:tcPr>
                <w:tcW w:w="5000" w:type="pct"/>
                <w:gridSpan w:val="16"/>
                <w:tcBorders>
                  <w:top w:val="single" w:sz="4" w:space="0" w:color="auto"/>
                  <w:bottom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公司对外担保情况（不包括对子公司的担保）</w:t>
                </w:r>
              </w:p>
            </w:tc>
          </w:sdtContent>
        </w:sdt>
      </w:tr>
      <w:tr w:rsidR="00156DD6">
        <w:trPr>
          <w:trHeight w:val="293"/>
        </w:trPr>
        <w:sdt>
          <w:sdtPr>
            <w:tag w:val="_PLD_b5e3bfe83f5247d8b2e96e12bee8662f"/>
            <w:id w:val="806897811"/>
          </w:sdtPr>
          <w:sdtEndPr/>
          <w:sdtContent>
            <w:tc>
              <w:tcPr>
                <w:tcW w:w="296" w:type="pct"/>
                <w:tcBorders>
                  <w:top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担保方</w:t>
                </w:r>
              </w:p>
            </w:tc>
          </w:sdtContent>
        </w:sdt>
        <w:sdt>
          <w:sdtPr>
            <w:tag w:val="_PLD_11e8ec3aaba140989322530dbb4ee821"/>
            <w:id w:val="-2102243168"/>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担保方与上市公司的关系</w:t>
                </w:r>
              </w:p>
            </w:tc>
          </w:sdtContent>
        </w:sdt>
        <w:sdt>
          <w:sdtPr>
            <w:tag w:val="_PLD_0a624167897e488eac102851cdaa2dd6"/>
            <w:id w:val="1740058506"/>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被担保方</w:t>
                </w:r>
              </w:p>
            </w:tc>
          </w:sdtContent>
        </w:sdt>
        <w:sdt>
          <w:sdtPr>
            <w:tag w:val="_PLD_d74521a92aaa42b5808e61f4fb826446"/>
            <w:id w:val="246387417"/>
          </w:sdtPr>
          <w:sdtEndPr/>
          <w:sdtContent>
            <w:tc>
              <w:tcPr>
                <w:tcW w:w="34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担保金额</w:t>
                </w:r>
              </w:p>
            </w:tc>
          </w:sdtContent>
        </w:sdt>
        <w:sdt>
          <w:sdtPr>
            <w:tag w:val="_PLD_6741824a509a46cebcb644a6151b055d"/>
            <w:id w:val="-358276877"/>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担保发生日期</w:t>
                </w:r>
                <w:r>
                  <w:rPr>
                    <w:color w:val="000000" w:themeColor="text1"/>
                  </w:rPr>
                  <w:t>(</w:t>
                </w:r>
                <w:r>
                  <w:rPr>
                    <w:rFonts w:hint="eastAsia"/>
                    <w:color w:val="000000" w:themeColor="text1"/>
                  </w:rPr>
                  <w:t>协议签署日</w:t>
                </w:r>
                <w:r>
                  <w:rPr>
                    <w:color w:val="000000" w:themeColor="text1"/>
                  </w:rPr>
                  <w:t>)</w:t>
                </w:r>
              </w:p>
            </w:tc>
          </w:sdtContent>
        </w:sdt>
        <w:sdt>
          <w:sdtPr>
            <w:tag w:val="_PLD_0e011a3a87e14e378e635db52fd873bd"/>
            <w:id w:val="1309593537"/>
          </w:sdtPr>
          <w:sdtEndPr/>
          <w:sdtContent>
            <w:tc>
              <w:tcPr>
                <w:tcW w:w="309"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w:t>
                </w:r>
              </w:p>
              <w:p w:rsidR="00156DD6" w:rsidRDefault="00D51F5F">
                <w:pPr>
                  <w:autoSpaceDE w:val="0"/>
                  <w:autoSpaceDN w:val="0"/>
                  <w:adjustRightInd w:val="0"/>
                  <w:jc w:val="center"/>
                  <w:rPr>
                    <w:color w:val="000000" w:themeColor="text1"/>
                  </w:rPr>
                </w:pPr>
                <w:r>
                  <w:rPr>
                    <w:rFonts w:hint="eastAsia"/>
                    <w:color w:val="000000" w:themeColor="text1"/>
                  </w:rPr>
                  <w:t>起始日</w:t>
                </w:r>
              </w:p>
            </w:tc>
          </w:sdtContent>
        </w:sdt>
        <w:sdt>
          <w:sdtPr>
            <w:tag w:val="_PLD_938a1d93f58f4900b7afb7849e3e6a58"/>
            <w:id w:val="-1835053309"/>
          </w:sdtPr>
          <w:sdtEndPr/>
          <w:sdtContent>
            <w:tc>
              <w:tcPr>
                <w:tcW w:w="26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w:t>
                </w:r>
              </w:p>
              <w:p w:rsidR="00156DD6" w:rsidRDefault="00D51F5F">
                <w:pPr>
                  <w:autoSpaceDE w:val="0"/>
                  <w:autoSpaceDN w:val="0"/>
                  <w:adjustRightInd w:val="0"/>
                  <w:jc w:val="center"/>
                  <w:rPr>
                    <w:color w:val="000000" w:themeColor="text1"/>
                  </w:rPr>
                </w:pPr>
                <w:r>
                  <w:rPr>
                    <w:rFonts w:hint="eastAsia"/>
                    <w:color w:val="000000" w:themeColor="text1"/>
                  </w:rPr>
                  <w:t>到期日</w:t>
                </w:r>
              </w:p>
            </w:tc>
          </w:sdtContent>
        </w:sdt>
        <w:sdt>
          <w:sdtPr>
            <w:tag w:val="_PLD_51fa31228c524c01adac764c60a6999c"/>
            <w:id w:val="1815836884"/>
          </w:sdtPr>
          <w:sdtEndPr/>
          <w:sdtContent>
            <w:tc>
              <w:tcPr>
                <w:tcW w:w="34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担保类型</w:t>
                </w:r>
              </w:p>
            </w:tc>
          </w:sdtContent>
        </w:sdt>
        <w:sdt>
          <w:sdtPr>
            <w:tag w:val="_PLD_1f3f8cca8d8c4b94a8d81954f7951552"/>
            <w:id w:val="-1079449958"/>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主债务情况</w:t>
                </w:r>
              </w:p>
            </w:tc>
          </w:sdtContent>
        </w:sdt>
        <w:sdt>
          <w:sdtPr>
            <w:tag w:val="_PLD_cd7b5ab30a06466e9c30b0ca1035b8c8"/>
            <w:id w:val="273302087"/>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担保物（如有）</w:t>
                </w:r>
              </w:p>
            </w:tc>
          </w:sdtContent>
        </w:sdt>
        <w:sdt>
          <w:sdtPr>
            <w:tag w:val="_PLD_a4bc1e9d84484ec38af3f5d7a2752067"/>
            <w:id w:val="-310176028"/>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担保是否已经履行完毕</w:t>
                </w:r>
              </w:p>
            </w:tc>
          </w:sdtContent>
        </w:sdt>
        <w:sdt>
          <w:sdtPr>
            <w:tag w:val="_PLD_3adcf1d50e504a54949358562441ef7b"/>
            <w:id w:val="2030139788"/>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担保是否逾期</w:t>
                </w:r>
              </w:p>
            </w:tc>
          </w:sdtContent>
        </w:sdt>
        <w:sdt>
          <w:sdtPr>
            <w:tag w:val="_PLD_3860b2e281fb4e30b2945d128cc96939"/>
            <w:id w:val="1218402148"/>
          </w:sdtPr>
          <w:sdtEndPr/>
          <w:sdtContent>
            <w:tc>
              <w:tcPr>
                <w:tcW w:w="341"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担保逾期金额</w:t>
                </w:r>
              </w:p>
            </w:tc>
          </w:sdtContent>
        </w:sdt>
        <w:tc>
          <w:tcPr>
            <w:tcW w:w="310" w:type="pct"/>
            <w:tcBorders>
              <w:top w:val="single" w:sz="4" w:space="0" w:color="auto"/>
              <w:left w:val="single" w:sz="4" w:space="0" w:color="auto"/>
              <w:bottom w:val="single" w:sz="4" w:space="0" w:color="auto"/>
              <w:right w:val="single" w:sz="4" w:space="0" w:color="auto"/>
            </w:tcBorders>
            <w:vAlign w:val="center"/>
          </w:tcPr>
          <w:sdt>
            <w:sdtPr>
              <w:tag w:val="_PLD_63e29615db7e439fbe446447d9abc680"/>
              <w:id w:val="-345942134"/>
            </w:sdtPr>
            <w:sdtEndPr/>
            <w:sdtContent>
              <w:p w:rsidR="00156DD6" w:rsidRDefault="00D51F5F">
                <w:pPr>
                  <w:autoSpaceDE w:val="0"/>
                  <w:autoSpaceDN w:val="0"/>
                  <w:adjustRightInd w:val="0"/>
                  <w:jc w:val="center"/>
                  <w:rPr>
                    <w:color w:val="000000" w:themeColor="text1"/>
                  </w:rPr>
                </w:pPr>
                <w:r>
                  <w:rPr>
                    <w:rFonts w:hint="eastAsia"/>
                    <w:color w:val="000000" w:themeColor="text1"/>
                  </w:rPr>
                  <w:t>反担保情况</w:t>
                </w:r>
              </w:p>
            </w:sdtContent>
          </w:sdt>
        </w:tc>
        <w:sdt>
          <w:sdtPr>
            <w:tag w:val="_PLD_0f93b7a8a3684e3ba874246a93cd5173"/>
            <w:id w:val="-1551450392"/>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是否为关联方担保</w:t>
                </w:r>
              </w:p>
            </w:tc>
          </w:sdtContent>
        </w:sdt>
        <w:sdt>
          <w:sdtPr>
            <w:tag w:val="_PLD_fd1e6b8b28d64a7ea7816d45bcfc0699"/>
            <w:id w:val="636605548"/>
          </w:sdtPr>
          <w:sdtEndPr/>
          <w:sdtContent>
            <w:tc>
              <w:tcPr>
                <w:tcW w:w="304" w:type="pct"/>
                <w:tcBorders>
                  <w:top w:val="single" w:sz="4" w:space="0" w:color="auto"/>
                  <w:left w:val="single" w:sz="4" w:space="0" w:color="auto"/>
                  <w:bottom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关联</w:t>
                </w:r>
              </w:p>
              <w:p w:rsidR="00156DD6" w:rsidRDefault="00D51F5F">
                <w:pPr>
                  <w:autoSpaceDE w:val="0"/>
                  <w:autoSpaceDN w:val="0"/>
                  <w:adjustRightInd w:val="0"/>
                  <w:jc w:val="center"/>
                  <w:rPr>
                    <w:color w:val="000000" w:themeColor="text1"/>
                  </w:rPr>
                </w:pPr>
                <w:r>
                  <w:rPr>
                    <w:rFonts w:hint="eastAsia"/>
                    <w:color w:val="000000" w:themeColor="text1"/>
                  </w:rPr>
                  <w:t>关系</w:t>
                </w:r>
              </w:p>
            </w:tc>
          </w:sdtContent>
        </w:sdt>
      </w:tr>
      <w:tr w:rsidR="00156DD6">
        <w:trPr>
          <w:trHeight w:val="293"/>
        </w:trPr>
        <w:tc>
          <w:tcPr>
            <w:tcW w:w="296" w:type="pct"/>
            <w:tcBorders>
              <w:top w:val="single" w:sz="4" w:space="0" w:color="auto"/>
              <w:bottom w:val="single" w:sz="4" w:space="0" w:color="auto"/>
              <w:right w:val="single" w:sz="4" w:space="0" w:color="auto"/>
            </w:tcBorders>
            <w:vAlign w:val="center"/>
          </w:tcPr>
          <w:p w:rsidR="00156DD6" w:rsidRDefault="00D51F5F">
            <w:pPr>
              <w:autoSpaceDE w:val="0"/>
              <w:autoSpaceDN w:val="0"/>
              <w:adjustRightInd w:val="0"/>
            </w:pPr>
            <w:r>
              <w:rPr>
                <w:rFonts w:hint="eastAsia"/>
              </w:rPr>
              <w:t>-</w:t>
            </w:r>
          </w:p>
        </w:tc>
        <w:sdt>
          <w:sdtPr>
            <w:rPr>
              <w:rFonts w:hint="eastAsia"/>
              <w:bCs w:val="0"/>
              <w:color w:val="000000" w:themeColor="text1"/>
            </w:rPr>
            <w:alias w:val="担保方与上市公司的关联关系"/>
            <w:tag w:val="_GBC_314278e58f414ef59436a6ba610dfaef"/>
            <w:id w:val="-1516605041"/>
            <w:comboBox>
              <w:listItem w:displayText="公司本部" w:value="公司本部"/>
              <w:listItem w:displayText="控股子公司" w:value="控股子公司"/>
              <w:listItem w:displayText="全资子公司" w:value="全资子公司"/>
            </w:comboBox>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 xml:space="preserve">　</w:t>
                </w:r>
                <w:r>
                  <w:rPr>
                    <w:rFonts w:hint="eastAsia"/>
                    <w:color w:val="000000" w:themeColor="text1"/>
                  </w:rPr>
                  <w:t>-</w:t>
                </w:r>
              </w:p>
            </w:tc>
          </w:sdtContent>
        </w:sd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pPr>
            <w:r>
              <w:rPr>
                <w:rFonts w:hint="eastAsia"/>
              </w:rPr>
              <w:t>-</w:t>
            </w:r>
          </w:p>
        </w:tc>
        <w:tc>
          <w:tcPr>
            <w:tcW w:w="34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ind w:rightChars="40" w:right="84"/>
              <w:jc w:val="right"/>
            </w:pPr>
            <w:r>
              <w:rPr>
                <w:rFonts w:hint="eastAsia"/>
              </w:rPr>
              <w:t>-</w:t>
            </w:r>
          </w:p>
        </w:tc>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pPr>
            <w:r>
              <w:rPr>
                <w:rFonts w:hint="eastAsia"/>
              </w:rPr>
              <w:t>-</w:t>
            </w:r>
          </w:p>
        </w:tc>
        <w:tc>
          <w:tcPr>
            <w:tcW w:w="309"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pPr>
            <w:r>
              <w:rPr>
                <w:rFonts w:hint="eastAsia"/>
              </w:rPr>
              <w:t>-</w:t>
            </w:r>
          </w:p>
        </w:tc>
        <w:tc>
          <w:tcPr>
            <w:tcW w:w="26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pPr>
            <w:r>
              <w:rPr>
                <w:rFonts w:hint="eastAsia"/>
              </w:rPr>
              <w:t>-</w:t>
            </w:r>
          </w:p>
        </w:tc>
        <w:sdt>
          <w:sdtPr>
            <w:rPr>
              <w:color w:val="000000" w:themeColor="text1"/>
            </w:rPr>
            <w:alias w:val="担保类型"/>
            <w:tag w:val="_GBC_5b7281c91f794ab38f9d7314134cce0e"/>
            <w:id w:val="-605429517"/>
            <w:comboBox>
              <w:listItem w:displayText="一般担保" w:value="一般担保"/>
              <w:listItem w:displayText="连带责任担保" w:value="连带责任担保"/>
            </w:comboBox>
          </w:sdtPr>
          <w:sdtEndPr/>
          <w:sdtContent>
            <w:tc>
              <w:tcPr>
                <w:tcW w:w="34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 xml:space="preserve">　</w:t>
                </w:r>
                <w:r>
                  <w:rPr>
                    <w:rFonts w:hint="eastAsia"/>
                    <w:color w:val="000000" w:themeColor="text1"/>
                  </w:rPr>
                  <w:t>-</w:t>
                </w:r>
              </w:p>
            </w:tc>
          </w:sdtContent>
        </w:sd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rPr>
                <w:bCs w:val="0"/>
              </w:rPr>
            </w:pPr>
            <w:r>
              <w:rPr>
                <w:rFonts w:hint="eastAsia"/>
                <w:bCs w:val="0"/>
              </w:rPr>
              <w:t>-</w:t>
            </w:r>
          </w:p>
        </w:tc>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rPr>
                <w:bCs w:val="0"/>
              </w:rPr>
            </w:pPr>
            <w:r>
              <w:rPr>
                <w:rFonts w:hint="eastAsia"/>
                <w:bCs w:val="0"/>
              </w:rPr>
              <w:t>-</w:t>
            </w:r>
          </w:p>
        </w:tc>
        <w:sdt>
          <w:sdtPr>
            <w:rPr>
              <w:rFonts w:hint="eastAsia"/>
              <w:bCs w:val="0"/>
              <w:color w:val="000000" w:themeColor="text1"/>
            </w:rPr>
            <w:alias w:val="担保是否已经履行完毕"/>
            <w:tag w:val="_GBC_790379edf6c5464398bb5b16c5922675"/>
            <w:id w:val="580030423"/>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 xml:space="preserve">　</w:t>
                </w:r>
                <w:r>
                  <w:rPr>
                    <w:rFonts w:hint="eastAsia"/>
                    <w:color w:val="000000" w:themeColor="text1"/>
                  </w:rPr>
                  <w:t>-</w:t>
                </w:r>
              </w:p>
            </w:tc>
          </w:sdtContent>
        </w:sdt>
        <w:sdt>
          <w:sdtPr>
            <w:rPr>
              <w:rFonts w:hint="eastAsia"/>
              <w:bCs w:val="0"/>
              <w:color w:val="000000" w:themeColor="text1"/>
            </w:rPr>
            <w:alias w:val="担保是否逾期"/>
            <w:tag w:val="_GBC_279128b9b4aa4b139c08ccdf093c3266"/>
            <w:id w:val="-1886701360"/>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 xml:space="preserve">　</w:t>
                </w:r>
                <w:r>
                  <w:rPr>
                    <w:rFonts w:hint="eastAsia"/>
                    <w:color w:val="000000" w:themeColor="text1"/>
                  </w:rPr>
                  <w:t>-</w:t>
                </w:r>
              </w:p>
            </w:tc>
          </w:sdtContent>
        </w:sdt>
        <w:tc>
          <w:tcPr>
            <w:tcW w:w="341"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ind w:rightChars="40" w:right="84"/>
              <w:jc w:val="right"/>
              <w:rPr>
                <w:bCs w:val="0"/>
              </w:rPr>
            </w:pPr>
            <w:r>
              <w:rPr>
                <w:rFonts w:hint="eastAsia"/>
                <w:bCs w:val="0"/>
              </w:rPr>
              <w:t>-</w:t>
            </w:r>
          </w:p>
        </w:tc>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rPr>
                <w:bCs w:val="0"/>
              </w:rPr>
            </w:pPr>
            <w:r>
              <w:rPr>
                <w:rFonts w:hint="eastAsia"/>
                <w:bCs w:val="0"/>
              </w:rPr>
              <w:t>-</w:t>
            </w:r>
          </w:p>
        </w:tc>
        <w:sdt>
          <w:sdtPr>
            <w:rPr>
              <w:rFonts w:hint="eastAsia"/>
              <w:bCs w:val="0"/>
              <w:color w:val="000000" w:themeColor="text1"/>
            </w:rPr>
            <w:alias w:val="是否为关联方担保"/>
            <w:tag w:val="_GBC_2ed8d565e4a8488f94e2a908c31053b9"/>
            <w:id w:val="-501046375"/>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 xml:space="preserve">　</w:t>
                </w:r>
                <w:r>
                  <w:rPr>
                    <w:rFonts w:hint="eastAsia"/>
                    <w:color w:val="000000" w:themeColor="text1"/>
                  </w:rPr>
                  <w:t>-</w:t>
                </w:r>
              </w:p>
            </w:tc>
          </w:sdtContent>
        </w:sdt>
        <w:sdt>
          <w:sdtPr>
            <w:rPr>
              <w:color w:val="000000" w:themeColor="text1"/>
            </w:rPr>
            <w:alias w:val="担保中关联方与本公司关系"/>
            <w:tag w:val="_GBC_f42e2a714e404fb1856cdca85466ce88"/>
            <w:id w:val="-2127917982"/>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04" w:type="pct"/>
                <w:tcBorders>
                  <w:top w:val="single" w:sz="4" w:space="0" w:color="auto"/>
                  <w:left w:val="single" w:sz="4" w:space="0" w:color="auto"/>
                  <w:bottom w:val="single" w:sz="4" w:space="0" w:color="auto"/>
                </w:tcBorders>
                <w:vAlign w:val="center"/>
              </w:tcPr>
              <w:p w:rsidR="00156DD6" w:rsidRDefault="00D51F5F">
                <w:pPr>
                  <w:autoSpaceDE w:val="0"/>
                  <w:autoSpaceDN w:val="0"/>
                  <w:adjustRightInd w:val="0"/>
                  <w:jc w:val="center"/>
                  <w:rPr>
                    <w:color w:val="000000" w:themeColor="text1"/>
                  </w:rPr>
                </w:pPr>
                <w:r>
                  <w:rPr>
                    <w:color w:val="000000" w:themeColor="text1"/>
                  </w:rPr>
                  <w:t>-</w:t>
                </w:r>
                <w:r>
                  <w:rPr>
                    <w:rFonts w:hint="eastAsia"/>
                    <w:color w:val="000000" w:themeColor="text1"/>
                  </w:rPr>
                  <w:t xml:space="preserve">　</w:t>
                </w:r>
              </w:p>
            </w:tc>
          </w:sdtContent>
        </w:sdt>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报告期内担保发生额合计（不包括对子公司的担保）</w:t>
            </w:r>
          </w:p>
        </w:tc>
        <w:tc>
          <w:tcPr>
            <w:tcW w:w="2854" w:type="pct"/>
            <w:gridSpan w:val="9"/>
            <w:tcBorders>
              <w:top w:val="single" w:sz="4" w:space="0" w:color="auto"/>
              <w:left w:val="single" w:sz="4" w:space="0" w:color="auto"/>
              <w:bottom w:val="single" w:sz="4" w:space="0" w:color="auto"/>
            </w:tcBorders>
            <w:vAlign w:val="center"/>
          </w:tcPr>
          <w:p w:rsidR="00156DD6" w:rsidRDefault="00D51F5F">
            <w:pPr>
              <w:ind w:rightChars="40" w:right="84"/>
              <w:jc w:val="right"/>
            </w:pPr>
            <w:r>
              <w:t>-</w:t>
            </w:r>
          </w:p>
        </w:tc>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报告期末担保余额合计（</w:t>
            </w:r>
            <w:r>
              <w:rPr>
                <w:color w:val="000000" w:themeColor="text1"/>
              </w:rPr>
              <w:t>A</w:t>
            </w:r>
            <w:r>
              <w:rPr>
                <w:rFonts w:hint="eastAsia"/>
                <w:color w:val="000000" w:themeColor="text1"/>
              </w:rPr>
              <w:t>）（不包括对子公司的担保）</w:t>
            </w:r>
          </w:p>
        </w:tc>
        <w:tc>
          <w:tcPr>
            <w:tcW w:w="2854" w:type="pct"/>
            <w:gridSpan w:val="9"/>
            <w:tcBorders>
              <w:top w:val="single" w:sz="4" w:space="0" w:color="auto"/>
              <w:left w:val="single" w:sz="4" w:space="0" w:color="auto"/>
              <w:bottom w:val="single" w:sz="4" w:space="0" w:color="auto"/>
            </w:tcBorders>
            <w:vAlign w:val="center"/>
          </w:tcPr>
          <w:p w:rsidR="00156DD6" w:rsidRDefault="00D51F5F">
            <w:pPr>
              <w:autoSpaceDE w:val="0"/>
              <w:autoSpaceDN w:val="0"/>
              <w:adjustRightInd w:val="0"/>
              <w:ind w:rightChars="40" w:right="84"/>
              <w:jc w:val="right"/>
            </w:pPr>
            <w:r>
              <w:rPr>
                <w:rFonts w:hint="eastAsia"/>
              </w:rPr>
              <w:t>-</w:t>
            </w:r>
          </w:p>
        </w:tc>
      </w:tr>
      <w:tr w:rsidR="00156DD6">
        <w:trPr>
          <w:trHeight w:val="308"/>
        </w:trPr>
        <w:tc>
          <w:tcPr>
            <w:tcW w:w="5000" w:type="pct"/>
            <w:gridSpan w:val="16"/>
            <w:tcBorders>
              <w:top w:val="single" w:sz="4" w:space="0" w:color="auto"/>
              <w:bottom w:val="single" w:sz="4" w:space="0" w:color="auto"/>
            </w:tcBorders>
            <w:vAlign w:val="center"/>
          </w:tcPr>
          <w:p w:rsidR="00156DD6" w:rsidRDefault="00D51F5F">
            <w:pPr>
              <w:autoSpaceDE w:val="0"/>
              <w:autoSpaceDN w:val="0"/>
              <w:adjustRightInd w:val="0"/>
              <w:ind w:rightChars="40" w:right="84"/>
              <w:jc w:val="center"/>
              <w:rPr>
                <w:color w:val="000000" w:themeColor="text1"/>
              </w:rPr>
            </w:pPr>
            <w:sdt>
              <w:sdtPr>
                <w:tag w:val="_PLD_05f81595191b432fba2f5467a459f70b"/>
                <w:id w:val="-160233838"/>
              </w:sdtPr>
              <w:sdtEndPr/>
              <w:sdtContent>
                <w:r>
                  <w:rPr>
                    <w:rFonts w:hint="eastAsia"/>
                    <w:color w:val="000000" w:themeColor="text1"/>
                  </w:rPr>
                  <w:t>公司对子公司的担保情况</w:t>
                </w:r>
              </w:sdtContent>
            </w:sdt>
          </w:p>
        </w:tc>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ind w:rightChars="40" w:right="84"/>
              <w:rPr>
                <w:color w:val="000000" w:themeColor="text1"/>
              </w:rPr>
            </w:pPr>
            <w:r>
              <w:rPr>
                <w:rFonts w:hint="eastAsia"/>
                <w:color w:val="000000" w:themeColor="text1"/>
              </w:rPr>
              <w:t>报告期内对子公司担保发生额合计</w:t>
            </w:r>
          </w:p>
        </w:tc>
        <w:tc>
          <w:tcPr>
            <w:tcW w:w="2854" w:type="pct"/>
            <w:gridSpan w:val="9"/>
            <w:tcBorders>
              <w:top w:val="single" w:sz="4" w:space="0" w:color="auto"/>
              <w:left w:val="single" w:sz="4" w:space="0" w:color="auto"/>
              <w:bottom w:val="single" w:sz="4" w:space="0" w:color="auto"/>
            </w:tcBorders>
            <w:vAlign w:val="center"/>
          </w:tcPr>
          <w:p w:rsidR="00156DD6" w:rsidRDefault="00D51F5F">
            <w:pPr>
              <w:ind w:rightChars="40" w:right="84"/>
              <w:jc w:val="right"/>
            </w:pPr>
            <w:r>
              <w:t>96,500.00</w:t>
            </w:r>
          </w:p>
        </w:tc>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ind w:rightChars="40" w:right="84"/>
              <w:rPr>
                <w:color w:val="000000" w:themeColor="text1"/>
              </w:rPr>
            </w:pPr>
            <w:r>
              <w:rPr>
                <w:rFonts w:hint="eastAsia"/>
                <w:color w:val="000000" w:themeColor="text1"/>
              </w:rPr>
              <w:t>报告期末对子公司担保余额合计（</w:t>
            </w:r>
            <w:r>
              <w:rPr>
                <w:color w:val="000000" w:themeColor="text1"/>
              </w:rPr>
              <w:t>B</w:t>
            </w:r>
            <w:r>
              <w:rPr>
                <w:rFonts w:hint="eastAsia"/>
                <w:color w:val="000000" w:themeColor="text1"/>
              </w:rPr>
              <w:t>）</w:t>
            </w:r>
          </w:p>
        </w:tc>
        <w:tc>
          <w:tcPr>
            <w:tcW w:w="2854" w:type="pct"/>
            <w:gridSpan w:val="9"/>
            <w:tcBorders>
              <w:top w:val="single" w:sz="4" w:space="0" w:color="auto"/>
              <w:left w:val="single" w:sz="4" w:space="0" w:color="auto"/>
              <w:bottom w:val="single" w:sz="4" w:space="0" w:color="auto"/>
            </w:tcBorders>
            <w:vAlign w:val="center"/>
          </w:tcPr>
          <w:p w:rsidR="00156DD6" w:rsidRDefault="00D51F5F">
            <w:pPr>
              <w:tabs>
                <w:tab w:val="center" w:pos="2466"/>
                <w:tab w:val="right" w:pos="4932"/>
              </w:tabs>
              <w:autoSpaceDE w:val="0"/>
              <w:autoSpaceDN w:val="0"/>
              <w:adjustRightInd w:val="0"/>
              <w:ind w:rightChars="40" w:right="84"/>
              <w:jc w:val="right"/>
            </w:pPr>
            <w:r>
              <w:t>47,927.39</w:t>
            </w:r>
          </w:p>
        </w:tc>
      </w:tr>
      <w:tr w:rsidR="00156DD6">
        <w:trPr>
          <w:trHeight w:val="308"/>
        </w:trPr>
        <w:sdt>
          <w:sdtPr>
            <w:tag w:val="_PLD_7934b7db222a4b859de67adddfbf4ea4"/>
            <w:id w:val="1256719586"/>
          </w:sdtPr>
          <w:sdtEndPr/>
          <w:sdtContent>
            <w:tc>
              <w:tcPr>
                <w:tcW w:w="5000" w:type="pct"/>
                <w:gridSpan w:val="16"/>
                <w:tcBorders>
                  <w:top w:val="single" w:sz="4" w:space="0" w:color="auto"/>
                  <w:bottom w:val="single" w:sz="4" w:space="0" w:color="auto"/>
                </w:tcBorders>
                <w:vAlign w:val="center"/>
              </w:tcPr>
              <w:p w:rsidR="00156DD6" w:rsidRDefault="00D51F5F">
                <w:pPr>
                  <w:autoSpaceDE w:val="0"/>
                  <w:autoSpaceDN w:val="0"/>
                  <w:adjustRightInd w:val="0"/>
                  <w:ind w:rightChars="40" w:right="84"/>
                  <w:jc w:val="center"/>
                  <w:rPr>
                    <w:color w:val="000000" w:themeColor="text1"/>
                  </w:rPr>
                </w:pPr>
                <w:r>
                  <w:rPr>
                    <w:rFonts w:hint="eastAsia"/>
                    <w:color w:val="000000" w:themeColor="text1"/>
                  </w:rPr>
                  <w:t>公司担保总额情况（包括对子公司的担保）</w:t>
                </w:r>
              </w:p>
            </w:tc>
          </w:sdtContent>
        </w:sdt>
      </w:tr>
      <w:tr w:rsidR="00156DD6">
        <w:trPr>
          <w:trHeight w:val="470"/>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ind w:rightChars="40" w:right="84"/>
              <w:rPr>
                <w:color w:val="000000" w:themeColor="text1"/>
              </w:rPr>
            </w:pPr>
            <w:r>
              <w:rPr>
                <w:rFonts w:hint="eastAsia"/>
                <w:color w:val="000000" w:themeColor="text1"/>
              </w:rPr>
              <w:t>担保总额（</w:t>
            </w:r>
            <w:r>
              <w:rPr>
                <w:color w:val="000000" w:themeColor="text1"/>
              </w:rPr>
              <w:t>A+B</w:t>
            </w:r>
            <w:r>
              <w:rPr>
                <w:rFonts w:hint="eastAsia"/>
                <w:color w:val="000000" w:themeColor="text1"/>
              </w:rPr>
              <w:t>）</w:t>
            </w:r>
          </w:p>
        </w:tc>
        <w:tc>
          <w:tcPr>
            <w:tcW w:w="2854" w:type="pct"/>
            <w:gridSpan w:val="9"/>
            <w:tcBorders>
              <w:top w:val="single" w:sz="4" w:space="0" w:color="auto"/>
              <w:left w:val="single" w:sz="4" w:space="0" w:color="auto"/>
              <w:bottom w:val="single" w:sz="4" w:space="0" w:color="auto"/>
            </w:tcBorders>
            <w:vAlign w:val="center"/>
          </w:tcPr>
          <w:p w:rsidR="00156DD6" w:rsidRDefault="00D51F5F">
            <w:pPr>
              <w:autoSpaceDE w:val="0"/>
              <w:autoSpaceDN w:val="0"/>
              <w:adjustRightInd w:val="0"/>
              <w:ind w:rightChars="40" w:right="84"/>
              <w:jc w:val="right"/>
            </w:pPr>
            <w:r>
              <w:t>47,927.39</w:t>
            </w:r>
          </w:p>
        </w:tc>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ind w:rightChars="40" w:right="84"/>
              <w:rPr>
                <w:color w:val="000000" w:themeColor="text1"/>
              </w:rPr>
            </w:pPr>
            <w:r>
              <w:rPr>
                <w:rFonts w:hint="eastAsia"/>
                <w:color w:val="000000" w:themeColor="text1"/>
              </w:rPr>
              <w:t>担保总额占公司净资产的比例</w:t>
            </w:r>
            <w:r>
              <w:rPr>
                <w:color w:val="000000" w:themeColor="text1"/>
              </w:rPr>
              <w:t>(%)</w:t>
            </w:r>
          </w:p>
        </w:tc>
        <w:tc>
          <w:tcPr>
            <w:tcW w:w="2854" w:type="pct"/>
            <w:gridSpan w:val="9"/>
            <w:tcBorders>
              <w:top w:val="single" w:sz="4" w:space="0" w:color="auto"/>
              <w:left w:val="single" w:sz="4" w:space="0" w:color="auto"/>
              <w:bottom w:val="single" w:sz="4" w:space="0" w:color="auto"/>
            </w:tcBorders>
            <w:vAlign w:val="center"/>
          </w:tcPr>
          <w:p w:rsidR="00156DD6" w:rsidRDefault="00D51F5F">
            <w:pPr>
              <w:autoSpaceDE w:val="0"/>
              <w:autoSpaceDN w:val="0"/>
              <w:adjustRightInd w:val="0"/>
              <w:ind w:rightChars="40" w:right="84"/>
              <w:jc w:val="right"/>
            </w:pPr>
            <w:r>
              <w:rPr>
                <w:rFonts w:hint="eastAsia"/>
              </w:rPr>
              <w:t>19.32</w:t>
            </w:r>
          </w:p>
        </w:tc>
      </w:tr>
      <w:tr w:rsidR="00156DD6">
        <w:trPr>
          <w:trHeight w:val="308"/>
        </w:trPr>
        <w:sdt>
          <w:sdtPr>
            <w:tag w:val="_PLD_a773089c19754364bad6c8803a7c8022"/>
            <w:id w:val="-1472823359"/>
          </w:sdtPr>
          <w:sdtEndPr/>
          <w:sdtContent>
            <w:tc>
              <w:tcPr>
                <w:tcW w:w="5000" w:type="pct"/>
                <w:gridSpan w:val="16"/>
                <w:tcBorders>
                  <w:top w:val="single" w:sz="4" w:space="0" w:color="auto"/>
                  <w:bottom w:val="single" w:sz="4" w:space="0" w:color="auto"/>
                </w:tcBorders>
                <w:vAlign w:val="center"/>
              </w:tcPr>
              <w:p w:rsidR="00156DD6" w:rsidRDefault="00D51F5F">
                <w:pPr>
                  <w:pStyle w:val="a8"/>
                  <w:autoSpaceDE w:val="0"/>
                  <w:autoSpaceDN w:val="0"/>
                  <w:adjustRightInd w:val="0"/>
                  <w:ind w:rightChars="40" w:right="84"/>
                  <w:rPr>
                    <w:rFonts w:ascii="宋体" w:hAnsi="宋体"/>
                    <w:color w:val="000000" w:themeColor="text1"/>
                  </w:rPr>
                </w:pPr>
                <w:r>
                  <w:rPr>
                    <w:rFonts w:ascii="宋体" w:hAnsi="宋体" w:hint="eastAsia"/>
                    <w:color w:val="000000" w:themeColor="text1"/>
                  </w:rPr>
                  <w:t>其中：</w:t>
                </w:r>
              </w:p>
            </w:tc>
          </w:sdtContent>
        </w:sdt>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为股东、实际控制人及其关联方提供担保的金额（</w:t>
            </w:r>
            <w:r>
              <w:rPr>
                <w:color w:val="000000" w:themeColor="text1"/>
              </w:rPr>
              <w:t>C</w:t>
            </w:r>
            <w:r>
              <w:rPr>
                <w:rFonts w:hint="eastAsia"/>
                <w:color w:val="000000" w:themeColor="text1"/>
              </w:rPr>
              <w:t>）</w:t>
            </w:r>
          </w:p>
        </w:tc>
        <w:tc>
          <w:tcPr>
            <w:tcW w:w="2854" w:type="pct"/>
            <w:gridSpan w:val="9"/>
            <w:tcBorders>
              <w:top w:val="single" w:sz="4" w:space="0" w:color="auto"/>
              <w:left w:val="single" w:sz="4" w:space="0" w:color="auto"/>
              <w:bottom w:val="single" w:sz="4" w:space="0" w:color="auto"/>
            </w:tcBorders>
            <w:vAlign w:val="center"/>
          </w:tcPr>
          <w:p w:rsidR="00156DD6" w:rsidRDefault="00156DD6">
            <w:pPr>
              <w:ind w:rightChars="40" w:right="84"/>
              <w:jc w:val="right"/>
            </w:pPr>
          </w:p>
        </w:tc>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直接或间接为资产负债率超过</w:t>
            </w:r>
            <w:r>
              <w:rPr>
                <w:color w:val="000000" w:themeColor="text1"/>
              </w:rPr>
              <w:t>70</w:t>
            </w:r>
            <w:r>
              <w:rPr>
                <w:rFonts w:hint="eastAsia"/>
                <w:color w:val="000000" w:themeColor="text1"/>
              </w:rPr>
              <w:t>%</w:t>
            </w:r>
            <w:r>
              <w:rPr>
                <w:rFonts w:hint="eastAsia"/>
                <w:color w:val="000000" w:themeColor="text1"/>
              </w:rPr>
              <w:t>的被担保对象提供的债务担保金额（</w:t>
            </w:r>
            <w:r>
              <w:rPr>
                <w:color w:val="000000" w:themeColor="text1"/>
              </w:rPr>
              <w:t>D</w:t>
            </w:r>
            <w:r>
              <w:rPr>
                <w:rFonts w:hint="eastAsia"/>
                <w:color w:val="000000" w:themeColor="text1"/>
              </w:rPr>
              <w:t>）</w:t>
            </w:r>
          </w:p>
        </w:tc>
        <w:tc>
          <w:tcPr>
            <w:tcW w:w="2854" w:type="pct"/>
            <w:gridSpan w:val="9"/>
            <w:tcBorders>
              <w:top w:val="single" w:sz="4" w:space="0" w:color="auto"/>
              <w:left w:val="single" w:sz="4" w:space="0" w:color="auto"/>
              <w:bottom w:val="single" w:sz="4" w:space="0" w:color="auto"/>
            </w:tcBorders>
            <w:vAlign w:val="center"/>
          </w:tcPr>
          <w:p w:rsidR="00156DD6" w:rsidRDefault="00D51F5F">
            <w:pPr>
              <w:autoSpaceDE w:val="0"/>
              <w:autoSpaceDN w:val="0"/>
              <w:adjustRightInd w:val="0"/>
              <w:ind w:rightChars="40" w:right="84"/>
              <w:jc w:val="right"/>
            </w:pPr>
            <w:r>
              <w:t>4,373.50</w:t>
            </w:r>
          </w:p>
        </w:tc>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担保总额超过净资产</w:t>
            </w:r>
            <w:r>
              <w:rPr>
                <w:color w:val="000000" w:themeColor="text1"/>
              </w:rPr>
              <w:t>50</w:t>
            </w:r>
            <w:r>
              <w:rPr>
                <w:rFonts w:hint="eastAsia"/>
                <w:color w:val="000000" w:themeColor="text1"/>
              </w:rPr>
              <w:t>%</w:t>
            </w:r>
            <w:r>
              <w:rPr>
                <w:rFonts w:hint="eastAsia"/>
                <w:color w:val="000000" w:themeColor="text1"/>
              </w:rPr>
              <w:t>部分的金额（</w:t>
            </w:r>
            <w:r>
              <w:rPr>
                <w:color w:val="000000" w:themeColor="text1"/>
              </w:rPr>
              <w:t>E</w:t>
            </w:r>
            <w:r>
              <w:rPr>
                <w:rFonts w:hint="eastAsia"/>
                <w:color w:val="000000" w:themeColor="text1"/>
              </w:rPr>
              <w:t>）</w:t>
            </w:r>
          </w:p>
        </w:tc>
        <w:tc>
          <w:tcPr>
            <w:tcW w:w="2854" w:type="pct"/>
            <w:gridSpan w:val="9"/>
            <w:tcBorders>
              <w:top w:val="single" w:sz="4" w:space="0" w:color="auto"/>
              <w:left w:val="single" w:sz="4" w:space="0" w:color="auto"/>
              <w:bottom w:val="single" w:sz="4" w:space="0" w:color="auto"/>
            </w:tcBorders>
            <w:vAlign w:val="center"/>
          </w:tcPr>
          <w:p w:rsidR="00156DD6" w:rsidRDefault="00156DD6">
            <w:pPr>
              <w:ind w:rightChars="40" w:right="84"/>
              <w:jc w:val="right"/>
            </w:pPr>
          </w:p>
        </w:tc>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上述三项担保金额合计（</w:t>
            </w:r>
            <w:r>
              <w:rPr>
                <w:color w:val="000000" w:themeColor="text1"/>
              </w:rPr>
              <w:t>C+D+E</w:t>
            </w:r>
            <w:r>
              <w:rPr>
                <w:rFonts w:hint="eastAsia"/>
                <w:color w:val="000000" w:themeColor="text1"/>
              </w:rPr>
              <w:t>）</w:t>
            </w:r>
          </w:p>
        </w:tc>
        <w:tc>
          <w:tcPr>
            <w:tcW w:w="2854" w:type="pct"/>
            <w:gridSpan w:val="9"/>
            <w:tcBorders>
              <w:top w:val="single" w:sz="4" w:space="0" w:color="auto"/>
              <w:left w:val="single" w:sz="4" w:space="0" w:color="auto"/>
              <w:bottom w:val="single" w:sz="4" w:space="0" w:color="auto"/>
            </w:tcBorders>
            <w:vAlign w:val="center"/>
          </w:tcPr>
          <w:p w:rsidR="00156DD6" w:rsidRDefault="00D51F5F">
            <w:pPr>
              <w:autoSpaceDE w:val="0"/>
              <w:autoSpaceDN w:val="0"/>
              <w:adjustRightInd w:val="0"/>
              <w:ind w:rightChars="40" w:right="84"/>
              <w:jc w:val="right"/>
            </w:pPr>
            <w:r>
              <w:t>4,373.50</w:t>
            </w:r>
          </w:p>
        </w:tc>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pStyle w:val="a8"/>
              <w:autoSpaceDE w:val="0"/>
              <w:autoSpaceDN w:val="0"/>
              <w:adjustRightInd w:val="0"/>
              <w:rPr>
                <w:rFonts w:ascii="宋体" w:hAnsi="宋体"/>
                <w:color w:val="000000" w:themeColor="text1"/>
              </w:rPr>
            </w:pPr>
            <w:r>
              <w:rPr>
                <w:rFonts w:ascii="宋体" w:hAnsi="宋体" w:hint="eastAsia"/>
                <w:color w:val="000000" w:themeColor="text1"/>
              </w:rPr>
              <w:t>未到期担保可能承担连带清偿责任说明</w:t>
            </w:r>
          </w:p>
        </w:tc>
        <w:tc>
          <w:tcPr>
            <w:tcW w:w="2854" w:type="pct"/>
            <w:gridSpan w:val="9"/>
            <w:tcBorders>
              <w:top w:val="single" w:sz="4" w:space="0" w:color="auto"/>
              <w:left w:val="single" w:sz="4" w:space="0" w:color="auto"/>
              <w:bottom w:val="single" w:sz="4" w:space="0" w:color="auto"/>
            </w:tcBorders>
            <w:vAlign w:val="center"/>
          </w:tcPr>
          <w:p w:rsidR="00156DD6" w:rsidRDefault="00156DD6">
            <w:pPr>
              <w:autoSpaceDE w:val="0"/>
              <w:autoSpaceDN w:val="0"/>
              <w:adjustRightInd w:val="0"/>
            </w:pPr>
          </w:p>
        </w:tc>
      </w:tr>
      <w:tr w:rsidR="00156DD6">
        <w:trPr>
          <w:trHeight w:val="308"/>
        </w:trPr>
        <w:tc>
          <w:tcPr>
            <w:tcW w:w="2146" w:type="pct"/>
            <w:gridSpan w:val="7"/>
            <w:tcBorders>
              <w:top w:val="single" w:sz="4" w:space="0" w:color="auto"/>
              <w:bottom w:val="single" w:sz="4" w:space="0" w:color="auto"/>
              <w:right w:val="single" w:sz="4" w:space="0" w:color="auto"/>
            </w:tcBorders>
            <w:vAlign w:val="center"/>
          </w:tcPr>
          <w:p w:rsidR="00156DD6" w:rsidRDefault="00D51F5F">
            <w:pPr>
              <w:autoSpaceDE w:val="0"/>
              <w:autoSpaceDN w:val="0"/>
              <w:adjustRightInd w:val="0"/>
              <w:rPr>
                <w:color w:val="000000" w:themeColor="text1"/>
              </w:rPr>
            </w:pPr>
            <w:r>
              <w:rPr>
                <w:rFonts w:hint="eastAsia"/>
                <w:color w:val="000000" w:themeColor="text1"/>
              </w:rPr>
              <w:t>担保情况说明</w:t>
            </w:r>
          </w:p>
        </w:tc>
        <w:tc>
          <w:tcPr>
            <w:tcW w:w="2854" w:type="pct"/>
            <w:gridSpan w:val="9"/>
            <w:tcBorders>
              <w:top w:val="single" w:sz="4" w:space="0" w:color="auto"/>
              <w:left w:val="single" w:sz="4" w:space="0" w:color="auto"/>
              <w:bottom w:val="single" w:sz="4" w:space="0" w:color="auto"/>
            </w:tcBorders>
            <w:vAlign w:val="center"/>
          </w:tcPr>
          <w:p w:rsidR="00156DD6" w:rsidRDefault="00156DD6">
            <w:pPr>
              <w:autoSpaceDE w:val="0"/>
              <w:autoSpaceDN w:val="0"/>
              <w:adjustRightInd w:val="0"/>
            </w:pPr>
          </w:p>
        </w:tc>
      </w:tr>
    </w:tbl>
    <w:p w:rsidR="00156DD6" w:rsidRDefault="00156DD6">
      <w:pPr>
        <w:rPr>
          <w:color w:val="000000" w:themeColor="text1"/>
        </w:rPr>
      </w:pPr>
    </w:p>
    <w:bookmarkEnd w:id="89"/>
    <w:p w:rsidR="00156DD6" w:rsidRDefault="00156DD6">
      <w:pPr>
        <w:rPr>
          <w:color w:val="000000" w:themeColor="text1"/>
        </w:rPr>
        <w:sectPr w:rsidR="00156DD6">
          <w:pgSz w:w="16838" w:h="11906" w:orient="landscape"/>
          <w:pgMar w:top="1797" w:right="1525" w:bottom="1276" w:left="1440" w:header="851" w:footer="992" w:gutter="0"/>
          <w:cols w:space="425"/>
          <w:docGrid w:linePitch="312"/>
        </w:sectPr>
      </w:pPr>
    </w:p>
    <w:p w:rsidR="00156DD6" w:rsidRDefault="00D51F5F">
      <w:pPr>
        <w:pStyle w:val="3"/>
        <w:numPr>
          <w:ilvl w:val="0"/>
          <w:numId w:val="23"/>
        </w:numPr>
        <w:rPr>
          <w:rFonts w:ascii="宋体" w:hAnsi="宋体"/>
          <w:color w:val="000000" w:themeColor="text1"/>
        </w:rPr>
      </w:pPr>
      <w:r>
        <w:rPr>
          <w:rFonts w:ascii="宋体" w:hAnsi="宋体"/>
          <w:color w:val="000000" w:themeColor="text1"/>
        </w:rPr>
        <w:lastRenderedPageBreak/>
        <w:t>其他重大合同</w:t>
      </w:r>
    </w:p>
    <w:sdt>
      <w:sdtPr>
        <w:rPr>
          <w:color w:val="000000" w:themeColor="text1"/>
        </w:rPr>
        <w:alias w:val="是否适用：其他重大合同[双击切换]"/>
        <w:tag w:val="_GBC_23289ac36e3b4aeeaff6a4f1df0c3165"/>
        <w:id w:val="198426839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bookmarkStart w:id="90" w:name="_Hlk72846301"/>
      <w:bookmarkStart w:id="91" w:name="_Hlk170206295"/>
      <w:bookmarkStart w:id="92" w:name="_Hlk170215658"/>
      <w:r>
        <w:rPr>
          <w:rFonts w:ascii="宋体" w:hAnsi="宋体" w:hint="eastAsia"/>
          <w:color w:val="000000" w:themeColor="text1"/>
        </w:rPr>
        <w:t>募集资金使用进展说明</w:t>
      </w:r>
    </w:p>
    <w:sdt>
      <w:sdtPr>
        <w:rPr>
          <w:color w:val="000000" w:themeColor="text1"/>
        </w:rPr>
        <w:alias w:val="是否适用：募集资金使用进展说明[双击切换]"/>
        <w:tag w:val="_GBC_680b9390780e4e2096adf48e91fa95ca"/>
        <w:id w:val="66898727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TOC6"/>
        <w:numPr>
          <w:ilvl w:val="0"/>
          <w:numId w:val="24"/>
        </w:numPr>
        <w:tabs>
          <w:tab w:val="left" w:pos="360"/>
        </w:tabs>
        <w:ind w:left="450" w:hanging="450"/>
        <w:rPr>
          <w:rFonts w:ascii="宋体" w:hAnsi="宋体"/>
          <w:color w:val="000000" w:themeColor="text1"/>
          <w:sz w:val="21"/>
          <w:szCs w:val="21"/>
        </w:rPr>
      </w:pPr>
      <w:bookmarkStart w:id="93" w:name="_Hlk90391863"/>
      <w:bookmarkStart w:id="94" w:name="_Hlk151129531"/>
      <w:bookmarkStart w:id="95" w:name="_Hlk168575638"/>
      <w:bookmarkStart w:id="96" w:name="_Hlk106290436"/>
      <w:r>
        <w:rPr>
          <w:rFonts w:ascii="宋体" w:hAnsi="宋体" w:hint="eastAsia"/>
          <w:color w:val="000000" w:themeColor="text1"/>
          <w:sz w:val="21"/>
          <w:szCs w:val="21"/>
        </w:rPr>
        <w:t>募集资金整体使用情况</w:t>
      </w:r>
    </w:p>
    <w:sdt>
      <w:sdtPr>
        <w:rPr>
          <w:color w:val="000000" w:themeColor="text1"/>
        </w:rPr>
        <w:alias w:val="是否适用：募集资金整体使用情况[双击切换]"/>
        <w:tag w:val="_GBC_affe1942e3224d96a0ead0c0fea90bed"/>
        <w:id w:val="-106734228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r>
        <w:rPr>
          <w:color w:val="000000" w:themeColor="text1"/>
        </w:rPr>
        <w:t>：</w:t>
      </w:r>
      <w:sdt>
        <w:sdtPr>
          <w:rPr>
            <w:color w:val="000000" w:themeColor="text1"/>
          </w:rPr>
          <w:alias w:val="单位：担保情况"/>
          <w:tag w:val="_GBC_27c8b92380c14fd7885db4b4050dbded"/>
          <w:id w:val="-1507674562"/>
          <w:placeholder>
            <w:docPart w:val="F734F578DB684DF999A45D35DA9FEABA"/>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万元</w:t>
          </w:r>
        </w:sdtContent>
      </w:sdt>
      <w:r>
        <w:rPr>
          <w:rFonts w:hint="eastAsia"/>
          <w:color w:val="000000" w:themeColor="text1"/>
        </w:rPr>
        <w:t xml:space="preserve">  </w:t>
      </w:r>
      <w:r>
        <w:rPr>
          <w:rFonts w:hint="eastAsia"/>
          <w:color w:val="000000" w:themeColor="text1"/>
        </w:rPr>
        <w:t>币种</w:t>
      </w:r>
      <w:r>
        <w:rPr>
          <w:color w:val="000000" w:themeColor="text1"/>
        </w:rPr>
        <w:t>：</w:t>
      </w:r>
      <w:sdt>
        <w:sdtPr>
          <w:rPr>
            <w:color w:val="000000" w:themeColor="text1"/>
          </w:rPr>
          <w:alias w:val="币种：担保情况"/>
          <w:tag w:val="_GBC_a5bed87537d146398206f22cc051cc03"/>
          <w:id w:val="-557775766"/>
          <w:placeholder>
            <w:docPart w:val="F734F578DB684DF999A45D35DA9FEAB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161"/>
        <w:gridCol w:w="1161"/>
        <w:gridCol w:w="1161"/>
        <w:gridCol w:w="1161"/>
        <w:gridCol w:w="958"/>
        <w:gridCol w:w="1162"/>
        <w:gridCol w:w="954"/>
        <w:gridCol w:w="954"/>
        <w:gridCol w:w="957"/>
        <w:gridCol w:w="1056"/>
        <w:gridCol w:w="1056"/>
        <w:gridCol w:w="1161"/>
      </w:tblGrid>
      <w:tr w:rsidR="00156DD6">
        <w:trPr>
          <w:trHeight w:val="996"/>
          <w:jc w:val="center"/>
        </w:trPr>
        <w:sdt>
          <w:sdtPr>
            <w:tag w:val="_PLD_c6a2050ecf4545f2bfc43d4ad52b51c1"/>
            <w:id w:val="1689487940"/>
          </w:sdtPr>
          <w:sdtEndPr/>
          <w:sdtContent>
            <w:tc>
              <w:tcPr>
                <w:tcW w:w="347" w:type="pct"/>
                <w:vAlign w:val="center"/>
              </w:tcPr>
              <w:p w:rsidR="00156DD6" w:rsidRDefault="00D51F5F">
                <w:pPr>
                  <w:jc w:val="center"/>
                  <w:rPr>
                    <w:color w:val="000000" w:themeColor="text1"/>
                  </w:rPr>
                </w:pPr>
                <w:r>
                  <w:rPr>
                    <w:rFonts w:hint="eastAsia"/>
                    <w:color w:val="000000" w:themeColor="text1"/>
                  </w:rPr>
                  <w:t>募集资金</w:t>
                </w:r>
                <w:r>
                  <w:rPr>
                    <w:color w:val="000000" w:themeColor="text1"/>
                  </w:rPr>
                  <w:t>来源</w:t>
                </w:r>
              </w:p>
            </w:tc>
          </w:sdtContent>
        </w:sdt>
        <w:tc>
          <w:tcPr>
            <w:tcW w:w="419" w:type="pct"/>
            <w:vAlign w:val="center"/>
          </w:tcPr>
          <w:sdt>
            <w:sdtPr>
              <w:tag w:val="_PLD_4411287f2aa0421c9bfeffa92dc4cb47"/>
              <w:id w:val="-1289194743"/>
            </w:sdtPr>
            <w:sdtEndPr/>
            <w:sdtContent>
              <w:p w:rsidR="00156DD6" w:rsidRDefault="00D51F5F">
                <w:pPr>
                  <w:jc w:val="center"/>
                  <w:rPr>
                    <w:color w:val="000000" w:themeColor="text1"/>
                  </w:rPr>
                </w:pPr>
                <w:r>
                  <w:rPr>
                    <w:rFonts w:hint="eastAsia"/>
                    <w:color w:val="000000" w:themeColor="text1"/>
                  </w:rPr>
                  <w:t>募集资金到位时间</w:t>
                </w:r>
              </w:p>
            </w:sdtContent>
          </w:sdt>
        </w:tc>
        <w:sdt>
          <w:sdtPr>
            <w:tag w:val="_PLD_656190b7a5dc4b4cb1384a69abbe92b5"/>
            <w:id w:val="1926528562"/>
          </w:sdtPr>
          <w:sdtEndPr/>
          <w:sdtContent>
            <w:tc>
              <w:tcPr>
                <w:tcW w:w="419" w:type="pct"/>
                <w:vAlign w:val="center"/>
              </w:tcPr>
              <w:p w:rsidR="00156DD6" w:rsidRDefault="00D51F5F">
                <w:pPr>
                  <w:jc w:val="center"/>
                  <w:rPr>
                    <w:color w:val="000000" w:themeColor="text1"/>
                  </w:rPr>
                </w:pPr>
                <w:r>
                  <w:rPr>
                    <w:rFonts w:hint="eastAsia"/>
                    <w:color w:val="000000" w:themeColor="text1"/>
                  </w:rPr>
                  <w:t>募集资金总额</w:t>
                </w:r>
              </w:p>
            </w:tc>
          </w:sdtContent>
        </w:sdt>
        <w:sdt>
          <w:sdtPr>
            <w:tag w:val="_PLD_63af71134e514c03bfc82b3cf3959fc0"/>
            <w:id w:val="-1618447414"/>
          </w:sdtPr>
          <w:sdtEndPr/>
          <w:sdtContent>
            <w:tc>
              <w:tcPr>
                <w:tcW w:w="419" w:type="pct"/>
                <w:vAlign w:val="center"/>
              </w:tcPr>
              <w:p w:rsidR="00156DD6" w:rsidRDefault="00D51F5F">
                <w:pPr>
                  <w:jc w:val="center"/>
                  <w:rPr>
                    <w:color w:val="000000" w:themeColor="text1"/>
                  </w:rPr>
                </w:pPr>
                <w:r>
                  <w:rPr>
                    <w:rFonts w:hint="eastAsia"/>
                    <w:color w:val="000000" w:themeColor="text1"/>
                  </w:rPr>
                  <w:t>募集资金净额（</w:t>
                </w:r>
                <w:r>
                  <w:rPr>
                    <w:rFonts w:hint="eastAsia"/>
                    <w:color w:val="000000" w:themeColor="text1"/>
                  </w:rPr>
                  <w:t>1</w:t>
                </w:r>
                <w:r>
                  <w:rPr>
                    <w:rFonts w:hint="eastAsia"/>
                    <w:color w:val="000000" w:themeColor="text1"/>
                  </w:rPr>
                  <w:t>）</w:t>
                </w:r>
              </w:p>
            </w:tc>
          </w:sdtContent>
        </w:sdt>
        <w:sdt>
          <w:sdtPr>
            <w:tag w:val="_PLD_8463ec4fd51b4edaacd95b275603317e"/>
            <w:id w:val="1979648803"/>
          </w:sdtPr>
          <w:sdtEndPr/>
          <w:sdtContent>
            <w:tc>
              <w:tcPr>
                <w:tcW w:w="419" w:type="pct"/>
                <w:vAlign w:val="center"/>
              </w:tcPr>
              <w:p w:rsidR="00156DD6" w:rsidRDefault="00D51F5F">
                <w:pPr>
                  <w:jc w:val="center"/>
                  <w:rPr>
                    <w:color w:val="000000" w:themeColor="text1"/>
                  </w:rPr>
                </w:pPr>
                <w:r>
                  <w:rPr>
                    <w:rFonts w:hint="eastAsia"/>
                    <w:color w:val="000000" w:themeColor="text1"/>
                  </w:rPr>
                  <w:t>招股书或募集说明书中募集资金承诺投资总额（</w:t>
                </w:r>
                <w:r>
                  <w:rPr>
                    <w:rFonts w:hint="eastAsia"/>
                    <w:color w:val="000000" w:themeColor="text1"/>
                  </w:rPr>
                  <w:t>2</w:t>
                </w:r>
                <w:r>
                  <w:rPr>
                    <w:color w:val="000000" w:themeColor="text1"/>
                  </w:rPr>
                  <w:t>）</w:t>
                </w:r>
              </w:p>
            </w:tc>
          </w:sdtContent>
        </w:sdt>
        <w:sdt>
          <w:sdtPr>
            <w:tag w:val="_PLD_07e8896197174c55be1e6f916192bead"/>
            <w:id w:val="-1738704308"/>
          </w:sdtPr>
          <w:sdtEndPr/>
          <w:sdtContent>
            <w:tc>
              <w:tcPr>
                <w:tcW w:w="346" w:type="pct"/>
                <w:vAlign w:val="center"/>
              </w:tcPr>
              <w:p w:rsidR="00156DD6" w:rsidRDefault="00D51F5F">
                <w:pPr>
                  <w:jc w:val="center"/>
                  <w:rPr>
                    <w:color w:val="000000" w:themeColor="text1"/>
                  </w:rPr>
                </w:pPr>
                <w:r>
                  <w:rPr>
                    <w:rFonts w:hint="eastAsia"/>
                    <w:color w:val="000000" w:themeColor="text1"/>
                  </w:rPr>
                  <w:t>超募资金总额（</w:t>
                </w:r>
                <w:r>
                  <w:rPr>
                    <w:color w:val="000000" w:themeColor="text1"/>
                  </w:rPr>
                  <w:t>3</w:t>
                </w:r>
                <w:r>
                  <w:rPr>
                    <w:color w:val="000000" w:themeColor="text1"/>
                  </w:rPr>
                  <w:t>）</w:t>
                </w:r>
                <w:r>
                  <w:rPr>
                    <w:color w:val="000000" w:themeColor="text1"/>
                  </w:rPr>
                  <w:t>=</w:t>
                </w:r>
                <w:r>
                  <w:rPr>
                    <w:color w:val="000000" w:themeColor="text1"/>
                  </w:rPr>
                  <w:t>（</w:t>
                </w:r>
                <w:r>
                  <w:rPr>
                    <w:color w:val="000000" w:themeColor="text1"/>
                  </w:rPr>
                  <w:t>1</w:t>
                </w:r>
                <w:r>
                  <w:rPr>
                    <w:color w:val="000000" w:themeColor="text1"/>
                  </w:rPr>
                  <w:t>）</w:t>
                </w:r>
                <w:r>
                  <w:rPr>
                    <w:color w:val="000000" w:themeColor="text1"/>
                  </w:rPr>
                  <w:t>-</w:t>
                </w:r>
                <w:r>
                  <w:rPr>
                    <w:color w:val="000000" w:themeColor="text1"/>
                  </w:rPr>
                  <w:t>（</w:t>
                </w:r>
                <w:r>
                  <w:rPr>
                    <w:color w:val="000000" w:themeColor="text1"/>
                  </w:rPr>
                  <w:t>2</w:t>
                </w:r>
                <w:r>
                  <w:rPr>
                    <w:color w:val="000000" w:themeColor="text1"/>
                  </w:rPr>
                  <w:t>）</w:t>
                </w:r>
              </w:p>
            </w:tc>
          </w:sdtContent>
        </w:sdt>
        <w:sdt>
          <w:sdtPr>
            <w:tag w:val="_PLD_92bfc250c83d4aea9d2b49165150ce49"/>
            <w:id w:val="165057731"/>
          </w:sdtPr>
          <w:sdtEndPr/>
          <w:sdtContent>
            <w:tc>
              <w:tcPr>
                <w:tcW w:w="419" w:type="pct"/>
                <w:vAlign w:val="center"/>
              </w:tcPr>
              <w:p w:rsidR="00156DD6" w:rsidRDefault="00D51F5F">
                <w:pPr>
                  <w:jc w:val="center"/>
                  <w:rPr>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累计投入募集资金总额（</w:t>
                </w:r>
                <w:r>
                  <w:rPr>
                    <w:rFonts w:hint="eastAsia"/>
                    <w:color w:val="000000" w:themeColor="text1"/>
                  </w:rPr>
                  <w:t>4</w:t>
                </w:r>
                <w:r>
                  <w:rPr>
                    <w:rFonts w:hint="eastAsia"/>
                    <w:color w:val="000000" w:themeColor="text1"/>
                  </w:rPr>
                  <w:t>）</w:t>
                </w:r>
              </w:p>
            </w:tc>
          </w:sdtContent>
        </w:sdt>
        <w:sdt>
          <w:sdtPr>
            <w:tag w:val="_PLD_cb256178110b4d5dbfb10922f68015a3"/>
            <w:id w:val="1333251008"/>
          </w:sdtPr>
          <w:sdtEndPr/>
          <w:sdtContent>
            <w:tc>
              <w:tcPr>
                <w:tcW w:w="344" w:type="pct"/>
                <w:vAlign w:val="center"/>
              </w:tcPr>
              <w:p w:rsidR="00156DD6" w:rsidRDefault="00D51F5F">
                <w:pPr>
                  <w:jc w:val="center"/>
                  <w:rPr>
                    <w:color w:val="000000" w:themeColor="text1"/>
                  </w:rPr>
                </w:pPr>
                <w:r>
                  <w:rPr>
                    <w:rFonts w:hint="eastAsia"/>
                    <w:color w:val="000000" w:themeColor="text1"/>
                  </w:rPr>
                  <w:t>其中：截至报告期末超募资金累计投入总额</w:t>
                </w:r>
                <w:r>
                  <w:rPr>
                    <w:color w:val="000000" w:themeColor="text1"/>
                  </w:rPr>
                  <w:t xml:space="preserve"> </w:t>
                </w:r>
                <w:r>
                  <w:rPr>
                    <w:color w:val="000000" w:themeColor="text1"/>
                  </w:rPr>
                  <w:t>（</w:t>
                </w:r>
                <w:r>
                  <w:rPr>
                    <w:color w:val="000000" w:themeColor="text1"/>
                  </w:rPr>
                  <w:t>5</w:t>
                </w:r>
                <w:r>
                  <w:rPr>
                    <w:color w:val="000000" w:themeColor="text1"/>
                  </w:rPr>
                  <w:t>）</w:t>
                </w:r>
              </w:p>
            </w:tc>
          </w:sdtContent>
        </w:sdt>
        <w:sdt>
          <w:sdtPr>
            <w:tag w:val="_PLD_a2c09288f6984c8db92752ba2d47150b"/>
            <w:id w:val="-95569052"/>
          </w:sdtPr>
          <w:sdtEndPr/>
          <w:sdtContent>
            <w:tc>
              <w:tcPr>
                <w:tcW w:w="344" w:type="pct"/>
                <w:vAlign w:val="center"/>
              </w:tcPr>
              <w:p w:rsidR="00156DD6" w:rsidRDefault="00D51F5F">
                <w:pPr>
                  <w:jc w:val="center"/>
                  <w:rPr>
                    <w:color w:val="000000" w:themeColor="text1"/>
                  </w:rPr>
                </w:pPr>
                <w:r>
                  <w:rPr>
                    <w:rFonts w:hint="eastAsia"/>
                    <w:color w:val="000000" w:themeColor="text1"/>
                  </w:rPr>
                  <w:t>截至报告期末募集资金累计投入进度（</w:t>
                </w:r>
                <w:r>
                  <w:rPr>
                    <w:color w:val="000000" w:themeColor="text1"/>
                  </w:rPr>
                  <w:t>%</w:t>
                </w:r>
                <w:r>
                  <w:rPr>
                    <w:color w:val="000000" w:themeColor="text1"/>
                  </w:rPr>
                  <w:t>）</w:t>
                </w:r>
                <w:r>
                  <w:rPr>
                    <w:color w:val="000000" w:themeColor="text1"/>
                  </w:rPr>
                  <w:t>(6)</w:t>
                </w:r>
                <w:r>
                  <w:rPr>
                    <w:color w:val="000000" w:themeColor="text1"/>
                  </w:rPr>
                  <w:t>＝</w:t>
                </w:r>
                <w:r>
                  <w:rPr>
                    <w:color w:val="000000" w:themeColor="text1"/>
                  </w:rPr>
                  <w:t>(4)/(1)</w:t>
                </w:r>
              </w:p>
            </w:tc>
          </w:sdtContent>
        </w:sdt>
        <w:sdt>
          <w:sdtPr>
            <w:tag w:val="_PLD_76e6c02d9b5440b8b20238cb6124ceb2"/>
            <w:id w:val="1059526920"/>
          </w:sdtPr>
          <w:sdtEndPr/>
          <w:sdtContent>
            <w:tc>
              <w:tcPr>
                <w:tcW w:w="345" w:type="pct"/>
                <w:vAlign w:val="center"/>
              </w:tcPr>
              <w:p w:rsidR="00156DD6" w:rsidRDefault="00D51F5F">
                <w:pPr>
                  <w:jc w:val="center"/>
                  <w:rPr>
                    <w:color w:val="000000" w:themeColor="text1"/>
                  </w:rPr>
                </w:pPr>
                <w:r>
                  <w:rPr>
                    <w:rFonts w:hint="eastAsia"/>
                    <w:color w:val="000000" w:themeColor="text1"/>
                  </w:rPr>
                  <w:t>截至报告期末超募资金累计投入进度（</w:t>
                </w:r>
                <w:r>
                  <w:rPr>
                    <w:color w:val="000000" w:themeColor="text1"/>
                  </w:rPr>
                  <w:t>%</w:t>
                </w:r>
                <w:r>
                  <w:rPr>
                    <w:color w:val="000000" w:themeColor="text1"/>
                  </w:rPr>
                  <w:t>）</w:t>
                </w:r>
                <w:r>
                  <w:rPr>
                    <w:color w:val="000000" w:themeColor="text1"/>
                  </w:rPr>
                  <w:t>(7)</w:t>
                </w:r>
                <w:r>
                  <w:rPr>
                    <w:color w:val="000000" w:themeColor="text1"/>
                  </w:rPr>
                  <w:t>＝</w:t>
                </w:r>
                <w:r>
                  <w:rPr>
                    <w:color w:val="000000" w:themeColor="text1"/>
                  </w:rPr>
                  <w:t>(5)/(3)</w:t>
                </w:r>
              </w:p>
            </w:tc>
          </w:sdtContent>
        </w:sdt>
        <w:sdt>
          <w:sdtPr>
            <w:tag w:val="_PLD_8603bc96c0364f298dd5b07119c8edfa"/>
            <w:id w:val="-1963104305"/>
          </w:sdtPr>
          <w:sdtEndPr/>
          <w:sdtContent>
            <w:tc>
              <w:tcPr>
                <w:tcW w:w="381" w:type="pct"/>
                <w:vAlign w:val="center"/>
              </w:tcPr>
              <w:p w:rsidR="00156DD6" w:rsidRDefault="00D51F5F">
                <w:pPr>
                  <w:jc w:val="center"/>
                  <w:rPr>
                    <w:color w:val="000000" w:themeColor="text1"/>
                  </w:rPr>
                </w:pPr>
                <w:r>
                  <w:rPr>
                    <w:rFonts w:hint="eastAsia"/>
                    <w:color w:val="000000" w:themeColor="text1"/>
                  </w:rPr>
                  <w:t>本年度投入金额（</w:t>
                </w:r>
                <w:r>
                  <w:rPr>
                    <w:rFonts w:hint="eastAsia"/>
                    <w:color w:val="000000" w:themeColor="text1"/>
                  </w:rPr>
                  <w:t>8</w:t>
                </w:r>
                <w:r>
                  <w:rPr>
                    <w:rFonts w:hint="eastAsia"/>
                    <w:color w:val="000000" w:themeColor="text1"/>
                  </w:rPr>
                  <w:t>）</w:t>
                </w:r>
              </w:p>
            </w:tc>
          </w:sdtContent>
        </w:sdt>
        <w:sdt>
          <w:sdtPr>
            <w:tag w:val="_PLD_36a372b435c74a038172885bf9c04359"/>
            <w:id w:val="-1155606992"/>
          </w:sdtPr>
          <w:sdtEndPr/>
          <w:sdtContent>
            <w:tc>
              <w:tcPr>
                <w:tcW w:w="381" w:type="pct"/>
                <w:vAlign w:val="center"/>
              </w:tcPr>
              <w:p w:rsidR="00156DD6" w:rsidRDefault="00D51F5F">
                <w:pPr>
                  <w:jc w:val="center"/>
                  <w:rPr>
                    <w:color w:val="000000" w:themeColor="text1"/>
                  </w:rPr>
                </w:pPr>
                <w:r>
                  <w:rPr>
                    <w:rFonts w:hint="eastAsia"/>
                    <w:color w:val="000000" w:themeColor="text1"/>
                  </w:rPr>
                  <w:t>本年度投入金额占比（</w:t>
                </w:r>
                <w:r>
                  <w:rPr>
                    <w:rFonts w:hint="eastAsia"/>
                    <w:color w:val="000000" w:themeColor="text1"/>
                  </w:rPr>
                  <w:t>%</w:t>
                </w:r>
                <w:r>
                  <w:rPr>
                    <w:rFonts w:hint="eastAsia"/>
                    <w:color w:val="000000" w:themeColor="text1"/>
                  </w:rPr>
                  <w:t>）（</w:t>
                </w:r>
                <w:r>
                  <w:rPr>
                    <w:color w:val="000000" w:themeColor="text1"/>
                  </w:rPr>
                  <w:t>9</w:t>
                </w:r>
                <w:r>
                  <w:rPr>
                    <w:color w:val="000000" w:themeColor="text1"/>
                  </w:rPr>
                  <w:t>）</w:t>
                </w:r>
                <w:r>
                  <w:rPr>
                    <w:color w:val="000000" w:themeColor="text1"/>
                  </w:rPr>
                  <w:t>=(</w:t>
                </w:r>
                <w:r>
                  <w:rPr>
                    <w:rFonts w:hint="eastAsia"/>
                    <w:color w:val="000000" w:themeColor="text1"/>
                  </w:rPr>
                  <w:t>8</w:t>
                </w:r>
                <w:r>
                  <w:rPr>
                    <w:color w:val="000000" w:themeColor="text1"/>
                  </w:rPr>
                  <w:t>)/(1)</w:t>
                </w:r>
              </w:p>
            </w:tc>
          </w:sdtContent>
        </w:sdt>
        <w:tc>
          <w:tcPr>
            <w:tcW w:w="419" w:type="pct"/>
            <w:vAlign w:val="center"/>
          </w:tcPr>
          <w:sdt>
            <w:sdtPr>
              <w:tag w:val="_PLD_55537c41dda84483a860ccba3abf175d"/>
              <w:id w:val="1362560123"/>
            </w:sdtPr>
            <w:sdtEndPr/>
            <w:sdtContent>
              <w:p w:rsidR="00156DD6" w:rsidRDefault="00D51F5F">
                <w:pPr>
                  <w:jc w:val="center"/>
                  <w:rPr>
                    <w:color w:val="000000" w:themeColor="text1"/>
                  </w:rPr>
                </w:pPr>
                <w:r>
                  <w:rPr>
                    <w:rFonts w:hint="eastAsia"/>
                    <w:color w:val="000000" w:themeColor="text1"/>
                  </w:rPr>
                  <w:t>变更用途的募集资金总额</w:t>
                </w:r>
              </w:p>
            </w:sdtContent>
          </w:sdt>
        </w:tc>
      </w:tr>
      <w:tr w:rsidR="00156DD6">
        <w:trPr>
          <w:trHeight w:val="194"/>
          <w:jc w:val="center"/>
        </w:trPr>
        <w:bookmarkStart w:id="97" w:name="_Hlk169881517" w:displacedByCustomXml="next"/>
        <w:sdt>
          <w:sdtPr>
            <w:rPr>
              <w:color w:val="000000" w:themeColor="text1"/>
            </w:rPr>
            <w:alias w:val="募集资金整体使用情况_募集资金来源"/>
            <w:tag w:val="_GBC_fdbe627844564cbd920c54fa6f3e99f6"/>
            <w:id w:val="91783259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347" w:type="pct"/>
                <w:vAlign w:val="center"/>
              </w:tcPr>
              <w:p w:rsidR="00156DD6" w:rsidRDefault="00D51F5F">
                <w:pPr>
                  <w:rPr>
                    <w:color w:val="000000" w:themeColor="text1"/>
                  </w:rPr>
                </w:pPr>
                <w:r>
                  <w:rPr>
                    <w:color w:val="000000" w:themeColor="text1"/>
                  </w:rPr>
                  <w:t>首次公开发行股票</w:t>
                </w:r>
              </w:p>
            </w:tc>
          </w:sdtContent>
        </w:sdt>
        <w:tc>
          <w:tcPr>
            <w:tcW w:w="419" w:type="pct"/>
            <w:vAlign w:val="center"/>
          </w:tcPr>
          <w:p w:rsidR="00156DD6" w:rsidRDefault="00D51F5F">
            <w:pPr>
              <w:jc w:val="right"/>
              <w:rPr>
                <w:color w:val="000000" w:themeColor="text1"/>
              </w:rPr>
            </w:pPr>
            <w:r>
              <w:t>2022/4/18</w:t>
            </w:r>
          </w:p>
        </w:tc>
        <w:tc>
          <w:tcPr>
            <w:tcW w:w="419" w:type="pct"/>
            <w:vAlign w:val="center"/>
          </w:tcPr>
          <w:p w:rsidR="00156DD6" w:rsidRDefault="00D51F5F">
            <w:pPr>
              <w:jc w:val="right"/>
            </w:pPr>
            <w:r>
              <w:t xml:space="preserve">98,784.14 </w:t>
            </w:r>
          </w:p>
        </w:tc>
        <w:tc>
          <w:tcPr>
            <w:tcW w:w="419" w:type="pct"/>
            <w:vAlign w:val="center"/>
          </w:tcPr>
          <w:p w:rsidR="00156DD6" w:rsidRDefault="00D51F5F">
            <w:pPr>
              <w:jc w:val="right"/>
            </w:pPr>
            <w:r>
              <w:t xml:space="preserve">85,456.18 </w:t>
            </w:r>
          </w:p>
        </w:tc>
        <w:tc>
          <w:tcPr>
            <w:tcW w:w="419" w:type="pct"/>
            <w:vAlign w:val="center"/>
          </w:tcPr>
          <w:p w:rsidR="00156DD6" w:rsidRDefault="00D51F5F">
            <w:pPr>
              <w:jc w:val="right"/>
            </w:pPr>
            <w:r>
              <w:t xml:space="preserve">85,456.18 </w:t>
            </w:r>
          </w:p>
        </w:tc>
        <w:tc>
          <w:tcPr>
            <w:tcW w:w="346" w:type="pct"/>
            <w:vAlign w:val="center"/>
          </w:tcPr>
          <w:p w:rsidR="00156DD6" w:rsidRDefault="00D51F5F">
            <w:pPr>
              <w:jc w:val="right"/>
            </w:pPr>
            <w:r>
              <w:t xml:space="preserve"> / </w:t>
            </w:r>
          </w:p>
        </w:tc>
        <w:tc>
          <w:tcPr>
            <w:tcW w:w="419" w:type="pct"/>
            <w:vAlign w:val="center"/>
          </w:tcPr>
          <w:p w:rsidR="00156DD6" w:rsidRDefault="00D51F5F">
            <w:pPr>
              <w:jc w:val="right"/>
            </w:pPr>
            <w:r>
              <w:t xml:space="preserve">81,732.56 </w:t>
            </w:r>
          </w:p>
        </w:tc>
        <w:tc>
          <w:tcPr>
            <w:tcW w:w="344" w:type="pct"/>
            <w:vAlign w:val="center"/>
          </w:tcPr>
          <w:p w:rsidR="00156DD6" w:rsidRDefault="00D51F5F">
            <w:pPr>
              <w:jc w:val="right"/>
            </w:pPr>
            <w:r>
              <w:t xml:space="preserve"> / </w:t>
            </w:r>
          </w:p>
        </w:tc>
        <w:tc>
          <w:tcPr>
            <w:tcW w:w="344" w:type="pct"/>
            <w:vAlign w:val="center"/>
          </w:tcPr>
          <w:p w:rsidR="00156DD6" w:rsidRDefault="00D51F5F">
            <w:pPr>
              <w:jc w:val="right"/>
            </w:pPr>
            <w:r>
              <w:t xml:space="preserve"> 95.64 </w:t>
            </w:r>
          </w:p>
        </w:tc>
        <w:tc>
          <w:tcPr>
            <w:tcW w:w="345" w:type="pct"/>
            <w:vAlign w:val="center"/>
          </w:tcPr>
          <w:p w:rsidR="00156DD6" w:rsidRDefault="00D51F5F">
            <w:pPr>
              <w:jc w:val="right"/>
            </w:pPr>
            <w:r>
              <w:t>/</w:t>
            </w:r>
          </w:p>
        </w:tc>
        <w:tc>
          <w:tcPr>
            <w:tcW w:w="381" w:type="pct"/>
            <w:vAlign w:val="center"/>
          </w:tcPr>
          <w:p w:rsidR="00156DD6" w:rsidRDefault="00D51F5F">
            <w:pPr>
              <w:jc w:val="right"/>
            </w:pPr>
            <w:r>
              <w:t xml:space="preserve">1,442.37 </w:t>
            </w:r>
          </w:p>
        </w:tc>
        <w:tc>
          <w:tcPr>
            <w:tcW w:w="381" w:type="pct"/>
            <w:vAlign w:val="center"/>
          </w:tcPr>
          <w:p w:rsidR="00156DD6" w:rsidRDefault="00D51F5F">
            <w:pPr>
              <w:jc w:val="right"/>
            </w:pPr>
            <w:r>
              <w:t xml:space="preserve"> 1.69 </w:t>
            </w:r>
          </w:p>
        </w:tc>
        <w:tc>
          <w:tcPr>
            <w:tcW w:w="419" w:type="pct"/>
            <w:vAlign w:val="center"/>
          </w:tcPr>
          <w:p w:rsidR="00156DD6" w:rsidRDefault="00D51F5F">
            <w:pPr>
              <w:jc w:val="right"/>
            </w:pPr>
            <w:r>
              <w:t xml:space="preserve">14,774.44 </w:t>
            </w:r>
          </w:p>
        </w:tc>
      </w:tr>
      <w:bookmarkEnd w:id="97"/>
      <w:tr w:rsidR="00156DD6">
        <w:trPr>
          <w:trHeight w:val="194"/>
          <w:jc w:val="center"/>
        </w:trPr>
        <w:tc>
          <w:tcPr>
            <w:tcW w:w="347" w:type="pct"/>
            <w:vAlign w:val="center"/>
          </w:tcPr>
          <w:p w:rsidR="00156DD6" w:rsidRDefault="00D51F5F">
            <w:pPr>
              <w:jc w:val="center"/>
              <w:rPr>
                <w:color w:val="000000" w:themeColor="text1"/>
              </w:rPr>
            </w:pPr>
            <w:r>
              <w:rPr>
                <w:rFonts w:hint="eastAsia"/>
                <w:color w:val="000000" w:themeColor="text1"/>
              </w:rPr>
              <w:t>合计</w:t>
            </w:r>
          </w:p>
        </w:tc>
        <w:tc>
          <w:tcPr>
            <w:tcW w:w="419" w:type="pct"/>
            <w:vAlign w:val="center"/>
          </w:tcPr>
          <w:p w:rsidR="00156DD6" w:rsidRDefault="00D51F5F">
            <w:pPr>
              <w:jc w:val="right"/>
              <w:rPr>
                <w:color w:val="000000" w:themeColor="text1"/>
              </w:rPr>
            </w:pPr>
            <w:r>
              <w:rPr>
                <w:color w:val="000000" w:themeColor="text1"/>
              </w:rPr>
              <w:t>/</w:t>
            </w:r>
          </w:p>
        </w:tc>
        <w:tc>
          <w:tcPr>
            <w:tcW w:w="419" w:type="pct"/>
            <w:vAlign w:val="center"/>
          </w:tcPr>
          <w:p w:rsidR="00156DD6" w:rsidRDefault="00D51F5F">
            <w:pPr>
              <w:jc w:val="right"/>
            </w:pPr>
            <w:r>
              <w:t>98,784.14</w:t>
            </w:r>
          </w:p>
        </w:tc>
        <w:tc>
          <w:tcPr>
            <w:tcW w:w="419" w:type="pct"/>
            <w:vAlign w:val="center"/>
          </w:tcPr>
          <w:p w:rsidR="00156DD6" w:rsidRDefault="00D51F5F">
            <w:pPr>
              <w:jc w:val="right"/>
            </w:pPr>
            <w:r>
              <w:t>85,456.18</w:t>
            </w:r>
          </w:p>
        </w:tc>
        <w:tc>
          <w:tcPr>
            <w:tcW w:w="419" w:type="pct"/>
            <w:vAlign w:val="center"/>
          </w:tcPr>
          <w:p w:rsidR="00156DD6" w:rsidRDefault="00D51F5F">
            <w:pPr>
              <w:jc w:val="right"/>
            </w:pPr>
            <w:r>
              <w:t>85,456.18</w:t>
            </w:r>
          </w:p>
        </w:tc>
        <w:tc>
          <w:tcPr>
            <w:tcW w:w="346" w:type="pct"/>
            <w:vAlign w:val="center"/>
          </w:tcPr>
          <w:p w:rsidR="00156DD6" w:rsidRDefault="00D51F5F">
            <w:pPr>
              <w:jc w:val="right"/>
            </w:pPr>
            <w:r>
              <w:t>/</w:t>
            </w:r>
          </w:p>
        </w:tc>
        <w:tc>
          <w:tcPr>
            <w:tcW w:w="419" w:type="pct"/>
            <w:vAlign w:val="center"/>
          </w:tcPr>
          <w:p w:rsidR="00156DD6" w:rsidRDefault="00D51F5F">
            <w:pPr>
              <w:jc w:val="right"/>
            </w:pPr>
            <w:r>
              <w:t>81,732.56</w:t>
            </w:r>
          </w:p>
        </w:tc>
        <w:tc>
          <w:tcPr>
            <w:tcW w:w="344" w:type="pct"/>
            <w:vAlign w:val="center"/>
          </w:tcPr>
          <w:p w:rsidR="00156DD6" w:rsidRDefault="00D51F5F">
            <w:pPr>
              <w:jc w:val="right"/>
            </w:pPr>
            <w:r>
              <w:t>/</w:t>
            </w:r>
          </w:p>
        </w:tc>
        <w:tc>
          <w:tcPr>
            <w:tcW w:w="344" w:type="pct"/>
            <w:vAlign w:val="center"/>
          </w:tcPr>
          <w:p w:rsidR="00156DD6" w:rsidRDefault="00D51F5F">
            <w:pPr>
              <w:jc w:val="right"/>
              <w:rPr>
                <w:color w:val="000000" w:themeColor="text1"/>
              </w:rPr>
            </w:pPr>
            <w:r>
              <w:rPr>
                <w:color w:val="000000" w:themeColor="text1"/>
              </w:rPr>
              <w:t>/</w:t>
            </w:r>
          </w:p>
        </w:tc>
        <w:tc>
          <w:tcPr>
            <w:tcW w:w="345" w:type="pct"/>
            <w:vAlign w:val="center"/>
          </w:tcPr>
          <w:p w:rsidR="00156DD6" w:rsidRDefault="00D51F5F">
            <w:pPr>
              <w:jc w:val="right"/>
              <w:rPr>
                <w:color w:val="000000" w:themeColor="text1"/>
              </w:rPr>
            </w:pPr>
            <w:r>
              <w:rPr>
                <w:color w:val="000000" w:themeColor="text1"/>
              </w:rPr>
              <w:t>/</w:t>
            </w:r>
          </w:p>
        </w:tc>
        <w:tc>
          <w:tcPr>
            <w:tcW w:w="381" w:type="pct"/>
            <w:vAlign w:val="center"/>
          </w:tcPr>
          <w:p w:rsidR="00156DD6" w:rsidRDefault="00D51F5F">
            <w:pPr>
              <w:jc w:val="right"/>
            </w:pPr>
            <w:r>
              <w:t>1,442.37</w:t>
            </w:r>
          </w:p>
        </w:tc>
        <w:tc>
          <w:tcPr>
            <w:tcW w:w="381" w:type="pct"/>
            <w:vAlign w:val="center"/>
          </w:tcPr>
          <w:p w:rsidR="00156DD6" w:rsidRDefault="00D51F5F">
            <w:pPr>
              <w:jc w:val="right"/>
              <w:rPr>
                <w:color w:val="000000" w:themeColor="text1"/>
              </w:rPr>
            </w:pPr>
            <w:r>
              <w:rPr>
                <w:color w:val="000000" w:themeColor="text1"/>
              </w:rPr>
              <w:t>/</w:t>
            </w:r>
          </w:p>
        </w:tc>
        <w:tc>
          <w:tcPr>
            <w:tcW w:w="419" w:type="pct"/>
            <w:vAlign w:val="center"/>
          </w:tcPr>
          <w:p w:rsidR="00156DD6" w:rsidRDefault="00D51F5F">
            <w:pPr>
              <w:jc w:val="right"/>
            </w:pPr>
            <w:r>
              <w:t>14,774.44</w:t>
            </w:r>
          </w:p>
        </w:tc>
      </w:tr>
    </w:tbl>
    <w:p w:rsidR="00156DD6" w:rsidRDefault="00D51F5F">
      <w:pPr>
        <w:rPr>
          <w:color w:val="000000" w:themeColor="text1"/>
        </w:rPr>
      </w:pPr>
      <w:bookmarkStart w:id="98" w:name="_Hlk199841153"/>
      <w:r>
        <w:rPr>
          <w:rFonts w:hint="eastAsia"/>
          <w:color w:val="000000" w:themeColor="text1"/>
        </w:rPr>
        <w:t>其他说明</w:t>
      </w:r>
    </w:p>
    <w:sdt>
      <w:sdtPr>
        <w:rPr>
          <w:rFonts w:hint="eastAsia"/>
          <w:color w:val="000000" w:themeColor="text1"/>
        </w:rPr>
        <w:alias w:val="是否适用：募集资金整体使用情况的其他说明[双击切换]"/>
        <w:tag w:val="_GBC_472dfe8b312b442ca54bdef220b253ad"/>
        <w:id w:val="-149725950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24"/>
        </w:numPr>
        <w:tabs>
          <w:tab w:val="left" w:pos="360"/>
        </w:tabs>
        <w:ind w:left="450" w:hanging="450"/>
        <w:rPr>
          <w:rFonts w:ascii="宋体" w:hAnsi="宋体"/>
          <w:color w:val="000000" w:themeColor="text1"/>
          <w:sz w:val="21"/>
          <w:szCs w:val="21"/>
        </w:rPr>
      </w:pPr>
      <w:bookmarkStart w:id="99" w:name="_Hlk170305543"/>
      <w:bookmarkEnd w:id="93"/>
      <w:bookmarkEnd w:id="98"/>
      <w:r>
        <w:rPr>
          <w:rFonts w:ascii="宋体" w:hAnsi="宋体" w:hint="eastAsia"/>
          <w:color w:val="000000" w:themeColor="text1"/>
          <w:sz w:val="21"/>
          <w:szCs w:val="21"/>
        </w:rPr>
        <w:t>募投项目明细</w:t>
      </w:r>
    </w:p>
    <w:sdt>
      <w:sdtPr>
        <w:rPr>
          <w:color w:val="000000" w:themeColor="text1"/>
        </w:rPr>
        <w:alias w:val="是否适用：募投项目明细[双击切换]"/>
        <w:tag w:val="_GBC_d62426eab3014f178b7d8906e6ab8d2c"/>
        <w:id w:val="-43398181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47"/>
        <w:numPr>
          <w:ilvl w:val="0"/>
          <w:numId w:val="25"/>
        </w:numPr>
        <w:rPr>
          <w:sz w:val="21"/>
          <w:szCs w:val="21"/>
        </w:rPr>
      </w:pPr>
      <w:bookmarkStart w:id="100" w:name="_Hlk90391869"/>
      <w:bookmarkEnd w:id="99"/>
      <w:r>
        <w:rPr>
          <w:rFonts w:hint="eastAsia"/>
          <w:sz w:val="21"/>
          <w:szCs w:val="21"/>
        </w:rPr>
        <w:t>募集资金明细使用情况</w:t>
      </w:r>
    </w:p>
    <w:p w:rsidR="00156DD6" w:rsidRDefault="00D51F5F">
      <w:pPr>
        <w:rPr>
          <w:color w:val="000000" w:themeColor="text1"/>
        </w:rPr>
      </w:pPr>
      <w:sdt>
        <w:sdtPr>
          <w:rPr>
            <w:color w:val="000000" w:themeColor="text1"/>
          </w:rPr>
          <w:alias w:val="是否适用：募集资金明细使用情况[双击切换]"/>
          <w:tag w:val="_GBC_48d6f3756d1b47deab1d995ea0c46336"/>
          <w:id w:val="-668480840"/>
          <w:placeholder>
            <w:docPart w:val="GBC22222222222222222222222222222"/>
          </w:placeholder>
        </w:sdtPr>
        <w:sdtEndPr/>
        <w:sdtContent>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p w:rsidR="00156DD6" w:rsidRDefault="00D51F5F">
      <w:pPr>
        <w:jc w:val="right"/>
        <w:rPr>
          <w:color w:val="000000" w:themeColor="text1"/>
        </w:rPr>
      </w:pPr>
      <w:r>
        <w:rPr>
          <w:rFonts w:hint="eastAsia"/>
          <w:color w:val="000000" w:themeColor="text1"/>
        </w:rPr>
        <w:t>单位</w:t>
      </w:r>
      <w:r>
        <w:rPr>
          <w:color w:val="000000" w:themeColor="text1"/>
        </w:rPr>
        <w:t>：</w:t>
      </w:r>
      <w:sdt>
        <w:sdtPr>
          <w:rPr>
            <w:color w:val="000000" w:themeColor="text1"/>
          </w:rPr>
          <w:alias w:val="单位：担保情况"/>
          <w:tag w:val="_GBC_27c8b92380c14fd7885db4b4050dbded"/>
          <w:id w:val="-615829755"/>
          <w:placeholder>
            <w:docPart w:val="CF6267A320704EFD9ADFD6731CC70E6F"/>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万元</w:t>
          </w:r>
        </w:sdtContent>
      </w:sdt>
      <w:r>
        <w:rPr>
          <w:rFonts w:hint="eastAsia"/>
          <w:color w:val="000000" w:themeColor="text1"/>
        </w:rPr>
        <w:t xml:space="preserve">  </w:t>
      </w:r>
      <w:r>
        <w:rPr>
          <w:rFonts w:hint="eastAsia"/>
          <w:color w:val="000000" w:themeColor="text1"/>
        </w:rPr>
        <w:t>币种</w:t>
      </w:r>
      <w:r>
        <w:rPr>
          <w:color w:val="000000" w:themeColor="text1"/>
        </w:rPr>
        <w:t>：</w:t>
      </w:r>
      <w:sdt>
        <w:sdtPr>
          <w:rPr>
            <w:color w:val="000000" w:themeColor="text1"/>
          </w:rPr>
          <w:alias w:val="币种：担保情况"/>
          <w:tag w:val="_GBC_a5bed87537d146398206f22cc051cc03"/>
          <w:id w:val="718479138"/>
          <w:placeholder>
            <w:docPart w:val="CF6267A320704EFD9ADFD6731CC70E6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0" w:type="auto"/>
        <w:jc w:val="center"/>
        <w:tblInd w:w="0" w:type="dxa"/>
        <w:tblLayout w:type="fixed"/>
        <w:tblLook w:val="04A0" w:firstRow="1" w:lastRow="0" w:firstColumn="1" w:lastColumn="0" w:noHBand="0" w:noVBand="1"/>
      </w:tblPr>
      <w:tblGrid>
        <w:gridCol w:w="704"/>
        <w:gridCol w:w="1134"/>
        <w:gridCol w:w="567"/>
        <w:gridCol w:w="709"/>
        <w:gridCol w:w="709"/>
        <w:gridCol w:w="1134"/>
        <w:gridCol w:w="992"/>
        <w:gridCol w:w="992"/>
        <w:gridCol w:w="992"/>
        <w:gridCol w:w="851"/>
        <w:gridCol w:w="567"/>
        <w:gridCol w:w="709"/>
        <w:gridCol w:w="708"/>
        <w:gridCol w:w="709"/>
        <w:gridCol w:w="806"/>
        <w:gridCol w:w="1037"/>
        <w:gridCol w:w="543"/>
      </w:tblGrid>
      <w:tr w:rsidR="00156DD6">
        <w:trPr>
          <w:trHeight w:val="800"/>
          <w:jc w:val="center"/>
        </w:trPr>
        <w:sdt>
          <w:sdtPr>
            <w:rPr>
              <w:sz w:val="16"/>
              <w:szCs w:val="16"/>
            </w:rPr>
            <w:tag w:val="_PLD_ecc6f6cfd8d64c22abb3fa8a39189bf7"/>
            <w:id w:val="653492736"/>
          </w:sdtPr>
          <w:sdtEndPr/>
          <w:sdtContent>
            <w:tc>
              <w:tcPr>
                <w:tcW w:w="704"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募集资金来源</w:t>
                </w:r>
              </w:p>
            </w:tc>
          </w:sdtContent>
        </w:sdt>
        <w:sdt>
          <w:sdtPr>
            <w:rPr>
              <w:sz w:val="16"/>
              <w:szCs w:val="16"/>
            </w:rPr>
            <w:tag w:val="_PLD_761d189c80d14526a263d362eda71ece"/>
            <w:id w:val="-2084600298"/>
          </w:sdtPr>
          <w:sdtEndPr/>
          <w:sdtContent>
            <w:tc>
              <w:tcPr>
                <w:tcW w:w="1134"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项目</w:t>
                </w:r>
                <w:r>
                  <w:rPr>
                    <w:color w:val="000000" w:themeColor="text1"/>
                    <w:sz w:val="16"/>
                    <w:szCs w:val="16"/>
                  </w:rPr>
                  <w:t>名称</w:t>
                </w:r>
              </w:p>
            </w:tc>
          </w:sdtContent>
        </w:sdt>
        <w:tc>
          <w:tcPr>
            <w:tcW w:w="567" w:type="dxa"/>
            <w:tcBorders>
              <w:top w:val="single" w:sz="4" w:space="0" w:color="auto"/>
              <w:left w:val="single" w:sz="4" w:space="0" w:color="auto"/>
              <w:bottom w:val="single" w:sz="4" w:space="0" w:color="auto"/>
              <w:right w:val="single" w:sz="4" w:space="0" w:color="auto"/>
            </w:tcBorders>
            <w:vAlign w:val="center"/>
          </w:tcPr>
          <w:sdt>
            <w:sdtPr>
              <w:rPr>
                <w:sz w:val="16"/>
                <w:szCs w:val="16"/>
              </w:rPr>
              <w:tag w:val="_PLD_e9fb103224e24bc78010fc698d0d0d6e"/>
              <w:id w:val="1639375191"/>
            </w:sdtPr>
            <w:sdtEndPr/>
            <w:sdtContent>
              <w:p w:rsidR="00156DD6" w:rsidRDefault="00D51F5F">
                <w:pPr>
                  <w:jc w:val="center"/>
                  <w:rPr>
                    <w:color w:val="000000" w:themeColor="text1"/>
                    <w:sz w:val="16"/>
                    <w:szCs w:val="16"/>
                  </w:rPr>
                </w:pPr>
                <w:r>
                  <w:rPr>
                    <w:rFonts w:hint="eastAsia"/>
                    <w:color w:val="000000" w:themeColor="text1"/>
                    <w:sz w:val="16"/>
                    <w:szCs w:val="16"/>
                  </w:rPr>
                  <w:t>项目性质</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sz w:val="16"/>
                <w:szCs w:val="16"/>
              </w:rPr>
              <w:tag w:val="_PLD_779903899f624d7e90d0b5905b454a25"/>
              <w:id w:val="960310814"/>
            </w:sdtPr>
            <w:sdtEndPr/>
            <w:sdtContent>
              <w:p w:rsidR="00156DD6" w:rsidRDefault="00D51F5F">
                <w:pPr>
                  <w:jc w:val="center"/>
                  <w:rPr>
                    <w:color w:val="000000" w:themeColor="text1"/>
                    <w:sz w:val="16"/>
                    <w:szCs w:val="16"/>
                  </w:rPr>
                </w:pPr>
                <w:r>
                  <w:rPr>
                    <w:rFonts w:hint="eastAsia"/>
                    <w:color w:val="000000" w:themeColor="text1"/>
                    <w:sz w:val="16"/>
                    <w:szCs w:val="16"/>
                  </w:rPr>
                  <w:t>是否为招股书或者募集说明</w:t>
                </w:r>
                <w:r>
                  <w:rPr>
                    <w:rFonts w:hint="eastAsia"/>
                    <w:color w:val="000000" w:themeColor="text1"/>
                    <w:sz w:val="16"/>
                    <w:szCs w:val="16"/>
                  </w:rPr>
                  <w:lastRenderedPageBreak/>
                  <w:t>书中的承诺投资项目</w:t>
                </w:r>
              </w:p>
            </w:sdtContent>
          </w:sdt>
        </w:tc>
        <w:sdt>
          <w:sdtPr>
            <w:rPr>
              <w:sz w:val="16"/>
              <w:szCs w:val="16"/>
            </w:rPr>
            <w:tag w:val="_PLD_fb2d6d9915e449a092fe4c2b051d5573"/>
            <w:id w:val="-1814253106"/>
          </w:sdtPr>
          <w:sdtEndPr/>
          <w:sdtContent>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是否涉及变更投向</w:t>
                </w:r>
              </w:p>
            </w:tc>
          </w:sdtContent>
        </w:sdt>
        <w:tc>
          <w:tcPr>
            <w:tcW w:w="1134" w:type="dxa"/>
            <w:tcBorders>
              <w:top w:val="single" w:sz="4" w:space="0" w:color="auto"/>
              <w:left w:val="nil"/>
              <w:bottom w:val="single" w:sz="4" w:space="0" w:color="auto"/>
              <w:right w:val="single" w:sz="4" w:space="0" w:color="auto"/>
            </w:tcBorders>
            <w:vAlign w:val="center"/>
          </w:tcPr>
          <w:sdt>
            <w:sdtPr>
              <w:rPr>
                <w:sz w:val="16"/>
                <w:szCs w:val="16"/>
              </w:rPr>
              <w:tag w:val="_PLD_ecfc5a28e36143e79a5b25687b226292"/>
              <w:id w:val="-1834743445"/>
            </w:sdtPr>
            <w:sdtEndPr/>
            <w:sdtContent>
              <w:p w:rsidR="00156DD6" w:rsidRDefault="00D51F5F">
                <w:pPr>
                  <w:jc w:val="center"/>
                  <w:rPr>
                    <w:color w:val="000000" w:themeColor="text1"/>
                    <w:sz w:val="16"/>
                    <w:szCs w:val="16"/>
                  </w:rPr>
                </w:pPr>
                <w:r>
                  <w:rPr>
                    <w:rFonts w:hint="eastAsia"/>
                    <w:color w:val="000000" w:themeColor="text1"/>
                    <w:sz w:val="16"/>
                    <w:szCs w:val="16"/>
                  </w:rPr>
                  <w:t>募集资金计划投资总额</w:t>
                </w:r>
                <w:r>
                  <w:rPr>
                    <w:color w:val="000000" w:themeColor="text1"/>
                    <w:sz w:val="16"/>
                    <w:szCs w:val="16"/>
                  </w:rPr>
                  <w:t xml:space="preserve">  (1)</w:t>
                </w:r>
              </w:p>
            </w:sdtContent>
          </w:sdt>
        </w:tc>
        <w:sdt>
          <w:sdtPr>
            <w:rPr>
              <w:sz w:val="16"/>
              <w:szCs w:val="16"/>
            </w:rPr>
            <w:tag w:val="_PLD_0298947df8014f3caa51b18d7ccb2eee"/>
            <w:id w:val="-1534878870"/>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本年投入金额</w:t>
                </w:r>
              </w:p>
            </w:tc>
          </w:sdtContent>
        </w:sdt>
        <w:sdt>
          <w:sdtPr>
            <w:rPr>
              <w:sz w:val="16"/>
              <w:szCs w:val="16"/>
            </w:rPr>
            <w:tag w:val="_PLD_dc2849e9008d4ae484b729fce1b8183c"/>
            <w:id w:val="-2049826506"/>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截至</w:t>
                </w:r>
                <w:r>
                  <w:rPr>
                    <w:color w:val="000000" w:themeColor="text1"/>
                    <w:sz w:val="16"/>
                    <w:szCs w:val="16"/>
                  </w:rPr>
                  <w:t>报告期末</w:t>
                </w:r>
                <w:r>
                  <w:rPr>
                    <w:rFonts w:hint="eastAsia"/>
                    <w:color w:val="000000" w:themeColor="text1"/>
                    <w:sz w:val="16"/>
                    <w:szCs w:val="16"/>
                  </w:rPr>
                  <w:t>累计投入募集</w:t>
                </w:r>
                <w:r>
                  <w:rPr>
                    <w:rFonts w:hint="eastAsia"/>
                    <w:color w:val="000000" w:themeColor="text1"/>
                    <w:sz w:val="16"/>
                    <w:szCs w:val="16"/>
                  </w:rPr>
                  <w:lastRenderedPageBreak/>
                  <w:t>资金总额（</w:t>
                </w:r>
                <w:r>
                  <w:rPr>
                    <w:rFonts w:hint="eastAsia"/>
                    <w:color w:val="000000" w:themeColor="text1"/>
                    <w:sz w:val="16"/>
                    <w:szCs w:val="16"/>
                  </w:rPr>
                  <w:t>2</w:t>
                </w:r>
                <w:r>
                  <w:rPr>
                    <w:rFonts w:hint="eastAsia"/>
                    <w:color w:val="000000" w:themeColor="text1"/>
                    <w:sz w:val="16"/>
                    <w:szCs w:val="16"/>
                  </w:rPr>
                  <w:t>）</w:t>
                </w:r>
              </w:p>
            </w:tc>
          </w:sdtContent>
        </w:sdt>
        <w:sdt>
          <w:sdtPr>
            <w:rPr>
              <w:sz w:val="16"/>
              <w:szCs w:val="16"/>
            </w:rPr>
            <w:tag w:val="_PLD_59e643f837534f6ead9a2e2416f3979e"/>
            <w:id w:val="1643838862"/>
          </w:sdtPr>
          <w:sdtEndPr/>
          <w:sdtContent>
            <w:tc>
              <w:tcPr>
                <w:tcW w:w="992"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截至报告期末累计投入进度（</w:t>
                </w:r>
                <w:r>
                  <w:rPr>
                    <w:rFonts w:hint="eastAsia"/>
                    <w:color w:val="000000" w:themeColor="text1"/>
                    <w:sz w:val="16"/>
                    <w:szCs w:val="16"/>
                  </w:rPr>
                  <w:t>%</w:t>
                </w:r>
                <w:r>
                  <w:rPr>
                    <w:rFonts w:hint="eastAsia"/>
                    <w:color w:val="000000" w:themeColor="text1"/>
                    <w:sz w:val="16"/>
                    <w:szCs w:val="16"/>
                  </w:rPr>
                  <w:t>）</w:t>
                </w:r>
              </w:p>
              <w:p w:rsidR="00156DD6" w:rsidRDefault="00D51F5F">
                <w:pPr>
                  <w:jc w:val="center"/>
                  <w:rPr>
                    <w:color w:val="000000" w:themeColor="text1"/>
                    <w:sz w:val="16"/>
                    <w:szCs w:val="16"/>
                  </w:rPr>
                </w:pPr>
                <w:r>
                  <w:rPr>
                    <w:rFonts w:hint="eastAsia"/>
                    <w:color w:val="000000" w:themeColor="text1"/>
                    <w:sz w:val="16"/>
                    <w:szCs w:val="16"/>
                  </w:rPr>
                  <w:lastRenderedPageBreak/>
                  <w:t>(3)</w:t>
                </w:r>
                <w:r>
                  <w:rPr>
                    <w:rFonts w:hint="eastAsia"/>
                    <w:color w:val="000000" w:themeColor="text1"/>
                    <w:sz w:val="16"/>
                    <w:szCs w:val="16"/>
                  </w:rPr>
                  <w:t>＝</w:t>
                </w:r>
                <w:r>
                  <w:rPr>
                    <w:rFonts w:hint="eastAsia"/>
                    <w:color w:val="000000" w:themeColor="text1"/>
                    <w:sz w:val="16"/>
                    <w:szCs w:val="16"/>
                  </w:rPr>
                  <w:t>(2)/(1)</w:t>
                </w:r>
              </w:p>
            </w:tc>
          </w:sdtContent>
        </w:sdt>
        <w:sdt>
          <w:sdtPr>
            <w:rPr>
              <w:sz w:val="16"/>
              <w:szCs w:val="16"/>
            </w:rPr>
            <w:tag w:val="_PLD_01e8e5e4ca3d4d3aaaa7086276c1bc5c"/>
            <w:id w:val="-1918158294"/>
          </w:sdtPr>
          <w:sdtEndPr/>
          <w:sdtContent>
            <w:tc>
              <w:tcPr>
                <w:tcW w:w="851"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项目达到预定可使用</w:t>
                </w:r>
                <w:r>
                  <w:rPr>
                    <w:rFonts w:hint="eastAsia"/>
                    <w:color w:val="000000" w:themeColor="text1"/>
                    <w:sz w:val="16"/>
                    <w:szCs w:val="16"/>
                  </w:rPr>
                  <w:lastRenderedPageBreak/>
                  <w:t>状态日期</w:t>
                </w:r>
              </w:p>
            </w:tc>
          </w:sdtContent>
        </w:sdt>
        <w:sdt>
          <w:sdtPr>
            <w:rPr>
              <w:sz w:val="16"/>
              <w:szCs w:val="16"/>
            </w:rPr>
            <w:tag w:val="_PLD_5eddbee536aa4e52892af95cd659d94b"/>
            <w:id w:val="-1606114134"/>
          </w:sdtPr>
          <w:sdtEndPr/>
          <w:sdtContent>
            <w:tc>
              <w:tcPr>
                <w:tcW w:w="567"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是否已结项</w:t>
                </w:r>
              </w:p>
            </w:tc>
          </w:sdtContent>
        </w:sdt>
        <w:sdt>
          <w:sdtPr>
            <w:rPr>
              <w:sz w:val="16"/>
              <w:szCs w:val="16"/>
            </w:rPr>
            <w:tag w:val="_PLD_8467465a96b74acaab331c5d90e9ce0b"/>
            <w:id w:val="2067604764"/>
          </w:sdtPr>
          <w:sdtEndPr/>
          <w:sdtContent>
            <w:tc>
              <w:tcPr>
                <w:tcW w:w="709"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投入进度是否符合计</w:t>
                </w:r>
                <w:r>
                  <w:rPr>
                    <w:rFonts w:hint="eastAsia"/>
                    <w:color w:val="000000" w:themeColor="text1"/>
                    <w:sz w:val="16"/>
                    <w:szCs w:val="16"/>
                  </w:rPr>
                  <w:lastRenderedPageBreak/>
                  <w:t>划的进度</w:t>
                </w:r>
              </w:p>
            </w:tc>
          </w:sdtContent>
        </w:sdt>
        <w:sdt>
          <w:sdtPr>
            <w:rPr>
              <w:sz w:val="16"/>
              <w:szCs w:val="16"/>
            </w:rPr>
            <w:tag w:val="_PLD_1b7bf5771de14bcc9dd65c6fd485f737"/>
            <w:id w:val="-464893046"/>
          </w:sdtPr>
          <w:sdtEndPr/>
          <w:sdtContent>
            <w:tc>
              <w:tcPr>
                <w:tcW w:w="708"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投入进度未达计划的</w:t>
                </w:r>
                <w:r>
                  <w:rPr>
                    <w:rFonts w:hint="eastAsia"/>
                    <w:color w:val="000000" w:themeColor="text1"/>
                    <w:sz w:val="16"/>
                    <w:szCs w:val="16"/>
                  </w:rPr>
                  <w:lastRenderedPageBreak/>
                  <w:t>具体原因</w:t>
                </w:r>
              </w:p>
            </w:tc>
          </w:sdtContent>
        </w:sdt>
        <w:sdt>
          <w:sdtPr>
            <w:rPr>
              <w:sz w:val="16"/>
              <w:szCs w:val="16"/>
            </w:rPr>
            <w:tag w:val="_PLD_fbb430167f3547579a7577fe949992b0"/>
            <w:id w:val="-918633138"/>
          </w:sdtPr>
          <w:sdtEndPr/>
          <w:sdtContent>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本年实现的效益</w:t>
                </w:r>
              </w:p>
            </w:tc>
          </w:sdtContent>
        </w:sdt>
        <w:sdt>
          <w:sdtPr>
            <w:rPr>
              <w:sz w:val="16"/>
              <w:szCs w:val="16"/>
            </w:rPr>
            <w:tag w:val="_PLD_6f9a466456034ce1b5c52e7b5f84118e"/>
            <w:id w:val="-1725591203"/>
          </w:sdtPr>
          <w:sdtEndPr/>
          <w:sdtContent>
            <w:tc>
              <w:tcPr>
                <w:tcW w:w="806"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本项目已实现的效益</w:t>
                </w:r>
                <w:r>
                  <w:rPr>
                    <w:rFonts w:hint="eastAsia"/>
                    <w:color w:val="000000" w:themeColor="text1"/>
                    <w:sz w:val="16"/>
                    <w:szCs w:val="16"/>
                  </w:rPr>
                  <w:lastRenderedPageBreak/>
                  <w:t>或者研发成果</w:t>
                </w:r>
              </w:p>
            </w:tc>
          </w:sdtContent>
        </w:sdt>
        <w:sdt>
          <w:sdtPr>
            <w:rPr>
              <w:sz w:val="16"/>
              <w:szCs w:val="16"/>
            </w:rPr>
            <w:tag w:val="_PLD_a2bfc6b5def44414b3ea17747d5098bb"/>
            <w:id w:val="25532430"/>
          </w:sdtPr>
          <w:sdtEndPr/>
          <w:sdtContent>
            <w:tc>
              <w:tcPr>
                <w:tcW w:w="1037"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项目可行性是否发生重大变化，</w:t>
                </w:r>
                <w:r>
                  <w:rPr>
                    <w:color w:val="000000" w:themeColor="text1"/>
                    <w:sz w:val="16"/>
                    <w:szCs w:val="16"/>
                  </w:rPr>
                  <w:t>如</w:t>
                </w:r>
                <w:r>
                  <w:rPr>
                    <w:color w:val="000000" w:themeColor="text1"/>
                    <w:sz w:val="16"/>
                    <w:szCs w:val="16"/>
                  </w:rPr>
                  <w:lastRenderedPageBreak/>
                  <w:t>是，请说明具体情况</w:t>
                </w:r>
              </w:p>
            </w:tc>
          </w:sdtContent>
        </w:sdt>
        <w:sdt>
          <w:sdtPr>
            <w:rPr>
              <w:sz w:val="16"/>
              <w:szCs w:val="16"/>
            </w:rPr>
            <w:tag w:val="_PLD_88cf0da5d9e243a788faa7cae609a675"/>
            <w:id w:val="-1367205447"/>
          </w:sdtPr>
          <w:sdtEndPr/>
          <w:sdtContent>
            <w:tc>
              <w:tcPr>
                <w:tcW w:w="543"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节余金额</w:t>
                </w:r>
              </w:p>
            </w:tc>
          </w:sdtContent>
        </w:sdt>
      </w:tr>
      <w:tr w:rsidR="00156DD6">
        <w:trPr>
          <w:trHeight w:val="160"/>
          <w:jc w:val="center"/>
        </w:trPr>
        <w:bookmarkStart w:id="101" w:name="_Hlk169882430" w:displacedByCustomXml="next"/>
        <w:sdt>
          <w:sdtPr>
            <w:rPr>
              <w:color w:val="000000" w:themeColor="text1"/>
              <w:sz w:val="16"/>
              <w:szCs w:val="16"/>
            </w:rPr>
            <w:alias w:val="募集资金使用进展明细_募集资金来源"/>
            <w:tag w:val="_GBC_638a92b01f424b558305ec2f2f71a9f3"/>
            <w:id w:val="348461402"/>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704" w:type="dxa"/>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sz w:val="16"/>
                    <w:szCs w:val="16"/>
                  </w:rPr>
                </w:pPr>
                <w:r>
                  <w:rPr>
                    <w:color w:val="000000" w:themeColor="text1"/>
                    <w:sz w:val="16"/>
                    <w:szCs w:val="16"/>
                  </w:rPr>
                  <w:t>首次公开发行股票</w:t>
                </w:r>
              </w:p>
            </w:tc>
          </w:sdtContent>
        </w:sdt>
        <w:tc>
          <w:tcPr>
            <w:tcW w:w="1134" w:type="dxa"/>
            <w:tcBorders>
              <w:top w:val="single" w:sz="4" w:space="0" w:color="auto"/>
              <w:left w:val="single" w:sz="4" w:space="0" w:color="auto"/>
              <w:bottom w:val="single" w:sz="4" w:space="0" w:color="auto"/>
              <w:right w:val="single" w:sz="4" w:space="0" w:color="auto"/>
            </w:tcBorders>
          </w:tcPr>
          <w:p w:rsidR="00156DD6" w:rsidRDefault="00D51F5F">
            <w:pPr>
              <w:rPr>
                <w:sz w:val="16"/>
                <w:szCs w:val="16"/>
              </w:rPr>
            </w:pPr>
            <w:r>
              <w:rPr>
                <w:rFonts w:hint="eastAsia"/>
                <w:sz w:val="16"/>
                <w:szCs w:val="16"/>
              </w:rPr>
              <w:t>智能成套电气设备产业基地项目</w:t>
            </w:r>
          </w:p>
        </w:tc>
        <w:tc>
          <w:tcPr>
            <w:tcW w:w="567"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生产建设</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1134"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24,268.47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21,020.72 </w:t>
            </w:r>
          </w:p>
        </w:tc>
        <w:tc>
          <w:tcPr>
            <w:tcW w:w="992"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86.62 </w:t>
            </w:r>
          </w:p>
        </w:tc>
        <w:tc>
          <w:tcPr>
            <w:tcW w:w="851"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2024</w:t>
            </w:r>
            <w:r>
              <w:rPr>
                <w:rFonts w:hint="eastAsia"/>
                <w:sz w:val="16"/>
                <w:szCs w:val="16"/>
              </w:rPr>
              <w:t>年</w:t>
            </w:r>
            <w:r>
              <w:rPr>
                <w:rFonts w:hint="eastAsia"/>
                <w:sz w:val="16"/>
                <w:szCs w:val="16"/>
              </w:rPr>
              <w:t>4</w:t>
            </w:r>
            <w:r>
              <w:rPr>
                <w:rFonts w:hint="eastAsia"/>
                <w:sz w:val="16"/>
                <w:szCs w:val="16"/>
              </w:rPr>
              <w:t>月</w:t>
            </w:r>
          </w:p>
        </w:tc>
        <w:tc>
          <w:tcPr>
            <w:tcW w:w="567"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8"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236</w:t>
            </w:r>
          </w:p>
        </w:tc>
        <w:tc>
          <w:tcPr>
            <w:tcW w:w="806"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sz w:val="16"/>
                <w:szCs w:val="16"/>
              </w:rPr>
              <w:t>-5</w:t>
            </w:r>
            <w:r>
              <w:rPr>
                <w:rFonts w:hint="eastAsia"/>
                <w:sz w:val="16"/>
                <w:szCs w:val="16"/>
              </w:rPr>
              <w:t>17</w:t>
            </w:r>
          </w:p>
        </w:tc>
        <w:tc>
          <w:tcPr>
            <w:tcW w:w="1037"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否</w:t>
            </w:r>
          </w:p>
        </w:tc>
        <w:tc>
          <w:tcPr>
            <w:tcW w:w="543"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r>
      <w:tr w:rsidR="00156DD6">
        <w:trPr>
          <w:trHeight w:val="160"/>
          <w:jc w:val="center"/>
        </w:trPr>
        <w:tc>
          <w:tcPr>
            <w:tcW w:w="704" w:type="dxa"/>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sz w:val="16"/>
                <w:szCs w:val="16"/>
              </w:rPr>
            </w:pPr>
            <w:r>
              <w:rPr>
                <w:rFonts w:hint="eastAsia"/>
                <w:color w:val="000000" w:themeColor="text1"/>
                <w:sz w:val="16"/>
                <w:szCs w:val="16"/>
              </w:rPr>
              <w:t xml:space="preserve">首次公开发行股票　</w:t>
            </w:r>
          </w:p>
        </w:tc>
        <w:tc>
          <w:tcPr>
            <w:tcW w:w="1134" w:type="dxa"/>
            <w:tcBorders>
              <w:top w:val="single" w:sz="4" w:space="0" w:color="auto"/>
              <w:left w:val="single" w:sz="4" w:space="0" w:color="auto"/>
              <w:bottom w:val="single" w:sz="4" w:space="0" w:color="auto"/>
              <w:right w:val="single" w:sz="4" w:space="0" w:color="auto"/>
            </w:tcBorders>
          </w:tcPr>
          <w:p w:rsidR="00156DD6" w:rsidRDefault="00D51F5F">
            <w:pPr>
              <w:rPr>
                <w:sz w:val="16"/>
                <w:szCs w:val="16"/>
              </w:rPr>
            </w:pPr>
            <w:r>
              <w:rPr>
                <w:rFonts w:hint="eastAsia"/>
                <w:sz w:val="16"/>
                <w:szCs w:val="16"/>
              </w:rPr>
              <w:t>110kV</w:t>
            </w:r>
            <w:r>
              <w:rPr>
                <w:rFonts w:hint="eastAsia"/>
                <w:sz w:val="16"/>
                <w:szCs w:val="16"/>
              </w:rPr>
              <w:t>及以下节能型变压器智能化工厂技改项目</w:t>
            </w:r>
          </w:p>
        </w:tc>
        <w:tc>
          <w:tcPr>
            <w:tcW w:w="567"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生产建设</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否</w:t>
            </w:r>
          </w:p>
        </w:tc>
        <w:tc>
          <w:tcPr>
            <w:tcW w:w="1134"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7,330.59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6,062.70 </w:t>
            </w:r>
          </w:p>
        </w:tc>
        <w:tc>
          <w:tcPr>
            <w:tcW w:w="992"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82.70 </w:t>
            </w:r>
          </w:p>
        </w:tc>
        <w:tc>
          <w:tcPr>
            <w:tcW w:w="851"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2024</w:t>
            </w:r>
            <w:r>
              <w:rPr>
                <w:rFonts w:hint="eastAsia"/>
                <w:sz w:val="16"/>
                <w:szCs w:val="16"/>
              </w:rPr>
              <w:t>年</w:t>
            </w:r>
            <w:r>
              <w:rPr>
                <w:rFonts w:hint="eastAsia"/>
                <w:sz w:val="16"/>
                <w:szCs w:val="16"/>
              </w:rPr>
              <w:t>4</w:t>
            </w:r>
            <w:r>
              <w:rPr>
                <w:rFonts w:hint="eastAsia"/>
                <w:sz w:val="16"/>
                <w:szCs w:val="16"/>
              </w:rPr>
              <w:t>月</w:t>
            </w:r>
          </w:p>
        </w:tc>
        <w:tc>
          <w:tcPr>
            <w:tcW w:w="567"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8"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754</w:t>
            </w:r>
          </w:p>
        </w:tc>
        <w:tc>
          <w:tcPr>
            <w:tcW w:w="806"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sz w:val="16"/>
                <w:szCs w:val="16"/>
              </w:rPr>
              <w:t>1,</w:t>
            </w:r>
            <w:r>
              <w:rPr>
                <w:rFonts w:hint="eastAsia"/>
                <w:sz w:val="16"/>
                <w:szCs w:val="16"/>
              </w:rPr>
              <w:t>269</w:t>
            </w:r>
          </w:p>
        </w:tc>
        <w:tc>
          <w:tcPr>
            <w:tcW w:w="1037"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否</w:t>
            </w:r>
          </w:p>
        </w:tc>
        <w:tc>
          <w:tcPr>
            <w:tcW w:w="543"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r>
      <w:tr w:rsidR="00156DD6">
        <w:trPr>
          <w:trHeight w:val="160"/>
          <w:jc w:val="center"/>
        </w:trPr>
        <w:tc>
          <w:tcPr>
            <w:tcW w:w="704" w:type="dxa"/>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sz w:val="16"/>
                <w:szCs w:val="16"/>
              </w:rPr>
            </w:pPr>
            <w:r>
              <w:rPr>
                <w:rFonts w:hint="eastAsia"/>
                <w:color w:val="000000" w:themeColor="text1"/>
                <w:sz w:val="16"/>
                <w:szCs w:val="16"/>
              </w:rPr>
              <w:t>首次公开发行股票</w:t>
            </w:r>
          </w:p>
        </w:tc>
        <w:tc>
          <w:tcPr>
            <w:tcW w:w="1134" w:type="dxa"/>
            <w:tcBorders>
              <w:top w:val="single" w:sz="4" w:space="0" w:color="auto"/>
              <w:left w:val="single" w:sz="4" w:space="0" w:color="auto"/>
              <w:bottom w:val="single" w:sz="4" w:space="0" w:color="auto"/>
              <w:right w:val="single" w:sz="4" w:space="0" w:color="auto"/>
            </w:tcBorders>
          </w:tcPr>
          <w:p w:rsidR="00156DD6" w:rsidRDefault="00D51F5F">
            <w:pPr>
              <w:rPr>
                <w:sz w:val="16"/>
                <w:szCs w:val="16"/>
              </w:rPr>
            </w:pPr>
            <w:r>
              <w:rPr>
                <w:rFonts w:hint="eastAsia"/>
                <w:sz w:val="16"/>
                <w:szCs w:val="16"/>
              </w:rPr>
              <w:t>低铁损高磁感硅钢铁心智能制造项目</w:t>
            </w:r>
          </w:p>
        </w:tc>
        <w:tc>
          <w:tcPr>
            <w:tcW w:w="567"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生产建设</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否</w:t>
            </w:r>
          </w:p>
        </w:tc>
        <w:tc>
          <w:tcPr>
            <w:tcW w:w="1134"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12,832.68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13,007.87 </w:t>
            </w:r>
          </w:p>
        </w:tc>
        <w:tc>
          <w:tcPr>
            <w:tcW w:w="992"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101.37</w:t>
            </w:r>
          </w:p>
          <w:p w:rsidR="00156DD6" w:rsidRDefault="00D51F5F">
            <w:pPr>
              <w:jc w:val="right"/>
              <w:rPr>
                <w:sz w:val="16"/>
                <w:szCs w:val="16"/>
              </w:rPr>
            </w:pPr>
            <w:r>
              <w:rPr>
                <w:rFonts w:hint="eastAsia"/>
                <w:sz w:val="16"/>
                <w:szCs w:val="16"/>
              </w:rPr>
              <w:t>[</w:t>
            </w:r>
            <w:r>
              <w:rPr>
                <w:rFonts w:hint="eastAsia"/>
                <w:sz w:val="16"/>
                <w:szCs w:val="16"/>
              </w:rPr>
              <w:t>注</w:t>
            </w:r>
            <w:r>
              <w:rPr>
                <w:sz w:val="16"/>
                <w:szCs w:val="16"/>
              </w:rPr>
              <w:t>1</w:t>
            </w:r>
            <w:r>
              <w:rPr>
                <w:rFonts w:hint="eastAsia"/>
                <w:sz w:val="16"/>
                <w:szCs w:val="16"/>
              </w:rPr>
              <w:t xml:space="preserve">] </w:t>
            </w:r>
          </w:p>
        </w:tc>
        <w:tc>
          <w:tcPr>
            <w:tcW w:w="851"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2023</w:t>
            </w:r>
            <w:r>
              <w:rPr>
                <w:rFonts w:hint="eastAsia"/>
                <w:sz w:val="16"/>
                <w:szCs w:val="16"/>
              </w:rPr>
              <w:t>年</w:t>
            </w:r>
            <w:r>
              <w:rPr>
                <w:rFonts w:hint="eastAsia"/>
                <w:sz w:val="16"/>
                <w:szCs w:val="16"/>
              </w:rPr>
              <w:t>6</w:t>
            </w:r>
            <w:r>
              <w:rPr>
                <w:rFonts w:hint="eastAsia"/>
                <w:sz w:val="16"/>
                <w:szCs w:val="16"/>
              </w:rPr>
              <w:t>月</w:t>
            </w:r>
          </w:p>
        </w:tc>
        <w:tc>
          <w:tcPr>
            <w:tcW w:w="567"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8"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sz w:val="16"/>
                <w:szCs w:val="16"/>
              </w:rPr>
              <w:t>1,2</w:t>
            </w:r>
            <w:r>
              <w:rPr>
                <w:rFonts w:hint="eastAsia"/>
                <w:sz w:val="16"/>
                <w:szCs w:val="16"/>
              </w:rPr>
              <w:t>83</w:t>
            </w:r>
          </w:p>
        </w:tc>
        <w:tc>
          <w:tcPr>
            <w:tcW w:w="806"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sz w:val="16"/>
                <w:szCs w:val="16"/>
              </w:rPr>
              <w:t>3,3</w:t>
            </w:r>
            <w:r>
              <w:rPr>
                <w:rFonts w:hint="eastAsia"/>
                <w:sz w:val="16"/>
                <w:szCs w:val="16"/>
              </w:rPr>
              <w:t>66</w:t>
            </w:r>
          </w:p>
        </w:tc>
        <w:tc>
          <w:tcPr>
            <w:tcW w:w="1037"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否</w:t>
            </w:r>
          </w:p>
        </w:tc>
        <w:tc>
          <w:tcPr>
            <w:tcW w:w="543"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r>
      <w:tr w:rsidR="00156DD6">
        <w:trPr>
          <w:trHeight w:val="160"/>
          <w:jc w:val="center"/>
        </w:trPr>
        <w:tc>
          <w:tcPr>
            <w:tcW w:w="704" w:type="dxa"/>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sz w:val="16"/>
                <w:szCs w:val="16"/>
              </w:rPr>
            </w:pPr>
            <w:r>
              <w:rPr>
                <w:rFonts w:hint="eastAsia"/>
                <w:color w:val="000000" w:themeColor="text1"/>
                <w:sz w:val="16"/>
                <w:szCs w:val="16"/>
              </w:rPr>
              <w:t>首次公开发行股票</w:t>
            </w:r>
          </w:p>
        </w:tc>
        <w:tc>
          <w:tcPr>
            <w:tcW w:w="1134" w:type="dxa"/>
            <w:tcBorders>
              <w:top w:val="single" w:sz="4" w:space="0" w:color="auto"/>
              <w:left w:val="single" w:sz="4" w:space="0" w:color="auto"/>
              <w:bottom w:val="single" w:sz="4" w:space="0" w:color="auto"/>
              <w:right w:val="single" w:sz="4" w:space="0" w:color="auto"/>
            </w:tcBorders>
          </w:tcPr>
          <w:p w:rsidR="00156DD6" w:rsidRDefault="00D51F5F">
            <w:pPr>
              <w:rPr>
                <w:sz w:val="16"/>
                <w:szCs w:val="16"/>
              </w:rPr>
            </w:pPr>
            <w:r>
              <w:rPr>
                <w:rFonts w:hint="eastAsia"/>
                <w:sz w:val="16"/>
                <w:szCs w:val="16"/>
              </w:rPr>
              <w:t>研发中心及信息化建设项目</w:t>
            </w:r>
          </w:p>
        </w:tc>
        <w:tc>
          <w:tcPr>
            <w:tcW w:w="567"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生产建设</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否</w:t>
            </w:r>
          </w:p>
        </w:tc>
        <w:tc>
          <w:tcPr>
            <w:tcW w:w="1134"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6,250.00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1.78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3,686.11 </w:t>
            </w:r>
          </w:p>
        </w:tc>
        <w:tc>
          <w:tcPr>
            <w:tcW w:w="992"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58.98 </w:t>
            </w:r>
          </w:p>
        </w:tc>
        <w:tc>
          <w:tcPr>
            <w:tcW w:w="851"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2024</w:t>
            </w:r>
            <w:r>
              <w:rPr>
                <w:rFonts w:hint="eastAsia"/>
                <w:sz w:val="16"/>
                <w:szCs w:val="16"/>
              </w:rPr>
              <w:t>年</w:t>
            </w:r>
            <w:r>
              <w:rPr>
                <w:rFonts w:hint="eastAsia"/>
                <w:sz w:val="16"/>
                <w:szCs w:val="16"/>
              </w:rPr>
              <w:t>4</w:t>
            </w:r>
            <w:r>
              <w:rPr>
                <w:rFonts w:hint="eastAsia"/>
                <w:sz w:val="16"/>
                <w:szCs w:val="16"/>
              </w:rPr>
              <w:t>月</w:t>
            </w:r>
          </w:p>
        </w:tc>
        <w:tc>
          <w:tcPr>
            <w:tcW w:w="567"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8"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c>
          <w:tcPr>
            <w:tcW w:w="806"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w:t>
            </w:r>
          </w:p>
        </w:tc>
        <w:tc>
          <w:tcPr>
            <w:tcW w:w="1037"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否</w:t>
            </w:r>
          </w:p>
        </w:tc>
        <w:tc>
          <w:tcPr>
            <w:tcW w:w="543"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r>
      <w:tr w:rsidR="00156DD6">
        <w:trPr>
          <w:trHeight w:val="160"/>
          <w:jc w:val="center"/>
        </w:trPr>
        <w:tc>
          <w:tcPr>
            <w:tcW w:w="704" w:type="dxa"/>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sz w:val="16"/>
                <w:szCs w:val="16"/>
              </w:rPr>
            </w:pPr>
            <w:r>
              <w:rPr>
                <w:rFonts w:hint="eastAsia"/>
                <w:color w:val="000000" w:themeColor="text1"/>
                <w:sz w:val="16"/>
                <w:szCs w:val="16"/>
              </w:rPr>
              <w:t>首次公开发行股票</w:t>
            </w:r>
          </w:p>
        </w:tc>
        <w:tc>
          <w:tcPr>
            <w:tcW w:w="1134" w:type="dxa"/>
            <w:tcBorders>
              <w:top w:val="single" w:sz="4" w:space="0" w:color="auto"/>
              <w:left w:val="single" w:sz="4" w:space="0" w:color="auto"/>
              <w:bottom w:val="single" w:sz="4" w:space="0" w:color="auto"/>
              <w:right w:val="single" w:sz="4" w:space="0" w:color="auto"/>
            </w:tcBorders>
          </w:tcPr>
          <w:p w:rsidR="00156DD6" w:rsidRDefault="00D51F5F">
            <w:pPr>
              <w:rPr>
                <w:sz w:val="16"/>
                <w:szCs w:val="16"/>
              </w:rPr>
            </w:pPr>
            <w:r>
              <w:rPr>
                <w:rFonts w:hint="eastAsia"/>
                <w:sz w:val="16"/>
                <w:szCs w:val="16"/>
              </w:rPr>
              <w:t>智控设备及金属制品智能工厂建设项目（一期）</w:t>
            </w:r>
          </w:p>
        </w:tc>
        <w:tc>
          <w:tcPr>
            <w:tcW w:w="567"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生产建设</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1134"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14,774.44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1,440.59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17,955.16 </w:t>
            </w:r>
          </w:p>
        </w:tc>
        <w:tc>
          <w:tcPr>
            <w:tcW w:w="992"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121.53</w:t>
            </w:r>
          </w:p>
          <w:p w:rsidR="00156DD6" w:rsidRDefault="00D51F5F">
            <w:pPr>
              <w:jc w:val="right"/>
              <w:rPr>
                <w:sz w:val="16"/>
                <w:szCs w:val="16"/>
              </w:rPr>
            </w:pPr>
            <w:r>
              <w:rPr>
                <w:rFonts w:hint="eastAsia"/>
                <w:sz w:val="16"/>
                <w:szCs w:val="16"/>
              </w:rPr>
              <w:t>[</w:t>
            </w:r>
            <w:r>
              <w:rPr>
                <w:rFonts w:hint="eastAsia"/>
                <w:sz w:val="16"/>
                <w:szCs w:val="16"/>
              </w:rPr>
              <w:t>注</w:t>
            </w:r>
            <w:r>
              <w:rPr>
                <w:rFonts w:hint="eastAsia"/>
                <w:sz w:val="16"/>
                <w:szCs w:val="16"/>
              </w:rPr>
              <w:t xml:space="preserve">2] </w:t>
            </w:r>
          </w:p>
        </w:tc>
        <w:tc>
          <w:tcPr>
            <w:tcW w:w="851"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2025</w:t>
            </w:r>
            <w:r>
              <w:rPr>
                <w:rFonts w:hint="eastAsia"/>
                <w:sz w:val="16"/>
                <w:szCs w:val="16"/>
              </w:rPr>
              <w:t>年</w:t>
            </w:r>
            <w:r>
              <w:rPr>
                <w:rFonts w:hint="eastAsia"/>
                <w:sz w:val="16"/>
                <w:szCs w:val="16"/>
              </w:rPr>
              <w:t>6</w:t>
            </w:r>
            <w:r>
              <w:rPr>
                <w:rFonts w:hint="eastAsia"/>
                <w:sz w:val="16"/>
                <w:szCs w:val="16"/>
              </w:rPr>
              <w:t>月</w:t>
            </w:r>
          </w:p>
        </w:tc>
        <w:tc>
          <w:tcPr>
            <w:tcW w:w="567"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8"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c>
          <w:tcPr>
            <w:tcW w:w="806"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w:t>
            </w:r>
          </w:p>
        </w:tc>
        <w:tc>
          <w:tcPr>
            <w:tcW w:w="1037"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否</w:t>
            </w:r>
          </w:p>
        </w:tc>
        <w:tc>
          <w:tcPr>
            <w:tcW w:w="543"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r>
      <w:tr w:rsidR="00156DD6">
        <w:trPr>
          <w:trHeight w:val="160"/>
          <w:jc w:val="center"/>
        </w:trPr>
        <w:tc>
          <w:tcPr>
            <w:tcW w:w="704" w:type="dxa"/>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sz w:val="16"/>
                <w:szCs w:val="16"/>
              </w:rPr>
            </w:pPr>
            <w:r>
              <w:rPr>
                <w:rFonts w:hint="eastAsia"/>
                <w:color w:val="000000" w:themeColor="text1"/>
                <w:sz w:val="16"/>
                <w:szCs w:val="16"/>
              </w:rPr>
              <w:t>首次公开发行股票</w:t>
            </w:r>
          </w:p>
        </w:tc>
        <w:tc>
          <w:tcPr>
            <w:tcW w:w="1134" w:type="dxa"/>
            <w:tcBorders>
              <w:top w:val="single" w:sz="4" w:space="0" w:color="auto"/>
              <w:left w:val="single" w:sz="4" w:space="0" w:color="auto"/>
              <w:bottom w:val="single" w:sz="4" w:space="0" w:color="auto"/>
              <w:right w:val="single" w:sz="4" w:space="0" w:color="auto"/>
            </w:tcBorders>
          </w:tcPr>
          <w:p w:rsidR="00156DD6" w:rsidRDefault="00D51F5F">
            <w:pPr>
              <w:rPr>
                <w:sz w:val="16"/>
                <w:szCs w:val="16"/>
              </w:rPr>
            </w:pPr>
            <w:r>
              <w:rPr>
                <w:rFonts w:hint="eastAsia"/>
                <w:sz w:val="16"/>
                <w:szCs w:val="16"/>
              </w:rPr>
              <w:t>补充流动资金</w:t>
            </w:r>
          </w:p>
        </w:tc>
        <w:tc>
          <w:tcPr>
            <w:tcW w:w="567"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补流还贷</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是</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否</w:t>
            </w:r>
          </w:p>
        </w:tc>
        <w:tc>
          <w:tcPr>
            <w:tcW w:w="1134"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20,000.00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20,000.00 </w:t>
            </w:r>
          </w:p>
        </w:tc>
        <w:tc>
          <w:tcPr>
            <w:tcW w:w="992"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rFonts w:hint="eastAsia"/>
                <w:sz w:val="16"/>
                <w:szCs w:val="16"/>
              </w:rPr>
              <w:t xml:space="preserve"> 100.00 </w:t>
            </w:r>
          </w:p>
        </w:tc>
        <w:tc>
          <w:tcPr>
            <w:tcW w:w="851"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c>
          <w:tcPr>
            <w:tcW w:w="567"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不适用</w:t>
            </w:r>
          </w:p>
        </w:tc>
        <w:tc>
          <w:tcPr>
            <w:tcW w:w="709" w:type="dxa"/>
            <w:tcBorders>
              <w:top w:val="single" w:sz="4" w:space="0" w:color="auto"/>
              <w:left w:val="nil"/>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sz w:val="16"/>
                <w:szCs w:val="16"/>
              </w:rPr>
              <w:t>不适用</w:t>
            </w:r>
          </w:p>
        </w:tc>
        <w:tc>
          <w:tcPr>
            <w:tcW w:w="708"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c>
          <w:tcPr>
            <w:tcW w:w="806"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w:t>
            </w:r>
          </w:p>
        </w:tc>
        <w:tc>
          <w:tcPr>
            <w:tcW w:w="1037"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否</w:t>
            </w:r>
          </w:p>
        </w:tc>
        <w:tc>
          <w:tcPr>
            <w:tcW w:w="543" w:type="dxa"/>
            <w:tcBorders>
              <w:top w:val="single" w:sz="4" w:space="0" w:color="auto"/>
              <w:left w:val="nil"/>
              <w:bottom w:val="single" w:sz="4" w:space="0" w:color="auto"/>
              <w:right w:val="single" w:sz="4" w:space="0" w:color="auto"/>
            </w:tcBorders>
            <w:vAlign w:val="center"/>
          </w:tcPr>
          <w:p w:rsidR="00156DD6" w:rsidRDefault="00D51F5F">
            <w:pPr>
              <w:jc w:val="center"/>
              <w:rPr>
                <w:sz w:val="16"/>
                <w:szCs w:val="16"/>
              </w:rPr>
            </w:pPr>
            <w:r>
              <w:rPr>
                <w:rFonts w:hint="eastAsia"/>
                <w:sz w:val="16"/>
                <w:szCs w:val="16"/>
              </w:rPr>
              <w:t>不适用</w:t>
            </w:r>
          </w:p>
        </w:tc>
      </w:tr>
      <w:bookmarkEnd w:id="101"/>
      <w:tr w:rsidR="00156DD6">
        <w:trPr>
          <w:trHeight w:val="160"/>
          <w:jc w:val="center"/>
        </w:trPr>
        <w:tc>
          <w:tcPr>
            <w:tcW w:w="704"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6"/>
                <w:szCs w:val="16"/>
              </w:rPr>
            </w:pPr>
            <w:r>
              <w:rPr>
                <w:rFonts w:hint="eastAsia"/>
                <w:color w:val="000000" w:themeColor="text1"/>
                <w:sz w:val="16"/>
                <w:szCs w:val="16"/>
              </w:rPr>
              <w:t>合计</w:t>
            </w:r>
          </w:p>
        </w:tc>
        <w:tc>
          <w:tcPr>
            <w:tcW w:w="1134" w:type="dxa"/>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sz w:val="16"/>
                <w:szCs w:val="16"/>
              </w:rPr>
            </w:pPr>
            <w:r>
              <w:rPr>
                <w:sz w:val="16"/>
                <w:szCs w:val="16"/>
              </w:rPr>
              <w:t>/</w:t>
            </w:r>
          </w:p>
        </w:tc>
        <w:tc>
          <w:tcPr>
            <w:tcW w:w="567" w:type="dxa"/>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sz w:val="16"/>
                <w:szCs w:val="16"/>
              </w:rPr>
            </w:pPr>
            <w:r>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sz w:val="16"/>
                <w:szCs w:val="16"/>
              </w:rPr>
            </w:pPr>
            <w:r>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sz w:val="16"/>
                <w:szCs w:val="16"/>
              </w:rPr>
            </w:pPr>
            <w:r>
              <w:rPr>
                <w:sz w:val="16"/>
                <w:szCs w:val="16"/>
              </w:rPr>
              <w:t>/</w:t>
            </w:r>
          </w:p>
        </w:tc>
        <w:tc>
          <w:tcPr>
            <w:tcW w:w="1134" w:type="dxa"/>
            <w:tcBorders>
              <w:top w:val="single" w:sz="4" w:space="0" w:color="auto"/>
              <w:left w:val="nil"/>
              <w:bottom w:val="single" w:sz="4" w:space="0" w:color="auto"/>
              <w:right w:val="single" w:sz="4" w:space="0" w:color="auto"/>
            </w:tcBorders>
            <w:vAlign w:val="center"/>
          </w:tcPr>
          <w:p w:rsidR="00156DD6" w:rsidRDefault="00D51F5F">
            <w:pPr>
              <w:jc w:val="right"/>
              <w:rPr>
                <w:sz w:val="16"/>
                <w:szCs w:val="16"/>
              </w:rPr>
            </w:pPr>
            <w:r>
              <w:rPr>
                <w:sz w:val="16"/>
                <w:szCs w:val="16"/>
              </w:rPr>
              <w:t xml:space="preserve">85,456.18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sz w:val="16"/>
                <w:szCs w:val="16"/>
              </w:rPr>
              <w:t xml:space="preserve">1,442.37 </w:t>
            </w:r>
          </w:p>
        </w:tc>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sz w:val="16"/>
                <w:szCs w:val="16"/>
              </w:rPr>
              <w:t xml:space="preserve">81,732.56 </w:t>
            </w:r>
          </w:p>
        </w:tc>
        <w:tc>
          <w:tcPr>
            <w:tcW w:w="992" w:type="dxa"/>
            <w:tcBorders>
              <w:top w:val="single" w:sz="4" w:space="0" w:color="auto"/>
              <w:left w:val="nil"/>
              <w:bottom w:val="single" w:sz="4" w:space="0" w:color="auto"/>
              <w:right w:val="single" w:sz="4" w:space="0" w:color="auto"/>
            </w:tcBorders>
            <w:vAlign w:val="center"/>
          </w:tcPr>
          <w:p w:rsidR="00156DD6" w:rsidRDefault="00D51F5F">
            <w:pPr>
              <w:jc w:val="right"/>
              <w:rPr>
                <w:color w:val="000000" w:themeColor="text1"/>
                <w:sz w:val="16"/>
                <w:szCs w:val="16"/>
              </w:rPr>
            </w:pPr>
            <w:r>
              <w:rPr>
                <w:sz w:val="16"/>
                <w:szCs w:val="16"/>
              </w:rPr>
              <w:t>/</w:t>
            </w:r>
          </w:p>
        </w:tc>
        <w:tc>
          <w:tcPr>
            <w:tcW w:w="851" w:type="dxa"/>
            <w:tcBorders>
              <w:top w:val="single" w:sz="4" w:space="0" w:color="auto"/>
              <w:left w:val="nil"/>
              <w:bottom w:val="single" w:sz="4" w:space="0" w:color="auto"/>
              <w:right w:val="single" w:sz="4" w:space="0" w:color="auto"/>
            </w:tcBorders>
            <w:vAlign w:val="center"/>
          </w:tcPr>
          <w:p w:rsidR="00156DD6" w:rsidRDefault="00D51F5F">
            <w:pPr>
              <w:jc w:val="right"/>
              <w:rPr>
                <w:color w:val="000000" w:themeColor="text1"/>
                <w:sz w:val="16"/>
                <w:szCs w:val="16"/>
              </w:rPr>
            </w:pPr>
            <w:r>
              <w:rPr>
                <w:sz w:val="16"/>
                <w:szCs w:val="16"/>
              </w:rPr>
              <w:t>/</w:t>
            </w:r>
          </w:p>
        </w:tc>
        <w:tc>
          <w:tcPr>
            <w:tcW w:w="567" w:type="dxa"/>
            <w:tcBorders>
              <w:top w:val="single" w:sz="4" w:space="0" w:color="auto"/>
              <w:left w:val="nil"/>
              <w:bottom w:val="single" w:sz="4" w:space="0" w:color="auto"/>
              <w:right w:val="single" w:sz="4" w:space="0" w:color="auto"/>
            </w:tcBorders>
            <w:vAlign w:val="center"/>
          </w:tcPr>
          <w:p w:rsidR="00156DD6" w:rsidRDefault="00D51F5F">
            <w:pPr>
              <w:jc w:val="right"/>
              <w:rPr>
                <w:color w:val="000000" w:themeColor="text1"/>
                <w:sz w:val="16"/>
                <w:szCs w:val="16"/>
              </w:rPr>
            </w:pPr>
            <w:r>
              <w:rPr>
                <w:sz w:val="16"/>
                <w:szCs w:val="16"/>
              </w:rPr>
              <w:t>/</w:t>
            </w:r>
          </w:p>
        </w:tc>
        <w:tc>
          <w:tcPr>
            <w:tcW w:w="709" w:type="dxa"/>
            <w:tcBorders>
              <w:top w:val="single" w:sz="4" w:space="0" w:color="auto"/>
              <w:left w:val="nil"/>
              <w:bottom w:val="single" w:sz="4" w:space="0" w:color="auto"/>
              <w:right w:val="single" w:sz="4" w:space="0" w:color="auto"/>
            </w:tcBorders>
            <w:vAlign w:val="center"/>
          </w:tcPr>
          <w:p w:rsidR="00156DD6" w:rsidRDefault="00D51F5F">
            <w:pPr>
              <w:jc w:val="right"/>
              <w:rPr>
                <w:color w:val="000000" w:themeColor="text1"/>
                <w:sz w:val="16"/>
                <w:szCs w:val="16"/>
              </w:rPr>
            </w:pPr>
            <w:r>
              <w:rPr>
                <w:sz w:val="16"/>
                <w:szCs w:val="16"/>
              </w:rPr>
              <w:t>/</w:t>
            </w:r>
          </w:p>
        </w:tc>
        <w:tc>
          <w:tcPr>
            <w:tcW w:w="708" w:type="dxa"/>
            <w:tcBorders>
              <w:top w:val="single" w:sz="4" w:space="0" w:color="auto"/>
              <w:left w:val="nil"/>
              <w:bottom w:val="single" w:sz="4" w:space="0" w:color="auto"/>
              <w:right w:val="single" w:sz="4" w:space="0" w:color="auto"/>
            </w:tcBorders>
            <w:vAlign w:val="center"/>
          </w:tcPr>
          <w:p w:rsidR="00156DD6" w:rsidRDefault="00D51F5F">
            <w:pPr>
              <w:jc w:val="right"/>
              <w:rPr>
                <w:color w:val="000000" w:themeColor="text1"/>
                <w:sz w:val="16"/>
                <w:szCs w:val="16"/>
              </w:rPr>
            </w:pPr>
            <w:bookmarkStart w:id="102" w:name="OLE_LINK42"/>
            <w:bookmarkStart w:id="103" w:name="OLE_LINK40"/>
            <w:bookmarkStart w:id="104" w:name="OLE_LINK43"/>
            <w:r>
              <w:rPr>
                <w:sz w:val="16"/>
                <w:szCs w:val="16"/>
              </w:rPr>
              <w:t>/</w:t>
            </w:r>
            <w:bookmarkEnd w:id="102"/>
            <w:bookmarkEnd w:id="103"/>
            <w:bookmarkEnd w:id="104"/>
          </w:p>
        </w:tc>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6"/>
                <w:szCs w:val="16"/>
              </w:rPr>
            </w:pPr>
            <w:r>
              <w:rPr>
                <w:sz w:val="16"/>
                <w:szCs w:val="16"/>
              </w:rPr>
              <w:t>/</w:t>
            </w:r>
          </w:p>
        </w:tc>
        <w:tc>
          <w:tcPr>
            <w:tcW w:w="806"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sz w:val="16"/>
                <w:szCs w:val="16"/>
              </w:rPr>
            </w:pPr>
            <w:r>
              <w:rPr>
                <w:sz w:val="16"/>
                <w:szCs w:val="16"/>
              </w:rPr>
              <w:t>/</w:t>
            </w:r>
          </w:p>
        </w:tc>
        <w:tc>
          <w:tcPr>
            <w:tcW w:w="1037" w:type="dxa"/>
            <w:tcBorders>
              <w:top w:val="single" w:sz="4" w:space="0" w:color="auto"/>
              <w:left w:val="nil"/>
              <w:bottom w:val="single" w:sz="4" w:space="0" w:color="auto"/>
              <w:right w:val="single" w:sz="4" w:space="0" w:color="auto"/>
            </w:tcBorders>
            <w:vAlign w:val="center"/>
          </w:tcPr>
          <w:p w:rsidR="00156DD6" w:rsidRDefault="00D51F5F">
            <w:pPr>
              <w:jc w:val="right"/>
              <w:rPr>
                <w:color w:val="000000" w:themeColor="text1"/>
                <w:sz w:val="16"/>
                <w:szCs w:val="16"/>
              </w:rPr>
            </w:pPr>
            <w:r>
              <w:rPr>
                <w:sz w:val="16"/>
                <w:szCs w:val="16"/>
              </w:rPr>
              <w:t>/</w:t>
            </w:r>
          </w:p>
        </w:tc>
        <w:tc>
          <w:tcPr>
            <w:tcW w:w="543" w:type="dxa"/>
            <w:tcBorders>
              <w:top w:val="single" w:sz="4" w:space="0" w:color="auto"/>
              <w:left w:val="nil"/>
              <w:bottom w:val="single" w:sz="4" w:space="0" w:color="auto"/>
              <w:right w:val="single" w:sz="4" w:space="0" w:color="auto"/>
            </w:tcBorders>
            <w:vAlign w:val="center"/>
          </w:tcPr>
          <w:p w:rsidR="00156DD6" w:rsidRDefault="00156DD6">
            <w:pPr>
              <w:jc w:val="right"/>
              <w:rPr>
                <w:sz w:val="16"/>
                <w:szCs w:val="16"/>
              </w:rPr>
            </w:pPr>
          </w:p>
        </w:tc>
      </w:tr>
    </w:tbl>
    <w:p w:rsidR="00156DD6" w:rsidRDefault="00D51F5F">
      <w:pPr>
        <w:spacing w:line="360" w:lineRule="exact"/>
        <w:rPr>
          <w:color w:val="000000" w:themeColor="text1"/>
        </w:rPr>
      </w:pPr>
      <w:bookmarkStart w:id="105" w:name="_Hlk169882642"/>
      <w:bookmarkEnd w:id="94"/>
      <w:bookmarkEnd w:id="100"/>
      <w:r>
        <w:rPr>
          <w:rFonts w:hint="eastAsia"/>
          <w:color w:val="000000" w:themeColor="text1"/>
        </w:rPr>
        <w:t>注</w:t>
      </w:r>
      <w:r>
        <w:rPr>
          <w:color w:val="000000" w:themeColor="text1"/>
        </w:rPr>
        <w:t>1</w:t>
      </w:r>
      <w:r>
        <w:rPr>
          <w:color w:val="000000" w:themeColor="text1"/>
        </w:rPr>
        <w:t>：低铁损高磁感硅钢铁心智能制造项目的实际累计投入金额大于承诺投入金额，系募集资金账户存续期间产生的利息收入及现金管理收益</w:t>
      </w:r>
      <w:r>
        <w:rPr>
          <w:rFonts w:hint="eastAsia"/>
          <w:color w:val="000000" w:themeColor="text1"/>
        </w:rPr>
        <w:t>。</w:t>
      </w:r>
    </w:p>
    <w:p w:rsidR="00156DD6" w:rsidRDefault="00D51F5F">
      <w:pPr>
        <w:spacing w:line="360" w:lineRule="exact"/>
        <w:rPr>
          <w:color w:val="000000" w:themeColor="text1"/>
        </w:rPr>
      </w:pPr>
      <w:r>
        <w:rPr>
          <w:rFonts w:hint="eastAsia"/>
          <w:color w:val="000000" w:themeColor="text1"/>
        </w:rPr>
        <w:t>注</w:t>
      </w:r>
      <w:r>
        <w:rPr>
          <w:color w:val="000000" w:themeColor="text1"/>
        </w:rPr>
        <w:t>2</w:t>
      </w:r>
      <w:r>
        <w:rPr>
          <w:color w:val="000000" w:themeColor="text1"/>
        </w:rPr>
        <w:t>：智控设备及金属制品智能工厂建设项目（一期）的实际累计投入金额大于承诺投入金额，系从智能成套电气设备产业基地建设项目、</w:t>
      </w:r>
      <w:r>
        <w:rPr>
          <w:color w:val="000000" w:themeColor="text1"/>
        </w:rPr>
        <w:t>110kV</w:t>
      </w:r>
      <w:r>
        <w:rPr>
          <w:color w:val="000000" w:themeColor="text1"/>
        </w:rPr>
        <w:t>及以下节能型变压器智能化工厂技改项目和研发中心及信息化建设项目转入节余募集资金</w:t>
      </w:r>
      <w:r>
        <w:rPr>
          <w:color w:val="000000" w:themeColor="text1"/>
        </w:rPr>
        <w:t>9,281.94</w:t>
      </w:r>
      <w:r>
        <w:rPr>
          <w:color w:val="000000" w:themeColor="text1"/>
        </w:rPr>
        <w:t>万元</w:t>
      </w:r>
      <w:r>
        <w:rPr>
          <w:rFonts w:hint="eastAsia"/>
          <w:color w:val="000000" w:themeColor="text1"/>
        </w:rPr>
        <w:t>。</w:t>
      </w:r>
    </w:p>
    <w:p w:rsidR="00156DD6" w:rsidRDefault="00D51F5F">
      <w:pPr>
        <w:pStyle w:val="Style47"/>
        <w:numPr>
          <w:ilvl w:val="0"/>
          <w:numId w:val="25"/>
        </w:numPr>
        <w:rPr>
          <w:sz w:val="21"/>
          <w:szCs w:val="21"/>
        </w:rPr>
      </w:pPr>
      <w:r>
        <w:rPr>
          <w:rFonts w:hint="eastAsia"/>
          <w:sz w:val="21"/>
          <w:szCs w:val="21"/>
        </w:rPr>
        <w:t>超募资金明细使用情况</w:t>
      </w:r>
    </w:p>
    <w:sdt>
      <w:sdtPr>
        <w:rPr>
          <w:rFonts w:hint="eastAsia"/>
          <w:color w:val="000000" w:themeColor="text1"/>
        </w:rPr>
        <w:alias w:val="是否适用：超募资金明细使用情况[双击切换]"/>
        <w:tag w:val="_GBC_2f45cae4211540beb20022acbb67dc6c"/>
        <w:id w:val="-79753172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24"/>
        </w:numPr>
        <w:tabs>
          <w:tab w:val="left" w:pos="360"/>
        </w:tabs>
        <w:ind w:left="450" w:hanging="450"/>
        <w:rPr>
          <w:rFonts w:ascii="宋体" w:hAnsi="宋体"/>
          <w:color w:val="000000" w:themeColor="text1"/>
          <w:sz w:val="21"/>
          <w:szCs w:val="21"/>
        </w:rPr>
      </w:pPr>
      <w:bookmarkStart w:id="106" w:name="_Hlk90391874"/>
      <w:bookmarkEnd w:id="105"/>
      <w:r>
        <w:rPr>
          <w:rFonts w:ascii="宋体" w:hAnsi="宋体" w:hint="eastAsia"/>
          <w:color w:val="000000" w:themeColor="text1"/>
          <w:sz w:val="21"/>
          <w:szCs w:val="21"/>
        </w:rPr>
        <w:t>报告期内募投变更或终止情况</w:t>
      </w:r>
    </w:p>
    <w:sdt>
      <w:sdtPr>
        <w:rPr>
          <w:color w:val="000000" w:themeColor="text1"/>
        </w:rPr>
        <w:alias w:val="是否适用：报告期内募投变更情况  [双击切换]"/>
        <w:tag w:val="_GBC_8231ad1a0c034cb4a4249fecfe8a81b1"/>
        <w:id w:val="178792510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95"/>
    <w:bookmarkEnd w:id="106"/>
    <w:p w:rsidR="00156DD6" w:rsidRDefault="00156DD6">
      <w:pPr>
        <w:rPr>
          <w:color w:val="000000" w:themeColor="text1"/>
        </w:rPr>
      </w:pPr>
    </w:p>
    <w:p w:rsidR="00156DD6" w:rsidRDefault="00156DD6">
      <w:pPr>
        <w:rPr>
          <w:color w:val="000000" w:themeColor="text1"/>
        </w:rPr>
        <w:sectPr w:rsidR="00156DD6">
          <w:pgSz w:w="16838" w:h="11906" w:orient="landscape"/>
          <w:pgMar w:top="1797" w:right="1525" w:bottom="1276" w:left="1440" w:header="855" w:footer="992" w:gutter="0"/>
          <w:cols w:space="425"/>
          <w:docGrid w:linePitch="312"/>
        </w:sectPr>
      </w:pPr>
    </w:p>
    <w:p w:rsidR="00156DD6" w:rsidRDefault="00D51F5F">
      <w:pPr>
        <w:pStyle w:val="TOC6"/>
        <w:numPr>
          <w:ilvl w:val="0"/>
          <w:numId w:val="24"/>
        </w:numPr>
        <w:tabs>
          <w:tab w:val="left" w:pos="360"/>
        </w:tabs>
        <w:ind w:left="450" w:hanging="450"/>
        <w:rPr>
          <w:rFonts w:ascii="宋体" w:hAnsi="宋体"/>
          <w:color w:val="000000" w:themeColor="text1"/>
          <w:sz w:val="21"/>
          <w:szCs w:val="21"/>
        </w:rPr>
      </w:pPr>
      <w:bookmarkStart w:id="107" w:name="_Hlk106701941"/>
      <w:bookmarkEnd w:id="90"/>
      <w:bookmarkEnd w:id="96"/>
      <w:r>
        <w:rPr>
          <w:rFonts w:ascii="宋体" w:hAnsi="宋体" w:hint="eastAsia"/>
          <w:color w:val="000000" w:themeColor="text1"/>
          <w:sz w:val="21"/>
          <w:szCs w:val="21"/>
        </w:rPr>
        <w:lastRenderedPageBreak/>
        <w:t>报告期内募集资金使用的其他情况</w:t>
      </w:r>
    </w:p>
    <w:p w:rsidR="00156DD6" w:rsidRDefault="00D51F5F">
      <w:pPr>
        <w:pStyle w:val="Style47"/>
        <w:numPr>
          <w:ilvl w:val="0"/>
          <w:numId w:val="26"/>
        </w:numPr>
        <w:tabs>
          <w:tab w:val="left" w:pos="360"/>
        </w:tabs>
        <w:ind w:left="0" w:firstLine="0"/>
        <w:rPr>
          <w:bCs w:val="0"/>
          <w:color w:val="000000" w:themeColor="text1"/>
          <w:sz w:val="21"/>
          <w:szCs w:val="21"/>
        </w:rPr>
      </w:pPr>
      <w:bookmarkStart w:id="108" w:name="_Hlk90391881"/>
      <w:r>
        <w:rPr>
          <w:rFonts w:hint="eastAsia"/>
          <w:color w:val="000000" w:themeColor="text1"/>
          <w:sz w:val="21"/>
          <w:szCs w:val="21"/>
        </w:rPr>
        <w:t>募集资金投资项目先期投入及置换情况</w:t>
      </w:r>
    </w:p>
    <w:sdt>
      <w:sdtPr>
        <w:rPr>
          <w:color w:val="000000" w:themeColor="text1"/>
        </w:rPr>
        <w:alias w:val="是否适用：募集资金投资项目先期投入及置换情况[双击切换]"/>
        <w:tag w:val="_GBC_3f629b5b9dcc464894de82f0af546b6e"/>
        <w:id w:val="-151214304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26"/>
        </w:numPr>
        <w:tabs>
          <w:tab w:val="left" w:pos="360"/>
        </w:tabs>
        <w:ind w:left="0" w:firstLine="0"/>
        <w:rPr>
          <w:bCs w:val="0"/>
          <w:color w:val="000000" w:themeColor="text1"/>
          <w:sz w:val="21"/>
          <w:szCs w:val="21"/>
        </w:rPr>
      </w:pPr>
      <w:bookmarkStart w:id="109" w:name="_Hlk90391885"/>
      <w:bookmarkEnd w:id="108"/>
      <w:r>
        <w:rPr>
          <w:rFonts w:hint="eastAsia"/>
          <w:color w:val="000000" w:themeColor="text1"/>
          <w:sz w:val="21"/>
          <w:szCs w:val="21"/>
        </w:rPr>
        <w:t>用闲置募集资金暂时补充流动资金情况</w:t>
      </w:r>
    </w:p>
    <w:sdt>
      <w:sdtPr>
        <w:rPr>
          <w:color w:val="000000" w:themeColor="text1"/>
        </w:rPr>
        <w:alias w:val="是否适用：用闲置募集资金暂时补充流动资金情况[双击切换]"/>
        <w:tag w:val="_GBC_534e659a4d4b40ed9b5a0d957eec69b9"/>
        <w:id w:val="186964361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26"/>
        </w:numPr>
        <w:tabs>
          <w:tab w:val="left" w:pos="360"/>
        </w:tabs>
        <w:ind w:left="0" w:firstLine="0"/>
        <w:rPr>
          <w:bCs w:val="0"/>
          <w:color w:val="000000" w:themeColor="text1"/>
          <w:sz w:val="21"/>
          <w:szCs w:val="21"/>
        </w:rPr>
      </w:pPr>
      <w:bookmarkStart w:id="110" w:name="_Hlk90391888"/>
      <w:bookmarkStart w:id="111" w:name="_Hlk168577344"/>
      <w:bookmarkEnd w:id="109"/>
      <w:r>
        <w:rPr>
          <w:rFonts w:hint="eastAsia"/>
          <w:color w:val="000000" w:themeColor="text1"/>
          <w:sz w:val="21"/>
          <w:szCs w:val="21"/>
        </w:rPr>
        <w:t>对闲置募集资金进行现金管理，投资相关产品情况</w:t>
      </w:r>
    </w:p>
    <w:sdt>
      <w:sdtPr>
        <w:rPr>
          <w:color w:val="000000" w:themeColor="text1"/>
        </w:rPr>
        <w:alias w:val="是否适用：对闲置募集资金进行现金管理，投资相关产品情况[双击切换]"/>
        <w:tag w:val="_GBC_4fa6ec824ff14602addc1e55058ae4e9"/>
        <w:id w:val="172687816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对闲置募集资金进行管理的情况"/>
          <w:tag w:val="_GBC_de2d148898e84dfea45b9f272f102106"/>
          <w:id w:val="-114158022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对闲置募集资金进行管理的情况"/>
          <w:tag w:val="_GBC_0256179076654ebf9e6fcfaf086da65a"/>
          <w:id w:val="300806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0" w:type="auto"/>
        <w:tblInd w:w="0" w:type="dxa"/>
        <w:tblLook w:val="04A0" w:firstRow="1" w:lastRow="0" w:firstColumn="1" w:lastColumn="0" w:noHBand="0" w:noVBand="1"/>
      </w:tblPr>
      <w:tblGrid>
        <w:gridCol w:w="1894"/>
        <w:gridCol w:w="1056"/>
        <w:gridCol w:w="1857"/>
        <w:gridCol w:w="1926"/>
        <w:gridCol w:w="973"/>
        <w:gridCol w:w="1117"/>
      </w:tblGrid>
      <w:tr w:rsidR="00156DD6">
        <w:sdt>
          <w:sdtPr>
            <w:tag w:val="_PLD_e97d34c140a24cc895387d01d3e058e8"/>
            <w:id w:val="-722829968"/>
          </w:sdtPr>
          <w:sdtEndPr/>
          <w:sdtContent>
            <w:tc>
              <w:tcPr>
                <w:tcW w:w="1894" w:type="dxa"/>
                <w:vAlign w:val="center"/>
              </w:tcPr>
              <w:p w:rsidR="00156DD6" w:rsidRDefault="00D51F5F">
                <w:pPr>
                  <w:jc w:val="center"/>
                  <w:rPr>
                    <w:color w:val="000000" w:themeColor="text1"/>
                  </w:rPr>
                </w:pPr>
                <w:r>
                  <w:rPr>
                    <w:color w:val="000000" w:themeColor="text1"/>
                  </w:rPr>
                  <w:t>董事会审议日期</w:t>
                </w:r>
              </w:p>
            </w:tc>
          </w:sdtContent>
        </w:sdt>
        <w:sdt>
          <w:sdtPr>
            <w:tag w:val="_PLD_ad7d36ef6005441b8dba743b7dca0957"/>
            <w:id w:val="2074071104"/>
          </w:sdtPr>
          <w:sdtEndPr/>
          <w:sdtContent>
            <w:tc>
              <w:tcPr>
                <w:tcW w:w="1056" w:type="dxa"/>
                <w:vAlign w:val="center"/>
              </w:tcPr>
              <w:p w:rsidR="00156DD6" w:rsidRDefault="00D51F5F">
                <w:pPr>
                  <w:jc w:val="center"/>
                  <w:rPr>
                    <w:color w:val="000000" w:themeColor="text1"/>
                  </w:rPr>
                </w:pPr>
                <w:r>
                  <w:rPr>
                    <w:color w:val="000000" w:themeColor="text1"/>
                  </w:rPr>
                  <w:t>募集资金用于现金管理的有效审议额度</w:t>
                </w:r>
              </w:p>
            </w:tc>
          </w:sdtContent>
        </w:sdt>
        <w:sdt>
          <w:sdtPr>
            <w:tag w:val="_PLD_fe7e27efb8c642ac8fbbeda466e31e8c"/>
            <w:id w:val="-1734378403"/>
          </w:sdtPr>
          <w:sdtEndPr/>
          <w:sdtContent>
            <w:tc>
              <w:tcPr>
                <w:tcW w:w="1857" w:type="dxa"/>
                <w:vAlign w:val="center"/>
              </w:tcPr>
              <w:p w:rsidR="00156DD6" w:rsidRDefault="00D51F5F">
                <w:pPr>
                  <w:jc w:val="center"/>
                  <w:rPr>
                    <w:color w:val="000000" w:themeColor="text1"/>
                  </w:rPr>
                </w:pPr>
                <w:r>
                  <w:rPr>
                    <w:color w:val="000000" w:themeColor="text1"/>
                  </w:rPr>
                  <w:t>起始日期</w:t>
                </w:r>
              </w:p>
            </w:tc>
          </w:sdtContent>
        </w:sdt>
        <w:sdt>
          <w:sdtPr>
            <w:tag w:val="_PLD_beab7fadaab44481b78896ed14ba9db7"/>
            <w:id w:val="1362563928"/>
          </w:sdtPr>
          <w:sdtEndPr/>
          <w:sdtContent>
            <w:tc>
              <w:tcPr>
                <w:tcW w:w="1926" w:type="dxa"/>
                <w:vAlign w:val="center"/>
              </w:tcPr>
              <w:p w:rsidR="00156DD6" w:rsidRDefault="00D51F5F">
                <w:pPr>
                  <w:jc w:val="center"/>
                  <w:rPr>
                    <w:color w:val="000000" w:themeColor="text1"/>
                  </w:rPr>
                </w:pPr>
                <w:r>
                  <w:rPr>
                    <w:color w:val="000000" w:themeColor="text1"/>
                  </w:rPr>
                  <w:t>结束日期</w:t>
                </w:r>
              </w:p>
            </w:tc>
          </w:sdtContent>
        </w:sdt>
        <w:sdt>
          <w:sdtPr>
            <w:tag w:val="_PLD_336d8f01918a44cc904a963abe7eca0d"/>
            <w:id w:val="1764036609"/>
          </w:sdtPr>
          <w:sdtEndPr/>
          <w:sdtContent>
            <w:tc>
              <w:tcPr>
                <w:tcW w:w="973" w:type="dxa"/>
                <w:vAlign w:val="center"/>
              </w:tcPr>
              <w:p w:rsidR="00156DD6" w:rsidRDefault="00D51F5F">
                <w:pPr>
                  <w:jc w:val="center"/>
                  <w:rPr>
                    <w:color w:val="000000" w:themeColor="text1"/>
                  </w:rPr>
                </w:pPr>
                <w:r>
                  <w:rPr>
                    <w:color w:val="000000" w:themeColor="text1"/>
                  </w:rPr>
                  <w:t>报告期末现金管理余额</w:t>
                </w:r>
              </w:p>
            </w:tc>
          </w:sdtContent>
        </w:sdt>
        <w:sdt>
          <w:sdtPr>
            <w:tag w:val="_PLD_2588dd27e2394b00b95518259f1c4a9c"/>
            <w:id w:val="991839408"/>
          </w:sdtPr>
          <w:sdtEndPr/>
          <w:sdtContent>
            <w:tc>
              <w:tcPr>
                <w:tcW w:w="1117" w:type="dxa"/>
                <w:vAlign w:val="center"/>
              </w:tcPr>
              <w:p w:rsidR="00156DD6" w:rsidRDefault="00D51F5F">
                <w:pPr>
                  <w:jc w:val="center"/>
                  <w:rPr>
                    <w:color w:val="000000" w:themeColor="text1"/>
                  </w:rPr>
                </w:pPr>
                <w:r>
                  <w:rPr>
                    <w:color w:val="000000" w:themeColor="text1"/>
                  </w:rPr>
                  <w:t>期间最高余额是否超出授权额度</w:t>
                </w:r>
              </w:p>
            </w:tc>
          </w:sdtContent>
        </w:sdt>
      </w:tr>
      <w:tr w:rsidR="00156DD6">
        <w:tc>
          <w:tcPr>
            <w:tcW w:w="1894" w:type="dxa"/>
          </w:tcPr>
          <w:p w:rsidR="00156DD6" w:rsidRDefault="00D51F5F">
            <w:pPr>
              <w:rPr>
                <w:color w:val="000000" w:themeColor="text1"/>
              </w:rPr>
            </w:pPr>
            <w:r>
              <w:rPr>
                <w:rFonts w:hint="eastAsia"/>
              </w:rPr>
              <w:t>2024</w:t>
            </w:r>
            <w:r>
              <w:rPr>
                <w:rFonts w:hint="eastAsia"/>
              </w:rPr>
              <w:t>年</w:t>
            </w:r>
            <w:r>
              <w:rPr>
                <w:rFonts w:hint="eastAsia"/>
              </w:rPr>
              <w:t>11</w:t>
            </w:r>
            <w:r>
              <w:rPr>
                <w:rFonts w:hint="eastAsia"/>
              </w:rPr>
              <w:t>月</w:t>
            </w:r>
            <w:r>
              <w:rPr>
                <w:rFonts w:hint="eastAsia"/>
              </w:rPr>
              <w:t>26</w:t>
            </w:r>
            <w:r>
              <w:rPr>
                <w:rFonts w:hint="eastAsia"/>
              </w:rPr>
              <w:t>日</w:t>
            </w:r>
          </w:p>
        </w:tc>
        <w:tc>
          <w:tcPr>
            <w:tcW w:w="1056" w:type="dxa"/>
          </w:tcPr>
          <w:p w:rsidR="00156DD6" w:rsidRDefault="00D51F5F">
            <w:pPr>
              <w:pStyle w:val="Style43"/>
            </w:pPr>
            <w:r>
              <w:rPr>
                <w:rFonts w:ascii="宋体" w:hAnsi="宋体" w:cs="宋体" w:hint="eastAsia"/>
                <w:bCs/>
                <w:sz w:val="21"/>
                <w:szCs w:val="21"/>
              </w:rPr>
              <w:t xml:space="preserve">10,000.00 </w:t>
            </w:r>
          </w:p>
        </w:tc>
        <w:tc>
          <w:tcPr>
            <w:tcW w:w="1857" w:type="dxa"/>
          </w:tcPr>
          <w:p w:rsidR="00156DD6" w:rsidRDefault="00D51F5F">
            <w:pPr>
              <w:rPr>
                <w:color w:val="000000" w:themeColor="text1"/>
              </w:rPr>
            </w:pPr>
            <w:r>
              <w:rPr>
                <w:rFonts w:hint="eastAsia"/>
              </w:rPr>
              <w:t>2025</w:t>
            </w:r>
            <w:r>
              <w:rPr>
                <w:rFonts w:hint="eastAsia"/>
              </w:rPr>
              <w:t>年</w:t>
            </w:r>
            <w:r>
              <w:rPr>
                <w:rFonts w:hint="eastAsia"/>
              </w:rPr>
              <w:t>1</w:t>
            </w:r>
            <w:r>
              <w:rPr>
                <w:rFonts w:hint="eastAsia"/>
              </w:rPr>
              <w:t>月</w:t>
            </w:r>
            <w:r>
              <w:rPr>
                <w:rFonts w:hint="eastAsia"/>
              </w:rPr>
              <w:t>1</w:t>
            </w:r>
            <w:r>
              <w:rPr>
                <w:rFonts w:hint="eastAsia"/>
              </w:rPr>
              <w:t>日</w:t>
            </w:r>
          </w:p>
        </w:tc>
        <w:tc>
          <w:tcPr>
            <w:tcW w:w="1926" w:type="dxa"/>
          </w:tcPr>
          <w:p w:rsidR="00156DD6" w:rsidRDefault="00D51F5F">
            <w:pPr>
              <w:rPr>
                <w:color w:val="000000" w:themeColor="text1"/>
              </w:rPr>
            </w:pPr>
            <w:r>
              <w:rPr>
                <w:rFonts w:hint="eastAsia"/>
              </w:rPr>
              <w:t>2025</w:t>
            </w:r>
            <w:r>
              <w:rPr>
                <w:rFonts w:hint="eastAsia"/>
              </w:rPr>
              <w:t>年</w:t>
            </w:r>
            <w:r>
              <w:rPr>
                <w:rFonts w:hint="eastAsia"/>
              </w:rPr>
              <w:t>12</w:t>
            </w:r>
            <w:r>
              <w:rPr>
                <w:rFonts w:hint="eastAsia"/>
              </w:rPr>
              <w:t>月</w:t>
            </w:r>
            <w:r>
              <w:rPr>
                <w:rFonts w:hint="eastAsia"/>
              </w:rPr>
              <w:t>31</w:t>
            </w:r>
            <w:r>
              <w:rPr>
                <w:rFonts w:hint="eastAsia"/>
              </w:rPr>
              <w:t>日</w:t>
            </w:r>
          </w:p>
        </w:tc>
        <w:tc>
          <w:tcPr>
            <w:tcW w:w="973" w:type="dxa"/>
          </w:tcPr>
          <w:p w:rsidR="00156DD6" w:rsidRDefault="00D51F5F">
            <w:pPr>
              <w:jc w:val="right"/>
            </w:pPr>
            <w:r>
              <w:rPr>
                <w:rFonts w:hint="eastAsia"/>
              </w:rPr>
              <w:t xml:space="preserve">6,531.95 </w:t>
            </w:r>
          </w:p>
        </w:tc>
        <w:tc>
          <w:tcPr>
            <w:tcW w:w="1117" w:type="dxa"/>
            <w:vAlign w:val="center"/>
          </w:tcPr>
          <w:p w:rsidR="00156DD6" w:rsidRDefault="00D51F5F">
            <w:pPr>
              <w:jc w:val="center"/>
              <w:rPr>
                <w:color w:val="000000" w:themeColor="text1"/>
              </w:rPr>
            </w:pPr>
            <w:r>
              <w:rPr>
                <w:rFonts w:hint="eastAsia"/>
              </w:rPr>
              <w:t>否</w:t>
            </w:r>
          </w:p>
        </w:tc>
      </w:tr>
    </w:tbl>
    <w:p w:rsidR="00156DD6" w:rsidRDefault="00D51F5F">
      <w:pPr>
        <w:rPr>
          <w:color w:val="000000" w:themeColor="text1"/>
        </w:rPr>
      </w:pPr>
      <w:r>
        <w:rPr>
          <w:rFonts w:hint="eastAsia"/>
          <w:color w:val="000000" w:themeColor="text1"/>
        </w:rPr>
        <w:t>其他说明</w:t>
      </w:r>
    </w:p>
    <w:sdt>
      <w:sdtPr>
        <w:rPr>
          <w:color w:val="000000" w:themeColor="text1"/>
        </w:rPr>
        <w:alias w:val="对闲置募集资金进行现金管理投资相关产品情况"/>
        <w:tag w:val="_GBC_de48e94a046247c6bbe84f0d505547ec"/>
        <w:id w:val="1754854451"/>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公司于</w:t>
          </w:r>
          <w:r>
            <w:rPr>
              <w:rFonts w:hint="eastAsia"/>
              <w:color w:val="000000" w:themeColor="text1"/>
            </w:rPr>
            <w:t>2024</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26</w:t>
          </w:r>
          <w:r>
            <w:rPr>
              <w:rFonts w:hint="eastAsia"/>
              <w:color w:val="000000" w:themeColor="text1"/>
            </w:rPr>
            <w:t>日召开了第四届董事会第九次会议和第四届监事会第八次会议，审议通过了《关于使用暂时闲置募集资金进行现金管理的议案》，同意公司使用不超过</w:t>
          </w:r>
          <w:r>
            <w:rPr>
              <w:rFonts w:hint="eastAsia"/>
              <w:color w:val="000000" w:themeColor="text1"/>
            </w:rPr>
            <w:t>10,000</w:t>
          </w:r>
          <w:r>
            <w:rPr>
              <w:rFonts w:hint="eastAsia"/>
              <w:color w:val="000000" w:themeColor="text1"/>
            </w:rPr>
            <w:t>万元的暂时闲置募集资金进行现金管理，该额度的有效期自</w:t>
          </w:r>
          <w:r>
            <w:rPr>
              <w:rFonts w:hint="eastAsia"/>
              <w:color w:val="000000" w:themeColor="text1"/>
            </w:rPr>
            <w:t>2025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日至</w:t>
          </w:r>
          <w:r>
            <w:rPr>
              <w:rFonts w:hint="eastAsia"/>
              <w:color w:val="000000" w:themeColor="text1"/>
            </w:rPr>
            <w:t>2025</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日止，在上述额度及有效期限内，公司可循环滚动使用。</w:t>
          </w:r>
        </w:p>
      </w:sdtContent>
    </w:sdt>
    <w:bookmarkEnd w:id="110"/>
    <w:bookmarkEnd w:id="111"/>
    <w:p w:rsidR="00156DD6" w:rsidRDefault="00D51F5F">
      <w:pPr>
        <w:pStyle w:val="Style47"/>
        <w:numPr>
          <w:ilvl w:val="0"/>
          <w:numId w:val="26"/>
        </w:numPr>
        <w:tabs>
          <w:tab w:val="left" w:pos="360"/>
        </w:tabs>
        <w:ind w:left="0" w:firstLine="0"/>
        <w:rPr>
          <w:bCs w:val="0"/>
          <w:color w:val="000000" w:themeColor="text1"/>
          <w:sz w:val="21"/>
          <w:szCs w:val="21"/>
        </w:rPr>
      </w:pPr>
      <w:r>
        <w:rPr>
          <w:rFonts w:hint="eastAsia"/>
          <w:color w:val="000000" w:themeColor="text1"/>
          <w:sz w:val="21"/>
          <w:szCs w:val="21"/>
        </w:rPr>
        <w:t>其他</w:t>
      </w:r>
    </w:p>
    <w:sdt>
      <w:sdtPr>
        <w:rPr>
          <w:color w:val="000000" w:themeColor="text1"/>
        </w:rPr>
        <w:alias w:val="是否适用：募集资金使用的其他情况?[双击切换]"/>
        <w:tag w:val="_GBC_84b80dde77404abab8bdb87b147ee0d4"/>
        <w:id w:val="-144252542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24"/>
        </w:numPr>
        <w:tabs>
          <w:tab w:val="left" w:pos="360"/>
        </w:tabs>
        <w:ind w:left="450" w:hanging="450"/>
        <w:rPr>
          <w:rFonts w:ascii="宋体" w:hAnsi="宋体"/>
          <w:color w:val="000000" w:themeColor="text1"/>
          <w:sz w:val="21"/>
          <w:szCs w:val="21"/>
        </w:rPr>
      </w:pPr>
      <w:bookmarkStart w:id="112" w:name="_Hlk200012883"/>
      <w:bookmarkEnd w:id="91"/>
      <w:bookmarkEnd w:id="92"/>
      <w:bookmarkEnd w:id="107"/>
      <w:r>
        <w:rPr>
          <w:rFonts w:ascii="宋体" w:hAnsi="宋体" w:hint="eastAsia"/>
          <w:color w:val="000000" w:themeColor="text1"/>
          <w:sz w:val="21"/>
          <w:szCs w:val="21"/>
        </w:rPr>
        <w:t>中介机构关于募集资金存储与使用情况的专项核查、鉴证的结论性意见</w:t>
      </w:r>
    </w:p>
    <w:sdt>
      <w:sdtPr>
        <w:rPr>
          <w:rFonts w:hint="eastAsia"/>
        </w:rPr>
        <w:alias w:val="是否适用：中介机构关于募集资金存储与使用情况的专项核查、鉴证的结论性意见[双击切换]"/>
        <w:tag w:val="_GBC_7195bfa022dc473a90bdee118d5934cd"/>
        <w:id w:val="1801802044"/>
        <w:placeholder>
          <w:docPart w:val="GBC22222222222222222222222222222"/>
        </w:placeholder>
      </w:sdtPr>
      <w:sdtEndPr/>
      <w:sdtContent>
        <w:p w:rsidR="00156DD6" w:rsidRDefault="00D51F5F">
          <w:pPr>
            <w:rPr>
              <w:color w:val="000000" w:themeColor="text1"/>
            </w:rPr>
          </w:pPr>
          <w:r>
            <w:rPr>
              <w:rFonts w:hint="eastAsia"/>
            </w:rP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rPr>
              <w:rFonts w:hint="eastAsia"/>
            </w:rPr>
            <w:fldChar w:fldCharType="end"/>
          </w:r>
          <w:r>
            <w:rPr>
              <w:rFonts w:hint="eastAsia"/>
            </w:rP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rPr>
              <w:rFonts w:hint="eastAsia"/>
            </w:rPr>
            <w:fldChar w:fldCharType="end"/>
          </w:r>
        </w:p>
      </w:sdtContent>
    </w:sdt>
    <w:p w:rsidR="00156DD6" w:rsidRDefault="00D51F5F">
      <w:pPr>
        <w:rPr>
          <w:rFonts w:cs="Times New Roman"/>
          <w:kern w:val="2"/>
        </w:rPr>
      </w:pPr>
      <w:r>
        <w:rPr>
          <w:rFonts w:cs="Times New Roman" w:hint="eastAsia"/>
          <w:kern w:val="2"/>
        </w:rPr>
        <w:t>核查异常的相关情况说明</w:t>
      </w:r>
    </w:p>
    <w:sdt>
      <w:sdtPr>
        <w:rPr>
          <w:rFonts w:hint="eastAsia"/>
          <w:sz w:val="21"/>
          <w:szCs w:val="21"/>
        </w:rPr>
        <w:alias w:val="是否适用：核查异常的相关情况说明[双击切换]"/>
        <w:tag w:val="_GBC_21d5025298b9475fa592a4d7f5785e92"/>
        <w:id w:val="-1154910824"/>
        <w:placeholder>
          <w:docPart w:val="GBC22222222222222222222222222222"/>
        </w:placeholder>
      </w:sdtPr>
      <w:sdtEndPr/>
      <w:sdtContent>
        <w:p w:rsidR="00156DD6" w:rsidRDefault="00D51F5F">
          <w:pPr>
            <w:pStyle w:val="Style43"/>
            <w:rPr>
              <w:sz w:val="21"/>
              <w:szCs w:val="21"/>
            </w:rPr>
          </w:pPr>
          <w:r>
            <w:rPr>
              <w:rFonts w:ascii="宋体" w:hAnsi="宋体" w:hint="eastAsia"/>
              <w:sz w:val="21"/>
              <w:szCs w:val="21"/>
            </w:rPr>
            <w:fldChar w:fldCharType="begin"/>
          </w:r>
          <w:r>
            <w:rPr>
              <w:rFonts w:ascii="宋体" w:hAnsi="宋体" w:hint="eastAsia"/>
              <w:sz w:val="21"/>
              <w:szCs w:val="21"/>
            </w:rPr>
            <w:instrText xml:space="preserve"> MACROBUTTON  SnrToggleCheckbox </w:instrText>
          </w:r>
          <w:r>
            <w:rPr>
              <w:rFonts w:ascii="宋体" w:hAnsi="宋体" w:hint="eastAsia"/>
              <w:sz w:val="21"/>
              <w:szCs w:val="21"/>
            </w:rPr>
            <w:instrText>□适用</w:instrText>
          </w:r>
          <w:r>
            <w:rPr>
              <w:rFonts w:ascii="宋体" w:hAnsi="宋体" w:hint="eastAsia"/>
              <w:sz w:val="21"/>
              <w:szCs w:val="21"/>
            </w:rPr>
            <w:instrText xml:space="preserve"> </w:instrText>
          </w:r>
          <w:r>
            <w:rPr>
              <w:rFonts w:ascii="宋体" w:hAnsi="宋体" w:hint="eastAsia"/>
              <w:sz w:val="21"/>
              <w:szCs w:val="21"/>
            </w:rPr>
            <w:fldChar w:fldCharType="end"/>
          </w:r>
          <w:r>
            <w:rPr>
              <w:rFonts w:ascii="宋体" w:hAnsi="宋体" w:hint="eastAsia"/>
              <w:sz w:val="21"/>
              <w:szCs w:val="21"/>
            </w:rPr>
            <w:fldChar w:fldCharType="begin"/>
          </w:r>
          <w:r>
            <w:rPr>
              <w:rFonts w:ascii="宋体" w:hAnsi="宋体" w:hint="eastAsia"/>
              <w:sz w:val="21"/>
              <w:szCs w:val="21"/>
            </w:rPr>
            <w:instrText xml:space="preserve"> MACROBUTTON  SnrToggleCheckbox </w:instrText>
          </w:r>
          <w:r>
            <w:rPr>
              <w:rFonts w:ascii="宋体" w:hAnsi="宋体" w:hint="eastAsia"/>
              <w:sz w:val="21"/>
              <w:szCs w:val="21"/>
            </w:rPr>
            <w:instrText>√不适用</w:instrText>
          </w:r>
          <w:r>
            <w:rPr>
              <w:rFonts w:ascii="宋体" w:hAnsi="宋体" w:hint="eastAsia"/>
              <w:sz w:val="21"/>
              <w:szCs w:val="21"/>
            </w:rPr>
            <w:instrText xml:space="preserve"> </w:instrText>
          </w:r>
          <w:r>
            <w:rPr>
              <w:rFonts w:ascii="宋体" w:hAnsi="宋体" w:hint="eastAsia"/>
              <w:sz w:val="21"/>
              <w:szCs w:val="21"/>
            </w:rPr>
            <w:fldChar w:fldCharType="end"/>
          </w:r>
        </w:p>
      </w:sdtContent>
    </w:sdt>
    <w:p w:rsidR="00156DD6" w:rsidRDefault="00D51F5F">
      <w:pPr>
        <w:pStyle w:val="TOC6"/>
        <w:numPr>
          <w:ilvl w:val="0"/>
          <w:numId w:val="24"/>
        </w:numPr>
        <w:tabs>
          <w:tab w:val="left" w:pos="360"/>
        </w:tabs>
        <w:ind w:left="450" w:hanging="450"/>
        <w:rPr>
          <w:rFonts w:ascii="宋体" w:hAnsi="宋体"/>
          <w:color w:val="000000" w:themeColor="text1"/>
          <w:sz w:val="21"/>
          <w:szCs w:val="21"/>
        </w:rPr>
      </w:pPr>
      <w:bookmarkStart w:id="113" w:name="OLE_LINK101"/>
      <w:r>
        <w:rPr>
          <w:rFonts w:ascii="宋体" w:hAnsi="宋体" w:hint="eastAsia"/>
          <w:color w:val="000000" w:themeColor="text1"/>
          <w:sz w:val="21"/>
          <w:szCs w:val="21"/>
        </w:rPr>
        <w:t>擅自变更募集资金用途、违规占用募集资金的后续整改情况</w:t>
      </w:r>
    </w:p>
    <w:bookmarkEnd w:id="113" w:displacedByCustomXml="next"/>
    <w:sdt>
      <w:sdtPr>
        <w:rPr>
          <w:rFonts w:hint="eastAsia"/>
          <w:sz w:val="21"/>
          <w:szCs w:val="21"/>
        </w:rPr>
        <w:alias w:val="是否适用：擅自变更募集资金用途、违规占用募集资金的后续整改情况[双击切换]"/>
        <w:tag w:val="_GBC_fa6d1cac51784ab6bcfb875ffef23414"/>
        <w:id w:val="937022609"/>
        <w:placeholder>
          <w:docPart w:val="GBC22222222222222222222222222222"/>
        </w:placeholder>
      </w:sdtPr>
      <w:sdtEndPr/>
      <w:sdtContent>
        <w:p w:rsidR="00156DD6" w:rsidRDefault="00D51F5F">
          <w:pPr>
            <w:pStyle w:val="Style43"/>
            <w:rPr>
              <w:sz w:val="21"/>
              <w:szCs w:val="21"/>
            </w:rPr>
          </w:pPr>
          <w:r>
            <w:rPr>
              <w:rFonts w:ascii="宋体" w:hAnsi="宋体" w:hint="eastAsia"/>
              <w:sz w:val="21"/>
              <w:szCs w:val="21"/>
            </w:rPr>
            <w:fldChar w:fldCharType="begin"/>
          </w:r>
          <w:r>
            <w:rPr>
              <w:rFonts w:ascii="宋体" w:hAnsi="宋体" w:hint="eastAsia"/>
              <w:sz w:val="21"/>
              <w:szCs w:val="21"/>
            </w:rPr>
            <w:instrText xml:space="preserve"> MACROBUTTON  SnrToggleCheckbox </w:instrText>
          </w:r>
          <w:r>
            <w:rPr>
              <w:rFonts w:ascii="宋体" w:hAnsi="宋体" w:hint="eastAsia"/>
              <w:sz w:val="21"/>
              <w:szCs w:val="21"/>
            </w:rPr>
            <w:instrText>□适用</w:instrText>
          </w:r>
          <w:r>
            <w:rPr>
              <w:rFonts w:ascii="宋体" w:hAnsi="宋体" w:hint="eastAsia"/>
              <w:sz w:val="21"/>
              <w:szCs w:val="21"/>
            </w:rPr>
            <w:instrText xml:space="preserve"> </w:instrText>
          </w:r>
          <w:r>
            <w:rPr>
              <w:rFonts w:ascii="宋体" w:hAnsi="宋体" w:hint="eastAsia"/>
              <w:sz w:val="21"/>
              <w:szCs w:val="21"/>
            </w:rPr>
            <w:fldChar w:fldCharType="end"/>
          </w:r>
          <w:r>
            <w:rPr>
              <w:rFonts w:ascii="宋体" w:hAnsi="宋体" w:hint="eastAsia"/>
              <w:sz w:val="21"/>
              <w:szCs w:val="21"/>
            </w:rPr>
            <w:fldChar w:fldCharType="begin"/>
          </w:r>
          <w:r>
            <w:rPr>
              <w:rFonts w:ascii="宋体" w:hAnsi="宋体" w:hint="eastAsia"/>
              <w:sz w:val="21"/>
              <w:szCs w:val="21"/>
            </w:rPr>
            <w:instrText xml:space="preserve"> MACROBUTTON  SnrToggleCheckbox </w:instrText>
          </w:r>
          <w:r>
            <w:rPr>
              <w:rFonts w:ascii="宋体" w:hAnsi="宋体" w:hint="eastAsia"/>
              <w:sz w:val="21"/>
              <w:szCs w:val="21"/>
            </w:rPr>
            <w:instrText>√不适用</w:instrText>
          </w:r>
          <w:r>
            <w:rPr>
              <w:rFonts w:ascii="宋体" w:hAnsi="宋体" w:hint="eastAsia"/>
              <w:sz w:val="21"/>
              <w:szCs w:val="21"/>
            </w:rPr>
            <w:instrText xml:space="preserve"> </w:instrText>
          </w:r>
          <w:r>
            <w:rPr>
              <w:rFonts w:ascii="宋体" w:hAnsi="宋体" w:hint="eastAsia"/>
              <w:sz w:val="21"/>
              <w:szCs w:val="21"/>
            </w:rPr>
            <w:fldChar w:fldCharType="end"/>
          </w:r>
        </w:p>
      </w:sdtContent>
    </w:sdt>
    <w:p w:rsidR="00156DD6" w:rsidRDefault="00D51F5F">
      <w:pPr>
        <w:pStyle w:val="2"/>
        <w:numPr>
          <w:ilvl w:val="0"/>
          <w:numId w:val="17"/>
        </w:numPr>
        <w:tabs>
          <w:tab w:val="left" w:pos="426"/>
        </w:tabs>
        <w:jc w:val="left"/>
        <w:rPr>
          <w:rFonts w:ascii="宋体" w:hAnsi="宋体"/>
          <w:color w:val="000000" w:themeColor="text1"/>
        </w:rPr>
      </w:pPr>
      <w:bookmarkStart w:id="114" w:name="_Hlk74820557"/>
      <w:r>
        <w:rPr>
          <w:rFonts w:ascii="宋体" w:hAnsi="宋体" w:hint="eastAsia"/>
          <w:color w:val="000000" w:themeColor="text1"/>
        </w:rPr>
        <w:t>其他重大事项的说明</w:t>
      </w:r>
    </w:p>
    <w:sdt>
      <w:sdtPr>
        <w:rPr>
          <w:color w:val="000000" w:themeColor="text1"/>
        </w:rPr>
        <w:alias w:val="是否适用：其他重大事项的说明[双击切换]"/>
        <w:tag w:val="_GBC_60472543195d45309db4d042b8e09883"/>
        <w:id w:val="-135326209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114" w:displacedByCustomXml="next"/>
    <w:bookmarkEnd w:id="112" w:displacedByCustomXml="next"/>
    <w:sdt>
      <w:sdtPr>
        <w:rPr>
          <w:color w:val="000000" w:themeColor="text1"/>
        </w:rPr>
        <w:alias w:val="其它重大事项说明"/>
        <w:tag w:val="_GBC_2c1880a5abc34ba7be18fdf6374ac4c1"/>
        <w:id w:val="-1233467413"/>
        <w:placeholder>
          <w:docPart w:val="20F0C8AEEC744F71BEC27C116BBC3E1F"/>
        </w:placeholder>
      </w:sdtPr>
      <w:sdtEndPr/>
      <w:sdtContent>
        <w:p w:rsidR="00156DD6" w:rsidRDefault="00D51F5F">
          <w:pPr>
            <w:spacing w:line="360" w:lineRule="exact"/>
            <w:ind w:firstLineChars="200" w:firstLine="420"/>
          </w:pPr>
          <w:r>
            <w:rPr>
              <w:rFonts w:hint="eastAsia"/>
            </w:rPr>
            <w:t>根据公司全资子公司云变电气与昆明市西山区自然资源局、昆明市西山区城市更新改造领导小组办公室、昆明市西山区人民政府马街街道办事处签订的《昆明市企业“退二进三”国有土地使用权收购协议》之补充协议</w:t>
          </w:r>
          <w:r>
            <w:rPr>
              <w:rFonts w:hint="eastAsia"/>
            </w:rPr>
            <w:t>(</w:t>
          </w:r>
          <w:r>
            <w:rPr>
              <w:rFonts w:hint="eastAsia"/>
            </w:rPr>
            <w:t>以下简称土地收购协议</w:t>
          </w:r>
          <w:r>
            <w:rPr>
              <w:rFonts w:hint="eastAsia"/>
            </w:rPr>
            <w:t>)</w:t>
          </w:r>
          <w:r>
            <w:rPr>
              <w:rFonts w:hint="eastAsia"/>
            </w:rPr>
            <w:t>，云变电气将位于昆明市西山区春雨路</w:t>
          </w:r>
          <w:r>
            <w:rPr>
              <w:rFonts w:hint="eastAsia"/>
            </w:rPr>
            <w:t xml:space="preserve"> 265 </w:t>
          </w:r>
          <w:r>
            <w:rPr>
              <w:rFonts w:hint="eastAsia"/>
            </w:rPr>
            <w:t>号，证载面积</w:t>
          </w:r>
          <w:r>
            <w:rPr>
              <w:rFonts w:hint="eastAsia"/>
            </w:rPr>
            <w:t xml:space="preserve">22.12 </w:t>
          </w:r>
          <w:r>
            <w:rPr>
              <w:rFonts w:hint="eastAsia"/>
            </w:rPr>
            <w:t>亩</w:t>
          </w:r>
          <w:r>
            <w:rPr>
              <w:rFonts w:hint="eastAsia"/>
            </w:rPr>
            <w:t xml:space="preserve">(81,214.07 </w:t>
          </w:r>
          <w:r>
            <w:rPr>
              <w:rFonts w:hint="eastAsia"/>
            </w:rPr>
            <w:t>平方米</w:t>
          </w:r>
          <w:r>
            <w:rPr>
              <w:rFonts w:hint="eastAsia"/>
            </w:rPr>
            <w:t>)</w:t>
          </w:r>
          <w:r>
            <w:rPr>
              <w:rFonts w:hint="eastAsia"/>
            </w:rPr>
            <w:t>土地交由政府收储</w:t>
          </w:r>
          <w:r>
            <w:rPr>
              <w:rFonts w:hint="eastAsia"/>
            </w:rPr>
            <w:t>,</w:t>
          </w:r>
          <w:r>
            <w:rPr>
              <w:rFonts w:hint="eastAsia"/>
            </w:rPr>
            <w:t>确认的搬迁补偿费金额为</w:t>
          </w:r>
          <w:r>
            <w:rPr>
              <w:rFonts w:hint="eastAsia"/>
            </w:rPr>
            <w:t xml:space="preserve"> 2.56</w:t>
          </w:r>
          <w:r>
            <w:rPr>
              <w:rFonts w:hint="eastAsia"/>
            </w:rPr>
            <w:t>亿元。云变电气于</w:t>
          </w:r>
          <w:r>
            <w:rPr>
              <w:rFonts w:hint="eastAsia"/>
            </w:rPr>
            <w:t>2023</w:t>
          </w:r>
          <w:r>
            <w:rPr>
              <w:rFonts w:hint="eastAsia"/>
            </w:rPr>
            <w:t>年</w:t>
          </w:r>
          <w:r>
            <w:rPr>
              <w:rFonts w:hint="eastAsia"/>
            </w:rPr>
            <w:t>11</w:t>
          </w:r>
          <w:r>
            <w:rPr>
              <w:rFonts w:hint="eastAsia"/>
            </w:rPr>
            <w:t>月</w:t>
          </w:r>
          <w:r>
            <w:rPr>
              <w:rFonts w:hint="eastAsia"/>
            </w:rPr>
            <w:t>28</w:t>
          </w:r>
          <w:r>
            <w:rPr>
              <w:rFonts w:hint="eastAsia"/>
            </w:rPr>
            <w:t>日完成土地收购协议所约定的相关义务，截至</w:t>
          </w:r>
          <w:r>
            <w:rPr>
              <w:rFonts w:hint="eastAsia"/>
            </w:rPr>
            <w:t>2025</w:t>
          </w:r>
          <w:r>
            <w:rPr>
              <w:rFonts w:hint="eastAsia"/>
            </w:rPr>
            <w:t>年</w:t>
          </w:r>
          <w:r>
            <w:rPr>
              <w:rFonts w:hint="eastAsia"/>
            </w:rPr>
            <w:t>6</w:t>
          </w:r>
          <w:r>
            <w:rPr>
              <w:rFonts w:hint="eastAsia"/>
            </w:rPr>
            <w:t>月</w:t>
          </w:r>
          <w:r>
            <w:rPr>
              <w:rFonts w:hint="eastAsia"/>
            </w:rPr>
            <w:t>30</w:t>
          </w:r>
          <w:r>
            <w:rPr>
              <w:rFonts w:hint="eastAsia"/>
            </w:rPr>
            <w:t>日尚有</w:t>
          </w:r>
          <w:r>
            <w:rPr>
              <w:rFonts w:hint="eastAsia"/>
            </w:rPr>
            <w:t xml:space="preserve"> 1.28</w:t>
          </w:r>
          <w:r>
            <w:rPr>
              <w:rFonts w:hint="eastAsia"/>
            </w:rPr>
            <w:t>亿元补偿款未收回。</w:t>
          </w:r>
        </w:p>
        <w:p w:rsidR="00156DD6" w:rsidRDefault="00D51F5F">
          <w:pPr>
            <w:spacing w:line="360" w:lineRule="exact"/>
            <w:ind w:firstLineChars="200" w:firstLine="420"/>
          </w:pPr>
          <w:r>
            <w:rPr>
              <w:rFonts w:hint="eastAsia"/>
            </w:rPr>
            <w:t>2025</w:t>
          </w:r>
          <w:r>
            <w:rPr>
              <w:rFonts w:hint="eastAsia"/>
            </w:rPr>
            <w:t>年</w:t>
          </w:r>
          <w:r>
            <w:rPr>
              <w:rFonts w:hint="eastAsia"/>
            </w:rPr>
            <w:t>7</w:t>
          </w:r>
          <w:r>
            <w:rPr>
              <w:rFonts w:hint="eastAsia"/>
            </w:rPr>
            <w:t>月</w:t>
          </w:r>
          <w:r>
            <w:rPr>
              <w:rFonts w:hint="eastAsia"/>
            </w:rPr>
            <w:t>21</w:t>
          </w:r>
          <w:r>
            <w:rPr>
              <w:rFonts w:hint="eastAsia"/>
            </w:rPr>
            <w:t>日云变电气委托四川发现（昆明）律师事务所向昆明市西山区人民法院提交关于云变电气与被告昆明市西山区人民政府马街街道办事处、昆明市西山区自然资源局（昆明市西山区林业和草原局</w:t>
          </w:r>
          <w:r>
            <w:rPr>
              <w:rFonts w:hint="eastAsia"/>
            </w:rPr>
            <w:t xml:space="preserve">) </w:t>
          </w:r>
          <w:r>
            <w:rPr>
              <w:rFonts w:hint="eastAsia"/>
            </w:rPr>
            <w:t>、昆明市西山区城市更新改造局未按约定履行行政协议一案相关诉状书，并于</w:t>
          </w:r>
          <w:r>
            <w:rPr>
              <w:rFonts w:hint="eastAsia"/>
            </w:rPr>
            <w:t>2025</w:t>
          </w:r>
          <w:r>
            <w:rPr>
              <w:rFonts w:hint="eastAsia"/>
            </w:rPr>
            <w:t>年</w:t>
          </w:r>
          <w:r>
            <w:rPr>
              <w:rFonts w:hint="eastAsia"/>
            </w:rPr>
            <w:t>8</w:t>
          </w:r>
          <w:r>
            <w:rPr>
              <w:rFonts w:hint="eastAsia"/>
            </w:rPr>
            <w:t>月</w:t>
          </w:r>
          <w:r>
            <w:rPr>
              <w:rFonts w:hint="eastAsia"/>
            </w:rPr>
            <w:t>12</w:t>
          </w:r>
          <w:r>
            <w:rPr>
              <w:rFonts w:hint="eastAsia"/>
            </w:rPr>
            <w:t>日收到昆明市西山区人民法院的关于《缴纳诉讼费用通知书》（</w:t>
          </w:r>
          <w:r>
            <w:rPr>
              <w:rFonts w:hint="eastAsia"/>
            </w:rPr>
            <w:t>&lt;2025&gt;</w:t>
          </w:r>
          <w:r>
            <w:rPr>
              <w:rFonts w:hint="eastAsia"/>
            </w:rPr>
            <w:t>云</w:t>
          </w:r>
          <w:r>
            <w:rPr>
              <w:rFonts w:hint="eastAsia"/>
            </w:rPr>
            <w:t>0112</w:t>
          </w:r>
          <w:r>
            <w:rPr>
              <w:rFonts w:hint="eastAsia"/>
            </w:rPr>
            <w:t>行初</w:t>
          </w:r>
          <w:r>
            <w:rPr>
              <w:rFonts w:hint="eastAsia"/>
            </w:rPr>
            <w:t>112</w:t>
          </w:r>
          <w:r>
            <w:rPr>
              <w:rFonts w:hint="eastAsia"/>
            </w:rPr>
            <w:t>号），该款项的收回时间存在不确定性。</w:t>
          </w:r>
        </w:p>
      </w:sdtContent>
    </w:sdt>
    <w:p w:rsidR="00156DD6" w:rsidRDefault="00156DD6">
      <w:pPr>
        <w:rPr>
          <w:color w:val="000000" w:themeColor="text1"/>
        </w:rPr>
      </w:pPr>
    </w:p>
    <w:p w:rsidR="00156DD6" w:rsidRDefault="00D51F5F">
      <w:pPr>
        <w:pStyle w:val="1"/>
        <w:numPr>
          <w:ilvl w:val="0"/>
          <w:numId w:val="2"/>
        </w:numPr>
        <w:rPr>
          <w:rFonts w:ascii="黑体" w:hAnsi="黑体"/>
          <w:color w:val="000000" w:themeColor="text1"/>
        </w:rPr>
      </w:pPr>
      <w:bookmarkStart w:id="115" w:name="_Toc392233016"/>
      <w:bookmarkStart w:id="116" w:name="_Toc200030544"/>
      <w:bookmarkStart w:id="117" w:name="_Toc76114278"/>
      <w:r>
        <w:rPr>
          <w:rFonts w:ascii="黑体" w:hAnsi="黑体" w:hint="eastAsia"/>
          <w:color w:val="000000" w:themeColor="text1"/>
        </w:rPr>
        <w:lastRenderedPageBreak/>
        <w:t>股份变动及股东情况</w:t>
      </w:r>
    </w:p>
    <w:p w:rsidR="00156DD6" w:rsidRDefault="00D51F5F">
      <w:pPr>
        <w:pStyle w:val="2"/>
        <w:numPr>
          <w:ilvl w:val="0"/>
          <w:numId w:val="27"/>
        </w:numPr>
        <w:spacing w:line="360" w:lineRule="auto"/>
        <w:ind w:left="422" w:hanging="422"/>
        <w:rPr>
          <w:rFonts w:ascii="宋体" w:hAnsi="宋体"/>
          <w:color w:val="000000" w:themeColor="text1"/>
        </w:rPr>
      </w:pPr>
      <w:bookmarkStart w:id="118" w:name="_Toc342565989"/>
      <w:bookmarkStart w:id="119" w:name="_Toc342059476"/>
      <w:bookmarkEnd w:id="81"/>
      <w:bookmarkEnd w:id="115"/>
      <w:bookmarkEnd w:id="116"/>
      <w:bookmarkEnd w:id="117"/>
      <w:r>
        <w:rPr>
          <w:rFonts w:ascii="宋体" w:hAnsi="宋体"/>
          <w:color w:val="000000" w:themeColor="text1"/>
        </w:rPr>
        <w:t>股</w:t>
      </w:r>
      <w:r>
        <w:rPr>
          <w:rFonts w:ascii="宋体" w:hAnsi="宋体" w:hint="eastAsia"/>
          <w:color w:val="000000" w:themeColor="text1"/>
        </w:rPr>
        <w:t>本变动情况</w:t>
      </w:r>
      <w:bookmarkEnd w:id="118"/>
      <w:bookmarkEnd w:id="119"/>
    </w:p>
    <w:p w:rsidR="00156DD6" w:rsidRDefault="00D51F5F">
      <w:pPr>
        <w:pStyle w:val="3"/>
        <w:numPr>
          <w:ilvl w:val="1"/>
          <w:numId w:val="28"/>
        </w:numPr>
        <w:rPr>
          <w:rFonts w:ascii="宋体" w:hAnsi="宋体"/>
          <w:color w:val="000000" w:themeColor="text1"/>
        </w:rPr>
      </w:pPr>
      <w:bookmarkStart w:id="120" w:name="_Toc342565990"/>
      <w:bookmarkStart w:id="121" w:name="_Toc342059477"/>
      <w:r>
        <w:rPr>
          <w:rFonts w:ascii="宋体" w:hAnsi="宋体" w:hint="eastAsia"/>
          <w:color w:val="000000" w:themeColor="text1"/>
        </w:rPr>
        <w:t>股份变动情况表</w:t>
      </w:r>
      <w:bookmarkEnd w:id="120"/>
      <w:bookmarkEnd w:id="121"/>
    </w:p>
    <w:p w:rsidR="00156DD6" w:rsidRDefault="00D51F5F">
      <w:pPr>
        <w:pStyle w:val="4"/>
        <w:numPr>
          <w:ilvl w:val="2"/>
          <w:numId w:val="29"/>
        </w:numPr>
        <w:rPr>
          <w:rFonts w:ascii="宋体" w:hAnsi="宋体"/>
          <w:color w:val="000000" w:themeColor="text1"/>
        </w:rPr>
      </w:pPr>
      <w:r>
        <w:rPr>
          <w:rFonts w:ascii="宋体" w:hAnsi="宋体" w:hint="eastAsia"/>
          <w:color w:val="000000" w:themeColor="text1"/>
        </w:rPr>
        <w:t>股份变动情况表</w:t>
      </w:r>
    </w:p>
    <w:p w:rsidR="00156DD6" w:rsidRDefault="00D51F5F">
      <w:pPr>
        <w:jc w:val="right"/>
        <w:rPr>
          <w:color w:val="000000" w:themeColor="text1"/>
        </w:rPr>
      </w:pPr>
      <w:bookmarkStart w:id="122" w:name="_Toc342565996"/>
      <w:bookmarkStart w:id="123" w:name="_Toc342059483"/>
      <w:r>
        <w:rPr>
          <w:color w:val="000000" w:themeColor="text1"/>
        </w:rPr>
        <w:t>单位：</w:t>
      </w:r>
      <w:sdt>
        <w:sdtPr>
          <w:rPr>
            <w:rFonts w:hint="eastAsia"/>
            <w:color w:val="000000" w:themeColor="text1"/>
          </w:rPr>
          <w:alias w:val="单位：股份变动情况表"/>
          <w:tag w:val="_GBC_649f6bada42647f7be991e46e2b2e42d"/>
          <w:id w:val="-1623297252"/>
          <w:placeholder>
            <w:docPart w:val="1BB26D6223FC4D3D965A1D85FA04E066"/>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color w:val="000000" w:themeColor="text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294"/>
        <w:gridCol w:w="804"/>
        <w:gridCol w:w="412"/>
        <w:gridCol w:w="412"/>
        <w:gridCol w:w="412"/>
        <w:gridCol w:w="1392"/>
        <w:gridCol w:w="1392"/>
        <w:gridCol w:w="1294"/>
        <w:gridCol w:w="804"/>
      </w:tblGrid>
      <w:tr w:rsidR="00156DD6" w:rsidTr="007C00D5">
        <w:tc>
          <w:tcPr>
            <w:tcW w:w="344" w:type="pct"/>
            <w:vMerge w:val="restart"/>
          </w:tcPr>
          <w:p w:rsidR="00156DD6" w:rsidRDefault="00156DD6">
            <w:pPr>
              <w:jc w:val="center"/>
              <w:rPr>
                <w:color w:val="000000" w:themeColor="text1"/>
              </w:rPr>
            </w:pPr>
          </w:p>
        </w:tc>
        <w:sdt>
          <w:sdtPr>
            <w:tag w:val="_PLD_1d3571976c514fb18cb081806befcec3"/>
            <w:id w:val="1283539522"/>
          </w:sdtPr>
          <w:sdtEndPr/>
          <w:sdtContent>
            <w:tc>
              <w:tcPr>
                <w:tcW w:w="1189" w:type="pct"/>
                <w:gridSpan w:val="2"/>
                <w:vAlign w:val="center"/>
              </w:tcPr>
              <w:p w:rsidR="00156DD6" w:rsidRDefault="00D51F5F">
                <w:pPr>
                  <w:pStyle w:val="aa"/>
                  <w:jc w:val="center"/>
                  <w:rPr>
                    <w:rFonts w:hAnsi="宋体"/>
                    <w:color w:val="000000" w:themeColor="text1"/>
                    <w:szCs w:val="21"/>
                  </w:rPr>
                </w:pPr>
                <w:r>
                  <w:rPr>
                    <w:rFonts w:hAnsi="宋体"/>
                    <w:color w:val="000000" w:themeColor="text1"/>
                    <w:szCs w:val="21"/>
                  </w:rPr>
                  <w:t>本次变动前</w:t>
                </w:r>
              </w:p>
            </w:tc>
          </w:sdtContent>
        </w:sdt>
        <w:sdt>
          <w:sdtPr>
            <w:tag w:val="_PLD_f954d926be3144c9ae3f8e8632aa9d60"/>
            <w:id w:val="738919166"/>
          </w:sdtPr>
          <w:sdtEndPr/>
          <w:sdtContent>
            <w:tc>
              <w:tcPr>
                <w:tcW w:w="2278" w:type="pct"/>
                <w:gridSpan w:val="5"/>
                <w:vAlign w:val="center"/>
              </w:tcPr>
              <w:p w:rsidR="00156DD6" w:rsidRDefault="00D51F5F">
                <w:pPr>
                  <w:jc w:val="center"/>
                  <w:rPr>
                    <w:color w:val="000000" w:themeColor="text1"/>
                  </w:rPr>
                </w:pPr>
                <w:r>
                  <w:rPr>
                    <w:color w:val="000000" w:themeColor="text1"/>
                  </w:rPr>
                  <w:t>本次变动增减（</w:t>
                </w:r>
                <w:r>
                  <w:rPr>
                    <w:rFonts w:hint="eastAsia"/>
                    <w:color w:val="000000" w:themeColor="text1"/>
                  </w:rPr>
                  <w:t>+</w:t>
                </w:r>
                <w:r>
                  <w:rPr>
                    <w:rFonts w:hint="eastAsia"/>
                    <w:color w:val="000000" w:themeColor="text1"/>
                  </w:rPr>
                  <w:t>，</w:t>
                </w:r>
                <w:r>
                  <w:rPr>
                    <w:rFonts w:hint="eastAsia"/>
                    <w:color w:val="000000" w:themeColor="text1"/>
                  </w:rPr>
                  <w:t>-</w:t>
                </w:r>
                <w:r>
                  <w:rPr>
                    <w:color w:val="000000" w:themeColor="text1"/>
                  </w:rPr>
                  <w:t>）</w:t>
                </w:r>
              </w:p>
            </w:tc>
          </w:sdtContent>
        </w:sdt>
        <w:sdt>
          <w:sdtPr>
            <w:tag w:val="_PLD_cec7316485294778b9434173c325ba5e"/>
            <w:id w:val="47890459"/>
          </w:sdtPr>
          <w:sdtEndPr/>
          <w:sdtContent>
            <w:tc>
              <w:tcPr>
                <w:tcW w:w="1189" w:type="pct"/>
                <w:gridSpan w:val="2"/>
                <w:vAlign w:val="center"/>
              </w:tcPr>
              <w:p w:rsidR="00156DD6" w:rsidRDefault="00D51F5F">
                <w:pPr>
                  <w:jc w:val="center"/>
                  <w:rPr>
                    <w:color w:val="000000" w:themeColor="text1"/>
                  </w:rPr>
                </w:pPr>
                <w:r>
                  <w:rPr>
                    <w:color w:val="000000" w:themeColor="text1"/>
                  </w:rPr>
                  <w:t>本次变动后</w:t>
                </w:r>
              </w:p>
            </w:tc>
          </w:sdtContent>
        </w:sdt>
      </w:tr>
      <w:tr w:rsidR="00156DD6" w:rsidTr="007C00D5">
        <w:trPr>
          <w:trHeight w:val="273"/>
        </w:trPr>
        <w:tc>
          <w:tcPr>
            <w:tcW w:w="344" w:type="pct"/>
            <w:vMerge/>
          </w:tcPr>
          <w:p w:rsidR="00156DD6" w:rsidRDefault="00156DD6">
            <w:pPr>
              <w:jc w:val="center"/>
              <w:rPr>
                <w:color w:val="000000" w:themeColor="text1"/>
              </w:rPr>
            </w:pPr>
          </w:p>
        </w:tc>
        <w:sdt>
          <w:sdtPr>
            <w:tag w:val="_PLD_988f8052801b48dbbfb8723a148d46cc"/>
            <w:id w:val="-1661228123"/>
          </w:sdtPr>
          <w:sdtEndPr/>
          <w:sdtContent>
            <w:tc>
              <w:tcPr>
                <w:tcW w:w="859" w:type="pct"/>
                <w:vAlign w:val="center"/>
              </w:tcPr>
              <w:p w:rsidR="00156DD6" w:rsidRDefault="00D51F5F">
                <w:pPr>
                  <w:pStyle w:val="aa"/>
                  <w:jc w:val="center"/>
                  <w:rPr>
                    <w:rFonts w:hAnsi="宋体"/>
                    <w:color w:val="000000" w:themeColor="text1"/>
                    <w:szCs w:val="21"/>
                  </w:rPr>
                </w:pPr>
                <w:r>
                  <w:rPr>
                    <w:rFonts w:hAnsi="宋体"/>
                    <w:color w:val="000000" w:themeColor="text1"/>
                    <w:szCs w:val="21"/>
                  </w:rPr>
                  <w:t>数量</w:t>
                </w:r>
              </w:p>
            </w:tc>
          </w:sdtContent>
        </w:sdt>
        <w:sdt>
          <w:sdtPr>
            <w:tag w:val="_PLD_cc8dc17fd4d4489393b7d886bbaba2ae"/>
            <w:id w:val="1262482422"/>
          </w:sdtPr>
          <w:sdtEndPr/>
          <w:sdtContent>
            <w:tc>
              <w:tcPr>
                <w:tcW w:w="330" w:type="pct"/>
                <w:vAlign w:val="center"/>
              </w:tcPr>
              <w:p w:rsidR="00156DD6" w:rsidRDefault="00D51F5F">
                <w:pPr>
                  <w:pStyle w:val="aa"/>
                  <w:jc w:val="center"/>
                  <w:rPr>
                    <w:rFonts w:hAnsi="宋体"/>
                    <w:color w:val="000000" w:themeColor="text1"/>
                    <w:szCs w:val="21"/>
                  </w:rPr>
                </w:pPr>
                <w:r>
                  <w:rPr>
                    <w:rFonts w:hAnsi="宋体"/>
                    <w:color w:val="000000" w:themeColor="text1"/>
                    <w:szCs w:val="21"/>
                  </w:rPr>
                  <w:t>比例</w:t>
                </w:r>
                <w:r>
                  <w:rPr>
                    <w:rFonts w:hAnsi="宋体"/>
                    <w:color w:val="000000" w:themeColor="text1"/>
                    <w:szCs w:val="21"/>
                  </w:rPr>
                  <w:t>(%)</w:t>
                </w:r>
              </w:p>
            </w:tc>
          </w:sdtContent>
        </w:sdt>
        <w:sdt>
          <w:sdtPr>
            <w:tag w:val="_PLD_819ab102e7454eaeaeeb2e735bb58a47"/>
            <w:id w:val="-2096775814"/>
          </w:sdtPr>
          <w:sdtEndPr/>
          <w:sdtContent>
            <w:tc>
              <w:tcPr>
                <w:tcW w:w="233" w:type="pct"/>
                <w:vAlign w:val="center"/>
              </w:tcPr>
              <w:p w:rsidR="00156DD6" w:rsidRDefault="00D51F5F">
                <w:pPr>
                  <w:pStyle w:val="aa"/>
                  <w:jc w:val="center"/>
                  <w:rPr>
                    <w:rFonts w:hAnsi="宋体"/>
                    <w:color w:val="000000" w:themeColor="text1"/>
                    <w:szCs w:val="21"/>
                  </w:rPr>
                </w:pPr>
                <w:r>
                  <w:rPr>
                    <w:rFonts w:hAnsi="宋体"/>
                    <w:color w:val="000000" w:themeColor="text1"/>
                    <w:szCs w:val="21"/>
                  </w:rPr>
                  <w:t>发行新股</w:t>
                </w:r>
              </w:p>
            </w:tc>
          </w:sdtContent>
        </w:sdt>
        <w:sdt>
          <w:sdtPr>
            <w:tag w:val="_PLD_ca852324ba5846e4a03f00a70d2419b6"/>
            <w:id w:val="1616556574"/>
          </w:sdtPr>
          <w:sdtEndPr/>
          <w:sdtContent>
            <w:tc>
              <w:tcPr>
                <w:tcW w:w="233" w:type="pct"/>
                <w:vAlign w:val="center"/>
              </w:tcPr>
              <w:p w:rsidR="00156DD6" w:rsidRDefault="00D51F5F">
                <w:pPr>
                  <w:jc w:val="center"/>
                  <w:rPr>
                    <w:color w:val="000000" w:themeColor="text1"/>
                  </w:rPr>
                </w:pPr>
                <w:r>
                  <w:rPr>
                    <w:color w:val="000000" w:themeColor="text1"/>
                  </w:rPr>
                  <w:t>送股</w:t>
                </w:r>
              </w:p>
            </w:tc>
          </w:sdtContent>
        </w:sdt>
        <w:sdt>
          <w:sdtPr>
            <w:tag w:val="_PLD_256901472d194e72bb27b5c58bda16f6"/>
            <w:id w:val="-1793204227"/>
          </w:sdtPr>
          <w:sdtEndPr/>
          <w:sdtContent>
            <w:tc>
              <w:tcPr>
                <w:tcW w:w="233" w:type="pct"/>
                <w:vAlign w:val="center"/>
              </w:tcPr>
              <w:p w:rsidR="00156DD6" w:rsidRDefault="00D51F5F">
                <w:pPr>
                  <w:jc w:val="center"/>
                  <w:rPr>
                    <w:color w:val="000000" w:themeColor="text1"/>
                  </w:rPr>
                </w:pPr>
                <w:r>
                  <w:rPr>
                    <w:color w:val="000000" w:themeColor="text1"/>
                  </w:rPr>
                  <w:t>公积金转股</w:t>
                </w:r>
              </w:p>
            </w:tc>
          </w:sdtContent>
        </w:sdt>
        <w:sdt>
          <w:sdtPr>
            <w:tag w:val="_PLD_19719ecd361d42b8b1c40359981df642"/>
            <w:id w:val="1608781507"/>
          </w:sdtPr>
          <w:sdtEndPr/>
          <w:sdtContent>
            <w:tc>
              <w:tcPr>
                <w:tcW w:w="789" w:type="pct"/>
                <w:vAlign w:val="center"/>
              </w:tcPr>
              <w:p w:rsidR="00156DD6" w:rsidRDefault="00D51F5F">
                <w:pPr>
                  <w:pStyle w:val="aa"/>
                  <w:jc w:val="center"/>
                  <w:rPr>
                    <w:rFonts w:hAnsi="宋体"/>
                    <w:color w:val="000000" w:themeColor="text1"/>
                    <w:szCs w:val="21"/>
                  </w:rPr>
                </w:pPr>
                <w:r>
                  <w:rPr>
                    <w:rFonts w:hAnsi="宋体"/>
                    <w:color w:val="000000" w:themeColor="text1"/>
                    <w:szCs w:val="21"/>
                  </w:rPr>
                  <w:t>其他</w:t>
                </w:r>
              </w:p>
            </w:tc>
          </w:sdtContent>
        </w:sdt>
        <w:sdt>
          <w:sdtPr>
            <w:tag w:val="_PLD_3813d11427a043ca89700d021749eb26"/>
            <w:id w:val="-1477141405"/>
          </w:sdtPr>
          <w:sdtEndPr/>
          <w:sdtContent>
            <w:tc>
              <w:tcPr>
                <w:tcW w:w="789" w:type="pct"/>
                <w:vAlign w:val="center"/>
              </w:tcPr>
              <w:p w:rsidR="00156DD6" w:rsidRDefault="00D51F5F">
                <w:pPr>
                  <w:pStyle w:val="aa"/>
                  <w:jc w:val="center"/>
                  <w:rPr>
                    <w:rFonts w:hAnsi="宋体"/>
                    <w:color w:val="000000" w:themeColor="text1"/>
                    <w:szCs w:val="21"/>
                  </w:rPr>
                </w:pPr>
                <w:r>
                  <w:rPr>
                    <w:rFonts w:hAnsi="宋体"/>
                    <w:color w:val="000000" w:themeColor="text1"/>
                    <w:szCs w:val="21"/>
                  </w:rPr>
                  <w:t>小计</w:t>
                </w:r>
              </w:p>
            </w:tc>
          </w:sdtContent>
        </w:sdt>
        <w:sdt>
          <w:sdtPr>
            <w:tag w:val="_PLD_8ff8f75dfeaa4bf2a6068460efe092f4"/>
            <w:id w:val="-266621961"/>
          </w:sdtPr>
          <w:sdtEndPr/>
          <w:sdtContent>
            <w:tc>
              <w:tcPr>
                <w:tcW w:w="733" w:type="pct"/>
                <w:vAlign w:val="center"/>
              </w:tcPr>
              <w:p w:rsidR="00156DD6" w:rsidRDefault="00D51F5F">
                <w:pPr>
                  <w:pStyle w:val="aa"/>
                  <w:jc w:val="center"/>
                  <w:rPr>
                    <w:rFonts w:hAnsi="宋体"/>
                    <w:color w:val="000000" w:themeColor="text1"/>
                    <w:szCs w:val="21"/>
                  </w:rPr>
                </w:pPr>
                <w:r>
                  <w:rPr>
                    <w:rFonts w:hAnsi="宋体"/>
                    <w:color w:val="000000" w:themeColor="text1"/>
                    <w:szCs w:val="21"/>
                  </w:rPr>
                  <w:t>数量</w:t>
                </w:r>
              </w:p>
            </w:tc>
          </w:sdtContent>
        </w:sdt>
        <w:sdt>
          <w:sdtPr>
            <w:tag w:val="_PLD_e100c0c8ad354419b737193b7eb5de7f"/>
            <w:id w:val="-2009893243"/>
          </w:sdtPr>
          <w:sdtEndPr/>
          <w:sdtContent>
            <w:tc>
              <w:tcPr>
                <w:tcW w:w="456" w:type="pct"/>
                <w:vAlign w:val="center"/>
              </w:tcPr>
              <w:p w:rsidR="00156DD6" w:rsidRDefault="00D51F5F">
                <w:pPr>
                  <w:pStyle w:val="aa"/>
                  <w:jc w:val="center"/>
                  <w:rPr>
                    <w:rFonts w:hAnsi="宋体"/>
                    <w:color w:val="000000" w:themeColor="text1"/>
                    <w:szCs w:val="21"/>
                  </w:rPr>
                </w:pPr>
                <w:r>
                  <w:rPr>
                    <w:rFonts w:hAnsi="宋体"/>
                    <w:color w:val="000000" w:themeColor="text1"/>
                    <w:szCs w:val="21"/>
                  </w:rPr>
                  <w:t>比例</w:t>
                </w:r>
                <w:r>
                  <w:rPr>
                    <w:rFonts w:hAnsi="宋体"/>
                    <w:color w:val="000000" w:themeColor="text1"/>
                    <w:szCs w:val="21"/>
                  </w:rPr>
                  <w:t>(%)</w:t>
                </w:r>
              </w:p>
            </w:tc>
          </w:sdtContent>
        </w:sdt>
      </w:tr>
      <w:tr w:rsidR="007C00D5" w:rsidTr="007C00D5">
        <w:tc>
          <w:tcPr>
            <w:tcW w:w="344" w:type="pct"/>
          </w:tcPr>
          <w:p w:rsidR="007C00D5" w:rsidRDefault="007C00D5" w:rsidP="007C00D5">
            <w:pPr>
              <w:rPr>
                <w:color w:val="000000" w:themeColor="text1"/>
              </w:rPr>
            </w:pPr>
            <w:bookmarkStart w:id="124" w:name="_Hlk204335146"/>
            <w:r>
              <w:rPr>
                <w:color w:val="000000" w:themeColor="text1"/>
              </w:rPr>
              <w:t>一、有限售条件股份</w:t>
            </w:r>
          </w:p>
        </w:tc>
        <w:tc>
          <w:tcPr>
            <w:tcW w:w="859" w:type="pct"/>
            <w:vAlign w:val="bottom"/>
          </w:tcPr>
          <w:p w:rsidR="007C00D5" w:rsidRDefault="007C00D5" w:rsidP="007C00D5">
            <w:pPr>
              <w:jc w:val="right"/>
            </w:pPr>
            <w:r>
              <w:t>146,461,541</w:t>
            </w:r>
          </w:p>
        </w:tc>
        <w:tc>
          <w:tcPr>
            <w:tcW w:w="330" w:type="pct"/>
            <w:vAlign w:val="bottom"/>
          </w:tcPr>
          <w:p w:rsidR="007C00D5" w:rsidRDefault="007C00D5" w:rsidP="007C00D5">
            <w:pPr>
              <w:jc w:val="right"/>
            </w:pPr>
            <w:r>
              <w:t>43.96</w:t>
            </w: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r>
              <w:t>-143,331,541</w:t>
            </w:r>
          </w:p>
        </w:tc>
        <w:tc>
          <w:tcPr>
            <w:tcW w:w="789" w:type="pct"/>
            <w:vAlign w:val="bottom"/>
          </w:tcPr>
          <w:p w:rsidR="007C00D5" w:rsidRDefault="007C00D5" w:rsidP="007C00D5">
            <w:pPr>
              <w:jc w:val="right"/>
              <w:rPr>
                <w:bCs w:val="0"/>
                <w:sz w:val="24"/>
                <w:szCs w:val="24"/>
              </w:rPr>
            </w:pPr>
            <w:bookmarkStart w:id="125" w:name="_GoBack"/>
            <w:bookmarkEnd w:id="125"/>
            <w:r>
              <w:t>-143,331,541</w:t>
            </w:r>
          </w:p>
        </w:tc>
        <w:tc>
          <w:tcPr>
            <w:tcW w:w="733" w:type="pct"/>
            <w:vAlign w:val="bottom"/>
          </w:tcPr>
          <w:p w:rsidR="007C00D5" w:rsidRDefault="007C00D5" w:rsidP="007C00D5">
            <w:pPr>
              <w:jc w:val="right"/>
            </w:pPr>
            <w:r>
              <w:t>3,130,000</w:t>
            </w:r>
          </w:p>
        </w:tc>
        <w:tc>
          <w:tcPr>
            <w:tcW w:w="456" w:type="pct"/>
            <w:vAlign w:val="bottom"/>
          </w:tcPr>
          <w:p w:rsidR="007C00D5" w:rsidRDefault="007C00D5" w:rsidP="007C00D5">
            <w:pPr>
              <w:jc w:val="right"/>
            </w:pPr>
            <w:r>
              <w:t>0.94</w:t>
            </w:r>
          </w:p>
        </w:tc>
      </w:tr>
      <w:bookmarkEnd w:id="124"/>
      <w:tr w:rsidR="007C00D5" w:rsidTr="007C00D5">
        <w:tc>
          <w:tcPr>
            <w:tcW w:w="344" w:type="pct"/>
          </w:tcPr>
          <w:p w:rsidR="007C00D5" w:rsidRDefault="007C00D5" w:rsidP="007C00D5">
            <w:pPr>
              <w:rPr>
                <w:color w:val="000000" w:themeColor="text1"/>
              </w:rPr>
            </w:pPr>
            <w:r>
              <w:rPr>
                <w:color w:val="000000" w:themeColor="text1"/>
              </w:rPr>
              <w:t>1、国家持股</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rPr>
                <w:color w:val="000000" w:themeColor="text1"/>
              </w:rPr>
            </w:pPr>
            <w:r>
              <w:rPr>
                <w:color w:val="000000" w:themeColor="text1"/>
              </w:rPr>
              <w:t>2、国有法人持股</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rPr>
                <w:rFonts w:ascii="Times New Roman" w:eastAsia="Times New Roman" w:hAnsi="Times New Roman" w:cs="Times New Roman"/>
                <w:sz w:val="20"/>
                <w:szCs w:val="20"/>
              </w:rPr>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rPr>
                <w:color w:val="000000" w:themeColor="text1"/>
              </w:rPr>
            </w:pPr>
            <w:r>
              <w:rPr>
                <w:color w:val="000000" w:themeColor="text1"/>
              </w:rPr>
              <w:t>3、其他内资持股</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rPr>
                <w:rFonts w:ascii="Times New Roman" w:eastAsia="Times New Roman" w:hAnsi="Times New Roman" w:cs="Times New Roman"/>
                <w:sz w:val="20"/>
                <w:szCs w:val="20"/>
              </w:rPr>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rPr>
                <w:color w:val="000000" w:themeColor="text1"/>
              </w:rPr>
            </w:pPr>
            <w:r>
              <w:rPr>
                <w:color w:val="000000" w:themeColor="text1"/>
              </w:rPr>
              <w:t>其中：境内非国有法</w:t>
            </w:r>
            <w:r>
              <w:rPr>
                <w:color w:val="000000" w:themeColor="text1"/>
              </w:rPr>
              <w:lastRenderedPageBreak/>
              <w:t>人持股</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rPr>
                <w:rFonts w:ascii="Times New Roman" w:eastAsia="Times New Roman" w:hAnsi="Times New Roman" w:cs="Times New Roman"/>
                <w:sz w:val="20"/>
                <w:szCs w:val="20"/>
              </w:rPr>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rPr>
                <w:color w:val="000000" w:themeColor="text1"/>
              </w:rPr>
            </w:pPr>
            <w:r>
              <w:rPr>
                <w:color w:val="000000" w:themeColor="text1"/>
              </w:rPr>
              <w:t>境内自然人持股</w:t>
            </w:r>
          </w:p>
        </w:tc>
        <w:tc>
          <w:tcPr>
            <w:tcW w:w="859" w:type="pct"/>
            <w:vAlign w:val="bottom"/>
          </w:tcPr>
          <w:p w:rsidR="007C00D5" w:rsidRDefault="007C00D5" w:rsidP="007C00D5">
            <w:pPr>
              <w:jc w:val="right"/>
            </w:pPr>
            <w:r>
              <w:t>146,461,541</w:t>
            </w:r>
          </w:p>
        </w:tc>
        <w:tc>
          <w:tcPr>
            <w:tcW w:w="330" w:type="pct"/>
            <w:vAlign w:val="bottom"/>
          </w:tcPr>
          <w:p w:rsidR="007C00D5" w:rsidRDefault="007C00D5" w:rsidP="007C00D5">
            <w:pPr>
              <w:jc w:val="right"/>
            </w:pPr>
            <w:r>
              <w:t>43.96</w:t>
            </w: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r>
              <w:t>-143,331,541</w:t>
            </w:r>
          </w:p>
        </w:tc>
        <w:tc>
          <w:tcPr>
            <w:tcW w:w="789" w:type="pct"/>
            <w:vAlign w:val="bottom"/>
          </w:tcPr>
          <w:p w:rsidR="007C00D5" w:rsidRDefault="007C00D5" w:rsidP="007C00D5">
            <w:pPr>
              <w:jc w:val="right"/>
              <w:rPr>
                <w:sz w:val="24"/>
                <w:szCs w:val="24"/>
              </w:rPr>
            </w:pPr>
            <w:r>
              <w:t>-143,331,541</w:t>
            </w:r>
          </w:p>
        </w:tc>
        <w:tc>
          <w:tcPr>
            <w:tcW w:w="733" w:type="pct"/>
            <w:vAlign w:val="bottom"/>
          </w:tcPr>
          <w:p w:rsidR="007C00D5" w:rsidRDefault="007C00D5" w:rsidP="007C00D5">
            <w:pPr>
              <w:jc w:val="right"/>
            </w:pPr>
            <w:r>
              <w:t>3,130,000</w:t>
            </w:r>
          </w:p>
        </w:tc>
        <w:tc>
          <w:tcPr>
            <w:tcW w:w="456" w:type="pct"/>
            <w:vAlign w:val="bottom"/>
          </w:tcPr>
          <w:p w:rsidR="007C00D5" w:rsidRDefault="007C00D5" w:rsidP="007C00D5">
            <w:pPr>
              <w:jc w:val="right"/>
            </w:pPr>
            <w:r>
              <w:t>0.94</w:t>
            </w:r>
          </w:p>
        </w:tc>
      </w:tr>
      <w:tr w:rsidR="007C00D5" w:rsidTr="007C00D5">
        <w:tc>
          <w:tcPr>
            <w:tcW w:w="344" w:type="pct"/>
          </w:tcPr>
          <w:p w:rsidR="007C00D5" w:rsidRDefault="007C00D5" w:rsidP="007C00D5">
            <w:pPr>
              <w:rPr>
                <w:color w:val="000000" w:themeColor="text1"/>
              </w:rPr>
            </w:pPr>
            <w:r>
              <w:rPr>
                <w:rFonts w:hint="eastAsia"/>
                <w:color w:val="000000" w:themeColor="text1"/>
              </w:rPr>
              <w:t>4、</w:t>
            </w:r>
            <w:r>
              <w:rPr>
                <w:color w:val="000000" w:themeColor="text1"/>
              </w:rPr>
              <w:t>外资持股</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rPr>
                <w:color w:val="000000" w:themeColor="text1"/>
              </w:rPr>
            </w:pPr>
            <w:r>
              <w:rPr>
                <w:color w:val="000000" w:themeColor="text1"/>
              </w:rPr>
              <w:t>其中：境外法人持股</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rPr>
                <w:rFonts w:ascii="Times New Roman" w:eastAsia="Times New Roman" w:hAnsi="Times New Roman" w:cs="Times New Roman"/>
                <w:sz w:val="20"/>
                <w:szCs w:val="20"/>
              </w:rPr>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rPr>
                <w:color w:val="000000" w:themeColor="text1"/>
              </w:rPr>
            </w:pPr>
            <w:r>
              <w:rPr>
                <w:color w:val="000000" w:themeColor="text1"/>
              </w:rPr>
              <w:t>境外自然人持股</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rPr>
                <w:rFonts w:ascii="Times New Roman" w:eastAsia="Times New Roman" w:hAnsi="Times New Roman" w:cs="Times New Roman"/>
                <w:sz w:val="20"/>
                <w:szCs w:val="20"/>
              </w:rPr>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pStyle w:val="a8"/>
              <w:rPr>
                <w:rFonts w:ascii="宋体" w:hAnsi="宋体"/>
                <w:color w:val="000000" w:themeColor="text1"/>
              </w:rPr>
            </w:pPr>
            <w:r>
              <w:rPr>
                <w:rFonts w:ascii="宋体" w:hAnsi="宋体"/>
                <w:color w:val="000000" w:themeColor="text1"/>
              </w:rPr>
              <w:t>二、无限售条件流通股份</w:t>
            </w:r>
          </w:p>
        </w:tc>
        <w:tc>
          <w:tcPr>
            <w:tcW w:w="859" w:type="pct"/>
            <w:vAlign w:val="bottom"/>
          </w:tcPr>
          <w:p w:rsidR="007C00D5" w:rsidRDefault="007C00D5" w:rsidP="007C00D5">
            <w:pPr>
              <w:jc w:val="right"/>
            </w:pPr>
            <w:r>
              <w:t>186,705,866</w:t>
            </w:r>
          </w:p>
        </w:tc>
        <w:tc>
          <w:tcPr>
            <w:tcW w:w="330" w:type="pct"/>
            <w:vAlign w:val="bottom"/>
          </w:tcPr>
          <w:p w:rsidR="007C00D5" w:rsidRDefault="007C00D5" w:rsidP="007C00D5">
            <w:pPr>
              <w:jc w:val="right"/>
            </w:pPr>
            <w:r>
              <w:t>56.04</w:t>
            </w: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r>
              <w:t xml:space="preserve"> </w:t>
            </w:r>
            <w:r>
              <w:rPr>
                <w:rFonts w:hint="eastAsia"/>
              </w:rPr>
              <w:t>+</w:t>
            </w:r>
            <w:r>
              <w:t xml:space="preserve">143,331,541 </w:t>
            </w:r>
          </w:p>
        </w:tc>
        <w:tc>
          <w:tcPr>
            <w:tcW w:w="789" w:type="pct"/>
            <w:vAlign w:val="bottom"/>
          </w:tcPr>
          <w:p w:rsidR="007C00D5" w:rsidRDefault="007C00D5" w:rsidP="007C00D5">
            <w:pPr>
              <w:jc w:val="right"/>
              <w:rPr>
                <w:sz w:val="24"/>
                <w:szCs w:val="24"/>
              </w:rPr>
            </w:pPr>
            <w:r>
              <w:t>+143,331,541</w:t>
            </w:r>
          </w:p>
        </w:tc>
        <w:tc>
          <w:tcPr>
            <w:tcW w:w="733" w:type="pct"/>
            <w:vAlign w:val="bottom"/>
          </w:tcPr>
          <w:p w:rsidR="007C00D5" w:rsidRDefault="007C00D5" w:rsidP="007C00D5">
            <w:pPr>
              <w:jc w:val="right"/>
            </w:pPr>
            <w:r>
              <w:t>330,037,407</w:t>
            </w:r>
          </w:p>
        </w:tc>
        <w:tc>
          <w:tcPr>
            <w:tcW w:w="456" w:type="pct"/>
            <w:vAlign w:val="bottom"/>
          </w:tcPr>
          <w:p w:rsidR="007C00D5" w:rsidRDefault="007C00D5" w:rsidP="007C00D5">
            <w:pPr>
              <w:jc w:val="right"/>
            </w:pPr>
            <w:r>
              <w:t>99.06</w:t>
            </w:r>
          </w:p>
        </w:tc>
      </w:tr>
      <w:tr w:rsidR="007C00D5" w:rsidTr="007C00D5">
        <w:tc>
          <w:tcPr>
            <w:tcW w:w="344" w:type="pct"/>
          </w:tcPr>
          <w:p w:rsidR="007C00D5" w:rsidRDefault="007C00D5" w:rsidP="007C00D5">
            <w:pPr>
              <w:rPr>
                <w:color w:val="000000" w:themeColor="text1"/>
              </w:rPr>
            </w:pPr>
            <w:bookmarkStart w:id="126" w:name="_Hlk204340476"/>
            <w:r>
              <w:rPr>
                <w:color w:val="000000" w:themeColor="text1"/>
              </w:rPr>
              <w:t>1、人民币普通股</w:t>
            </w:r>
          </w:p>
        </w:tc>
        <w:tc>
          <w:tcPr>
            <w:tcW w:w="859" w:type="pct"/>
            <w:vAlign w:val="bottom"/>
          </w:tcPr>
          <w:p w:rsidR="007C00D5" w:rsidRDefault="007C00D5" w:rsidP="007C00D5">
            <w:pPr>
              <w:jc w:val="right"/>
            </w:pPr>
            <w:r>
              <w:t>186,705,866</w:t>
            </w:r>
          </w:p>
        </w:tc>
        <w:tc>
          <w:tcPr>
            <w:tcW w:w="330" w:type="pct"/>
            <w:vAlign w:val="bottom"/>
          </w:tcPr>
          <w:p w:rsidR="007C00D5" w:rsidRDefault="007C00D5" w:rsidP="007C00D5">
            <w:pPr>
              <w:jc w:val="right"/>
            </w:pPr>
            <w:r>
              <w:t>56.04</w:t>
            </w: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r>
              <w:t xml:space="preserve"> </w:t>
            </w:r>
            <w:r>
              <w:rPr>
                <w:rFonts w:hint="eastAsia"/>
              </w:rPr>
              <w:t>+</w:t>
            </w:r>
            <w:r>
              <w:t xml:space="preserve">143,331,541 </w:t>
            </w:r>
          </w:p>
        </w:tc>
        <w:tc>
          <w:tcPr>
            <w:tcW w:w="789" w:type="pct"/>
            <w:vAlign w:val="bottom"/>
          </w:tcPr>
          <w:p w:rsidR="007C00D5" w:rsidRDefault="007C00D5" w:rsidP="007C00D5">
            <w:pPr>
              <w:jc w:val="right"/>
            </w:pPr>
            <w:r>
              <w:t>+143,331,541</w:t>
            </w:r>
          </w:p>
        </w:tc>
        <w:tc>
          <w:tcPr>
            <w:tcW w:w="733" w:type="pct"/>
            <w:vAlign w:val="bottom"/>
          </w:tcPr>
          <w:p w:rsidR="007C00D5" w:rsidRDefault="007C00D5" w:rsidP="007C00D5">
            <w:pPr>
              <w:jc w:val="right"/>
            </w:pPr>
            <w:r>
              <w:t>330,037,407</w:t>
            </w:r>
          </w:p>
        </w:tc>
        <w:tc>
          <w:tcPr>
            <w:tcW w:w="456" w:type="pct"/>
            <w:vAlign w:val="bottom"/>
          </w:tcPr>
          <w:p w:rsidR="007C00D5" w:rsidRDefault="007C00D5" w:rsidP="007C00D5">
            <w:pPr>
              <w:jc w:val="right"/>
            </w:pPr>
            <w:r>
              <w:t>99.06</w:t>
            </w:r>
          </w:p>
        </w:tc>
      </w:tr>
      <w:bookmarkEnd w:id="126"/>
      <w:tr w:rsidR="007C00D5" w:rsidTr="007C00D5">
        <w:tc>
          <w:tcPr>
            <w:tcW w:w="344" w:type="pct"/>
          </w:tcPr>
          <w:p w:rsidR="007C00D5" w:rsidRDefault="007C00D5" w:rsidP="007C00D5">
            <w:pPr>
              <w:rPr>
                <w:color w:val="000000" w:themeColor="text1"/>
              </w:rPr>
            </w:pPr>
            <w:r>
              <w:rPr>
                <w:color w:val="000000" w:themeColor="text1"/>
              </w:rPr>
              <w:t>2、境</w:t>
            </w:r>
            <w:r>
              <w:rPr>
                <w:color w:val="000000" w:themeColor="text1"/>
              </w:rPr>
              <w:lastRenderedPageBreak/>
              <w:t>内上市的外资股</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rPr>
                <w:color w:val="000000" w:themeColor="text1"/>
              </w:rPr>
            </w:pPr>
            <w:r>
              <w:rPr>
                <w:color w:val="000000" w:themeColor="text1"/>
              </w:rPr>
              <w:t>3、境外上市的外资股</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rPr>
                <w:rFonts w:ascii="Times New Roman" w:eastAsia="Times New Roman" w:hAnsi="Times New Roman" w:cs="Times New Roman"/>
                <w:sz w:val="20"/>
                <w:szCs w:val="20"/>
              </w:rPr>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rPr>
                <w:color w:val="000000" w:themeColor="text1"/>
              </w:rPr>
            </w:pPr>
            <w:r>
              <w:rPr>
                <w:color w:val="000000" w:themeColor="text1"/>
              </w:rPr>
              <w:t>4、其他</w:t>
            </w:r>
          </w:p>
        </w:tc>
        <w:tc>
          <w:tcPr>
            <w:tcW w:w="859" w:type="pct"/>
            <w:vAlign w:val="bottom"/>
          </w:tcPr>
          <w:p w:rsidR="007C00D5" w:rsidRDefault="007C00D5" w:rsidP="007C00D5">
            <w:pPr>
              <w:jc w:val="right"/>
            </w:pPr>
          </w:p>
        </w:tc>
        <w:tc>
          <w:tcPr>
            <w:tcW w:w="330"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p>
        </w:tc>
        <w:tc>
          <w:tcPr>
            <w:tcW w:w="789" w:type="pct"/>
            <w:vAlign w:val="bottom"/>
          </w:tcPr>
          <w:p w:rsidR="007C00D5" w:rsidRDefault="007C00D5" w:rsidP="007C00D5">
            <w:pPr>
              <w:jc w:val="right"/>
              <w:rPr>
                <w:rFonts w:ascii="Times New Roman" w:eastAsia="Times New Roman" w:hAnsi="Times New Roman" w:cs="Times New Roman"/>
                <w:sz w:val="20"/>
                <w:szCs w:val="20"/>
              </w:rPr>
            </w:pPr>
          </w:p>
        </w:tc>
        <w:tc>
          <w:tcPr>
            <w:tcW w:w="733" w:type="pct"/>
            <w:vAlign w:val="bottom"/>
          </w:tcPr>
          <w:p w:rsidR="007C00D5" w:rsidRDefault="007C00D5" w:rsidP="007C00D5">
            <w:pPr>
              <w:jc w:val="right"/>
            </w:pPr>
          </w:p>
        </w:tc>
        <w:tc>
          <w:tcPr>
            <w:tcW w:w="456" w:type="pct"/>
            <w:vAlign w:val="bottom"/>
          </w:tcPr>
          <w:p w:rsidR="007C00D5" w:rsidRDefault="007C00D5" w:rsidP="007C00D5">
            <w:pPr>
              <w:jc w:val="right"/>
            </w:pPr>
          </w:p>
        </w:tc>
      </w:tr>
      <w:tr w:rsidR="007C00D5" w:rsidTr="007C00D5">
        <w:tc>
          <w:tcPr>
            <w:tcW w:w="344" w:type="pct"/>
          </w:tcPr>
          <w:p w:rsidR="007C00D5" w:rsidRDefault="007C00D5" w:rsidP="007C00D5">
            <w:pPr>
              <w:rPr>
                <w:color w:val="000000" w:themeColor="text1"/>
              </w:rPr>
            </w:pPr>
            <w:r>
              <w:rPr>
                <w:color w:val="000000" w:themeColor="text1"/>
              </w:rPr>
              <w:t>三、股份总数</w:t>
            </w:r>
          </w:p>
        </w:tc>
        <w:tc>
          <w:tcPr>
            <w:tcW w:w="859" w:type="pct"/>
            <w:vAlign w:val="bottom"/>
          </w:tcPr>
          <w:p w:rsidR="007C00D5" w:rsidRDefault="007C00D5" w:rsidP="007C00D5">
            <w:pPr>
              <w:jc w:val="right"/>
            </w:pPr>
            <w:r>
              <w:rPr>
                <w:rFonts w:hint="eastAsia"/>
              </w:rPr>
              <w:t>333,167,407</w:t>
            </w:r>
          </w:p>
        </w:tc>
        <w:tc>
          <w:tcPr>
            <w:tcW w:w="330" w:type="pct"/>
            <w:vAlign w:val="bottom"/>
          </w:tcPr>
          <w:p w:rsidR="007C00D5" w:rsidRDefault="007C00D5" w:rsidP="007C00D5">
            <w:pPr>
              <w:jc w:val="right"/>
            </w:pPr>
            <w:r>
              <w:rPr>
                <w:rFonts w:hint="eastAsia"/>
              </w:rPr>
              <w:t>1</w:t>
            </w:r>
            <w:r>
              <w:t>00.00</w:t>
            </w: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233" w:type="pct"/>
            <w:vAlign w:val="bottom"/>
          </w:tcPr>
          <w:p w:rsidR="007C00D5" w:rsidRDefault="007C00D5" w:rsidP="007C00D5">
            <w:pPr>
              <w:jc w:val="right"/>
            </w:pPr>
          </w:p>
        </w:tc>
        <w:tc>
          <w:tcPr>
            <w:tcW w:w="789" w:type="pct"/>
            <w:vAlign w:val="bottom"/>
          </w:tcPr>
          <w:p w:rsidR="007C00D5" w:rsidRDefault="007C00D5" w:rsidP="007C00D5">
            <w:pPr>
              <w:jc w:val="right"/>
            </w:pPr>
            <w:r>
              <w:rPr>
                <w:rFonts w:hint="eastAsia"/>
              </w:rPr>
              <w:t>0</w:t>
            </w:r>
          </w:p>
        </w:tc>
        <w:tc>
          <w:tcPr>
            <w:tcW w:w="789" w:type="pct"/>
            <w:vAlign w:val="bottom"/>
          </w:tcPr>
          <w:p w:rsidR="007C00D5" w:rsidRDefault="007C00D5" w:rsidP="007C00D5">
            <w:pPr>
              <w:jc w:val="right"/>
              <w:rPr>
                <w:sz w:val="24"/>
                <w:szCs w:val="24"/>
              </w:rPr>
            </w:pPr>
            <w:r>
              <w:t>0</w:t>
            </w:r>
          </w:p>
        </w:tc>
        <w:tc>
          <w:tcPr>
            <w:tcW w:w="733" w:type="pct"/>
            <w:vAlign w:val="bottom"/>
          </w:tcPr>
          <w:p w:rsidR="007C00D5" w:rsidRDefault="007C00D5" w:rsidP="007C00D5">
            <w:pPr>
              <w:jc w:val="right"/>
            </w:pPr>
            <w:r>
              <w:rPr>
                <w:rFonts w:hint="eastAsia"/>
              </w:rPr>
              <w:t>333,167,407</w:t>
            </w:r>
          </w:p>
        </w:tc>
        <w:tc>
          <w:tcPr>
            <w:tcW w:w="456" w:type="pct"/>
            <w:vAlign w:val="bottom"/>
          </w:tcPr>
          <w:p w:rsidR="007C00D5" w:rsidRDefault="007C00D5" w:rsidP="007C00D5">
            <w:pPr>
              <w:jc w:val="right"/>
            </w:pPr>
            <w:r>
              <w:rPr>
                <w:rFonts w:hint="eastAsia"/>
              </w:rPr>
              <w:t>1</w:t>
            </w:r>
            <w:r>
              <w:t>00.00</w:t>
            </w:r>
          </w:p>
        </w:tc>
      </w:tr>
    </w:tbl>
    <w:p w:rsidR="00156DD6" w:rsidRDefault="00156DD6">
      <w:pPr>
        <w:rPr>
          <w:color w:val="000000" w:themeColor="text1"/>
        </w:rPr>
      </w:pPr>
    </w:p>
    <w:p w:rsidR="00156DD6" w:rsidRDefault="00D51F5F">
      <w:pPr>
        <w:pStyle w:val="4"/>
        <w:numPr>
          <w:ilvl w:val="2"/>
          <w:numId w:val="29"/>
        </w:numPr>
        <w:rPr>
          <w:rFonts w:ascii="宋体" w:hAnsi="宋体"/>
          <w:color w:val="000000" w:themeColor="text1"/>
        </w:rPr>
      </w:pPr>
      <w:r>
        <w:rPr>
          <w:rFonts w:ascii="宋体" w:hAnsi="宋体" w:hint="eastAsia"/>
          <w:color w:val="000000" w:themeColor="text1"/>
        </w:rPr>
        <w:t>股份变动情况说明</w:t>
      </w:r>
    </w:p>
    <w:sdt>
      <w:sdtPr>
        <w:rPr>
          <w:color w:val="000000" w:themeColor="text1"/>
        </w:rPr>
        <w:alias w:val="是否适用：普通股股份变动情况说明[双击切换]"/>
        <w:tag w:val="_GBC_28994e6dc9c649e498c0ab9c340777bf"/>
        <w:id w:val="34429263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股份变动情况说明"/>
        <w:tag w:val="_GBC_370febd389f14759b2ed3f1114b289a6"/>
        <w:id w:val="202295126"/>
        <w:placeholder>
          <w:docPart w:val="GBC22222222222222222222222222222"/>
        </w:placeholder>
      </w:sdtPr>
      <w:sdtEndPr/>
      <w:sdtContent>
        <w:p w:rsidR="00156DD6" w:rsidRDefault="00D51F5F">
          <w:pPr>
            <w:spacing w:line="360" w:lineRule="exact"/>
            <w:ind w:firstLineChars="200" w:firstLine="420"/>
            <w:jc w:val="both"/>
            <w:rPr>
              <w:color w:val="000000" w:themeColor="text1"/>
            </w:rPr>
          </w:pPr>
          <w:r>
            <w:rPr>
              <w:rFonts w:hint="eastAsia"/>
              <w:color w:val="000000" w:themeColor="text1"/>
            </w:rPr>
            <w:t>2025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20</w:t>
          </w:r>
          <w:r>
            <w:rPr>
              <w:rFonts w:hint="eastAsia"/>
              <w:color w:val="000000" w:themeColor="text1"/>
            </w:rPr>
            <w:t>日，公司召开第四届董事会第十次会议审议通过了《关于向</w:t>
          </w:r>
          <w:r>
            <w:rPr>
              <w:rFonts w:hint="eastAsia"/>
              <w:color w:val="000000" w:themeColor="text1"/>
            </w:rPr>
            <w:t>2024</w:t>
          </w:r>
          <w:r>
            <w:rPr>
              <w:rFonts w:hint="eastAsia"/>
              <w:color w:val="000000" w:themeColor="text1"/>
            </w:rPr>
            <w:t>年限制性股票激励计划激励对象授予预留部分限制性股票的议案》，并于</w:t>
          </w:r>
          <w:r>
            <w:rPr>
              <w:rFonts w:hint="eastAsia"/>
              <w:color w:val="000000" w:themeColor="text1"/>
            </w:rPr>
            <w:t>2025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22</w:t>
          </w:r>
          <w:r>
            <w:rPr>
              <w:rFonts w:hint="eastAsia"/>
              <w:color w:val="000000" w:themeColor="text1"/>
            </w:rPr>
            <w:t>日披露了《关于向</w:t>
          </w:r>
          <w:r>
            <w:rPr>
              <w:rFonts w:hint="eastAsia"/>
              <w:color w:val="000000" w:themeColor="text1"/>
            </w:rPr>
            <w:t>2024</w:t>
          </w:r>
          <w:r>
            <w:rPr>
              <w:rFonts w:hint="eastAsia"/>
              <w:color w:val="000000" w:themeColor="text1"/>
            </w:rPr>
            <w:t>年限制性股票激励计划激励对象授予预留部分限制性股票的公告》（公告编号：</w:t>
          </w:r>
          <w:r>
            <w:rPr>
              <w:rFonts w:hint="eastAsia"/>
              <w:color w:val="000000" w:themeColor="text1"/>
            </w:rPr>
            <w:t>2025-006</w:t>
          </w:r>
          <w:r>
            <w:rPr>
              <w:rFonts w:hint="eastAsia"/>
              <w:color w:val="000000" w:themeColor="text1"/>
            </w:rPr>
            <w:t>）。</w:t>
          </w:r>
        </w:p>
        <w:p w:rsidR="00156DD6" w:rsidRDefault="00D51F5F">
          <w:pPr>
            <w:spacing w:line="360" w:lineRule="exact"/>
            <w:ind w:firstLineChars="200" w:firstLine="420"/>
            <w:jc w:val="both"/>
            <w:rPr>
              <w:color w:val="000000" w:themeColor="text1"/>
            </w:rPr>
          </w:pPr>
          <w:r>
            <w:rPr>
              <w:rFonts w:hint="eastAsia"/>
              <w:color w:val="000000" w:themeColor="text1"/>
            </w:rPr>
            <w:t>2025</w:t>
          </w:r>
          <w:r>
            <w:rPr>
              <w:rFonts w:hint="eastAsia"/>
              <w:color w:val="000000" w:themeColor="text1"/>
            </w:rPr>
            <w:t>年</w:t>
          </w:r>
          <w:r>
            <w:rPr>
              <w:rFonts w:hint="eastAsia"/>
              <w:color w:val="000000" w:themeColor="text1"/>
            </w:rPr>
            <w:t>2</w:t>
          </w:r>
          <w:r>
            <w:rPr>
              <w:rFonts w:hint="eastAsia"/>
              <w:color w:val="000000" w:themeColor="text1"/>
            </w:rPr>
            <w:t>月</w:t>
          </w:r>
          <w:r>
            <w:rPr>
              <w:rFonts w:hint="eastAsia"/>
              <w:color w:val="000000" w:themeColor="text1"/>
            </w:rPr>
            <w:t>19</w:t>
          </w:r>
          <w:r>
            <w:rPr>
              <w:rFonts w:hint="eastAsia"/>
              <w:color w:val="000000" w:themeColor="text1"/>
            </w:rPr>
            <w:t>日公司在中国结算上海分公司办理完成了公司</w:t>
          </w:r>
          <w:r>
            <w:rPr>
              <w:rFonts w:hint="eastAsia"/>
              <w:color w:val="000000" w:themeColor="text1"/>
            </w:rPr>
            <w:t>2024</w:t>
          </w:r>
          <w:r>
            <w:rPr>
              <w:rFonts w:hint="eastAsia"/>
              <w:color w:val="000000" w:themeColor="text1"/>
            </w:rPr>
            <w:t>年限制性股票激励计划预留部分限制性股票授予登记工作，授予</w:t>
          </w:r>
          <w:r>
            <w:rPr>
              <w:rFonts w:hint="eastAsia"/>
              <w:color w:val="000000" w:themeColor="text1"/>
            </w:rPr>
            <w:t>31</w:t>
          </w:r>
          <w:r>
            <w:rPr>
              <w:rFonts w:hint="eastAsia"/>
              <w:color w:val="000000" w:themeColor="text1"/>
            </w:rPr>
            <w:t>人共计</w:t>
          </w:r>
          <w:r>
            <w:rPr>
              <w:rFonts w:hint="eastAsia"/>
              <w:color w:val="000000" w:themeColor="text1"/>
            </w:rPr>
            <w:t>5</w:t>
          </w:r>
          <w:r>
            <w:rPr>
              <w:color w:val="000000" w:themeColor="text1"/>
            </w:rPr>
            <w:t>8</w:t>
          </w:r>
          <w:r>
            <w:rPr>
              <w:rFonts w:hint="eastAsia"/>
              <w:color w:val="000000" w:themeColor="text1"/>
            </w:rPr>
            <w:t>0</w:t>
          </w:r>
          <w:r>
            <w:rPr>
              <w:color w:val="000000" w:themeColor="text1"/>
            </w:rPr>
            <w:t>,000</w:t>
          </w:r>
          <w:r>
            <w:rPr>
              <w:rFonts w:hint="eastAsia"/>
              <w:color w:val="000000" w:themeColor="text1"/>
            </w:rPr>
            <w:t>股限制性股票，公司有限售条件股增加</w:t>
          </w:r>
          <w:r>
            <w:rPr>
              <w:rFonts w:hint="eastAsia"/>
              <w:color w:val="000000" w:themeColor="text1"/>
            </w:rPr>
            <w:t>5</w:t>
          </w:r>
          <w:r>
            <w:rPr>
              <w:color w:val="000000" w:themeColor="text1"/>
            </w:rPr>
            <w:t>8</w:t>
          </w:r>
          <w:r>
            <w:rPr>
              <w:rFonts w:hint="eastAsia"/>
              <w:color w:val="000000" w:themeColor="text1"/>
            </w:rPr>
            <w:t>0</w:t>
          </w:r>
          <w:r>
            <w:rPr>
              <w:color w:val="000000" w:themeColor="text1"/>
            </w:rPr>
            <w:t>,000</w:t>
          </w:r>
          <w:r>
            <w:rPr>
              <w:rFonts w:hint="eastAsia"/>
              <w:color w:val="000000" w:themeColor="text1"/>
            </w:rPr>
            <w:t>股，无限售条件流通股减少</w:t>
          </w:r>
          <w:r>
            <w:rPr>
              <w:rFonts w:hint="eastAsia"/>
              <w:color w:val="000000" w:themeColor="text1"/>
            </w:rPr>
            <w:t>5</w:t>
          </w:r>
          <w:r>
            <w:rPr>
              <w:color w:val="000000" w:themeColor="text1"/>
            </w:rPr>
            <w:t>8</w:t>
          </w:r>
          <w:r>
            <w:rPr>
              <w:rFonts w:hint="eastAsia"/>
              <w:color w:val="000000" w:themeColor="text1"/>
            </w:rPr>
            <w:t>0</w:t>
          </w:r>
          <w:r>
            <w:rPr>
              <w:color w:val="000000" w:themeColor="text1"/>
            </w:rPr>
            <w:t>,000</w:t>
          </w:r>
          <w:r>
            <w:rPr>
              <w:rFonts w:hint="eastAsia"/>
              <w:color w:val="000000" w:themeColor="text1"/>
            </w:rPr>
            <w:t>股。</w:t>
          </w:r>
        </w:p>
        <w:p w:rsidR="00156DD6" w:rsidRDefault="00D51F5F">
          <w:pPr>
            <w:spacing w:line="360" w:lineRule="exact"/>
            <w:ind w:firstLineChars="200" w:firstLine="420"/>
            <w:jc w:val="both"/>
            <w:rPr>
              <w:color w:val="000000" w:themeColor="text1"/>
            </w:rPr>
          </w:pPr>
          <w:r>
            <w:rPr>
              <w:color w:val="000000" w:themeColor="text1"/>
            </w:rPr>
            <w:t>2025</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2</w:t>
          </w:r>
          <w:r>
            <w:rPr>
              <w:color w:val="000000" w:themeColor="text1"/>
            </w:rPr>
            <w:t>3</w:t>
          </w:r>
          <w:r>
            <w:rPr>
              <w:rFonts w:hint="eastAsia"/>
              <w:color w:val="000000" w:themeColor="text1"/>
            </w:rPr>
            <w:t>日，公司披露了《首次公开发行部分限售股上市流通公告》（公告编号：</w:t>
          </w:r>
          <w:r>
            <w:rPr>
              <w:rFonts w:hint="eastAsia"/>
              <w:color w:val="000000" w:themeColor="text1"/>
            </w:rPr>
            <w:t>2</w:t>
          </w:r>
          <w:r>
            <w:rPr>
              <w:color w:val="000000" w:themeColor="text1"/>
            </w:rPr>
            <w:t>025-017</w:t>
          </w:r>
          <w:r>
            <w:rPr>
              <w:rFonts w:hint="eastAsia"/>
              <w:color w:val="000000" w:themeColor="text1"/>
            </w:rPr>
            <w:t>）。实际控制人杨泽民、秦惠兰、杨秦、杨耀及其一致行动人杨厚群、秦勇、杨小林、隆志钢和皮天彬共</w:t>
          </w:r>
          <w:r>
            <w:rPr>
              <w:color w:val="000000" w:themeColor="text1"/>
            </w:rPr>
            <w:t>9</w:t>
          </w:r>
          <w:r>
            <w:rPr>
              <w:color w:val="000000" w:themeColor="text1"/>
            </w:rPr>
            <w:t>个股东</w:t>
          </w:r>
          <w:r>
            <w:rPr>
              <w:rFonts w:hint="eastAsia"/>
              <w:color w:val="000000" w:themeColor="text1"/>
            </w:rPr>
            <w:t>持有的首次公开发行前股份共计</w:t>
          </w:r>
          <w:r>
            <w:rPr>
              <w:color w:val="000000" w:themeColor="text1"/>
            </w:rPr>
            <w:t>143,911,541</w:t>
          </w:r>
          <w:r>
            <w:rPr>
              <w:color w:val="000000" w:themeColor="text1"/>
            </w:rPr>
            <w:t>股上市流通</w:t>
          </w:r>
          <w:bookmarkStart w:id="127" w:name="OLE_LINK57"/>
          <w:bookmarkStart w:id="128" w:name="OLE_LINK56"/>
          <w:r>
            <w:rPr>
              <w:rFonts w:hint="eastAsia"/>
              <w:color w:val="000000" w:themeColor="text1"/>
            </w:rPr>
            <w:t>，公司有限售条件股减少</w:t>
          </w:r>
          <w:bookmarkStart w:id="129" w:name="OLE_LINK58"/>
          <w:bookmarkStart w:id="130" w:name="OLE_LINK59"/>
          <w:r>
            <w:rPr>
              <w:color w:val="000000" w:themeColor="text1"/>
            </w:rPr>
            <w:t>143,911,541</w:t>
          </w:r>
          <w:bookmarkEnd w:id="129"/>
          <w:bookmarkEnd w:id="130"/>
          <w:r>
            <w:rPr>
              <w:rFonts w:hint="eastAsia"/>
              <w:color w:val="000000" w:themeColor="text1"/>
            </w:rPr>
            <w:t>股，无限售条件流通增加</w:t>
          </w:r>
          <w:r>
            <w:rPr>
              <w:color w:val="000000" w:themeColor="text1"/>
            </w:rPr>
            <w:t>143,911,541</w:t>
          </w:r>
          <w:r>
            <w:rPr>
              <w:rFonts w:hint="eastAsia"/>
              <w:color w:val="000000" w:themeColor="text1"/>
            </w:rPr>
            <w:t>股。</w:t>
          </w:r>
        </w:p>
        <w:p w:rsidR="00156DD6" w:rsidRDefault="00D51F5F">
          <w:pPr>
            <w:spacing w:line="360" w:lineRule="exact"/>
            <w:ind w:firstLineChars="200" w:firstLine="420"/>
            <w:jc w:val="both"/>
            <w:rPr>
              <w:color w:val="000000" w:themeColor="text1"/>
            </w:rPr>
          </w:pPr>
          <w:r>
            <w:rPr>
              <w:rFonts w:hint="eastAsia"/>
              <w:color w:val="000000" w:themeColor="text1"/>
            </w:rPr>
            <w:t>综上，报告期内公司有限售条件股减少</w:t>
          </w:r>
          <w:r>
            <w:t>143,331,541</w:t>
          </w:r>
          <w:r>
            <w:rPr>
              <w:rFonts w:hint="eastAsia"/>
            </w:rPr>
            <w:t>股，</w:t>
          </w:r>
          <w:r>
            <w:rPr>
              <w:rFonts w:hint="eastAsia"/>
              <w:color w:val="000000" w:themeColor="text1"/>
            </w:rPr>
            <w:t>无限售条件流通增加</w:t>
          </w:r>
          <w:r>
            <w:t>143,331,541</w:t>
          </w:r>
          <w:r>
            <w:rPr>
              <w:rFonts w:hint="eastAsia"/>
            </w:rPr>
            <w:t>股。</w:t>
          </w:r>
        </w:p>
      </w:sdtContent>
    </w:sdt>
    <w:bookmarkEnd w:id="127"/>
    <w:bookmarkEnd w:id="128"/>
    <w:p w:rsidR="00156DD6" w:rsidRDefault="00156DD6">
      <w:pPr>
        <w:jc w:val="both"/>
        <w:rPr>
          <w:color w:val="000000" w:themeColor="text1"/>
        </w:rPr>
      </w:pPr>
    </w:p>
    <w:p w:rsidR="00156DD6" w:rsidRDefault="00D51F5F">
      <w:pPr>
        <w:pStyle w:val="4"/>
        <w:numPr>
          <w:ilvl w:val="2"/>
          <w:numId w:val="29"/>
        </w:numPr>
        <w:rPr>
          <w:rFonts w:ascii="宋体" w:hAnsi="宋体"/>
          <w:color w:val="000000" w:themeColor="text1"/>
        </w:rPr>
      </w:pPr>
      <w:r>
        <w:rPr>
          <w:rFonts w:ascii="宋体" w:hAnsi="宋体" w:hint="eastAsia"/>
          <w:color w:val="000000" w:themeColor="text1"/>
        </w:rPr>
        <w:t>报告期后到半年报披露日期间发生股份变动对每股收</w:t>
      </w:r>
      <w:r>
        <w:rPr>
          <w:rFonts w:ascii="宋体" w:hAnsi="宋体" w:hint="eastAsia"/>
          <w:color w:val="000000" w:themeColor="text1"/>
        </w:rPr>
        <w:t>益、每股净资产等财务指标的影响（如有）</w:t>
      </w:r>
    </w:p>
    <w:sdt>
      <w:sdtPr>
        <w:rPr>
          <w:rFonts w:hint="eastAsia"/>
          <w:color w:val="000000" w:themeColor="text1"/>
        </w:rPr>
        <w:alias w:val="是否适用：普通股股份变动对最近一年和最近一期每股收益、每股净资产等财务指标的影响[双击切换]"/>
        <w:tag w:val="_GBC_bb0980f1589b4db8944ca5595f342bfe"/>
        <w:id w:val="-86158202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股份变动对最近一年和最近一期财务指标的影响"/>
        <w:tag w:val="_GBC_357a4417afe34f56bf112d0f65cd7d39"/>
        <w:id w:val="51204769"/>
        <w:placeholder>
          <w:docPart w:val="GBC22222222222222222222222222222"/>
        </w:placeholder>
      </w:sdtPr>
      <w:sdtEndPr/>
      <w:sdtContent>
        <w:p w:rsidR="00156DD6" w:rsidRDefault="00D51F5F">
          <w:pPr>
            <w:spacing w:line="360" w:lineRule="exact"/>
            <w:ind w:firstLineChars="200" w:firstLine="420"/>
            <w:jc w:val="both"/>
            <w:rPr>
              <w:color w:val="000000" w:themeColor="text1"/>
            </w:rPr>
          </w:pPr>
          <w:r>
            <w:rPr>
              <w:rFonts w:hint="eastAsia"/>
              <w:color w:val="000000" w:themeColor="text1"/>
            </w:rPr>
            <w:t>公司于</w:t>
          </w:r>
          <w:r>
            <w:rPr>
              <w:color w:val="000000" w:themeColor="text1"/>
            </w:rPr>
            <w:t>2025</w:t>
          </w:r>
          <w:r>
            <w:rPr>
              <w:color w:val="000000" w:themeColor="text1"/>
            </w:rPr>
            <w:t>年</w:t>
          </w:r>
          <w:r>
            <w:rPr>
              <w:color w:val="000000" w:themeColor="text1"/>
            </w:rPr>
            <w:t>4</w:t>
          </w:r>
          <w:r>
            <w:rPr>
              <w:color w:val="000000" w:themeColor="text1"/>
            </w:rPr>
            <w:t>月</w:t>
          </w:r>
          <w:r>
            <w:rPr>
              <w:color w:val="000000" w:themeColor="text1"/>
            </w:rPr>
            <w:t>24</w:t>
          </w:r>
          <w:r>
            <w:rPr>
              <w:color w:val="000000" w:themeColor="text1"/>
            </w:rPr>
            <w:t>日召开第四届董事会第十二次会议和第四届监事会第十一次会议，审议通过了《关于</w:t>
          </w:r>
          <w:r>
            <w:rPr>
              <w:color w:val="000000" w:themeColor="text1"/>
            </w:rPr>
            <w:t>2024</w:t>
          </w:r>
          <w:r>
            <w:rPr>
              <w:color w:val="000000" w:themeColor="text1"/>
            </w:rPr>
            <w:t>年限制性股票激励计划首次授予部分第一个解除限售期解除限售条件未成就暨回购注销部分限制性股票并调整回购价格的议案》。根据公司《</w:t>
          </w:r>
          <w:r>
            <w:rPr>
              <w:color w:val="000000" w:themeColor="text1"/>
            </w:rPr>
            <w:t>2024</w:t>
          </w:r>
          <w:r>
            <w:rPr>
              <w:color w:val="000000" w:themeColor="text1"/>
            </w:rPr>
            <w:t>年股权激励计划》及《关于</w:t>
          </w:r>
          <w:r>
            <w:rPr>
              <w:color w:val="000000" w:themeColor="text1"/>
            </w:rPr>
            <w:t>2024</w:t>
          </w:r>
          <w:r>
            <w:rPr>
              <w:color w:val="000000" w:themeColor="text1"/>
            </w:rPr>
            <w:t>年限制性股票激励计划首次授予结果公告》，因公司层面业绩考核不达标，回购注销首次授予</w:t>
          </w:r>
          <w:r>
            <w:rPr>
              <w:color w:val="000000" w:themeColor="text1"/>
            </w:rPr>
            <w:t>57</w:t>
          </w:r>
          <w:r>
            <w:rPr>
              <w:color w:val="000000" w:themeColor="text1"/>
            </w:rPr>
            <w:t>名激励对象持有的第一期限售股</w:t>
          </w:r>
          <w:r>
            <w:rPr>
              <w:color w:val="000000" w:themeColor="text1"/>
            </w:rPr>
            <w:t>765,000</w:t>
          </w:r>
          <w:r>
            <w:rPr>
              <w:color w:val="000000" w:themeColor="text1"/>
            </w:rPr>
            <w:t>股。同时，对首次授予的</w:t>
          </w:r>
          <w:r>
            <w:rPr>
              <w:color w:val="000000" w:themeColor="text1"/>
            </w:rPr>
            <w:t>2</w:t>
          </w:r>
          <w:r>
            <w:rPr>
              <w:color w:val="000000" w:themeColor="text1"/>
            </w:rPr>
            <w:t>名已离职激励对象持有的已获授但尚未解除限售的第二期和第三期限制性股票</w:t>
          </w:r>
          <w:r>
            <w:rPr>
              <w:color w:val="000000" w:themeColor="text1"/>
            </w:rPr>
            <w:t>49,000</w:t>
          </w:r>
          <w:r>
            <w:rPr>
              <w:color w:val="000000" w:themeColor="text1"/>
            </w:rPr>
            <w:t>股进行全部</w:t>
          </w:r>
          <w:r>
            <w:rPr>
              <w:rFonts w:hint="eastAsia"/>
              <w:color w:val="000000" w:themeColor="text1"/>
            </w:rPr>
            <w:t>回购注</w:t>
          </w:r>
          <w:r>
            <w:rPr>
              <w:rFonts w:hint="eastAsia"/>
              <w:color w:val="000000" w:themeColor="text1"/>
            </w:rPr>
            <w:t>销。综上，本次回购注销涉及</w:t>
          </w:r>
          <w:r>
            <w:rPr>
              <w:color w:val="000000" w:themeColor="text1"/>
            </w:rPr>
            <w:t xml:space="preserve"> 57 </w:t>
          </w:r>
          <w:r>
            <w:rPr>
              <w:color w:val="000000" w:themeColor="text1"/>
            </w:rPr>
            <w:t>人共计</w:t>
          </w:r>
          <w:r>
            <w:rPr>
              <w:color w:val="000000" w:themeColor="text1"/>
            </w:rPr>
            <w:t xml:space="preserve"> 814,000 </w:t>
          </w:r>
          <w:r>
            <w:rPr>
              <w:color w:val="000000" w:themeColor="text1"/>
            </w:rPr>
            <w:t>股限售股。经向中国证券登记结算有限责任公司上海分公司确认，本次部分回购股份注销事宜已于</w:t>
          </w:r>
          <w:r>
            <w:rPr>
              <w:color w:val="000000" w:themeColor="text1"/>
            </w:rPr>
            <w:t>2025</w:t>
          </w:r>
          <w:r>
            <w:rPr>
              <w:color w:val="000000" w:themeColor="text1"/>
            </w:rPr>
            <w:t>年</w:t>
          </w:r>
          <w:r>
            <w:rPr>
              <w:color w:val="000000" w:themeColor="text1"/>
            </w:rPr>
            <w:t>7</w:t>
          </w:r>
          <w:r>
            <w:rPr>
              <w:color w:val="000000" w:themeColor="text1"/>
            </w:rPr>
            <w:t>月</w:t>
          </w:r>
          <w:r>
            <w:rPr>
              <w:color w:val="000000" w:themeColor="text1"/>
            </w:rPr>
            <w:t>15</w:t>
          </w:r>
          <w:r>
            <w:rPr>
              <w:color w:val="000000" w:themeColor="text1"/>
            </w:rPr>
            <w:t>日办理完成，公司总股本由</w:t>
          </w:r>
          <w:r>
            <w:rPr>
              <w:color w:val="000000" w:themeColor="text1"/>
            </w:rPr>
            <w:t>333,167,407</w:t>
          </w:r>
          <w:r>
            <w:rPr>
              <w:color w:val="000000" w:themeColor="text1"/>
            </w:rPr>
            <w:t>股变更为</w:t>
          </w:r>
          <w:r>
            <w:rPr>
              <w:color w:val="000000" w:themeColor="text1"/>
            </w:rPr>
            <w:t>332,353,407</w:t>
          </w:r>
          <w:r>
            <w:rPr>
              <w:color w:val="000000" w:themeColor="text1"/>
            </w:rPr>
            <w:t>股。本次股份变动，对报告期后到半年报披露日期间的每股收益、每股净资产未产生重大影响。</w:t>
          </w:r>
        </w:p>
      </w:sdtContent>
    </w:sdt>
    <w:p w:rsidR="00156DD6" w:rsidRDefault="00156DD6">
      <w:pPr>
        <w:rPr>
          <w:color w:val="000000" w:themeColor="text1"/>
        </w:rPr>
      </w:pPr>
    </w:p>
    <w:p w:rsidR="00156DD6" w:rsidRDefault="00D51F5F">
      <w:pPr>
        <w:pStyle w:val="4"/>
        <w:numPr>
          <w:ilvl w:val="2"/>
          <w:numId w:val="29"/>
        </w:numPr>
        <w:rPr>
          <w:rFonts w:ascii="宋体" w:hAnsi="宋体"/>
          <w:color w:val="000000" w:themeColor="text1"/>
        </w:rPr>
      </w:pPr>
      <w:r>
        <w:rPr>
          <w:rFonts w:ascii="宋体" w:hAnsi="宋体" w:hint="eastAsia"/>
          <w:color w:val="000000" w:themeColor="text1"/>
        </w:rPr>
        <w:t>公司认为必要或证券监管机构要求披露的其他内容</w:t>
      </w:r>
    </w:p>
    <w:sdt>
      <w:sdtPr>
        <w:rPr>
          <w:color w:val="000000" w:themeColor="text1"/>
        </w:rPr>
        <w:alias w:val="是否适用：公司认为必要或证券监管机构要求披露的其他内容[双击切换]"/>
        <w:tag w:val="_GBC_7554eed1e25047d282437f24056d532b"/>
        <w:id w:val="122024999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w:instrText>
          </w:r>
          <w:r>
            <w:rPr>
              <w:color w:val="000000" w:themeColor="text1"/>
            </w:rPr>
            <w:instrText>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D51F5F">
      <w:pPr>
        <w:pStyle w:val="3"/>
        <w:numPr>
          <w:ilvl w:val="1"/>
          <w:numId w:val="28"/>
        </w:numPr>
        <w:rPr>
          <w:rFonts w:ascii="宋体" w:hAnsi="宋体"/>
          <w:color w:val="000000" w:themeColor="text1"/>
        </w:rPr>
      </w:pPr>
      <w:r>
        <w:rPr>
          <w:rFonts w:ascii="宋体" w:hAnsi="宋体" w:hint="eastAsia"/>
          <w:color w:val="000000" w:themeColor="text1"/>
        </w:rPr>
        <w:t>限售股份变动情况</w:t>
      </w:r>
    </w:p>
    <w:sdt>
      <w:sdtPr>
        <w:rPr>
          <w:color w:val="000000" w:themeColor="text1"/>
        </w:rPr>
        <w:alias w:val="是否适用：限售股份变动情况表[双击切换]"/>
        <w:tag w:val="_GBC_6f5978a50e224b6aa94189436cdee711"/>
        <w:id w:val="-18571103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r>
        <w:rPr>
          <w:rFonts w:hint="eastAsia"/>
          <w:color w:val="000000" w:themeColor="text1"/>
        </w:rPr>
        <w:t xml:space="preserve"> </w:t>
      </w:r>
      <w:sdt>
        <w:sdtPr>
          <w:rPr>
            <w:rFonts w:hint="eastAsia"/>
            <w:color w:val="000000" w:themeColor="text1"/>
          </w:rPr>
          <w:alias w:val="单位：限售股份变动情况表"/>
          <w:tag w:val="_GBC_bc29b2c9162c4de0949e481db63b6d68"/>
          <w:id w:val="1282229879"/>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color w:val="000000" w:themeColor="text1"/>
            </w:rPr>
            <w:t>股</w:t>
          </w:r>
        </w:sdtContent>
      </w:sdt>
    </w:p>
    <w:tbl>
      <w:tblPr>
        <w:tblStyle w:val="af5"/>
        <w:tblW w:w="0" w:type="auto"/>
        <w:tblLook w:val="04A0" w:firstRow="1" w:lastRow="0" w:firstColumn="1" w:lastColumn="0" w:noHBand="0" w:noVBand="1"/>
      </w:tblPr>
      <w:tblGrid>
        <w:gridCol w:w="1258"/>
        <w:gridCol w:w="1248"/>
        <w:gridCol w:w="1248"/>
        <w:gridCol w:w="1273"/>
        <w:gridCol w:w="1273"/>
        <w:gridCol w:w="1257"/>
        <w:gridCol w:w="1266"/>
      </w:tblGrid>
      <w:tr w:rsidR="00156DD6">
        <w:sdt>
          <w:sdtPr>
            <w:tag w:val="_PLD_8d75aaa1e1a6469c8b8d62739512a0d7"/>
            <w:id w:val="-1490945912"/>
          </w:sdtPr>
          <w:sdtEndPr/>
          <w:sdtContent>
            <w:tc>
              <w:tcPr>
                <w:tcW w:w="1258" w:type="dxa"/>
                <w:vAlign w:val="center"/>
              </w:tcPr>
              <w:p w:rsidR="00156DD6" w:rsidRDefault="00D51F5F">
                <w:pPr>
                  <w:jc w:val="center"/>
                  <w:rPr>
                    <w:color w:val="000000" w:themeColor="text1"/>
                  </w:rPr>
                </w:pPr>
                <w:r>
                  <w:rPr>
                    <w:color w:val="000000" w:themeColor="text1"/>
                  </w:rPr>
                  <w:t>股东名称</w:t>
                </w:r>
              </w:p>
            </w:tc>
          </w:sdtContent>
        </w:sdt>
        <w:sdt>
          <w:sdtPr>
            <w:tag w:val="_PLD_3634bb194c734c2696ff13517825df21"/>
            <w:id w:val="-724840113"/>
          </w:sdtPr>
          <w:sdtEndPr/>
          <w:sdtContent>
            <w:tc>
              <w:tcPr>
                <w:tcW w:w="1248" w:type="dxa"/>
                <w:vAlign w:val="center"/>
              </w:tcPr>
              <w:p w:rsidR="00156DD6" w:rsidRDefault="00D51F5F">
                <w:pPr>
                  <w:jc w:val="center"/>
                  <w:rPr>
                    <w:color w:val="000000" w:themeColor="text1"/>
                  </w:rPr>
                </w:pPr>
                <w:r>
                  <w:rPr>
                    <w:color w:val="000000" w:themeColor="text1"/>
                  </w:rPr>
                  <w:t>期初限售股数</w:t>
                </w:r>
              </w:p>
            </w:tc>
          </w:sdtContent>
        </w:sdt>
        <w:sdt>
          <w:sdtPr>
            <w:tag w:val="_PLD_4755ca33c9824685a97cc3f88e193f67"/>
            <w:id w:val="633295601"/>
          </w:sdtPr>
          <w:sdtEndPr/>
          <w:sdtContent>
            <w:tc>
              <w:tcPr>
                <w:tcW w:w="1248" w:type="dxa"/>
                <w:vAlign w:val="center"/>
              </w:tcPr>
              <w:p w:rsidR="00156DD6" w:rsidRDefault="00D51F5F">
                <w:pPr>
                  <w:jc w:val="center"/>
                  <w:rPr>
                    <w:color w:val="000000" w:themeColor="text1"/>
                  </w:rPr>
                </w:pPr>
                <w:r>
                  <w:rPr>
                    <w:color w:val="000000" w:themeColor="text1"/>
                  </w:rPr>
                  <w:t>报告期解除限售股数</w:t>
                </w:r>
              </w:p>
            </w:tc>
          </w:sdtContent>
        </w:sdt>
        <w:sdt>
          <w:sdtPr>
            <w:tag w:val="_PLD_49473502339e4181be770f8a2d8de8a4"/>
            <w:id w:val="1120499871"/>
          </w:sdtPr>
          <w:sdtEndPr/>
          <w:sdtContent>
            <w:tc>
              <w:tcPr>
                <w:tcW w:w="1273" w:type="dxa"/>
                <w:vAlign w:val="center"/>
              </w:tcPr>
              <w:p w:rsidR="00156DD6" w:rsidRDefault="00D51F5F">
                <w:pPr>
                  <w:jc w:val="center"/>
                  <w:rPr>
                    <w:color w:val="000000" w:themeColor="text1"/>
                  </w:rPr>
                </w:pPr>
                <w:r>
                  <w:rPr>
                    <w:color w:val="000000" w:themeColor="text1"/>
                  </w:rPr>
                  <w:t>报告期增加限售股数</w:t>
                </w:r>
              </w:p>
            </w:tc>
          </w:sdtContent>
        </w:sdt>
        <w:sdt>
          <w:sdtPr>
            <w:tag w:val="_PLD_c697098ebce54cc48717d1ac0dbb84dd"/>
            <w:id w:val="-744645075"/>
          </w:sdtPr>
          <w:sdtEndPr/>
          <w:sdtContent>
            <w:tc>
              <w:tcPr>
                <w:tcW w:w="1273" w:type="dxa"/>
                <w:vAlign w:val="center"/>
              </w:tcPr>
              <w:p w:rsidR="00156DD6" w:rsidRDefault="00D51F5F">
                <w:pPr>
                  <w:jc w:val="center"/>
                  <w:rPr>
                    <w:color w:val="000000" w:themeColor="text1"/>
                  </w:rPr>
                </w:pPr>
                <w:r>
                  <w:rPr>
                    <w:color w:val="000000" w:themeColor="text1"/>
                  </w:rPr>
                  <w:t>报告期末限售股数</w:t>
                </w:r>
              </w:p>
            </w:tc>
          </w:sdtContent>
        </w:sdt>
        <w:sdt>
          <w:sdtPr>
            <w:tag w:val="_PLD_d0290f9781f3416fbffc73a7286c9b99"/>
            <w:id w:val="-2077266156"/>
          </w:sdtPr>
          <w:sdtEndPr/>
          <w:sdtContent>
            <w:tc>
              <w:tcPr>
                <w:tcW w:w="1257" w:type="dxa"/>
                <w:vAlign w:val="center"/>
              </w:tcPr>
              <w:p w:rsidR="00156DD6" w:rsidRDefault="00D51F5F">
                <w:pPr>
                  <w:jc w:val="center"/>
                  <w:rPr>
                    <w:color w:val="000000" w:themeColor="text1"/>
                  </w:rPr>
                </w:pPr>
                <w:r>
                  <w:rPr>
                    <w:color w:val="000000" w:themeColor="text1"/>
                  </w:rPr>
                  <w:t>限售原因</w:t>
                </w:r>
              </w:p>
            </w:tc>
          </w:sdtContent>
        </w:sdt>
        <w:sdt>
          <w:sdtPr>
            <w:tag w:val="_PLD_a14912db8c344a3b8e5608678863e824"/>
            <w:id w:val="-1146898354"/>
          </w:sdtPr>
          <w:sdtEndPr/>
          <w:sdtContent>
            <w:tc>
              <w:tcPr>
                <w:tcW w:w="1266" w:type="dxa"/>
                <w:vAlign w:val="center"/>
              </w:tcPr>
              <w:p w:rsidR="00156DD6" w:rsidRDefault="00D51F5F">
                <w:pPr>
                  <w:jc w:val="center"/>
                  <w:rPr>
                    <w:color w:val="000000" w:themeColor="text1"/>
                  </w:rPr>
                </w:pPr>
                <w:r>
                  <w:rPr>
                    <w:color w:val="000000" w:themeColor="text1"/>
                  </w:rPr>
                  <w:t>解除限售日期</w:t>
                </w:r>
              </w:p>
            </w:tc>
          </w:sdtContent>
        </w:sdt>
      </w:tr>
      <w:tr w:rsidR="00156DD6">
        <w:tc>
          <w:tcPr>
            <w:tcW w:w="1258" w:type="dxa"/>
          </w:tcPr>
          <w:p w:rsidR="00156DD6" w:rsidRDefault="00D51F5F">
            <w:r>
              <w:rPr>
                <w:rFonts w:hint="eastAsia"/>
              </w:rPr>
              <w:t>公司</w:t>
            </w:r>
            <w:r>
              <w:rPr>
                <w:rFonts w:hint="eastAsia"/>
              </w:rPr>
              <w:t>2024</w:t>
            </w:r>
            <w:r>
              <w:rPr>
                <w:rFonts w:hint="eastAsia"/>
              </w:rPr>
              <w:t>年度限制性股票激励计划预留授予</w:t>
            </w:r>
            <w:r>
              <w:rPr>
                <w:rFonts w:hint="eastAsia"/>
              </w:rPr>
              <w:t>57</w:t>
            </w:r>
            <w:r>
              <w:rPr>
                <w:rFonts w:hint="eastAsia"/>
              </w:rPr>
              <w:t>名激励对象</w:t>
            </w:r>
          </w:p>
        </w:tc>
        <w:tc>
          <w:tcPr>
            <w:tcW w:w="1248" w:type="dxa"/>
            <w:vAlign w:val="center"/>
          </w:tcPr>
          <w:p w:rsidR="00156DD6" w:rsidRDefault="00D51F5F">
            <w:pPr>
              <w:jc w:val="right"/>
            </w:pPr>
            <w:r>
              <w:rPr>
                <w:rFonts w:hint="eastAsia"/>
              </w:rPr>
              <w:t>0</w:t>
            </w:r>
          </w:p>
        </w:tc>
        <w:tc>
          <w:tcPr>
            <w:tcW w:w="1248" w:type="dxa"/>
            <w:vAlign w:val="center"/>
          </w:tcPr>
          <w:p w:rsidR="00156DD6" w:rsidRDefault="00D51F5F">
            <w:pPr>
              <w:jc w:val="right"/>
            </w:pPr>
            <w:r>
              <w:rPr>
                <w:rFonts w:hint="eastAsia"/>
              </w:rPr>
              <w:t>0</w:t>
            </w:r>
          </w:p>
        </w:tc>
        <w:tc>
          <w:tcPr>
            <w:tcW w:w="1273" w:type="dxa"/>
            <w:vAlign w:val="center"/>
          </w:tcPr>
          <w:p w:rsidR="00156DD6" w:rsidRDefault="00D51F5F">
            <w:pPr>
              <w:jc w:val="right"/>
            </w:pPr>
            <w:r>
              <w:t>580,000</w:t>
            </w:r>
          </w:p>
        </w:tc>
        <w:tc>
          <w:tcPr>
            <w:tcW w:w="1273" w:type="dxa"/>
            <w:vAlign w:val="center"/>
          </w:tcPr>
          <w:p w:rsidR="00156DD6" w:rsidRDefault="00D51F5F">
            <w:pPr>
              <w:jc w:val="right"/>
            </w:pPr>
            <w:r>
              <w:t>580,000</w:t>
            </w:r>
          </w:p>
        </w:tc>
        <w:tc>
          <w:tcPr>
            <w:tcW w:w="1257" w:type="dxa"/>
            <w:vAlign w:val="center"/>
          </w:tcPr>
          <w:p w:rsidR="00156DD6" w:rsidRDefault="00D51F5F">
            <w:pPr>
              <w:jc w:val="center"/>
            </w:pPr>
            <w:r>
              <w:rPr>
                <w:rFonts w:hint="eastAsia"/>
                <w:sz w:val="18"/>
                <w:szCs w:val="18"/>
              </w:rPr>
              <w:t>2024</w:t>
            </w:r>
            <w:r>
              <w:rPr>
                <w:rFonts w:hint="eastAsia"/>
                <w:sz w:val="18"/>
                <w:szCs w:val="18"/>
              </w:rPr>
              <w:t>年限制性股票激励计划预留授予</w:t>
            </w:r>
          </w:p>
          <w:p w:rsidR="00156DD6" w:rsidRDefault="00156DD6">
            <w:pPr>
              <w:jc w:val="center"/>
            </w:pPr>
          </w:p>
        </w:tc>
        <w:tc>
          <w:tcPr>
            <w:tcW w:w="1266" w:type="dxa"/>
            <w:vAlign w:val="center"/>
          </w:tcPr>
          <w:p w:rsidR="00156DD6" w:rsidRDefault="00D51F5F">
            <w:pPr>
              <w:jc w:val="center"/>
            </w:pPr>
            <w:r>
              <w:rPr>
                <w:rFonts w:hint="eastAsia"/>
                <w:sz w:val="18"/>
                <w:szCs w:val="18"/>
              </w:rPr>
              <w:t>根据《</w:t>
            </w:r>
            <w:r>
              <w:rPr>
                <w:rFonts w:hint="eastAsia"/>
                <w:sz w:val="18"/>
                <w:szCs w:val="18"/>
              </w:rPr>
              <w:t>2024</w:t>
            </w:r>
            <w:r>
              <w:rPr>
                <w:rFonts w:hint="eastAsia"/>
                <w:sz w:val="18"/>
                <w:szCs w:val="18"/>
              </w:rPr>
              <w:t>年限制性股票激励计划》相关规定分批解除限售</w:t>
            </w:r>
          </w:p>
          <w:p w:rsidR="00156DD6" w:rsidRDefault="00156DD6">
            <w:pPr>
              <w:jc w:val="center"/>
            </w:pPr>
          </w:p>
        </w:tc>
      </w:tr>
      <w:tr w:rsidR="00156DD6">
        <w:tc>
          <w:tcPr>
            <w:tcW w:w="1258" w:type="dxa"/>
          </w:tcPr>
          <w:p w:rsidR="00156DD6" w:rsidRDefault="00D51F5F">
            <w:pPr>
              <w:rPr>
                <w:color w:val="000000" w:themeColor="text1"/>
              </w:rPr>
            </w:pPr>
            <w:r>
              <w:rPr>
                <w:color w:val="000000" w:themeColor="text1"/>
              </w:rPr>
              <w:t>合计</w:t>
            </w:r>
          </w:p>
        </w:tc>
        <w:tc>
          <w:tcPr>
            <w:tcW w:w="1248" w:type="dxa"/>
            <w:vAlign w:val="center"/>
          </w:tcPr>
          <w:p w:rsidR="00156DD6" w:rsidRDefault="00D51F5F">
            <w:pPr>
              <w:jc w:val="right"/>
            </w:pPr>
            <w:r>
              <w:rPr>
                <w:rFonts w:hint="eastAsia"/>
              </w:rPr>
              <w:t>0</w:t>
            </w:r>
          </w:p>
        </w:tc>
        <w:tc>
          <w:tcPr>
            <w:tcW w:w="1248" w:type="dxa"/>
            <w:vAlign w:val="center"/>
          </w:tcPr>
          <w:p w:rsidR="00156DD6" w:rsidRDefault="00D51F5F">
            <w:pPr>
              <w:jc w:val="right"/>
            </w:pPr>
            <w:r>
              <w:rPr>
                <w:rFonts w:hint="eastAsia"/>
              </w:rPr>
              <w:t>0</w:t>
            </w:r>
          </w:p>
        </w:tc>
        <w:tc>
          <w:tcPr>
            <w:tcW w:w="1273" w:type="dxa"/>
            <w:vAlign w:val="center"/>
          </w:tcPr>
          <w:p w:rsidR="00156DD6" w:rsidRDefault="00D51F5F">
            <w:pPr>
              <w:jc w:val="right"/>
            </w:pPr>
            <w:r>
              <w:t>580,000</w:t>
            </w:r>
          </w:p>
        </w:tc>
        <w:tc>
          <w:tcPr>
            <w:tcW w:w="1273" w:type="dxa"/>
            <w:vAlign w:val="center"/>
          </w:tcPr>
          <w:p w:rsidR="00156DD6" w:rsidRDefault="00D51F5F">
            <w:pPr>
              <w:jc w:val="right"/>
            </w:pPr>
            <w:r>
              <w:t>580,000</w:t>
            </w:r>
          </w:p>
        </w:tc>
        <w:tc>
          <w:tcPr>
            <w:tcW w:w="1257" w:type="dxa"/>
          </w:tcPr>
          <w:p w:rsidR="00156DD6" w:rsidRDefault="00D51F5F">
            <w:pPr>
              <w:jc w:val="center"/>
              <w:rPr>
                <w:color w:val="000000" w:themeColor="text1"/>
              </w:rPr>
            </w:pPr>
            <w:r>
              <w:rPr>
                <w:rFonts w:hint="eastAsia"/>
                <w:color w:val="000000" w:themeColor="text1"/>
              </w:rPr>
              <w:t>/</w:t>
            </w:r>
          </w:p>
        </w:tc>
        <w:tc>
          <w:tcPr>
            <w:tcW w:w="1266" w:type="dxa"/>
          </w:tcPr>
          <w:p w:rsidR="00156DD6" w:rsidRDefault="00D51F5F">
            <w:pPr>
              <w:jc w:val="center"/>
              <w:rPr>
                <w:color w:val="000000" w:themeColor="text1"/>
              </w:rPr>
            </w:pPr>
            <w:r>
              <w:rPr>
                <w:rFonts w:hint="eastAsia"/>
                <w:color w:val="000000" w:themeColor="text1"/>
              </w:rPr>
              <w:t>/</w:t>
            </w:r>
          </w:p>
        </w:tc>
      </w:tr>
    </w:tbl>
    <w:p w:rsidR="00156DD6" w:rsidRDefault="00156DD6">
      <w:pPr>
        <w:rPr>
          <w:color w:val="000000" w:themeColor="text1"/>
        </w:rPr>
      </w:pPr>
    </w:p>
    <w:p w:rsidR="00156DD6" w:rsidRDefault="00D51F5F">
      <w:pPr>
        <w:pStyle w:val="2"/>
        <w:numPr>
          <w:ilvl w:val="0"/>
          <w:numId w:val="27"/>
        </w:numPr>
        <w:spacing w:line="360" w:lineRule="auto"/>
        <w:ind w:left="422" w:hanging="422"/>
        <w:rPr>
          <w:rFonts w:ascii="宋体" w:hAnsi="宋体"/>
          <w:color w:val="000000" w:themeColor="text1"/>
        </w:rPr>
      </w:pPr>
      <w:r>
        <w:rPr>
          <w:rFonts w:ascii="宋体" w:hAnsi="宋体"/>
          <w:color w:val="000000" w:themeColor="text1"/>
        </w:rPr>
        <w:t>股东情况</w:t>
      </w:r>
      <w:bookmarkEnd w:id="122"/>
      <w:bookmarkEnd w:id="123"/>
    </w:p>
    <w:p w:rsidR="00156DD6" w:rsidRDefault="00D51F5F">
      <w:pPr>
        <w:pStyle w:val="3"/>
        <w:numPr>
          <w:ilvl w:val="1"/>
          <w:numId w:val="30"/>
        </w:numPr>
        <w:rPr>
          <w:rFonts w:ascii="宋体" w:hAnsi="宋体"/>
          <w:color w:val="000000" w:themeColor="text1"/>
        </w:rPr>
      </w:pPr>
      <w:r>
        <w:rPr>
          <w:rFonts w:ascii="宋体" w:hAnsi="宋体"/>
          <w:color w:val="000000" w:themeColor="text1"/>
        </w:rPr>
        <w:t>股东总数：</w:t>
      </w:r>
    </w:p>
    <w:tbl>
      <w:tblPr>
        <w:tblStyle w:val="af5"/>
        <w:tblW w:w="0" w:type="auto"/>
        <w:tblLook w:val="04A0" w:firstRow="1" w:lastRow="0" w:firstColumn="1" w:lastColumn="0" w:noHBand="0" w:noVBand="1"/>
      </w:tblPr>
      <w:tblGrid>
        <w:gridCol w:w="4941"/>
        <w:gridCol w:w="3882"/>
      </w:tblGrid>
      <w:tr w:rsidR="00156DD6">
        <w:sdt>
          <w:sdtPr>
            <w:tag w:val="_PLD_9206d6884981495295105158630a6172"/>
            <w:id w:val="-84461111"/>
          </w:sdtPr>
          <w:sdtEndPr/>
          <w:sdtContent>
            <w:tc>
              <w:tcPr>
                <w:tcW w:w="5070" w:type="dxa"/>
              </w:tcPr>
              <w:p w:rsidR="00156DD6" w:rsidRDefault="00D51F5F">
                <w:pPr>
                  <w:rPr>
                    <w:color w:val="000000" w:themeColor="text1"/>
                  </w:rPr>
                </w:pPr>
                <w:r>
                  <w:rPr>
                    <w:color w:val="000000" w:themeColor="text1"/>
                  </w:rPr>
                  <w:t>截至报告期末</w:t>
                </w:r>
                <w:r>
                  <w:rPr>
                    <w:rFonts w:hint="eastAsia"/>
                    <w:color w:val="000000" w:themeColor="text1"/>
                  </w:rPr>
                  <w:t>普通股</w:t>
                </w:r>
                <w:r>
                  <w:rPr>
                    <w:color w:val="000000" w:themeColor="text1"/>
                  </w:rPr>
                  <w:t>股东总数</w:t>
                </w:r>
                <w:r>
                  <w:rPr>
                    <w:color w:val="000000" w:themeColor="text1"/>
                  </w:rPr>
                  <w:t>(</w:t>
                </w:r>
                <w:r>
                  <w:rPr>
                    <w:color w:val="000000" w:themeColor="text1"/>
                  </w:rPr>
                  <w:t>户</w:t>
                </w:r>
                <w:r>
                  <w:rPr>
                    <w:color w:val="000000" w:themeColor="text1"/>
                  </w:rPr>
                  <w:t>)</w:t>
                </w:r>
              </w:p>
            </w:tc>
          </w:sdtContent>
        </w:sdt>
        <w:sdt>
          <w:sdtPr>
            <w:rPr>
              <w:color w:val="000000" w:themeColor="text1"/>
            </w:rPr>
            <w:alias w:val="报告期末股东总数"/>
            <w:tag w:val="_GBC_9fd402ec66014f4e9716c7fdb0286bd2"/>
            <w:id w:val="884615097"/>
          </w:sdtPr>
          <w:sdtEndPr/>
          <w:sdtContent>
            <w:tc>
              <w:tcPr>
                <w:tcW w:w="3978" w:type="dxa"/>
              </w:tcPr>
              <w:p w:rsidR="00156DD6" w:rsidRDefault="00D51F5F">
                <w:pPr>
                  <w:jc w:val="right"/>
                  <w:rPr>
                    <w:color w:val="000000" w:themeColor="text1"/>
                  </w:rPr>
                </w:pPr>
                <w:r>
                  <w:rPr>
                    <w:color w:val="000000" w:themeColor="text1"/>
                  </w:rPr>
                  <w:t>27,838</w:t>
                </w:r>
              </w:p>
            </w:tc>
          </w:sdtContent>
        </w:sdt>
      </w:tr>
      <w:tr w:rsidR="00156DD6">
        <w:tc>
          <w:tcPr>
            <w:tcW w:w="5070" w:type="dxa"/>
          </w:tcPr>
          <w:p w:rsidR="00156DD6" w:rsidRDefault="00D51F5F">
            <w:pPr>
              <w:rPr>
                <w:color w:val="000000" w:themeColor="text1"/>
              </w:rPr>
            </w:pPr>
            <w:r>
              <w:rPr>
                <w:rFonts w:hint="eastAsia"/>
                <w:color w:val="000000" w:themeColor="text1"/>
              </w:rPr>
              <w:t>截至报告期末表决权恢复的优先股股东总数（户）</w:t>
            </w:r>
          </w:p>
        </w:tc>
        <w:tc>
          <w:tcPr>
            <w:tcW w:w="3978" w:type="dxa"/>
          </w:tcPr>
          <w:p w:rsidR="00156DD6" w:rsidRDefault="00D51F5F">
            <w:pPr>
              <w:jc w:val="right"/>
            </w:pPr>
            <w:r>
              <w:rPr>
                <w:rFonts w:hint="eastAsia"/>
              </w:rPr>
              <w:t>0</w:t>
            </w:r>
          </w:p>
        </w:tc>
      </w:tr>
    </w:tbl>
    <w:p w:rsidR="00156DD6" w:rsidRDefault="00156DD6">
      <w:pPr>
        <w:rPr>
          <w:color w:val="000000" w:themeColor="text1"/>
        </w:rPr>
      </w:pPr>
    </w:p>
    <w:p w:rsidR="00156DD6" w:rsidRDefault="00D51F5F">
      <w:pPr>
        <w:pStyle w:val="3"/>
        <w:numPr>
          <w:ilvl w:val="1"/>
          <w:numId w:val="30"/>
        </w:numPr>
        <w:rPr>
          <w:rFonts w:ascii="宋体" w:hAnsi="宋体"/>
          <w:color w:val="000000" w:themeColor="text1"/>
        </w:rPr>
      </w:pPr>
      <w:r>
        <w:rPr>
          <w:rFonts w:ascii="宋体" w:hAnsi="宋体"/>
          <w:color w:val="000000" w:themeColor="text1"/>
        </w:rPr>
        <w:t>截至报告期末前十名股东、前十名流通股东（或无限售条件股东）持股情况表</w:t>
      </w:r>
    </w:p>
    <w:p w:rsidR="00156DD6" w:rsidRDefault="00D51F5F">
      <w:pPr>
        <w:jc w:val="right"/>
        <w:rPr>
          <w:color w:val="000000" w:themeColor="text1"/>
        </w:rPr>
      </w:pPr>
      <w:r>
        <w:rPr>
          <w:color w:val="000000" w:themeColor="text1"/>
        </w:rPr>
        <w:t>单位：</w:t>
      </w:r>
      <w:sdt>
        <w:sdtPr>
          <w:rPr>
            <w:bCs w:val="0"/>
            <w:color w:val="000000" w:themeColor="text1"/>
          </w:rPr>
          <w:alias w:val="单位：前十名股东持股情况"/>
          <w:tag w:val="_GBC_9d020b31dcb449c980ed0856cf6dae82"/>
          <w:id w:val="584886257"/>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val="0"/>
              <w:color w:val="000000" w:themeColor="text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266"/>
        <w:gridCol w:w="1291"/>
        <w:gridCol w:w="741"/>
        <w:gridCol w:w="781"/>
        <w:gridCol w:w="1387"/>
        <w:gridCol w:w="309"/>
        <w:gridCol w:w="318"/>
        <w:gridCol w:w="1564"/>
      </w:tblGrid>
      <w:tr w:rsidR="00156DD6">
        <w:trPr>
          <w:cantSplit/>
        </w:trPr>
        <w:sdt>
          <w:sdtPr>
            <w:tag w:val="_PLD_3038da138bad4905b589aeba821a8575"/>
            <w:id w:val="998003291"/>
          </w:sdtPr>
          <w:sdtEndPr/>
          <w:sdtContent>
            <w:tc>
              <w:tcPr>
                <w:tcW w:w="0" w:type="auto"/>
                <w:gridSpan w:val="9"/>
                <w:vAlign w:val="center"/>
              </w:tcPr>
              <w:p w:rsidR="00156DD6" w:rsidRDefault="00D51F5F">
                <w:pPr>
                  <w:pStyle w:val="a8"/>
                  <w:jc w:val="center"/>
                  <w:rPr>
                    <w:rFonts w:ascii="宋体" w:hAnsi="宋体"/>
                    <w:color w:val="000000" w:themeColor="text1"/>
                  </w:rPr>
                </w:pPr>
                <w:r>
                  <w:rPr>
                    <w:rFonts w:ascii="宋体" w:hAnsi="宋体"/>
                    <w:color w:val="000000" w:themeColor="text1"/>
                  </w:rPr>
                  <w:t>前十名股东持股情况</w:t>
                </w:r>
                <w:r>
                  <w:rPr>
                    <w:rFonts w:ascii="宋体" w:hAnsi="宋体" w:hint="eastAsia"/>
                    <w:color w:val="000000" w:themeColor="text1"/>
                  </w:rPr>
                  <w:t>（不含通过转融通出借股份）</w:t>
                </w:r>
              </w:p>
            </w:tc>
          </w:sdtContent>
        </w:sdt>
      </w:tr>
      <w:tr w:rsidR="00156DD6">
        <w:trPr>
          <w:cantSplit/>
        </w:trPr>
        <w:sdt>
          <w:sdtPr>
            <w:tag w:val="_PLD_80eda5ca76254dc1b950ed7de7dc5885"/>
            <w:id w:val="-1099646159"/>
          </w:sdtPr>
          <w:sdtEndPr/>
          <w:sdtContent>
            <w:tc>
              <w:tcPr>
                <w:tcW w:w="1271" w:type="dxa"/>
                <w:vMerge w:val="restart"/>
                <w:vAlign w:val="center"/>
              </w:tcPr>
              <w:p w:rsidR="00156DD6" w:rsidRDefault="00D51F5F">
                <w:pPr>
                  <w:jc w:val="center"/>
                  <w:rPr>
                    <w:color w:val="000000" w:themeColor="text1"/>
                  </w:rPr>
                </w:pPr>
                <w:r>
                  <w:rPr>
                    <w:color w:val="000000" w:themeColor="text1"/>
                  </w:rPr>
                  <w:t>股东名称</w:t>
                </w:r>
              </w:p>
              <w:p w:rsidR="00156DD6" w:rsidRDefault="00D51F5F">
                <w:pPr>
                  <w:jc w:val="center"/>
                  <w:rPr>
                    <w:color w:val="000000" w:themeColor="text1"/>
                  </w:rPr>
                </w:pPr>
                <w:r>
                  <w:rPr>
                    <w:rFonts w:hint="eastAsia"/>
                    <w:color w:val="000000" w:themeColor="text1"/>
                  </w:rPr>
                  <w:t>（全称）</w:t>
                </w:r>
              </w:p>
            </w:tc>
          </w:sdtContent>
        </w:sdt>
        <w:sdt>
          <w:sdtPr>
            <w:tag w:val="_PLD_ca2ffd3fc186426e98aac562ecc1ba54"/>
            <w:id w:val="-1302382545"/>
          </w:sdtPr>
          <w:sdtEndPr/>
          <w:sdtContent>
            <w:tc>
              <w:tcPr>
                <w:tcW w:w="830" w:type="dxa"/>
                <w:vMerge w:val="restart"/>
                <w:vAlign w:val="center"/>
              </w:tcPr>
              <w:p w:rsidR="00156DD6" w:rsidRDefault="00D51F5F">
                <w:pPr>
                  <w:jc w:val="center"/>
                  <w:rPr>
                    <w:color w:val="000000" w:themeColor="text1"/>
                  </w:rPr>
                </w:pPr>
                <w:r>
                  <w:rPr>
                    <w:color w:val="000000" w:themeColor="text1"/>
                  </w:rPr>
                  <w:t>报告期内增减</w:t>
                </w:r>
              </w:p>
            </w:tc>
          </w:sdtContent>
        </w:sdt>
        <w:sdt>
          <w:sdtPr>
            <w:tag w:val="_PLD_084006d53bec42bea9418fc4576a1210"/>
            <w:id w:val="-1042055021"/>
          </w:sdtPr>
          <w:sdtEndPr/>
          <w:sdtContent>
            <w:tc>
              <w:tcPr>
                <w:tcW w:w="1296" w:type="dxa"/>
                <w:vMerge w:val="restart"/>
                <w:vAlign w:val="center"/>
              </w:tcPr>
              <w:p w:rsidR="00156DD6" w:rsidRDefault="00D51F5F">
                <w:pPr>
                  <w:jc w:val="center"/>
                  <w:rPr>
                    <w:color w:val="000000" w:themeColor="text1"/>
                  </w:rPr>
                </w:pPr>
                <w:r>
                  <w:rPr>
                    <w:color w:val="000000" w:themeColor="text1"/>
                  </w:rPr>
                  <w:t>期末持股数量</w:t>
                </w:r>
              </w:p>
            </w:tc>
          </w:sdtContent>
        </w:sdt>
        <w:sdt>
          <w:sdtPr>
            <w:tag w:val="_PLD_f27008de77ee4b27b35e2ae22d35699c"/>
            <w:id w:val="-435061642"/>
          </w:sdtPr>
          <w:sdtEndPr/>
          <w:sdtContent>
            <w:tc>
              <w:tcPr>
                <w:tcW w:w="709" w:type="dxa"/>
                <w:vMerge w:val="restart"/>
                <w:vAlign w:val="center"/>
              </w:tcPr>
              <w:p w:rsidR="00156DD6" w:rsidRDefault="00D51F5F">
                <w:pPr>
                  <w:jc w:val="center"/>
                  <w:rPr>
                    <w:color w:val="000000" w:themeColor="text1"/>
                  </w:rPr>
                </w:pPr>
                <w:r>
                  <w:rPr>
                    <w:color w:val="000000" w:themeColor="text1"/>
                  </w:rPr>
                  <w:t>比例</w:t>
                </w:r>
                <w:r>
                  <w:rPr>
                    <w:color w:val="000000" w:themeColor="text1"/>
                  </w:rPr>
                  <w:t>(%)</w:t>
                </w:r>
              </w:p>
            </w:tc>
          </w:sdtContent>
        </w:sdt>
        <w:sdt>
          <w:sdtPr>
            <w:tag w:val="_PLD_34fcc5fa9a414555bef1b48aa74c8135"/>
            <w:id w:val="393008127"/>
          </w:sdtPr>
          <w:sdtEndPr/>
          <w:sdtContent>
            <w:tc>
              <w:tcPr>
                <w:tcW w:w="851" w:type="dxa"/>
                <w:vMerge w:val="restart"/>
                <w:vAlign w:val="center"/>
              </w:tcPr>
              <w:p w:rsidR="00156DD6" w:rsidRDefault="00D51F5F">
                <w:pPr>
                  <w:pStyle w:val="a3"/>
                  <w:rPr>
                    <w:rFonts w:ascii="宋体" w:hAnsi="宋体"/>
                    <w:bCs w:val="0"/>
                    <w:color w:val="000000" w:themeColor="text1"/>
                  </w:rPr>
                </w:pPr>
                <w:r>
                  <w:rPr>
                    <w:rFonts w:ascii="宋体" w:hAnsi="宋体"/>
                    <w:color w:val="000000" w:themeColor="text1"/>
                  </w:rPr>
                  <w:t>持有有限售条件股份数量</w:t>
                </w:r>
              </w:p>
            </w:tc>
          </w:sdtContent>
        </w:sdt>
        <w:sdt>
          <w:sdtPr>
            <w:tag w:val="_PLD_94fbee67e09740e59eb90272af77b58a"/>
            <w:id w:val="1388683450"/>
          </w:sdtPr>
          <w:sdtEndPr/>
          <w:sdtContent>
            <w:tc>
              <w:tcPr>
                <w:tcW w:w="2180" w:type="dxa"/>
                <w:gridSpan w:val="3"/>
                <w:vAlign w:val="center"/>
              </w:tcPr>
              <w:p w:rsidR="00156DD6" w:rsidRDefault="00D51F5F">
                <w:pPr>
                  <w:jc w:val="center"/>
                  <w:rPr>
                    <w:color w:val="000000" w:themeColor="text1"/>
                  </w:rPr>
                </w:pPr>
                <w:r>
                  <w:rPr>
                    <w:color w:val="000000" w:themeColor="text1"/>
                  </w:rPr>
                  <w:t>质押</w:t>
                </w:r>
                <w:r>
                  <w:rPr>
                    <w:rFonts w:hint="eastAsia"/>
                    <w:color w:val="000000" w:themeColor="text1"/>
                  </w:rPr>
                  <w:t>、标记</w:t>
                </w:r>
                <w:r>
                  <w:rPr>
                    <w:color w:val="000000" w:themeColor="text1"/>
                  </w:rPr>
                  <w:t>或冻结情况</w:t>
                </w:r>
              </w:p>
            </w:tc>
          </w:sdtContent>
        </w:sdt>
        <w:sdt>
          <w:sdtPr>
            <w:tag w:val="_PLD_2228ecf4db6a4362bff11fe1e2d3c903"/>
            <w:id w:val="1446119191"/>
          </w:sdtPr>
          <w:sdtEndPr/>
          <w:sdtContent>
            <w:tc>
              <w:tcPr>
                <w:tcW w:w="0" w:type="auto"/>
                <w:vMerge w:val="restart"/>
                <w:vAlign w:val="center"/>
              </w:tcPr>
              <w:p w:rsidR="00156DD6" w:rsidRDefault="00D51F5F">
                <w:pPr>
                  <w:jc w:val="center"/>
                  <w:rPr>
                    <w:color w:val="000000" w:themeColor="text1"/>
                  </w:rPr>
                </w:pPr>
                <w:r>
                  <w:rPr>
                    <w:color w:val="000000" w:themeColor="text1"/>
                  </w:rPr>
                  <w:t>股东性质</w:t>
                </w:r>
              </w:p>
            </w:tc>
          </w:sdtContent>
        </w:sdt>
      </w:tr>
      <w:tr w:rsidR="00156DD6">
        <w:trPr>
          <w:cantSplit/>
        </w:trPr>
        <w:tc>
          <w:tcPr>
            <w:tcW w:w="1271" w:type="dxa"/>
            <w:vMerge/>
            <w:tcBorders>
              <w:bottom w:val="single" w:sz="4" w:space="0" w:color="auto"/>
            </w:tcBorders>
            <w:vAlign w:val="center"/>
          </w:tcPr>
          <w:p w:rsidR="00156DD6" w:rsidRDefault="00156DD6">
            <w:pPr>
              <w:jc w:val="center"/>
              <w:rPr>
                <w:color w:val="000000" w:themeColor="text1"/>
              </w:rPr>
            </w:pPr>
          </w:p>
        </w:tc>
        <w:tc>
          <w:tcPr>
            <w:tcW w:w="830" w:type="dxa"/>
            <w:vMerge/>
            <w:tcBorders>
              <w:bottom w:val="single" w:sz="4" w:space="0" w:color="auto"/>
            </w:tcBorders>
            <w:vAlign w:val="center"/>
          </w:tcPr>
          <w:p w:rsidR="00156DD6" w:rsidRDefault="00156DD6">
            <w:pPr>
              <w:jc w:val="center"/>
              <w:rPr>
                <w:color w:val="000000" w:themeColor="text1"/>
              </w:rPr>
            </w:pPr>
          </w:p>
        </w:tc>
        <w:tc>
          <w:tcPr>
            <w:tcW w:w="1296" w:type="dxa"/>
            <w:vMerge/>
            <w:tcBorders>
              <w:bottom w:val="single" w:sz="4" w:space="0" w:color="auto"/>
            </w:tcBorders>
            <w:vAlign w:val="center"/>
          </w:tcPr>
          <w:p w:rsidR="00156DD6" w:rsidRDefault="00156DD6">
            <w:pPr>
              <w:jc w:val="center"/>
              <w:rPr>
                <w:color w:val="000000" w:themeColor="text1"/>
              </w:rPr>
            </w:pPr>
          </w:p>
        </w:tc>
        <w:tc>
          <w:tcPr>
            <w:tcW w:w="709" w:type="dxa"/>
            <w:vMerge/>
            <w:tcBorders>
              <w:bottom w:val="single" w:sz="4" w:space="0" w:color="auto"/>
            </w:tcBorders>
            <w:vAlign w:val="center"/>
          </w:tcPr>
          <w:p w:rsidR="00156DD6" w:rsidRDefault="00156DD6">
            <w:pPr>
              <w:jc w:val="center"/>
              <w:rPr>
                <w:color w:val="000000" w:themeColor="text1"/>
              </w:rPr>
            </w:pPr>
          </w:p>
        </w:tc>
        <w:tc>
          <w:tcPr>
            <w:tcW w:w="851" w:type="dxa"/>
            <w:vMerge/>
            <w:tcBorders>
              <w:bottom w:val="single" w:sz="4" w:space="0" w:color="auto"/>
            </w:tcBorders>
            <w:vAlign w:val="center"/>
          </w:tcPr>
          <w:p w:rsidR="00156DD6" w:rsidRDefault="00156DD6">
            <w:pPr>
              <w:jc w:val="center"/>
              <w:rPr>
                <w:color w:val="000000" w:themeColor="text1"/>
              </w:rPr>
            </w:pPr>
          </w:p>
        </w:tc>
        <w:sdt>
          <w:sdtPr>
            <w:tag w:val="_PLD_45bf36a531de47beb596ebacadac576a"/>
            <w:id w:val="1282769828"/>
          </w:sdtPr>
          <w:sdtEndPr/>
          <w:sdtContent>
            <w:tc>
              <w:tcPr>
                <w:tcW w:w="1544" w:type="dxa"/>
                <w:tcBorders>
                  <w:bottom w:val="single" w:sz="4" w:space="0" w:color="auto"/>
                </w:tcBorders>
                <w:vAlign w:val="center"/>
              </w:tcPr>
              <w:p w:rsidR="00156DD6" w:rsidRDefault="00D51F5F">
                <w:pPr>
                  <w:jc w:val="center"/>
                  <w:rPr>
                    <w:color w:val="000000" w:themeColor="text1"/>
                  </w:rPr>
                </w:pPr>
                <w:r>
                  <w:rPr>
                    <w:color w:val="000000" w:themeColor="text1"/>
                  </w:rPr>
                  <w:t>股份状态</w:t>
                </w:r>
              </w:p>
            </w:tc>
          </w:sdtContent>
        </w:sdt>
        <w:sdt>
          <w:sdtPr>
            <w:tag w:val="_PLD_bea7397233604f859f8d14f2ae0a0417"/>
            <w:id w:val="-1701546965"/>
          </w:sdtPr>
          <w:sdtEndPr/>
          <w:sdtContent>
            <w:tc>
              <w:tcPr>
                <w:tcW w:w="0" w:type="auto"/>
                <w:gridSpan w:val="2"/>
                <w:tcBorders>
                  <w:bottom w:val="single" w:sz="4" w:space="0" w:color="auto"/>
                </w:tcBorders>
                <w:vAlign w:val="center"/>
              </w:tcPr>
              <w:p w:rsidR="00156DD6" w:rsidRDefault="00D51F5F">
                <w:pPr>
                  <w:jc w:val="center"/>
                  <w:rPr>
                    <w:color w:val="000000" w:themeColor="text1"/>
                  </w:rPr>
                </w:pPr>
                <w:r>
                  <w:rPr>
                    <w:color w:val="000000" w:themeColor="text1"/>
                  </w:rPr>
                  <w:t>数量</w:t>
                </w:r>
              </w:p>
            </w:tc>
          </w:sdtContent>
        </w:sdt>
        <w:tc>
          <w:tcPr>
            <w:tcW w:w="0" w:type="auto"/>
            <w:vMerge/>
            <w:vAlign w:val="center"/>
          </w:tcPr>
          <w:p w:rsidR="00156DD6" w:rsidRDefault="00156DD6">
            <w:pPr>
              <w:jc w:val="center"/>
              <w:rPr>
                <w:color w:val="000000" w:themeColor="text1"/>
              </w:rPr>
            </w:pPr>
          </w:p>
        </w:tc>
      </w:tr>
      <w:tr w:rsidR="00156DD6">
        <w:trPr>
          <w:cantSplit/>
        </w:trPr>
        <w:tc>
          <w:tcPr>
            <w:tcW w:w="1271" w:type="dxa"/>
            <w:vAlign w:val="center"/>
          </w:tcPr>
          <w:p w:rsidR="00156DD6" w:rsidRDefault="00D51F5F">
            <w:pPr>
              <w:pStyle w:val="Style43"/>
            </w:pPr>
            <w:r>
              <w:rPr>
                <w:rFonts w:hint="eastAsia"/>
                <w:color w:val="000000"/>
                <w:sz w:val="22"/>
                <w:szCs w:val="22"/>
              </w:rPr>
              <w:t>杨泽民</w:t>
            </w:r>
          </w:p>
        </w:tc>
        <w:tc>
          <w:tcPr>
            <w:tcW w:w="830" w:type="dxa"/>
            <w:vAlign w:val="center"/>
          </w:tcPr>
          <w:p w:rsidR="00156DD6" w:rsidRDefault="00156DD6">
            <w:pPr>
              <w:jc w:val="right"/>
            </w:pPr>
          </w:p>
        </w:tc>
        <w:tc>
          <w:tcPr>
            <w:tcW w:w="1296" w:type="dxa"/>
            <w:vAlign w:val="center"/>
          </w:tcPr>
          <w:p w:rsidR="00156DD6" w:rsidRDefault="00D51F5F">
            <w:pPr>
              <w:jc w:val="right"/>
            </w:pPr>
            <w:r>
              <w:t xml:space="preserve">52,618,391 </w:t>
            </w:r>
          </w:p>
        </w:tc>
        <w:tc>
          <w:tcPr>
            <w:tcW w:w="709" w:type="dxa"/>
            <w:vAlign w:val="center"/>
          </w:tcPr>
          <w:p w:rsidR="00156DD6" w:rsidRDefault="00D51F5F">
            <w:pPr>
              <w:jc w:val="right"/>
            </w:pPr>
            <w:r>
              <w:t>15.79</w:t>
            </w:r>
          </w:p>
        </w:tc>
        <w:tc>
          <w:tcPr>
            <w:tcW w:w="851" w:type="dxa"/>
            <w:vAlign w:val="center"/>
          </w:tcPr>
          <w:p w:rsidR="00156DD6" w:rsidRDefault="00D51F5F">
            <w:pPr>
              <w:jc w:val="right"/>
            </w:pPr>
            <w:r>
              <w:rPr>
                <w:rFonts w:hint="eastAsia"/>
              </w:rPr>
              <w:t>0</w:t>
            </w:r>
          </w:p>
        </w:tc>
        <w:sdt>
          <w:sdtPr>
            <w:rPr>
              <w:color w:val="000000" w:themeColor="text1"/>
            </w:rPr>
            <w:alias w:val="前十名股东持有股份状态"/>
            <w:tag w:val="_GBC_d5194108b2a8481e94140819dbdc5afe"/>
            <w:id w:val="-130709163"/>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544" w:type="dxa"/>
                <w:vAlign w:val="center"/>
              </w:tcPr>
              <w:p w:rsidR="00156DD6" w:rsidRDefault="00D51F5F">
                <w:pPr>
                  <w:jc w:val="right"/>
                  <w:rPr>
                    <w:color w:val="000000" w:themeColor="text1"/>
                  </w:rPr>
                </w:pPr>
                <w:r>
                  <w:rPr>
                    <w:color w:val="000000" w:themeColor="text1"/>
                  </w:rPr>
                  <w:t>无</w:t>
                </w:r>
              </w:p>
            </w:tc>
          </w:sdtContent>
        </w:sdt>
        <w:tc>
          <w:tcPr>
            <w:tcW w:w="0" w:type="auto"/>
            <w:gridSpan w:val="2"/>
            <w:vAlign w:val="center"/>
          </w:tcPr>
          <w:p w:rsidR="00156DD6" w:rsidRDefault="00D51F5F">
            <w:pPr>
              <w:jc w:val="right"/>
            </w:pPr>
            <w:r>
              <w:rPr>
                <w:rFonts w:hint="eastAsia"/>
              </w:rPr>
              <w:t>0</w:t>
            </w:r>
          </w:p>
        </w:tc>
        <w:sdt>
          <w:sdtPr>
            <w:rPr>
              <w:color w:val="000000" w:themeColor="text1"/>
            </w:rPr>
            <w:alias w:val="前十名股东的股东性质"/>
            <w:tag w:val="_GBC_71380bc899eb4b9781e95e37e7a1e221"/>
            <w:id w:val="-71743272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vAlign w:val="center"/>
              </w:tcPr>
              <w:p w:rsidR="00156DD6" w:rsidRDefault="00D51F5F">
                <w:pPr>
                  <w:jc w:val="right"/>
                  <w:rPr>
                    <w:color w:val="000000" w:themeColor="text1"/>
                  </w:rPr>
                </w:pPr>
                <w:r>
                  <w:rPr>
                    <w:color w:val="000000" w:themeColor="text1"/>
                  </w:rPr>
                  <w:t>境内自然人</w:t>
                </w:r>
              </w:p>
            </w:tc>
          </w:sdtContent>
        </w:sdt>
      </w:tr>
      <w:tr w:rsidR="00156DD6">
        <w:trPr>
          <w:cantSplit/>
        </w:trPr>
        <w:tc>
          <w:tcPr>
            <w:tcW w:w="1271" w:type="dxa"/>
            <w:vAlign w:val="center"/>
          </w:tcPr>
          <w:p w:rsidR="00156DD6" w:rsidRDefault="00D51F5F">
            <w:pPr>
              <w:pStyle w:val="Style43"/>
            </w:pPr>
            <w:bookmarkStart w:id="131" w:name="_Hlk204345266"/>
            <w:r>
              <w:rPr>
                <w:rFonts w:hint="eastAsia"/>
                <w:color w:val="000000"/>
                <w:sz w:val="22"/>
                <w:szCs w:val="22"/>
              </w:rPr>
              <w:lastRenderedPageBreak/>
              <w:t>秦惠兰</w:t>
            </w:r>
          </w:p>
        </w:tc>
        <w:tc>
          <w:tcPr>
            <w:tcW w:w="830" w:type="dxa"/>
            <w:vAlign w:val="center"/>
          </w:tcPr>
          <w:p w:rsidR="00156DD6" w:rsidRDefault="00156DD6">
            <w:pPr>
              <w:jc w:val="right"/>
            </w:pPr>
          </w:p>
        </w:tc>
        <w:tc>
          <w:tcPr>
            <w:tcW w:w="1296" w:type="dxa"/>
            <w:vAlign w:val="center"/>
          </w:tcPr>
          <w:p w:rsidR="00156DD6" w:rsidRDefault="00D51F5F">
            <w:pPr>
              <w:jc w:val="right"/>
            </w:pPr>
            <w:r>
              <w:t xml:space="preserve">40,841,700 </w:t>
            </w:r>
          </w:p>
        </w:tc>
        <w:tc>
          <w:tcPr>
            <w:tcW w:w="709" w:type="dxa"/>
            <w:vAlign w:val="center"/>
          </w:tcPr>
          <w:p w:rsidR="00156DD6" w:rsidRDefault="00D51F5F">
            <w:pPr>
              <w:jc w:val="right"/>
            </w:pPr>
            <w:r>
              <w:t>12.26</w:t>
            </w:r>
          </w:p>
        </w:tc>
        <w:tc>
          <w:tcPr>
            <w:tcW w:w="851" w:type="dxa"/>
            <w:vAlign w:val="center"/>
          </w:tcPr>
          <w:p w:rsidR="00156DD6" w:rsidRDefault="00D51F5F">
            <w:pPr>
              <w:jc w:val="right"/>
            </w:pPr>
            <w:r>
              <w:rPr>
                <w:rFonts w:hint="eastAsia"/>
              </w:rPr>
              <w:t>0</w:t>
            </w:r>
          </w:p>
        </w:tc>
        <w:tc>
          <w:tcPr>
            <w:tcW w:w="1544" w:type="dxa"/>
            <w:vAlign w:val="center"/>
          </w:tcPr>
          <w:p w:rsidR="00156DD6" w:rsidRDefault="00D51F5F">
            <w:pPr>
              <w:jc w:val="right"/>
              <w:rPr>
                <w:color w:val="000000" w:themeColor="text1"/>
              </w:rPr>
            </w:pPr>
            <w:r>
              <w:rPr>
                <w:rFonts w:hint="eastAsia"/>
                <w:color w:val="000000" w:themeColor="text1"/>
              </w:rPr>
              <w:t>无</w:t>
            </w:r>
          </w:p>
        </w:tc>
        <w:tc>
          <w:tcPr>
            <w:tcW w:w="0" w:type="auto"/>
            <w:gridSpan w:val="2"/>
            <w:vAlign w:val="center"/>
          </w:tcPr>
          <w:p w:rsidR="00156DD6" w:rsidRDefault="00D51F5F">
            <w:pPr>
              <w:jc w:val="right"/>
            </w:pPr>
            <w:r>
              <w:rPr>
                <w:rFonts w:hint="eastAsia"/>
              </w:rPr>
              <w:t>0</w:t>
            </w:r>
          </w:p>
        </w:tc>
        <w:tc>
          <w:tcPr>
            <w:tcW w:w="0" w:type="auto"/>
            <w:vAlign w:val="center"/>
          </w:tcPr>
          <w:p w:rsidR="00156DD6" w:rsidRDefault="00D51F5F">
            <w:pPr>
              <w:jc w:val="right"/>
              <w:rPr>
                <w:color w:val="000000" w:themeColor="text1"/>
              </w:rPr>
            </w:pPr>
            <w:r>
              <w:rPr>
                <w:rFonts w:hint="eastAsia"/>
                <w:color w:val="000000" w:themeColor="text1"/>
              </w:rPr>
              <w:t>境内自然人</w:t>
            </w:r>
          </w:p>
        </w:tc>
      </w:tr>
      <w:tr w:rsidR="00156DD6">
        <w:trPr>
          <w:cantSplit/>
        </w:trPr>
        <w:tc>
          <w:tcPr>
            <w:tcW w:w="1271" w:type="dxa"/>
            <w:vAlign w:val="center"/>
          </w:tcPr>
          <w:p w:rsidR="00156DD6" w:rsidRDefault="00D51F5F">
            <w:pPr>
              <w:pStyle w:val="Style43"/>
            </w:pPr>
            <w:r>
              <w:rPr>
                <w:rFonts w:hint="eastAsia"/>
                <w:color w:val="000000"/>
                <w:sz w:val="22"/>
                <w:szCs w:val="22"/>
              </w:rPr>
              <w:t>杨秦</w:t>
            </w:r>
          </w:p>
        </w:tc>
        <w:tc>
          <w:tcPr>
            <w:tcW w:w="830" w:type="dxa"/>
            <w:vAlign w:val="center"/>
          </w:tcPr>
          <w:p w:rsidR="00156DD6" w:rsidRDefault="00156DD6">
            <w:pPr>
              <w:jc w:val="right"/>
            </w:pPr>
          </w:p>
        </w:tc>
        <w:tc>
          <w:tcPr>
            <w:tcW w:w="1296" w:type="dxa"/>
            <w:vAlign w:val="center"/>
          </w:tcPr>
          <w:p w:rsidR="00156DD6" w:rsidRDefault="00D51F5F">
            <w:pPr>
              <w:jc w:val="right"/>
            </w:pPr>
            <w:r>
              <w:t xml:space="preserve">18,015,000 </w:t>
            </w:r>
          </w:p>
        </w:tc>
        <w:tc>
          <w:tcPr>
            <w:tcW w:w="709" w:type="dxa"/>
            <w:vAlign w:val="center"/>
          </w:tcPr>
          <w:p w:rsidR="00156DD6" w:rsidRDefault="00D51F5F">
            <w:pPr>
              <w:jc w:val="right"/>
            </w:pPr>
            <w:r>
              <w:t>5.41</w:t>
            </w:r>
          </w:p>
        </w:tc>
        <w:tc>
          <w:tcPr>
            <w:tcW w:w="851" w:type="dxa"/>
            <w:vAlign w:val="center"/>
          </w:tcPr>
          <w:p w:rsidR="00156DD6" w:rsidRDefault="00D51F5F">
            <w:pPr>
              <w:jc w:val="right"/>
            </w:pPr>
            <w:r>
              <w:rPr>
                <w:rFonts w:hint="eastAsia"/>
              </w:rPr>
              <w:t>0</w:t>
            </w:r>
          </w:p>
        </w:tc>
        <w:tc>
          <w:tcPr>
            <w:tcW w:w="1544" w:type="dxa"/>
            <w:vAlign w:val="center"/>
          </w:tcPr>
          <w:p w:rsidR="00156DD6" w:rsidRDefault="00D51F5F">
            <w:pPr>
              <w:jc w:val="right"/>
              <w:rPr>
                <w:color w:val="000000" w:themeColor="text1"/>
              </w:rPr>
            </w:pPr>
            <w:r>
              <w:rPr>
                <w:rFonts w:hint="eastAsia"/>
                <w:color w:val="000000" w:themeColor="text1"/>
              </w:rPr>
              <w:t xml:space="preserve">无　</w:t>
            </w:r>
          </w:p>
        </w:tc>
        <w:tc>
          <w:tcPr>
            <w:tcW w:w="0" w:type="auto"/>
            <w:gridSpan w:val="2"/>
            <w:vAlign w:val="center"/>
          </w:tcPr>
          <w:p w:rsidR="00156DD6" w:rsidRDefault="00D51F5F">
            <w:pPr>
              <w:jc w:val="right"/>
            </w:pPr>
            <w:r>
              <w:rPr>
                <w:rFonts w:hint="eastAsia"/>
              </w:rPr>
              <w:t>0</w:t>
            </w:r>
          </w:p>
        </w:tc>
        <w:tc>
          <w:tcPr>
            <w:tcW w:w="0" w:type="auto"/>
            <w:vAlign w:val="center"/>
          </w:tcPr>
          <w:p w:rsidR="00156DD6" w:rsidRDefault="00D51F5F">
            <w:pPr>
              <w:jc w:val="right"/>
              <w:rPr>
                <w:color w:val="000000" w:themeColor="text1"/>
              </w:rPr>
            </w:pPr>
            <w:r>
              <w:rPr>
                <w:rFonts w:hint="eastAsia"/>
                <w:color w:val="000000" w:themeColor="text1"/>
              </w:rPr>
              <w:t>境内自然人</w:t>
            </w:r>
          </w:p>
        </w:tc>
      </w:tr>
      <w:tr w:rsidR="00156DD6">
        <w:trPr>
          <w:cantSplit/>
        </w:trPr>
        <w:tc>
          <w:tcPr>
            <w:tcW w:w="1271" w:type="dxa"/>
            <w:vAlign w:val="center"/>
          </w:tcPr>
          <w:p w:rsidR="00156DD6" w:rsidRDefault="00D51F5F">
            <w:pPr>
              <w:pStyle w:val="Style43"/>
            </w:pPr>
            <w:r>
              <w:rPr>
                <w:rFonts w:hint="eastAsia"/>
                <w:color w:val="000000"/>
                <w:sz w:val="22"/>
                <w:szCs w:val="22"/>
              </w:rPr>
              <w:t>杨耀</w:t>
            </w:r>
          </w:p>
        </w:tc>
        <w:tc>
          <w:tcPr>
            <w:tcW w:w="830" w:type="dxa"/>
            <w:vAlign w:val="center"/>
          </w:tcPr>
          <w:p w:rsidR="00156DD6" w:rsidRDefault="00156DD6">
            <w:pPr>
              <w:jc w:val="right"/>
            </w:pPr>
          </w:p>
        </w:tc>
        <w:tc>
          <w:tcPr>
            <w:tcW w:w="1296" w:type="dxa"/>
            <w:vAlign w:val="center"/>
          </w:tcPr>
          <w:p w:rsidR="00156DD6" w:rsidRDefault="00D51F5F">
            <w:pPr>
              <w:jc w:val="right"/>
            </w:pPr>
            <w:r>
              <w:t xml:space="preserve">18,000,050 </w:t>
            </w:r>
          </w:p>
        </w:tc>
        <w:tc>
          <w:tcPr>
            <w:tcW w:w="709" w:type="dxa"/>
            <w:vAlign w:val="center"/>
          </w:tcPr>
          <w:p w:rsidR="00156DD6" w:rsidRDefault="00D51F5F">
            <w:pPr>
              <w:jc w:val="right"/>
            </w:pPr>
            <w:r>
              <w:t>5.40</w:t>
            </w:r>
          </w:p>
        </w:tc>
        <w:tc>
          <w:tcPr>
            <w:tcW w:w="851" w:type="dxa"/>
            <w:vAlign w:val="center"/>
          </w:tcPr>
          <w:p w:rsidR="00156DD6" w:rsidRDefault="00D51F5F">
            <w:pPr>
              <w:jc w:val="right"/>
            </w:pPr>
            <w:r>
              <w:rPr>
                <w:rFonts w:hint="eastAsia"/>
              </w:rPr>
              <w:t>0</w:t>
            </w:r>
          </w:p>
        </w:tc>
        <w:tc>
          <w:tcPr>
            <w:tcW w:w="1544" w:type="dxa"/>
            <w:vAlign w:val="center"/>
          </w:tcPr>
          <w:p w:rsidR="00156DD6" w:rsidRDefault="00D51F5F">
            <w:pPr>
              <w:jc w:val="right"/>
              <w:rPr>
                <w:color w:val="000000" w:themeColor="text1"/>
              </w:rPr>
            </w:pPr>
            <w:r>
              <w:rPr>
                <w:rFonts w:hint="eastAsia"/>
                <w:color w:val="000000" w:themeColor="text1"/>
              </w:rPr>
              <w:t>无</w:t>
            </w:r>
          </w:p>
        </w:tc>
        <w:tc>
          <w:tcPr>
            <w:tcW w:w="0" w:type="auto"/>
            <w:gridSpan w:val="2"/>
            <w:vAlign w:val="center"/>
          </w:tcPr>
          <w:p w:rsidR="00156DD6" w:rsidRDefault="00D51F5F">
            <w:pPr>
              <w:jc w:val="right"/>
            </w:pPr>
            <w:r>
              <w:rPr>
                <w:rFonts w:hint="eastAsia"/>
              </w:rPr>
              <w:t>0</w:t>
            </w:r>
          </w:p>
        </w:tc>
        <w:tc>
          <w:tcPr>
            <w:tcW w:w="0" w:type="auto"/>
            <w:vAlign w:val="center"/>
          </w:tcPr>
          <w:p w:rsidR="00156DD6" w:rsidRDefault="00D51F5F">
            <w:pPr>
              <w:jc w:val="right"/>
              <w:rPr>
                <w:color w:val="000000" w:themeColor="text1"/>
              </w:rPr>
            </w:pPr>
            <w:r>
              <w:rPr>
                <w:rFonts w:hint="eastAsia"/>
                <w:color w:val="000000" w:themeColor="text1"/>
              </w:rPr>
              <w:t>境内自然人</w:t>
            </w:r>
          </w:p>
        </w:tc>
      </w:tr>
      <w:tr w:rsidR="00156DD6">
        <w:trPr>
          <w:cantSplit/>
        </w:trPr>
        <w:tc>
          <w:tcPr>
            <w:tcW w:w="1271" w:type="dxa"/>
            <w:vAlign w:val="center"/>
          </w:tcPr>
          <w:p w:rsidR="00156DD6" w:rsidRDefault="00D51F5F">
            <w:pPr>
              <w:pStyle w:val="Style43"/>
            </w:pPr>
            <w:r>
              <w:rPr>
                <w:rFonts w:hint="eastAsia"/>
                <w:color w:val="000000"/>
                <w:sz w:val="22"/>
                <w:szCs w:val="22"/>
              </w:rPr>
              <w:t>杨厚群</w:t>
            </w:r>
          </w:p>
        </w:tc>
        <w:tc>
          <w:tcPr>
            <w:tcW w:w="830" w:type="dxa"/>
            <w:vAlign w:val="center"/>
          </w:tcPr>
          <w:p w:rsidR="00156DD6" w:rsidRDefault="00156DD6">
            <w:pPr>
              <w:jc w:val="right"/>
            </w:pPr>
          </w:p>
        </w:tc>
        <w:tc>
          <w:tcPr>
            <w:tcW w:w="1296" w:type="dxa"/>
            <w:vAlign w:val="center"/>
          </w:tcPr>
          <w:p w:rsidR="00156DD6" w:rsidRDefault="00D51F5F">
            <w:pPr>
              <w:jc w:val="right"/>
            </w:pPr>
            <w:r>
              <w:t xml:space="preserve"> 7,500,000 </w:t>
            </w:r>
          </w:p>
        </w:tc>
        <w:tc>
          <w:tcPr>
            <w:tcW w:w="709" w:type="dxa"/>
            <w:vAlign w:val="center"/>
          </w:tcPr>
          <w:p w:rsidR="00156DD6" w:rsidRDefault="00D51F5F">
            <w:pPr>
              <w:jc w:val="right"/>
            </w:pPr>
            <w:r>
              <w:t>2.25</w:t>
            </w:r>
          </w:p>
        </w:tc>
        <w:tc>
          <w:tcPr>
            <w:tcW w:w="851" w:type="dxa"/>
            <w:vAlign w:val="center"/>
          </w:tcPr>
          <w:p w:rsidR="00156DD6" w:rsidRDefault="00D51F5F">
            <w:pPr>
              <w:jc w:val="right"/>
            </w:pPr>
            <w:r>
              <w:rPr>
                <w:rFonts w:hint="eastAsia"/>
              </w:rPr>
              <w:t>0</w:t>
            </w:r>
          </w:p>
        </w:tc>
        <w:tc>
          <w:tcPr>
            <w:tcW w:w="1544" w:type="dxa"/>
            <w:vAlign w:val="center"/>
          </w:tcPr>
          <w:p w:rsidR="00156DD6" w:rsidRDefault="00D51F5F">
            <w:pPr>
              <w:jc w:val="right"/>
              <w:rPr>
                <w:color w:val="000000" w:themeColor="text1"/>
              </w:rPr>
            </w:pPr>
            <w:r>
              <w:rPr>
                <w:rFonts w:hint="eastAsia"/>
                <w:color w:val="000000" w:themeColor="text1"/>
              </w:rPr>
              <w:t>无</w:t>
            </w:r>
          </w:p>
        </w:tc>
        <w:tc>
          <w:tcPr>
            <w:tcW w:w="0" w:type="auto"/>
            <w:gridSpan w:val="2"/>
            <w:vAlign w:val="center"/>
          </w:tcPr>
          <w:p w:rsidR="00156DD6" w:rsidRDefault="00D51F5F">
            <w:pPr>
              <w:jc w:val="right"/>
            </w:pPr>
            <w:r>
              <w:rPr>
                <w:rFonts w:hint="eastAsia"/>
              </w:rPr>
              <w:t>0</w:t>
            </w:r>
          </w:p>
        </w:tc>
        <w:tc>
          <w:tcPr>
            <w:tcW w:w="0" w:type="auto"/>
            <w:vAlign w:val="center"/>
          </w:tcPr>
          <w:p w:rsidR="00156DD6" w:rsidRDefault="00D51F5F">
            <w:pPr>
              <w:jc w:val="right"/>
              <w:rPr>
                <w:color w:val="000000" w:themeColor="text1"/>
              </w:rPr>
            </w:pPr>
            <w:r>
              <w:rPr>
                <w:rFonts w:hint="eastAsia"/>
                <w:color w:val="000000" w:themeColor="text1"/>
              </w:rPr>
              <w:t>境内自然人</w:t>
            </w:r>
          </w:p>
        </w:tc>
      </w:tr>
      <w:tr w:rsidR="00156DD6">
        <w:trPr>
          <w:cantSplit/>
        </w:trPr>
        <w:tc>
          <w:tcPr>
            <w:tcW w:w="1271" w:type="dxa"/>
            <w:vAlign w:val="center"/>
          </w:tcPr>
          <w:p w:rsidR="00156DD6" w:rsidRDefault="00D51F5F">
            <w:pPr>
              <w:pStyle w:val="Style43"/>
            </w:pPr>
            <w:r>
              <w:rPr>
                <w:rFonts w:hint="eastAsia"/>
                <w:color w:val="000000"/>
                <w:sz w:val="22"/>
                <w:szCs w:val="22"/>
              </w:rPr>
              <w:t>秦勇</w:t>
            </w:r>
          </w:p>
        </w:tc>
        <w:tc>
          <w:tcPr>
            <w:tcW w:w="830" w:type="dxa"/>
            <w:vAlign w:val="center"/>
          </w:tcPr>
          <w:p w:rsidR="00156DD6" w:rsidRDefault="00156DD6">
            <w:pPr>
              <w:jc w:val="right"/>
            </w:pPr>
          </w:p>
        </w:tc>
        <w:tc>
          <w:tcPr>
            <w:tcW w:w="1296" w:type="dxa"/>
            <w:vAlign w:val="center"/>
          </w:tcPr>
          <w:p w:rsidR="00156DD6" w:rsidRDefault="00D51F5F">
            <w:pPr>
              <w:jc w:val="right"/>
            </w:pPr>
            <w:r>
              <w:t xml:space="preserve"> 5,400,000 </w:t>
            </w:r>
          </w:p>
        </w:tc>
        <w:tc>
          <w:tcPr>
            <w:tcW w:w="709" w:type="dxa"/>
            <w:vAlign w:val="center"/>
          </w:tcPr>
          <w:p w:rsidR="00156DD6" w:rsidRDefault="00D51F5F">
            <w:pPr>
              <w:jc w:val="right"/>
            </w:pPr>
            <w:r>
              <w:t>1.62</w:t>
            </w:r>
          </w:p>
        </w:tc>
        <w:tc>
          <w:tcPr>
            <w:tcW w:w="851" w:type="dxa"/>
            <w:vAlign w:val="center"/>
          </w:tcPr>
          <w:p w:rsidR="00156DD6" w:rsidRDefault="00D51F5F">
            <w:pPr>
              <w:jc w:val="right"/>
            </w:pPr>
            <w:r>
              <w:rPr>
                <w:rFonts w:hint="eastAsia"/>
              </w:rPr>
              <w:t>0</w:t>
            </w:r>
          </w:p>
        </w:tc>
        <w:tc>
          <w:tcPr>
            <w:tcW w:w="1544" w:type="dxa"/>
            <w:vAlign w:val="center"/>
          </w:tcPr>
          <w:p w:rsidR="00156DD6" w:rsidRDefault="00D51F5F">
            <w:pPr>
              <w:jc w:val="right"/>
              <w:rPr>
                <w:color w:val="000000" w:themeColor="text1"/>
              </w:rPr>
            </w:pPr>
            <w:r>
              <w:rPr>
                <w:rFonts w:hint="eastAsia"/>
                <w:color w:val="000000" w:themeColor="text1"/>
              </w:rPr>
              <w:t xml:space="preserve">无　</w:t>
            </w:r>
          </w:p>
        </w:tc>
        <w:tc>
          <w:tcPr>
            <w:tcW w:w="0" w:type="auto"/>
            <w:gridSpan w:val="2"/>
            <w:vAlign w:val="center"/>
          </w:tcPr>
          <w:p w:rsidR="00156DD6" w:rsidRDefault="00D51F5F">
            <w:pPr>
              <w:jc w:val="right"/>
            </w:pPr>
            <w:r>
              <w:rPr>
                <w:rFonts w:hint="eastAsia"/>
              </w:rPr>
              <w:t>0</w:t>
            </w:r>
          </w:p>
        </w:tc>
        <w:tc>
          <w:tcPr>
            <w:tcW w:w="0" w:type="auto"/>
            <w:vAlign w:val="center"/>
          </w:tcPr>
          <w:p w:rsidR="00156DD6" w:rsidRDefault="00D51F5F">
            <w:pPr>
              <w:jc w:val="right"/>
              <w:rPr>
                <w:color w:val="000000" w:themeColor="text1"/>
              </w:rPr>
            </w:pPr>
            <w:r>
              <w:rPr>
                <w:rFonts w:hint="eastAsia"/>
                <w:color w:val="000000" w:themeColor="text1"/>
              </w:rPr>
              <w:t>境内自然人</w:t>
            </w:r>
          </w:p>
        </w:tc>
      </w:tr>
      <w:tr w:rsidR="00156DD6">
        <w:trPr>
          <w:cantSplit/>
        </w:trPr>
        <w:tc>
          <w:tcPr>
            <w:tcW w:w="1271" w:type="dxa"/>
            <w:vAlign w:val="center"/>
          </w:tcPr>
          <w:p w:rsidR="00156DD6" w:rsidRDefault="00D51F5F">
            <w:pPr>
              <w:pStyle w:val="Style43"/>
            </w:pPr>
            <w:r>
              <w:rPr>
                <w:rFonts w:hint="eastAsia"/>
                <w:color w:val="000000"/>
                <w:sz w:val="22"/>
                <w:szCs w:val="22"/>
              </w:rPr>
              <w:t>西南证券股份有限公司约定购回式证券交易专用证券账户</w:t>
            </w:r>
          </w:p>
        </w:tc>
        <w:tc>
          <w:tcPr>
            <w:tcW w:w="830" w:type="dxa"/>
            <w:vAlign w:val="center"/>
          </w:tcPr>
          <w:p w:rsidR="00156DD6" w:rsidRDefault="00D51F5F">
            <w:pPr>
              <w:jc w:val="right"/>
            </w:pPr>
            <w:r>
              <w:t>+1,520,000</w:t>
            </w:r>
          </w:p>
        </w:tc>
        <w:tc>
          <w:tcPr>
            <w:tcW w:w="1296" w:type="dxa"/>
            <w:vAlign w:val="center"/>
          </w:tcPr>
          <w:p w:rsidR="00156DD6" w:rsidRDefault="00D51F5F">
            <w:pPr>
              <w:jc w:val="right"/>
            </w:pPr>
            <w:r>
              <w:t xml:space="preserve"> 4,553,200 </w:t>
            </w:r>
          </w:p>
        </w:tc>
        <w:tc>
          <w:tcPr>
            <w:tcW w:w="709" w:type="dxa"/>
            <w:vAlign w:val="center"/>
          </w:tcPr>
          <w:p w:rsidR="00156DD6" w:rsidRDefault="00D51F5F">
            <w:pPr>
              <w:jc w:val="right"/>
            </w:pPr>
            <w:r>
              <w:t>1.37</w:t>
            </w:r>
          </w:p>
        </w:tc>
        <w:tc>
          <w:tcPr>
            <w:tcW w:w="851" w:type="dxa"/>
            <w:vAlign w:val="center"/>
          </w:tcPr>
          <w:p w:rsidR="00156DD6" w:rsidRDefault="00D51F5F">
            <w:pPr>
              <w:jc w:val="right"/>
            </w:pPr>
            <w:r>
              <w:rPr>
                <w:rFonts w:hint="eastAsia"/>
              </w:rPr>
              <w:t>0</w:t>
            </w:r>
          </w:p>
        </w:tc>
        <w:tc>
          <w:tcPr>
            <w:tcW w:w="1544" w:type="dxa"/>
            <w:vAlign w:val="center"/>
          </w:tcPr>
          <w:p w:rsidR="00156DD6" w:rsidRDefault="00D51F5F">
            <w:pPr>
              <w:jc w:val="right"/>
              <w:rPr>
                <w:color w:val="000000" w:themeColor="text1"/>
              </w:rPr>
            </w:pPr>
            <w:r>
              <w:rPr>
                <w:rFonts w:hint="eastAsia"/>
                <w:color w:val="000000" w:themeColor="text1"/>
              </w:rPr>
              <w:t>无</w:t>
            </w:r>
          </w:p>
        </w:tc>
        <w:tc>
          <w:tcPr>
            <w:tcW w:w="0" w:type="auto"/>
            <w:gridSpan w:val="2"/>
            <w:vAlign w:val="center"/>
          </w:tcPr>
          <w:p w:rsidR="00156DD6" w:rsidRDefault="00D51F5F">
            <w:pPr>
              <w:jc w:val="right"/>
            </w:pPr>
            <w:r>
              <w:rPr>
                <w:rFonts w:hint="eastAsia"/>
              </w:rPr>
              <w:t>0</w:t>
            </w:r>
          </w:p>
        </w:tc>
        <w:tc>
          <w:tcPr>
            <w:tcW w:w="0" w:type="auto"/>
            <w:vAlign w:val="center"/>
          </w:tcPr>
          <w:p w:rsidR="00156DD6" w:rsidRDefault="00D51F5F">
            <w:pPr>
              <w:jc w:val="right"/>
              <w:rPr>
                <w:color w:val="000000" w:themeColor="text1"/>
              </w:rPr>
            </w:pPr>
            <w:r>
              <w:rPr>
                <w:rFonts w:hint="eastAsia"/>
                <w:color w:val="000000" w:themeColor="text1"/>
              </w:rPr>
              <w:t>境内非国有法人</w:t>
            </w:r>
          </w:p>
        </w:tc>
      </w:tr>
      <w:tr w:rsidR="00156DD6">
        <w:trPr>
          <w:cantSplit/>
        </w:trPr>
        <w:tc>
          <w:tcPr>
            <w:tcW w:w="1271" w:type="dxa"/>
            <w:vAlign w:val="center"/>
          </w:tcPr>
          <w:p w:rsidR="00156DD6" w:rsidRDefault="00D51F5F">
            <w:pPr>
              <w:pStyle w:val="Style43"/>
            </w:pPr>
            <w:r>
              <w:rPr>
                <w:rFonts w:hint="eastAsia"/>
                <w:color w:val="000000"/>
                <w:sz w:val="22"/>
                <w:szCs w:val="22"/>
              </w:rPr>
              <w:t>王育森</w:t>
            </w:r>
          </w:p>
        </w:tc>
        <w:tc>
          <w:tcPr>
            <w:tcW w:w="830" w:type="dxa"/>
            <w:vAlign w:val="center"/>
          </w:tcPr>
          <w:p w:rsidR="00156DD6" w:rsidRDefault="00D51F5F">
            <w:pPr>
              <w:jc w:val="right"/>
            </w:pPr>
            <w:r>
              <w:t>+747,100</w:t>
            </w:r>
          </w:p>
        </w:tc>
        <w:tc>
          <w:tcPr>
            <w:tcW w:w="1296" w:type="dxa"/>
            <w:vAlign w:val="center"/>
          </w:tcPr>
          <w:p w:rsidR="00156DD6" w:rsidRDefault="00D51F5F">
            <w:pPr>
              <w:jc w:val="right"/>
            </w:pPr>
            <w:r>
              <w:t xml:space="preserve"> 3,897,100 </w:t>
            </w:r>
          </w:p>
        </w:tc>
        <w:tc>
          <w:tcPr>
            <w:tcW w:w="709" w:type="dxa"/>
            <w:vAlign w:val="center"/>
          </w:tcPr>
          <w:p w:rsidR="00156DD6" w:rsidRDefault="00D51F5F">
            <w:pPr>
              <w:jc w:val="right"/>
            </w:pPr>
            <w:r>
              <w:t>1.17</w:t>
            </w:r>
          </w:p>
        </w:tc>
        <w:tc>
          <w:tcPr>
            <w:tcW w:w="851" w:type="dxa"/>
            <w:vAlign w:val="center"/>
          </w:tcPr>
          <w:p w:rsidR="00156DD6" w:rsidRDefault="00D51F5F">
            <w:pPr>
              <w:jc w:val="right"/>
            </w:pPr>
            <w:r>
              <w:rPr>
                <w:rFonts w:hint="eastAsia"/>
              </w:rPr>
              <w:t>0</w:t>
            </w:r>
          </w:p>
        </w:tc>
        <w:tc>
          <w:tcPr>
            <w:tcW w:w="1544" w:type="dxa"/>
            <w:vAlign w:val="center"/>
          </w:tcPr>
          <w:p w:rsidR="00156DD6" w:rsidRDefault="00D51F5F">
            <w:pPr>
              <w:jc w:val="right"/>
              <w:rPr>
                <w:color w:val="000000" w:themeColor="text1"/>
              </w:rPr>
            </w:pPr>
            <w:r>
              <w:rPr>
                <w:rFonts w:hint="eastAsia"/>
                <w:color w:val="000000" w:themeColor="text1"/>
              </w:rPr>
              <w:t xml:space="preserve">　无</w:t>
            </w:r>
          </w:p>
        </w:tc>
        <w:tc>
          <w:tcPr>
            <w:tcW w:w="0" w:type="auto"/>
            <w:gridSpan w:val="2"/>
            <w:vAlign w:val="center"/>
          </w:tcPr>
          <w:p w:rsidR="00156DD6" w:rsidRDefault="00D51F5F">
            <w:pPr>
              <w:jc w:val="right"/>
            </w:pPr>
            <w:r>
              <w:rPr>
                <w:rFonts w:hint="eastAsia"/>
              </w:rPr>
              <w:t>0</w:t>
            </w:r>
          </w:p>
        </w:tc>
        <w:tc>
          <w:tcPr>
            <w:tcW w:w="0" w:type="auto"/>
            <w:vAlign w:val="center"/>
          </w:tcPr>
          <w:p w:rsidR="00156DD6" w:rsidRDefault="00D51F5F">
            <w:pPr>
              <w:jc w:val="right"/>
              <w:rPr>
                <w:color w:val="000000" w:themeColor="text1"/>
              </w:rPr>
            </w:pPr>
            <w:r>
              <w:rPr>
                <w:rFonts w:hint="eastAsia"/>
                <w:color w:val="000000" w:themeColor="text1"/>
              </w:rPr>
              <w:t>境内自然人</w:t>
            </w:r>
          </w:p>
        </w:tc>
      </w:tr>
      <w:tr w:rsidR="00156DD6">
        <w:trPr>
          <w:cantSplit/>
        </w:trPr>
        <w:tc>
          <w:tcPr>
            <w:tcW w:w="1271" w:type="dxa"/>
            <w:vAlign w:val="center"/>
          </w:tcPr>
          <w:p w:rsidR="00156DD6" w:rsidRDefault="00D51F5F">
            <w:pPr>
              <w:pStyle w:val="Style43"/>
            </w:pPr>
            <w:r>
              <w:rPr>
                <w:rFonts w:hint="eastAsia"/>
                <w:color w:val="000000"/>
                <w:sz w:val="22"/>
                <w:szCs w:val="22"/>
              </w:rPr>
              <w:t>夏强</w:t>
            </w:r>
          </w:p>
        </w:tc>
        <w:tc>
          <w:tcPr>
            <w:tcW w:w="830" w:type="dxa"/>
            <w:vAlign w:val="center"/>
          </w:tcPr>
          <w:p w:rsidR="00156DD6" w:rsidRDefault="00156DD6">
            <w:pPr>
              <w:jc w:val="right"/>
            </w:pPr>
          </w:p>
        </w:tc>
        <w:tc>
          <w:tcPr>
            <w:tcW w:w="1296" w:type="dxa"/>
            <w:vAlign w:val="center"/>
          </w:tcPr>
          <w:p w:rsidR="00156DD6" w:rsidRDefault="00D51F5F">
            <w:pPr>
              <w:jc w:val="right"/>
            </w:pPr>
            <w:r>
              <w:t xml:space="preserve"> 2,306,000 </w:t>
            </w:r>
          </w:p>
        </w:tc>
        <w:tc>
          <w:tcPr>
            <w:tcW w:w="709" w:type="dxa"/>
            <w:vAlign w:val="center"/>
          </w:tcPr>
          <w:p w:rsidR="00156DD6" w:rsidRDefault="00D51F5F">
            <w:pPr>
              <w:jc w:val="right"/>
            </w:pPr>
            <w:r>
              <w:t>0.69</w:t>
            </w:r>
          </w:p>
        </w:tc>
        <w:tc>
          <w:tcPr>
            <w:tcW w:w="851" w:type="dxa"/>
            <w:vAlign w:val="center"/>
          </w:tcPr>
          <w:p w:rsidR="00156DD6" w:rsidRDefault="00D51F5F">
            <w:pPr>
              <w:jc w:val="right"/>
            </w:pPr>
            <w:r>
              <w:rPr>
                <w:rFonts w:hint="eastAsia"/>
              </w:rPr>
              <w:t>0</w:t>
            </w:r>
          </w:p>
        </w:tc>
        <w:tc>
          <w:tcPr>
            <w:tcW w:w="1544" w:type="dxa"/>
            <w:vAlign w:val="center"/>
          </w:tcPr>
          <w:p w:rsidR="00156DD6" w:rsidRDefault="00D51F5F">
            <w:pPr>
              <w:jc w:val="right"/>
              <w:rPr>
                <w:color w:val="000000" w:themeColor="text1"/>
              </w:rPr>
            </w:pPr>
            <w:r>
              <w:rPr>
                <w:rFonts w:hint="eastAsia"/>
                <w:color w:val="000000" w:themeColor="text1"/>
              </w:rPr>
              <w:t xml:space="preserve">　无</w:t>
            </w:r>
          </w:p>
        </w:tc>
        <w:tc>
          <w:tcPr>
            <w:tcW w:w="0" w:type="auto"/>
            <w:gridSpan w:val="2"/>
            <w:vAlign w:val="center"/>
          </w:tcPr>
          <w:p w:rsidR="00156DD6" w:rsidRDefault="00D51F5F">
            <w:pPr>
              <w:jc w:val="right"/>
            </w:pPr>
            <w:r>
              <w:rPr>
                <w:rFonts w:hint="eastAsia"/>
              </w:rPr>
              <w:t>0</w:t>
            </w:r>
          </w:p>
        </w:tc>
        <w:tc>
          <w:tcPr>
            <w:tcW w:w="0" w:type="auto"/>
            <w:vAlign w:val="center"/>
          </w:tcPr>
          <w:p w:rsidR="00156DD6" w:rsidRDefault="00D51F5F">
            <w:pPr>
              <w:jc w:val="right"/>
              <w:rPr>
                <w:color w:val="000000" w:themeColor="text1"/>
              </w:rPr>
            </w:pPr>
            <w:r>
              <w:rPr>
                <w:rFonts w:hint="eastAsia"/>
                <w:color w:val="000000" w:themeColor="text1"/>
              </w:rPr>
              <w:t>境内自然人</w:t>
            </w:r>
          </w:p>
        </w:tc>
      </w:tr>
      <w:tr w:rsidR="00156DD6">
        <w:trPr>
          <w:cantSplit/>
        </w:trPr>
        <w:tc>
          <w:tcPr>
            <w:tcW w:w="1271" w:type="dxa"/>
            <w:vAlign w:val="center"/>
          </w:tcPr>
          <w:p w:rsidR="00156DD6" w:rsidRDefault="00D51F5F">
            <w:pPr>
              <w:pStyle w:val="Style43"/>
            </w:pPr>
            <w:r>
              <w:rPr>
                <w:rFonts w:hint="eastAsia"/>
                <w:color w:val="000000"/>
                <w:sz w:val="22"/>
                <w:szCs w:val="22"/>
              </w:rPr>
              <w:t>赵桂芬</w:t>
            </w:r>
          </w:p>
        </w:tc>
        <w:tc>
          <w:tcPr>
            <w:tcW w:w="830" w:type="dxa"/>
            <w:vAlign w:val="center"/>
          </w:tcPr>
          <w:p w:rsidR="00156DD6" w:rsidRDefault="00D51F5F">
            <w:pPr>
              <w:jc w:val="right"/>
            </w:pPr>
            <w:r>
              <w:rPr>
                <w:rFonts w:hint="eastAsia"/>
                <w:bCs w:val="0"/>
              </w:rPr>
              <w:t>+</w:t>
            </w:r>
            <w:r>
              <w:rPr>
                <w:rFonts w:hint="eastAsia"/>
              </w:rPr>
              <w:t>2,172,800</w:t>
            </w:r>
          </w:p>
        </w:tc>
        <w:tc>
          <w:tcPr>
            <w:tcW w:w="1296" w:type="dxa"/>
            <w:vAlign w:val="center"/>
          </w:tcPr>
          <w:p w:rsidR="00156DD6" w:rsidRDefault="00D51F5F">
            <w:pPr>
              <w:jc w:val="right"/>
            </w:pPr>
            <w:r>
              <w:t xml:space="preserve"> 2,172,800 </w:t>
            </w:r>
          </w:p>
        </w:tc>
        <w:tc>
          <w:tcPr>
            <w:tcW w:w="709" w:type="dxa"/>
            <w:vAlign w:val="center"/>
          </w:tcPr>
          <w:p w:rsidR="00156DD6" w:rsidRDefault="00D51F5F">
            <w:pPr>
              <w:jc w:val="right"/>
            </w:pPr>
            <w:r>
              <w:t>0.65</w:t>
            </w:r>
          </w:p>
        </w:tc>
        <w:tc>
          <w:tcPr>
            <w:tcW w:w="851" w:type="dxa"/>
            <w:vAlign w:val="center"/>
          </w:tcPr>
          <w:p w:rsidR="00156DD6" w:rsidRDefault="00D51F5F">
            <w:pPr>
              <w:jc w:val="right"/>
            </w:pPr>
            <w:r>
              <w:rPr>
                <w:rFonts w:hint="eastAsia"/>
              </w:rPr>
              <w:t>0</w:t>
            </w:r>
          </w:p>
        </w:tc>
        <w:tc>
          <w:tcPr>
            <w:tcW w:w="1544" w:type="dxa"/>
            <w:vAlign w:val="center"/>
          </w:tcPr>
          <w:p w:rsidR="00156DD6" w:rsidRDefault="00D51F5F">
            <w:pPr>
              <w:jc w:val="right"/>
              <w:rPr>
                <w:color w:val="000000" w:themeColor="text1"/>
              </w:rPr>
            </w:pPr>
            <w:r>
              <w:rPr>
                <w:rFonts w:hint="eastAsia"/>
                <w:color w:val="000000" w:themeColor="text1"/>
              </w:rPr>
              <w:t xml:space="preserve">　无</w:t>
            </w:r>
          </w:p>
        </w:tc>
        <w:tc>
          <w:tcPr>
            <w:tcW w:w="0" w:type="auto"/>
            <w:gridSpan w:val="2"/>
            <w:vAlign w:val="center"/>
          </w:tcPr>
          <w:p w:rsidR="00156DD6" w:rsidRDefault="00D51F5F">
            <w:pPr>
              <w:jc w:val="right"/>
            </w:pPr>
            <w:r>
              <w:rPr>
                <w:rFonts w:hint="eastAsia"/>
              </w:rPr>
              <w:t>0</w:t>
            </w:r>
          </w:p>
        </w:tc>
        <w:tc>
          <w:tcPr>
            <w:tcW w:w="0" w:type="auto"/>
            <w:vAlign w:val="center"/>
          </w:tcPr>
          <w:p w:rsidR="00156DD6" w:rsidRDefault="00D51F5F">
            <w:pPr>
              <w:jc w:val="right"/>
              <w:rPr>
                <w:color w:val="000000" w:themeColor="text1"/>
              </w:rPr>
            </w:pPr>
            <w:r>
              <w:rPr>
                <w:rFonts w:hint="eastAsia"/>
                <w:color w:val="000000" w:themeColor="text1"/>
              </w:rPr>
              <w:t>境内自然人</w:t>
            </w:r>
          </w:p>
        </w:tc>
      </w:tr>
      <w:tr w:rsidR="00156DD6">
        <w:trPr>
          <w:cantSplit/>
        </w:trPr>
        <w:bookmarkEnd w:id="131" w:displacedByCustomXml="next"/>
        <w:sdt>
          <w:sdtPr>
            <w:tag w:val="_PLD_6f36efd0621247ffb7b2462dd9753e27"/>
            <w:id w:val="1465382920"/>
          </w:sdtPr>
          <w:sdtEndPr/>
          <w:sdtContent>
            <w:tc>
              <w:tcPr>
                <w:tcW w:w="0" w:type="auto"/>
                <w:gridSpan w:val="9"/>
                <w:vAlign w:val="center"/>
              </w:tcPr>
              <w:p w:rsidR="00156DD6" w:rsidRDefault="00D51F5F">
                <w:pPr>
                  <w:jc w:val="center"/>
                  <w:rPr>
                    <w:color w:val="000000" w:themeColor="text1"/>
                  </w:rPr>
                </w:pPr>
                <w:r>
                  <w:rPr>
                    <w:rFonts w:hint="eastAsia"/>
                    <w:color w:val="000000" w:themeColor="text1"/>
                  </w:rPr>
                  <w:t>前十名无限售条件股东持股情况（不含通过转融通出借股份）</w:t>
                </w:r>
              </w:p>
            </w:tc>
          </w:sdtContent>
        </w:sdt>
      </w:tr>
      <w:tr w:rsidR="00156DD6">
        <w:trPr>
          <w:cantSplit/>
        </w:trPr>
        <w:sdt>
          <w:sdtPr>
            <w:tag w:val="_PLD_6c8c7d50ba2b44858757eeaaa20b5499"/>
            <w:id w:val="-1141116106"/>
          </w:sdtPr>
          <w:sdtEndPr/>
          <w:sdtContent>
            <w:tc>
              <w:tcPr>
                <w:tcW w:w="2101" w:type="dxa"/>
                <w:gridSpan w:val="2"/>
                <w:vMerge w:val="restart"/>
                <w:vAlign w:val="center"/>
              </w:tcPr>
              <w:p w:rsidR="00156DD6" w:rsidRDefault="00D51F5F">
                <w:pPr>
                  <w:jc w:val="center"/>
                  <w:rPr>
                    <w:color w:val="000000" w:themeColor="text1"/>
                  </w:rPr>
                </w:pPr>
                <w:r>
                  <w:rPr>
                    <w:color w:val="000000" w:themeColor="text1"/>
                  </w:rPr>
                  <w:t>股东名称</w:t>
                </w:r>
              </w:p>
            </w:tc>
          </w:sdtContent>
        </w:sdt>
        <w:sdt>
          <w:sdtPr>
            <w:tag w:val="_PLD_e4987b1a07a6489c82ab5ef0aa3370ea"/>
            <w:id w:val="-722755261"/>
          </w:sdtPr>
          <w:sdtEndPr/>
          <w:sdtContent>
            <w:tc>
              <w:tcPr>
                <w:tcW w:w="2856" w:type="dxa"/>
                <w:gridSpan w:val="3"/>
                <w:vMerge w:val="restart"/>
                <w:vAlign w:val="center"/>
              </w:tcPr>
              <w:p w:rsidR="00156DD6" w:rsidRDefault="00D51F5F">
                <w:pPr>
                  <w:jc w:val="center"/>
                  <w:rPr>
                    <w:color w:val="000000" w:themeColor="text1"/>
                  </w:rPr>
                </w:pPr>
                <w:r>
                  <w:rPr>
                    <w:color w:val="000000" w:themeColor="text1"/>
                  </w:rPr>
                  <w:t>持有无限售条件流通股的数量</w:t>
                </w:r>
              </w:p>
            </w:tc>
          </w:sdtContent>
        </w:sdt>
        <w:sdt>
          <w:sdtPr>
            <w:tag w:val="_PLD_26ce78cac14a427ca05aa80b21b65936"/>
            <w:id w:val="-91084702"/>
          </w:sdtPr>
          <w:sdtEndPr/>
          <w:sdtContent>
            <w:tc>
              <w:tcPr>
                <w:tcW w:w="3866" w:type="dxa"/>
                <w:gridSpan w:val="4"/>
                <w:tcBorders>
                  <w:bottom w:val="single" w:sz="4" w:space="0" w:color="auto"/>
                </w:tcBorders>
                <w:vAlign w:val="center"/>
              </w:tcPr>
              <w:p w:rsidR="00156DD6" w:rsidRDefault="00D51F5F">
                <w:pPr>
                  <w:jc w:val="center"/>
                  <w:rPr>
                    <w:color w:val="000000" w:themeColor="text1"/>
                  </w:rPr>
                </w:pPr>
                <w:r>
                  <w:rPr>
                    <w:color w:val="000000" w:themeColor="text1"/>
                  </w:rPr>
                  <w:t>股份种类</w:t>
                </w:r>
                <w:r>
                  <w:rPr>
                    <w:rFonts w:hint="eastAsia"/>
                    <w:color w:val="000000" w:themeColor="text1"/>
                  </w:rPr>
                  <w:t>及数量</w:t>
                </w:r>
              </w:p>
            </w:tc>
          </w:sdtContent>
        </w:sdt>
      </w:tr>
      <w:tr w:rsidR="00156DD6">
        <w:trPr>
          <w:cantSplit/>
        </w:trPr>
        <w:tc>
          <w:tcPr>
            <w:tcW w:w="2101" w:type="dxa"/>
            <w:gridSpan w:val="2"/>
            <w:vMerge/>
            <w:vAlign w:val="center"/>
          </w:tcPr>
          <w:p w:rsidR="00156DD6" w:rsidRDefault="00156DD6">
            <w:pPr>
              <w:jc w:val="center"/>
              <w:rPr>
                <w:color w:val="000000" w:themeColor="text1"/>
              </w:rPr>
            </w:pPr>
          </w:p>
        </w:tc>
        <w:tc>
          <w:tcPr>
            <w:tcW w:w="2856" w:type="dxa"/>
            <w:gridSpan w:val="3"/>
            <w:vMerge/>
            <w:vAlign w:val="center"/>
          </w:tcPr>
          <w:p w:rsidR="00156DD6" w:rsidRDefault="00156DD6">
            <w:pPr>
              <w:jc w:val="center"/>
              <w:rPr>
                <w:color w:val="000000" w:themeColor="text1"/>
              </w:rPr>
            </w:pPr>
          </w:p>
        </w:tc>
        <w:sdt>
          <w:sdtPr>
            <w:tag w:val="_PLD_05580a00e3f942c0b2da618818a84669"/>
            <w:id w:val="-2113579960"/>
          </w:sdtPr>
          <w:sdtEndPr/>
          <w:sdtContent>
            <w:tc>
              <w:tcPr>
                <w:tcW w:w="1862" w:type="dxa"/>
                <w:gridSpan w:val="2"/>
                <w:vAlign w:val="center"/>
              </w:tcPr>
              <w:p w:rsidR="00156DD6" w:rsidRDefault="00D51F5F">
                <w:pPr>
                  <w:jc w:val="center"/>
                  <w:rPr>
                    <w:color w:val="000000" w:themeColor="text1"/>
                  </w:rPr>
                </w:pPr>
                <w:r>
                  <w:rPr>
                    <w:rFonts w:hint="eastAsia"/>
                    <w:color w:val="000000" w:themeColor="text1"/>
                  </w:rPr>
                  <w:t>种类</w:t>
                </w:r>
              </w:p>
            </w:tc>
          </w:sdtContent>
        </w:sdt>
        <w:sdt>
          <w:sdtPr>
            <w:tag w:val="_PLD_7f8ec6251e234192b411b34b07ccd732"/>
            <w:id w:val="-1311547270"/>
          </w:sdtPr>
          <w:sdtEndPr/>
          <w:sdtContent>
            <w:tc>
              <w:tcPr>
                <w:tcW w:w="0" w:type="auto"/>
                <w:gridSpan w:val="2"/>
                <w:vAlign w:val="center"/>
              </w:tcPr>
              <w:p w:rsidR="00156DD6" w:rsidRDefault="00D51F5F">
                <w:pPr>
                  <w:jc w:val="center"/>
                  <w:rPr>
                    <w:color w:val="000000" w:themeColor="text1"/>
                  </w:rPr>
                </w:pPr>
                <w:r>
                  <w:rPr>
                    <w:rFonts w:hint="eastAsia"/>
                    <w:color w:val="000000" w:themeColor="text1"/>
                  </w:rPr>
                  <w:t>数量</w:t>
                </w:r>
              </w:p>
            </w:tc>
          </w:sdtContent>
        </w:sdt>
      </w:tr>
      <w:tr w:rsidR="00156DD6">
        <w:trPr>
          <w:cantSplit/>
        </w:trPr>
        <w:tc>
          <w:tcPr>
            <w:tcW w:w="2101" w:type="dxa"/>
            <w:gridSpan w:val="2"/>
          </w:tcPr>
          <w:p w:rsidR="00156DD6" w:rsidRDefault="00D51F5F">
            <w:pPr>
              <w:pStyle w:val="Style43"/>
            </w:pPr>
            <w:bookmarkStart w:id="132" w:name="_Hlk204345218"/>
            <w:bookmarkStart w:id="133" w:name="OLE_LINK28"/>
            <w:bookmarkStart w:id="134" w:name="OLE_LINK31"/>
            <w:r>
              <w:rPr>
                <w:rFonts w:hint="eastAsia"/>
              </w:rPr>
              <w:t>杨泽民</w:t>
            </w:r>
          </w:p>
        </w:tc>
        <w:tc>
          <w:tcPr>
            <w:tcW w:w="2856" w:type="dxa"/>
            <w:gridSpan w:val="3"/>
            <w:vAlign w:val="center"/>
          </w:tcPr>
          <w:p w:rsidR="00156DD6" w:rsidRDefault="00D51F5F">
            <w:pPr>
              <w:jc w:val="right"/>
            </w:pPr>
            <w:r>
              <w:t xml:space="preserve"> 52,618,391 </w:t>
            </w:r>
          </w:p>
        </w:tc>
        <w:sdt>
          <w:sdtPr>
            <w:rPr>
              <w:bCs w:val="0"/>
              <w:color w:val="000000" w:themeColor="text1"/>
            </w:rPr>
            <w:alias w:val="前十名无限售条件股东期末持有流通股的种类"/>
            <w:tag w:val="_GBC_5d0d3dfc3b8545ce906ab8a21728fb94"/>
            <w:id w:val="201426240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862" w:type="dxa"/>
                <w:gridSpan w:val="2"/>
                <w:vAlign w:val="center"/>
              </w:tcPr>
              <w:p w:rsidR="00156DD6" w:rsidRDefault="00D51F5F">
                <w:pPr>
                  <w:jc w:val="right"/>
                  <w:rPr>
                    <w:bCs w:val="0"/>
                    <w:color w:val="000000" w:themeColor="text1"/>
                  </w:rPr>
                </w:pPr>
                <w:r>
                  <w:rPr>
                    <w:bCs w:val="0"/>
                    <w:color w:val="000000" w:themeColor="text1"/>
                  </w:rPr>
                  <w:t>人民币普通股</w:t>
                </w:r>
              </w:p>
            </w:tc>
          </w:sdtContent>
        </w:sdt>
        <w:tc>
          <w:tcPr>
            <w:tcW w:w="0" w:type="auto"/>
            <w:gridSpan w:val="2"/>
            <w:vAlign w:val="center"/>
          </w:tcPr>
          <w:p w:rsidR="00156DD6" w:rsidRDefault="00D51F5F">
            <w:pPr>
              <w:jc w:val="right"/>
            </w:pPr>
            <w:r>
              <w:t xml:space="preserve"> 52,618,391 </w:t>
            </w:r>
          </w:p>
        </w:tc>
      </w:tr>
      <w:tr w:rsidR="00156DD6">
        <w:trPr>
          <w:cantSplit/>
        </w:trPr>
        <w:tc>
          <w:tcPr>
            <w:tcW w:w="2101" w:type="dxa"/>
            <w:gridSpan w:val="2"/>
          </w:tcPr>
          <w:p w:rsidR="00156DD6" w:rsidRDefault="00D51F5F">
            <w:pPr>
              <w:pStyle w:val="Style43"/>
            </w:pPr>
            <w:bookmarkStart w:id="135" w:name="_Hlk204345255"/>
            <w:r>
              <w:rPr>
                <w:rFonts w:hint="eastAsia"/>
              </w:rPr>
              <w:t>秦惠兰</w:t>
            </w:r>
          </w:p>
        </w:tc>
        <w:tc>
          <w:tcPr>
            <w:tcW w:w="2856" w:type="dxa"/>
            <w:gridSpan w:val="3"/>
            <w:vAlign w:val="center"/>
          </w:tcPr>
          <w:p w:rsidR="00156DD6" w:rsidRDefault="00D51F5F">
            <w:pPr>
              <w:jc w:val="right"/>
            </w:pPr>
            <w:r>
              <w:t xml:space="preserve"> 40,841,700 </w:t>
            </w:r>
          </w:p>
        </w:tc>
        <w:tc>
          <w:tcPr>
            <w:tcW w:w="1862" w:type="dxa"/>
            <w:gridSpan w:val="2"/>
            <w:vAlign w:val="center"/>
          </w:tcPr>
          <w:p w:rsidR="00156DD6" w:rsidRDefault="00D51F5F">
            <w:pPr>
              <w:jc w:val="right"/>
              <w:rPr>
                <w:bCs w:val="0"/>
                <w:color w:val="000000" w:themeColor="text1"/>
              </w:rPr>
            </w:pPr>
            <w:r>
              <w:rPr>
                <w:rFonts w:hint="eastAsia"/>
                <w:color w:val="000000" w:themeColor="text1"/>
              </w:rPr>
              <w:t xml:space="preserve">　人民币普通股</w:t>
            </w:r>
          </w:p>
        </w:tc>
        <w:tc>
          <w:tcPr>
            <w:tcW w:w="0" w:type="auto"/>
            <w:gridSpan w:val="2"/>
            <w:vAlign w:val="center"/>
          </w:tcPr>
          <w:p w:rsidR="00156DD6" w:rsidRDefault="00D51F5F">
            <w:pPr>
              <w:jc w:val="right"/>
            </w:pPr>
            <w:r>
              <w:t xml:space="preserve"> 40,841,700 </w:t>
            </w:r>
          </w:p>
        </w:tc>
      </w:tr>
      <w:tr w:rsidR="00156DD6">
        <w:trPr>
          <w:cantSplit/>
        </w:trPr>
        <w:tc>
          <w:tcPr>
            <w:tcW w:w="2101" w:type="dxa"/>
            <w:gridSpan w:val="2"/>
          </w:tcPr>
          <w:p w:rsidR="00156DD6" w:rsidRDefault="00D51F5F">
            <w:pPr>
              <w:pStyle w:val="Style43"/>
            </w:pPr>
            <w:r>
              <w:rPr>
                <w:rFonts w:hint="eastAsia"/>
              </w:rPr>
              <w:t>杨秦</w:t>
            </w:r>
          </w:p>
        </w:tc>
        <w:tc>
          <w:tcPr>
            <w:tcW w:w="2856" w:type="dxa"/>
            <w:gridSpan w:val="3"/>
            <w:vAlign w:val="center"/>
          </w:tcPr>
          <w:p w:rsidR="00156DD6" w:rsidRDefault="00D51F5F">
            <w:pPr>
              <w:jc w:val="right"/>
            </w:pPr>
            <w:r>
              <w:t xml:space="preserve"> 18,015,000 </w:t>
            </w:r>
          </w:p>
        </w:tc>
        <w:tc>
          <w:tcPr>
            <w:tcW w:w="1862" w:type="dxa"/>
            <w:gridSpan w:val="2"/>
            <w:vAlign w:val="center"/>
          </w:tcPr>
          <w:p w:rsidR="00156DD6" w:rsidRDefault="00D51F5F">
            <w:pPr>
              <w:jc w:val="right"/>
              <w:rPr>
                <w:bCs w:val="0"/>
                <w:color w:val="000000" w:themeColor="text1"/>
              </w:rPr>
            </w:pPr>
            <w:r>
              <w:rPr>
                <w:rFonts w:hint="eastAsia"/>
                <w:color w:val="000000" w:themeColor="text1"/>
              </w:rPr>
              <w:t xml:space="preserve">　人民币普通股</w:t>
            </w:r>
          </w:p>
        </w:tc>
        <w:tc>
          <w:tcPr>
            <w:tcW w:w="0" w:type="auto"/>
            <w:gridSpan w:val="2"/>
            <w:vAlign w:val="center"/>
          </w:tcPr>
          <w:p w:rsidR="00156DD6" w:rsidRDefault="00D51F5F">
            <w:pPr>
              <w:jc w:val="right"/>
            </w:pPr>
            <w:r>
              <w:t xml:space="preserve"> 18,015,000 </w:t>
            </w:r>
          </w:p>
        </w:tc>
      </w:tr>
      <w:tr w:rsidR="00156DD6">
        <w:trPr>
          <w:cantSplit/>
        </w:trPr>
        <w:tc>
          <w:tcPr>
            <w:tcW w:w="2101" w:type="dxa"/>
            <w:gridSpan w:val="2"/>
          </w:tcPr>
          <w:p w:rsidR="00156DD6" w:rsidRDefault="00D51F5F">
            <w:pPr>
              <w:pStyle w:val="Style43"/>
            </w:pPr>
            <w:r>
              <w:rPr>
                <w:rFonts w:hint="eastAsia"/>
              </w:rPr>
              <w:t>杨耀</w:t>
            </w:r>
          </w:p>
        </w:tc>
        <w:tc>
          <w:tcPr>
            <w:tcW w:w="2856" w:type="dxa"/>
            <w:gridSpan w:val="3"/>
            <w:vAlign w:val="center"/>
          </w:tcPr>
          <w:p w:rsidR="00156DD6" w:rsidRDefault="00D51F5F">
            <w:pPr>
              <w:jc w:val="right"/>
            </w:pPr>
            <w:r>
              <w:t xml:space="preserve"> 18,000,050 </w:t>
            </w:r>
          </w:p>
        </w:tc>
        <w:tc>
          <w:tcPr>
            <w:tcW w:w="1862" w:type="dxa"/>
            <w:gridSpan w:val="2"/>
            <w:vAlign w:val="center"/>
          </w:tcPr>
          <w:p w:rsidR="00156DD6" w:rsidRDefault="00D51F5F">
            <w:pPr>
              <w:jc w:val="right"/>
              <w:rPr>
                <w:bCs w:val="0"/>
                <w:color w:val="000000" w:themeColor="text1"/>
              </w:rPr>
            </w:pPr>
            <w:r>
              <w:rPr>
                <w:rFonts w:hint="eastAsia"/>
                <w:color w:val="000000" w:themeColor="text1"/>
              </w:rPr>
              <w:t xml:space="preserve">　人民币普通股</w:t>
            </w:r>
          </w:p>
        </w:tc>
        <w:tc>
          <w:tcPr>
            <w:tcW w:w="0" w:type="auto"/>
            <w:gridSpan w:val="2"/>
            <w:vAlign w:val="center"/>
          </w:tcPr>
          <w:p w:rsidR="00156DD6" w:rsidRDefault="00D51F5F">
            <w:pPr>
              <w:jc w:val="right"/>
            </w:pPr>
            <w:r>
              <w:t xml:space="preserve"> 18,000,050 </w:t>
            </w:r>
          </w:p>
        </w:tc>
      </w:tr>
      <w:tr w:rsidR="00156DD6">
        <w:trPr>
          <w:cantSplit/>
        </w:trPr>
        <w:tc>
          <w:tcPr>
            <w:tcW w:w="2101" w:type="dxa"/>
            <w:gridSpan w:val="2"/>
          </w:tcPr>
          <w:p w:rsidR="00156DD6" w:rsidRDefault="00D51F5F">
            <w:pPr>
              <w:pStyle w:val="Style43"/>
            </w:pPr>
            <w:r>
              <w:rPr>
                <w:rFonts w:hint="eastAsia"/>
              </w:rPr>
              <w:t>杨厚群</w:t>
            </w:r>
          </w:p>
        </w:tc>
        <w:tc>
          <w:tcPr>
            <w:tcW w:w="2856" w:type="dxa"/>
            <w:gridSpan w:val="3"/>
            <w:vAlign w:val="center"/>
          </w:tcPr>
          <w:p w:rsidR="00156DD6" w:rsidRDefault="00D51F5F">
            <w:pPr>
              <w:jc w:val="right"/>
            </w:pPr>
            <w:r>
              <w:t xml:space="preserve"> 7,500,000 </w:t>
            </w:r>
          </w:p>
        </w:tc>
        <w:tc>
          <w:tcPr>
            <w:tcW w:w="1862" w:type="dxa"/>
            <w:gridSpan w:val="2"/>
            <w:vAlign w:val="center"/>
          </w:tcPr>
          <w:p w:rsidR="00156DD6" w:rsidRDefault="00D51F5F">
            <w:pPr>
              <w:jc w:val="right"/>
              <w:rPr>
                <w:bCs w:val="0"/>
                <w:color w:val="000000" w:themeColor="text1"/>
              </w:rPr>
            </w:pPr>
            <w:r>
              <w:rPr>
                <w:rFonts w:hint="eastAsia"/>
                <w:color w:val="000000" w:themeColor="text1"/>
              </w:rPr>
              <w:t>人民币普通股</w:t>
            </w:r>
          </w:p>
        </w:tc>
        <w:tc>
          <w:tcPr>
            <w:tcW w:w="0" w:type="auto"/>
            <w:gridSpan w:val="2"/>
            <w:vAlign w:val="center"/>
          </w:tcPr>
          <w:p w:rsidR="00156DD6" w:rsidRDefault="00D51F5F">
            <w:pPr>
              <w:jc w:val="right"/>
            </w:pPr>
            <w:r>
              <w:t xml:space="preserve"> 7,500,000 </w:t>
            </w:r>
          </w:p>
        </w:tc>
      </w:tr>
      <w:tr w:rsidR="00156DD6">
        <w:trPr>
          <w:cantSplit/>
        </w:trPr>
        <w:tc>
          <w:tcPr>
            <w:tcW w:w="2101" w:type="dxa"/>
            <w:gridSpan w:val="2"/>
          </w:tcPr>
          <w:p w:rsidR="00156DD6" w:rsidRDefault="00D51F5F">
            <w:pPr>
              <w:pStyle w:val="Style43"/>
            </w:pPr>
            <w:r>
              <w:rPr>
                <w:rFonts w:hint="eastAsia"/>
              </w:rPr>
              <w:t>秦勇</w:t>
            </w:r>
          </w:p>
        </w:tc>
        <w:tc>
          <w:tcPr>
            <w:tcW w:w="2856" w:type="dxa"/>
            <w:gridSpan w:val="3"/>
            <w:vAlign w:val="center"/>
          </w:tcPr>
          <w:p w:rsidR="00156DD6" w:rsidRDefault="00D51F5F">
            <w:pPr>
              <w:jc w:val="right"/>
            </w:pPr>
            <w:r>
              <w:t xml:space="preserve"> 5,400,000 </w:t>
            </w:r>
          </w:p>
        </w:tc>
        <w:tc>
          <w:tcPr>
            <w:tcW w:w="1862" w:type="dxa"/>
            <w:gridSpan w:val="2"/>
            <w:vAlign w:val="center"/>
          </w:tcPr>
          <w:p w:rsidR="00156DD6" w:rsidRDefault="00D51F5F">
            <w:pPr>
              <w:jc w:val="right"/>
              <w:rPr>
                <w:bCs w:val="0"/>
                <w:color w:val="000000" w:themeColor="text1"/>
              </w:rPr>
            </w:pPr>
            <w:r>
              <w:rPr>
                <w:rFonts w:hint="eastAsia"/>
                <w:color w:val="000000" w:themeColor="text1"/>
              </w:rPr>
              <w:t>人民币普通股</w:t>
            </w:r>
          </w:p>
        </w:tc>
        <w:tc>
          <w:tcPr>
            <w:tcW w:w="0" w:type="auto"/>
            <w:gridSpan w:val="2"/>
            <w:vAlign w:val="center"/>
          </w:tcPr>
          <w:p w:rsidR="00156DD6" w:rsidRDefault="00D51F5F">
            <w:pPr>
              <w:jc w:val="right"/>
            </w:pPr>
            <w:r>
              <w:t xml:space="preserve"> 5,400,000 </w:t>
            </w:r>
          </w:p>
        </w:tc>
      </w:tr>
      <w:tr w:rsidR="00156DD6">
        <w:trPr>
          <w:cantSplit/>
        </w:trPr>
        <w:tc>
          <w:tcPr>
            <w:tcW w:w="2101" w:type="dxa"/>
            <w:gridSpan w:val="2"/>
          </w:tcPr>
          <w:p w:rsidR="00156DD6" w:rsidRDefault="00D51F5F">
            <w:pPr>
              <w:pStyle w:val="Style43"/>
            </w:pPr>
            <w:r>
              <w:rPr>
                <w:rFonts w:hint="eastAsia"/>
              </w:rPr>
              <w:t>西南证券股份有限公司约定购回式证券交易专用证券账户</w:t>
            </w:r>
          </w:p>
        </w:tc>
        <w:tc>
          <w:tcPr>
            <w:tcW w:w="2856" w:type="dxa"/>
            <w:gridSpan w:val="3"/>
            <w:vAlign w:val="center"/>
          </w:tcPr>
          <w:p w:rsidR="00156DD6" w:rsidRDefault="00D51F5F">
            <w:pPr>
              <w:jc w:val="right"/>
            </w:pPr>
            <w:r>
              <w:t xml:space="preserve"> 4,553,200 </w:t>
            </w:r>
          </w:p>
        </w:tc>
        <w:tc>
          <w:tcPr>
            <w:tcW w:w="1862" w:type="dxa"/>
            <w:gridSpan w:val="2"/>
            <w:vAlign w:val="center"/>
          </w:tcPr>
          <w:p w:rsidR="00156DD6" w:rsidRDefault="00D51F5F">
            <w:pPr>
              <w:jc w:val="right"/>
              <w:rPr>
                <w:bCs w:val="0"/>
                <w:color w:val="000000" w:themeColor="text1"/>
              </w:rPr>
            </w:pPr>
            <w:r>
              <w:rPr>
                <w:rFonts w:hint="eastAsia"/>
                <w:color w:val="000000" w:themeColor="text1"/>
              </w:rPr>
              <w:t>人民币普通股</w:t>
            </w:r>
          </w:p>
        </w:tc>
        <w:tc>
          <w:tcPr>
            <w:tcW w:w="0" w:type="auto"/>
            <w:gridSpan w:val="2"/>
            <w:vAlign w:val="center"/>
          </w:tcPr>
          <w:p w:rsidR="00156DD6" w:rsidRDefault="00D51F5F">
            <w:pPr>
              <w:jc w:val="right"/>
            </w:pPr>
            <w:r>
              <w:t xml:space="preserve"> 4,553,200 </w:t>
            </w:r>
          </w:p>
        </w:tc>
      </w:tr>
      <w:tr w:rsidR="00156DD6">
        <w:trPr>
          <w:cantSplit/>
        </w:trPr>
        <w:tc>
          <w:tcPr>
            <w:tcW w:w="2101" w:type="dxa"/>
            <w:gridSpan w:val="2"/>
          </w:tcPr>
          <w:p w:rsidR="00156DD6" w:rsidRDefault="00D51F5F">
            <w:pPr>
              <w:pStyle w:val="Style43"/>
            </w:pPr>
            <w:r>
              <w:rPr>
                <w:rFonts w:hint="eastAsia"/>
              </w:rPr>
              <w:t>王育森</w:t>
            </w:r>
          </w:p>
        </w:tc>
        <w:tc>
          <w:tcPr>
            <w:tcW w:w="2856" w:type="dxa"/>
            <w:gridSpan w:val="3"/>
            <w:vAlign w:val="center"/>
          </w:tcPr>
          <w:p w:rsidR="00156DD6" w:rsidRDefault="00D51F5F">
            <w:pPr>
              <w:jc w:val="right"/>
            </w:pPr>
            <w:r>
              <w:t xml:space="preserve"> 3,897,100 </w:t>
            </w:r>
          </w:p>
        </w:tc>
        <w:tc>
          <w:tcPr>
            <w:tcW w:w="1862" w:type="dxa"/>
            <w:gridSpan w:val="2"/>
            <w:vAlign w:val="center"/>
          </w:tcPr>
          <w:p w:rsidR="00156DD6" w:rsidRDefault="00D51F5F">
            <w:pPr>
              <w:jc w:val="right"/>
              <w:rPr>
                <w:bCs w:val="0"/>
                <w:color w:val="000000" w:themeColor="text1"/>
              </w:rPr>
            </w:pPr>
            <w:r>
              <w:rPr>
                <w:rFonts w:hint="eastAsia"/>
                <w:color w:val="000000" w:themeColor="text1"/>
              </w:rPr>
              <w:t>人民币普通股</w:t>
            </w:r>
          </w:p>
        </w:tc>
        <w:tc>
          <w:tcPr>
            <w:tcW w:w="0" w:type="auto"/>
            <w:gridSpan w:val="2"/>
            <w:vAlign w:val="center"/>
          </w:tcPr>
          <w:p w:rsidR="00156DD6" w:rsidRDefault="00D51F5F">
            <w:pPr>
              <w:jc w:val="right"/>
            </w:pPr>
            <w:r>
              <w:t xml:space="preserve"> 3,897,100 </w:t>
            </w:r>
          </w:p>
        </w:tc>
      </w:tr>
      <w:tr w:rsidR="00156DD6">
        <w:trPr>
          <w:cantSplit/>
        </w:trPr>
        <w:tc>
          <w:tcPr>
            <w:tcW w:w="2101" w:type="dxa"/>
            <w:gridSpan w:val="2"/>
          </w:tcPr>
          <w:p w:rsidR="00156DD6" w:rsidRDefault="00D51F5F">
            <w:pPr>
              <w:pStyle w:val="Style43"/>
            </w:pPr>
            <w:r>
              <w:rPr>
                <w:rFonts w:hint="eastAsia"/>
              </w:rPr>
              <w:t>夏强</w:t>
            </w:r>
          </w:p>
        </w:tc>
        <w:tc>
          <w:tcPr>
            <w:tcW w:w="2856" w:type="dxa"/>
            <w:gridSpan w:val="3"/>
            <w:vAlign w:val="center"/>
          </w:tcPr>
          <w:p w:rsidR="00156DD6" w:rsidRDefault="00D51F5F">
            <w:pPr>
              <w:jc w:val="right"/>
            </w:pPr>
            <w:r>
              <w:t xml:space="preserve"> 2,306,000 </w:t>
            </w:r>
          </w:p>
        </w:tc>
        <w:tc>
          <w:tcPr>
            <w:tcW w:w="1862" w:type="dxa"/>
            <w:gridSpan w:val="2"/>
            <w:vAlign w:val="center"/>
          </w:tcPr>
          <w:p w:rsidR="00156DD6" w:rsidRDefault="00D51F5F">
            <w:pPr>
              <w:jc w:val="right"/>
              <w:rPr>
                <w:bCs w:val="0"/>
                <w:color w:val="000000" w:themeColor="text1"/>
              </w:rPr>
            </w:pPr>
            <w:r>
              <w:rPr>
                <w:rFonts w:hint="eastAsia"/>
                <w:color w:val="000000" w:themeColor="text1"/>
              </w:rPr>
              <w:t>人民币普通股</w:t>
            </w:r>
          </w:p>
        </w:tc>
        <w:tc>
          <w:tcPr>
            <w:tcW w:w="0" w:type="auto"/>
            <w:gridSpan w:val="2"/>
            <w:vAlign w:val="center"/>
          </w:tcPr>
          <w:p w:rsidR="00156DD6" w:rsidRDefault="00D51F5F">
            <w:pPr>
              <w:jc w:val="right"/>
            </w:pPr>
            <w:r>
              <w:t xml:space="preserve"> 2,306,000 </w:t>
            </w:r>
          </w:p>
        </w:tc>
      </w:tr>
      <w:tr w:rsidR="00156DD6">
        <w:trPr>
          <w:cantSplit/>
        </w:trPr>
        <w:tc>
          <w:tcPr>
            <w:tcW w:w="2101" w:type="dxa"/>
            <w:gridSpan w:val="2"/>
          </w:tcPr>
          <w:p w:rsidR="00156DD6" w:rsidRDefault="00D51F5F">
            <w:pPr>
              <w:pStyle w:val="Style43"/>
            </w:pPr>
            <w:r>
              <w:rPr>
                <w:rFonts w:hint="eastAsia"/>
              </w:rPr>
              <w:t>赵桂芬</w:t>
            </w:r>
          </w:p>
        </w:tc>
        <w:tc>
          <w:tcPr>
            <w:tcW w:w="2856" w:type="dxa"/>
            <w:gridSpan w:val="3"/>
            <w:vAlign w:val="center"/>
          </w:tcPr>
          <w:p w:rsidR="00156DD6" w:rsidRDefault="00D51F5F">
            <w:pPr>
              <w:jc w:val="right"/>
            </w:pPr>
            <w:r>
              <w:t xml:space="preserve"> 2,172,800 </w:t>
            </w:r>
          </w:p>
        </w:tc>
        <w:tc>
          <w:tcPr>
            <w:tcW w:w="1862" w:type="dxa"/>
            <w:gridSpan w:val="2"/>
            <w:vAlign w:val="center"/>
          </w:tcPr>
          <w:p w:rsidR="00156DD6" w:rsidRDefault="00D51F5F">
            <w:pPr>
              <w:jc w:val="right"/>
              <w:rPr>
                <w:bCs w:val="0"/>
                <w:color w:val="000000" w:themeColor="text1"/>
              </w:rPr>
            </w:pPr>
            <w:r>
              <w:rPr>
                <w:rFonts w:hint="eastAsia"/>
                <w:color w:val="000000" w:themeColor="text1"/>
              </w:rPr>
              <w:t>人民币普通股</w:t>
            </w:r>
          </w:p>
        </w:tc>
        <w:tc>
          <w:tcPr>
            <w:tcW w:w="0" w:type="auto"/>
            <w:gridSpan w:val="2"/>
            <w:vAlign w:val="center"/>
          </w:tcPr>
          <w:p w:rsidR="00156DD6" w:rsidRDefault="00D51F5F">
            <w:pPr>
              <w:jc w:val="right"/>
            </w:pPr>
            <w:r>
              <w:t xml:space="preserve"> 2,172,800 </w:t>
            </w:r>
          </w:p>
        </w:tc>
      </w:tr>
      <w:bookmarkEnd w:id="132"/>
      <w:bookmarkEnd w:id="133"/>
      <w:bookmarkEnd w:id="134"/>
      <w:bookmarkEnd w:id="135"/>
      <w:tr w:rsidR="00156DD6">
        <w:trPr>
          <w:cantSplit/>
        </w:trPr>
        <w:tc>
          <w:tcPr>
            <w:tcW w:w="2101" w:type="dxa"/>
            <w:gridSpan w:val="2"/>
            <w:vAlign w:val="center"/>
          </w:tcPr>
          <w:p w:rsidR="00156DD6" w:rsidRDefault="00D51F5F">
            <w:pPr>
              <w:rPr>
                <w:color w:val="000000" w:themeColor="text1"/>
              </w:rPr>
            </w:pPr>
            <w:r>
              <w:rPr>
                <w:rFonts w:hint="eastAsia"/>
                <w:color w:val="000000" w:themeColor="text1"/>
              </w:rPr>
              <w:t>前十名股东中回购专户情况说明</w:t>
            </w:r>
          </w:p>
        </w:tc>
        <w:tc>
          <w:tcPr>
            <w:tcW w:w="6722" w:type="dxa"/>
            <w:gridSpan w:val="7"/>
            <w:vAlign w:val="center"/>
          </w:tcPr>
          <w:p w:rsidR="00156DD6" w:rsidRDefault="00D51F5F">
            <w:pPr>
              <w:pStyle w:val="Style43"/>
            </w:pPr>
            <w:r>
              <w:rPr>
                <w:rFonts w:hint="eastAsia"/>
              </w:rPr>
              <w:t>-</w:t>
            </w:r>
          </w:p>
        </w:tc>
      </w:tr>
      <w:tr w:rsidR="00156DD6">
        <w:trPr>
          <w:cantSplit/>
        </w:trPr>
        <w:tc>
          <w:tcPr>
            <w:tcW w:w="2101" w:type="dxa"/>
            <w:gridSpan w:val="2"/>
            <w:vAlign w:val="center"/>
          </w:tcPr>
          <w:p w:rsidR="00156DD6" w:rsidRDefault="00D51F5F">
            <w:pPr>
              <w:rPr>
                <w:color w:val="000000" w:themeColor="text1"/>
              </w:rPr>
            </w:pPr>
            <w:r>
              <w:rPr>
                <w:color w:val="000000" w:themeColor="text1"/>
              </w:rPr>
              <w:t>上述股东</w:t>
            </w:r>
            <w:r>
              <w:rPr>
                <w:rFonts w:hint="eastAsia"/>
                <w:color w:val="000000" w:themeColor="text1"/>
              </w:rPr>
              <w:t>委托表决权、受托表决权、放弃表决权</w:t>
            </w:r>
            <w:r>
              <w:rPr>
                <w:color w:val="000000" w:themeColor="text1"/>
              </w:rPr>
              <w:t>的说明</w:t>
            </w:r>
          </w:p>
        </w:tc>
        <w:tc>
          <w:tcPr>
            <w:tcW w:w="6722" w:type="dxa"/>
            <w:gridSpan w:val="7"/>
            <w:vAlign w:val="center"/>
          </w:tcPr>
          <w:p w:rsidR="00156DD6" w:rsidRDefault="00D51F5F">
            <w:pPr>
              <w:pStyle w:val="Style43"/>
            </w:pPr>
            <w:r>
              <w:rPr>
                <w:rFonts w:hint="eastAsia"/>
              </w:rPr>
              <w:t>-</w:t>
            </w:r>
          </w:p>
        </w:tc>
      </w:tr>
      <w:tr w:rsidR="00156DD6">
        <w:trPr>
          <w:cantSplit/>
        </w:trPr>
        <w:tc>
          <w:tcPr>
            <w:tcW w:w="2101" w:type="dxa"/>
            <w:gridSpan w:val="2"/>
            <w:vAlign w:val="center"/>
          </w:tcPr>
          <w:p w:rsidR="00156DD6" w:rsidRDefault="00D51F5F">
            <w:pPr>
              <w:rPr>
                <w:color w:val="000000" w:themeColor="text1"/>
              </w:rPr>
            </w:pPr>
            <w:r>
              <w:rPr>
                <w:color w:val="000000" w:themeColor="text1"/>
              </w:rPr>
              <w:t>上述股东关联关系或一致行动的说明</w:t>
            </w:r>
          </w:p>
        </w:tc>
        <w:tc>
          <w:tcPr>
            <w:tcW w:w="6722" w:type="dxa"/>
            <w:gridSpan w:val="7"/>
            <w:vAlign w:val="center"/>
          </w:tcPr>
          <w:p w:rsidR="00156DD6" w:rsidRDefault="00D51F5F">
            <w:pPr>
              <w:pStyle w:val="Style43"/>
              <w:rPr>
                <w:sz w:val="21"/>
                <w:szCs w:val="21"/>
              </w:rPr>
            </w:pPr>
            <w:r>
              <w:rPr>
                <w:rFonts w:hint="eastAsia"/>
                <w:sz w:val="21"/>
                <w:szCs w:val="21"/>
              </w:rPr>
              <w:t>上述股东中杨泽民、秦惠兰、杨耀与杨秦系一致行动人，杨泽民与秦惠兰系夫妻关系，其女杨秦与其子杨耀系姐弟关系，杨泽民与杨厚群系兄妹关系；秦惠兰与秦勇系姐妹关系；除此之外，公司未知上述股东是否存在关联关系，也未知上述股东之间是否属于《上市公司收购管理办法》规定的一致行动人。</w:t>
            </w:r>
          </w:p>
        </w:tc>
      </w:tr>
      <w:tr w:rsidR="00156DD6">
        <w:trPr>
          <w:cantSplit/>
        </w:trPr>
        <w:tc>
          <w:tcPr>
            <w:tcW w:w="2101" w:type="dxa"/>
            <w:gridSpan w:val="2"/>
            <w:vAlign w:val="center"/>
          </w:tcPr>
          <w:p w:rsidR="00156DD6" w:rsidRDefault="00D51F5F">
            <w:pPr>
              <w:rPr>
                <w:color w:val="000000" w:themeColor="text1"/>
              </w:rPr>
            </w:pPr>
            <w:r>
              <w:rPr>
                <w:rFonts w:hint="eastAsia"/>
                <w:color w:val="000000" w:themeColor="text1"/>
              </w:rPr>
              <w:t>表决权恢复的优先股股东及持股数量的说明</w:t>
            </w:r>
          </w:p>
        </w:tc>
        <w:tc>
          <w:tcPr>
            <w:tcW w:w="6722" w:type="dxa"/>
            <w:gridSpan w:val="7"/>
            <w:vAlign w:val="center"/>
          </w:tcPr>
          <w:p w:rsidR="00156DD6" w:rsidRDefault="00D51F5F">
            <w:pPr>
              <w:pStyle w:val="Style43"/>
            </w:pPr>
            <w:r>
              <w:rPr>
                <w:rFonts w:hint="eastAsia"/>
              </w:rPr>
              <w:t>-</w:t>
            </w:r>
          </w:p>
        </w:tc>
      </w:tr>
    </w:tbl>
    <w:p w:rsidR="00156DD6" w:rsidRDefault="00156DD6">
      <w:pPr>
        <w:rPr>
          <w:color w:val="000000" w:themeColor="text1"/>
        </w:rPr>
      </w:pPr>
    </w:p>
    <w:p w:rsidR="00156DD6" w:rsidRDefault="00D51F5F">
      <w:pPr>
        <w:rPr>
          <w:color w:val="000000" w:themeColor="text1"/>
        </w:rPr>
      </w:pPr>
      <w:bookmarkStart w:id="136" w:name="_Hlk155094173"/>
      <w:bookmarkStart w:id="137" w:name="_Hlk167799956"/>
      <w:bookmarkStart w:id="138" w:name="_Hlk161154245"/>
      <w:bookmarkStart w:id="139" w:name="_Hlk161321917"/>
      <w:bookmarkStart w:id="140" w:name="_Hlk169006123"/>
      <w:r>
        <w:rPr>
          <w:rFonts w:hint="eastAsia"/>
          <w:color w:val="000000" w:themeColor="text1"/>
        </w:rPr>
        <w:t>持股</w:t>
      </w:r>
      <w:r>
        <w:rPr>
          <w:color w:val="000000" w:themeColor="text1"/>
        </w:rPr>
        <w:t>5%</w:t>
      </w:r>
      <w:r>
        <w:rPr>
          <w:color w:val="000000" w:themeColor="text1"/>
        </w:rPr>
        <w:t>以上股东、前</w:t>
      </w:r>
      <w:r>
        <w:rPr>
          <w:rFonts w:hint="eastAsia"/>
          <w:color w:val="000000" w:themeColor="text1"/>
        </w:rPr>
        <w:t>十</w:t>
      </w:r>
      <w:r>
        <w:rPr>
          <w:color w:val="000000" w:themeColor="text1"/>
        </w:rPr>
        <w:t>名股东及前</w:t>
      </w:r>
      <w:r>
        <w:rPr>
          <w:rFonts w:hint="eastAsia"/>
          <w:color w:val="000000" w:themeColor="text1"/>
        </w:rPr>
        <w:t>十</w:t>
      </w:r>
      <w:r>
        <w:rPr>
          <w:color w:val="000000" w:themeColor="text1"/>
        </w:rPr>
        <w:t>名无限售流通股股东参与转融通业务出借股份情况</w:t>
      </w:r>
    </w:p>
    <w:sdt>
      <w:sdtPr>
        <w:rPr>
          <w:bCs w:val="0"/>
          <w:color w:val="000000" w:themeColor="text1"/>
        </w:rPr>
        <w:alias w:val="是否适用：前十名股东参与转融通业务出借股份情况[双击切换]"/>
        <w:tag w:val="_GBC_781f403c98a6480ab0058d21456ae70f"/>
        <w:id w:val="2032834702"/>
        <w:placeholder>
          <w:docPart w:val="GBC22222222222222222222222222222"/>
        </w:placeholder>
      </w:sdtPr>
      <w:sdtEndPr/>
      <w:sdtContent>
        <w:p w:rsidR="00156DD6" w:rsidRDefault="00D51F5F">
          <w:pPr>
            <w:rPr>
              <w:bCs w:val="0"/>
              <w:color w:val="000000" w:themeColor="text1"/>
            </w:rPr>
          </w:pPr>
          <w:r>
            <w:rPr>
              <w:bCs w:val="0"/>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bCs w:val="0"/>
              <w:color w:val="000000" w:themeColor="text1"/>
            </w:rPr>
            <w:fldChar w:fldCharType="end"/>
          </w:r>
          <w:r>
            <w:rPr>
              <w:bCs w:val="0"/>
              <w:color w:val="000000" w:themeColor="text1"/>
            </w:rPr>
            <w:fldChar w:fldCharType="begin"/>
          </w:r>
          <w:r>
            <w:rPr>
              <w:color w:val="000000" w:themeColor="text1"/>
            </w:rPr>
            <w:instrText xml:space="preserve"> MACROBUTTON  SnrT</w:instrText>
          </w:r>
          <w:r>
            <w:rPr>
              <w:color w:val="000000" w:themeColor="text1"/>
            </w:rPr>
            <w:instrText>oggleCheckbox √</w:instrText>
          </w:r>
          <w:r>
            <w:rPr>
              <w:color w:val="000000" w:themeColor="text1"/>
            </w:rPr>
            <w:instrText>不适用</w:instrText>
          </w:r>
          <w:r>
            <w:rPr>
              <w:color w:val="000000" w:themeColor="text1"/>
            </w:rPr>
            <w:instrText xml:space="preserve"> </w:instrText>
          </w:r>
          <w:r>
            <w:rPr>
              <w:bCs w:val="0"/>
              <w:color w:val="000000" w:themeColor="text1"/>
            </w:rPr>
            <w:fldChar w:fldCharType="end"/>
          </w:r>
        </w:p>
      </w:sdtContent>
    </w:sdt>
    <w:p w:rsidR="00156DD6" w:rsidRDefault="00D51F5F">
      <w:pPr>
        <w:rPr>
          <w:color w:val="000000" w:themeColor="text1"/>
        </w:rPr>
      </w:pPr>
      <w:bookmarkStart w:id="141" w:name="_Hlk155094189"/>
      <w:bookmarkEnd w:id="136"/>
      <w:r>
        <w:rPr>
          <w:rFonts w:hint="eastAsia"/>
          <w:color w:val="000000" w:themeColor="text1"/>
        </w:rPr>
        <w:t>前十</w:t>
      </w:r>
      <w:r>
        <w:rPr>
          <w:color w:val="000000" w:themeColor="text1"/>
        </w:rPr>
        <w:t>名股东及前</w:t>
      </w:r>
      <w:r>
        <w:rPr>
          <w:rFonts w:hint="eastAsia"/>
          <w:color w:val="000000" w:themeColor="text1"/>
        </w:rPr>
        <w:t>十</w:t>
      </w:r>
      <w:r>
        <w:rPr>
          <w:color w:val="000000" w:themeColor="text1"/>
        </w:rPr>
        <w:t>名无限售流通股股东因转融通出借</w:t>
      </w:r>
      <w:r>
        <w:rPr>
          <w:color w:val="000000" w:themeColor="text1"/>
        </w:rPr>
        <w:t>/</w:t>
      </w:r>
      <w:r>
        <w:rPr>
          <w:color w:val="000000" w:themeColor="text1"/>
        </w:rPr>
        <w:t>归还原因导致较上期发生变化</w:t>
      </w:r>
    </w:p>
    <w:sdt>
      <w:sdtPr>
        <w:rPr>
          <w:rFonts w:hint="eastAsia"/>
          <w:color w:val="000000" w:themeColor="text1"/>
        </w:rPr>
        <w:alias w:val="是否适用：前十名股东较上期发生变化[双击切换]"/>
        <w:tag w:val="_GBC_892ba31f016544c894d3e29851e8125d"/>
        <w:id w:val="-53019277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End w:id="137"/>
    <w:bookmarkEnd w:id="138"/>
    <w:bookmarkEnd w:id="139"/>
    <w:bookmarkEnd w:id="140"/>
    <w:bookmarkEnd w:id="141"/>
    <w:p w:rsidR="00156DD6" w:rsidRDefault="00D51F5F">
      <w:pPr>
        <w:rPr>
          <w:color w:val="000000" w:themeColor="text1"/>
        </w:rPr>
      </w:pPr>
      <w:r>
        <w:rPr>
          <w:color w:val="000000" w:themeColor="text1"/>
        </w:rPr>
        <w:t>前十名有限售条件股东持股数量及限售条件</w:t>
      </w:r>
    </w:p>
    <w:sdt>
      <w:sdtPr>
        <w:rPr>
          <w:bCs w:val="0"/>
          <w:color w:val="000000" w:themeColor="text1"/>
        </w:rPr>
        <w:alias w:val="是否适用：前十名有限售条件股东持股数量及限售条件[双击切换]"/>
        <w:tag w:val="_GBC_681c25d581914cb19d4b007c00511b6a"/>
        <w:id w:val="-1922019085"/>
        <w:placeholder>
          <w:docPart w:val="GBC22222222222222222222222222222"/>
        </w:placeholder>
      </w:sdtPr>
      <w:sdtEndPr/>
      <w:sdtContent>
        <w:p w:rsidR="00156DD6" w:rsidRDefault="00D51F5F">
          <w:pPr>
            <w:rPr>
              <w:bCs w:val="0"/>
              <w:color w:val="000000" w:themeColor="text1"/>
            </w:rPr>
          </w:pPr>
          <w:r>
            <w:rPr>
              <w:bCs w:val="0"/>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bCs w:val="0"/>
              <w:color w:val="000000" w:themeColor="text1"/>
            </w:rPr>
            <w:fldChar w:fldCharType="end"/>
          </w:r>
          <w:r>
            <w:rPr>
              <w:bCs w:val="0"/>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bCs w:val="0"/>
              <w:color w:val="000000" w:themeColor="text1"/>
            </w:rPr>
            <w:fldChar w:fldCharType="end"/>
          </w:r>
        </w:p>
      </w:sdtContent>
    </w:sdt>
    <w:p w:rsidR="00156DD6" w:rsidRDefault="00D51F5F">
      <w:pPr>
        <w:jc w:val="right"/>
        <w:rPr>
          <w:color w:val="000000" w:themeColor="text1"/>
        </w:rPr>
      </w:pPr>
      <w:r>
        <w:rPr>
          <w:color w:val="000000" w:themeColor="text1"/>
        </w:rPr>
        <w:lastRenderedPageBreak/>
        <w:t>单位</w:t>
      </w:r>
      <w:r>
        <w:rPr>
          <w:rFonts w:hint="eastAsia"/>
          <w:color w:val="000000" w:themeColor="text1"/>
        </w:rPr>
        <w:t>：</w:t>
      </w:r>
      <w:sdt>
        <w:sdtPr>
          <w:rPr>
            <w:color w:val="000000" w:themeColor="text1"/>
          </w:rPr>
          <w:alias w:val="单位：前十名有限售条件股东持股数量及限售条件"/>
          <w:tag w:val="_GBC_e1f4dc77c6fe470d84a40ebf654565a1"/>
          <w:id w:val="-74317413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color w:val="000000" w:themeColor="text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913"/>
        <w:gridCol w:w="1798"/>
        <w:gridCol w:w="1242"/>
        <w:gridCol w:w="1112"/>
        <w:gridCol w:w="972"/>
      </w:tblGrid>
      <w:tr w:rsidR="00156DD6">
        <w:trPr>
          <w:cantSplit/>
        </w:trPr>
        <w:sdt>
          <w:sdtPr>
            <w:tag w:val="_PLD_c92f9760fb844bdcbf137801edfe1487"/>
            <w:id w:val="336820167"/>
          </w:sdtPr>
          <w:sdtEndPr/>
          <w:sdtContent>
            <w:tc>
              <w:tcPr>
                <w:tcW w:w="445"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序号</w:t>
                </w:r>
              </w:p>
            </w:tc>
          </w:sdtContent>
        </w:sdt>
        <w:sdt>
          <w:sdtPr>
            <w:tag w:val="_PLD_f0351f96214540d48d3086df8f215bd8"/>
            <w:id w:val="1631289045"/>
          </w:sdtPr>
          <w:sdtEndPr/>
          <w:sdtContent>
            <w:tc>
              <w:tcPr>
                <w:tcW w:w="1651"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有限售条件股东名称</w:t>
                </w:r>
              </w:p>
            </w:tc>
          </w:sdtContent>
        </w:sdt>
        <w:sdt>
          <w:sdtPr>
            <w:tag w:val="_PLD_0c27248bc4a349a5829f031d37409979"/>
            <w:id w:val="213313672"/>
          </w:sdtPr>
          <w:sdtEndPr/>
          <w:sdtContent>
            <w:tc>
              <w:tcPr>
                <w:tcW w:w="1019"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持有的有限售条件股份数量</w:t>
                </w:r>
              </w:p>
            </w:tc>
          </w:sdtContent>
        </w:sdt>
        <w:sdt>
          <w:sdtPr>
            <w:tag w:val="_PLD_587ec775b6a04dd5a88413426813db47"/>
            <w:id w:val="600683722"/>
          </w:sdtPr>
          <w:sdtEndPr/>
          <w:sdtContent>
            <w:tc>
              <w:tcPr>
                <w:tcW w:w="1334"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有限售条件股份可上市交易情况</w:t>
                </w:r>
              </w:p>
            </w:tc>
          </w:sdtContent>
        </w:sdt>
        <w:sdt>
          <w:sdtPr>
            <w:tag w:val="_PLD_0d2174cf11f94614b4639460c051a27a"/>
            <w:id w:val="237214003"/>
          </w:sdtPr>
          <w:sdtEndPr/>
          <w:sdtContent>
            <w:tc>
              <w:tcPr>
                <w:tcW w:w="551"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限售条件</w:t>
                </w:r>
              </w:p>
            </w:tc>
          </w:sdtContent>
        </w:sdt>
      </w:tr>
      <w:tr w:rsidR="00156DD6">
        <w:trPr>
          <w:cantSplit/>
        </w:trPr>
        <w:tc>
          <w:tcPr>
            <w:tcW w:w="445" w:type="pct"/>
            <w:vMerge/>
            <w:tcBorders>
              <w:top w:val="single" w:sz="4" w:space="0" w:color="auto"/>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tc>
          <w:tcPr>
            <w:tcW w:w="1651" w:type="pct"/>
            <w:vMerge/>
            <w:tcBorders>
              <w:top w:val="single" w:sz="4" w:space="0" w:color="auto"/>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tc>
          <w:tcPr>
            <w:tcW w:w="1019" w:type="pct"/>
            <w:vMerge/>
            <w:tcBorders>
              <w:top w:val="single" w:sz="4" w:space="0" w:color="auto"/>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sdt>
          <w:sdtPr>
            <w:tag w:val="_PLD_b302119e40884c6483e7fa11ca891aa5"/>
            <w:id w:val="-1607107065"/>
          </w:sdtPr>
          <w:sdtEndPr/>
          <w:sdtContent>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可上市交易时间</w:t>
                </w:r>
              </w:p>
            </w:tc>
          </w:sdtContent>
        </w:sdt>
        <w:sdt>
          <w:sdtPr>
            <w:tag w:val="_PLD_91e34be7fab047108c36f6a6d8a5ce0d"/>
            <w:id w:val="813216044"/>
          </w:sdtPr>
          <w:sdtEndPr/>
          <w:sdtContent>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新增可上市交易股份数量</w:t>
                </w:r>
              </w:p>
            </w:tc>
          </w:sdtContent>
        </w:sdt>
        <w:tc>
          <w:tcPr>
            <w:tcW w:w="551" w:type="pct"/>
            <w:vMerge/>
            <w:tcBorders>
              <w:top w:val="single" w:sz="4" w:space="0" w:color="auto"/>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a8"/>
              <w:rPr>
                <w:rFonts w:ascii="宋体" w:hAnsi="宋体"/>
                <w:color w:val="000000" w:themeColor="text1"/>
              </w:rPr>
            </w:pPr>
            <w:bookmarkStart w:id="142" w:name="OLE_LINK34"/>
            <w:bookmarkStart w:id="143" w:name="OLE_LINK33"/>
            <w:bookmarkStart w:id="144" w:name="OLE_LINK32"/>
            <w:bookmarkStart w:id="145" w:name="_Hlk204353502"/>
            <w:r>
              <w:rPr>
                <w:rFonts w:ascii="宋体" w:hAnsi="宋体"/>
                <w:color w:val="000000" w:themeColor="text1"/>
              </w:rPr>
              <w:t>1</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杨林</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154,000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val="restart"/>
            <w:tcBorders>
              <w:top w:val="single" w:sz="4" w:space="0" w:color="auto"/>
              <w:left w:val="single" w:sz="4" w:space="0" w:color="auto"/>
              <w:right w:val="single" w:sz="4" w:space="0" w:color="auto"/>
            </w:tcBorders>
            <w:vAlign w:val="center"/>
          </w:tcPr>
          <w:p w:rsidR="00156DD6" w:rsidRDefault="00D51F5F">
            <w:pPr>
              <w:pStyle w:val="Style43"/>
              <w:jc w:val="center"/>
            </w:pPr>
            <w:r>
              <w:rPr>
                <w:rFonts w:hint="eastAsia"/>
              </w:rPr>
              <w:t>按公司《</w:t>
            </w:r>
            <w:r>
              <w:rPr>
                <w:rFonts w:hint="eastAsia"/>
              </w:rPr>
              <w:t>2</w:t>
            </w:r>
            <w:r>
              <w:t>024</w:t>
            </w:r>
            <w:r>
              <w:rPr>
                <w:rFonts w:hint="eastAsia"/>
              </w:rPr>
              <w:t>年限制性股票激励计划》规定</w:t>
            </w: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a8"/>
              <w:rPr>
                <w:rFonts w:ascii="宋体" w:hAnsi="宋体"/>
                <w:color w:val="000000" w:themeColor="text1"/>
              </w:rPr>
            </w:pPr>
            <w:r>
              <w:rPr>
                <w:rFonts w:ascii="宋体" w:hAnsi="宋体"/>
                <w:color w:val="000000" w:themeColor="text1"/>
              </w:rPr>
              <w:t>2</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刘柏林</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133,000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tcBorders>
              <w:left w:val="single" w:sz="4" w:space="0" w:color="auto"/>
              <w:right w:val="single" w:sz="4" w:space="0" w:color="auto"/>
            </w:tcBorders>
          </w:tcPr>
          <w:p w:rsidR="00156DD6" w:rsidRDefault="00156DD6">
            <w:pPr>
              <w:pStyle w:val="Style43"/>
            </w:pP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a8"/>
              <w:rPr>
                <w:rFonts w:ascii="宋体" w:hAnsi="宋体"/>
                <w:color w:val="000000" w:themeColor="text1"/>
              </w:rPr>
            </w:pPr>
            <w:r>
              <w:rPr>
                <w:rFonts w:ascii="宋体" w:hAnsi="宋体"/>
                <w:color w:val="000000" w:themeColor="text1"/>
              </w:rPr>
              <w:t>3</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邹红</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98,000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tcBorders>
              <w:left w:val="single" w:sz="4" w:space="0" w:color="auto"/>
              <w:right w:val="single" w:sz="4" w:space="0" w:color="auto"/>
            </w:tcBorders>
          </w:tcPr>
          <w:p w:rsidR="00156DD6" w:rsidRDefault="00156DD6">
            <w:pPr>
              <w:pStyle w:val="Style43"/>
            </w:pP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a8"/>
              <w:rPr>
                <w:rFonts w:ascii="宋体" w:hAnsi="宋体"/>
                <w:color w:val="000000" w:themeColor="text1"/>
              </w:rPr>
            </w:pPr>
            <w:r>
              <w:rPr>
                <w:rFonts w:ascii="宋体" w:hAnsi="宋体"/>
                <w:color w:val="000000" w:themeColor="text1"/>
              </w:rPr>
              <w:t>4</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胡守天</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63,000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tcBorders>
              <w:left w:val="single" w:sz="4" w:space="0" w:color="auto"/>
              <w:right w:val="single" w:sz="4" w:space="0" w:color="auto"/>
            </w:tcBorders>
          </w:tcPr>
          <w:p w:rsidR="00156DD6" w:rsidRDefault="00156DD6">
            <w:pPr>
              <w:pStyle w:val="Style43"/>
            </w:pP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a8"/>
              <w:rPr>
                <w:rFonts w:ascii="宋体" w:hAnsi="宋体"/>
                <w:color w:val="000000" w:themeColor="text1"/>
              </w:rPr>
            </w:pPr>
            <w:r>
              <w:rPr>
                <w:rFonts w:ascii="宋体" w:hAnsi="宋体"/>
                <w:color w:val="000000" w:themeColor="text1"/>
              </w:rPr>
              <w:t>5</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王海波</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63,000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tcBorders>
              <w:left w:val="single" w:sz="4" w:space="0" w:color="auto"/>
              <w:right w:val="single" w:sz="4" w:space="0" w:color="auto"/>
            </w:tcBorders>
          </w:tcPr>
          <w:p w:rsidR="00156DD6" w:rsidRDefault="00156DD6">
            <w:pPr>
              <w:pStyle w:val="Style43"/>
            </w:pP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a8"/>
              <w:rPr>
                <w:rFonts w:ascii="宋体" w:hAnsi="宋体"/>
                <w:color w:val="000000" w:themeColor="text1"/>
              </w:rPr>
            </w:pPr>
            <w:r>
              <w:rPr>
                <w:rFonts w:ascii="宋体" w:hAnsi="宋体"/>
                <w:color w:val="000000" w:themeColor="text1"/>
              </w:rPr>
              <w:t>6</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付康</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63,000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tcBorders>
              <w:left w:val="single" w:sz="4" w:space="0" w:color="auto"/>
              <w:right w:val="single" w:sz="4" w:space="0" w:color="auto"/>
            </w:tcBorders>
          </w:tcPr>
          <w:p w:rsidR="00156DD6" w:rsidRDefault="00156DD6">
            <w:pPr>
              <w:pStyle w:val="Style43"/>
            </w:pP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a8"/>
              <w:rPr>
                <w:rFonts w:ascii="宋体" w:hAnsi="宋体"/>
                <w:color w:val="000000" w:themeColor="text1"/>
              </w:rPr>
            </w:pPr>
            <w:r>
              <w:rPr>
                <w:rFonts w:ascii="宋体" w:hAnsi="宋体"/>
                <w:color w:val="000000" w:themeColor="text1"/>
              </w:rPr>
              <w:t>7</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李代萍</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63,000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tcBorders>
              <w:left w:val="single" w:sz="4" w:space="0" w:color="auto"/>
              <w:right w:val="single" w:sz="4" w:space="0" w:color="auto"/>
            </w:tcBorders>
          </w:tcPr>
          <w:p w:rsidR="00156DD6" w:rsidRDefault="00156DD6">
            <w:pPr>
              <w:pStyle w:val="Style43"/>
            </w:pP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a8"/>
              <w:rPr>
                <w:rFonts w:ascii="宋体" w:hAnsi="宋体"/>
                <w:color w:val="000000" w:themeColor="text1"/>
              </w:rPr>
            </w:pPr>
            <w:r>
              <w:rPr>
                <w:rFonts w:ascii="宋体" w:hAnsi="宋体"/>
                <w:color w:val="000000" w:themeColor="text1"/>
              </w:rPr>
              <w:t>8</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肖永号</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63,000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tcBorders>
              <w:left w:val="single" w:sz="4" w:space="0" w:color="auto"/>
              <w:right w:val="single" w:sz="4" w:space="0" w:color="auto"/>
            </w:tcBorders>
          </w:tcPr>
          <w:p w:rsidR="00156DD6" w:rsidRDefault="00156DD6">
            <w:pPr>
              <w:pStyle w:val="Style43"/>
            </w:pP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tcPr>
          <w:p w:rsidR="00156DD6" w:rsidRDefault="00D51F5F">
            <w:pPr>
              <w:pStyle w:val="a8"/>
              <w:rPr>
                <w:rFonts w:ascii="宋体" w:hAnsi="宋体"/>
                <w:color w:val="000000" w:themeColor="text1"/>
              </w:rPr>
            </w:pPr>
            <w:bookmarkStart w:id="146" w:name="_Hlk204353337"/>
            <w:bookmarkEnd w:id="142"/>
            <w:bookmarkEnd w:id="143"/>
            <w:bookmarkEnd w:id="144"/>
            <w:r>
              <w:rPr>
                <w:rFonts w:ascii="宋体" w:hAnsi="宋体" w:hint="eastAsia"/>
                <w:color w:val="000000" w:themeColor="text1"/>
              </w:rPr>
              <w:t>9</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游晓红</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50,000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tcBorders>
              <w:left w:val="single" w:sz="4" w:space="0" w:color="auto"/>
              <w:right w:val="single" w:sz="4" w:space="0" w:color="auto"/>
            </w:tcBorders>
          </w:tcPr>
          <w:p w:rsidR="00156DD6" w:rsidRDefault="00156DD6">
            <w:pPr>
              <w:pStyle w:val="Style43"/>
            </w:pPr>
          </w:p>
        </w:tc>
      </w:tr>
      <w:tr w:rsidR="00156DD6">
        <w:trPr>
          <w:cantSplit/>
          <w:trHeight w:val="345"/>
        </w:trPr>
        <w:tc>
          <w:tcPr>
            <w:tcW w:w="445" w:type="pct"/>
            <w:tcBorders>
              <w:top w:val="single" w:sz="4" w:space="0" w:color="auto"/>
              <w:left w:val="single" w:sz="4" w:space="0" w:color="auto"/>
              <w:bottom w:val="single" w:sz="4" w:space="0" w:color="auto"/>
              <w:right w:val="single" w:sz="4" w:space="0" w:color="auto"/>
            </w:tcBorders>
          </w:tcPr>
          <w:p w:rsidR="00156DD6" w:rsidRDefault="00D51F5F">
            <w:pPr>
              <w:pStyle w:val="a8"/>
              <w:rPr>
                <w:rFonts w:ascii="宋体" w:hAnsi="宋体"/>
                <w:color w:val="000000" w:themeColor="text1"/>
              </w:rPr>
            </w:pPr>
            <w:r>
              <w:rPr>
                <w:rFonts w:ascii="宋体" w:hAnsi="宋体" w:hint="eastAsia"/>
                <w:color w:val="000000" w:themeColor="text1"/>
              </w:rPr>
              <w:t>1</w:t>
            </w:r>
            <w:r>
              <w:rPr>
                <w:rFonts w:ascii="宋体" w:hAnsi="宋体"/>
                <w:color w:val="000000" w:themeColor="text1"/>
              </w:rPr>
              <w:t>0</w:t>
            </w:r>
          </w:p>
        </w:tc>
        <w:tc>
          <w:tcPr>
            <w:tcW w:w="1651"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彭惠</w:t>
            </w:r>
          </w:p>
        </w:tc>
        <w:tc>
          <w:tcPr>
            <w:tcW w:w="1019" w:type="pct"/>
            <w:tcBorders>
              <w:top w:val="single" w:sz="4" w:space="0" w:color="auto"/>
              <w:left w:val="single" w:sz="4" w:space="0" w:color="auto"/>
              <w:bottom w:val="single" w:sz="4" w:space="0" w:color="auto"/>
              <w:right w:val="single" w:sz="4" w:space="0" w:color="auto"/>
            </w:tcBorders>
            <w:vAlign w:val="bottom"/>
          </w:tcPr>
          <w:p w:rsidR="00156DD6" w:rsidRDefault="00D51F5F">
            <w:pPr>
              <w:jc w:val="right"/>
            </w:pPr>
            <w:r>
              <w:t>50,000</w:t>
            </w:r>
          </w:p>
        </w:tc>
        <w:tc>
          <w:tcPr>
            <w:tcW w:w="704" w:type="pct"/>
            <w:tcBorders>
              <w:top w:val="single" w:sz="4" w:space="0" w:color="auto"/>
              <w:left w:val="single" w:sz="4" w:space="0" w:color="auto"/>
              <w:bottom w:val="single" w:sz="4" w:space="0" w:color="auto"/>
              <w:right w:val="single" w:sz="4" w:space="0" w:color="auto"/>
            </w:tcBorders>
            <w:vAlign w:val="center"/>
          </w:tcPr>
          <w:p w:rsidR="00156DD6" w:rsidRDefault="00D51F5F">
            <w:pPr>
              <w:pStyle w:val="Style43"/>
              <w:jc w:val="center"/>
            </w:pPr>
            <w:r>
              <w:rPr>
                <w:rFonts w:hint="eastAsia"/>
              </w:rPr>
              <w:t>-</w:t>
            </w:r>
          </w:p>
        </w:tc>
        <w:tc>
          <w:tcPr>
            <w:tcW w:w="6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w:t>
            </w:r>
          </w:p>
        </w:tc>
        <w:tc>
          <w:tcPr>
            <w:tcW w:w="551" w:type="pct"/>
            <w:vMerge/>
            <w:tcBorders>
              <w:left w:val="single" w:sz="4" w:space="0" w:color="auto"/>
              <w:bottom w:val="single" w:sz="4" w:space="0" w:color="auto"/>
              <w:right w:val="single" w:sz="4" w:space="0" w:color="auto"/>
            </w:tcBorders>
          </w:tcPr>
          <w:p w:rsidR="00156DD6" w:rsidRDefault="00156DD6">
            <w:pPr>
              <w:pStyle w:val="Style43"/>
            </w:pPr>
          </w:p>
        </w:tc>
      </w:tr>
      <w:bookmarkEnd w:id="145"/>
      <w:bookmarkEnd w:id="146"/>
      <w:tr w:rsidR="00156DD6">
        <w:trPr>
          <w:cantSplit/>
        </w:trPr>
        <w:tc>
          <w:tcPr>
            <w:tcW w:w="2096"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ind w:rightChars="46" w:right="97"/>
              <w:rPr>
                <w:color w:val="000000" w:themeColor="text1"/>
              </w:rPr>
            </w:pPr>
            <w:r>
              <w:rPr>
                <w:rFonts w:hint="eastAsia"/>
                <w:color w:val="000000" w:themeColor="text1"/>
              </w:rPr>
              <w:t>上述股东关联关系或一致行动的说明</w:t>
            </w:r>
          </w:p>
        </w:tc>
        <w:tc>
          <w:tcPr>
            <w:tcW w:w="2904" w:type="pct"/>
            <w:gridSpan w:val="4"/>
            <w:tcBorders>
              <w:top w:val="single" w:sz="4" w:space="0" w:color="auto"/>
              <w:left w:val="single" w:sz="4" w:space="0" w:color="auto"/>
              <w:bottom w:val="single" w:sz="4" w:space="0" w:color="auto"/>
              <w:right w:val="single" w:sz="4" w:space="0" w:color="auto"/>
            </w:tcBorders>
            <w:vAlign w:val="center"/>
          </w:tcPr>
          <w:p w:rsidR="00156DD6" w:rsidRDefault="00D51F5F">
            <w:pPr>
              <w:ind w:rightChars="46" w:right="97"/>
              <w:rPr>
                <w:rFonts w:cs="Arial"/>
              </w:rPr>
            </w:pPr>
            <w:r>
              <w:rPr>
                <w:rFonts w:cs="Arial" w:hint="eastAsia"/>
              </w:rPr>
              <w:t>-</w:t>
            </w:r>
          </w:p>
        </w:tc>
      </w:tr>
    </w:tbl>
    <w:p w:rsidR="00156DD6" w:rsidRDefault="00156DD6">
      <w:pPr>
        <w:rPr>
          <w:color w:val="000000" w:themeColor="text1"/>
        </w:rPr>
      </w:pPr>
    </w:p>
    <w:p w:rsidR="00156DD6" w:rsidRDefault="00D51F5F">
      <w:pPr>
        <w:pStyle w:val="3"/>
        <w:numPr>
          <w:ilvl w:val="1"/>
          <w:numId w:val="30"/>
        </w:numPr>
        <w:rPr>
          <w:rFonts w:ascii="宋体" w:hAnsi="宋体"/>
          <w:color w:val="000000" w:themeColor="text1"/>
        </w:rPr>
      </w:pPr>
      <w:bookmarkStart w:id="147" w:name="_Hlk167800260"/>
      <w:bookmarkStart w:id="148" w:name="_Toc342566000"/>
      <w:bookmarkStart w:id="149" w:name="_Toc342059487"/>
      <w:bookmarkEnd w:id="147"/>
      <w:r>
        <w:rPr>
          <w:rFonts w:ascii="宋体" w:hAnsi="宋体"/>
          <w:color w:val="000000" w:themeColor="text1"/>
        </w:rPr>
        <w:t>战略投资者或一般法人因配售新股成为前十名股东</w:t>
      </w:r>
    </w:p>
    <w:sdt>
      <w:sdtPr>
        <w:rPr>
          <w:color w:val="000000" w:themeColor="text1"/>
        </w:rPr>
        <w:alias w:val="是否适用：战略投资者或一般法人因配售新股成为前10名股东[双击切换]"/>
        <w:tag w:val="_GBC_fe7bdc72bd78490fb48d0f3eaca6248e"/>
        <w:id w:val="126342401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27"/>
        </w:numPr>
        <w:spacing w:line="360" w:lineRule="auto"/>
        <w:ind w:left="422" w:hanging="422"/>
        <w:rPr>
          <w:rFonts w:ascii="宋体" w:hAnsi="宋体"/>
          <w:color w:val="000000" w:themeColor="text1"/>
        </w:rPr>
      </w:pPr>
      <w:bookmarkStart w:id="150" w:name="_Toc342566004"/>
      <w:bookmarkStart w:id="151" w:name="_Toc342057944"/>
      <w:r>
        <w:rPr>
          <w:rFonts w:ascii="宋体" w:hAnsi="宋体"/>
          <w:color w:val="000000" w:themeColor="text1"/>
        </w:rPr>
        <w:t>董事</w:t>
      </w:r>
      <w:sdt>
        <w:sdtPr>
          <w:tag w:val="_PLD_9d2c0b803c8340e89586e10920d012bd"/>
          <w:id w:val="-1326425456"/>
        </w:sdtPr>
        <w:sdtEndPr/>
        <w:sdtContent>
          <w:r>
            <w:rPr>
              <w:rFonts w:ascii="宋体" w:hAnsi="宋体"/>
              <w:color w:val="000000" w:themeColor="text1"/>
            </w:rPr>
            <w:t>、监事</w:t>
          </w:r>
        </w:sdtContent>
      </w:sdt>
      <w:r>
        <w:rPr>
          <w:rFonts w:ascii="宋体" w:hAnsi="宋体"/>
          <w:color w:val="000000" w:themeColor="text1"/>
        </w:rPr>
        <w:t>和高级管理人员情况</w:t>
      </w:r>
    </w:p>
    <w:p w:rsidR="00156DD6" w:rsidRDefault="00D51F5F">
      <w:pPr>
        <w:pStyle w:val="3"/>
        <w:numPr>
          <w:ilvl w:val="2"/>
          <w:numId w:val="31"/>
        </w:numPr>
        <w:rPr>
          <w:rFonts w:ascii="宋体" w:hAnsi="宋体"/>
          <w:color w:val="000000" w:themeColor="text1"/>
        </w:rPr>
      </w:pPr>
      <w:r>
        <w:rPr>
          <w:rFonts w:ascii="宋体" w:hAnsi="宋体"/>
          <w:color w:val="000000" w:themeColor="text1"/>
        </w:rPr>
        <w:t>现任及报告期内离任董事</w:t>
      </w:r>
      <w:sdt>
        <w:sdtPr>
          <w:tag w:val="_PLD_1ff8c390f3134ec1834631fe7f4c5106"/>
          <w:id w:val="-1511368069"/>
        </w:sdtPr>
        <w:sdtEndPr/>
        <w:sdtContent>
          <w:r>
            <w:rPr>
              <w:rFonts w:ascii="宋体" w:hAnsi="宋体"/>
              <w:vanish/>
              <w:color w:val="000000" w:themeColor="text1"/>
            </w:rPr>
            <w:t>、监事</w:t>
          </w:r>
        </w:sdtContent>
      </w:sdt>
      <w:r>
        <w:rPr>
          <w:rFonts w:ascii="宋体" w:hAnsi="宋体"/>
          <w:color w:val="000000" w:themeColor="text1"/>
        </w:rPr>
        <w:t>和高级管理人员持股变动情况</w:t>
      </w:r>
    </w:p>
    <w:sdt>
      <w:sdtPr>
        <w:rPr>
          <w:color w:val="000000" w:themeColor="text1"/>
        </w:rPr>
        <w:alias w:val="是否适用：董事、监事和高级管理人员持股变动[双击切换]"/>
        <w:tag w:val="_GBC_e4aa9f89c24b4cbb80c479762adcf568"/>
        <w:id w:val="174891628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color w:val="000000" w:themeColor="text1"/>
        </w:rPr>
        <w:t>其它情况说明</w:t>
      </w:r>
    </w:p>
    <w:sdt>
      <w:sdtPr>
        <w:rPr>
          <w:color w:val="000000" w:themeColor="text1"/>
        </w:rPr>
        <w:alias w:val="是否适用：董事、监事 和高级管理人员持股变动及报酬情况其他情况说明[双击切换]"/>
        <w:tag w:val="_GBC_6604d619d6f94a81b12f8155637bb211"/>
        <w:id w:val="49593006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3"/>
        <w:numPr>
          <w:ilvl w:val="2"/>
          <w:numId w:val="31"/>
        </w:numPr>
        <w:rPr>
          <w:rFonts w:ascii="宋体" w:hAnsi="宋体"/>
          <w:color w:val="000000" w:themeColor="text1"/>
        </w:rPr>
      </w:pPr>
      <w:bookmarkStart w:id="152" w:name="_Toc342057945"/>
      <w:bookmarkStart w:id="153" w:name="_Toc342566005"/>
      <w:bookmarkEnd w:id="150"/>
      <w:bookmarkEnd w:id="151"/>
      <w:r>
        <w:rPr>
          <w:rFonts w:ascii="宋体" w:hAnsi="宋体"/>
          <w:color w:val="000000" w:themeColor="text1"/>
        </w:rPr>
        <w:t>董事</w:t>
      </w:r>
      <w:sdt>
        <w:sdtPr>
          <w:tag w:val="_PLD_d53045f6bb004480a3f318a5ce5ef801"/>
          <w:id w:val="1737827643"/>
        </w:sdtPr>
        <w:sdtEndPr/>
        <w:sdtContent>
          <w:r>
            <w:rPr>
              <w:rFonts w:ascii="宋体" w:hAnsi="宋体"/>
              <w:color w:val="000000" w:themeColor="text1"/>
            </w:rPr>
            <w:t>、监事</w:t>
          </w:r>
        </w:sdtContent>
      </w:sdt>
      <w:r>
        <w:rPr>
          <w:rFonts w:ascii="宋体" w:hAnsi="宋体"/>
          <w:color w:val="000000" w:themeColor="text1"/>
        </w:rPr>
        <w:t>、高级管理人员报告期内被授予的股权激励情况</w:t>
      </w:r>
      <w:bookmarkEnd w:id="152"/>
      <w:bookmarkEnd w:id="153"/>
    </w:p>
    <w:p w:rsidR="00156DD6" w:rsidRDefault="00D51F5F">
      <w:pPr>
        <w:kinsoku w:val="0"/>
        <w:overflowPunct w:val="0"/>
        <w:autoSpaceDE w:val="0"/>
        <w:autoSpaceDN w:val="0"/>
        <w:adjustRightInd w:val="0"/>
        <w:snapToGrid w:val="0"/>
        <w:rPr>
          <w:color w:val="000000" w:themeColor="text1"/>
        </w:rPr>
      </w:pPr>
      <w:sdt>
        <w:sdtPr>
          <w:rPr>
            <w:rFonts w:hint="eastAsia"/>
            <w:color w:val="000000" w:themeColor="text1"/>
          </w:rPr>
          <w:alias w:val="是否适用：董事、监事、高级管理人员报告期内被授予的股权激励情况[双击切换]"/>
          <w:tag w:val="_GBC_3c204ebee7cf4fc2a7c4a3ad63ffe1c4"/>
          <w:id w:val="-1664158700"/>
          <w:placeholder>
            <w:docPart w:val="GBC22222222222222222222222222222"/>
          </w:placeholder>
        </w:sdtPr>
        <w:sdtEndPr/>
        <w:sdtContent>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p w:rsidR="00156DD6" w:rsidRDefault="00D51F5F">
      <w:pPr>
        <w:pStyle w:val="3"/>
        <w:numPr>
          <w:ilvl w:val="2"/>
          <w:numId w:val="31"/>
        </w:numPr>
        <w:rPr>
          <w:rFonts w:ascii="宋体" w:hAnsi="宋体"/>
          <w:color w:val="000000" w:themeColor="text1"/>
        </w:rPr>
      </w:pPr>
      <w:r>
        <w:rPr>
          <w:rFonts w:ascii="宋体" w:hAnsi="宋体"/>
          <w:color w:val="000000" w:themeColor="text1"/>
        </w:rPr>
        <w:t>其他说明</w:t>
      </w:r>
    </w:p>
    <w:sdt>
      <w:sdtPr>
        <w:rPr>
          <w:color w:val="000000" w:themeColor="text1"/>
        </w:rPr>
        <w:alias w:val="是否适用：其他董事、监事、高级管理人员情况说明[双击切换]"/>
        <w:tag w:val="_GBC_8e7eb434c4c34c1b86cdb9f39b70c323"/>
        <w:id w:val="59852221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End w:id="148"/>
    <w:bookmarkEnd w:id="149"/>
    <w:p w:rsidR="00156DD6" w:rsidRDefault="00D51F5F">
      <w:pPr>
        <w:pStyle w:val="2"/>
        <w:numPr>
          <w:ilvl w:val="0"/>
          <w:numId w:val="27"/>
        </w:numPr>
        <w:spacing w:line="360" w:lineRule="auto"/>
        <w:ind w:left="422" w:hanging="422"/>
        <w:rPr>
          <w:rFonts w:ascii="宋体" w:hAnsi="宋体"/>
          <w:color w:val="000000" w:themeColor="text1"/>
        </w:rPr>
      </w:pPr>
      <w:r>
        <w:rPr>
          <w:rFonts w:ascii="宋体" w:hAnsi="宋体"/>
          <w:color w:val="000000" w:themeColor="text1"/>
        </w:rPr>
        <w:t>控股股东或实际控制人变更情况</w:t>
      </w:r>
    </w:p>
    <w:sdt>
      <w:sdtPr>
        <w:rPr>
          <w:color w:val="000000" w:themeColor="text1"/>
        </w:rPr>
        <w:alias w:val="是否适用：控股股东及实际控制人变更情况[双击切换]"/>
        <w:tag w:val="_GBC_84ff369a3f714dbbbec5a13460906f4b"/>
        <w:id w:val="-213586102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2"/>
        <w:numPr>
          <w:ilvl w:val="0"/>
          <w:numId w:val="27"/>
        </w:numPr>
        <w:spacing w:line="360" w:lineRule="auto"/>
        <w:ind w:left="422" w:hanging="422"/>
        <w:rPr>
          <w:rFonts w:ascii="宋体" w:hAnsi="宋体"/>
          <w:color w:val="000000" w:themeColor="text1"/>
        </w:rPr>
      </w:pPr>
      <w:bookmarkStart w:id="154" w:name="_Toc392233017"/>
      <w:bookmarkStart w:id="155" w:name="_Toc76114279"/>
      <w:r>
        <w:rPr>
          <w:rFonts w:ascii="宋体" w:hAnsi="宋体"/>
          <w:color w:val="000000" w:themeColor="text1"/>
        </w:rPr>
        <w:t>优先股相关情况</w:t>
      </w:r>
    </w:p>
    <w:bookmarkEnd w:id="155" w:displacedByCustomXml="next"/>
    <w:bookmarkEnd w:id="154" w:displacedByCustomXml="next"/>
    <w:sdt>
      <w:sdtPr>
        <w:rPr>
          <w:color w:val="000000" w:themeColor="text1"/>
        </w:rPr>
        <w:alias w:val="是否适用：优先股相关情况[双击切换]"/>
        <w:tag w:val="_GBC_2113adbee8464e1c828b3d6d35c60abf"/>
        <w:id w:val="43232773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w:instrText>
          </w:r>
          <w:r>
            <w:rPr>
              <w:color w:val="000000" w:themeColor="text1"/>
            </w:rPr>
            <w:instrText>用</w:instrText>
          </w:r>
          <w:r>
            <w:rPr>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156DD6">
      <w:pPr>
        <w:rPr>
          <w:color w:val="000000" w:themeColor="text1"/>
        </w:rPr>
        <w:sectPr w:rsidR="00156DD6">
          <w:pgSz w:w="11906" w:h="16838"/>
          <w:pgMar w:top="1525" w:right="1276" w:bottom="1440" w:left="1797" w:header="851" w:footer="992" w:gutter="0"/>
          <w:cols w:space="425"/>
          <w:docGrid w:linePitch="312"/>
        </w:sectPr>
      </w:pPr>
    </w:p>
    <w:p w:rsidR="00156DD6" w:rsidRDefault="00D51F5F">
      <w:pPr>
        <w:pStyle w:val="1"/>
        <w:numPr>
          <w:ilvl w:val="0"/>
          <w:numId w:val="2"/>
        </w:numPr>
        <w:rPr>
          <w:rFonts w:ascii="黑体" w:hAnsi="黑体"/>
          <w:color w:val="000000" w:themeColor="text1"/>
        </w:rPr>
      </w:pPr>
      <w:bookmarkStart w:id="156" w:name="_Toc438111012"/>
      <w:bookmarkStart w:id="157" w:name="_Toc200030545"/>
      <w:bookmarkStart w:id="158" w:name="_Toc76114280"/>
      <w:bookmarkStart w:id="159" w:name="_Toc437440717"/>
      <w:r>
        <w:rPr>
          <w:rFonts w:ascii="黑体" w:hAnsi="黑体" w:hint="eastAsia"/>
          <w:color w:val="000000" w:themeColor="text1"/>
        </w:rPr>
        <w:lastRenderedPageBreak/>
        <w:t>债券相关情况</w:t>
      </w:r>
    </w:p>
    <w:bookmarkEnd w:id="156"/>
    <w:bookmarkEnd w:id="157"/>
    <w:bookmarkEnd w:id="158"/>
    <w:bookmarkEnd w:id="159"/>
    <w:p w:rsidR="00156DD6" w:rsidRDefault="00D51F5F">
      <w:pPr>
        <w:pStyle w:val="2"/>
        <w:numPr>
          <w:ilvl w:val="0"/>
          <w:numId w:val="32"/>
        </w:numPr>
        <w:rPr>
          <w:rFonts w:ascii="宋体" w:hAnsi="宋体"/>
          <w:color w:val="000000" w:themeColor="text1"/>
        </w:rPr>
      </w:pPr>
      <w:r>
        <w:rPr>
          <w:rFonts w:ascii="宋体" w:hAnsi="宋体" w:hint="eastAsia"/>
          <w:color w:val="000000" w:themeColor="text1"/>
        </w:rPr>
        <w:t>公司债券（含企业债券）和非金融企业债务融资工具</w:t>
      </w:r>
    </w:p>
    <w:bookmarkStart w:id="160" w:name="_Hlk73352152" w:displacedByCustomXml="next"/>
    <w:sdt>
      <w:sdtPr>
        <w:rPr>
          <w:color w:val="000000" w:themeColor="text1"/>
        </w:rPr>
        <w:alias w:val="是否适用：债券相关情况[双击切换]"/>
        <w:tag w:val="_GBC_8e6b9cf2d8c24a6faf41199f98e408b3"/>
        <w:id w:val="35446419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End w:id="160"/>
    <w:p w:rsidR="00156DD6" w:rsidRDefault="00156DD6">
      <w:pPr>
        <w:rPr>
          <w:color w:val="000000" w:themeColor="text1"/>
        </w:rPr>
      </w:pPr>
    </w:p>
    <w:p w:rsidR="00156DD6" w:rsidRDefault="00D51F5F">
      <w:pPr>
        <w:pStyle w:val="2"/>
        <w:numPr>
          <w:ilvl w:val="0"/>
          <w:numId w:val="32"/>
        </w:numPr>
        <w:rPr>
          <w:rFonts w:ascii="宋体" w:hAnsi="宋体"/>
          <w:color w:val="000000" w:themeColor="text1"/>
        </w:rPr>
      </w:pPr>
      <w:r>
        <w:rPr>
          <w:rFonts w:ascii="宋体" w:hAnsi="宋体" w:hint="eastAsia"/>
          <w:color w:val="000000" w:themeColor="text1"/>
        </w:rPr>
        <w:t>可转换公司债券情况</w:t>
      </w:r>
    </w:p>
    <w:sdt>
      <w:sdtPr>
        <w:rPr>
          <w:color w:val="000000" w:themeColor="text1"/>
        </w:rPr>
        <w:alias w:val="是否适用：可转换公司债券情况[双击切换]"/>
        <w:tag w:val="_GBC_6a49e99841294af3b87ba6216b1997d9"/>
        <w:id w:val="140256042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156DD6">
      <w:pPr>
        <w:rPr>
          <w:color w:val="000000" w:themeColor="text1"/>
        </w:rPr>
      </w:pPr>
    </w:p>
    <w:p w:rsidR="00156DD6" w:rsidRDefault="00156DD6">
      <w:pPr>
        <w:rPr>
          <w:color w:val="000000" w:themeColor="text1"/>
        </w:rPr>
        <w:sectPr w:rsidR="00156DD6">
          <w:pgSz w:w="11906" w:h="16838"/>
          <w:pgMar w:top="1525" w:right="1276" w:bottom="1440" w:left="1797" w:header="851" w:footer="992" w:gutter="0"/>
          <w:cols w:space="425"/>
          <w:docGrid w:linePitch="312"/>
        </w:sectPr>
      </w:pPr>
    </w:p>
    <w:p w:rsidR="00156DD6" w:rsidRDefault="00D51F5F">
      <w:pPr>
        <w:pStyle w:val="1"/>
        <w:numPr>
          <w:ilvl w:val="0"/>
          <w:numId w:val="2"/>
        </w:numPr>
        <w:rPr>
          <w:rFonts w:ascii="黑体" w:hAnsi="黑体"/>
          <w:color w:val="000000" w:themeColor="text1"/>
        </w:rPr>
      </w:pPr>
      <w:bookmarkStart w:id="161" w:name="_Toc76114281"/>
      <w:bookmarkStart w:id="162" w:name="_Toc200030546"/>
      <w:r>
        <w:rPr>
          <w:rFonts w:ascii="黑体" w:hAnsi="黑体" w:hint="eastAsia"/>
          <w:color w:val="000000" w:themeColor="text1"/>
        </w:rPr>
        <w:lastRenderedPageBreak/>
        <w:t>财务报告</w:t>
      </w:r>
    </w:p>
    <w:bookmarkEnd w:id="161"/>
    <w:bookmarkEnd w:id="162"/>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审计报告</w:t>
      </w:r>
    </w:p>
    <w:sdt>
      <w:sdtPr>
        <w:rPr>
          <w:color w:val="000000" w:themeColor="text1"/>
        </w:rPr>
        <w:alias w:val="是否适用：审计报告[双击切换]"/>
        <w:tag w:val="_GBC_33dac3baf6634fba91e3026ebaaad280"/>
        <w:id w:val="-108391638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财务报表</w:t>
      </w:r>
    </w:p>
    <w:p w:rsidR="00156DD6" w:rsidRDefault="00D51F5F">
      <w:pPr>
        <w:pStyle w:val="TOC6"/>
        <w:jc w:val="center"/>
        <w:rPr>
          <w:rFonts w:ascii="宋体" w:hAnsi="宋体"/>
          <w:color w:val="000000" w:themeColor="text1"/>
          <w:sz w:val="21"/>
          <w:szCs w:val="21"/>
        </w:rPr>
      </w:pPr>
      <w:bookmarkStart w:id="163" w:name="_Hlk10208794"/>
      <w:r>
        <w:rPr>
          <w:rFonts w:ascii="宋体" w:hAnsi="宋体" w:hint="eastAsia"/>
          <w:color w:val="000000" w:themeColor="text1"/>
          <w:sz w:val="21"/>
          <w:szCs w:val="21"/>
        </w:rPr>
        <w:t>合并资产负债表</w:t>
      </w:r>
    </w:p>
    <w:p w:rsidR="00156DD6" w:rsidRDefault="00D51F5F">
      <w:pPr>
        <w:snapToGrid w:val="0"/>
        <w:spacing w:line="240" w:lineRule="atLeast"/>
        <w:jc w:val="center"/>
        <w:rPr>
          <w:b/>
          <w:color w:val="000000" w:themeColor="text1"/>
        </w:rPr>
      </w:pPr>
      <w:r>
        <w:rPr>
          <w:color w:val="000000" w:themeColor="text1"/>
        </w:rPr>
        <w:t>2025</w:t>
      </w:r>
      <w:r>
        <w:rPr>
          <w:color w:val="000000" w:themeColor="text1"/>
        </w:rPr>
        <w:t>年</w:t>
      </w:r>
      <w:r>
        <w:rPr>
          <w:color w:val="000000" w:themeColor="text1"/>
        </w:rPr>
        <w:t>6</w:t>
      </w:r>
      <w:r>
        <w:rPr>
          <w:color w:val="000000" w:themeColor="text1"/>
        </w:rPr>
        <w:t>月</w:t>
      </w:r>
      <w:r>
        <w:rPr>
          <w:color w:val="000000" w:themeColor="text1"/>
        </w:rPr>
        <w:t>30</w:t>
      </w:r>
      <w:r>
        <w:rPr>
          <w:color w:val="000000" w:themeColor="text1"/>
        </w:rPr>
        <w:t>日</w:t>
      </w:r>
    </w:p>
    <w:p w:rsidR="00156DD6" w:rsidRDefault="00D51F5F">
      <w:pPr>
        <w:rPr>
          <w:color w:val="000000" w:themeColor="text1"/>
        </w:rPr>
      </w:pPr>
      <w:r>
        <w:rPr>
          <w:color w:val="000000" w:themeColor="text1"/>
        </w:rPr>
        <w:t>编制单位：</w:t>
      </w:r>
      <w:r>
        <w:rPr>
          <w:color w:val="000000" w:themeColor="text1"/>
        </w:rPr>
        <w:t xml:space="preserve"> </w:t>
      </w:r>
      <w:sdt>
        <w:sdtPr>
          <w:rPr>
            <w:color w:val="000000" w:themeColor="text1"/>
          </w:rPr>
          <w:alias w:val="公司法定中文名称"/>
          <w:tag w:val="_GBC_76dae7aa62d842859c05c05e750163c2"/>
          <w:id w:val="1825784007"/>
          <w:placeholder>
            <w:docPart w:val="GBC22222222222222222222222222222"/>
          </w:placeholder>
          <w:dataBinding w:prefixMappings="xmlns:clcid-cgi='clcid-cgi'" w:xpath="/*/clcid-cgi:GongSiFaDingZhongWenMingCheng[not(@periodRef)]" w:storeItemID="{89EBAB94-44A0-46A2-B712-30D997D04A6D}"/>
          <w:text/>
        </w:sdtPr>
        <w:sdtEndPr/>
        <w:sdtContent>
          <w:r>
            <w:rPr>
              <w:color w:val="000000" w:themeColor="text1"/>
            </w:rPr>
            <w:t>重庆望变电气（集团）股份有限公司</w:t>
          </w:r>
        </w:sdtContent>
      </w:sdt>
    </w:p>
    <w:p w:rsidR="00156DD6" w:rsidRDefault="00D51F5F">
      <w:pPr>
        <w:jc w:val="right"/>
        <w:rPr>
          <w:color w:val="000000" w:themeColor="text1"/>
        </w:rPr>
      </w:pPr>
      <w:r>
        <w:rPr>
          <w:color w:val="000000" w:themeColor="text1"/>
        </w:rPr>
        <w:t>单位：</w:t>
      </w:r>
      <w:sdt>
        <w:sdtPr>
          <w:rPr>
            <w:color w:val="000000" w:themeColor="text1"/>
          </w:rPr>
          <w:alias w:val="单位：合并资产负债表"/>
          <w:tag w:val="_GBC_710dced47e5943589779e071c78c5512"/>
          <w:id w:val="19064118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合并资产负债表"/>
          <w:tag w:val="_GBC_7e2679155b104d33ba04158c7414bcff"/>
          <w:id w:val="1888852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156DD6">
        <w:bookmarkStart w:id="164" w:name="_Hlk137046697" w:displacedByCustomXml="next"/>
        <w:sdt>
          <w:sdtPr>
            <w:tag w:val="_PLD_1d3f74748a444e6ea0d191e81e54edca"/>
            <w:id w:val="108628134"/>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jc w:val="center"/>
                  <w:rPr>
                    <w:b/>
                    <w:color w:val="000000" w:themeColor="text1"/>
                  </w:rPr>
                </w:pPr>
                <w:r>
                  <w:rPr>
                    <w:b/>
                    <w:color w:val="000000" w:themeColor="text1"/>
                  </w:rPr>
                  <w:t>项目</w:t>
                </w:r>
              </w:p>
            </w:tc>
          </w:sdtContent>
        </w:sdt>
        <w:sdt>
          <w:sdtPr>
            <w:tag w:val="_PLD_da216b439a53487e85f12225916c5563"/>
            <w:id w:val="-1751653837"/>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center"/>
                  <w:rPr>
                    <w:b/>
                    <w:color w:val="000000" w:themeColor="text1"/>
                  </w:rPr>
                </w:pPr>
                <w:r>
                  <w:rPr>
                    <w:rFonts w:hint="eastAsia"/>
                    <w:b/>
                    <w:color w:val="000000" w:themeColor="text1"/>
                  </w:rPr>
                  <w:t>附注</w:t>
                </w:r>
              </w:p>
            </w:tc>
          </w:sdtContent>
        </w:sdt>
        <w:sdt>
          <w:sdtPr>
            <w:tag w:val="_PLD_21df1d74f3114abf83688ef31bc4d9a7"/>
            <w:id w:val="770133474"/>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center"/>
                  <w:rPr>
                    <w:b/>
                    <w:color w:val="000000" w:themeColor="text1"/>
                  </w:rPr>
                </w:pPr>
                <w:r>
                  <w:rPr>
                    <w:rFonts w:hint="eastAsia"/>
                    <w:b/>
                    <w:color w:val="000000" w:themeColor="text1"/>
                  </w:rPr>
                  <w:t>2025</w:t>
                </w:r>
                <w:r>
                  <w:rPr>
                    <w:rFonts w:hint="eastAsia"/>
                    <w:b/>
                    <w:color w:val="000000" w:themeColor="text1"/>
                  </w:rPr>
                  <w:t>年</w:t>
                </w:r>
                <w:r>
                  <w:rPr>
                    <w:rFonts w:hint="eastAsia"/>
                    <w:b/>
                    <w:color w:val="000000" w:themeColor="text1"/>
                  </w:rPr>
                  <w:t>6</w:t>
                </w:r>
                <w:r>
                  <w:rPr>
                    <w:rFonts w:hint="eastAsia"/>
                    <w:b/>
                    <w:color w:val="000000" w:themeColor="text1"/>
                  </w:rPr>
                  <w:t>月</w:t>
                </w:r>
                <w:r>
                  <w:rPr>
                    <w:b/>
                    <w:color w:val="000000" w:themeColor="text1"/>
                  </w:rPr>
                  <w:t>3</w:t>
                </w:r>
                <w:r>
                  <w:rPr>
                    <w:rFonts w:hint="eastAsia"/>
                    <w:b/>
                    <w:color w:val="000000" w:themeColor="text1"/>
                  </w:rPr>
                  <w:t>0</w:t>
                </w:r>
                <w:r>
                  <w:rPr>
                    <w:rFonts w:hint="eastAsia"/>
                    <w:b/>
                    <w:color w:val="000000" w:themeColor="text1"/>
                  </w:rPr>
                  <w:t>日</w:t>
                </w:r>
              </w:p>
            </w:tc>
          </w:sdtContent>
        </w:sdt>
        <w:sdt>
          <w:sdtPr>
            <w:tag w:val="_PLD_d92c936206d34a64b4b2139999e7311b"/>
            <w:id w:val="674849817"/>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center"/>
                  <w:rPr>
                    <w:b/>
                    <w:color w:val="000000" w:themeColor="text1"/>
                  </w:rPr>
                </w:pPr>
                <w:r>
                  <w:rPr>
                    <w:b/>
                    <w:color w:val="000000" w:themeColor="text1"/>
                  </w:rPr>
                  <w:t>2024</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156DD6">
        <w:sdt>
          <w:sdtPr>
            <w:tag w:val="_PLD_c47a329e79ad491ca413bdaf35b1f19b"/>
            <w:id w:val="189607484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b/>
                    <w:color w:val="000000" w:themeColor="text1"/>
                  </w:rPr>
                </w:pPr>
                <w:r>
                  <w:rPr>
                    <w:rFonts w:hint="eastAsia"/>
                    <w:b/>
                    <w:color w:val="000000" w:themeColor="text1"/>
                  </w:rPr>
                  <w:t>流动资产：</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1</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1,232,822,409.74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1,155,274,052.43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结算备付金</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拆出资金</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2</w:t>
            </w: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25,058,819.44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应收票据</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4</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226,758,652.86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224,762,900.86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5</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1,762,152,629.01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1,642,015,243.49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7</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34,183,836.17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14,995,170.75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8</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63,659,270.97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80,762,581.64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应收保费</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应收分保账款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应收分保合同准备金</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9</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137,683,861.56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125,149,623.36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400" w:firstLine="840"/>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买入返售金融资产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10</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959,630,396.23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869,951,878.25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一年内到期的非流动资产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13</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10,811,292.93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2,092,551.25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流动资产合计</w:t>
            </w:r>
          </w:p>
        </w:tc>
        <w:tc>
          <w:tcPr>
            <w:tcW w:w="627" w:type="pct"/>
            <w:tcBorders>
              <w:top w:val="outset" w:sz="6" w:space="0" w:color="auto"/>
              <w:left w:val="outset" w:sz="6" w:space="0" w:color="auto"/>
              <w:bottom w:val="outset" w:sz="6" w:space="0" w:color="auto"/>
              <w:right w:val="outset" w:sz="6" w:space="0" w:color="auto"/>
            </w:tcBorders>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4,427,702,349.47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4,140,062,821.47 </w:t>
            </w:r>
          </w:p>
        </w:tc>
      </w:tr>
      <w:tr w:rsidR="00156DD6">
        <w:sdt>
          <w:sdtPr>
            <w:tag w:val="_PLD_66ac6acc14e74939b5cc43190a3afd2b"/>
            <w:id w:val="-169984656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color w:val="000000" w:themeColor="text1"/>
                  </w:rPr>
                </w:pPr>
                <w:r>
                  <w:rPr>
                    <w:rFonts w:hint="eastAsia"/>
                    <w:b/>
                    <w:color w:val="000000" w:themeColor="text1"/>
                  </w:rPr>
                  <w:t>非流动资产：</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发放贷款和垫款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债权投资</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其他债权投资</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16</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5,264,904.89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5,683,724.89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17</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17,344,541.71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14,718,479.56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18</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16,687,440.00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16,207,676.10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21</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1,933,105,000.36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2,016,902,943.58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22</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38,228,575.83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25,034,215.15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油气资产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lastRenderedPageBreak/>
              <w:t>使用权资产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25</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8,570,046.14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5,569,270.48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26</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225,046,981.42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228,894,850.00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27</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45,542,860.20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45,542,860.20</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28</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2,549,556.56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3,214,479.23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29</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20,994,841.05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18,461,556.75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30</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22,584,939.17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11,656,063.63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2,335,919,687.33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2,391,886,119.57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300" w:firstLine="630"/>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6,763,622,036.80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6,531,948,941.04 </w:t>
            </w:r>
          </w:p>
        </w:tc>
      </w:tr>
      <w:tr w:rsidR="00156DD6">
        <w:sdt>
          <w:sdtPr>
            <w:tag w:val="_PLD_9375d0f637964c329fb26d2b4f648745"/>
            <w:id w:val="1902247129"/>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color w:val="000000" w:themeColor="text1"/>
                  </w:rPr>
                </w:pPr>
                <w:r>
                  <w:rPr>
                    <w:rFonts w:hint="eastAsia"/>
                    <w:b/>
                    <w:color w:val="000000" w:themeColor="text1"/>
                  </w:rPr>
                  <w:t>流动负债：</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32</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249,081,200.88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270,060,922.08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向中央银行借款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拆入资金</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35</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668,367,305.94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624,614,221.23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36</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725,026,666.33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855,537,235.95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38</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95,102,352.42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114,850,233.49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卖出回购金融资产款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吸收存款及同业存放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代理买卖证券款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代理承销证券款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39</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43,380,400.84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43,004,579.54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40</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42,423,475.01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25,876,715.10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41</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72,854,288.15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60,784,232.00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400" w:firstLine="84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应付手续费及佣金</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应付分保账款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一年内到期的非流动负债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43</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400,293,190.49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499,213,978.20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其他流动负债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44</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253,924,031.85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258,559,539.43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2,550,452,911.91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2,752,501,657.02 </w:t>
            </w:r>
          </w:p>
        </w:tc>
      </w:tr>
      <w:tr w:rsidR="00156DD6">
        <w:sdt>
          <w:sdtPr>
            <w:tag w:val="_PLD_e92d79badc1945afbed8782cdacf599f"/>
            <w:id w:val="-202700480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color w:val="000000" w:themeColor="text1"/>
                  </w:rPr>
                </w:pPr>
                <w:r>
                  <w:rPr>
                    <w:rFonts w:hint="eastAsia"/>
                    <w:b/>
                    <w:color w:val="000000" w:themeColor="text1"/>
                  </w:rPr>
                  <w:t>非流动负债：</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保险合同准备金</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45</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1,439,274,565.96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1,103,571,465.88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400" w:firstLine="84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47</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3,849,533.13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3,055,490.50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48</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161,681,046.25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长期应付职工薪酬</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预计负债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50</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1,300,149.90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1,239,272.68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递延收益</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51</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70,250,885.84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73,234,976.95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递延所得税负债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29</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51,377,819.81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45,504,180.98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lastRenderedPageBreak/>
              <w:t>其他非流动负债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1,727,734,000.89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1,226,605,386.99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300" w:firstLine="630"/>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4,278,186,912.80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3,979,107,044.01 </w:t>
            </w:r>
          </w:p>
        </w:tc>
      </w:tr>
      <w:tr w:rsidR="00156DD6">
        <w:sdt>
          <w:sdtPr>
            <w:tag w:val="_PLD_4fe68479676b4c8c840de2211f0c67b8"/>
            <w:id w:val="1614478039"/>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color w:val="000000" w:themeColor="text1"/>
                  </w:rPr>
                </w:pPr>
                <w:r>
                  <w:rPr>
                    <w:rFonts w:hint="eastAsia"/>
                    <w:b/>
                    <w:color w:val="000000" w:themeColor="text1"/>
                  </w:rPr>
                  <w:t>所有者权益（或股东权益）：</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53</w:t>
            </w: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333,167,407.00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333,167,407.00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400" w:firstLine="84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55</w:t>
            </w: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984,591,585.56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960,873,722.51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56</w:t>
            </w: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26,392,941.28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30,893,741.28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57</w:t>
            </w: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2,353,714.82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2,027,597.71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58</w:t>
            </w: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23,940,755.78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22,440,561.28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59</w:t>
            </w: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122,195,454.42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122,195,454.42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一般风险准备</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七、</w:t>
            </w:r>
            <w:r>
              <w:rPr>
                <w:rFonts w:hint="eastAsia"/>
              </w:rPr>
              <w:t>60</w:t>
            </w: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1,041,450,527.58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1,003,432,341.75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2,481,306,503.88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2,413,243,343.39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少数股东权益</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4,128,620.12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139,598,553.64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2,485,435,124.00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2,552,841,897.03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300" w:firstLine="630"/>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6,763,622,036.80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6,531,948,941.04 </w:t>
            </w:r>
          </w:p>
        </w:tc>
      </w:tr>
    </w:tbl>
    <w:bookmarkEnd w:id="164"/>
    <w:p w:rsidR="00156DD6" w:rsidRDefault="00D51F5F">
      <w:pPr>
        <w:ind w:rightChars="-73" w:right="-153"/>
        <w:rPr>
          <w:color w:val="000000" w:themeColor="text1"/>
          <w:u w:val="single"/>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82350876809b4479afe9f3c55db147dd"/>
          <w:id w:val="2096818413"/>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9caf2fff268b41a7b3fe74fc4a3d6533"/>
          <w:id w:val="1006632209"/>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8cacbe4a6fcc41699e67ce809516ec50"/>
          <w:id w:val="-680895538"/>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156DD6" w:rsidRDefault="00156DD6">
      <w:pPr>
        <w:snapToGrid w:val="0"/>
        <w:spacing w:line="240" w:lineRule="atLeast"/>
        <w:ind w:rightChars="-759" w:right="-1594"/>
        <w:rPr>
          <w:color w:val="000000" w:themeColor="text1"/>
        </w:rPr>
      </w:pPr>
    </w:p>
    <w:p w:rsidR="00156DD6" w:rsidRDefault="00D51F5F">
      <w:pPr>
        <w:pStyle w:val="TOC6"/>
        <w:jc w:val="center"/>
        <w:rPr>
          <w:rFonts w:ascii="宋体" w:hAnsi="宋体"/>
          <w:color w:val="000000" w:themeColor="text1"/>
          <w:sz w:val="21"/>
          <w:szCs w:val="21"/>
        </w:rPr>
      </w:pPr>
      <w:r>
        <w:rPr>
          <w:rFonts w:ascii="宋体" w:hAnsi="宋体" w:hint="eastAsia"/>
          <w:color w:val="000000" w:themeColor="text1"/>
          <w:sz w:val="21"/>
          <w:szCs w:val="21"/>
        </w:rPr>
        <w:t>母公司</w:t>
      </w:r>
      <w:r>
        <w:rPr>
          <w:rFonts w:ascii="宋体" w:hAnsi="宋体"/>
          <w:color w:val="000000" w:themeColor="text1"/>
          <w:sz w:val="21"/>
          <w:szCs w:val="21"/>
        </w:rPr>
        <w:t>资产负债表</w:t>
      </w:r>
    </w:p>
    <w:p w:rsidR="00156DD6" w:rsidRDefault="00D51F5F">
      <w:pPr>
        <w:snapToGrid w:val="0"/>
        <w:spacing w:line="240" w:lineRule="atLeast"/>
        <w:jc w:val="center"/>
        <w:rPr>
          <w:b/>
          <w:color w:val="000000" w:themeColor="text1"/>
        </w:rPr>
      </w:pPr>
      <w:r>
        <w:rPr>
          <w:color w:val="000000" w:themeColor="text1"/>
        </w:rPr>
        <w:t>2025</w:t>
      </w:r>
      <w:r>
        <w:rPr>
          <w:color w:val="000000" w:themeColor="text1"/>
        </w:rPr>
        <w:t>年</w:t>
      </w:r>
      <w:r>
        <w:rPr>
          <w:color w:val="000000" w:themeColor="text1"/>
        </w:rPr>
        <w:t>6</w:t>
      </w:r>
      <w:r>
        <w:rPr>
          <w:color w:val="000000" w:themeColor="text1"/>
        </w:rPr>
        <w:t>月</w:t>
      </w:r>
      <w:r>
        <w:rPr>
          <w:color w:val="000000" w:themeColor="text1"/>
        </w:rPr>
        <w:t>30</w:t>
      </w:r>
      <w:r>
        <w:rPr>
          <w:color w:val="000000" w:themeColor="text1"/>
        </w:rPr>
        <w:t>日</w:t>
      </w:r>
    </w:p>
    <w:p w:rsidR="00156DD6" w:rsidRDefault="00D51F5F">
      <w:pPr>
        <w:rPr>
          <w:color w:val="000000" w:themeColor="text1"/>
        </w:rPr>
      </w:pPr>
      <w:r>
        <w:rPr>
          <w:color w:val="000000" w:themeColor="text1"/>
        </w:rPr>
        <w:t>编制单位：</w:t>
      </w:r>
      <w:sdt>
        <w:sdtPr>
          <w:rPr>
            <w:color w:val="000000" w:themeColor="text1"/>
          </w:rPr>
          <w:alias w:val="公司法定中文名称"/>
          <w:tag w:val="_GBC_824a3e7402834e78aa66a9ee77d287bc"/>
          <w:id w:val="1019584344"/>
          <w:placeholder>
            <w:docPart w:val="GBC22222222222222222222222222222"/>
          </w:placeholder>
          <w:dataBinding w:prefixMappings="xmlns:clcid-cgi='clcid-cgi'" w:xpath="/*/clcid-cgi:GongSiFaDingZhongWenMingCheng[not(@periodRef)]" w:storeItemID="{89EBAB94-44A0-46A2-B712-30D997D04A6D}"/>
          <w:text/>
        </w:sdtPr>
        <w:sdtEndPr/>
        <w:sdtContent>
          <w:r>
            <w:rPr>
              <w:color w:val="000000" w:themeColor="text1"/>
            </w:rPr>
            <w:t>重庆望变电气（集团）股份有限公司</w:t>
          </w:r>
        </w:sdtContent>
      </w:sdt>
      <w:r>
        <w:rPr>
          <w:color w:val="000000" w:themeColor="text1"/>
        </w:rPr>
        <w:t> </w:t>
      </w:r>
    </w:p>
    <w:p w:rsidR="00156DD6" w:rsidRDefault="00D51F5F">
      <w:pPr>
        <w:jc w:val="right"/>
        <w:rPr>
          <w:color w:val="000000" w:themeColor="text1"/>
        </w:rPr>
      </w:pPr>
      <w:r>
        <w:rPr>
          <w:color w:val="000000" w:themeColor="text1"/>
        </w:rPr>
        <w:t>单位：</w:t>
      </w:r>
      <w:sdt>
        <w:sdtPr>
          <w:rPr>
            <w:color w:val="000000" w:themeColor="text1"/>
          </w:rPr>
          <w:alias w:val="单位：母公司资产负债表"/>
          <w:tag w:val="_GBC_7be010b1a07f4048a3805d40208ccda4"/>
          <w:id w:val="13379570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母公司资产负债表"/>
          <w:tag w:val="_GBC_ecd35f8ce6f84d6f8ad30e1e244c15ff"/>
          <w:id w:val="-4320482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156DD6">
        <w:bookmarkStart w:id="165" w:name="_Hlk105686791" w:displacedByCustomXml="next"/>
        <w:sdt>
          <w:sdtPr>
            <w:tag w:val="_PLD_7b231a79acb54050b640bf23dd34ab8c"/>
            <w:id w:val="-611983106"/>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jc w:val="center"/>
                  <w:rPr>
                    <w:b/>
                    <w:color w:val="000000" w:themeColor="text1"/>
                  </w:rPr>
                </w:pPr>
                <w:r>
                  <w:rPr>
                    <w:b/>
                    <w:color w:val="000000" w:themeColor="text1"/>
                  </w:rPr>
                  <w:t>项目</w:t>
                </w:r>
              </w:p>
            </w:tc>
          </w:sdtContent>
        </w:sdt>
        <w:sdt>
          <w:sdtPr>
            <w:tag w:val="_PLD_5e370aa08a144a709185abd9b2f11c20"/>
            <w:id w:val="-334386549"/>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center"/>
                  <w:rPr>
                    <w:b/>
                    <w:color w:val="000000" w:themeColor="text1"/>
                  </w:rPr>
                </w:pPr>
                <w:r>
                  <w:rPr>
                    <w:rFonts w:hint="eastAsia"/>
                    <w:b/>
                    <w:color w:val="000000" w:themeColor="text1"/>
                  </w:rPr>
                  <w:t>附注</w:t>
                </w:r>
              </w:p>
            </w:tc>
          </w:sdtContent>
        </w:sdt>
        <w:sdt>
          <w:sdtPr>
            <w:tag w:val="_PLD_0aa0a7a0cd4c45afa7cfb1bcfbba36c3"/>
            <w:id w:val="-378248794"/>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center"/>
                  <w:rPr>
                    <w:b/>
                    <w:color w:val="000000" w:themeColor="text1"/>
                  </w:rPr>
                </w:pPr>
                <w:r>
                  <w:rPr>
                    <w:rFonts w:hint="eastAsia"/>
                    <w:b/>
                    <w:color w:val="000000" w:themeColor="text1"/>
                  </w:rPr>
                  <w:t>2025</w:t>
                </w:r>
                <w:r>
                  <w:rPr>
                    <w:rFonts w:hint="eastAsia"/>
                    <w:b/>
                    <w:color w:val="000000" w:themeColor="text1"/>
                  </w:rPr>
                  <w:t>年</w:t>
                </w:r>
                <w:r>
                  <w:rPr>
                    <w:rFonts w:hint="eastAsia"/>
                    <w:b/>
                    <w:color w:val="000000" w:themeColor="text1"/>
                  </w:rPr>
                  <w:t>6</w:t>
                </w:r>
                <w:r>
                  <w:rPr>
                    <w:rFonts w:hint="eastAsia"/>
                    <w:b/>
                    <w:color w:val="000000" w:themeColor="text1"/>
                  </w:rPr>
                  <w:t>月</w:t>
                </w:r>
                <w:r>
                  <w:rPr>
                    <w:b/>
                    <w:color w:val="000000" w:themeColor="text1"/>
                  </w:rPr>
                  <w:t>3</w:t>
                </w:r>
                <w:r>
                  <w:rPr>
                    <w:rFonts w:hint="eastAsia"/>
                    <w:b/>
                    <w:color w:val="000000" w:themeColor="text1"/>
                  </w:rPr>
                  <w:t>0</w:t>
                </w:r>
                <w:r>
                  <w:rPr>
                    <w:rFonts w:hint="eastAsia"/>
                    <w:b/>
                    <w:color w:val="000000" w:themeColor="text1"/>
                  </w:rPr>
                  <w:t>日</w:t>
                </w:r>
              </w:p>
            </w:tc>
          </w:sdtContent>
        </w:sdt>
        <w:sdt>
          <w:sdtPr>
            <w:tag w:val="_PLD_e986dda0dbc74346a9296e5a4646b696"/>
            <w:id w:val="1824311064"/>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center"/>
                  <w:rPr>
                    <w:b/>
                    <w:color w:val="000000" w:themeColor="text1"/>
                  </w:rPr>
                </w:pPr>
                <w:r>
                  <w:rPr>
                    <w:b/>
                    <w:color w:val="000000" w:themeColor="text1"/>
                  </w:rPr>
                  <w:t>2024</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156DD6">
        <w:sdt>
          <w:sdtPr>
            <w:tag w:val="_PLD_64ae72669eea4837a1a220d585585bdf"/>
            <w:id w:val="110329434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b/>
                    <w:color w:val="000000" w:themeColor="text1"/>
                  </w:rPr>
                </w:pPr>
                <w:r>
                  <w:rPr>
                    <w:rFonts w:hint="eastAsia"/>
                    <w:b/>
                    <w:color w:val="000000" w:themeColor="text1"/>
                  </w:rPr>
                  <w:t>流动资产：</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1,111,487,152.84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1,056,009,362.86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25,058,819.44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应收票据</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186,824,517.53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193,886,379.94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tcPr>
          <w:p w:rsidR="00156DD6" w:rsidRDefault="00D51F5F">
            <w:pPr>
              <w:jc w:val="both"/>
            </w:pPr>
            <w:r>
              <w:rPr>
                <w:rFonts w:hint="eastAsia"/>
              </w:rPr>
              <w:t>十九、</w:t>
            </w:r>
            <w:r>
              <w:rPr>
                <w:rFonts w:hint="eastAsia"/>
              </w:rPr>
              <w:t>1</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1,075,342,715.77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919,355,457.70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25,500,772.77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4,462,766.73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47,369,862.44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76,541,336.56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tcPr>
          <w:p w:rsidR="00156DD6" w:rsidRDefault="00D51F5F">
            <w:pPr>
              <w:jc w:val="both"/>
            </w:pPr>
            <w:r>
              <w:rPr>
                <w:rFonts w:hint="eastAsia"/>
              </w:rPr>
              <w:t>十九、</w:t>
            </w:r>
            <w:r>
              <w:rPr>
                <w:rFonts w:hint="eastAsia"/>
              </w:rPr>
              <w:t>2</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314,096,393.47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325,553,719.91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400" w:firstLine="840"/>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514,501,864.31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471,208,951.30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一年内到期的非流动资产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454,419.55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1,777,273.27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流动资产合计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3,275,577,698.68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3,073,854,067.71 </w:t>
            </w:r>
          </w:p>
        </w:tc>
      </w:tr>
      <w:tr w:rsidR="00156DD6">
        <w:sdt>
          <w:sdtPr>
            <w:tag w:val="_PLD_71f45ac7535d4ffeaa6273d6527bae0d"/>
            <w:id w:val="-76939482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color w:val="000000" w:themeColor="text1"/>
                  </w:rPr>
                </w:pPr>
                <w:r>
                  <w:rPr>
                    <w:rFonts w:hint="eastAsia"/>
                    <w:b/>
                    <w:color w:val="000000" w:themeColor="text1"/>
                  </w:rPr>
                  <w:t>非流动资产：</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lastRenderedPageBreak/>
              <w:t>债权投资</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其他债权投资</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5,264,904.89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5,683,724.89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D51F5F">
            <w:pPr>
              <w:jc w:val="both"/>
            </w:pPr>
            <w:r>
              <w:rPr>
                <w:rFonts w:hint="eastAsia"/>
              </w:rPr>
              <w:t>十九、</w:t>
            </w:r>
            <w:r>
              <w:rPr>
                <w:rFonts w:hint="eastAsia"/>
              </w:rPr>
              <w:t>3</w:t>
            </w: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805,323,217.61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675,144,055.46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jc w:val="both"/>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1,507,427,756.97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1,579,393,637.14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6,349,100.03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6,433,170.83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油气资产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使用权资产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7,795,919.96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5,569,270.48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119,733,403.73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121,648,047.80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其中：数据资源</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1,474,546.27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2,062,433.14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5,274,914.85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4,287,749.80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2,458,643,764.31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2,400,222,089.54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300" w:firstLine="630"/>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5,734,221,462.99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5,474,076,157.25 </w:t>
            </w:r>
          </w:p>
        </w:tc>
      </w:tr>
      <w:tr w:rsidR="00156DD6">
        <w:sdt>
          <w:sdtPr>
            <w:tag w:val="_PLD_380943e088034c15ad8af33927d58d1b"/>
            <w:id w:val="208787465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color w:val="000000" w:themeColor="text1"/>
                  </w:rPr>
                </w:pPr>
                <w:r>
                  <w:rPr>
                    <w:rFonts w:hint="eastAsia"/>
                    <w:b/>
                    <w:color w:val="000000" w:themeColor="text1"/>
                  </w:rPr>
                  <w:t>流动负债：</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175,755,800.94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131,434,776.24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494,607,332.43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432,129,516.42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433,269,850.71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522,073,216.45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40,667,572.72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50,892,682.02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25,355,546.11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24,615,422.05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14,874,242.58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961,658.15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45,638,992.15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34,661,296.82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400" w:firstLine="84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一年内到期的非流动负债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341,740,597.53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472,817,020.55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其他流动负债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207,668,782.74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224,762,823.13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1,779,578,717.91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1,894,348,411.83 </w:t>
            </w:r>
          </w:p>
        </w:tc>
      </w:tr>
      <w:tr w:rsidR="00156DD6">
        <w:sdt>
          <w:sdtPr>
            <w:tag w:val="_PLD_e62929b21cd4456494013c9cb0dc5b16"/>
            <w:id w:val="-195678734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color w:val="000000" w:themeColor="text1"/>
                  </w:rPr>
                </w:pPr>
                <w:r>
                  <w:rPr>
                    <w:rFonts w:hint="eastAsia"/>
                    <w:b/>
                    <w:color w:val="000000" w:themeColor="text1"/>
                  </w:rPr>
                  <w:t>非流动负债：</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1,251,564,124.96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1,077,411,936.25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400" w:firstLine="84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3,849,533.13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3,055,490.50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161,681,046.25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长期应付职工薪酬</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预计负债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964,944.52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591,038.64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lastRenderedPageBreak/>
              <w:t>递延收益</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68,416,797.39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70,884,128.25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递延所得税负债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38,223,580.43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31,895,977.19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其他非流动负债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1,524,700,026.68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1,183,838,570.83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300" w:firstLine="630"/>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tcPr>
          <w:p w:rsidR="00156DD6" w:rsidRDefault="00D51F5F">
            <w:pPr>
              <w:jc w:val="right"/>
            </w:pPr>
            <w:r>
              <w:rPr>
                <w:rFonts w:hint="eastAsia"/>
              </w:rPr>
              <w:t xml:space="preserve"> 3,304,278,744.59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3,078,186,982.66 </w:t>
            </w:r>
          </w:p>
        </w:tc>
      </w:tr>
      <w:tr w:rsidR="00156DD6">
        <w:sdt>
          <w:sdtPr>
            <w:tag w:val="_PLD_b3c95ee428314f8b8091bd15dff2a83d"/>
            <w:id w:val="154371844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56DD6" w:rsidRDefault="00D51F5F">
                <w:pPr>
                  <w:rPr>
                    <w:color w:val="000000" w:themeColor="text1"/>
                  </w:rPr>
                </w:pPr>
                <w:r>
                  <w:rPr>
                    <w:rFonts w:hint="eastAsia"/>
                    <w:b/>
                    <w:color w:val="000000" w:themeColor="text1"/>
                  </w:rPr>
                  <w:t>所有者权益（或股东权益）：</w:t>
                </w:r>
              </w:p>
            </w:tc>
          </w:sdtContent>
        </w:sdt>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333,167,407.00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333,167,407.00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400" w:firstLine="84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968,077,886.12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969,891,813.86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26,392,941.28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30,893,741.28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156DD6">
            <w:pPr>
              <w:jc w:val="right"/>
            </w:pP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20,306,277.54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19,302,441.84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121,494,338.37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121,494,338.37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100" w:firstLine="210"/>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1,013,289,750.65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982,926,914.80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200" w:firstLine="420"/>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2,429,942,718.40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2,395,889,174.59 </w:t>
            </w:r>
          </w:p>
        </w:tc>
      </w:tr>
      <w:tr w:rsidR="00156DD6">
        <w:tc>
          <w:tcPr>
            <w:tcW w:w="1629" w:type="pct"/>
            <w:tcBorders>
              <w:top w:val="outset" w:sz="6" w:space="0" w:color="auto"/>
              <w:left w:val="outset" w:sz="6" w:space="0" w:color="auto"/>
              <w:bottom w:val="outset" w:sz="6" w:space="0" w:color="auto"/>
              <w:right w:val="outset" w:sz="6" w:space="0" w:color="auto"/>
            </w:tcBorders>
            <w:vAlign w:val="center"/>
          </w:tcPr>
          <w:p w:rsidR="00156DD6" w:rsidRDefault="00D51F5F">
            <w:pPr>
              <w:ind w:firstLineChars="300" w:firstLine="630"/>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vAlign w:val="center"/>
          </w:tcPr>
          <w:p w:rsidR="00156DD6" w:rsidRDefault="00156DD6">
            <w:pPr>
              <w:pStyle w:val="Style43"/>
            </w:pPr>
          </w:p>
        </w:tc>
        <w:tc>
          <w:tcPr>
            <w:tcW w:w="1411"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rPr>
                <w:rFonts w:hint="eastAsia"/>
              </w:rPr>
              <w:t xml:space="preserve"> 5,734,221,462.99 </w:t>
            </w:r>
          </w:p>
        </w:tc>
        <w:tc>
          <w:tcPr>
            <w:tcW w:w="1333" w:type="pct"/>
            <w:tcBorders>
              <w:top w:val="outset" w:sz="6" w:space="0" w:color="auto"/>
              <w:left w:val="outset" w:sz="6" w:space="0" w:color="auto"/>
              <w:bottom w:val="outset" w:sz="6" w:space="0" w:color="auto"/>
              <w:right w:val="outset" w:sz="6" w:space="0" w:color="auto"/>
            </w:tcBorders>
            <w:vAlign w:val="center"/>
          </w:tcPr>
          <w:p w:rsidR="00156DD6" w:rsidRDefault="00D51F5F">
            <w:pPr>
              <w:jc w:val="right"/>
            </w:pPr>
            <w:r>
              <w:t xml:space="preserve"> 5,474,076,157.25 </w:t>
            </w:r>
          </w:p>
        </w:tc>
      </w:tr>
    </w:tbl>
    <w:bookmarkEnd w:id="165"/>
    <w:p w:rsidR="00156DD6" w:rsidRDefault="00D51F5F">
      <w:pPr>
        <w:ind w:rightChars="-73" w:right="-153"/>
        <w:rPr>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f43f422c96ec4e009c3976ce8e58b778"/>
          <w:id w:val="1755087840"/>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3ac751c8378d4424bbdf4c74057683d9"/>
          <w:id w:val="-2123067874"/>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182ff185180a4ea4b9c93bbd4b01de2c"/>
          <w:id w:val="2091346307"/>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156DD6" w:rsidRDefault="00156DD6">
      <w:pPr>
        <w:ind w:rightChars="-73" w:right="-153"/>
        <w:rPr>
          <w:b/>
          <w:color w:val="000000" w:themeColor="text1"/>
          <w:u w:val="single"/>
        </w:rPr>
      </w:pPr>
      <w:bookmarkStart w:id="166" w:name="_Hlk10210632"/>
      <w:bookmarkEnd w:id="163"/>
      <w:bookmarkEnd w:id="166"/>
    </w:p>
    <w:p w:rsidR="00156DD6" w:rsidRDefault="00D51F5F">
      <w:pPr>
        <w:pStyle w:val="TOC6"/>
        <w:jc w:val="center"/>
        <w:rPr>
          <w:rFonts w:ascii="宋体" w:hAnsi="宋体"/>
          <w:color w:val="000000" w:themeColor="text1"/>
          <w:sz w:val="21"/>
          <w:szCs w:val="21"/>
        </w:rPr>
      </w:pPr>
      <w:bookmarkStart w:id="167" w:name="_Hlk10210822"/>
      <w:r>
        <w:rPr>
          <w:rFonts w:ascii="宋体" w:hAnsi="宋体" w:hint="eastAsia"/>
          <w:color w:val="000000" w:themeColor="text1"/>
          <w:sz w:val="21"/>
          <w:szCs w:val="21"/>
        </w:rPr>
        <w:t>合并</w:t>
      </w:r>
      <w:r>
        <w:rPr>
          <w:rFonts w:ascii="宋体" w:hAnsi="宋体"/>
          <w:color w:val="000000" w:themeColor="text1"/>
          <w:sz w:val="21"/>
          <w:szCs w:val="21"/>
        </w:rPr>
        <w:t>利润表</w:t>
      </w:r>
    </w:p>
    <w:p w:rsidR="00156DD6" w:rsidRDefault="00D51F5F">
      <w:pPr>
        <w:jc w:val="center"/>
        <w:rPr>
          <w:b/>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rsidR="00156DD6" w:rsidRDefault="00D51F5F">
      <w:pPr>
        <w:jc w:val="right"/>
        <w:rPr>
          <w:color w:val="000000" w:themeColor="text1"/>
        </w:rPr>
      </w:pPr>
      <w:r>
        <w:rPr>
          <w:color w:val="000000" w:themeColor="text1"/>
        </w:rPr>
        <w:t>单位：</w:t>
      </w:r>
      <w:sdt>
        <w:sdtPr>
          <w:rPr>
            <w:color w:val="000000" w:themeColor="text1"/>
          </w:rPr>
          <w:alias w:val="单位：合并利润表"/>
          <w:tag w:val="_GBC_4fec24feb4834b768c484fe556046382"/>
          <w:id w:val="5083389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合并利润表"/>
          <w:tag w:val="_GBC_ae5c0d79e5694eb28ba1b8160e27a464"/>
          <w:id w:val="-20978490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77"/>
        <w:gridCol w:w="1218"/>
        <w:gridCol w:w="1959"/>
        <w:gridCol w:w="1969"/>
      </w:tblGrid>
      <w:tr w:rsidR="00156DD6">
        <w:bookmarkStart w:id="168" w:name="_Hlk137050130" w:displacedByCustomXml="next"/>
        <w:sdt>
          <w:sdtPr>
            <w:tag w:val="_PLD_ea01e0b0c9224fe59426c375515c2359"/>
            <w:id w:val="-715581509"/>
          </w:sdtPr>
          <w:sdtEndPr/>
          <w:sdtContent>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left="40" w:hangingChars="19" w:hanging="40"/>
                  <w:jc w:val="center"/>
                  <w:rPr>
                    <w:b/>
                    <w:color w:val="000000" w:themeColor="text1"/>
                  </w:rPr>
                </w:pPr>
                <w:r>
                  <w:rPr>
                    <w:b/>
                    <w:color w:val="000000" w:themeColor="text1"/>
                  </w:rPr>
                  <w:t>项目</w:t>
                </w:r>
              </w:p>
            </w:tc>
          </w:sdtContent>
        </w:sdt>
        <w:sdt>
          <w:sdtPr>
            <w:tag w:val="_PLD_e4f45f42e79e4a4aba892e3a7a7b123d"/>
            <w:id w:val="-1202935940"/>
          </w:sdtPr>
          <w:sdtEndPr/>
          <w:sdtContent>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center"/>
                  <w:rPr>
                    <w:b/>
                    <w:color w:val="000000" w:themeColor="text1"/>
                  </w:rPr>
                </w:pPr>
                <w:r>
                  <w:rPr>
                    <w:rFonts w:hint="eastAsia"/>
                    <w:b/>
                    <w:color w:val="000000" w:themeColor="text1"/>
                  </w:rPr>
                  <w:t>附注</w:t>
                </w:r>
              </w:p>
            </w:tc>
          </w:sdtContent>
        </w:sdt>
        <w:sdt>
          <w:sdtPr>
            <w:tag w:val="_PLD_41682cdf00e5450394986df99de953d1"/>
            <w:id w:val="-1697379634"/>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center"/>
                  <w:rPr>
                    <w:b/>
                    <w:color w:val="000000" w:themeColor="text1"/>
                  </w:rPr>
                </w:pPr>
                <w:r>
                  <w:rPr>
                    <w:rFonts w:hint="eastAsia"/>
                    <w:b/>
                    <w:color w:val="000000" w:themeColor="text1"/>
                  </w:rPr>
                  <w:t>2025</w:t>
                </w:r>
                <w:r>
                  <w:rPr>
                    <w:rFonts w:hint="eastAsia"/>
                    <w:b/>
                    <w:color w:val="000000" w:themeColor="text1"/>
                  </w:rPr>
                  <w:t>年半年度</w:t>
                </w:r>
              </w:p>
            </w:tc>
          </w:sdtContent>
        </w:sdt>
        <w:sdt>
          <w:sdtPr>
            <w:tag w:val="_PLD_f020215569a54a6db2bd3d5298280e01"/>
            <w:id w:val="-1036578623"/>
          </w:sdtPr>
          <w:sdtEndPr/>
          <w:sdtContent>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center"/>
                  <w:rPr>
                    <w:b/>
                    <w:color w:val="000000" w:themeColor="text1"/>
                  </w:rPr>
                </w:pPr>
                <w:r>
                  <w:rPr>
                    <w:rFonts w:hint="eastAsia"/>
                    <w:b/>
                    <w:color w:val="000000" w:themeColor="text1"/>
                  </w:rPr>
                  <w:t>2024</w:t>
                </w:r>
                <w:r>
                  <w:rPr>
                    <w:rFonts w:hint="eastAsia"/>
                    <w:b/>
                    <w:color w:val="000000" w:themeColor="text1"/>
                  </w:rPr>
                  <w:t>年半年度</w:t>
                </w:r>
              </w:p>
            </w:tc>
          </w:sdtContent>
        </w:sdt>
      </w:tr>
      <w:tr w:rsidR="00156DD6">
        <w:trPr>
          <w:trHeight w:val="278"/>
        </w:trPr>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一、营业总收入</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1,835,983,089.83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1,425,395,377.42 </w:t>
            </w:r>
          </w:p>
        </w:tc>
      </w:tr>
      <w:tr w:rsidR="00156DD6">
        <w:trPr>
          <w:trHeight w:val="278"/>
        </w:trPr>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其中：营业收入</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61</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1,835,983,089.83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1,425,395,377.42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利息收入</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已赚保费</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手续费及佣金收入</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二、营业总成本</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1,765,491,634.22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1,404,295,268.56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其中：营业成本</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61</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1,602,351,143.85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1,273,685,159.25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利息支出</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手续费及佣金支出</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退保金</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赔付支出净额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提取保险责任准备金净额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保单红利支出</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分保费用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税金及附加</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62</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10,290,410.60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5,670,542.11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销售费用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63</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59,491,446.53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50,195,681.68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管理费用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64</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63,176,217.35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54,164,811.58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研发费用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65</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20,565,044.04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20,613,774.45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财务费用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66</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9,617,371.85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-34,700.51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其中：利息费用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26,894,497.85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19,499,842.54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600" w:firstLine="1260"/>
              <w:rPr>
                <w:color w:val="000000" w:themeColor="text1"/>
              </w:rPr>
            </w:pPr>
            <w:r>
              <w:rPr>
                <w:rFonts w:hint="eastAsia"/>
                <w:color w:val="000000" w:themeColor="text1"/>
              </w:rPr>
              <w:t>利息收入</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18,082,394.86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17,601,283.27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加：其他收益</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67</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16,411,587.05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52,100,142.87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lastRenderedPageBreak/>
              <w:t>投资收益（损失以“－”号填列）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68</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-512,472.84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-74,502.67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其中：对联营企业和合营企业的投资收益</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-1,373,937.85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-74,502.67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550" w:firstLine="1155"/>
              <w:rPr>
                <w:color w:val="000000" w:themeColor="text1"/>
              </w:rPr>
            </w:pPr>
            <w:r>
              <w:rPr>
                <w:rFonts w:hint="eastAsia"/>
                <w:color w:val="000000" w:themeColor="text1"/>
              </w:rPr>
              <w:t>以摊余成本计量的金融资产终止确认收益（损失以“</w:t>
            </w:r>
            <w:r>
              <w:rPr>
                <w:color w:val="000000" w:themeColor="text1"/>
              </w:rPr>
              <w:t>-”</w:t>
            </w:r>
            <w:r>
              <w:rPr>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汇兑收益（损失以“－”号填列）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净敞口套期收益（损失以“</w:t>
            </w:r>
            <w:r>
              <w:rPr>
                <w:color w:val="000000" w:themeColor="text1"/>
              </w:rPr>
              <w:t>-”</w:t>
            </w:r>
            <w:r>
              <w:rPr>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公允价值变动收益（损失以“－”号填列）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信用减值损失（损失以“</w:t>
            </w:r>
            <w:r>
              <w:rPr>
                <w:color w:val="000000" w:themeColor="text1"/>
              </w:rPr>
              <w:t>-”</w:t>
            </w:r>
            <w:r>
              <w:rPr>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71</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-5,207,818.47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-9,482,359.20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资产减值损失（损失以“</w:t>
            </w:r>
            <w:r>
              <w:rPr>
                <w:color w:val="000000" w:themeColor="text1"/>
              </w:rPr>
              <w:t>-”</w:t>
            </w:r>
            <w:r>
              <w:rPr>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72</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-9,228,094.05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-2,866,850.71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资产处置收益（损失以“－”号填列）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73</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96,562.33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39,219.18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三、营业利润（亏损以“－”号填列）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72,051,219.63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60,815,758.33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加：营业外收入</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74</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4,259.50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1,299,944.75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减：营业外支出</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75</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2,263,566.39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22,364,539.39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四、利润总额（亏损总额以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69,791,912.74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39,751,163.69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减：所得税费用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76</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10,126,287.37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2,893,591.63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五、净利润（净亏损以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59,665,625.37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36,857,572.06 </w:t>
            </w:r>
          </w:p>
        </w:tc>
      </w:tr>
      <w:tr w:rsidR="00156DD6">
        <w:sdt>
          <w:sdtPr>
            <w:tag w:val="_PLD_c576a2f5fbec4ba2b1cc36d0a215ba5c"/>
            <w:id w:val="23035921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（一）</w:t>
                </w:r>
                <w:r>
                  <w:rPr>
                    <w:color w:val="000000" w:themeColor="text1"/>
                  </w:rPr>
                  <w:t>按经营持续性分类</w:t>
                </w:r>
              </w:p>
            </w:tc>
          </w:sdtContent>
        </w:sdt>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1.</w:t>
            </w:r>
            <w:r>
              <w:rPr>
                <w:color w:val="000000" w:themeColor="text1"/>
              </w:rPr>
              <w:t>持续经营净利润（净亏损以</w:t>
            </w:r>
            <w:r>
              <w:rPr>
                <w:color w:val="000000" w:themeColor="text1"/>
              </w:rPr>
              <w:t>“</w:t>
            </w:r>
            <w:r>
              <w:rPr>
                <w:color w:val="000000" w:themeColor="text1"/>
              </w:rPr>
              <w:t>－</w:t>
            </w:r>
            <w:r>
              <w:rPr>
                <w:color w:val="000000" w:themeColor="text1"/>
              </w:rPr>
              <w:t>”</w:t>
            </w:r>
            <w:r>
              <w:rPr>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59,665,625.37  </w:t>
            </w:r>
            <w:r>
              <w:t xml:space="preserve">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36,857,572.06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2.</w:t>
            </w:r>
            <w:r>
              <w:rPr>
                <w:color w:val="000000" w:themeColor="text1"/>
              </w:rPr>
              <w:t>终止经营净利润（净亏损以</w:t>
            </w:r>
            <w:r>
              <w:rPr>
                <w:color w:val="000000" w:themeColor="text1"/>
              </w:rPr>
              <w:t>“</w:t>
            </w:r>
            <w:r>
              <w:rPr>
                <w:color w:val="000000" w:themeColor="text1"/>
              </w:rPr>
              <w:t>－</w:t>
            </w:r>
            <w:r>
              <w:rPr>
                <w:color w:val="000000" w:themeColor="text1"/>
              </w:rPr>
              <w:t>”</w:t>
            </w:r>
            <w:r>
              <w:rPr>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sdt>
          <w:sdtPr>
            <w:tag w:val="_PLD_5da729560f54464cbcc9ce762078f9ba"/>
            <w:id w:val="13014050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（二）</w:t>
                </w:r>
                <w:r>
                  <w:rPr>
                    <w:color w:val="000000" w:themeColor="text1"/>
                  </w:rPr>
                  <w:t>按所有权归属分类</w:t>
                </w:r>
              </w:p>
            </w:tc>
          </w:sdtContent>
        </w:sdt>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1.</w:t>
            </w:r>
            <w:r>
              <w:rPr>
                <w:rFonts w:hint="eastAsia"/>
                <w:color w:val="000000" w:themeColor="text1"/>
              </w:rPr>
              <w:t>归属于母公司股东的净利润（净亏损以“</w:t>
            </w:r>
            <w:r>
              <w:rPr>
                <w:color w:val="000000" w:themeColor="text1"/>
              </w:rPr>
              <w:t>-”</w:t>
            </w:r>
            <w:r>
              <w:rPr>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54,632,217.78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34,793,222.68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2.</w:t>
            </w:r>
            <w:r>
              <w:rPr>
                <w:rFonts w:hint="eastAsia"/>
                <w:color w:val="000000" w:themeColor="text1"/>
              </w:rPr>
              <w:t>少数股东损益（净亏损以“</w:t>
            </w:r>
            <w:r>
              <w:rPr>
                <w:color w:val="000000" w:themeColor="text1"/>
              </w:rPr>
              <w:t>-”</w:t>
            </w:r>
            <w:r>
              <w:rPr>
                <w:color w:val="000000" w:themeColor="text1"/>
              </w:rPr>
              <w:t>号填列）</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5,033,407.59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2,064,349.38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六、其他综合收益的税后净额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77</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407,799.31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2,003,535.77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（一）归属母公司所有者的其他综合收益的税后净额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326,117.11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1,602,227.56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1.</w:t>
            </w:r>
            <w:r>
              <w:rPr>
                <w:rFonts w:hint="eastAsia"/>
                <w:color w:val="000000" w:themeColor="text1"/>
              </w:rPr>
              <w:t>不能重分类进损益的其他综合收益</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326,117.11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1,602,227.56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重新计量设定受益计划变动额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color w:val="000000" w:themeColor="text1"/>
              </w:rPr>
              <w:t>2</w:t>
            </w:r>
            <w:r>
              <w:rPr>
                <w:rFonts w:hint="eastAsia"/>
                <w:color w:val="000000" w:themeColor="text1"/>
              </w:rPr>
              <w:t>）</w:t>
            </w:r>
            <w:r>
              <w:rPr>
                <w:color w:val="000000" w:themeColor="text1"/>
              </w:rPr>
              <w:t>权益法下不能转损益的其他综合收益</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其他权益工具投资公允价值变动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326,117.11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1,602,227.56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lastRenderedPageBreak/>
              <w:t>（</w:t>
            </w:r>
            <w:r>
              <w:rPr>
                <w:rFonts w:hint="eastAsia"/>
                <w:color w:val="000000" w:themeColor="text1"/>
              </w:rPr>
              <w:t>4</w:t>
            </w:r>
            <w:r>
              <w:rPr>
                <w:rFonts w:hint="eastAsia"/>
                <w:color w:val="000000" w:themeColor="text1"/>
              </w:rPr>
              <w:t>）</w:t>
            </w:r>
            <w:r>
              <w:rPr>
                <w:color w:val="000000" w:themeColor="text1"/>
              </w:rPr>
              <w:t>企业自身信用风险公允价值变动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2.</w:t>
            </w:r>
            <w:r>
              <w:rPr>
                <w:rFonts w:hint="eastAsia"/>
                <w:color w:val="000000" w:themeColor="text1"/>
              </w:rPr>
              <w:t>将重分类进损益的其他综合收益</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权益法下可转损益的其他综合收益</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color w:val="000000" w:themeColor="text1"/>
              </w:rPr>
              <w:t>2</w:t>
            </w:r>
            <w:r>
              <w:rPr>
                <w:rFonts w:hint="eastAsia"/>
                <w:color w:val="000000" w:themeColor="text1"/>
              </w:rPr>
              <w:t>）</w:t>
            </w:r>
            <w:r>
              <w:rPr>
                <w:color w:val="000000" w:themeColor="text1"/>
              </w:rPr>
              <w:t>其他债权投资公允价值变动</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金融资产重分类计入其他综合收益的金额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color w:val="000000" w:themeColor="text1"/>
              </w:rPr>
              <w:t>其他债权投资信用减值准备</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w:t>
            </w:r>
            <w:r>
              <w:rPr>
                <w:color w:val="000000" w:themeColor="text1"/>
              </w:rPr>
              <w:t>现金流量套期储备</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w:t>
            </w:r>
            <w:r>
              <w:rPr>
                <w:color w:val="000000" w:themeColor="text1"/>
              </w:rPr>
              <w:t>外币财务报表折算差额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w:t>
            </w:r>
            <w:r>
              <w:rPr>
                <w:color w:val="000000" w:themeColor="text1"/>
              </w:rPr>
              <w:t>其他</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（二）归属于少数股东的其他综合收益的税后净额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81,682.20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401,308.21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七、综合收益总额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60,073,424.68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38,861,107.83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color w:val="000000" w:themeColor="text1"/>
              </w:rPr>
              <w:t>（一）</w:t>
            </w:r>
            <w:r>
              <w:rPr>
                <w:rFonts w:hint="eastAsia"/>
                <w:color w:val="000000" w:themeColor="text1"/>
              </w:rPr>
              <w:t>归属于母公司所有者的综合收益总额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54,958,334.89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36,395,450.24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color w:val="000000" w:themeColor="text1"/>
              </w:rPr>
              <w:t>（二）</w:t>
            </w:r>
            <w:r>
              <w:rPr>
                <w:rFonts w:hint="eastAsia"/>
                <w:color w:val="000000" w:themeColor="text1"/>
              </w:rPr>
              <w:t>归属于少数股东的综合收益总额</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5,115,089.79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2,465,657.59 </w:t>
            </w:r>
          </w:p>
        </w:tc>
      </w:tr>
      <w:tr w:rsidR="00156DD6">
        <w:sdt>
          <w:sdtPr>
            <w:tag w:val="_PLD_2faba48500f741229b3467bfe3ce2495"/>
            <w:id w:val="1371346383"/>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八、每股收益：</w:t>
                </w:r>
              </w:p>
            </w:tc>
          </w:sdtContent>
        </w:sdt>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color w:val="000000" w:themeColor="text1"/>
              </w:rPr>
              <w:t>（一）基本每股收益</w:t>
            </w:r>
            <w:r>
              <w:rPr>
                <w:rFonts w:hint="eastAsia"/>
                <w:color w:val="000000" w:themeColor="text1"/>
              </w:rPr>
              <w:t>(</w:t>
            </w:r>
            <w:r>
              <w:rPr>
                <w:rFonts w:hint="eastAsia"/>
                <w:color w:val="000000" w:themeColor="text1"/>
              </w:rPr>
              <w:t>元</w:t>
            </w:r>
            <w:r>
              <w:rPr>
                <w:rFonts w:hint="eastAsia"/>
                <w:color w:val="000000" w:themeColor="text1"/>
              </w:rPr>
              <w:t>/</w:t>
            </w:r>
            <w:r>
              <w:rPr>
                <w:rFonts w:hint="eastAsia"/>
                <w:color w:val="000000" w:themeColor="text1"/>
              </w:rPr>
              <w:t>股</w:t>
            </w:r>
            <w:r>
              <w:rPr>
                <w:rFonts w:hint="eastAsia"/>
                <w:color w:val="000000" w:themeColor="text1"/>
              </w:rPr>
              <w:t>)</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tcPr>
          <w:p w:rsidR="00156DD6" w:rsidRDefault="00D51F5F">
            <w:pPr>
              <w:jc w:val="right"/>
            </w:pPr>
            <w:r>
              <w:rPr>
                <w:rFonts w:hint="eastAsia"/>
              </w:rPr>
              <w:t xml:space="preserve"> 0.17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0.11 </w:t>
            </w:r>
          </w:p>
        </w:tc>
      </w:tr>
      <w:tr w:rsidR="00156DD6">
        <w:tc>
          <w:tcPr>
            <w:tcW w:w="2084"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color w:val="000000" w:themeColor="text1"/>
              </w:rPr>
              <w:t>（二）稀释每股收益</w:t>
            </w:r>
            <w:r>
              <w:rPr>
                <w:rFonts w:hint="eastAsia"/>
                <w:color w:val="000000" w:themeColor="text1"/>
              </w:rPr>
              <w:t>(</w:t>
            </w:r>
            <w:r>
              <w:rPr>
                <w:rFonts w:hint="eastAsia"/>
                <w:color w:val="000000" w:themeColor="text1"/>
              </w:rPr>
              <w:t>元</w:t>
            </w:r>
            <w:r>
              <w:rPr>
                <w:rFonts w:hint="eastAsia"/>
                <w:color w:val="000000" w:themeColor="text1"/>
              </w:rPr>
              <w:t>/</w:t>
            </w:r>
            <w:r>
              <w:rPr>
                <w:rFonts w:hint="eastAsia"/>
                <w:color w:val="000000" w:themeColor="text1"/>
              </w:rPr>
              <w:t>股</w:t>
            </w:r>
            <w:r>
              <w:rPr>
                <w:rFonts w:hint="eastAsia"/>
                <w:color w:val="000000" w:themeColor="text1"/>
              </w:rPr>
              <w:t>)</w:t>
            </w:r>
          </w:p>
        </w:tc>
        <w:tc>
          <w:tcPr>
            <w:tcW w:w="690"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tcPr>
          <w:p w:rsidR="00156DD6" w:rsidRDefault="00D51F5F">
            <w:pPr>
              <w:jc w:val="right"/>
            </w:pPr>
            <w:r>
              <w:rPr>
                <w:rFonts w:hint="eastAsia"/>
              </w:rPr>
              <w:t xml:space="preserve"> 0.17 </w:t>
            </w:r>
          </w:p>
        </w:tc>
        <w:tc>
          <w:tcPr>
            <w:tcW w:w="1116"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0.11 </w:t>
            </w:r>
          </w:p>
        </w:tc>
      </w:tr>
    </w:tbl>
    <w:bookmarkEnd w:id="168"/>
    <w:p w:rsidR="00156DD6" w:rsidRDefault="00D51F5F">
      <w:pPr>
        <w:rPr>
          <w:b/>
          <w:color w:val="000000" w:themeColor="text1"/>
        </w:rPr>
      </w:pPr>
      <w:r>
        <w:rPr>
          <w:rFonts w:hint="eastAsia"/>
          <w:color w:val="000000" w:themeColor="text1"/>
        </w:rPr>
        <w:t>本期发生同一控制下企业合并的，被合并方在合并前实现的净利润为：</w:t>
      </w:r>
      <w:sdt>
        <w:sdtPr>
          <w:rPr>
            <w:rFonts w:hint="eastAsia"/>
            <w:color w:val="000000" w:themeColor="text1"/>
          </w:rPr>
          <w:alias w:val="同一控制下的企业合并中被合并方在合并前实现的净利润"/>
          <w:tag w:val="_GBC_0d3f3004d896427080339d4b0e2d499c"/>
          <w:id w:val="-415162709"/>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r>
        <w:rPr>
          <w:rFonts w:hint="eastAsia"/>
          <w:color w:val="000000" w:themeColor="text1"/>
        </w:rPr>
        <w:t xml:space="preserve">, </w:t>
      </w:r>
      <w:r>
        <w:rPr>
          <w:rFonts w:hint="eastAsia"/>
          <w:color w:val="000000" w:themeColor="text1"/>
        </w:rPr>
        <w:t>上期被合并方实现的净利润为：</w:t>
      </w:r>
      <w:r>
        <w:rPr>
          <w:rFonts w:hint="eastAsia"/>
          <w:color w:val="000000" w:themeColor="text1"/>
        </w:rPr>
        <w:t xml:space="preserve"> </w:t>
      </w:r>
      <w:sdt>
        <w:sdtPr>
          <w:rPr>
            <w:rFonts w:hint="eastAsia"/>
            <w:color w:val="000000" w:themeColor="text1"/>
          </w:rPr>
          <w:alias w:val="同一控制下的企业合并中被合并方在合并前实现的净利润"/>
          <w:tag w:val="_GBC_7e8cf02e71b9434883c60dcb8fb33270"/>
          <w:id w:val="-553084752"/>
          <w:placeholder>
            <w:docPart w:val="GBC22222222222222222222222222222"/>
          </w:placeholder>
        </w:sdtPr>
        <w:sdtEndPr>
          <w:rPr>
            <w:rFonts w:hint="default"/>
          </w:rPr>
        </w:sdtEnd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rsidR="00156DD6" w:rsidRDefault="00D51F5F">
      <w:pPr>
        <w:rPr>
          <w:color w:val="000000" w:themeColor="text1"/>
          <w:u w:val="single"/>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84d2ead02dbe49699dff5184a9cd1bd3"/>
          <w:id w:val="44267316"/>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e958f3d59232458da90c4799548d15ea"/>
          <w:id w:val="1350288249"/>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83eea96809554a8b86e8c53c6e3da040"/>
          <w:id w:val="1631970802"/>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156DD6" w:rsidRDefault="00156DD6">
      <w:pPr>
        <w:rPr>
          <w:color w:val="000000" w:themeColor="text1"/>
          <w:u w:val="single"/>
        </w:rPr>
      </w:pPr>
    </w:p>
    <w:p w:rsidR="00156DD6" w:rsidRDefault="00D51F5F">
      <w:pPr>
        <w:pStyle w:val="TOC6"/>
        <w:jc w:val="center"/>
        <w:rPr>
          <w:rFonts w:ascii="宋体" w:hAnsi="宋体"/>
          <w:color w:val="000000" w:themeColor="text1"/>
          <w:sz w:val="21"/>
          <w:szCs w:val="21"/>
        </w:rPr>
      </w:pPr>
      <w:r>
        <w:rPr>
          <w:rFonts w:ascii="宋体" w:hAnsi="宋体" w:hint="eastAsia"/>
          <w:color w:val="000000" w:themeColor="text1"/>
          <w:sz w:val="21"/>
          <w:szCs w:val="21"/>
        </w:rPr>
        <w:t>母公司</w:t>
      </w:r>
      <w:r>
        <w:rPr>
          <w:rFonts w:ascii="宋体" w:hAnsi="宋体"/>
          <w:color w:val="000000" w:themeColor="text1"/>
          <w:sz w:val="21"/>
          <w:szCs w:val="21"/>
        </w:rPr>
        <w:t>利润表</w:t>
      </w:r>
    </w:p>
    <w:p w:rsidR="00156DD6" w:rsidRDefault="00D51F5F">
      <w:pPr>
        <w:jc w:val="center"/>
        <w:rPr>
          <w:b/>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rsidR="00156DD6" w:rsidRDefault="00D51F5F">
      <w:pPr>
        <w:snapToGrid w:val="0"/>
        <w:spacing w:line="240" w:lineRule="atLeast"/>
        <w:jc w:val="right"/>
        <w:rPr>
          <w:b/>
          <w:color w:val="000000" w:themeColor="text1"/>
        </w:rPr>
      </w:pPr>
      <w:r>
        <w:rPr>
          <w:color w:val="000000" w:themeColor="text1"/>
        </w:rPr>
        <w:t>单位：</w:t>
      </w:r>
      <w:sdt>
        <w:sdtPr>
          <w:rPr>
            <w:color w:val="000000" w:themeColor="text1"/>
          </w:rPr>
          <w:alias w:val="单位：母公司利润表"/>
          <w:tag w:val="_GBC_955732cd74ff4f1f9b098e70c1b85c60"/>
          <w:id w:val="-2789532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母公司利润表"/>
          <w:tag w:val="_GBC_125a2547934143ccb384434361f57d37"/>
          <w:id w:val="-7124251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156DD6">
        <w:tc>
          <w:tcPr>
            <w:tcW w:w="1938" w:type="pct"/>
            <w:tcBorders>
              <w:top w:val="outset" w:sz="4" w:space="0" w:color="auto"/>
              <w:left w:val="outset" w:sz="4" w:space="0" w:color="auto"/>
              <w:bottom w:val="outset" w:sz="4" w:space="0" w:color="auto"/>
              <w:right w:val="outset" w:sz="4" w:space="0" w:color="auto"/>
            </w:tcBorders>
            <w:vAlign w:val="center"/>
          </w:tcPr>
          <w:sdt>
            <w:sdtPr>
              <w:tag w:val="_PLD_2746da9ce382479bbcc34de94cc91419"/>
              <w:id w:val="-1962567836"/>
            </w:sdtPr>
            <w:sdtEndPr/>
            <w:sdtContent>
              <w:p w:rsidR="00156DD6" w:rsidRDefault="00D51F5F">
                <w:pPr>
                  <w:ind w:left="40" w:hangingChars="19" w:hanging="40"/>
                  <w:jc w:val="center"/>
                  <w:rPr>
                    <w:b/>
                    <w:color w:val="000000" w:themeColor="text1"/>
                  </w:rPr>
                </w:pPr>
                <w:r>
                  <w:rPr>
                    <w:rFonts w:hint="eastAsia"/>
                    <w:b/>
                    <w:color w:val="000000" w:themeColor="text1"/>
                  </w:rPr>
                  <w:t>项目</w:t>
                </w:r>
              </w:p>
            </w:sdtContent>
          </w:sdt>
        </w:tc>
        <w:tc>
          <w:tcPr>
            <w:tcW w:w="838" w:type="pct"/>
            <w:tcBorders>
              <w:top w:val="outset" w:sz="4" w:space="0" w:color="auto"/>
              <w:left w:val="outset" w:sz="4" w:space="0" w:color="auto"/>
              <w:bottom w:val="outset" w:sz="4" w:space="0" w:color="auto"/>
              <w:right w:val="outset" w:sz="4" w:space="0" w:color="auto"/>
            </w:tcBorders>
            <w:vAlign w:val="center"/>
          </w:tcPr>
          <w:sdt>
            <w:sdtPr>
              <w:tag w:val="_PLD_353d1b95815e4cb9bce619c23384aae7"/>
              <w:id w:val="1108630869"/>
            </w:sdtPr>
            <w:sdtEndPr/>
            <w:sdtContent>
              <w:p w:rsidR="00156DD6" w:rsidRDefault="00D51F5F">
                <w:pPr>
                  <w:jc w:val="center"/>
                  <w:rPr>
                    <w:b/>
                    <w:color w:val="000000" w:themeColor="text1"/>
                  </w:rPr>
                </w:pPr>
                <w:r>
                  <w:rPr>
                    <w:rFonts w:hint="eastAsia"/>
                    <w:b/>
                    <w:color w:val="000000" w:themeColor="text1"/>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tag w:val="_PLD_aa6da19e961f4f0aa9c1f47a5d8bdb21"/>
              <w:id w:val="-695311927"/>
            </w:sdtPr>
            <w:sdtEndPr/>
            <w:sdtContent>
              <w:p w:rsidR="00156DD6" w:rsidRDefault="00D51F5F">
                <w:pPr>
                  <w:jc w:val="center"/>
                  <w:rPr>
                    <w:b/>
                    <w:color w:val="000000" w:themeColor="text1"/>
                  </w:rPr>
                </w:pPr>
                <w:r>
                  <w:rPr>
                    <w:rFonts w:hint="eastAsia"/>
                    <w:b/>
                    <w:color w:val="000000" w:themeColor="text1"/>
                  </w:rPr>
                  <w:t>2025</w:t>
                </w:r>
                <w:r>
                  <w:rPr>
                    <w:rFonts w:hint="eastAsia"/>
                    <w:b/>
                    <w:color w:val="000000" w:themeColor="text1"/>
                  </w:rPr>
                  <w:t>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tag w:val="_PLD_fd6f3d63a7544a05b6f572cee64f39fb"/>
              <w:id w:val="-1479528964"/>
            </w:sdtPr>
            <w:sdtEndPr/>
            <w:sdtContent>
              <w:p w:rsidR="00156DD6" w:rsidRDefault="00D51F5F">
                <w:pPr>
                  <w:jc w:val="center"/>
                  <w:rPr>
                    <w:b/>
                    <w:color w:val="000000" w:themeColor="text1"/>
                  </w:rPr>
                </w:pPr>
                <w:r>
                  <w:rPr>
                    <w:rFonts w:hint="eastAsia"/>
                    <w:b/>
                    <w:color w:val="000000" w:themeColor="text1"/>
                  </w:rPr>
                  <w:t>2024</w:t>
                </w:r>
                <w:r>
                  <w:rPr>
                    <w:rFonts w:hint="eastAsia"/>
                    <w:b/>
                    <w:color w:val="000000" w:themeColor="text1"/>
                  </w:rPr>
                  <w:t>年半年度</w:t>
                </w:r>
              </w:p>
            </w:sdtContent>
          </w:sdt>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一、营业收入</w:t>
            </w:r>
          </w:p>
        </w:tc>
        <w:tc>
          <w:tcPr>
            <w:tcW w:w="838" w:type="pct"/>
            <w:tcBorders>
              <w:top w:val="outset" w:sz="4" w:space="0" w:color="auto"/>
              <w:left w:val="outset" w:sz="4" w:space="0" w:color="auto"/>
              <w:bottom w:val="outset" w:sz="4" w:space="0" w:color="auto"/>
              <w:right w:val="outset" w:sz="4" w:space="0" w:color="auto"/>
            </w:tcBorders>
          </w:tcPr>
          <w:p w:rsidR="00156DD6" w:rsidRDefault="00D51F5F">
            <w:pPr>
              <w:jc w:val="both"/>
            </w:pPr>
            <w:r>
              <w:rPr>
                <w:rFonts w:hint="eastAsia"/>
              </w:rPr>
              <w:t>十九、</w:t>
            </w:r>
            <w:r>
              <w:rPr>
                <w:rFonts w:hint="eastAsia"/>
              </w:rPr>
              <w:t>4</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1,352,448,182.54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1,232,249,813.99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减：营业成本</w:t>
            </w:r>
          </w:p>
        </w:tc>
        <w:tc>
          <w:tcPr>
            <w:tcW w:w="838" w:type="pct"/>
            <w:tcBorders>
              <w:top w:val="outset" w:sz="4" w:space="0" w:color="auto"/>
              <w:left w:val="outset" w:sz="4" w:space="0" w:color="auto"/>
              <w:bottom w:val="outset" w:sz="4" w:space="0" w:color="auto"/>
              <w:right w:val="outset" w:sz="4" w:space="0" w:color="auto"/>
            </w:tcBorders>
          </w:tcPr>
          <w:p w:rsidR="00156DD6" w:rsidRDefault="00D51F5F">
            <w:pPr>
              <w:jc w:val="both"/>
            </w:pPr>
            <w:r>
              <w:rPr>
                <w:rFonts w:hint="eastAsia"/>
              </w:rPr>
              <w:t>十九、</w:t>
            </w:r>
            <w:r>
              <w:rPr>
                <w:rFonts w:hint="eastAsia"/>
              </w:rPr>
              <w:t>4</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1,186,424,762.46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1,119,642,721.15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税金及附加</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7,525,134.01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4,561,643.44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销售费用</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39,022,740.28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42,104,922.07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管理费用</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40,887,876.48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40,078,067.12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研发费用</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14,252,220.61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16,314,269.30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财务费用</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2,654,908.29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-1,226,917.20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其中：利息费用</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24,130,177.88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16,507,278.57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600" w:firstLine="1260"/>
              <w:rPr>
                <w:color w:val="000000" w:themeColor="text1"/>
              </w:rPr>
            </w:pPr>
            <w:r>
              <w:rPr>
                <w:rFonts w:hint="eastAsia"/>
                <w:color w:val="000000" w:themeColor="text1"/>
              </w:rPr>
              <w:t>利息收入</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22,022,855.86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15,571,961.47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加：其他收益</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8,500,207.22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50,079,605.50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投资收益（损失以“－”号填列）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十九、</w:t>
            </w:r>
            <w:r>
              <w:rPr>
                <w:rFonts w:hint="eastAsia"/>
              </w:rPr>
              <w:t>5</w:t>
            </w: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-1,303,040.31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6,832,516.48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-1,373,937.85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-74,502.67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550" w:firstLine="1155"/>
              <w:rPr>
                <w:color w:val="000000" w:themeColor="text1"/>
              </w:rPr>
            </w:pPr>
            <w:r>
              <w:rPr>
                <w:rFonts w:hint="eastAsia"/>
                <w:color w:val="000000" w:themeColor="text1"/>
              </w:rPr>
              <w:t>以摊余成本计量的金融资产终止确认收益（损失以“</w:t>
            </w:r>
            <w:r>
              <w:rPr>
                <w:color w:val="000000" w:themeColor="text1"/>
              </w:rPr>
              <w:t>-”</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lastRenderedPageBreak/>
              <w:t>净敞口套期收益（损失以“</w:t>
            </w:r>
            <w:r>
              <w:rPr>
                <w:color w:val="000000" w:themeColor="text1"/>
              </w:rPr>
              <w:t>-”</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公允价值变动收益（损失以“－”号填列）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信用减值损失（损失以“</w:t>
            </w:r>
            <w:r>
              <w:rPr>
                <w:color w:val="000000" w:themeColor="text1"/>
              </w:rPr>
              <w:t>-”</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-4,410,432.77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-5,697,078.09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资产减值损失（损失以“</w:t>
            </w:r>
            <w:r>
              <w:rPr>
                <w:color w:val="000000" w:themeColor="text1"/>
              </w:rPr>
              <w:t>-”</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-7,416,968.38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-2,713,442.30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资产处置收益（损失以“－”号填列）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96,562.33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69,839.23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二、营业利润（亏损以“－”号填列）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57,146,868.50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59,346,548.93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加：营业外收入</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1,296,284.75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减：营业外支出</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2,250,000.00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22,123,991.31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三、利润总额（亏损总额以“－”号填列）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54,896,868.50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38,518,842.37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减：所得税费用</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7,920,000.70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4,041,619.93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四、净利润（净亏损以“－”号填列）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46,976,867.80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34,477,222.44 </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8" w:firstLine="227"/>
              <w:rPr>
                <w:color w:val="000000" w:themeColor="text1"/>
              </w:rPr>
            </w:pPr>
            <w:r>
              <w:rPr>
                <w:rFonts w:hint="eastAsia"/>
                <w:color w:val="000000" w:themeColor="text1"/>
              </w:rPr>
              <w:t>（一）</w:t>
            </w:r>
            <w:r>
              <w:rPr>
                <w:color w:val="000000" w:themeColor="text1"/>
              </w:rPr>
              <w:t>持续经营净利润（净亏损以</w:t>
            </w:r>
            <w:r>
              <w:rPr>
                <w:color w:val="000000" w:themeColor="text1"/>
              </w:rPr>
              <w:t>“</w:t>
            </w:r>
            <w:r>
              <w:rPr>
                <w:color w:val="000000" w:themeColor="text1"/>
              </w:rPr>
              <w:t>－</w:t>
            </w:r>
            <w:r>
              <w:rPr>
                <w:color w:val="000000" w:themeColor="text1"/>
              </w:rPr>
              <w:t>”</w:t>
            </w:r>
            <w:r>
              <w:rPr>
                <w:color w:val="000000" w:themeColor="text1"/>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46,976,867.80 </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34,477,222.44</w:t>
            </w: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8" w:firstLine="227"/>
              <w:rPr>
                <w:color w:val="000000" w:themeColor="text1"/>
              </w:rPr>
            </w:pPr>
            <w:r>
              <w:rPr>
                <w:rFonts w:hint="eastAsia"/>
                <w:color w:val="000000" w:themeColor="text1"/>
              </w:rPr>
              <w:t>（二）终止经营净利润（净亏损以“－”号填列）</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五、其他综合收益的税后净额</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（一）不能重分类进损益的其他综合收益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1.</w:t>
            </w:r>
            <w:r>
              <w:rPr>
                <w:color w:val="000000" w:themeColor="text1"/>
              </w:rPr>
              <w:t>重新计量设定受益计划变动额</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2.</w:t>
            </w:r>
            <w:r>
              <w:rPr>
                <w:color w:val="000000" w:themeColor="text1"/>
              </w:rPr>
              <w:t>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3.</w:t>
            </w:r>
            <w:r>
              <w:rPr>
                <w:color w:val="000000" w:themeColor="text1"/>
              </w:rPr>
              <w:t>其他权益工具投资公允价值变动</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4.</w:t>
            </w:r>
            <w:r>
              <w:rPr>
                <w:color w:val="000000" w:themeColor="text1"/>
              </w:rPr>
              <w:t>企业自身信用风险公允价值变动</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（二）将重分类进损益的其他综合收益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1.</w:t>
            </w:r>
            <w:r>
              <w:rPr>
                <w:color w:val="000000" w:themeColor="text1"/>
              </w:rPr>
              <w:t>权益法下可转损益的其他综合收益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2.</w:t>
            </w:r>
            <w:r>
              <w:rPr>
                <w:color w:val="000000" w:themeColor="text1"/>
              </w:rPr>
              <w:t>其他债权投资公允价值变动</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3.</w:t>
            </w:r>
            <w:r>
              <w:rPr>
                <w:color w:val="000000" w:themeColor="text1"/>
              </w:rPr>
              <w:t>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4.</w:t>
            </w:r>
            <w:r>
              <w:rPr>
                <w:color w:val="000000" w:themeColor="text1"/>
              </w:rPr>
              <w:t>其他债权投资信用减值准备</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5.</w:t>
            </w:r>
            <w:r>
              <w:rPr>
                <w:color w:val="000000" w:themeColor="text1"/>
              </w:rPr>
              <w:t>现金流量套期储备</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6.</w:t>
            </w:r>
            <w:r>
              <w:rPr>
                <w:color w:val="000000" w:themeColor="text1"/>
              </w:rPr>
              <w:t>外币财务报表折算差额</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7.</w:t>
            </w:r>
            <w:r>
              <w:rPr>
                <w:color w:val="000000" w:themeColor="text1"/>
              </w:rPr>
              <w:t>其他</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六、综合收益总额</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46,976,867.80</w:t>
            </w: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34,477,222.44</w:t>
            </w:r>
          </w:p>
        </w:tc>
      </w:tr>
      <w:tr w:rsidR="00156DD6">
        <w:sdt>
          <w:sdtPr>
            <w:tag w:val="_PLD_302a225367d84b88a766d8daaf22e468"/>
            <w:id w:val="156330091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color w:val="000000" w:themeColor="text1"/>
                  </w:rPr>
                  <w:t>七</w:t>
                </w:r>
                <w:r>
                  <w:rPr>
                    <w:color w:val="000000" w:themeColor="text1"/>
                  </w:rPr>
                  <w:t>、每股收益：</w:t>
                </w:r>
              </w:p>
            </w:tc>
          </w:sdtContent>
        </w:sdt>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（一）基本每股收益</w:t>
            </w:r>
            <w:r>
              <w:rPr>
                <w:rFonts w:hint="eastAsia"/>
                <w:color w:val="000000" w:themeColor="text1"/>
              </w:rPr>
              <w:t>(</w:t>
            </w:r>
            <w:r>
              <w:rPr>
                <w:rFonts w:hint="eastAsia"/>
                <w:color w:val="000000" w:themeColor="text1"/>
              </w:rPr>
              <w:t>元</w:t>
            </w:r>
            <w:r>
              <w:rPr>
                <w:rFonts w:hint="eastAsia"/>
                <w:color w:val="000000" w:themeColor="text1"/>
              </w:rPr>
              <w:t>/</w:t>
            </w:r>
            <w:r>
              <w:rPr>
                <w:rFonts w:hint="eastAsia"/>
                <w:color w:val="000000" w:themeColor="text1"/>
              </w:rPr>
              <w:t>股</w:t>
            </w:r>
            <w:r>
              <w:rPr>
                <w:rFonts w:hint="eastAsia"/>
                <w:color w:val="000000" w:themeColor="text1"/>
              </w:rPr>
              <w:t>)</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938"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color w:val="000000" w:themeColor="text1"/>
              </w:rPr>
              <w:t>（二）稀释每股收益</w:t>
            </w:r>
            <w:r>
              <w:rPr>
                <w:rFonts w:hint="eastAsia"/>
                <w:color w:val="000000" w:themeColor="text1"/>
              </w:rPr>
              <w:t>(</w:t>
            </w:r>
            <w:r>
              <w:rPr>
                <w:rFonts w:hint="eastAsia"/>
                <w:color w:val="000000" w:themeColor="text1"/>
              </w:rPr>
              <w:t>元</w:t>
            </w:r>
            <w:r>
              <w:rPr>
                <w:rFonts w:hint="eastAsia"/>
                <w:color w:val="000000" w:themeColor="text1"/>
              </w:rPr>
              <w:t>/</w:t>
            </w:r>
            <w:r>
              <w:rPr>
                <w:rFonts w:hint="eastAsia"/>
                <w:color w:val="000000" w:themeColor="text1"/>
              </w:rPr>
              <w:t>股</w:t>
            </w:r>
            <w:r>
              <w:rPr>
                <w:rFonts w:hint="eastAsia"/>
                <w:color w:val="000000" w:themeColor="text1"/>
              </w:rPr>
              <w:t>)</w:t>
            </w:r>
          </w:p>
        </w:tc>
        <w:tc>
          <w:tcPr>
            <w:tcW w:w="838"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110"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bl>
    <w:p w:rsidR="00156DD6" w:rsidRDefault="00D51F5F">
      <w:pPr>
        <w:snapToGrid w:val="0"/>
        <w:spacing w:line="240" w:lineRule="atLeast"/>
        <w:ind w:rightChars="-73" w:right="-153"/>
        <w:rPr>
          <w:rFonts w:cs="宋体-方正超大字符集"/>
          <w:color w:val="000000" w:themeColor="text1"/>
        </w:rPr>
      </w:pPr>
      <w:r>
        <w:rPr>
          <w:color w:val="000000" w:themeColor="text1"/>
        </w:rPr>
        <w:lastRenderedPageBreak/>
        <w:t>公司负责人</w:t>
      </w:r>
      <w:r>
        <w:rPr>
          <w:rFonts w:hint="eastAsia"/>
          <w:color w:val="000000" w:themeColor="text1"/>
        </w:rPr>
        <w:t>：</w:t>
      </w:r>
      <w:sdt>
        <w:sdtPr>
          <w:rPr>
            <w:rFonts w:hint="eastAsia"/>
            <w:color w:val="000000" w:themeColor="text1"/>
          </w:rPr>
          <w:alias w:val="公司负责人"/>
          <w:tag w:val="_GBC_6be9c51ef68a40f0b60486f4414f2413"/>
          <w:id w:val="-1036269269"/>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ac91a6c67f0a401ab312a449bd87b833"/>
          <w:id w:val="-66547753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60f6b900783346cfad817de4d84acf5e"/>
          <w:id w:val="-836068900"/>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156DD6" w:rsidRDefault="00156DD6">
      <w:pPr>
        <w:rPr>
          <w:color w:val="000000" w:themeColor="text1"/>
        </w:rPr>
      </w:pPr>
      <w:bookmarkStart w:id="169" w:name="_Hlk10211424"/>
      <w:bookmarkEnd w:id="167"/>
      <w:bookmarkEnd w:id="169"/>
    </w:p>
    <w:p w:rsidR="00156DD6" w:rsidRDefault="00D51F5F">
      <w:pPr>
        <w:pStyle w:val="TOC6"/>
        <w:jc w:val="center"/>
        <w:rPr>
          <w:rFonts w:ascii="宋体" w:hAnsi="宋体"/>
          <w:color w:val="000000" w:themeColor="text1"/>
          <w:sz w:val="21"/>
          <w:szCs w:val="21"/>
        </w:rPr>
      </w:pPr>
      <w:bookmarkStart w:id="170" w:name="_Hlk10211590"/>
      <w:r>
        <w:rPr>
          <w:rFonts w:ascii="宋体" w:hAnsi="宋体" w:hint="eastAsia"/>
          <w:color w:val="000000" w:themeColor="text1"/>
          <w:sz w:val="21"/>
          <w:szCs w:val="21"/>
        </w:rPr>
        <w:t>合并</w:t>
      </w:r>
      <w:r>
        <w:rPr>
          <w:rFonts w:ascii="宋体" w:hAnsi="宋体"/>
          <w:color w:val="000000" w:themeColor="text1"/>
          <w:sz w:val="21"/>
          <w:szCs w:val="21"/>
        </w:rPr>
        <w:t>现金流量表</w:t>
      </w:r>
    </w:p>
    <w:p w:rsidR="00156DD6" w:rsidRDefault="00D51F5F">
      <w:pPr>
        <w:jc w:val="center"/>
        <w:rPr>
          <w:b/>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rsidR="00156DD6" w:rsidRDefault="00D51F5F">
      <w:pPr>
        <w:jc w:val="right"/>
        <w:rPr>
          <w:color w:val="000000" w:themeColor="text1"/>
        </w:rPr>
      </w:pPr>
      <w:r>
        <w:rPr>
          <w:color w:val="000000" w:themeColor="text1"/>
        </w:rPr>
        <w:t>单位</w:t>
      </w:r>
      <w:r>
        <w:rPr>
          <w:rFonts w:hint="eastAsia"/>
          <w:color w:val="000000" w:themeColor="text1"/>
        </w:rPr>
        <w:t>：</w:t>
      </w:r>
      <w:sdt>
        <w:sdtPr>
          <w:rPr>
            <w:rFonts w:hint="eastAsia"/>
            <w:color w:val="000000" w:themeColor="text1"/>
          </w:rPr>
          <w:alias w:val="单位：合并现金流量表"/>
          <w:tag w:val="_GBC_7049413ddb8f4e5eac9cb9fb4f802433"/>
          <w:id w:val="-949410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w:t>
      </w:r>
      <w:r>
        <w:rPr>
          <w:color w:val="000000" w:themeColor="text1"/>
        </w:rPr>
        <w:t>币种</w:t>
      </w:r>
      <w:r>
        <w:rPr>
          <w:rFonts w:hint="eastAsia"/>
          <w:color w:val="000000" w:themeColor="text1"/>
        </w:rPr>
        <w:t>：</w:t>
      </w:r>
      <w:sdt>
        <w:sdtPr>
          <w:rPr>
            <w:rFonts w:hint="eastAsia"/>
            <w:color w:val="000000" w:themeColor="text1"/>
          </w:rPr>
          <w:alias w:val="币种：合并现金流量表"/>
          <w:tag w:val="_GBC_5ab1c6e244484b228b8cdc6ee3840fd6"/>
          <w:id w:val="-6095065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4"/>
        <w:gridCol w:w="1528"/>
        <w:gridCol w:w="2119"/>
        <w:gridCol w:w="2112"/>
      </w:tblGrid>
      <w:tr w:rsidR="00156DD6">
        <w:sdt>
          <w:sdtPr>
            <w:tag w:val="_PLD_2a3b6af3ab824e2db1022630f7a58e18"/>
            <w:id w:val="-1131937418"/>
          </w:sdtPr>
          <w:sdtEndPr/>
          <w:sdtContent>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jc w:val="center"/>
                  <w:rPr>
                    <w:b/>
                    <w:color w:val="000000" w:themeColor="text1"/>
                  </w:rPr>
                </w:pPr>
                <w:r>
                  <w:rPr>
                    <w:b/>
                    <w:color w:val="000000" w:themeColor="text1"/>
                  </w:rPr>
                  <w:t>项目</w:t>
                </w:r>
              </w:p>
            </w:tc>
          </w:sdtContent>
        </w:sdt>
        <w:sdt>
          <w:sdtPr>
            <w:tag w:val="_PLD_49df1a6f5a224085bdcd56671a898d47"/>
            <w:id w:val="1640224420"/>
          </w:sdtPr>
          <w:sdtEndPr/>
          <w:sdtContent>
            <w:tc>
              <w:tcPr>
                <w:tcW w:w="866" w:type="pct"/>
                <w:tcBorders>
                  <w:top w:val="outset" w:sz="4" w:space="0" w:color="auto"/>
                  <w:left w:val="outset" w:sz="4" w:space="0" w:color="auto"/>
                  <w:bottom w:val="outset" w:sz="4" w:space="0" w:color="auto"/>
                  <w:right w:val="outset" w:sz="4" w:space="0" w:color="auto"/>
                </w:tcBorders>
                <w:vAlign w:val="center"/>
              </w:tcPr>
              <w:p w:rsidR="00156DD6" w:rsidRDefault="00D51F5F">
                <w:pPr>
                  <w:jc w:val="center"/>
                  <w:rPr>
                    <w:b/>
                    <w:color w:val="000000" w:themeColor="text1"/>
                  </w:rPr>
                </w:pPr>
                <w:r>
                  <w:rPr>
                    <w:b/>
                    <w:color w:val="000000" w:themeColor="text1"/>
                  </w:rPr>
                  <w:t>附注</w:t>
                </w:r>
              </w:p>
            </w:tc>
          </w:sdtContent>
        </w:sdt>
        <w:sdt>
          <w:sdtPr>
            <w:tag w:val="_PLD_aba5e14092764f689b78fdbe9892bc51"/>
            <w:id w:val="-1421009726"/>
          </w:sdtPr>
          <w:sdtEndPr/>
          <w:sdtContent>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autoSpaceDE w:val="0"/>
                  <w:autoSpaceDN w:val="0"/>
                  <w:adjustRightInd w:val="0"/>
                  <w:jc w:val="center"/>
                  <w:rPr>
                    <w:b/>
                    <w:color w:val="000000" w:themeColor="text1"/>
                  </w:rPr>
                </w:pPr>
                <w:r>
                  <w:rPr>
                    <w:rFonts w:hint="eastAsia"/>
                    <w:b/>
                    <w:color w:val="000000" w:themeColor="text1"/>
                  </w:rPr>
                  <w:t>2025</w:t>
                </w:r>
                <w:r>
                  <w:rPr>
                    <w:rFonts w:hint="eastAsia"/>
                    <w:b/>
                    <w:color w:val="000000" w:themeColor="text1"/>
                  </w:rPr>
                  <w:t>年半年度</w:t>
                </w:r>
              </w:p>
            </w:tc>
          </w:sdtContent>
        </w:sdt>
        <w:sdt>
          <w:sdtPr>
            <w:tag w:val="_PLD_8cac70c6f00c4266a9b8cff482cc71cc"/>
            <w:id w:val="-1872453520"/>
          </w:sdtPr>
          <w:sdtEndPr/>
          <w:sdtContent>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autoSpaceDE w:val="0"/>
                  <w:autoSpaceDN w:val="0"/>
                  <w:adjustRightInd w:val="0"/>
                  <w:jc w:val="center"/>
                  <w:rPr>
                    <w:b/>
                    <w:color w:val="000000" w:themeColor="text1"/>
                  </w:rPr>
                </w:pPr>
                <w:r>
                  <w:rPr>
                    <w:rFonts w:hint="eastAsia"/>
                    <w:b/>
                    <w:color w:val="000000" w:themeColor="text1"/>
                  </w:rPr>
                  <w:t>2024</w:t>
                </w:r>
                <w:r>
                  <w:rPr>
                    <w:rFonts w:hint="eastAsia"/>
                    <w:b/>
                    <w:color w:val="000000" w:themeColor="text1"/>
                  </w:rPr>
                  <w:t>年半年度</w:t>
                </w:r>
              </w:p>
            </w:tc>
          </w:sdtContent>
        </w:sdt>
      </w:tr>
      <w:tr w:rsidR="00156DD6">
        <w:sdt>
          <w:sdtPr>
            <w:tag w:val="_PLD_ffd119a1ffa641c1a00397806a78ee23"/>
            <w:id w:val="1185175494"/>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一、经营活动产生的现金流量：</w:t>
                </w:r>
              </w:p>
            </w:tc>
          </w:sdtContent>
        </w:sdt>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销售商品、提供劳务收到的现金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1,275,751,787.43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956,469,756.22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客户存款和同业存放款项净增加额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向中央银行借款净增加额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向其他金融机构拆入资金净增加额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收到原保险合同保费取得的现金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收到再保业务现金净额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保户储金及投资款净增加额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收取利息、手续费及佣金的现金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拆入资金净增加额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回购业务资金净增加额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代理买卖证券收到的现金净额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收到的税费返还</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1,817,290.20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21,581,749.63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收到其他与经营活动有关的现金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D51F5F">
            <w:pPr>
              <w:jc w:val="both"/>
            </w:pPr>
            <w:r>
              <w:rPr>
                <w:rFonts w:hint="eastAsia"/>
              </w:rPr>
              <w:t>七、</w:t>
            </w:r>
            <w:r>
              <w:rPr>
                <w:rFonts w:hint="eastAsia"/>
              </w:rPr>
              <w:t>78</w:t>
            </w: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60,001,733.80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107,346,540.40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经营活动现金流入小计</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1,337,570,811.43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1,085,398,046.25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购买商品、接受劳务支付的现金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jc w:val="both"/>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1,001,935,350.45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1,087,046,927.81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客户贷款及垫款净增加额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存放中央银行和同业款项净增加额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支付原保险合同赔付款项的现金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拆出资金净增加额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支付利息、手续费及佣金的现金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支付保单红利的现金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支付给职工及为职工支付的现金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165,760,019.82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141,453,735.93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支付的各项税费</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36,934,423.44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11,940,833.20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支付其他与经营活动有关的现金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D51F5F">
            <w:pPr>
              <w:pStyle w:val="Style43"/>
              <w:rPr>
                <w:rFonts w:ascii="宋体" w:hAnsi="宋体" w:cs="宋体"/>
                <w:bCs/>
                <w:sz w:val="21"/>
                <w:szCs w:val="21"/>
              </w:rPr>
            </w:pPr>
            <w:r>
              <w:rPr>
                <w:rFonts w:ascii="宋体" w:hAnsi="宋体" w:cs="宋体" w:hint="eastAsia"/>
                <w:bCs/>
                <w:sz w:val="21"/>
                <w:szCs w:val="21"/>
              </w:rPr>
              <w:t>七、</w:t>
            </w:r>
            <w:r>
              <w:rPr>
                <w:rFonts w:ascii="宋体" w:hAnsi="宋体" w:cs="宋体" w:hint="eastAsia"/>
                <w:bCs/>
                <w:sz w:val="21"/>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113,109,828.49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140,328,223.62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经营活动现金流出小计</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1,317,739,622.20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1,380,769,720.56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经营活动产生的现金流量净额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19,831,189.23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-295,371,674.31 </w:t>
            </w:r>
          </w:p>
        </w:tc>
      </w:tr>
      <w:tr w:rsidR="00156DD6">
        <w:sdt>
          <w:sdtPr>
            <w:tag w:val="_PLD_95b1c638e8714129b03173a0758b863f"/>
            <w:id w:val="-160033400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二、投资活动产生的现金流量：</w:t>
                </w:r>
              </w:p>
            </w:tc>
          </w:sdtContent>
        </w:sdt>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收回投资收到的现金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tcPr>
          <w:p w:rsidR="00156DD6" w:rsidRDefault="00D51F5F">
            <w:pPr>
              <w:jc w:val="right"/>
            </w:pPr>
            <w:r>
              <w:rPr>
                <w:rFonts w:hint="eastAsia"/>
              </w:rPr>
              <w:t xml:space="preserve"> 25,137,500.00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lastRenderedPageBreak/>
              <w:t>取得投资收益收到的现金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790,567.47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处置固定资产、无形资产和其他长期资产收回的现金净额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46,600.00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处置子公司及其他营业单位收到的现金净额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收到其他与投资活动有关的现金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D51F5F">
            <w:pPr>
              <w:pStyle w:val="Style43"/>
              <w:rPr>
                <w:rFonts w:ascii="宋体" w:hAnsi="宋体" w:cs="宋体"/>
                <w:bCs/>
                <w:sz w:val="21"/>
                <w:szCs w:val="21"/>
              </w:rPr>
            </w:pPr>
            <w:r>
              <w:rPr>
                <w:rFonts w:ascii="宋体" w:hAnsi="宋体" w:cs="宋体" w:hint="eastAsia"/>
                <w:bCs/>
                <w:sz w:val="21"/>
                <w:szCs w:val="21"/>
              </w:rPr>
              <w:t>七、</w:t>
            </w:r>
            <w:r>
              <w:rPr>
                <w:rFonts w:ascii="宋体" w:hAnsi="宋体" w:cs="宋体" w:hint="eastAsia"/>
                <w:bCs/>
                <w:sz w:val="21"/>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10,068,684.88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投资活动现金流入小计</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25,928,067.47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10,115,284.88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购建固定资产、无形资产和其他长期资产支付的现金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57,251,389.13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129,909,886.32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投资支付的现金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4,000,000.00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质押贷款净增加额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取得子公司及其他营业单位支付的现金净额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430,947,890.50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支付其他与投资活动有关的现金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D51F5F">
            <w:pPr>
              <w:pStyle w:val="Style43"/>
              <w:rPr>
                <w:rFonts w:ascii="宋体" w:hAnsi="宋体" w:cs="宋体"/>
                <w:bCs/>
                <w:sz w:val="21"/>
                <w:szCs w:val="21"/>
              </w:rPr>
            </w:pPr>
            <w:r>
              <w:rPr>
                <w:rFonts w:ascii="宋体" w:hAnsi="宋体" w:cs="宋体" w:hint="eastAsia"/>
                <w:bCs/>
                <w:sz w:val="21"/>
                <w:szCs w:val="21"/>
              </w:rPr>
              <w:t>七、</w:t>
            </w:r>
            <w:r>
              <w:rPr>
                <w:rFonts w:ascii="宋体" w:hAnsi="宋体" w:cs="宋体" w:hint="eastAsia"/>
                <w:bCs/>
                <w:sz w:val="21"/>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投资活动现金流出小计</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61,251,389.13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560,857,776.82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投资活动产生的现金流量净额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-35,323,321.66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-550,742,491.94 </w:t>
            </w:r>
          </w:p>
        </w:tc>
      </w:tr>
      <w:tr w:rsidR="00156DD6">
        <w:sdt>
          <w:sdtPr>
            <w:tag w:val="_PLD_0ebd9a8b5d8e4227a6bc3b0738379ef1"/>
            <w:id w:val="87420299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三、筹资活动产生的现金流量：</w:t>
                </w:r>
              </w:p>
            </w:tc>
          </w:sdtContent>
        </w:sdt>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吸收投资收到的现金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4,550,000.00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其中：子公司吸收少数股东投资收到的现金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取得借款收到的现金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850,323,220.51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843,051,376.60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收到其他与筹资活动有关的现金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D51F5F">
            <w:pPr>
              <w:pStyle w:val="Style43"/>
              <w:rPr>
                <w:rFonts w:ascii="宋体" w:hAnsi="宋体" w:cs="宋体"/>
                <w:bCs/>
                <w:sz w:val="21"/>
                <w:szCs w:val="21"/>
              </w:rPr>
            </w:pPr>
            <w:r>
              <w:rPr>
                <w:rFonts w:ascii="宋体" w:hAnsi="宋体" w:cs="宋体" w:hint="eastAsia"/>
                <w:bCs/>
                <w:sz w:val="21"/>
                <w:szCs w:val="21"/>
              </w:rPr>
              <w:t>七、</w:t>
            </w:r>
            <w:r>
              <w:rPr>
                <w:rFonts w:ascii="宋体" w:hAnsi="宋体" w:cs="宋体" w:hint="eastAsia"/>
                <w:bCs/>
                <w:sz w:val="21"/>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204,605,200.00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31,048,677.32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筹资活动现金流入小计</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1,059,478,420.51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874,100,053.92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偿还债务支付的现金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791,219,192.93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308,849,446.25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分配股利、利润或偿付利息支付的现金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42,408,505.55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66,821,582.14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其中：子公司支付给少数股东的股利、利润</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rPr>
                <w:rFonts w:ascii="宋体" w:hAnsi="宋体" w:cs="宋体"/>
                <w:bCs/>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支付其他与筹资活动有关的现金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D51F5F">
            <w:pPr>
              <w:pStyle w:val="Style43"/>
              <w:rPr>
                <w:rFonts w:ascii="宋体" w:hAnsi="宋体" w:cs="宋体"/>
                <w:bCs/>
                <w:sz w:val="21"/>
                <w:szCs w:val="21"/>
              </w:rPr>
            </w:pPr>
            <w:r>
              <w:rPr>
                <w:rFonts w:ascii="宋体" w:hAnsi="宋体" w:cs="宋体" w:hint="eastAsia"/>
                <w:bCs/>
                <w:sz w:val="21"/>
                <w:szCs w:val="21"/>
              </w:rPr>
              <w:t>七、</w:t>
            </w:r>
            <w:r>
              <w:rPr>
                <w:rFonts w:ascii="宋体" w:hAnsi="宋体" w:cs="宋体" w:hint="eastAsia"/>
                <w:bCs/>
                <w:sz w:val="21"/>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152,408,224.63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2,727,935.86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筹资活动现金流出小计</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986,035,923.11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378,398,964.25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筹资活动产生的现金流量净额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73,442,497.40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495,701,089.67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四、汇率变动对现金及现金等价物的影响</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311,736.64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2,593,537.05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五、现金及现金等价物净增加额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58,262,101.61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-347,819,539.53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加：期初现金及现金等价物余额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996,421,333.80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1,226,642,655.20 </w:t>
            </w:r>
          </w:p>
        </w:tc>
      </w:tr>
      <w:tr w:rsidR="00156DD6">
        <w:tc>
          <w:tcPr>
            <w:tcW w:w="1736" w:type="pct"/>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六、期末现金及现金等价物余额</w:t>
            </w:r>
          </w:p>
        </w:tc>
        <w:tc>
          <w:tcPr>
            <w:tcW w:w="866" w:type="pct"/>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201"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1,054,683,435.41 </w:t>
            </w:r>
          </w:p>
        </w:tc>
        <w:tc>
          <w:tcPr>
            <w:tcW w:w="1197" w:type="pct"/>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878,823,115.67 </w:t>
            </w:r>
          </w:p>
        </w:tc>
      </w:tr>
    </w:tbl>
    <w:p w:rsidR="00156DD6" w:rsidRDefault="00D51F5F">
      <w:pPr>
        <w:snapToGrid w:val="0"/>
        <w:spacing w:line="240" w:lineRule="atLeast"/>
        <w:ind w:rightChars="12" w:right="25"/>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d1f7cb193ab444ff8482a06aad12f0db"/>
          <w:id w:val="-435296878"/>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45110b4746914613a7aad68cef7b1bed"/>
          <w:id w:val="1832872209"/>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e7d70223996e482d9871cfff87704452"/>
          <w:id w:val="2710658"/>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156DD6" w:rsidRDefault="00156DD6">
      <w:pPr>
        <w:rPr>
          <w:color w:val="000000" w:themeColor="text1"/>
        </w:rPr>
      </w:pPr>
    </w:p>
    <w:p w:rsidR="00156DD6" w:rsidRDefault="00156DD6">
      <w:pPr>
        <w:jc w:val="center"/>
        <w:rPr>
          <w:b/>
          <w:color w:val="000000" w:themeColor="text1"/>
        </w:rPr>
      </w:pPr>
    </w:p>
    <w:p w:rsidR="00156DD6" w:rsidRDefault="00D51F5F">
      <w:pPr>
        <w:pStyle w:val="TOC6"/>
        <w:jc w:val="center"/>
        <w:rPr>
          <w:rFonts w:ascii="宋体" w:hAnsi="宋体"/>
          <w:color w:val="000000" w:themeColor="text1"/>
          <w:sz w:val="21"/>
          <w:szCs w:val="21"/>
        </w:rPr>
      </w:pPr>
      <w:r>
        <w:rPr>
          <w:rFonts w:ascii="宋体" w:hAnsi="宋体" w:hint="eastAsia"/>
          <w:color w:val="000000" w:themeColor="text1"/>
          <w:sz w:val="21"/>
          <w:szCs w:val="21"/>
        </w:rPr>
        <w:lastRenderedPageBreak/>
        <w:t>母公司</w:t>
      </w:r>
      <w:r>
        <w:rPr>
          <w:rFonts w:ascii="宋体" w:hAnsi="宋体"/>
          <w:color w:val="000000" w:themeColor="text1"/>
          <w:sz w:val="21"/>
          <w:szCs w:val="21"/>
        </w:rPr>
        <w:t>现金流量表</w:t>
      </w:r>
    </w:p>
    <w:p w:rsidR="00156DD6" w:rsidRDefault="00D51F5F">
      <w:pPr>
        <w:jc w:val="center"/>
        <w:rPr>
          <w:b/>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rsidR="00156DD6" w:rsidRDefault="00D51F5F">
      <w:pPr>
        <w:jc w:val="right"/>
        <w:rPr>
          <w:color w:val="000000" w:themeColor="text1"/>
        </w:rPr>
      </w:pPr>
      <w:r>
        <w:rPr>
          <w:color w:val="000000" w:themeColor="text1"/>
        </w:rPr>
        <w:t>单位：</w:t>
      </w:r>
      <w:sdt>
        <w:sdtPr>
          <w:rPr>
            <w:color w:val="000000" w:themeColor="text1"/>
          </w:rPr>
          <w:alias w:val="单位：母公司现金流量表"/>
          <w:tag w:val="_GBC_993ead81b27a41dfaccaacfaec8b7c78"/>
          <w:id w:val="13398951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母公司现金流量表"/>
          <w:tag w:val="_GBC_2dd4b706d0a244a4b4c21166025356cc"/>
          <w:id w:val="12598008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0" w:type="auto"/>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91"/>
        <w:gridCol w:w="1682"/>
        <w:gridCol w:w="1985"/>
        <w:gridCol w:w="2165"/>
      </w:tblGrid>
      <w:tr w:rsidR="00156DD6">
        <w:sdt>
          <w:sdtPr>
            <w:tag w:val="_PLD_20ae0904ed714106892a5beddfe5846a"/>
            <w:id w:val="-843087461"/>
          </w:sdtPr>
          <w:sdtEndPr/>
          <w:sdtContent>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jc w:val="center"/>
                  <w:rPr>
                    <w:b/>
                    <w:color w:val="000000" w:themeColor="text1"/>
                  </w:rPr>
                </w:pPr>
                <w:r>
                  <w:rPr>
                    <w:b/>
                    <w:color w:val="000000" w:themeColor="text1"/>
                  </w:rPr>
                  <w:t>项目</w:t>
                </w:r>
              </w:p>
            </w:tc>
          </w:sdtContent>
        </w:sdt>
        <w:sdt>
          <w:sdtPr>
            <w:tag w:val="_PLD_9cb87427e0de42d2b7e58a286ff58290"/>
            <w:id w:val="2139135620"/>
          </w:sdtPr>
          <w:sdtEndPr/>
          <w:sdtContent>
            <w:tc>
              <w:tcPr>
                <w:tcW w:w="1682" w:type="dxa"/>
                <w:tcBorders>
                  <w:top w:val="outset" w:sz="4" w:space="0" w:color="auto"/>
                  <w:left w:val="outset" w:sz="4" w:space="0" w:color="auto"/>
                  <w:bottom w:val="outset" w:sz="4" w:space="0" w:color="auto"/>
                  <w:right w:val="outset" w:sz="4" w:space="0" w:color="auto"/>
                </w:tcBorders>
                <w:vAlign w:val="center"/>
              </w:tcPr>
              <w:p w:rsidR="00156DD6" w:rsidRDefault="00D51F5F">
                <w:pPr>
                  <w:autoSpaceDE w:val="0"/>
                  <w:autoSpaceDN w:val="0"/>
                  <w:adjustRightInd w:val="0"/>
                  <w:jc w:val="center"/>
                  <w:rPr>
                    <w:b/>
                    <w:color w:val="000000" w:themeColor="text1"/>
                  </w:rPr>
                </w:pPr>
                <w:r>
                  <w:rPr>
                    <w:b/>
                    <w:color w:val="000000" w:themeColor="text1"/>
                  </w:rPr>
                  <w:t>附注</w:t>
                </w:r>
              </w:p>
            </w:tc>
          </w:sdtContent>
        </w:sdt>
        <w:sdt>
          <w:sdtPr>
            <w:tag w:val="_PLD_514bbce28b6040e393e59c5ec50c3820"/>
            <w:id w:val="-1968418703"/>
          </w:sdtPr>
          <w:sdtEndPr/>
          <w:sdtContent>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autoSpaceDE w:val="0"/>
                  <w:autoSpaceDN w:val="0"/>
                  <w:adjustRightInd w:val="0"/>
                  <w:jc w:val="center"/>
                  <w:rPr>
                    <w:b/>
                    <w:color w:val="000000" w:themeColor="text1"/>
                  </w:rPr>
                </w:pPr>
                <w:r>
                  <w:rPr>
                    <w:rFonts w:hint="eastAsia"/>
                    <w:b/>
                    <w:color w:val="000000" w:themeColor="text1"/>
                  </w:rPr>
                  <w:t>2025</w:t>
                </w:r>
                <w:r>
                  <w:rPr>
                    <w:rFonts w:hint="eastAsia"/>
                    <w:b/>
                    <w:color w:val="000000" w:themeColor="text1"/>
                  </w:rPr>
                  <w:t>年半年度</w:t>
                </w:r>
              </w:p>
            </w:tc>
          </w:sdtContent>
        </w:sdt>
        <w:sdt>
          <w:sdtPr>
            <w:tag w:val="_PLD_de39c3f730c74ecca3c9a890bc08a2c1"/>
            <w:id w:val="1241212935"/>
          </w:sdtPr>
          <w:sdtEndPr/>
          <w:sdtContent>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autoSpaceDE w:val="0"/>
                  <w:autoSpaceDN w:val="0"/>
                  <w:adjustRightInd w:val="0"/>
                  <w:jc w:val="center"/>
                  <w:rPr>
                    <w:b/>
                    <w:color w:val="000000" w:themeColor="text1"/>
                  </w:rPr>
                </w:pPr>
                <w:r>
                  <w:rPr>
                    <w:rFonts w:hint="eastAsia"/>
                    <w:b/>
                    <w:color w:val="000000" w:themeColor="text1"/>
                  </w:rPr>
                  <w:t>2024</w:t>
                </w:r>
                <w:r>
                  <w:rPr>
                    <w:rFonts w:hint="eastAsia"/>
                    <w:b/>
                    <w:color w:val="000000" w:themeColor="text1"/>
                  </w:rPr>
                  <w:t>年半年度</w:t>
                </w:r>
              </w:p>
            </w:tc>
          </w:sdtContent>
        </w:sdt>
      </w:tr>
      <w:tr w:rsidR="00156DD6">
        <w:sdt>
          <w:sdtPr>
            <w:tag w:val="_PLD_575fd724a7cb4261a6c80660162ce2fb"/>
            <w:id w:val="667985327"/>
          </w:sdtPr>
          <w:sdtEndPr/>
          <w:sdtContent>
            <w:tc>
              <w:tcPr>
                <w:tcW w:w="8823" w:type="dxa"/>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一、经营活动产生的现金流量：</w:t>
                </w:r>
              </w:p>
            </w:tc>
          </w:sdtContent>
        </w:sdt>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销售商品、提供劳务收到的现金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802,607,133.89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790,586,295.00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收到的税费返还</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21,581,749.63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收到其他与经营活动有关的现金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171,560,254.02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92,280,739.46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经营活动现金流入小计</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974,167,387.91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904,448,784.09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购买商品、接受劳务支付的现金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616,311,358.82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879,927,941.25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支付给职工及为职工支付的现金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106,970,969.62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102,597,634.34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支付的各项税费</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13,250,709.98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12,699,691.51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支付其他与经营活动有关的现金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205,671,985.61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103,913,049.55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经营活动现金流出小计</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942,205,024.03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1,099,138,316.65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经营活动产生的现金流量净额</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31,962,363.88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-194,689,532.56 </w:t>
            </w:r>
          </w:p>
        </w:tc>
      </w:tr>
      <w:tr w:rsidR="00156DD6">
        <w:sdt>
          <w:sdtPr>
            <w:tag w:val="_PLD_8f9190ce4227402ab02ac6431a00b46e"/>
            <w:id w:val="-2130467902"/>
          </w:sdtPr>
          <w:sdtEndPr/>
          <w:sdtContent>
            <w:tc>
              <w:tcPr>
                <w:tcW w:w="8823" w:type="dxa"/>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二、投资活动产生的现金流量：</w:t>
                </w:r>
              </w:p>
            </w:tc>
          </w:sdtContent>
        </w:sdt>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收回投资收到的现金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33,297,500.00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取得投资收益收到的现金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6,907,019.15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处置固定资产、无形资产和其他长期资产收回的现金净额</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42,600.00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处置子公司及其他营业单位收到的现金净额</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收到其他与投资活动有关的现金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103,528,300.00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10,625,086.65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投资活动现金流入小计</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136,825,800.00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17,574,705.80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购建固定资产、无形资产和其他长期资产支付的现金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2,715,628.87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126,592,373.21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投资支付的现金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147,712,481.68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取得子公司及其他营业单位支付的现金净额</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559,816,869.00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支付其他与投资活动有关的现金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66,800,000.00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607,435,281.83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投资活动现金流出小计</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217,228,110.55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1,293,844,524.04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投资活动产生的现金流量净额</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-80,402,310.55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-1,276,269,818.24 </w:t>
            </w:r>
          </w:p>
        </w:tc>
      </w:tr>
      <w:tr w:rsidR="00156DD6">
        <w:sdt>
          <w:sdtPr>
            <w:tag w:val="_PLD_7d68e34216d04af0934267b3078d3c35"/>
            <w:id w:val="-1281794669"/>
          </w:sdtPr>
          <w:sdtEndPr/>
          <w:sdtContent>
            <w:tc>
              <w:tcPr>
                <w:tcW w:w="8823" w:type="dxa"/>
                <w:gridSpan w:val="4"/>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三、筹资活动产生的现金流量：</w:t>
                </w:r>
              </w:p>
            </w:tc>
          </w:sdtContent>
        </w:sdt>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吸收投资收到的现金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156DD6">
            <w:pPr>
              <w:jc w:val="right"/>
            </w:pP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取得借款收到的现金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593,876,550.00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770,881,376.60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收到其他与筹资活动有关的现金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204,605,200.00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26,015,038.07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筹资活动现金流入小计</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798,481,750.00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tabs>
                <w:tab w:val="center" w:pos="989"/>
                <w:tab w:val="right" w:pos="1979"/>
              </w:tabs>
              <w:jc w:val="right"/>
            </w:pPr>
            <w:r>
              <w:t xml:space="preserve"> 796,896,414.67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偿还债务支付的现金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662,744,192.93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181,334,446.25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lastRenderedPageBreak/>
              <w:t>分配股利、利润或偿付利息支付的现金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38,877,981.47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44,048,161.54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支付其他与筹资活动有关的现金</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23,462,236.36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2,698,883.88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200" w:firstLine="420"/>
              <w:rPr>
                <w:color w:val="000000" w:themeColor="text1"/>
              </w:rPr>
            </w:pPr>
            <w:r>
              <w:rPr>
                <w:rFonts w:hint="eastAsia"/>
                <w:color w:val="000000" w:themeColor="text1"/>
              </w:rPr>
              <w:t>筹资活动现金流出小计</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725,084,410.76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228,081,491.67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300" w:firstLine="630"/>
              <w:rPr>
                <w:color w:val="000000" w:themeColor="text1"/>
              </w:rPr>
            </w:pPr>
            <w:r>
              <w:rPr>
                <w:rFonts w:hint="eastAsia"/>
                <w:color w:val="000000" w:themeColor="text1"/>
              </w:rPr>
              <w:t>筹资活动产生的现金流量净额</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73,397,339.24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568,814,923.00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四、汇率变动对现金及现金等价物的影响</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312,875.49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2,593,537.05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五、现金及现金等价物净增加额</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25,270,268.06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-899,550,890.75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ind w:firstLineChars="100" w:firstLine="210"/>
              <w:rPr>
                <w:color w:val="000000" w:themeColor="text1"/>
              </w:rPr>
            </w:pPr>
            <w:r>
              <w:rPr>
                <w:rFonts w:hint="eastAsia"/>
                <w:color w:val="000000" w:themeColor="text1"/>
              </w:rPr>
              <w:t>加：期初现金及现金等价物余额</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955,361,421.37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1,191,040,237.98 </w:t>
            </w:r>
          </w:p>
        </w:tc>
      </w:tr>
      <w:tr w:rsidR="00156DD6">
        <w:tc>
          <w:tcPr>
            <w:tcW w:w="2991" w:type="dxa"/>
            <w:tcBorders>
              <w:top w:val="outset" w:sz="4" w:space="0" w:color="auto"/>
              <w:left w:val="outset" w:sz="4" w:space="0" w:color="auto"/>
              <w:bottom w:val="outset" w:sz="4" w:space="0" w:color="auto"/>
              <w:right w:val="outset" w:sz="4" w:space="0" w:color="auto"/>
            </w:tcBorders>
            <w:vAlign w:val="center"/>
          </w:tcPr>
          <w:p w:rsidR="00156DD6" w:rsidRDefault="00D51F5F">
            <w:pPr>
              <w:rPr>
                <w:color w:val="000000" w:themeColor="text1"/>
              </w:rPr>
            </w:pPr>
            <w:r>
              <w:rPr>
                <w:rFonts w:hint="eastAsia"/>
                <w:b/>
                <w:color w:val="000000" w:themeColor="text1"/>
              </w:rPr>
              <w:t>六、期末现金及现金等价物余额</w:t>
            </w:r>
          </w:p>
        </w:tc>
        <w:tc>
          <w:tcPr>
            <w:tcW w:w="1682" w:type="dxa"/>
            <w:tcBorders>
              <w:top w:val="outset" w:sz="4" w:space="0" w:color="auto"/>
              <w:left w:val="outset" w:sz="4" w:space="0" w:color="auto"/>
              <w:bottom w:val="outset" w:sz="4" w:space="0" w:color="auto"/>
              <w:right w:val="outset" w:sz="4" w:space="0" w:color="auto"/>
            </w:tcBorders>
            <w:vAlign w:val="center"/>
          </w:tcPr>
          <w:p w:rsidR="00156DD6" w:rsidRDefault="00156DD6">
            <w:pPr>
              <w:pStyle w:val="Style43"/>
            </w:pPr>
          </w:p>
        </w:tc>
        <w:tc>
          <w:tcPr>
            <w:tcW w:w="198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rPr>
                <w:rFonts w:hint="eastAsia"/>
              </w:rPr>
              <w:t xml:space="preserve"> 980,631,689.43 </w:t>
            </w:r>
          </w:p>
        </w:tc>
        <w:tc>
          <w:tcPr>
            <w:tcW w:w="2165" w:type="dxa"/>
            <w:tcBorders>
              <w:top w:val="outset" w:sz="4" w:space="0" w:color="auto"/>
              <w:left w:val="outset" w:sz="4" w:space="0" w:color="auto"/>
              <w:bottom w:val="outset" w:sz="4" w:space="0" w:color="auto"/>
              <w:right w:val="outset" w:sz="4" w:space="0" w:color="auto"/>
            </w:tcBorders>
            <w:vAlign w:val="center"/>
          </w:tcPr>
          <w:p w:rsidR="00156DD6" w:rsidRDefault="00D51F5F">
            <w:pPr>
              <w:jc w:val="right"/>
            </w:pPr>
            <w:r>
              <w:t xml:space="preserve"> 291,489,347.23 </w:t>
            </w:r>
          </w:p>
        </w:tc>
      </w:tr>
    </w:tbl>
    <w:p w:rsidR="00156DD6" w:rsidRDefault="00D51F5F">
      <w:pPr>
        <w:snapToGrid w:val="0"/>
        <w:spacing w:line="240" w:lineRule="atLeast"/>
        <w:ind w:rightChars="-73" w:right="-153"/>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b872f4b10a12453987b2d73dfe2a5ff9"/>
          <w:id w:val="499401035"/>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29443dd8858043c68f8217b05d1e3346"/>
          <w:id w:val="660049713"/>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952065710c0f41709539d877935c1903"/>
          <w:id w:val="-1407905598"/>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156DD6" w:rsidRDefault="00156DD6">
      <w:pPr>
        <w:rPr>
          <w:b/>
          <w:color w:val="000000" w:themeColor="text1"/>
        </w:rPr>
      </w:pPr>
    </w:p>
    <w:p w:rsidR="00156DD6" w:rsidRDefault="00156DD6">
      <w:pPr>
        <w:rPr>
          <w:color w:val="000000" w:themeColor="text1"/>
        </w:rPr>
        <w:sectPr w:rsidR="00156DD6">
          <w:pgSz w:w="11906" w:h="16838"/>
          <w:pgMar w:top="1525" w:right="1276" w:bottom="1440" w:left="1797" w:header="851" w:footer="992" w:gutter="0"/>
          <w:cols w:space="425"/>
          <w:docGrid w:linePitch="312"/>
        </w:sectPr>
      </w:pPr>
      <w:bookmarkStart w:id="171" w:name="_Hlk10211660"/>
      <w:bookmarkEnd w:id="170"/>
      <w:bookmarkEnd w:id="171"/>
    </w:p>
    <w:p w:rsidR="00156DD6" w:rsidRDefault="00D51F5F">
      <w:pPr>
        <w:pStyle w:val="TOC6"/>
        <w:jc w:val="center"/>
        <w:rPr>
          <w:rFonts w:ascii="宋体" w:hAnsi="宋体"/>
          <w:color w:val="000000" w:themeColor="text1"/>
          <w:sz w:val="21"/>
          <w:szCs w:val="36"/>
        </w:rPr>
      </w:pPr>
      <w:bookmarkStart w:id="172" w:name="_Hlk10211858"/>
      <w:r>
        <w:rPr>
          <w:rFonts w:ascii="宋体" w:hAnsi="宋体"/>
          <w:color w:val="000000" w:themeColor="text1"/>
          <w:sz w:val="21"/>
          <w:szCs w:val="36"/>
        </w:rPr>
        <w:lastRenderedPageBreak/>
        <w:t>合并</w:t>
      </w:r>
      <w:r>
        <w:rPr>
          <w:rFonts w:ascii="宋体" w:hAnsi="宋体" w:hint="eastAsia"/>
          <w:color w:val="000000" w:themeColor="text1"/>
          <w:sz w:val="21"/>
          <w:szCs w:val="36"/>
        </w:rPr>
        <w:t>所有者权益变动表</w:t>
      </w:r>
    </w:p>
    <w:p w:rsidR="00156DD6" w:rsidRDefault="00D51F5F">
      <w:pPr>
        <w:tabs>
          <w:tab w:val="left" w:pos="10080"/>
        </w:tabs>
        <w:snapToGrid w:val="0"/>
        <w:spacing w:line="240" w:lineRule="atLeast"/>
        <w:ind w:rightChars="12" w:right="25"/>
        <w:jc w:val="center"/>
        <w:rPr>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rFonts w:hint="eastAsia"/>
          <w:color w:val="000000" w:themeColor="text1"/>
        </w:rPr>
        <w:t>月</w:t>
      </w:r>
    </w:p>
    <w:p w:rsidR="00156DD6" w:rsidRDefault="00D51F5F">
      <w:pPr>
        <w:tabs>
          <w:tab w:val="left" w:pos="10080"/>
        </w:tabs>
        <w:snapToGrid w:val="0"/>
        <w:spacing w:line="240" w:lineRule="atLeast"/>
        <w:jc w:val="right"/>
        <w:rPr>
          <w:color w:val="000000" w:themeColor="text1"/>
        </w:rPr>
      </w:pPr>
      <w:r>
        <w:rPr>
          <w:color w:val="000000" w:themeColor="text1"/>
        </w:rPr>
        <w:t>单位：</w:t>
      </w:r>
      <w:sdt>
        <w:sdtPr>
          <w:rPr>
            <w:color w:val="000000" w:themeColor="text1"/>
          </w:rPr>
          <w:alias w:val="单位：合并股东权益调节表"/>
          <w:tag w:val="_GBC_57faea4e453e49ad93821b7dd6ce8bc4"/>
          <w:id w:val="9000244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合并股东权益调节表"/>
          <w:tag w:val="_GBC_cef77704267643d794145c73763360e5"/>
          <w:id w:val="-5750496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138"/>
        <w:gridCol w:w="348"/>
        <w:gridCol w:w="348"/>
        <w:gridCol w:w="348"/>
        <w:gridCol w:w="1138"/>
        <w:gridCol w:w="1072"/>
        <w:gridCol w:w="1006"/>
        <w:gridCol w:w="1072"/>
        <w:gridCol w:w="1138"/>
        <w:gridCol w:w="348"/>
        <w:gridCol w:w="1270"/>
        <w:gridCol w:w="348"/>
        <w:gridCol w:w="1270"/>
        <w:gridCol w:w="1138"/>
        <w:gridCol w:w="1270"/>
      </w:tblGrid>
      <w:tr w:rsidR="00156DD6">
        <w:tc>
          <w:tcPr>
            <w:tcW w:w="253" w:type="pct"/>
            <w:vMerge w:val="restart"/>
            <w:vAlign w:val="center"/>
          </w:tcPr>
          <w:bookmarkStart w:id="173" w:name="_Hlk206090105" w:displacedByCustomXml="next"/>
          <w:sdt>
            <w:sdtPr>
              <w:rPr>
                <w:sz w:val="16"/>
                <w:szCs w:val="16"/>
              </w:rPr>
              <w:tag w:val="_PLD_5bd68ed5796041328d1a003c1362ceaf"/>
              <w:id w:val="-1285966633"/>
            </w:sdtPr>
            <w:sdtEndPr/>
            <w:sdtContent>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项目</w:t>
                </w:r>
              </w:p>
            </w:sdtContent>
          </w:sdt>
        </w:tc>
        <w:tc>
          <w:tcPr>
            <w:tcW w:w="4747" w:type="pct"/>
            <w:gridSpan w:val="15"/>
            <w:vAlign w:val="center"/>
          </w:tcPr>
          <w:p w:rsidR="00156DD6" w:rsidRDefault="00D51F5F">
            <w:pPr>
              <w:snapToGrid w:val="0"/>
              <w:spacing w:line="240" w:lineRule="atLeast"/>
              <w:ind w:rightChars="-759" w:right="-1594"/>
              <w:jc w:val="center"/>
              <w:rPr>
                <w:color w:val="000000" w:themeColor="text1"/>
                <w:sz w:val="16"/>
                <w:szCs w:val="16"/>
              </w:rPr>
            </w:pPr>
            <w:sdt>
              <w:sdtPr>
                <w:rPr>
                  <w:sz w:val="16"/>
                  <w:szCs w:val="16"/>
                </w:rPr>
                <w:tag w:val="_PLD_70c71cd0427542b1b96a0fa943173d3d"/>
                <w:id w:val="53284294"/>
              </w:sdtPr>
              <w:sdtEndPr/>
              <w:sdtContent>
                <w:r>
                  <w:rPr>
                    <w:rFonts w:hint="eastAsia"/>
                    <w:color w:val="000000" w:themeColor="text1"/>
                    <w:sz w:val="16"/>
                    <w:szCs w:val="16"/>
                  </w:rPr>
                  <w:t>2025</w:t>
                </w:r>
                <w:r>
                  <w:rPr>
                    <w:rFonts w:hint="eastAsia"/>
                    <w:color w:val="000000" w:themeColor="text1"/>
                    <w:sz w:val="16"/>
                    <w:szCs w:val="16"/>
                  </w:rPr>
                  <w:t>年半年度</w:t>
                </w:r>
              </w:sdtContent>
            </w:sdt>
          </w:p>
        </w:tc>
      </w:tr>
      <w:tr w:rsidR="00156DD6">
        <w:trPr>
          <w:trHeight w:val="540"/>
        </w:trPr>
        <w:tc>
          <w:tcPr>
            <w:tcW w:w="253" w:type="pct"/>
            <w:vMerge/>
            <w:vAlign w:val="center"/>
          </w:tcPr>
          <w:p w:rsidR="00156DD6" w:rsidRDefault="00156DD6">
            <w:pPr>
              <w:snapToGrid w:val="0"/>
              <w:spacing w:line="240" w:lineRule="atLeast"/>
              <w:ind w:rightChars="-759" w:right="-1594"/>
              <w:rPr>
                <w:color w:val="000000" w:themeColor="text1"/>
                <w:sz w:val="16"/>
                <w:szCs w:val="16"/>
              </w:rPr>
            </w:pPr>
          </w:p>
        </w:tc>
        <w:sdt>
          <w:sdtPr>
            <w:rPr>
              <w:sz w:val="16"/>
              <w:szCs w:val="16"/>
            </w:rPr>
            <w:tag w:val="_PLD_e146ec74496c4c03a714dcef40faa972"/>
            <w:id w:val="-1022240061"/>
          </w:sdtPr>
          <w:sdtEndPr/>
          <w:sdtContent>
            <w:tc>
              <w:tcPr>
                <w:tcW w:w="3891" w:type="pct"/>
                <w:gridSpan w:val="13"/>
                <w:vAlign w:val="center"/>
              </w:tcPr>
              <w:p w:rsidR="00156DD6" w:rsidRDefault="00D51F5F">
                <w:pPr>
                  <w:jc w:val="center"/>
                  <w:rPr>
                    <w:color w:val="000000" w:themeColor="text1"/>
                    <w:sz w:val="16"/>
                    <w:szCs w:val="16"/>
                  </w:rPr>
                </w:pPr>
                <w:r>
                  <w:rPr>
                    <w:color w:val="000000" w:themeColor="text1"/>
                    <w:sz w:val="16"/>
                    <w:szCs w:val="16"/>
                  </w:rPr>
                  <w:t>归属于母公司所有者权益</w:t>
                </w:r>
              </w:p>
            </w:tc>
          </w:sdtContent>
        </w:sdt>
        <w:sdt>
          <w:sdtPr>
            <w:rPr>
              <w:sz w:val="16"/>
              <w:szCs w:val="16"/>
            </w:rPr>
            <w:tag w:val="_PLD_b1ca85c50c1341e59b4b412e92d87f2f"/>
            <w:id w:val="-859042772"/>
          </w:sdtPr>
          <w:sdtEndPr/>
          <w:sdtContent>
            <w:tc>
              <w:tcPr>
                <w:tcW w:w="405" w:type="pct"/>
                <w:vMerge w:val="restart"/>
                <w:vAlign w:val="center"/>
              </w:tcPr>
              <w:p w:rsidR="00156DD6" w:rsidRDefault="00D51F5F">
                <w:pPr>
                  <w:jc w:val="center"/>
                  <w:rPr>
                    <w:color w:val="000000" w:themeColor="text1"/>
                    <w:sz w:val="16"/>
                    <w:szCs w:val="16"/>
                  </w:rPr>
                </w:pPr>
                <w:r>
                  <w:rPr>
                    <w:color w:val="000000" w:themeColor="text1"/>
                    <w:sz w:val="16"/>
                    <w:szCs w:val="16"/>
                  </w:rPr>
                  <w:t>少数股东权益</w:t>
                </w:r>
              </w:p>
            </w:tc>
          </w:sdtContent>
        </w:sdt>
        <w:sdt>
          <w:sdtPr>
            <w:rPr>
              <w:sz w:val="16"/>
              <w:szCs w:val="16"/>
            </w:rPr>
            <w:tag w:val="_PLD_0e252e0d00f04386b93d4e3064ba423d"/>
            <w:id w:val="1304347281"/>
          </w:sdtPr>
          <w:sdtEndPr/>
          <w:sdtContent>
            <w:tc>
              <w:tcPr>
                <w:tcW w:w="452" w:type="pct"/>
                <w:vMerge w:val="restart"/>
                <w:vAlign w:val="center"/>
              </w:tcPr>
              <w:p w:rsidR="00156DD6" w:rsidRDefault="00D51F5F">
                <w:pPr>
                  <w:jc w:val="center"/>
                  <w:rPr>
                    <w:color w:val="000000" w:themeColor="text1"/>
                    <w:sz w:val="16"/>
                    <w:szCs w:val="16"/>
                  </w:rPr>
                </w:pPr>
                <w:r>
                  <w:rPr>
                    <w:color w:val="000000" w:themeColor="text1"/>
                    <w:sz w:val="16"/>
                    <w:szCs w:val="16"/>
                  </w:rPr>
                  <w:t>所有者权益合计</w:t>
                </w:r>
              </w:p>
            </w:tc>
          </w:sdtContent>
        </w:sdt>
      </w:tr>
      <w:tr w:rsidR="00156DD6">
        <w:trPr>
          <w:trHeight w:val="352"/>
        </w:trPr>
        <w:tc>
          <w:tcPr>
            <w:tcW w:w="253" w:type="pct"/>
            <w:vMerge/>
            <w:vAlign w:val="center"/>
          </w:tcPr>
          <w:p w:rsidR="00156DD6" w:rsidRDefault="00156DD6">
            <w:pPr>
              <w:snapToGrid w:val="0"/>
              <w:spacing w:line="240" w:lineRule="atLeast"/>
              <w:ind w:rightChars="-759" w:right="-1594"/>
              <w:rPr>
                <w:color w:val="000000" w:themeColor="text1"/>
                <w:sz w:val="16"/>
                <w:szCs w:val="16"/>
              </w:rPr>
            </w:pPr>
          </w:p>
        </w:tc>
        <w:sdt>
          <w:sdtPr>
            <w:rPr>
              <w:sz w:val="16"/>
              <w:szCs w:val="16"/>
            </w:rPr>
            <w:tag w:val="_PLD_1605afb5a60946a9ba86cca783d492d3"/>
            <w:id w:val="-1602029197"/>
          </w:sdtPr>
          <w:sdtEndPr/>
          <w:sdtContent>
            <w:tc>
              <w:tcPr>
                <w:tcW w:w="404"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实收资本</w:t>
                </w:r>
                <w:r>
                  <w:rPr>
                    <w:color w:val="000000" w:themeColor="text1"/>
                    <w:sz w:val="16"/>
                    <w:szCs w:val="16"/>
                  </w:rPr>
                  <w:t xml:space="preserve"> (</w:t>
                </w:r>
                <w:r>
                  <w:rPr>
                    <w:color w:val="000000" w:themeColor="text1"/>
                    <w:sz w:val="16"/>
                    <w:szCs w:val="16"/>
                  </w:rPr>
                  <w:t>或股本</w:t>
                </w:r>
                <w:r>
                  <w:rPr>
                    <w:color w:val="000000" w:themeColor="text1"/>
                    <w:sz w:val="16"/>
                    <w:szCs w:val="16"/>
                  </w:rPr>
                  <w:t>)</w:t>
                </w:r>
              </w:p>
            </w:tc>
          </w:sdtContent>
        </w:sdt>
        <w:sdt>
          <w:sdtPr>
            <w:rPr>
              <w:sz w:val="16"/>
              <w:szCs w:val="16"/>
            </w:rPr>
            <w:tag w:val="_PLD_78f5e518a65d422c99d27d23e96afb9e"/>
            <w:id w:val="289713053"/>
          </w:sdtPr>
          <w:sdtEndPr/>
          <w:sdtContent>
            <w:tc>
              <w:tcPr>
                <w:tcW w:w="392" w:type="pct"/>
                <w:gridSpan w:val="3"/>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其他权益工具</w:t>
                </w:r>
              </w:p>
            </w:tc>
          </w:sdtContent>
        </w:sdt>
        <w:sdt>
          <w:sdtPr>
            <w:rPr>
              <w:sz w:val="16"/>
              <w:szCs w:val="16"/>
            </w:rPr>
            <w:tag w:val="_PLD_f67d05ac9f6f4daaafdf90084911dcee"/>
            <w:id w:val="447663450"/>
          </w:sdtPr>
          <w:sdtEndPr/>
          <w:sdtContent>
            <w:tc>
              <w:tcPr>
                <w:tcW w:w="405"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资本公积</w:t>
                </w:r>
              </w:p>
            </w:tc>
          </w:sdtContent>
        </w:sdt>
        <w:sdt>
          <w:sdtPr>
            <w:rPr>
              <w:sz w:val="16"/>
              <w:szCs w:val="16"/>
            </w:rPr>
            <w:tag w:val="_PLD_21df11f52b3443acacf7dd8421b5cc67"/>
            <w:id w:val="1862938922"/>
          </w:sdtPr>
          <w:sdtEndPr/>
          <w:sdtContent>
            <w:tc>
              <w:tcPr>
                <w:tcW w:w="382"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减：库存股</w:t>
                </w:r>
              </w:p>
            </w:tc>
          </w:sdtContent>
        </w:sdt>
        <w:sdt>
          <w:sdtPr>
            <w:rPr>
              <w:sz w:val="16"/>
              <w:szCs w:val="16"/>
            </w:rPr>
            <w:tag w:val="_PLD_bdc12fd277ea4fbe9c90f9480d9ecddb"/>
            <w:id w:val="1876728475"/>
          </w:sdtPr>
          <w:sdtEndPr/>
          <w:sdtContent>
            <w:tc>
              <w:tcPr>
                <w:tcW w:w="358"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其他综合收益</w:t>
                </w:r>
              </w:p>
            </w:tc>
          </w:sdtContent>
        </w:sdt>
        <w:sdt>
          <w:sdtPr>
            <w:rPr>
              <w:sz w:val="16"/>
              <w:szCs w:val="16"/>
            </w:rPr>
            <w:tag w:val="_PLD_b4aa95f4be904a02958b77b5542bb78d"/>
            <w:id w:val="-1878842224"/>
          </w:sdtPr>
          <w:sdtEndPr/>
          <w:sdtContent>
            <w:tc>
              <w:tcPr>
                <w:tcW w:w="382"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专项储备</w:t>
                </w:r>
              </w:p>
            </w:tc>
          </w:sdtContent>
        </w:sdt>
        <w:sdt>
          <w:sdtPr>
            <w:rPr>
              <w:sz w:val="16"/>
              <w:szCs w:val="16"/>
            </w:rPr>
            <w:tag w:val="_PLD_1ee8f47ee38e4000af64e781a1a0e729"/>
            <w:id w:val="-77531680"/>
          </w:sdtPr>
          <w:sdtEndPr/>
          <w:sdtContent>
            <w:tc>
              <w:tcPr>
                <w:tcW w:w="405"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盈余公积</w:t>
                </w:r>
              </w:p>
            </w:tc>
          </w:sdtContent>
        </w:sdt>
        <w:sdt>
          <w:sdtPr>
            <w:rPr>
              <w:sz w:val="16"/>
              <w:szCs w:val="16"/>
            </w:rPr>
            <w:tag w:val="_PLD_b09258af0aa4494b8e88e711ca2dd7b8"/>
            <w:id w:val="279232861"/>
          </w:sdtPr>
          <w:sdtEndPr/>
          <w:sdtContent>
            <w:tc>
              <w:tcPr>
                <w:tcW w:w="131"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一般风险准备</w:t>
                </w:r>
              </w:p>
            </w:tc>
          </w:sdtContent>
        </w:sdt>
        <w:sdt>
          <w:sdtPr>
            <w:rPr>
              <w:sz w:val="16"/>
              <w:szCs w:val="16"/>
            </w:rPr>
            <w:tag w:val="_PLD_f20054bead0a491aafe7bb5a5952f48f"/>
            <w:id w:val="1703588649"/>
          </w:sdtPr>
          <w:sdtEndPr/>
          <w:sdtContent>
            <w:tc>
              <w:tcPr>
                <w:tcW w:w="452"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未分配利润</w:t>
                </w:r>
              </w:p>
            </w:tc>
          </w:sdtContent>
        </w:sdt>
        <w:tc>
          <w:tcPr>
            <w:tcW w:w="131" w:type="pct"/>
            <w:vMerge w:val="restart"/>
            <w:vAlign w:val="center"/>
          </w:tcPr>
          <w:sdt>
            <w:sdtPr>
              <w:rPr>
                <w:sz w:val="16"/>
                <w:szCs w:val="16"/>
              </w:rPr>
              <w:tag w:val="_PLD_ee763dfa69fd4fa3bec927cefa83eadc"/>
              <w:id w:val="-1798287502"/>
            </w:sdtPr>
            <w:sdtEndPr/>
            <w:sdtContent>
              <w:p w:rsidR="00156DD6" w:rsidRDefault="00D51F5F">
                <w:pPr>
                  <w:jc w:val="center"/>
                  <w:rPr>
                    <w:color w:val="000000" w:themeColor="text1"/>
                    <w:sz w:val="16"/>
                    <w:szCs w:val="16"/>
                  </w:rPr>
                </w:pPr>
                <w:r>
                  <w:rPr>
                    <w:rFonts w:hint="eastAsia"/>
                    <w:color w:val="000000" w:themeColor="text1"/>
                    <w:sz w:val="16"/>
                    <w:szCs w:val="16"/>
                  </w:rPr>
                  <w:t>其他</w:t>
                </w:r>
              </w:p>
            </w:sdtContent>
          </w:sdt>
        </w:tc>
        <w:tc>
          <w:tcPr>
            <w:tcW w:w="452" w:type="pct"/>
            <w:vMerge w:val="restart"/>
            <w:vAlign w:val="center"/>
          </w:tcPr>
          <w:sdt>
            <w:sdtPr>
              <w:rPr>
                <w:sz w:val="16"/>
                <w:szCs w:val="16"/>
              </w:rPr>
              <w:tag w:val="_PLD_97c92cf2be1e4f36880a16a2c16704b4"/>
              <w:id w:val="697739874"/>
            </w:sdtPr>
            <w:sdtEndPr/>
            <w:sdtContent>
              <w:p w:rsidR="00156DD6" w:rsidRDefault="00D51F5F">
                <w:pPr>
                  <w:jc w:val="center"/>
                  <w:rPr>
                    <w:color w:val="000000" w:themeColor="text1"/>
                    <w:sz w:val="16"/>
                    <w:szCs w:val="16"/>
                  </w:rPr>
                </w:pPr>
                <w:r>
                  <w:rPr>
                    <w:rFonts w:hint="eastAsia"/>
                    <w:color w:val="000000" w:themeColor="text1"/>
                    <w:sz w:val="16"/>
                    <w:szCs w:val="16"/>
                  </w:rPr>
                  <w:t>小计</w:t>
                </w:r>
              </w:p>
            </w:sdtContent>
          </w:sdt>
        </w:tc>
        <w:tc>
          <w:tcPr>
            <w:tcW w:w="405" w:type="pct"/>
            <w:vMerge/>
            <w:vAlign w:val="center"/>
          </w:tcPr>
          <w:p w:rsidR="00156DD6" w:rsidRDefault="00156DD6">
            <w:pPr>
              <w:jc w:val="center"/>
              <w:rPr>
                <w:color w:val="000000" w:themeColor="text1"/>
                <w:sz w:val="16"/>
                <w:szCs w:val="16"/>
              </w:rPr>
            </w:pPr>
          </w:p>
        </w:tc>
        <w:tc>
          <w:tcPr>
            <w:tcW w:w="452" w:type="pct"/>
            <w:vMerge/>
            <w:vAlign w:val="center"/>
          </w:tcPr>
          <w:p w:rsidR="00156DD6" w:rsidRDefault="00156DD6">
            <w:pPr>
              <w:jc w:val="center"/>
              <w:rPr>
                <w:color w:val="000000" w:themeColor="text1"/>
                <w:sz w:val="16"/>
                <w:szCs w:val="16"/>
              </w:rPr>
            </w:pPr>
          </w:p>
        </w:tc>
      </w:tr>
      <w:tr w:rsidR="00156DD6">
        <w:trPr>
          <w:trHeight w:val="345"/>
        </w:trPr>
        <w:tc>
          <w:tcPr>
            <w:tcW w:w="253" w:type="pct"/>
            <w:vMerge/>
            <w:vAlign w:val="center"/>
          </w:tcPr>
          <w:p w:rsidR="00156DD6" w:rsidRDefault="00156DD6">
            <w:pPr>
              <w:snapToGrid w:val="0"/>
              <w:spacing w:line="240" w:lineRule="atLeast"/>
              <w:ind w:rightChars="-759" w:right="-1594"/>
              <w:rPr>
                <w:color w:val="000000" w:themeColor="text1"/>
                <w:sz w:val="16"/>
                <w:szCs w:val="16"/>
              </w:rPr>
            </w:pPr>
          </w:p>
        </w:tc>
        <w:tc>
          <w:tcPr>
            <w:tcW w:w="404" w:type="pct"/>
            <w:vMerge/>
            <w:vAlign w:val="center"/>
          </w:tcPr>
          <w:p w:rsidR="00156DD6" w:rsidRDefault="00156DD6">
            <w:pPr>
              <w:snapToGrid w:val="0"/>
              <w:spacing w:line="240" w:lineRule="atLeast"/>
              <w:jc w:val="center"/>
              <w:rPr>
                <w:color w:val="000000" w:themeColor="text1"/>
                <w:sz w:val="16"/>
                <w:szCs w:val="16"/>
              </w:rPr>
            </w:pPr>
          </w:p>
        </w:tc>
        <w:sdt>
          <w:sdtPr>
            <w:rPr>
              <w:sz w:val="16"/>
              <w:szCs w:val="16"/>
            </w:rPr>
            <w:tag w:val="_PLD_7b6493af25ff4e3986120f711cb3be4e"/>
            <w:id w:val="-698853117"/>
          </w:sdtPr>
          <w:sdtEndPr/>
          <w:sdtContent>
            <w:tc>
              <w:tcPr>
                <w:tcW w:w="131" w:type="pc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优先股</w:t>
                </w:r>
              </w:p>
            </w:tc>
          </w:sdtContent>
        </w:sdt>
        <w:sdt>
          <w:sdtPr>
            <w:rPr>
              <w:sz w:val="16"/>
              <w:szCs w:val="16"/>
            </w:rPr>
            <w:tag w:val="_PLD_446c35c8857c4ad0bb648db82e104141"/>
            <w:id w:val="426399566"/>
          </w:sdtPr>
          <w:sdtEndPr/>
          <w:sdtContent>
            <w:tc>
              <w:tcPr>
                <w:tcW w:w="131" w:type="pc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永续债</w:t>
                </w:r>
              </w:p>
            </w:tc>
          </w:sdtContent>
        </w:sdt>
        <w:sdt>
          <w:sdtPr>
            <w:rPr>
              <w:sz w:val="16"/>
              <w:szCs w:val="16"/>
            </w:rPr>
            <w:tag w:val="_PLD_e8048d05ab294ec8a2a849ca1f70a7c9"/>
            <w:id w:val="-1873375001"/>
          </w:sdtPr>
          <w:sdtEndPr/>
          <w:sdtContent>
            <w:tc>
              <w:tcPr>
                <w:tcW w:w="131" w:type="pc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其他</w:t>
                </w:r>
              </w:p>
            </w:tc>
          </w:sdtContent>
        </w:sdt>
        <w:tc>
          <w:tcPr>
            <w:tcW w:w="405" w:type="pct"/>
            <w:vMerge/>
            <w:vAlign w:val="center"/>
          </w:tcPr>
          <w:p w:rsidR="00156DD6" w:rsidRDefault="00156DD6">
            <w:pPr>
              <w:snapToGrid w:val="0"/>
              <w:spacing w:line="240" w:lineRule="atLeast"/>
              <w:jc w:val="center"/>
              <w:rPr>
                <w:color w:val="000000" w:themeColor="text1"/>
                <w:sz w:val="16"/>
                <w:szCs w:val="16"/>
              </w:rPr>
            </w:pPr>
          </w:p>
        </w:tc>
        <w:tc>
          <w:tcPr>
            <w:tcW w:w="382" w:type="pct"/>
            <w:vMerge/>
            <w:vAlign w:val="center"/>
          </w:tcPr>
          <w:p w:rsidR="00156DD6" w:rsidRDefault="00156DD6">
            <w:pPr>
              <w:snapToGrid w:val="0"/>
              <w:spacing w:line="240" w:lineRule="atLeast"/>
              <w:jc w:val="center"/>
              <w:rPr>
                <w:color w:val="000000" w:themeColor="text1"/>
                <w:sz w:val="16"/>
                <w:szCs w:val="16"/>
              </w:rPr>
            </w:pPr>
          </w:p>
        </w:tc>
        <w:tc>
          <w:tcPr>
            <w:tcW w:w="358" w:type="pct"/>
            <w:vMerge/>
            <w:vAlign w:val="center"/>
          </w:tcPr>
          <w:p w:rsidR="00156DD6" w:rsidRDefault="00156DD6">
            <w:pPr>
              <w:snapToGrid w:val="0"/>
              <w:spacing w:line="240" w:lineRule="atLeast"/>
              <w:jc w:val="center"/>
              <w:rPr>
                <w:color w:val="000000" w:themeColor="text1"/>
                <w:sz w:val="16"/>
                <w:szCs w:val="16"/>
              </w:rPr>
            </w:pPr>
          </w:p>
        </w:tc>
        <w:tc>
          <w:tcPr>
            <w:tcW w:w="382" w:type="pct"/>
            <w:vMerge/>
            <w:vAlign w:val="center"/>
          </w:tcPr>
          <w:p w:rsidR="00156DD6" w:rsidRDefault="00156DD6">
            <w:pPr>
              <w:snapToGrid w:val="0"/>
              <w:spacing w:line="240" w:lineRule="atLeast"/>
              <w:jc w:val="center"/>
              <w:rPr>
                <w:color w:val="000000" w:themeColor="text1"/>
                <w:sz w:val="16"/>
                <w:szCs w:val="16"/>
              </w:rPr>
            </w:pPr>
          </w:p>
        </w:tc>
        <w:tc>
          <w:tcPr>
            <w:tcW w:w="405" w:type="pct"/>
            <w:vMerge/>
            <w:vAlign w:val="center"/>
          </w:tcPr>
          <w:p w:rsidR="00156DD6" w:rsidRDefault="00156DD6">
            <w:pPr>
              <w:snapToGrid w:val="0"/>
              <w:spacing w:line="240" w:lineRule="atLeast"/>
              <w:jc w:val="center"/>
              <w:rPr>
                <w:color w:val="000000" w:themeColor="text1"/>
                <w:sz w:val="16"/>
                <w:szCs w:val="16"/>
              </w:rPr>
            </w:pPr>
          </w:p>
        </w:tc>
        <w:tc>
          <w:tcPr>
            <w:tcW w:w="131" w:type="pct"/>
            <w:vMerge/>
            <w:vAlign w:val="center"/>
          </w:tcPr>
          <w:p w:rsidR="00156DD6" w:rsidRDefault="00156DD6">
            <w:pPr>
              <w:snapToGrid w:val="0"/>
              <w:spacing w:line="240" w:lineRule="atLeast"/>
              <w:jc w:val="center"/>
              <w:rPr>
                <w:color w:val="000000" w:themeColor="text1"/>
                <w:sz w:val="16"/>
                <w:szCs w:val="16"/>
              </w:rPr>
            </w:pPr>
          </w:p>
        </w:tc>
        <w:tc>
          <w:tcPr>
            <w:tcW w:w="452" w:type="pct"/>
            <w:vMerge/>
            <w:vAlign w:val="center"/>
          </w:tcPr>
          <w:p w:rsidR="00156DD6" w:rsidRDefault="00156DD6">
            <w:pPr>
              <w:snapToGrid w:val="0"/>
              <w:spacing w:line="240" w:lineRule="atLeast"/>
              <w:jc w:val="center"/>
              <w:rPr>
                <w:color w:val="000000" w:themeColor="text1"/>
                <w:sz w:val="16"/>
                <w:szCs w:val="16"/>
              </w:rPr>
            </w:pPr>
          </w:p>
        </w:tc>
        <w:tc>
          <w:tcPr>
            <w:tcW w:w="131" w:type="pct"/>
            <w:vMerge/>
            <w:vAlign w:val="center"/>
          </w:tcPr>
          <w:p w:rsidR="00156DD6" w:rsidRDefault="00156DD6">
            <w:pPr>
              <w:jc w:val="center"/>
              <w:rPr>
                <w:color w:val="000000" w:themeColor="text1"/>
                <w:sz w:val="16"/>
                <w:szCs w:val="16"/>
              </w:rPr>
            </w:pPr>
          </w:p>
        </w:tc>
        <w:tc>
          <w:tcPr>
            <w:tcW w:w="452" w:type="pct"/>
            <w:vMerge/>
            <w:vAlign w:val="center"/>
          </w:tcPr>
          <w:p w:rsidR="00156DD6" w:rsidRDefault="00156DD6">
            <w:pPr>
              <w:jc w:val="center"/>
              <w:rPr>
                <w:color w:val="000000" w:themeColor="text1"/>
                <w:sz w:val="16"/>
                <w:szCs w:val="16"/>
              </w:rPr>
            </w:pPr>
          </w:p>
        </w:tc>
        <w:tc>
          <w:tcPr>
            <w:tcW w:w="405" w:type="pct"/>
            <w:vMerge/>
            <w:vAlign w:val="center"/>
          </w:tcPr>
          <w:p w:rsidR="00156DD6" w:rsidRDefault="00156DD6">
            <w:pPr>
              <w:jc w:val="center"/>
              <w:rPr>
                <w:color w:val="000000" w:themeColor="text1"/>
                <w:sz w:val="16"/>
                <w:szCs w:val="16"/>
              </w:rPr>
            </w:pPr>
          </w:p>
        </w:tc>
        <w:tc>
          <w:tcPr>
            <w:tcW w:w="452" w:type="pct"/>
            <w:vMerge/>
            <w:tcBorders>
              <w:bottom w:val="nil"/>
            </w:tcBorders>
            <w:vAlign w:val="center"/>
          </w:tcPr>
          <w:p w:rsidR="00156DD6" w:rsidRDefault="00156DD6">
            <w:pPr>
              <w:jc w:val="center"/>
              <w:rPr>
                <w:color w:val="000000" w:themeColor="text1"/>
                <w:sz w:val="16"/>
                <w:szCs w:val="16"/>
              </w:rPr>
            </w:pPr>
          </w:p>
        </w:tc>
      </w:tr>
      <w:tr w:rsidR="00156DD6">
        <w:sdt>
          <w:sdtPr>
            <w:rPr>
              <w:sz w:val="16"/>
              <w:szCs w:val="16"/>
            </w:rPr>
            <w:tag w:val="_PLD_1f22f69e67ea4292afb08dec65f863c7"/>
            <w:id w:val="1569461779"/>
          </w:sdtPr>
          <w:sdtEndPr/>
          <w:sdtContent>
            <w:tc>
              <w:tcPr>
                <w:tcW w:w="253" w:type="pct"/>
                <w:vAlign w:val="center"/>
              </w:tcPr>
              <w:p w:rsidR="00156DD6" w:rsidRDefault="00D51F5F">
                <w:pPr>
                  <w:rPr>
                    <w:color w:val="000000" w:themeColor="text1"/>
                    <w:sz w:val="16"/>
                    <w:szCs w:val="16"/>
                  </w:rPr>
                </w:pPr>
                <w:r>
                  <w:rPr>
                    <w:color w:val="000000" w:themeColor="text1"/>
                    <w:sz w:val="16"/>
                    <w:szCs w:val="16"/>
                  </w:rPr>
                  <w:t>一、上年</w:t>
                </w:r>
                <w:r>
                  <w:rPr>
                    <w:rFonts w:hint="eastAsia"/>
                    <w:color w:val="000000" w:themeColor="text1"/>
                    <w:sz w:val="16"/>
                    <w:szCs w:val="16"/>
                  </w:rPr>
                  <w:t>期</w:t>
                </w:r>
                <w:r>
                  <w:rPr>
                    <w:color w:val="000000" w:themeColor="text1"/>
                    <w:sz w:val="16"/>
                    <w:szCs w:val="16"/>
                  </w:rPr>
                  <w:t>末余额</w:t>
                </w:r>
              </w:p>
            </w:tc>
          </w:sdtContent>
        </w:sdt>
        <w:tc>
          <w:tcPr>
            <w:tcW w:w="404" w:type="pct"/>
            <w:vAlign w:val="center"/>
          </w:tcPr>
          <w:p w:rsidR="00156DD6" w:rsidRDefault="00D51F5F">
            <w:pPr>
              <w:jc w:val="right"/>
              <w:rPr>
                <w:sz w:val="16"/>
                <w:szCs w:val="16"/>
              </w:rPr>
            </w:pPr>
            <w:r>
              <w:rPr>
                <w:rFonts w:hint="eastAsia"/>
                <w:sz w:val="16"/>
                <w:szCs w:val="16"/>
              </w:rPr>
              <w:t xml:space="preserve"> 333,167,407.00 </w:t>
            </w: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05" w:type="pct"/>
            <w:vAlign w:val="center"/>
          </w:tcPr>
          <w:p w:rsidR="00156DD6" w:rsidRDefault="00D51F5F">
            <w:pPr>
              <w:jc w:val="right"/>
              <w:rPr>
                <w:sz w:val="16"/>
                <w:szCs w:val="16"/>
              </w:rPr>
            </w:pPr>
            <w:r>
              <w:rPr>
                <w:rFonts w:hint="eastAsia"/>
                <w:sz w:val="16"/>
                <w:szCs w:val="16"/>
              </w:rPr>
              <w:t xml:space="preserve"> 960,873,722.51 </w:t>
            </w:r>
          </w:p>
        </w:tc>
        <w:tc>
          <w:tcPr>
            <w:tcW w:w="382" w:type="pct"/>
            <w:vAlign w:val="center"/>
          </w:tcPr>
          <w:p w:rsidR="00156DD6" w:rsidRDefault="00D51F5F">
            <w:pPr>
              <w:jc w:val="right"/>
              <w:rPr>
                <w:sz w:val="16"/>
                <w:szCs w:val="16"/>
              </w:rPr>
            </w:pPr>
            <w:r>
              <w:rPr>
                <w:rFonts w:hint="eastAsia"/>
                <w:sz w:val="16"/>
                <w:szCs w:val="16"/>
              </w:rPr>
              <w:t xml:space="preserve"> 30,893,741.28 </w:t>
            </w:r>
          </w:p>
        </w:tc>
        <w:tc>
          <w:tcPr>
            <w:tcW w:w="358" w:type="pct"/>
            <w:vAlign w:val="center"/>
          </w:tcPr>
          <w:p w:rsidR="00156DD6" w:rsidRDefault="00D51F5F">
            <w:pPr>
              <w:jc w:val="right"/>
              <w:rPr>
                <w:sz w:val="16"/>
                <w:szCs w:val="16"/>
              </w:rPr>
            </w:pPr>
            <w:r>
              <w:rPr>
                <w:rFonts w:hint="eastAsia"/>
                <w:sz w:val="16"/>
                <w:szCs w:val="16"/>
              </w:rPr>
              <w:t xml:space="preserve"> 2,027,597.71 </w:t>
            </w:r>
          </w:p>
        </w:tc>
        <w:tc>
          <w:tcPr>
            <w:tcW w:w="382" w:type="pct"/>
            <w:vAlign w:val="center"/>
          </w:tcPr>
          <w:p w:rsidR="00156DD6" w:rsidRDefault="00D51F5F">
            <w:pPr>
              <w:jc w:val="right"/>
              <w:rPr>
                <w:sz w:val="16"/>
                <w:szCs w:val="16"/>
              </w:rPr>
            </w:pPr>
            <w:r>
              <w:rPr>
                <w:rFonts w:hint="eastAsia"/>
                <w:sz w:val="16"/>
                <w:szCs w:val="16"/>
              </w:rPr>
              <w:t xml:space="preserve"> 22,440,561.28 </w:t>
            </w:r>
          </w:p>
        </w:tc>
        <w:tc>
          <w:tcPr>
            <w:tcW w:w="405" w:type="pct"/>
            <w:vAlign w:val="center"/>
          </w:tcPr>
          <w:p w:rsidR="00156DD6" w:rsidRDefault="00D51F5F">
            <w:pPr>
              <w:jc w:val="right"/>
              <w:rPr>
                <w:sz w:val="16"/>
                <w:szCs w:val="16"/>
              </w:rPr>
            </w:pPr>
            <w:r>
              <w:rPr>
                <w:rFonts w:hint="eastAsia"/>
                <w:sz w:val="16"/>
                <w:szCs w:val="16"/>
              </w:rPr>
              <w:t xml:space="preserve"> 122,195,454.42 </w:t>
            </w: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1,003,432,341.75 </w:t>
            </w:r>
          </w:p>
        </w:tc>
        <w:tc>
          <w:tcPr>
            <w:tcW w:w="131" w:type="pct"/>
            <w:vAlign w:val="center"/>
          </w:tcPr>
          <w:p w:rsidR="00156DD6" w:rsidRDefault="00D51F5F">
            <w:pPr>
              <w:jc w:val="right"/>
              <w:rPr>
                <w:sz w:val="16"/>
                <w:szCs w:val="16"/>
              </w:rPr>
            </w:pPr>
            <w:r>
              <w:rPr>
                <w:rFonts w:hint="eastAsia"/>
                <w:sz w:val="16"/>
                <w:szCs w:val="16"/>
              </w:rPr>
              <w:t xml:space="preserve">   </w:t>
            </w:r>
          </w:p>
        </w:tc>
        <w:tc>
          <w:tcPr>
            <w:tcW w:w="452" w:type="pct"/>
            <w:vAlign w:val="center"/>
          </w:tcPr>
          <w:p w:rsidR="00156DD6" w:rsidRDefault="00D51F5F">
            <w:pPr>
              <w:jc w:val="right"/>
              <w:rPr>
                <w:sz w:val="16"/>
                <w:szCs w:val="16"/>
              </w:rPr>
            </w:pPr>
            <w:r>
              <w:rPr>
                <w:rFonts w:hint="eastAsia"/>
                <w:sz w:val="16"/>
                <w:szCs w:val="16"/>
              </w:rPr>
              <w:t xml:space="preserve"> 2,413,243,343.39 </w:t>
            </w:r>
          </w:p>
        </w:tc>
        <w:tc>
          <w:tcPr>
            <w:tcW w:w="405" w:type="pct"/>
            <w:vAlign w:val="center"/>
          </w:tcPr>
          <w:p w:rsidR="00156DD6" w:rsidRDefault="00D51F5F">
            <w:pPr>
              <w:jc w:val="right"/>
              <w:rPr>
                <w:sz w:val="16"/>
                <w:szCs w:val="16"/>
              </w:rPr>
            </w:pPr>
            <w:r>
              <w:rPr>
                <w:rFonts w:hint="eastAsia"/>
                <w:sz w:val="16"/>
                <w:szCs w:val="16"/>
              </w:rPr>
              <w:t xml:space="preserve"> 139,598,553.64 </w:t>
            </w:r>
          </w:p>
        </w:tc>
        <w:tc>
          <w:tcPr>
            <w:tcW w:w="452" w:type="pct"/>
            <w:vAlign w:val="center"/>
          </w:tcPr>
          <w:p w:rsidR="00156DD6" w:rsidRDefault="00D51F5F">
            <w:pPr>
              <w:jc w:val="right"/>
              <w:rPr>
                <w:sz w:val="16"/>
                <w:szCs w:val="16"/>
              </w:rPr>
            </w:pPr>
            <w:r>
              <w:rPr>
                <w:rFonts w:hint="eastAsia"/>
                <w:sz w:val="16"/>
                <w:szCs w:val="16"/>
              </w:rPr>
              <w:t xml:space="preserve"> 2,552,841,897.03 </w:t>
            </w:r>
          </w:p>
        </w:tc>
      </w:tr>
      <w:tr w:rsidR="00156DD6">
        <w:sdt>
          <w:sdtPr>
            <w:rPr>
              <w:sz w:val="16"/>
              <w:szCs w:val="16"/>
            </w:rPr>
            <w:tag w:val="_PLD_8753148a28244d68bf92b2fbad32f9b8"/>
            <w:id w:val="686569444"/>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加：</w:t>
                </w:r>
                <w:r>
                  <w:rPr>
                    <w:color w:val="000000" w:themeColor="text1"/>
                    <w:sz w:val="16"/>
                    <w:szCs w:val="16"/>
                  </w:rPr>
                  <w:t>会计政策变更</w:t>
                </w:r>
              </w:p>
            </w:tc>
          </w:sdtContent>
        </w:sdt>
        <w:tc>
          <w:tcPr>
            <w:tcW w:w="404"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358"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r>
      <w:tr w:rsidR="00156DD6">
        <w:sdt>
          <w:sdtPr>
            <w:rPr>
              <w:sz w:val="16"/>
              <w:szCs w:val="16"/>
            </w:rPr>
            <w:tag w:val="_PLD_291ece6b974e4962be6cec3c398fd5be"/>
            <w:id w:val="1719316237"/>
          </w:sdtPr>
          <w:sdtEndPr/>
          <w:sdtContent>
            <w:tc>
              <w:tcPr>
                <w:tcW w:w="253" w:type="pct"/>
                <w:vAlign w:val="center"/>
              </w:tcPr>
              <w:p w:rsidR="00156DD6" w:rsidRDefault="00D51F5F">
                <w:pPr>
                  <w:ind w:firstLineChars="200" w:firstLine="320"/>
                  <w:rPr>
                    <w:color w:val="000000" w:themeColor="text1"/>
                    <w:sz w:val="16"/>
                    <w:szCs w:val="16"/>
                  </w:rPr>
                </w:pPr>
                <w:r>
                  <w:rPr>
                    <w:color w:val="000000" w:themeColor="text1"/>
                    <w:sz w:val="16"/>
                    <w:szCs w:val="16"/>
                  </w:rPr>
                  <w:t>前期差错更正</w:t>
                </w:r>
              </w:p>
            </w:tc>
          </w:sdtContent>
        </w:sdt>
        <w:tc>
          <w:tcPr>
            <w:tcW w:w="404"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358"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r>
      <w:tr w:rsidR="00156DD6">
        <w:sdt>
          <w:sdtPr>
            <w:rPr>
              <w:sz w:val="16"/>
              <w:szCs w:val="16"/>
            </w:rPr>
            <w:tag w:val="_PLD_7953fd87201b462ab8c42a4716d6cb65"/>
            <w:id w:val="-512918547"/>
          </w:sdtPr>
          <w:sdtEndPr/>
          <w:sdtContent>
            <w:tc>
              <w:tcPr>
                <w:tcW w:w="253" w:type="pct"/>
                <w:vAlign w:val="center"/>
              </w:tcPr>
              <w:p w:rsidR="00156DD6" w:rsidRDefault="00D51F5F">
                <w:pPr>
                  <w:ind w:firstLineChars="200" w:firstLine="320"/>
                  <w:rPr>
                    <w:color w:val="000000" w:themeColor="text1"/>
                    <w:sz w:val="16"/>
                    <w:szCs w:val="16"/>
                  </w:rPr>
                </w:pPr>
                <w:r>
                  <w:rPr>
                    <w:rFonts w:hint="eastAsia"/>
                    <w:color w:val="000000" w:themeColor="text1"/>
                    <w:sz w:val="16"/>
                    <w:szCs w:val="16"/>
                  </w:rPr>
                  <w:t>其他</w:t>
                </w:r>
              </w:p>
            </w:tc>
          </w:sdtContent>
        </w:sdt>
        <w:tc>
          <w:tcPr>
            <w:tcW w:w="404"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358"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r>
      <w:tr w:rsidR="00156DD6">
        <w:sdt>
          <w:sdtPr>
            <w:rPr>
              <w:sz w:val="16"/>
              <w:szCs w:val="16"/>
            </w:rPr>
            <w:tag w:val="_PLD_16d601e73dc14990b60ca53acf1371ba"/>
            <w:id w:val="2080325467"/>
          </w:sdtPr>
          <w:sdtEndPr/>
          <w:sdtContent>
            <w:tc>
              <w:tcPr>
                <w:tcW w:w="253" w:type="pct"/>
                <w:vAlign w:val="center"/>
              </w:tcPr>
              <w:p w:rsidR="00156DD6" w:rsidRDefault="00D51F5F">
                <w:pPr>
                  <w:rPr>
                    <w:color w:val="000000" w:themeColor="text1"/>
                    <w:sz w:val="16"/>
                    <w:szCs w:val="16"/>
                  </w:rPr>
                </w:pPr>
                <w:r>
                  <w:rPr>
                    <w:color w:val="000000" w:themeColor="text1"/>
                    <w:sz w:val="16"/>
                    <w:szCs w:val="16"/>
                  </w:rPr>
                  <w:t>二、本年</w:t>
                </w:r>
                <w:r>
                  <w:rPr>
                    <w:rFonts w:hint="eastAsia"/>
                    <w:color w:val="000000" w:themeColor="text1"/>
                    <w:sz w:val="16"/>
                    <w:szCs w:val="16"/>
                  </w:rPr>
                  <w:t>期</w:t>
                </w:r>
                <w:r>
                  <w:rPr>
                    <w:color w:val="000000" w:themeColor="text1"/>
                    <w:sz w:val="16"/>
                    <w:szCs w:val="16"/>
                  </w:rPr>
                  <w:t>初余额</w:t>
                </w:r>
              </w:p>
            </w:tc>
          </w:sdtContent>
        </w:sdt>
        <w:tc>
          <w:tcPr>
            <w:tcW w:w="404" w:type="pct"/>
            <w:vAlign w:val="center"/>
          </w:tcPr>
          <w:p w:rsidR="00156DD6" w:rsidRDefault="00D51F5F">
            <w:pPr>
              <w:jc w:val="right"/>
              <w:rPr>
                <w:sz w:val="16"/>
                <w:szCs w:val="16"/>
              </w:rPr>
            </w:pPr>
            <w:r>
              <w:rPr>
                <w:rFonts w:hint="eastAsia"/>
                <w:sz w:val="16"/>
                <w:szCs w:val="16"/>
              </w:rPr>
              <w:t xml:space="preserve"> 333,167,407.00 </w:t>
            </w: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05" w:type="pct"/>
            <w:vAlign w:val="center"/>
          </w:tcPr>
          <w:p w:rsidR="00156DD6" w:rsidRDefault="00D51F5F">
            <w:pPr>
              <w:jc w:val="right"/>
              <w:rPr>
                <w:sz w:val="16"/>
                <w:szCs w:val="16"/>
              </w:rPr>
            </w:pPr>
            <w:r>
              <w:rPr>
                <w:rFonts w:hint="eastAsia"/>
                <w:sz w:val="16"/>
                <w:szCs w:val="16"/>
              </w:rPr>
              <w:t xml:space="preserve"> 960,873,722.51 </w:t>
            </w:r>
          </w:p>
        </w:tc>
        <w:tc>
          <w:tcPr>
            <w:tcW w:w="382" w:type="pct"/>
            <w:vAlign w:val="center"/>
          </w:tcPr>
          <w:p w:rsidR="00156DD6" w:rsidRDefault="00D51F5F">
            <w:pPr>
              <w:jc w:val="right"/>
              <w:rPr>
                <w:sz w:val="16"/>
                <w:szCs w:val="16"/>
              </w:rPr>
            </w:pPr>
            <w:r>
              <w:rPr>
                <w:rFonts w:hint="eastAsia"/>
                <w:sz w:val="16"/>
                <w:szCs w:val="16"/>
              </w:rPr>
              <w:t xml:space="preserve"> 30,893,741.28 </w:t>
            </w:r>
          </w:p>
        </w:tc>
        <w:tc>
          <w:tcPr>
            <w:tcW w:w="358" w:type="pct"/>
            <w:vAlign w:val="center"/>
          </w:tcPr>
          <w:p w:rsidR="00156DD6" w:rsidRDefault="00D51F5F">
            <w:pPr>
              <w:jc w:val="right"/>
              <w:rPr>
                <w:sz w:val="16"/>
                <w:szCs w:val="16"/>
              </w:rPr>
            </w:pPr>
            <w:r>
              <w:rPr>
                <w:rFonts w:hint="eastAsia"/>
                <w:sz w:val="16"/>
                <w:szCs w:val="16"/>
              </w:rPr>
              <w:t xml:space="preserve"> 2,027,597.71 </w:t>
            </w:r>
          </w:p>
        </w:tc>
        <w:tc>
          <w:tcPr>
            <w:tcW w:w="382" w:type="pct"/>
            <w:vAlign w:val="center"/>
          </w:tcPr>
          <w:p w:rsidR="00156DD6" w:rsidRDefault="00D51F5F">
            <w:pPr>
              <w:jc w:val="right"/>
              <w:rPr>
                <w:sz w:val="16"/>
                <w:szCs w:val="16"/>
              </w:rPr>
            </w:pPr>
            <w:r>
              <w:rPr>
                <w:rFonts w:hint="eastAsia"/>
                <w:sz w:val="16"/>
                <w:szCs w:val="16"/>
              </w:rPr>
              <w:t xml:space="preserve"> 22,440,561.28 </w:t>
            </w:r>
          </w:p>
        </w:tc>
        <w:tc>
          <w:tcPr>
            <w:tcW w:w="405" w:type="pct"/>
            <w:vAlign w:val="center"/>
          </w:tcPr>
          <w:p w:rsidR="00156DD6" w:rsidRDefault="00D51F5F">
            <w:pPr>
              <w:jc w:val="right"/>
              <w:rPr>
                <w:sz w:val="16"/>
                <w:szCs w:val="16"/>
              </w:rPr>
            </w:pPr>
            <w:r>
              <w:rPr>
                <w:rFonts w:hint="eastAsia"/>
                <w:sz w:val="16"/>
                <w:szCs w:val="16"/>
              </w:rPr>
              <w:t xml:space="preserve"> 122,195,454.42 </w:t>
            </w: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1,003,432,341.75 </w:t>
            </w: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2,413,243,343.39 </w:t>
            </w:r>
          </w:p>
        </w:tc>
        <w:tc>
          <w:tcPr>
            <w:tcW w:w="405" w:type="pct"/>
            <w:vAlign w:val="center"/>
          </w:tcPr>
          <w:p w:rsidR="00156DD6" w:rsidRDefault="00D51F5F">
            <w:pPr>
              <w:jc w:val="right"/>
              <w:rPr>
                <w:sz w:val="16"/>
                <w:szCs w:val="16"/>
              </w:rPr>
            </w:pPr>
            <w:r>
              <w:rPr>
                <w:rFonts w:hint="eastAsia"/>
                <w:sz w:val="16"/>
                <w:szCs w:val="16"/>
              </w:rPr>
              <w:t xml:space="preserve"> 139,598,553.64 </w:t>
            </w:r>
          </w:p>
        </w:tc>
        <w:tc>
          <w:tcPr>
            <w:tcW w:w="452" w:type="pct"/>
            <w:vAlign w:val="center"/>
          </w:tcPr>
          <w:p w:rsidR="00156DD6" w:rsidRDefault="00D51F5F">
            <w:pPr>
              <w:jc w:val="right"/>
              <w:rPr>
                <w:sz w:val="16"/>
                <w:szCs w:val="16"/>
              </w:rPr>
            </w:pPr>
            <w:r>
              <w:rPr>
                <w:rFonts w:hint="eastAsia"/>
                <w:sz w:val="16"/>
                <w:szCs w:val="16"/>
              </w:rPr>
              <w:t xml:space="preserve"> 2,552,841,897.03 </w:t>
            </w:r>
          </w:p>
        </w:tc>
      </w:tr>
      <w:tr w:rsidR="00156DD6">
        <w:sdt>
          <w:sdtPr>
            <w:rPr>
              <w:sz w:val="16"/>
              <w:szCs w:val="16"/>
            </w:rPr>
            <w:tag w:val="_PLD_60156dcb8ac241a7929015e75c8eef16"/>
            <w:id w:val="-408607823"/>
          </w:sdtPr>
          <w:sdtEndPr/>
          <w:sdtContent>
            <w:tc>
              <w:tcPr>
                <w:tcW w:w="253" w:type="pct"/>
                <w:vAlign w:val="center"/>
              </w:tcPr>
              <w:p w:rsidR="00156DD6" w:rsidRDefault="00D51F5F">
                <w:pPr>
                  <w:rPr>
                    <w:color w:val="000000" w:themeColor="text1"/>
                    <w:sz w:val="16"/>
                    <w:szCs w:val="16"/>
                  </w:rPr>
                </w:pPr>
                <w:r>
                  <w:rPr>
                    <w:color w:val="000000" w:themeColor="text1"/>
                    <w:sz w:val="16"/>
                    <w:szCs w:val="16"/>
                  </w:rPr>
                  <w:t>三、本</w:t>
                </w:r>
                <w:r>
                  <w:rPr>
                    <w:rFonts w:hint="eastAsia"/>
                    <w:color w:val="000000" w:themeColor="text1"/>
                    <w:sz w:val="16"/>
                    <w:szCs w:val="16"/>
                  </w:rPr>
                  <w:t>期</w:t>
                </w:r>
                <w:r>
                  <w:rPr>
                    <w:color w:val="000000" w:themeColor="text1"/>
                    <w:sz w:val="16"/>
                    <w:szCs w:val="16"/>
                  </w:rPr>
                  <w:t>增减变动金额（减少以</w:t>
                </w:r>
                <w:r>
                  <w:rPr>
                    <w:color w:val="000000" w:themeColor="text1"/>
                    <w:sz w:val="16"/>
                    <w:szCs w:val="16"/>
                  </w:rPr>
                  <w:t>“</w:t>
                </w:r>
                <w:r>
                  <w:rPr>
                    <w:color w:val="000000" w:themeColor="text1"/>
                    <w:sz w:val="16"/>
                    <w:szCs w:val="16"/>
                  </w:rPr>
                  <w:t>－</w:t>
                </w:r>
                <w:r>
                  <w:rPr>
                    <w:color w:val="000000" w:themeColor="text1"/>
                    <w:sz w:val="16"/>
                    <w:szCs w:val="16"/>
                  </w:rPr>
                  <w:lastRenderedPageBreak/>
                  <w:t>”</w:t>
                </w:r>
                <w:r>
                  <w:rPr>
                    <w:color w:val="000000" w:themeColor="text1"/>
                    <w:sz w:val="16"/>
                    <w:szCs w:val="16"/>
                  </w:rPr>
                  <w:t>号填列）</w:t>
                </w:r>
              </w:p>
            </w:tc>
          </w:sdtContent>
        </w:sdt>
        <w:tc>
          <w:tcPr>
            <w:tcW w:w="404" w:type="pct"/>
            <w:vAlign w:val="center"/>
          </w:tcPr>
          <w:p w:rsidR="00156DD6" w:rsidRDefault="00D51F5F">
            <w:pPr>
              <w:jc w:val="right"/>
              <w:rPr>
                <w:sz w:val="16"/>
                <w:szCs w:val="16"/>
              </w:rPr>
            </w:pPr>
            <w:r>
              <w:rPr>
                <w:rFonts w:hint="eastAsia"/>
                <w:sz w:val="16"/>
                <w:szCs w:val="16"/>
              </w:rPr>
              <w:lastRenderedPageBreak/>
              <w:t xml:space="preserve">  </w:t>
            </w: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05" w:type="pct"/>
            <w:vAlign w:val="center"/>
          </w:tcPr>
          <w:p w:rsidR="00156DD6" w:rsidRDefault="00D51F5F">
            <w:pPr>
              <w:jc w:val="right"/>
              <w:rPr>
                <w:sz w:val="16"/>
                <w:szCs w:val="16"/>
              </w:rPr>
            </w:pPr>
            <w:r>
              <w:rPr>
                <w:rFonts w:hint="eastAsia"/>
                <w:sz w:val="16"/>
                <w:szCs w:val="16"/>
              </w:rPr>
              <w:t xml:space="preserve">  23,717,863.05  </w:t>
            </w:r>
          </w:p>
        </w:tc>
        <w:tc>
          <w:tcPr>
            <w:tcW w:w="382" w:type="pct"/>
            <w:vAlign w:val="center"/>
          </w:tcPr>
          <w:p w:rsidR="00156DD6" w:rsidRDefault="00D51F5F">
            <w:pPr>
              <w:jc w:val="right"/>
              <w:rPr>
                <w:sz w:val="16"/>
                <w:szCs w:val="16"/>
              </w:rPr>
            </w:pPr>
            <w:r>
              <w:rPr>
                <w:rFonts w:hint="eastAsia"/>
                <w:sz w:val="16"/>
                <w:szCs w:val="16"/>
              </w:rPr>
              <w:t xml:space="preserve"> -4,500,800.00 </w:t>
            </w:r>
          </w:p>
        </w:tc>
        <w:tc>
          <w:tcPr>
            <w:tcW w:w="358" w:type="pct"/>
            <w:vAlign w:val="center"/>
          </w:tcPr>
          <w:p w:rsidR="00156DD6" w:rsidRDefault="00D51F5F">
            <w:pPr>
              <w:jc w:val="right"/>
              <w:rPr>
                <w:sz w:val="16"/>
                <w:szCs w:val="16"/>
              </w:rPr>
            </w:pPr>
            <w:r>
              <w:rPr>
                <w:rFonts w:hint="eastAsia"/>
                <w:sz w:val="16"/>
                <w:szCs w:val="16"/>
              </w:rPr>
              <w:t xml:space="preserve"> 326,117.11 </w:t>
            </w:r>
          </w:p>
        </w:tc>
        <w:tc>
          <w:tcPr>
            <w:tcW w:w="382" w:type="pct"/>
            <w:vAlign w:val="center"/>
          </w:tcPr>
          <w:p w:rsidR="00156DD6" w:rsidRDefault="00D51F5F">
            <w:pPr>
              <w:jc w:val="right"/>
              <w:rPr>
                <w:sz w:val="16"/>
                <w:szCs w:val="16"/>
              </w:rPr>
            </w:pPr>
            <w:r>
              <w:rPr>
                <w:rFonts w:hint="eastAsia"/>
                <w:sz w:val="16"/>
                <w:szCs w:val="16"/>
              </w:rPr>
              <w:t xml:space="preserve"> 1,500,194.50 </w:t>
            </w:r>
          </w:p>
        </w:tc>
        <w:tc>
          <w:tcPr>
            <w:tcW w:w="405" w:type="pct"/>
            <w:vAlign w:val="center"/>
          </w:tcPr>
          <w:p w:rsidR="00156DD6" w:rsidRDefault="00D51F5F">
            <w:pPr>
              <w:jc w:val="right"/>
              <w:rPr>
                <w:sz w:val="16"/>
                <w:szCs w:val="16"/>
              </w:rPr>
            </w:pPr>
            <w:r>
              <w:rPr>
                <w:rFonts w:hint="eastAsia"/>
                <w:sz w:val="16"/>
                <w:szCs w:val="16"/>
              </w:rPr>
              <w:t xml:space="preserve">   </w:t>
            </w: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38,018,185.83   </w:t>
            </w: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68,063,160.49  </w:t>
            </w:r>
          </w:p>
        </w:tc>
        <w:tc>
          <w:tcPr>
            <w:tcW w:w="405" w:type="pct"/>
            <w:vAlign w:val="center"/>
          </w:tcPr>
          <w:p w:rsidR="00156DD6" w:rsidRDefault="00D51F5F">
            <w:pPr>
              <w:jc w:val="right"/>
              <w:rPr>
                <w:sz w:val="16"/>
                <w:szCs w:val="16"/>
              </w:rPr>
            </w:pPr>
            <w:r>
              <w:rPr>
                <w:rFonts w:hint="eastAsia"/>
                <w:sz w:val="16"/>
                <w:szCs w:val="16"/>
              </w:rPr>
              <w:t xml:space="preserve">-135,469,933.52 </w:t>
            </w:r>
          </w:p>
        </w:tc>
        <w:tc>
          <w:tcPr>
            <w:tcW w:w="452" w:type="pct"/>
            <w:vAlign w:val="center"/>
          </w:tcPr>
          <w:p w:rsidR="00156DD6" w:rsidRDefault="00D51F5F">
            <w:pPr>
              <w:jc w:val="right"/>
              <w:rPr>
                <w:sz w:val="16"/>
                <w:szCs w:val="16"/>
              </w:rPr>
            </w:pPr>
            <w:r>
              <w:rPr>
                <w:rFonts w:hint="eastAsia"/>
                <w:sz w:val="16"/>
                <w:szCs w:val="16"/>
              </w:rPr>
              <w:t xml:space="preserve">-67,406,773.03 </w:t>
            </w:r>
          </w:p>
        </w:tc>
      </w:tr>
      <w:tr w:rsidR="00156DD6">
        <w:sdt>
          <w:sdtPr>
            <w:rPr>
              <w:sz w:val="16"/>
              <w:szCs w:val="16"/>
            </w:rPr>
            <w:tag w:val="_PLD_b05dacde51ff43abaf7ec73bf9668d99"/>
            <w:id w:val="-1922942127"/>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（一）综合收益总额</w:t>
                </w:r>
              </w:p>
            </w:tc>
          </w:sdtContent>
        </w:sdt>
        <w:tc>
          <w:tcPr>
            <w:tcW w:w="404"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358" w:type="pct"/>
            <w:vAlign w:val="center"/>
          </w:tcPr>
          <w:p w:rsidR="00156DD6" w:rsidRDefault="00D51F5F">
            <w:pPr>
              <w:jc w:val="right"/>
              <w:rPr>
                <w:sz w:val="16"/>
                <w:szCs w:val="16"/>
              </w:rPr>
            </w:pPr>
            <w:r>
              <w:rPr>
                <w:rFonts w:hint="eastAsia"/>
                <w:sz w:val="16"/>
                <w:szCs w:val="16"/>
              </w:rPr>
              <w:t xml:space="preserve"> 326,117.11 </w:t>
            </w:r>
          </w:p>
        </w:tc>
        <w:tc>
          <w:tcPr>
            <w:tcW w:w="38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54,632,217.78</w:t>
            </w: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54,958,334.89</w:t>
            </w:r>
          </w:p>
        </w:tc>
        <w:tc>
          <w:tcPr>
            <w:tcW w:w="405" w:type="pct"/>
            <w:vAlign w:val="center"/>
          </w:tcPr>
          <w:p w:rsidR="00156DD6" w:rsidRDefault="00D51F5F">
            <w:pPr>
              <w:jc w:val="right"/>
              <w:rPr>
                <w:sz w:val="16"/>
                <w:szCs w:val="16"/>
              </w:rPr>
            </w:pPr>
            <w:r>
              <w:rPr>
                <w:rFonts w:hint="eastAsia"/>
                <w:sz w:val="16"/>
                <w:szCs w:val="16"/>
              </w:rPr>
              <w:t xml:space="preserve">  5,115,089.79</w:t>
            </w:r>
          </w:p>
        </w:tc>
        <w:tc>
          <w:tcPr>
            <w:tcW w:w="452" w:type="pct"/>
            <w:vAlign w:val="center"/>
          </w:tcPr>
          <w:p w:rsidR="00156DD6" w:rsidRDefault="00D51F5F">
            <w:pPr>
              <w:jc w:val="right"/>
              <w:rPr>
                <w:sz w:val="16"/>
                <w:szCs w:val="16"/>
              </w:rPr>
            </w:pPr>
            <w:r>
              <w:rPr>
                <w:rFonts w:hint="eastAsia"/>
                <w:sz w:val="16"/>
                <w:szCs w:val="16"/>
              </w:rPr>
              <w:t xml:space="preserve">60,073,424.68  </w:t>
            </w:r>
          </w:p>
        </w:tc>
      </w:tr>
      <w:tr w:rsidR="00156DD6">
        <w:sdt>
          <w:sdtPr>
            <w:rPr>
              <w:sz w:val="16"/>
              <w:szCs w:val="16"/>
            </w:rPr>
            <w:tag w:val="_PLD_f17921fb207340239c73a056e615d773"/>
            <w:id w:val="-709577321"/>
          </w:sdtPr>
          <w:sdtEndPr/>
          <w:sdtContent>
            <w:tc>
              <w:tcPr>
                <w:tcW w:w="253" w:type="pct"/>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二</w:t>
                </w:r>
                <w:r>
                  <w:rPr>
                    <w:color w:val="000000" w:themeColor="text1"/>
                    <w:sz w:val="16"/>
                    <w:szCs w:val="16"/>
                  </w:rPr>
                  <w:t>）所有者投入和减少资本</w:t>
                </w:r>
              </w:p>
            </w:tc>
          </w:sdtContent>
        </w:sdt>
        <w:tc>
          <w:tcPr>
            <w:tcW w:w="404"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05" w:type="pct"/>
            <w:vAlign w:val="center"/>
          </w:tcPr>
          <w:p w:rsidR="00156DD6" w:rsidRDefault="00D51F5F">
            <w:pPr>
              <w:jc w:val="right"/>
              <w:rPr>
                <w:sz w:val="16"/>
                <w:szCs w:val="16"/>
              </w:rPr>
            </w:pPr>
            <w:r>
              <w:rPr>
                <w:rFonts w:hint="eastAsia"/>
                <w:sz w:val="16"/>
                <w:szCs w:val="16"/>
              </w:rPr>
              <w:t xml:space="preserve">  23,717,863.05  </w:t>
            </w:r>
          </w:p>
        </w:tc>
        <w:tc>
          <w:tcPr>
            <w:tcW w:w="382" w:type="pct"/>
            <w:vAlign w:val="center"/>
          </w:tcPr>
          <w:p w:rsidR="00156DD6" w:rsidRDefault="00D51F5F">
            <w:pPr>
              <w:jc w:val="right"/>
              <w:rPr>
                <w:sz w:val="16"/>
                <w:szCs w:val="16"/>
              </w:rPr>
            </w:pPr>
            <w:r>
              <w:rPr>
                <w:rFonts w:hint="eastAsia"/>
                <w:sz w:val="16"/>
                <w:szCs w:val="16"/>
              </w:rPr>
              <w:t xml:space="preserve"> -4,500,800.00 </w:t>
            </w:r>
          </w:p>
        </w:tc>
        <w:tc>
          <w:tcPr>
            <w:tcW w:w="358"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28,218,663.05  </w:t>
            </w:r>
          </w:p>
        </w:tc>
        <w:tc>
          <w:tcPr>
            <w:tcW w:w="405" w:type="pct"/>
            <w:vAlign w:val="center"/>
          </w:tcPr>
          <w:p w:rsidR="00156DD6" w:rsidRDefault="00D51F5F">
            <w:pPr>
              <w:jc w:val="right"/>
              <w:rPr>
                <w:sz w:val="16"/>
                <w:szCs w:val="16"/>
              </w:rPr>
            </w:pPr>
            <w:r>
              <w:rPr>
                <w:rFonts w:hint="eastAsia"/>
                <w:sz w:val="16"/>
                <w:szCs w:val="16"/>
              </w:rPr>
              <w:t xml:space="preserve">  -140,585,023.31  </w:t>
            </w:r>
          </w:p>
        </w:tc>
        <w:tc>
          <w:tcPr>
            <w:tcW w:w="452" w:type="pct"/>
            <w:vAlign w:val="center"/>
          </w:tcPr>
          <w:p w:rsidR="00156DD6" w:rsidRDefault="00D51F5F">
            <w:pPr>
              <w:jc w:val="right"/>
              <w:rPr>
                <w:sz w:val="16"/>
                <w:szCs w:val="16"/>
              </w:rPr>
            </w:pPr>
            <w:r>
              <w:rPr>
                <w:rFonts w:hint="eastAsia"/>
                <w:sz w:val="16"/>
                <w:szCs w:val="16"/>
              </w:rPr>
              <w:t xml:space="preserve">-112,366,360.26 </w:t>
            </w:r>
          </w:p>
        </w:tc>
      </w:tr>
      <w:tr w:rsidR="00156DD6">
        <w:sdt>
          <w:sdtPr>
            <w:rPr>
              <w:sz w:val="16"/>
              <w:szCs w:val="16"/>
            </w:rPr>
            <w:tag w:val="_PLD_a4e5a1909d05445a88f8a664e237ae02"/>
            <w:id w:val="-925418362"/>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1</w:t>
                </w:r>
                <w:r>
                  <w:rPr>
                    <w:rFonts w:hint="eastAsia"/>
                    <w:color w:val="000000" w:themeColor="text1"/>
                    <w:sz w:val="16"/>
                    <w:szCs w:val="16"/>
                  </w:rPr>
                  <w:t>．所有者投入的普通股</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sdt>
          <w:sdtPr>
            <w:rPr>
              <w:sz w:val="16"/>
              <w:szCs w:val="16"/>
            </w:rPr>
            <w:tag w:val="_PLD_00983bc5e4cc404f92b2fab2c532ec5f"/>
            <w:id w:val="637379666"/>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2</w:t>
                </w:r>
                <w:r>
                  <w:rPr>
                    <w:rFonts w:hint="eastAsia"/>
                    <w:color w:val="000000" w:themeColor="text1"/>
                    <w:sz w:val="16"/>
                    <w:szCs w:val="16"/>
                  </w:rPr>
                  <w:t>．其他权益工具持有者投入资本</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sdt>
          <w:sdtPr>
            <w:rPr>
              <w:sz w:val="16"/>
              <w:szCs w:val="16"/>
            </w:rPr>
            <w:tag w:val="_PLD_b945685508384f75ad9507566dd406a5"/>
            <w:id w:val="1335875446"/>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3</w:t>
                </w:r>
                <w:r>
                  <w:rPr>
                    <w:color w:val="000000" w:themeColor="text1"/>
                    <w:sz w:val="16"/>
                    <w:szCs w:val="16"/>
                  </w:rPr>
                  <w:t>．股份支付计入所有者权益的金额</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vAlign w:val="center"/>
          </w:tcPr>
          <w:p w:rsidR="00156DD6" w:rsidRDefault="00D51F5F">
            <w:pPr>
              <w:jc w:val="right"/>
              <w:rPr>
                <w:sz w:val="16"/>
                <w:szCs w:val="16"/>
              </w:rPr>
            </w:pPr>
            <w:r>
              <w:rPr>
                <w:rFonts w:hint="eastAsia"/>
                <w:sz w:val="16"/>
                <w:szCs w:val="16"/>
              </w:rPr>
              <w:t xml:space="preserve">  -1,083,654.90  </w:t>
            </w:r>
          </w:p>
        </w:tc>
        <w:tc>
          <w:tcPr>
            <w:tcW w:w="382" w:type="pct"/>
            <w:vAlign w:val="center"/>
          </w:tcPr>
          <w:p w:rsidR="00156DD6" w:rsidRDefault="00D51F5F">
            <w:pPr>
              <w:jc w:val="right"/>
              <w:rPr>
                <w:sz w:val="16"/>
                <w:szCs w:val="16"/>
              </w:rPr>
            </w:pPr>
            <w:r>
              <w:rPr>
                <w:rFonts w:hint="eastAsia"/>
                <w:sz w:val="16"/>
                <w:szCs w:val="16"/>
              </w:rPr>
              <w:t xml:space="preserve"> -4,500,800.00 </w:t>
            </w:r>
          </w:p>
        </w:tc>
        <w:tc>
          <w:tcPr>
            <w:tcW w:w="358"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3,417,145.10 </w:t>
            </w:r>
          </w:p>
        </w:tc>
        <w:tc>
          <w:tcPr>
            <w:tcW w:w="405"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3,417,145.10 </w:t>
            </w:r>
          </w:p>
        </w:tc>
      </w:tr>
      <w:tr w:rsidR="00156DD6">
        <w:sdt>
          <w:sdtPr>
            <w:rPr>
              <w:sz w:val="16"/>
              <w:szCs w:val="16"/>
            </w:rPr>
            <w:tag w:val="_PLD_86538f5d06744ca9be65b0b439b17643"/>
            <w:id w:val="1180161114"/>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4</w:t>
                </w:r>
                <w:r>
                  <w:rPr>
                    <w:color w:val="000000" w:themeColor="text1"/>
                    <w:sz w:val="16"/>
                    <w:szCs w:val="16"/>
                  </w:rPr>
                  <w:t>．其他</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vAlign w:val="center"/>
          </w:tcPr>
          <w:p w:rsidR="00156DD6" w:rsidRDefault="00D51F5F">
            <w:pPr>
              <w:jc w:val="right"/>
              <w:rPr>
                <w:sz w:val="16"/>
                <w:szCs w:val="16"/>
              </w:rPr>
            </w:pPr>
            <w:r>
              <w:rPr>
                <w:rFonts w:hint="eastAsia"/>
                <w:sz w:val="16"/>
                <w:szCs w:val="16"/>
              </w:rPr>
              <w:t xml:space="preserve">  24,801,517.95  </w:t>
            </w:r>
          </w:p>
        </w:tc>
        <w:tc>
          <w:tcPr>
            <w:tcW w:w="382" w:type="pct"/>
            <w:vAlign w:val="center"/>
          </w:tcPr>
          <w:p w:rsidR="00156DD6" w:rsidRDefault="00156DD6">
            <w:pPr>
              <w:jc w:val="right"/>
              <w:rPr>
                <w:sz w:val="16"/>
                <w:szCs w:val="16"/>
              </w:rPr>
            </w:pPr>
          </w:p>
        </w:tc>
        <w:tc>
          <w:tcPr>
            <w:tcW w:w="358" w:type="pct"/>
            <w:vAlign w:val="center"/>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24,801,517.95  </w:t>
            </w:r>
          </w:p>
        </w:tc>
        <w:tc>
          <w:tcPr>
            <w:tcW w:w="405" w:type="pct"/>
            <w:vAlign w:val="center"/>
          </w:tcPr>
          <w:p w:rsidR="00156DD6" w:rsidRDefault="00D51F5F">
            <w:pPr>
              <w:jc w:val="right"/>
              <w:rPr>
                <w:sz w:val="16"/>
                <w:szCs w:val="16"/>
              </w:rPr>
            </w:pPr>
            <w:r>
              <w:rPr>
                <w:rFonts w:hint="eastAsia"/>
                <w:sz w:val="16"/>
                <w:szCs w:val="16"/>
              </w:rPr>
              <w:t xml:space="preserve">  -140,585,023.31  </w:t>
            </w:r>
          </w:p>
        </w:tc>
        <w:tc>
          <w:tcPr>
            <w:tcW w:w="452" w:type="pct"/>
            <w:vAlign w:val="center"/>
          </w:tcPr>
          <w:p w:rsidR="00156DD6" w:rsidRDefault="00D51F5F">
            <w:pPr>
              <w:jc w:val="right"/>
              <w:rPr>
                <w:sz w:val="16"/>
                <w:szCs w:val="16"/>
              </w:rPr>
            </w:pPr>
            <w:r>
              <w:rPr>
                <w:rFonts w:hint="eastAsia"/>
                <w:sz w:val="16"/>
                <w:szCs w:val="16"/>
              </w:rPr>
              <w:t xml:space="preserve">  -115,783,505.36 </w:t>
            </w:r>
          </w:p>
        </w:tc>
      </w:tr>
      <w:tr w:rsidR="00156DD6">
        <w:sdt>
          <w:sdtPr>
            <w:rPr>
              <w:sz w:val="16"/>
              <w:szCs w:val="16"/>
            </w:rPr>
            <w:tag w:val="_PLD_8fb1d678e8ca4e3ba31e34bed05e6c58"/>
            <w:id w:val="-467511116"/>
          </w:sdtPr>
          <w:sdtEndPr/>
          <w:sdtContent>
            <w:tc>
              <w:tcPr>
                <w:tcW w:w="253" w:type="pct"/>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三</w:t>
                </w:r>
                <w:r>
                  <w:rPr>
                    <w:color w:val="000000" w:themeColor="text1"/>
                    <w:sz w:val="16"/>
                    <w:szCs w:val="16"/>
                  </w:rPr>
                  <w:t>）利润分配</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-16,614,031.95 </w:t>
            </w:r>
          </w:p>
        </w:tc>
        <w:tc>
          <w:tcPr>
            <w:tcW w:w="131" w:type="pct"/>
            <w:vAlign w:val="center"/>
          </w:tcPr>
          <w:p w:rsidR="00156DD6" w:rsidRDefault="00D51F5F">
            <w:pPr>
              <w:jc w:val="right"/>
              <w:rPr>
                <w:sz w:val="16"/>
                <w:szCs w:val="16"/>
              </w:rPr>
            </w:pPr>
            <w:r>
              <w:rPr>
                <w:rFonts w:hint="eastAsia"/>
                <w:sz w:val="16"/>
                <w:szCs w:val="16"/>
              </w:rPr>
              <w:t xml:space="preserve">   </w:t>
            </w:r>
          </w:p>
        </w:tc>
        <w:tc>
          <w:tcPr>
            <w:tcW w:w="452" w:type="pct"/>
            <w:vAlign w:val="center"/>
          </w:tcPr>
          <w:p w:rsidR="00156DD6" w:rsidRDefault="00D51F5F">
            <w:pPr>
              <w:jc w:val="right"/>
              <w:rPr>
                <w:sz w:val="16"/>
                <w:szCs w:val="16"/>
              </w:rPr>
            </w:pPr>
            <w:r>
              <w:rPr>
                <w:rFonts w:hint="eastAsia"/>
                <w:sz w:val="16"/>
                <w:szCs w:val="16"/>
              </w:rPr>
              <w:t xml:space="preserve"> -16,614,031.95 </w:t>
            </w:r>
          </w:p>
        </w:tc>
        <w:tc>
          <w:tcPr>
            <w:tcW w:w="405" w:type="pct"/>
            <w:vAlign w:val="center"/>
          </w:tcPr>
          <w:p w:rsidR="00156DD6" w:rsidRDefault="00D51F5F">
            <w:pPr>
              <w:jc w:val="right"/>
              <w:rPr>
                <w:sz w:val="16"/>
                <w:szCs w:val="16"/>
              </w:rPr>
            </w:pPr>
            <w:r>
              <w:rPr>
                <w:rFonts w:hint="eastAsia"/>
                <w:sz w:val="16"/>
                <w:szCs w:val="16"/>
              </w:rPr>
              <w:t xml:space="preserve">   </w:t>
            </w:r>
          </w:p>
        </w:tc>
        <w:tc>
          <w:tcPr>
            <w:tcW w:w="452" w:type="pct"/>
            <w:vAlign w:val="center"/>
          </w:tcPr>
          <w:p w:rsidR="00156DD6" w:rsidRDefault="00D51F5F">
            <w:pPr>
              <w:jc w:val="right"/>
              <w:rPr>
                <w:sz w:val="16"/>
                <w:szCs w:val="16"/>
              </w:rPr>
            </w:pPr>
            <w:r>
              <w:rPr>
                <w:rFonts w:hint="eastAsia"/>
                <w:sz w:val="16"/>
                <w:szCs w:val="16"/>
              </w:rPr>
              <w:t xml:space="preserve"> -16,614,031.95 </w:t>
            </w:r>
          </w:p>
        </w:tc>
      </w:tr>
      <w:tr w:rsidR="00156DD6">
        <w:sdt>
          <w:sdtPr>
            <w:rPr>
              <w:sz w:val="16"/>
              <w:szCs w:val="16"/>
            </w:rPr>
            <w:tag w:val="_PLD_5badbc22860d48e29f8d8d9a4a633d8c"/>
            <w:id w:val="1070156723"/>
          </w:sdtPr>
          <w:sdtEndPr/>
          <w:sdtContent>
            <w:tc>
              <w:tcPr>
                <w:tcW w:w="253" w:type="pct"/>
                <w:vAlign w:val="center"/>
              </w:tcPr>
              <w:p w:rsidR="00156DD6" w:rsidRDefault="00D51F5F">
                <w:pPr>
                  <w:rPr>
                    <w:color w:val="000000" w:themeColor="text1"/>
                    <w:sz w:val="16"/>
                    <w:szCs w:val="16"/>
                  </w:rPr>
                </w:pPr>
                <w:r>
                  <w:rPr>
                    <w:color w:val="000000" w:themeColor="text1"/>
                    <w:sz w:val="16"/>
                    <w:szCs w:val="16"/>
                  </w:rPr>
                  <w:t>1</w:t>
                </w:r>
                <w:r>
                  <w:rPr>
                    <w:color w:val="000000" w:themeColor="text1"/>
                    <w:sz w:val="16"/>
                    <w:szCs w:val="16"/>
                  </w:rPr>
                  <w:t>．提取盈余公积</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r>
      <w:tr w:rsidR="00156DD6">
        <w:sdt>
          <w:sdtPr>
            <w:rPr>
              <w:sz w:val="16"/>
              <w:szCs w:val="16"/>
            </w:rPr>
            <w:tag w:val="_PLD_2c8b649d670044a9b5fda521dd40705d"/>
            <w:id w:val="1454676196"/>
          </w:sdtPr>
          <w:sdtEndPr/>
          <w:sdtContent>
            <w:tc>
              <w:tcPr>
                <w:tcW w:w="253" w:type="pct"/>
                <w:vAlign w:val="center"/>
              </w:tcPr>
              <w:p w:rsidR="00156DD6" w:rsidRDefault="00D51F5F">
                <w:pPr>
                  <w:rPr>
                    <w:color w:val="000000" w:themeColor="text1"/>
                    <w:sz w:val="16"/>
                    <w:szCs w:val="16"/>
                  </w:rPr>
                </w:pPr>
                <w:r>
                  <w:rPr>
                    <w:color w:val="000000" w:themeColor="text1"/>
                    <w:sz w:val="16"/>
                    <w:szCs w:val="16"/>
                  </w:rPr>
                  <w:t>2</w:t>
                </w:r>
                <w:r>
                  <w:rPr>
                    <w:color w:val="000000" w:themeColor="text1"/>
                    <w:sz w:val="16"/>
                    <w:szCs w:val="16"/>
                  </w:rPr>
                  <w:t>．提取一般风险准备</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r>
      <w:tr w:rsidR="00156DD6">
        <w:sdt>
          <w:sdtPr>
            <w:rPr>
              <w:sz w:val="16"/>
              <w:szCs w:val="16"/>
            </w:rPr>
            <w:tag w:val="_PLD_254428ff3bee49c2acd11ef634901543"/>
            <w:id w:val="-1031257288"/>
          </w:sdtPr>
          <w:sdtEndPr/>
          <w:sdtContent>
            <w:tc>
              <w:tcPr>
                <w:tcW w:w="253" w:type="pct"/>
                <w:vAlign w:val="center"/>
              </w:tcPr>
              <w:p w:rsidR="00156DD6" w:rsidRDefault="00D51F5F">
                <w:pPr>
                  <w:rPr>
                    <w:color w:val="000000" w:themeColor="text1"/>
                    <w:sz w:val="16"/>
                    <w:szCs w:val="16"/>
                  </w:rPr>
                </w:pPr>
                <w:r>
                  <w:rPr>
                    <w:color w:val="000000" w:themeColor="text1"/>
                    <w:sz w:val="16"/>
                    <w:szCs w:val="16"/>
                  </w:rPr>
                  <w:t>3</w:t>
                </w:r>
                <w:r>
                  <w:rPr>
                    <w:color w:val="000000" w:themeColor="text1"/>
                    <w:sz w:val="16"/>
                    <w:szCs w:val="16"/>
                  </w:rPr>
                  <w:t>．对所有者（或股东）的分配</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-16,614,031.95 </w:t>
            </w: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-16,614,031.95 </w:t>
            </w:r>
          </w:p>
        </w:tc>
        <w:tc>
          <w:tcPr>
            <w:tcW w:w="405"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-16,614,031.95 </w:t>
            </w:r>
          </w:p>
        </w:tc>
      </w:tr>
      <w:tr w:rsidR="00156DD6">
        <w:sdt>
          <w:sdtPr>
            <w:rPr>
              <w:sz w:val="16"/>
              <w:szCs w:val="16"/>
            </w:rPr>
            <w:tag w:val="_PLD_b3d350728a6c49ccaa6dbb4adf16c691"/>
            <w:id w:val="488837312"/>
          </w:sdtPr>
          <w:sdtEndPr/>
          <w:sdtContent>
            <w:tc>
              <w:tcPr>
                <w:tcW w:w="253" w:type="pct"/>
                <w:vAlign w:val="center"/>
              </w:tcPr>
              <w:p w:rsidR="00156DD6" w:rsidRDefault="00D51F5F">
                <w:pPr>
                  <w:rPr>
                    <w:color w:val="000000" w:themeColor="text1"/>
                    <w:sz w:val="16"/>
                    <w:szCs w:val="16"/>
                  </w:rPr>
                </w:pPr>
                <w:r>
                  <w:rPr>
                    <w:color w:val="000000" w:themeColor="text1"/>
                    <w:sz w:val="16"/>
                    <w:szCs w:val="16"/>
                  </w:rPr>
                  <w:t>4</w:t>
                </w:r>
                <w:r>
                  <w:rPr>
                    <w:color w:val="000000" w:themeColor="text1"/>
                    <w:sz w:val="16"/>
                    <w:szCs w:val="16"/>
                  </w:rPr>
                  <w:t>．其他</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sdt>
          <w:sdtPr>
            <w:rPr>
              <w:sz w:val="16"/>
              <w:szCs w:val="16"/>
            </w:rPr>
            <w:tag w:val="_PLD_03ab84b7536c4ddcaaad4c99a2dd5fd3"/>
            <w:id w:val="-478310563"/>
          </w:sdtPr>
          <w:sdtEndPr/>
          <w:sdtContent>
            <w:tc>
              <w:tcPr>
                <w:tcW w:w="253" w:type="pct"/>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四</w:t>
                </w:r>
                <w:r>
                  <w:rPr>
                    <w:color w:val="000000" w:themeColor="text1"/>
                    <w:sz w:val="16"/>
                    <w:szCs w:val="16"/>
                  </w:rPr>
                  <w:t>）所有者权益内部结转</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sdt>
          <w:sdtPr>
            <w:rPr>
              <w:sz w:val="16"/>
              <w:szCs w:val="16"/>
            </w:rPr>
            <w:tag w:val="_PLD_88233f88b9ea4ceb82a1cc6cd7a5030d"/>
            <w:id w:val="1370029347"/>
          </w:sdtPr>
          <w:sdtEndPr/>
          <w:sdtContent>
            <w:tc>
              <w:tcPr>
                <w:tcW w:w="253" w:type="pct"/>
                <w:vAlign w:val="center"/>
              </w:tcPr>
              <w:p w:rsidR="00156DD6" w:rsidRDefault="00D51F5F">
                <w:pPr>
                  <w:rPr>
                    <w:color w:val="000000" w:themeColor="text1"/>
                    <w:sz w:val="16"/>
                    <w:szCs w:val="16"/>
                  </w:rPr>
                </w:pPr>
                <w:r>
                  <w:rPr>
                    <w:color w:val="000000" w:themeColor="text1"/>
                    <w:sz w:val="16"/>
                    <w:szCs w:val="16"/>
                  </w:rPr>
                  <w:t>1</w:t>
                </w:r>
                <w:r>
                  <w:rPr>
                    <w:color w:val="000000" w:themeColor="text1"/>
                    <w:sz w:val="16"/>
                    <w:szCs w:val="16"/>
                  </w:rPr>
                  <w:t>．资本公积转增资本（或股本）</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sdt>
          <w:sdtPr>
            <w:rPr>
              <w:sz w:val="16"/>
              <w:szCs w:val="16"/>
            </w:rPr>
            <w:tag w:val="_PLD_4a9492c5a232434296cfdef5eeded778"/>
            <w:id w:val="-1877306696"/>
          </w:sdtPr>
          <w:sdtEndPr/>
          <w:sdtContent>
            <w:tc>
              <w:tcPr>
                <w:tcW w:w="253" w:type="pct"/>
                <w:vAlign w:val="center"/>
              </w:tcPr>
              <w:p w:rsidR="00156DD6" w:rsidRDefault="00D51F5F">
                <w:pPr>
                  <w:rPr>
                    <w:color w:val="000000" w:themeColor="text1"/>
                    <w:sz w:val="16"/>
                    <w:szCs w:val="16"/>
                  </w:rPr>
                </w:pPr>
                <w:r>
                  <w:rPr>
                    <w:color w:val="000000" w:themeColor="text1"/>
                    <w:sz w:val="16"/>
                    <w:szCs w:val="16"/>
                  </w:rPr>
                  <w:t>2</w:t>
                </w:r>
                <w:r>
                  <w:rPr>
                    <w:color w:val="000000" w:themeColor="text1"/>
                    <w:sz w:val="16"/>
                    <w:szCs w:val="16"/>
                  </w:rPr>
                  <w:t>．盈余公积转增</w:t>
                </w:r>
                <w:r>
                  <w:rPr>
                    <w:color w:val="000000" w:themeColor="text1"/>
                    <w:sz w:val="16"/>
                    <w:szCs w:val="16"/>
                  </w:rPr>
                  <w:lastRenderedPageBreak/>
                  <w:t>资本（或股本）</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sdt>
          <w:sdtPr>
            <w:rPr>
              <w:sz w:val="16"/>
              <w:szCs w:val="16"/>
            </w:rPr>
            <w:tag w:val="_PLD_25911664beff496799fc3193be7c3182"/>
            <w:id w:val="33242339"/>
          </w:sdtPr>
          <w:sdtEndPr/>
          <w:sdtContent>
            <w:tc>
              <w:tcPr>
                <w:tcW w:w="253" w:type="pct"/>
                <w:vAlign w:val="center"/>
              </w:tcPr>
              <w:p w:rsidR="00156DD6" w:rsidRDefault="00D51F5F">
                <w:pPr>
                  <w:rPr>
                    <w:color w:val="000000" w:themeColor="text1"/>
                    <w:sz w:val="16"/>
                    <w:szCs w:val="16"/>
                  </w:rPr>
                </w:pPr>
                <w:r>
                  <w:rPr>
                    <w:color w:val="000000" w:themeColor="text1"/>
                    <w:sz w:val="16"/>
                    <w:szCs w:val="16"/>
                  </w:rPr>
                  <w:t>3</w:t>
                </w:r>
                <w:r>
                  <w:rPr>
                    <w:color w:val="000000" w:themeColor="text1"/>
                    <w:sz w:val="16"/>
                    <w:szCs w:val="16"/>
                  </w:rPr>
                  <w:t>．盈余公积弥补亏损</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tc>
          <w:tcPr>
            <w:tcW w:w="253" w:type="pct"/>
            <w:vAlign w:val="center"/>
          </w:tcPr>
          <w:sdt>
            <w:sdtPr>
              <w:rPr>
                <w:sz w:val="16"/>
                <w:szCs w:val="16"/>
              </w:rPr>
              <w:tag w:val="_PLD_c2918ada9b53437193e4f9cfffa064e3"/>
              <w:id w:val="560072566"/>
            </w:sdtPr>
            <w:sdtEndPr/>
            <w:sdtContent>
              <w:p w:rsidR="00156DD6" w:rsidRDefault="00D51F5F">
                <w:pPr>
                  <w:rPr>
                    <w:color w:val="000000" w:themeColor="text1"/>
                    <w:sz w:val="16"/>
                    <w:szCs w:val="16"/>
                  </w:rPr>
                </w:pPr>
                <w:r>
                  <w:rPr>
                    <w:color w:val="000000" w:themeColor="text1"/>
                    <w:sz w:val="16"/>
                    <w:szCs w:val="16"/>
                  </w:rPr>
                  <w:t>4</w:t>
                </w:r>
                <w:r>
                  <w:rPr>
                    <w:color w:val="000000" w:themeColor="text1"/>
                    <w:sz w:val="16"/>
                    <w:szCs w:val="16"/>
                  </w:rPr>
                  <w:t>．设定受益计划变动额结转留存收益</w:t>
                </w:r>
              </w:p>
            </w:sdtContent>
          </w:sdt>
        </w:tc>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tc>
          <w:tcPr>
            <w:tcW w:w="253" w:type="pct"/>
            <w:vAlign w:val="center"/>
          </w:tcPr>
          <w:sdt>
            <w:sdtPr>
              <w:rPr>
                <w:sz w:val="16"/>
                <w:szCs w:val="16"/>
              </w:rPr>
              <w:tag w:val="_PLD_ea153cdd99f74bf1b50bc1743d25f429"/>
              <w:id w:val="-1802530354"/>
            </w:sdtPr>
            <w:sdtEndPr/>
            <w:sdtContent>
              <w:p w:rsidR="00156DD6" w:rsidRDefault="00D51F5F">
                <w:pPr>
                  <w:rPr>
                    <w:color w:val="000000" w:themeColor="text1"/>
                    <w:sz w:val="16"/>
                    <w:szCs w:val="16"/>
                  </w:rPr>
                </w:pPr>
                <w:r>
                  <w:rPr>
                    <w:color w:val="000000" w:themeColor="text1"/>
                    <w:sz w:val="16"/>
                    <w:szCs w:val="16"/>
                  </w:rPr>
                  <w:t>5</w:t>
                </w:r>
                <w:r>
                  <w:rPr>
                    <w:color w:val="000000" w:themeColor="text1"/>
                    <w:sz w:val="16"/>
                    <w:szCs w:val="16"/>
                  </w:rPr>
                  <w:t>．其他综合收益结转留存收益</w:t>
                </w:r>
              </w:p>
            </w:sdtContent>
          </w:sdt>
        </w:tc>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tc>
          <w:tcPr>
            <w:tcW w:w="253" w:type="pct"/>
            <w:vAlign w:val="center"/>
          </w:tcPr>
          <w:sdt>
            <w:sdtPr>
              <w:rPr>
                <w:sz w:val="16"/>
                <w:szCs w:val="16"/>
              </w:rPr>
              <w:tag w:val="_PLD_de42fced9d0547ecb946b8443ac4ea20"/>
              <w:id w:val="-510920673"/>
            </w:sdtPr>
            <w:sdtEndPr/>
            <w:sdtContent>
              <w:p w:rsidR="00156DD6" w:rsidRDefault="00D51F5F">
                <w:pPr>
                  <w:rPr>
                    <w:color w:val="000000" w:themeColor="text1"/>
                    <w:sz w:val="16"/>
                    <w:szCs w:val="16"/>
                  </w:rPr>
                </w:pPr>
                <w:r>
                  <w:rPr>
                    <w:color w:val="000000" w:themeColor="text1"/>
                    <w:sz w:val="16"/>
                    <w:szCs w:val="16"/>
                  </w:rPr>
                  <w:t>6</w:t>
                </w:r>
                <w:r>
                  <w:rPr>
                    <w:color w:val="000000" w:themeColor="text1"/>
                    <w:sz w:val="16"/>
                    <w:szCs w:val="16"/>
                  </w:rPr>
                  <w:t>．其他</w:t>
                </w:r>
              </w:p>
            </w:sdtContent>
          </w:sdt>
        </w:tc>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52" w:type="pct"/>
          </w:tcPr>
          <w:p w:rsidR="00156DD6" w:rsidRDefault="00156DD6">
            <w:pPr>
              <w:jc w:val="right"/>
              <w:rPr>
                <w:sz w:val="16"/>
                <w:szCs w:val="16"/>
              </w:rPr>
            </w:pPr>
          </w:p>
        </w:tc>
        <w:tc>
          <w:tcPr>
            <w:tcW w:w="405" w:type="pct"/>
          </w:tcPr>
          <w:p w:rsidR="00156DD6" w:rsidRDefault="00156DD6">
            <w:pPr>
              <w:jc w:val="right"/>
              <w:rPr>
                <w:sz w:val="16"/>
                <w:szCs w:val="16"/>
              </w:rPr>
            </w:pPr>
          </w:p>
        </w:tc>
        <w:tc>
          <w:tcPr>
            <w:tcW w:w="452" w:type="pct"/>
          </w:tcPr>
          <w:p w:rsidR="00156DD6" w:rsidRDefault="00156DD6">
            <w:pPr>
              <w:jc w:val="right"/>
              <w:rPr>
                <w:sz w:val="16"/>
                <w:szCs w:val="16"/>
              </w:rPr>
            </w:pPr>
          </w:p>
        </w:tc>
      </w:tr>
      <w:tr w:rsidR="00156DD6">
        <w:sdt>
          <w:sdtPr>
            <w:rPr>
              <w:sz w:val="16"/>
              <w:szCs w:val="16"/>
            </w:rPr>
            <w:tag w:val="_PLD_14d25c6e75074c52a0f884581cc84dba"/>
            <w:id w:val="601766549"/>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（五）专项储备</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vAlign w:val="center"/>
          </w:tcPr>
          <w:p w:rsidR="00156DD6" w:rsidRDefault="00D51F5F">
            <w:pPr>
              <w:jc w:val="right"/>
              <w:rPr>
                <w:sz w:val="16"/>
                <w:szCs w:val="16"/>
              </w:rPr>
            </w:pPr>
            <w:r>
              <w:rPr>
                <w:rFonts w:hint="eastAsia"/>
                <w:sz w:val="16"/>
                <w:szCs w:val="16"/>
              </w:rPr>
              <w:t xml:space="preserve"> 1,500,194.50 </w:t>
            </w: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1,500,194.50 </w:t>
            </w:r>
          </w:p>
        </w:tc>
        <w:tc>
          <w:tcPr>
            <w:tcW w:w="405"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1,500,194.50 </w:t>
            </w:r>
          </w:p>
        </w:tc>
      </w:tr>
      <w:tr w:rsidR="00156DD6">
        <w:sdt>
          <w:sdtPr>
            <w:rPr>
              <w:sz w:val="16"/>
              <w:szCs w:val="16"/>
            </w:rPr>
            <w:tag w:val="_PLD_672c666008dd4adfa2ab5933e9cd1671"/>
            <w:id w:val="-1258744275"/>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1</w:t>
                </w:r>
                <w:r>
                  <w:rPr>
                    <w:rFonts w:hint="eastAsia"/>
                    <w:color w:val="000000" w:themeColor="text1"/>
                    <w:sz w:val="16"/>
                    <w:szCs w:val="16"/>
                  </w:rPr>
                  <w:t>．本期提取</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vAlign w:val="center"/>
          </w:tcPr>
          <w:p w:rsidR="00156DD6" w:rsidRDefault="00D51F5F">
            <w:pPr>
              <w:jc w:val="right"/>
              <w:rPr>
                <w:sz w:val="16"/>
                <w:szCs w:val="16"/>
              </w:rPr>
            </w:pPr>
            <w:r>
              <w:rPr>
                <w:rFonts w:hint="eastAsia"/>
                <w:sz w:val="16"/>
                <w:szCs w:val="16"/>
              </w:rPr>
              <w:t xml:space="preserve"> 6,376,638.16 </w:t>
            </w: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6,376,638.16 </w:t>
            </w:r>
          </w:p>
        </w:tc>
        <w:tc>
          <w:tcPr>
            <w:tcW w:w="405"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6,376,638.16 </w:t>
            </w:r>
          </w:p>
        </w:tc>
      </w:tr>
      <w:tr w:rsidR="00156DD6">
        <w:sdt>
          <w:sdtPr>
            <w:rPr>
              <w:sz w:val="16"/>
              <w:szCs w:val="16"/>
            </w:rPr>
            <w:tag w:val="_PLD_810ec2533aac40f59079e8e8d20e52c3"/>
            <w:id w:val="132385412"/>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2</w:t>
                </w:r>
                <w:r>
                  <w:rPr>
                    <w:rFonts w:hint="eastAsia"/>
                    <w:color w:val="000000" w:themeColor="text1"/>
                    <w:sz w:val="16"/>
                    <w:szCs w:val="16"/>
                  </w:rPr>
                  <w:t>．本期使用</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vAlign w:val="center"/>
          </w:tcPr>
          <w:p w:rsidR="00156DD6" w:rsidRDefault="00D51F5F">
            <w:pPr>
              <w:jc w:val="right"/>
              <w:rPr>
                <w:sz w:val="16"/>
                <w:szCs w:val="16"/>
              </w:rPr>
            </w:pPr>
            <w:r>
              <w:rPr>
                <w:rFonts w:hint="eastAsia"/>
                <w:sz w:val="16"/>
                <w:szCs w:val="16"/>
              </w:rPr>
              <w:t xml:space="preserve"> -4,876,443.66 </w:t>
            </w: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-4,876,443.66 </w:t>
            </w:r>
          </w:p>
        </w:tc>
        <w:tc>
          <w:tcPr>
            <w:tcW w:w="405"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-4,876,443.66 </w:t>
            </w:r>
          </w:p>
        </w:tc>
      </w:tr>
      <w:tr w:rsidR="00156DD6">
        <w:sdt>
          <w:sdtPr>
            <w:rPr>
              <w:sz w:val="16"/>
              <w:szCs w:val="16"/>
            </w:rPr>
            <w:tag w:val="_PLD_f4bc69f9c7d34151a4b7a0d89088f0ee"/>
            <w:id w:val="-1538039747"/>
          </w:sdtPr>
          <w:sdtEndPr/>
          <w:sdtContent>
            <w:tc>
              <w:tcPr>
                <w:tcW w:w="253" w:type="pct"/>
                <w:vAlign w:val="center"/>
              </w:tcPr>
              <w:p w:rsidR="00156DD6" w:rsidRDefault="00D51F5F">
                <w:pPr>
                  <w:rPr>
                    <w:color w:val="000000" w:themeColor="text1"/>
                    <w:sz w:val="16"/>
                    <w:szCs w:val="16"/>
                  </w:rPr>
                </w:pPr>
                <w:r>
                  <w:rPr>
                    <w:rFonts w:hint="eastAsia"/>
                    <w:color w:val="000000" w:themeColor="text1"/>
                    <w:sz w:val="16"/>
                    <w:szCs w:val="16"/>
                  </w:rPr>
                  <w:t>（六）其他</w:t>
                </w:r>
              </w:p>
            </w:tc>
          </w:sdtContent>
        </w:sdt>
        <w:tc>
          <w:tcPr>
            <w:tcW w:w="404"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tcPr>
          <w:p w:rsidR="00156DD6" w:rsidRDefault="00156DD6">
            <w:pPr>
              <w:jc w:val="right"/>
              <w:rPr>
                <w:sz w:val="16"/>
                <w:szCs w:val="16"/>
              </w:rPr>
            </w:pPr>
          </w:p>
        </w:tc>
        <w:tc>
          <w:tcPr>
            <w:tcW w:w="382" w:type="pct"/>
          </w:tcPr>
          <w:p w:rsidR="00156DD6" w:rsidRDefault="00156DD6">
            <w:pPr>
              <w:jc w:val="right"/>
              <w:rPr>
                <w:sz w:val="16"/>
                <w:szCs w:val="16"/>
              </w:rPr>
            </w:pPr>
          </w:p>
        </w:tc>
        <w:tc>
          <w:tcPr>
            <w:tcW w:w="358" w:type="pct"/>
          </w:tcPr>
          <w:p w:rsidR="00156DD6" w:rsidRDefault="00156DD6">
            <w:pPr>
              <w:jc w:val="right"/>
              <w:rPr>
                <w:sz w:val="16"/>
                <w:szCs w:val="16"/>
              </w:rPr>
            </w:pPr>
          </w:p>
        </w:tc>
        <w:tc>
          <w:tcPr>
            <w:tcW w:w="38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131" w:type="pct"/>
            <w:vAlign w:val="center"/>
          </w:tcPr>
          <w:p w:rsidR="00156DD6" w:rsidRDefault="00156DD6">
            <w:pPr>
              <w:jc w:val="right"/>
              <w:rPr>
                <w:sz w:val="16"/>
                <w:szCs w:val="16"/>
              </w:rPr>
            </w:pPr>
          </w:p>
        </w:tc>
        <w:tc>
          <w:tcPr>
            <w:tcW w:w="452" w:type="pct"/>
            <w:vAlign w:val="center"/>
          </w:tcPr>
          <w:p w:rsidR="00156DD6" w:rsidRDefault="00156DD6">
            <w:pPr>
              <w:jc w:val="right"/>
              <w:rPr>
                <w:sz w:val="16"/>
                <w:szCs w:val="16"/>
              </w:rPr>
            </w:pPr>
          </w:p>
        </w:tc>
        <w:tc>
          <w:tcPr>
            <w:tcW w:w="405" w:type="pct"/>
            <w:vAlign w:val="center"/>
          </w:tcPr>
          <w:p w:rsidR="00156DD6" w:rsidRDefault="00156DD6">
            <w:pPr>
              <w:jc w:val="right"/>
              <w:rPr>
                <w:sz w:val="16"/>
                <w:szCs w:val="16"/>
              </w:rPr>
            </w:pPr>
          </w:p>
        </w:tc>
        <w:tc>
          <w:tcPr>
            <w:tcW w:w="452" w:type="pct"/>
            <w:vAlign w:val="center"/>
          </w:tcPr>
          <w:p w:rsidR="00156DD6" w:rsidRDefault="00D51F5F">
            <w:pPr>
              <w:jc w:val="right"/>
              <w:rPr>
                <w:sz w:val="16"/>
                <w:szCs w:val="16"/>
              </w:rPr>
            </w:pPr>
            <w:r>
              <w:rPr>
                <w:rFonts w:hint="eastAsia"/>
                <w:sz w:val="16"/>
                <w:szCs w:val="16"/>
              </w:rPr>
              <w:t xml:space="preserve">  </w:t>
            </w:r>
          </w:p>
        </w:tc>
      </w:tr>
      <w:tr w:rsidR="00156DD6">
        <w:sdt>
          <w:sdtPr>
            <w:rPr>
              <w:sz w:val="16"/>
              <w:szCs w:val="16"/>
            </w:rPr>
            <w:tag w:val="_PLD_033ca7ec3c1d4c1b905d0af57ca8a614"/>
            <w:id w:val="1462682391"/>
          </w:sdtPr>
          <w:sdtEndPr/>
          <w:sdtContent>
            <w:tc>
              <w:tcPr>
                <w:tcW w:w="253" w:type="pct"/>
                <w:vAlign w:val="center"/>
              </w:tcPr>
              <w:p w:rsidR="00156DD6" w:rsidRDefault="00D51F5F">
                <w:pPr>
                  <w:rPr>
                    <w:color w:val="000000" w:themeColor="text1"/>
                    <w:sz w:val="16"/>
                    <w:szCs w:val="16"/>
                  </w:rPr>
                </w:pPr>
                <w:r>
                  <w:rPr>
                    <w:color w:val="000000" w:themeColor="text1"/>
                    <w:sz w:val="16"/>
                    <w:szCs w:val="16"/>
                  </w:rPr>
                  <w:t>四、本期期末余额</w:t>
                </w:r>
              </w:p>
            </w:tc>
          </w:sdtContent>
        </w:sdt>
        <w:tc>
          <w:tcPr>
            <w:tcW w:w="404" w:type="pct"/>
          </w:tcPr>
          <w:p w:rsidR="00156DD6" w:rsidRDefault="00D51F5F">
            <w:pPr>
              <w:jc w:val="right"/>
              <w:rPr>
                <w:sz w:val="16"/>
                <w:szCs w:val="16"/>
              </w:rPr>
            </w:pPr>
            <w:r>
              <w:rPr>
                <w:rFonts w:hint="eastAsia"/>
                <w:sz w:val="16"/>
                <w:szCs w:val="16"/>
              </w:rPr>
              <w:t xml:space="preserve"> 333,167,407.00 </w:t>
            </w: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131" w:type="pct"/>
          </w:tcPr>
          <w:p w:rsidR="00156DD6" w:rsidRDefault="00156DD6">
            <w:pPr>
              <w:jc w:val="right"/>
              <w:rPr>
                <w:sz w:val="16"/>
                <w:szCs w:val="16"/>
              </w:rPr>
            </w:pPr>
          </w:p>
        </w:tc>
        <w:tc>
          <w:tcPr>
            <w:tcW w:w="405" w:type="pct"/>
            <w:vAlign w:val="center"/>
          </w:tcPr>
          <w:p w:rsidR="00156DD6" w:rsidRDefault="00D51F5F">
            <w:pPr>
              <w:jc w:val="right"/>
              <w:rPr>
                <w:sz w:val="16"/>
                <w:szCs w:val="16"/>
              </w:rPr>
            </w:pPr>
            <w:r>
              <w:rPr>
                <w:rFonts w:hint="eastAsia"/>
                <w:sz w:val="16"/>
                <w:szCs w:val="16"/>
              </w:rPr>
              <w:t xml:space="preserve">  984,591,585.56  </w:t>
            </w:r>
          </w:p>
        </w:tc>
        <w:tc>
          <w:tcPr>
            <w:tcW w:w="382" w:type="pct"/>
            <w:vAlign w:val="center"/>
          </w:tcPr>
          <w:p w:rsidR="00156DD6" w:rsidRDefault="00D51F5F">
            <w:pPr>
              <w:jc w:val="right"/>
              <w:rPr>
                <w:sz w:val="16"/>
                <w:szCs w:val="16"/>
              </w:rPr>
            </w:pPr>
            <w:r>
              <w:rPr>
                <w:rFonts w:hint="eastAsia"/>
                <w:sz w:val="16"/>
                <w:szCs w:val="16"/>
              </w:rPr>
              <w:t xml:space="preserve"> 26,392,941.28 </w:t>
            </w:r>
          </w:p>
        </w:tc>
        <w:tc>
          <w:tcPr>
            <w:tcW w:w="358" w:type="pct"/>
            <w:vAlign w:val="center"/>
          </w:tcPr>
          <w:p w:rsidR="00156DD6" w:rsidRDefault="00D51F5F">
            <w:pPr>
              <w:jc w:val="right"/>
              <w:rPr>
                <w:sz w:val="16"/>
                <w:szCs w:val="16"/>
              </w:rPr>
            </w:pPr>
            <w:r>
              <w:rPr>
                <w:rFonts w:hint="eastAsia"/>
                <w:sz w:val="16"/>
                <w:szCs w:val="16"/>
              </w:rPr>
              <w:t xml:space="preserve"> 2,353,714.82 </w:t>
            </w:r>
          </w:p>
        </w:tc>
        <w:tc>
          <w:tcPr>
            <w:tcW w:w="382" w:type="pct"/>
            <w:vAlign w:val="center"/>
          </w:tcPr>
          <w:p w:rsidR="00156DD6" w:rsidRDefault="00D51F5F">
            <w:pPr>
              <w:jc w:val="right"/>
              <w:rPr>
                <w:sz w:val="16"/>
                <w:szCs w:val="16"/>
              </w:rPr>
            </w:pPr>
            <w:r>
              <w:rPr>
                <w:rFonts w:hint="eastAsia"/>
                <w:sz w:val="16"/>
                <w:szCs w:val="16"/>
              </w:rPr>
              <w:t xml:space="preserve"> 23,940,755.78 </w:t>
            </w:r>
          </w:p>
        </w:tc>
        <w:tc>
          <w:tcPr>
            <w:tcW w:w="405" w:type="pct"/>
            <w:vAlign w:val="center"/>
          </w:tcPr>
          <w:p w:rsidR="00156DD6" w:rsidRDefault="00D51F5F">
            <w:pPr>
              <w:jc w:val="right"/>
              <w:rPr>
                <w:sz w:val="16"/>
                <w:szCs w:val="16"/>
              </w:rPr>
            </w:pPr>
            <w:r>
              <w:rPr>
                <w:rFonts w:hint="eastAsia"/>
                <w:sz w:val="16"/>
                <w:szCs w:val="16"/>
              </w:rPr>
              <w:t xml:space="preserve"> 122,195,454.42 </w:t>
            </w:r>
          </w:p>
        </w:tc>
        <w:tc>
          <w:tcPr>
            <w:tcW w:w="131" w:type="pct"/>
            <w:vAlign w:val="center"/>
          </w:tcPr>
          <w:p w:rsidR="00156DD6" w:rsidRDefault="00D51F5F">
            <w:pPr>
              <w:jc w:val="right"/>
              <w:rPr>
                <w:sz w:val="16"/>
                <w:szCs w:val="16"/>
              </w:rPr>
            </w:pPr>
            <w:r>
              <w:rPr>
                <w:rFonts w:hint="eastAsia"/>
                <w:sz w:val="16"/>
                <w:szCs w:val="16"/>
              </w:rPr>
              <w:t xml:space="preserve"> </w:t>
            </w:r>
          </w:p>
        </w:tc>
        <w:tc>
          <w:tcPr>
            <w:tcW w:w="452" w:type="pct"/>
            <w:vAlign w:val="center"/>
          </w:tcPr>
          <w:p w:rsidR="00156DD6" w:rsidRDefault="00D51F5F">
            <w:pPr>
              <w:jc w:val="right"/>
              <w:rPr>
                <w:sz w:val="16"/>
                <w:szCs w:val="16"/>
              </w:rPr>
            </w:pPr>
            <w:r>
              <w:rPr>
                <w:rFonts w:hint="eastAsia"/>
                <w:sz w:val="16"/>
                <w:szCs w:val="16"/>
              </w:rPr>
              <w:t xml:space="preserve">   1,041,450,527.58   </w:t>
            </w:r>
          </w:p>
        </w:tc>
        <w:tc>
          <w:tcPr>
            <w:tcW w:w="131" w:type="pct"/>
            <w:vAlign w:val="center"/>
          </w:tcPr>
          <w:p w:rsidR="00156DD6" w:rsidRDefault="00D51F5F">
            <w:pPr>
              <w:jc w:val="right"/>
              <w:rPr>
                <w:sz w:val="16"/>
                <w:szCs w:val="16"/>
              </w:rPr>
            </w:pPr>
            <w:r>
              <w:rPr>
                <w:rFonts w:hint="eastAsia"/>
                <w:sz w:val="16"/>
                <w:szCs w:val="16"/>
              </w:rPr>
              <w:t xml:space="preserve">   </w:t>
            </w:r>
          </w:p>
        </w:tc>
        <w:tc>
          <w:tcPr>
            <w:tcW w:w="452" w:type="pct"/>
            <w:vAlign w:val="center"/>
          </w:tcPr>
          <w:p w:rsidR="00156DD6" w:rsidRDefault="00D51F5F">
            <w:pPr>
              <w:jc w:val="right"/>
              <w:rPr>
                <w:sz w:val="16"/>
                <w:szCs w:val="16"/>
              </w:rPr>
            </w:pPr>
            <w:r>
              <w:rPr>
                <w:rFonts w:hint="eastAsia"/>
                <w:sz w:val="16"/>
                <w:szCs w:val="16"/>
              </w:rPr>
              <w:t xml:space="preserve">   2,481,306,503.88  </w:t>
            </w:r>
          </w:p>
        </w:tc>
        <w:tc>
          <w:tcPr>
            <w:tcW w:w="405" w:type="pct"/>
            <w:vAlign w:val="center"/>
          </w:tcPr>
          <w:p w:rsidR="00156DD6" w:rsidRDefault="00D51F5F">
            <w:pPr>
              <w:jc w:val="right"/>
              <w:rPr>
                <w:sz w:val="16"/>
                <w:szCs w:val="16"/>
              </w:rPr>
            </w:pPr>
            <w:r>
              <w:rPr>
                <w:rFonts w:hint="eastAsia"/>
                <w:sz w:val="16"/>
                <w:szCs w:val="16"/>
              </w:rPr>
              <w:t xml:space="preserve">  4,128,620.12 </w:t>
            </w:r>
          </w:p>
        </w:tc>
        <w:tc>
          <w:tcPr>
            <w:tcW w:w="452" w:type="pct"/>
            <w:vAlign w:val="center"/>
          </w:tcPr>
          <w:p w:rsidR="00156DD6" w:rsidRDefault="00D51F5F">
            <w:pPr>
              <w:jc w:val="right"/>
              <w:rPr>
                <w:sz w:val="16"/>
                <w:szCs w:val="16"/>
              </w:rPr>
            </w:pPr>
            <w:r>
              <w:rPr>
                <w:rFonts w:hint="eastAsia"/>
                <w:sz w:val="16"/>
                <w:szCs w:val="16"/>
              </w:rPr>
              <w:t xml:space="preserve">   2,485,435,124.00   </w:t>
            </w:r>
          </w:p>
        </w:tc>
      </w:tr>
      <w:bookmarkEnd w:id="173"/>
    </w:tbl>
    <w:p w:rsidR="00156DD6" w:rsidRDefault="00156DD6">
      <w:pPr>
        <w:snapToGrid w:val="0"/>
        <w:spacing w:line="240" w:lineRule="atLeast"/>
        <w:ind w:rightChars="-759" w:right="-1594"/>
        <w:rPr>
          <w:color w:val="000000" w:themeColor="text1"/>
        </w:rPr>
      </w:pPr>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151"/>
        <w:gridCol w:w="350"/>
        <w:gridCol w:w="349"/>
        <w:gridCol w:w="349"/>
        <w:gridCol w:w="1150"/>
        <w:gridCol w:w="1083"/>
        <w:gridCol w:w="1017"/>
        <w:gridCol w:w="1083"/>
        <w:gridCol w:w="1150"/>
        <w:gridCol w:w="349"/>
        <w:gridCol w:w="1150"/>
        <w:gridCol w:w="349"/>
        <w:gridCol w:w="1283"/>
        <w:gridCol w:w="1150"/>
        <w:gridCol w:w="1283"/>
      </w:tblGrid>
      <w:tr w:rsidR="00156DD6">
        <w:tc>
          <w:tcPr>
            <w:tcW w:w="659" w:type="pct"/>
            <w:vMerge w:val="restart"/>
            <w:vAlign w:val="center"/>
          </w:tcPr>
          <w:sdt>
            <w:sdtPr>
              <w:rPr>
                <w:sz w:val="16"/>
                <w:szCs w:val="16"/>
              </w:rPr>
              <w:tag w:val="_PLD_20eb9c9dd1e14fb0a0790f87b63a489d"/>
              <w:id w:val="-1297451224"/>
            </w:sdtPr>
            <w:sdtEndPr/>
            <w:sdtContent>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项目</w:t>
                </w:r>
              </w:p>
            </w:sdtContent>
          </w:sdt>
        </w:tc>
        <w:tc>
          <w:tcPr>
            <w:tcW w:w="4341" w:type="pct"/>
            <w:gridSpan w:val="15"/>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 xml:space="preserve"> </w:t>
            </w:r>
            <w:sdt>
              <w:sdtPr>
                <w:rPr>
                  <w:sz w:val="16"/>
                  <w:szCs w:val="16"/>
                </w:rPr>
                <w:tag w:val="_PLD_95c0e6e5f75a49daa1b601f67b7dd704"/>
                <w:id w:val="-2045589853"/>
              </w:sdtPr>
              <w:sdtEndPr/>
              <w:sdtContent>
                <w:r>
                  <w:rPr>
                    <w:rFonts w:hint="eastAsia"/>
                    <w:color w:val="000000" w:themeColor="text1"/>
                    <w:sz w:val="16"/>
                    <w:szCs w:val="16"/>
                  </w:rPr>
                  <w:t>2024</w:t>
                </w:r>
                <w:r>
                  <w:rPr>
                    <w:rFonts w:hint="eastAsia"/>
                    <w:color w:val="000000" w:themeColor="text1"/>
                    <w:sz w:val="16"/>
                    <w:szCs w:val="16"/>
                  </w:rPr>
                  <w:t>年半年度</w:t>
                </w:r>
              </w:sdtContent>
            </w:sdt>
          </w:p>
        </w:tc>
      </w:tr>
      <w:tr w:rsidR="00156DD6">
        <w:trPr>
          <w:trHeight w:val="471"/>
        </w:trPr>
        <w:tc>
          <w:tcPr>
            <w:tcW w:w="659" w:type="pct"/>
            <w:vMerge/>
            <w:vAlign w:val="center"/>
          </w:tcPr>
          <w:p w:rsidR="00156DD6" w:rsidRDefault="00156DD6">
            <w:pPr>
              <w:snapToGrid w:val="0"/>
              <w:spacing w:line="240" w:lineRule="atLeast"/>
              <w:ind w:rightChars="-759" w:right="-1594"/>
              <w:rPr>
                <w:color w:val="000000" w:themeColor="text1"/>
                <w:sz w:val="16"/>
                <w:szCs w:val="16"/>
              </w:rPr>
            </w:pPr>
          </w:p>
        </w:tc>
        <w:sdt>
          <w:sdtPr>
            <w:rPr>
              <w:sz w:val="16"/>
              <w:szCs w:val="16"/>
            </w:rPr>
            <w:tag w:val="_PLD_3c5d65171933469ea16eac46afc03a54"/>
            <w:id w:val="-1085224444"/>
          </w:sdtPr>
          <w:sdtEndPr/>
          <w:sdtContent>
            <w:tc>
              <w:tcPr>
                <w:tcW w:w="3606" w:type="pct"/>
                <w:gridSpan w:val="13"/>
                <w:vAlign w:val="center"/>
              </w:tcPr>
              <w:p w:rsidR="00156DD6" w:rsidRDefault="00D51F5F">
                <w:pPr>
                  <w:jc w:val="center"/>
                  <w:rPr>
                    <w:color w:val="000000" w:themeColor="text1"/>
                    <w:sz w:val="16"/>
                    <w:szCs w:val="16"/>
                  </w:rPr>
                </w:pPr>
                <w:r>
                  <w:rPr>
                    <w:color w:val="000000" w:themeColor="text1"/>
                    <w:sz w:val="16"/>
                    <w:szCs w:val="16"/>
                  </w:rPr>
                  <w:t>归属于母公司所有者权益</w:t>
                </w:r>
              </w:p>
            </w:tc>
          </w:sdtContent>
        </w:sdt>
        <w:sdt>
          <w:sdtPr>
            <w:rPr>
              <w:sz w:val="16"/>
              <w:szCs w:val="16"/>
            </w:rPr>
            <w:tag w:val="_PLD_ba7b1c99b1634f48939c500d6c46ce09"/>
            <w:id w:val="-356968328"/>
          </w:sdtPr>
          <w:sdtEndPr/>
          <w:sdtContent>
            <w:tc>
              <w:tcPr>
                <w:tcW w:w="351" w:type="pct"/>
                <w:vMerge w:val="restart"/>
                <w:vAlign w:val="center"/>
              </w:tcPr>
              <w:p w:rsidR="00156DD6" w:rsidRDefault="00D51F5F">
                <w:pPr>
                  <w:jc w:val="center"/>
                  <w:rPr>
                    <w:color w:val="000000" w:themeColor="text1"/>
                    <w:sz w:val="16"/>
                    <w:szCs w:val="16"/>
                  </w:rPr>
                </w:pPr>
                <w:r>
                  <w:rPr>
                    <w:color w:val="000000" w:themeColor="text1"/>
                    <w:sz w:val="16"/>
                    <w:szCs w:val="16"/>
                  </w:rPr>
                  <w:t>少数股东权益</w:t>
                </w:r>
              </w:p>
            </w:tc>
          </w:sdtContent>
        </w:sdt>
        <w:sdt>
          <w:sdtPr>
            <w:rPr>
              <w:sz w:val="16"/>
              <w:szCs w:val="16"/>
            </w:rPr>
            <w:tag w:val="_PLD_fb367567c5f141a5863649df07435b71"/>
            <w:id w:val="233670174"/>
          </w:sdtPr>
          <w:sdtEndPr/>
          <w:sdtContent>
            <w:tc>
              <w:tcPr>
                <w:tcW w:w="385" w:type="pct"/>
                <w:vMerge w:val="restart"/>
                <w:vAlign w:val="center"/>
              </w:tcPr>
              <w:p w:rsidR="00156DD6" w:rsidRDefault="00D51F5F">
                <w:pPr>
                  <w:jc w:val="center"/>
                  <w:rPr>
                    <w:color w:val="000000" w:themeColor="text1"/>
                    <w:sz w:val="16"/>
                    <w:szCs w:val="16"/>
                  </w:rPr>
                </w:pPr>
                <w:r>
                  <w:rPr>
                    <w:color w:val="000000" w:themeColor="text1"/>
                    <w:sz w:val="16"/>
                    <w:szCs w:val="16"/>
                  </w:rPr>
                  <w:t>所有者权益合计</w:t>
                </w:r>
              </w:p>
            </w:tc>
          </w:sdtContent>
        </w:sdt>
      </w:tr>
      <w:tr w:rsidR="00156DD6">
        <w:trPr>
          <w:trHeight w:val="383"/>
        </w:trPr>
        <w:tc>
          <w:tcPr>
            <w:tcW w:w="659" w:type="pct"/>
            <w:vMerge/>
            <w:vAlign w:val="center"/>
          </w:tcPr>
          <w:p w:rsidR="00156DD6" w:rsidRDefault="00156DD6">
            <w:pPr>
              <w:snapToGrid w:val="0"/>
              <w:spacing w:line="240" w:lineRule="atLeast"/>
              <w:ind w:rightChars="-759" w:right="-1594"/>
              <w:rPr>
                <w:color w:val="000000" w:themeColor="text1"/>
                <w:sz w:val="16"/>
                <w:szCs w:val="16"/>
              </w:rPr>
            </w:pPr>
          </w:p>
        </w:tc>
        <w:sdt>
          <w:sdtPr>
            <w:rPr>
              <w:sz w:val="16"/>
              <w:szCs w:val="16"/>
            </w:rPr>
            <w:tag w:val="_PLD_36b3a5c009c04b53b0bd25afc2596e7e"/>
            <w:id w:val="-2139788567"/>
          </w:sdtPr>
          <w:sdtEndPr/>
          <w:sdtContent>
            <w:tc>
              <w:tcPr>
                <w:tcW w:w="268"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实收资本</w:t>
                </w:r>
                <w:r>
                  <w:rPr>
                    <w:color w:val="000000" w:themeColor="text1"/>
                    <w:sz w:val="16"/>
                    <w:szCs w:val="16"/>
                  </w:rPr>
                  <w:t>(</w:t>
                </w:r>
                <w:r>
                  <w:rPr>
                    <w:color w:val="000000" w:themeColor="text1"/>
                    <w:sz w:val="16"/>
                    <w:szCs w:val="16"/>
                  </w:rPr>
                  <w:t>或股本</w:t>
                </w:r>
                <w:r>
                  <w:rPr>
                    <w:color w:val="000000" w:themeColor="text1"/>
                    <w:sz w:val="16"/>
                    <w:szCs w:val="16"/>
                  </w:rPr>
                  <w:t>)</w:t>
                </w:r>
              </w:p>
            </w:tc>
          </w:sdtContent>
        </w:sdt>
        <w:sdt>
          <w:sdtPr>
            <w:rPr>
              <w:sz w:val="16"/>
              <w:szCs w:val="16"/>
            </w:rPr>
            <w:tag w:val="_PLD_c0579a9940424a129a85d26955bb30bc"/>
            <w:id w:val="-919874716"/>
          </w:sdtPr>
          <w:sdtEndPr/>
          <w:sdtContent>
            <w:tc>
              <w:tcPr>
                <w:tcW w:w="806" w:type="pct"/>
                <w:gridSpan w:val="3"/>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其他权益工具</w:t>
                </w:r>
              </w:p>
            </w:tc>
          </w:sdtContent>
        </w:sdt>
        <w:sdt>
          <w:sdtPr>
            <w:rPr>
              <w:sz w:val="16"/>
              <w:szCs w:val="16"/>
            </w:rPr>
            <w:tag w:val="_PLD_f728bf12d1d64c4fa04dfc828a7a0411"/>
            <w:id w:val="380059228"/>
          </w:sdtPr>
          <w:sdtEndPr/>
          <w:sdtContent>
            <w:tc>
              <w:tcPr>
                <w:tcW w:w="269"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资本公积</w:t>
                </w:r>
              </w:p>
            </w:tc>
          </w:sdtContent>
        </w:sdt>
        <w:sdt>
          <w:sdtPr>
            <w:rPr>
              <w:sz w:val="16"/>
              <w:szCs w:val="16"/>
            </w:rPr>
            <w:tag w:val="_PLD_8c191e0685ac4367b113504c484a11e9"/>
            <w:id w:val="-1385791947"/>
          </w:sdtPr>
          <w:sdtEndPr/>
          <w:sdtContent>
            <w:tc>
              <w:tcPr>
                <w:tcW w:w="269"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减：库存股</w:t>
                </w:r>
              </w:p>
            </w:tc>
          </w:sdtContent>
        </w:sdt>
        <w:sdt>
          <w:sdtPr>
            <w:rPr>
              <w:sz w:val="16"/>
              <w:szCs w:val="16"/>
            </w:rPr>
            <w:tag w:val="_PLD_68ae3206209542ea8491f40d49bafeb7"/>
            <w:id w:val="43493368"/>
          </w:sdtPr>
          <w:sdtEndPr/>
          <w:sdtContent>
            <w:tc>
              <w:tcPr>
                <w:tcW w:w="269"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其他综合收益</w:t>
                </w:r>
              </w:p>
            </w:tc>
          </w:sdtContent>
        </w:sdt>
        <w:sdt>
          <w:sdtPr>
            <w:rPr>
              <w:sz w:val="16"/>
              <w:szCs w:val="16"/>
            </w:rPr>
            <w:tag w:val="_PLD_6402f064d7a041d58973d8b8205096d0"/>
            <w:id w:val="947123230"/>
          </w:sdtPr>
          <w:sdtEndPr/>
          <w:sdtContent>
            <w:tc>
              <w:tcPr>
                <w:tcW w:w="269"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专项储备</w:t>
                </w:r>
              </w:p>
            </w:tc>
          </w:sdtContent>
        </w:sdt>
        <w:sdt>
          <w:sdtPr>
            <w:rPr>
              <w:sz w:val="16"/>
              <w:szCs w:val="16"/>
            </w:rPr>
            <w:tag w:val="_PLD_b1d22d8686164205bfa14ef647cebfcd"/>
            <w:id w:val="-1669705504"/>
          </w:sdtPr>
          <w:sdtEndPr/>
          <w:sdtContent>
            <w:tc>
              <w:tcPr>
                <w:tcW w:w="269"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盈余公积</w:t>
                </w:r>
              </w:p>
            </w:tc>
          </w:sdtContent>
        </w:sdt>
        <w:sdt>
          <w:sdtPr>
            <w:rPr>
              <w:sz w:val="16"/>
              <w:szCs w:val="16"/>
            </w:rPr>
            <w:tag w:val="_PLD_c5c57d0195b14864b413898a9c76e89d"/>
            <w:id w:val="-98332079"/>
          </w:sdtPr>
          <w:sdtEndPr/>
          <w:sdtContent>
            <w:tc>
              <w:tcPr>
                <w:tcW w:w="269"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一般风险准备</w:t>
                </w:r>
              </w:p>
            </w:tc>
          </w:sdtContent>
        </w:sdt>
        <w:sdt>
          <w:sdtPr>
            <w:rPr>
              <w:sz w:val="16"/>
              <w:szCs w:val="16"/>
            </w:rPr>
            <w:tag w:val="_PLD_c9bffd2027d24ca1955db036ad79f5ea"/>
            <w:id w:val="-1774157489"/>
          </w:sdtPr>
          <w:sdtEndPr/>
          <w:sdtContent>
            <w:tc>
              <w:tcPr>
                <w:tcW w:w="313" w:type="pct"/>
                <w:vMerge w:val="restart"/>
                <w:vAlign w:val="center"/>
              </w:tcPr>
              <w:p w:rsidR="00156DD6" w:rsidRDefault="00D51F5F">
                <w:pPr>
                  <w:snapToGrid w:val="0"/>
                  <w:spacing w:line="240" w:lineRule="atLeast"/>
                  <w:jc w:val="center"/>
                  <w:rPr>
                    <w:color w:val="000000" w:themeColor="text1"/>
                    <w:sz w:val="16"/>
                    <w:szCs w:val="16"/>
                  </w:rPr>
                </w:pPr>
                <w:r>
                  <w:rPr>
                    <w:rFonts w:hint="eastAsia"/>
                    <w:color w:val="000000" w:themeColor="text1"/>
                    <w:sz w:val="16"/>
                    <w:szCs w:val="16"/>
                  </w:rPr>
                  <w:t>未分配利润</w:t>
                </w:r>
              </w:p>
            </w:tc>
          </w:sdtContent>
        </w:sdt>
        <w:tc>
          <w:tcPr>
            <w:tcW w:w="309" w:type="pct"/>
            <w:vMerge w:val="restart"/>
            <w:vAlign w:val="center"/>
          </w:tcPr>
          <w:sdt>
            <w:sdtPr>
              <w:rPr>
                <w:sz w:val="16"/>
                <w:szCs w:val="16"/>
              </w:rPr>
              <w:tag w:val="_PLD_de6da1e2128f48e49564e44af75ff7ab"/>
              <w:id w:val="-851946972"/>
            </w:sdtPr>
            <w:sdtEndPr/>
            <w:sdtContent>
              <w:sdt>
                <w:sdtPr>
                  <w:rPr>
                    <w:sz w:val="16"/>
                    <w:szCs w:val="16"/>
                  </w:rPr>
                  <w:tag w:val="_PLD_ff5e808cf3794086a9aee4c489a9f6eb"/>
                  <w:id w:val="431326124"/>
                </w:sdtPr>
                <w:sdtEndPr/>
                <w:sdtContent>
                  <w:p w:rsidR="00156DD6" w:rsidRDefault="00D51F5F">
                    <w:pPr>
                      <w:jc w:val="center"/>
                      <w:rPr>
                        <w:color w:val="000000" w:themeColor="text1"/>
                        <w:sz w:val="16"/>
                        <w:szCs w:val="16"/>
                      </w:rPr>
                    </w:pPr>
                    <w:r>
                      <w:rPr>
                        <w:rFonts w:hint="eastAsia"/>
                        <w:color w:val="000000" w:themeColor="text1"/>
                        <w:sz w:val="16"/>
                        <w:szCs w:val="16"/>
                      </w:rPr>
                      <w:t>其他</w:t>
                    </w:r>
                  </w:p>
                </w:sdtContent>
              </w:sdt>
            </w:sdtContent>
          </w:sdt>
        </w:tc>
        <w:tc>
          <w:tcPr>
            <w:tcW w:w="295" w:type="pct"/>
            <w:vMerge w:val="restart"/>
            <w:vAlign w:val="center"/>
          </w:tcPr>
          <w:sdt>
            <w:sdtPr>
              <w:rPr>
                <w:sz w:val="16"/>
                <w:szCs w:val="16"/>
              </w:rPr>
              <w:tag w:val="_PLD_e6df9793a438430a8df9730b2cdd8a99"/>
              <w:id w:val="2064436961"/>
            </w:sdtPr>
            <w:sdtEndPr/>
            <w:sdtContent>
              <w:p w:rsidR="00156DD6" w:rsidRDefault="00D51F5F">
                <w:pPr>
                  <w:jc w:val="center"/>
                  <w:rPr>
                    <w:color w:val="000000" w:themeColor="text1"/>
                    <w:sz w:val="16"/>
                    <w:szCs w:val="16"/>
                  </w:rPr>
                </w:pPr>
                <w:r>
                  <w:rPr>
                    <w:rFonts w:hint="eastAsia"/>
                    <w:color w:val="000000" w:themeColor="text1"/>
                    <w:sz w:val="16"/>
                    <w:szCs w:val="16"/>
                  </w:rPr>
                  <w:t>小计</w:t>
                </w:r>
              </w:p>
            </w:sdtContent>
          </w:sdt>
        </w:tc>
        <w:tc>
          <w:tcPr>
            <w:tcW w:w="351" w:type="pct"/>
            <w:vMerge/>
            <w:vAlign w:val="center"/>
          </w:tcPr>
          <w:p w:rsidR="00156DD6" w:rsidRDefault="00156DD6">
            <w:pPr>
              <w:jc w:val="center"/>
              <w:rPr>
                <w:color w:val="000000" w:themeColor="text1"/>
                <w:sz w:val="16"/>
                <w:szCs w:val="16"/>
              </w:rPr>
            </w:pPr>
          </w:p>
        </w:tc>
        <w:tc>
          <w:tcPr>
            <w:tcW w:w="385" w:type="pct"/>
            <w:vMerge/>
            <w:vAlign w:val="center"/>
          </w:tcPr>
          <w:p w:rsidR="00156DD6" w:rsidRDefault="00156DD6">
            <w:pPr>
              <w:jc w:val="center"/>
              <w:rPr>
                <w:color w:val="000000" w:themeColor="text1"/>
                <w:sz w:val="16"/>
                <w:szCs w:val="16"/>
              </w:rPr>
            </w:pPr>
          </w:p>
        </w:tc>
      </w:tr>
      <w:tr w:rsidR="00156DD6">
        <w:trPr>
          <w:trHeight w:val="303"/>
        </w:trPr>
        <w:tc>
          <w:tcPr>
            <w:tcW w:w="659" w:type="pct"/>
            <w:vMerge/>
            <w:vAlign w:val="center"/>
          </w:tcPr>
          <w:p w:rsidR="00156DD6" w:rsidRDefault="00156DD6">
            <w:pPr>
              <w:snapToGrid w:val="0"/>
              <w:spacing w:line="240" w:lineRule="atLeast"/>
              <w:ind w:rightChars="-759" w:right="-1594"/>
              <w:rPr>
                <w:color w:val="000000" w:themeColor="text1"/>
                <w:sz w:val="16"/>
                <w:szCs w:val="16"/>
              </w:rPr>
            </w:pPr>
          </w:p>
        </w:tc>
        <w:tc>
          <w:tcPr>
            <w:tcW w:w="268" w:type="pct"/>
            <w:vMerge/>
            <w:vAlign w:val="center"/>
          </w:tcPr>
          <w:p w:rsidR="00156DD6" w:rsidRDefault="00156DD6">
            <w:pPr>
              <w:snapToGrid w:val="0"/>
              <w:spacing w:line="240" w:lineRule="atLeast"/>
              <w:jc w:val="center"/>
              <w:rPr>
                <w:color w:val="000000" w:themeColor="text1"/>
                <w:sz w:val="16"/>
                <w:szCs w:val="16"/>
              </w:rPr>
            </w:pPr>
          </w:p>
        </w:tc>
        <w:sdt>
          <w:sdtPr>
            <w:rPr>
              <w:sz w:val="16"/>
              <w:szCs w:val="16"/>
            </w:rPr>
            <w:tag w:val="_PLD_052ae87eff474159aaedec0c5ce4bb50"/>
            <w:id w:val="136393693"/>
          </w:sdtPr>
          <w:sdtEndPr/>
          <w:sdtContent>
            <w:tc>
              <w:tcPr>
                <w:tcW w:w="268" w:type="pct"/>
                <w:vAlign w:val="center"/>
              </w:tcPr>
              <w:p w:rsidR="00156DD6" w:rsidRDefault="00D51F5F">
                <w:pPr>
                  <w:jc w:val="center"/>
                  <w:rPr>
                    <w:color w:val="000000" w:themeColor="text1"/>
                    <w:sz w:val="16"/>
                    <w:szCs w:val="16"/>
                  </w:rPr>
                </w:pPr>
                <w:r>
                  <w:rPr>
                    <w:rFonts w:hint="eastAsia"/>
                    <w:color w:val="000000" w:themeColor="text1"/>
                    <w:sz w:val="16"/>
                    <w:szCs w:val="16"/>
                  </w:rPr>
                  <w:t>优先股</w:t>
                </w:r>
              </w:p>
            </w:tc>
          </w:sdtContent>
        </w:sdt>
        <w:sdt>
          <w:sdtPr>
            <w:rPr>
              <w:sz w:val="16"/>
              <w:szCs w:val="16"/>
            </w:rPr>
            <w:tag w:val="_PLD_f40d311f528a48d8a47457e11ad5ccd5"/>
            <w:id w:val="-443068678"/>
          </w:sdtPr>
          <w:sdtEndPr/>
          <w:sdtContent>
            <w:tc>
              <w:tcPr>
                <w:tcW w:w="269" w:type="pct"/>
                <w:vAlign w:val="center"/>
              </w:tcPr>
              <w:p w:rsidR="00156DD6" w:rsidRDefault="00D51F5F">
                <w:pPr>
                  <w:jc w:val="center"/>
                  <w:rPr>
                    <w:color w:val="000000" w:themeColor="text1"/>
                    <w:sz w:val="16"/>
                    <w:szCs w:val="16"/>
                  </w:rPr>
                </w:pPr>
                <w:r>
                  <w:rPr>
                    <w:rFonts w:hint="eastAsia"/>
                    <w:color w:val="000000" w:themeColor="text1"/>
                    <w:sz w:val="16"/>
                    <w:szCs w:val="16"/>
                  </w:rPr>
                  <w:t>永续债</w:t>
                </w:r>
              </w:p>
            </w:tc>
          </w:sdtContent>
        </w:sdt>
        <w:sdt>
          <w:sdtPr>
            <w:rPr>
              <w:sz w:val="16"/>
              <w:szCs w:val="16"/>
            </w:rPr>
            <w:tag w:val="_PLD_90f98adf8eaf44078005d57f570c4291"/>
            <w:id w:val="519284918"/>
          </w:sdtPr>
          <w:sdtEndPr/>
          <w:sdtContent>
            <w:tc>
              <w:tcPr>
                <w:tcW w:w="269" w:type="pct"/>
                <w:vAlign w:val="center"/>
              </w:tcPr>
              <w:p w:rsidR="00156DD6" w:rsidRDefault="00D51F5F">
                <w:pPr>
                  <w:jc w:val="center"/>
                  <w:rPr>
                    <w:color w:val="000000" w:themeColor="text1"/>
                    <w:sz w:val="16"/>
                    <w:szCs w:val="16"/>
                  </w:rPr>
                </w:pPr>
                <w:r>
                  <w:rPr>
                    <w:rFonts w:hint="eastAsia"/>
                    <w:color w:val="000000" w:themeColor="text1"/>
                    <w:sz w:val="16"/>
                    <w:szCs w:val="16"/>
                  </w:rPr>
                  <w:t>其他</w:t>
                </w:r>
              </w:p>
            </w:tc>
          </w:sdtContent>
        </w:sdt>
        <w:tc>
          <w:tcPr>
            <w:tcW w:w="269" w:type="pct"/>
            <w:vMerge/>
            <w:vAlign w:val="center"/>
          </w:tcPr>
          <w:p w:rsidR="00156DD6" w:rsidRDefault="00156DD6">
            <w:pPr>
              <w:snapToGrid w:val="0"/>
              <w:spacing w:line="240" w:lineRule="atLeast"/>
              <w:jc w:val="center"/>
              <w:rPr>
                <w:color w:val="000000" w:themeColor="text1"/>
                <w:sz w:val="16"/>
                <w:szCs w:val="16"/>
              </w:rPr>
            </w:pPr>
          </w:p>
        </w:tc>
        <w:tc>
          <w:tcPr>
            <w:tcW w:w="269" w:type="pct"/>
            <w:vMerge/>
            <w:vAlign w:val="center"/>
          </w:tcPr>
          <w:p w:rsidR="00156DD6" w:rsidRDefault="00156DD6">
            <w:pPr>
              <w:snapToGrid w:val="0"/>
              <w:spacing w:line="240" w:lineRule="atLeast"/>
              <w:jc w:val="center"/>
              <w:rPr>
                <w:color w:val="000000" w:themeColor="text1"/>
                <w:sz w:val="16"/>
                <w:szCs w:val="16"/>
              </w:rPr>
            </w:pPr>
          </w:p>
        </w:tc>
        <w:tc>
          <w:tcPr>
            <w:tcW w:w="269" w:type="pct"/>
            <w:vMerge/>
            <w:vAlign w:val="center"/>
          </w:tcPr>
          <w:p w:rsidR="00156DD6" w:rsidRDefault="00156DD6">
            <w:pPr>
              <w:snapToGrid w:val="0"/>
              <w:spacing w:line="240" w:lineRule="atLeast"/>
              <w:jc w:val="center"/>
              <w:rPr>
                <w:color w:val="000000" w:themeColor="text1"/>
                <w:sz w:val="16"/>
                <w:szCs w:val="16"/>
              </w:rPr>
            </w:pPr>
          </w:p>
        </w:tc>
        <w:tc>
          <w:tcPr>
            <w:tcW w:w="269" w:type="pct"/>
            <w:vMerge/>
            <w:vAlign w:val="center"/>
          </w:tcPr>
          <w:p w:rsidR="00156DD6" w:rsidRDefault="00156DD6">
            <w:pPr>
              <w:snapToGrid w:val="0"/>
              <w:spacing w:line="240" w:lineRule="atLeast"/>
              <w:jc w:val="center"/>
              <w:rPr>
                <w:color w:val="000000" w:themeColor="text1"/>
                <w:sz w:val="16"/>
                <w:szCs w:val="16"/>
              </w:rPr>
            </w:pPr>
          </w:p>
        </w:tc>
        <w:tc>
          <w:tcPr>
            <w:tcW w:w="269" w:type="pct"/>
            <w:vMerge/>
            <w:vAlign w:val="center"/>
          </w:tcPr>
          <w:p w:rsidR="00156DD6" w:rsidRDefault="00156DD6">
            <w:pPr>
              <w:snapToGrid w:val="0"/>
              <w:spacing w:line="240" w:lineRule="atLeast"/>
              <w:jc w:val="center"/>
              <w:rPr>
                <w:color w:val="000000" w:themeColor="text1"/>
                <w:sz w:val="16"/>
                <w:szCs w:val="16"/>
              </w:rPr>
            </w:pPr>
          </w:p>
        </w:tc>
        <w:tc>
          <w:tcPr>
            <w:tcW w:w="269" w:type="pct"/>
            <w:vMerge/>
            <w:vAlign w:val="center"/>
          </w:tcPr>
          <w:p w:rsidR="00156DD6" w:rsidRDefault="00156DD6">
            <w:pPr>
              <w:snapToGrid w:val="0"/>
              <w:spacing w:line="240" w:lineRule="atLeast"/>
              <w:jc w:val="center"/>
              <w:rPr>
                <w:color w:val="000000" w:themeColor="text1"/>
                <w:sz w:val="16"/>
                <w:szCs w:val="16"/>
              </w:rPr>
            </w:pPr>
          </w:p>
        </w:tc>
        <w:tc>
          <w:tcPr>
            <w:tcW w:w="313" w:type="pct"/>
            <w:vMerge/>
            <w:vAlign w:val="center"/>
          </w:tcPr>
          <w:p w:rsidR="00156DD6" w:rsidRDefault="00156DD6">
            <w:pPr>
              <w:snapToGrid w:val="0"/>
              <w:spacing w:line="240" w:lineRule="atLeast"/>
              <w:jc w:val="center"/>
              <w:rPr>
                <w:color w:val="000000" w:themeColor="text1"/>
                <w:sz w:val="16"/>
                <w:szCs w:val="16"/>
              </w:rPr>
            </w:pPr>
          </w:p>
        </w:tc>
        <w:tc>
          <w:tcPr>
            <w:tcW w:w="309" w:type="pct"/>
            <w:vMerge/>
            <w:vAlign w:val="center"/>
          </w:tcPr>
          <w:p w:rsidR="00156DD6" w:rsidRDefault="00156DD6">
            <w:pPr>
              <w:jc w:val="center"/>
              <w:rPr>
                <w:color w:val="000000" w:themeColor="text1"/>
                <w:sz w:val="16"/>
                <w:szCs w:val="16"/>
              </w:rPr>
            </w:pPr>
          </w:p>
        </w:tc>
        <w:tc>
          <w:tcPr>
            <w:tcW w:w="295" w:type="pct"/>
            <w:vMerge/>
            <w:vAlign w:val="center"/>
          </w:tcPr>
          <w:p w:rsidR="00156DD6" w:rsidRDefault="00156DD6">
            <w:pPr>
              <w:jc w:val="center"/>
              <w:rPr>
                <w:color w:val="000000" w:themeColor="text1"/>
                <w:sz w:val="16"/>
                <w:szCs w:val="16"/>
              </w:rPr>
            </w:pPr>
          </w:p>
        </w:tc>
        <w:tc>
          <w:tcPr>
            <w:tcW w:w="351" w:type="pct"/>
            <w:vMerge/>
            <w:vAlign w:val="center"/>
          </w:tcPr>
          <w:p w:rsidR="00156DD6" w:rsidRDefault="00156DD6">
            <w:pPr>
              <w:jc w:val="center"/>
              <w:rPr>
                <w:color w:val="000000" w:themeColor="text1"/>
                <w:sz w:val="16"/>
                <w:szCs w:val="16"/>
              </w:rPr>
            </w:pPr>
          </w:p>
        </w:tc>
        <w:tc>
          <w:tcPr>
            <w:tcW w:w="385" w:type="pct"/>
            <w:vMerge/>
            <w:tcBorders>
              <w:bottom w:val="nil"/>
            </w:tcBorders>
            <w:vAlign w:val="center"/>
          </w:tcPr>
          <w:p w:rsidR="00156DD6" w:rsidRDefault="00156DD6">
            <w:pPr>
              <w:jc w:val="center"/>
              <w:rPr>
                <w:color w:val="000000" w:themeColor="text1"/>
                <w:sz w:val="16"/>
                <w:szCs w:val="16"/>
              </w:rPr>
            </w:pPr>
          </w:p>
        </w:tc>
      </w:tr>
      <w:tr w:rsidR="00156DD6">
        <w:sdt>
          <w:sdtPr>
            <w:rPr>
              <w:sz w:val="16"/>
              <w:szCs w:val="16"/>
            </w:rPr>
            <w:tag w:val="_PLD_7e9607e7cfb34d74bf0fce08e0866d34"/>
            <w:id w:val="-1648967450"/>
          </w:sdtPr>
          <w:sdtEndPr/>
          <w:sdtContent>
            <w:tc>
              <w:tcPr>
                <w:tcW w:w="659" w:type="pct"/>
                <w:vAlign w:val="center"/>
              </w:tcPr>
              <w:p w:rsidR="00156DD6" w:rsidRDefault="00D51F5F">
                <w:pPr>
                  <w:rPr>
                    <w:color w:val="000000" w:themeColor="text1"/>
                    <w:sz w:val="16"/>
                    <w:szCs w:val="16"/>
                  </w:rPr>
                </w:pPr>
                <w:r>
                  <w:rPr>
                    <w:color w:val="000000" w:themeColor="text1"/>
                    <w:sz w:val="16"/>
                    <w:szCs w:val="16"/>
                  </w:rPr>
                  <w:t>一、上年</w:t>
                </w:r>
                <w:r>
                  <w:rPr>
                    <w:rFonts w:hint="eastAsia"/>
                    <w:color w:val="000000" w:themeColor="text1"/>
                    <w:sz w:val="16"/>
                    <w:szCs w:val="16"/>
                  </w:rPr>
                  <w:t>期</w:t>
                </w:r>
                <w:r>
                  <w:rPr>
                    <w:color w:val="000000" w:themeColor="text1"/>
                    <w:sz w:val="16"/>
                    <w:szCs w:val="16"/>
                  </w:rPr>
                  <w:t>末余额</w:t>
                </w:r>
              </w:p>
            </w:tc>
          </w:sdtContent>
        </w:sdt>
        <w:tc>
          <w:tcPr>
            <w:tcW w:w="268" w:type="pct"/>
            <w:vAlign w:val="center"/>
          </w:tcPr>
          <w:p w:rsidR="00156DD6" w:rsidRDefault="00D51F5F">
            <w:pPr>
              <w:jc w:val="right"/>
              <w:rPr>
                <w:sz w:val="16"/>
                <w:szCs w:val="16"/>
              </w:rPr>
            </w:pPr>
            <w:r>
              <w:rPr>
                <w:sz w:val="16"/>
                <w:szCs w:val="16"/>
              </w:rPr>
              <w:t xml:space="preserve"> 333,167,407.00 </w:t>
            </w: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975,698,666.95 </w:t>
            </w:r>
          </w:p>
        </w:tc>
        <w:tc>
          <w:tcPr>
            <w:tcW w:w="269" w:type="pct"/>
            <w:vAlign w:val="center"/>
          </w:tcPr>
          <w:p w:rsidR="00156DD6" w:rsidRDefault="00D51F5F">
            <w:pPr>
              <w:jc w:val="right"/>
              <w:rPr>
                <w:sz w:val="16"/>
                <w:szCs w:val="16"/>
              </w:rPr>
            </w:pPr>
            <w:r>
              <w:rPr>
                <w:sz w:val="16"/>
                <w:szCs w:val="16"/>
              </w:rPr>
              <w:t xml:space="preserve"> 50,299,241.28 </w:t>
            </w: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21,903,104.70 </w:t>
            </w:r>
          </w:p>
        </w:tc>
        <w:tc>
          <w:tcPr>
            <w:tcW w:w="269" w:type="pct"/>
            <w:vAlign w:val="center"/>
          </w:tcPr>
          <w:p w:rsidR="00156DD6" w:rsidRDefault="00D51F5F">
            <w:pPr>
              <w:jc w:val="right"/>
              <w:rPr>
                <w:sz w:val="16"/>
                <w:szCs w:val="16"/>
              </w:rPr>
            </w:pPr>
            <w:r>
              <w:rPr>
                <w:sz w:val="16"/>
                <w:szCs w:val="16"/>
              </w:rPr>
              <w:t xml:space="preserve"> 118,088,672.71 </w:t>
            </w:r>
          </w:p>
        </w:tc>
        <w:tc>
          <w:tcPr>
            <w:tcW w:w="269" w:type="pct"/>
            <w:vAlign w:val="center"/>
          </w:tcPr>
          <w:p w:rsidR="00156DD6" w:rsidRDefault="00156DD6">
            <w:pPr>
              <w:jc w:val="right"/>
              <w:rPr>
                <w:sz w:val="16"/>
                <w:szCs w:val="16"/>
              </w:rPr>
            </w:pPr>
          </w:p>
        </w:tc>
        <w:tc>
          <w:tcPr>
            <w:tcW w:w="313" w:type="pct"/>
            <w:vAlign w:val="center"/>
          </w:tcPr>
          <w:p w:rsidR="00156DD6" w:rsidRDefault="00D51F5F">
            <w:pPr>
              <w:jc w:val="right"/>
              <w:rPr>
                <w:sz w:val="16"/>
                <w:szCs w:val="16"/>
              </w:rPr>
            </w:pPr>
            <w:r>
              <w:rPr>
                <w:sz w:val="16"/>
                <w:szCs w:val="16"/>
              </w:rPr>
              <w:t xml:space="preserve"> 992,249,846.86 </w:t>
            </w: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2,390,808,456.94 </w:t>
            </w:r>
          </w:p>
        </w:tc>
        <w:tc>
          <w:tcPr>
            <w:tcW w:w="351" w:type="pct"/>
            <w:vAlign w:val="center"/>
          </w:tcPr>
          <w:p w:rsidR="00156DD6" w:rsidRDefault="00156DD6">
            <w:pPr>
              <w:jc w:val="right"/>
              <w:rPr>
                <w:sz w:val="16"/>
                <w:szCs w:val="16"/>
              </w:rPr>
            </w:pPr>
          </w:p>
        </w:tc>
        <w:tc>
          <w:tcPr>
            <w:tcW w:w="385" w:type="pct"/>
            <w:vAlign w:val="center"/>
          </w:tcPr>
          <w:p w:rsidR="00156DD6" w:rsidRDefault="00D51F5F">
            <w:pPr>
              <w:jc w:val="right"/>
              <w:rPr>
                <w:sz w:val="16"/>
                <w:szCs w:val="16"/>
              </w:rPr>
            </w:pPr>
            <w:r>
              <w:rPr>
                <w:sz w:val="16"/>
                <w:szCs w:val="16"/>
              </w:rPr>
              <w:t xml:space="preserve"> 2,390,808,456.94 </w:t>
            </w:r>
          </w:p>
        </w:tc>
      </w:tr>
      <w:tr w:rsidR="00156DD6">
        <w:sdt>
          <w:sdtPr>
            <w:rPr>
              <w:sz w:val="16"/>
              <w:szCs w:val="16"/>
            </w:rPr>
            <w:tag w:val="_PLD_fd33bb0caf614a75b319dc40c7515dcc"/>
            <w:id w:val="-1686052872"/>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加：</w:t>
                </w:r>
                <w:r>
                  <w:rPr>
                    <w:color w:val="000000" w:themeColor="text1"/>
                    <w:sz w:val="16"/>
                    <w:szCs w:val="16"/>
                  </w:rPr>
                  <w:t>会计政策变更</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15b4364437fa4ad39040010f7c204056"/>
            <w:id w:val="-2020305764"/>
          </w:sdtPr>
          <w:sdtEndPr/>
          <w:sdtContent>
            <w:tc>
              <w:tcPr>
                <w:tcW w:w="659" w:type="pct"/>
                <w:vAlign w:val="center"/>
              </w:tcPr>
              <w:p w:rsidR="00156DD6" w:rsidRDefault="00D51F5F">
                <w:pPr>
                  <w:ind w:firstLineChars="200" w:firstLine="320"/>
                  <w:rPr>
                    <w:color w:val="000000" w:themeColor="text1"/>
                    <w:sz w:val="16"/>
                    <w:szCs w:val="16"/>
                  </w:rPr>
                </w:pPr>
                <w:r>
                  <w:rPr>
                    <w:color w:val="000000" w:themeColor="text1"/>
                    <w:sz w:val="16"/>
                    <w:szCs w:val="16"/>
                  </w:rPr>
                  <w:t>前期差错更正</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87118e97730e486dbbcc5e072b67665f"/>
            <w:id w:val="-2059081820"/>
          </w:sdtPr>
          <w:sdtEndPr/>
          <w:sdtContent>
            <w:tc>
              <w:tcPr>
                <w:tcW w:w="659" w:type="pct"/>
                <w:vAlign w:val="center"/>
              </w:tcPr>
              <w:p w:rsidR="00156DD6" w:rsidRDefault="00D51F5F">
                <w:pPr>
                  <w:ind w:firstLineChars="200" w:firstLine="320"/>
                  <w:rPr>
                    <w:color w:val="000000" w:themeColor="text1"/>
                    <w:sz w:val="16"/>
                    <w:szCs w:val="16"/>
                  </w:rPr>
                </w:pPr>
                <w:r>
                  <w:rPr>
                    <w:rFonts w:hint="eastAsia"/>
                    <w:color w:val="000000" w:themeColor="text1"/>
                    <w:sz w:val="16"/>
                    <w:szCs w:val="16"/>
                  </w:rPr>
                  <w:t>其他</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b579c38070f04b86951daea3037af89c"/>
            <w:id w:val="-332839763"/>
          </w:sdtPr>
          <w:sdtEndPr/>
          <w:sdtContent>
            <w:tc>
              <w:tcPr>
                <w:tcW w:w="659" w:type="pct"/>
                <w:vAlign w:val="center"/>
              </w:tcPr>
              <w:p w:rsidR="00156DD6" w:rsidRDefault="00D51F5F">
                <w:pPr>
                  <w:rPr>
                    <w:color w:val="000000" w:themeColor="text1"/>
                    <w:sz w:val="16"/>
                    <w:szCs w:val="16"/>
                  </w:rPr>
                </w:pPr>
                <w:r>
                  <w:rPr>
                    <w:color w:val="000000" w:themeColor="text1"/>
                    <w:sz w:val="16"/>
                    <w:szCs w:val="16"/>
                  </w:rPr>
                  <w:t>二、本年</w:t>
                </w:r>
                <w:r>
                  <w:rPr>
                    <w:rFonts w:hint="eastAsia"/>
                    <w:color w:val="000000" w:themeColor="text1"/>
                    <w:sz w:val="16"/>
                    <w:szCs w:val="16"/>
                  </w:rPr>
                  <w:t>期</w:t>
                </w:r>
                <w:r>
                  <w:rPr>
                    <w:color w:val="000000" w:themeColor="text1"/>
                    <w:sz w:val="16"/>
                    <w:szCs w:val="16"/>
                  </w:rPr>
                  <w:t>初余额</w:t>
                </w:r>
              </w:p>
            </w:tc>
          </w:sdtContent>
        </w:sdt>
        <w:tc>
          <w:tcPr>
            <w:tcW w:w="268" w:type="pct"/>
            <w:vAlign w:val="center"/>
          </w:tcPr>
          <w:p w:rsidR="00156DD6" w:rsidRDefault="00D51F5F">
            <w:pPr>
              <w:jc w:val="right"/>
              <w:rPr>
                <w:sz w:val="16"/>
                <w:szCs w:val="16"/>
              </w:rPr>
            </w:pPr>
            <w:r>
              <w:rPr>
                <w:sz w:val="16"/>
                <w:szCs w:val="16"/>
              </w:rPr>
              <w:t xml:space="preserve"> 333,167,407.00 </w:t>
            </w: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975,698,666.95 </w:t>
            </w:r>
          </w:p>
        </w:tc>
        <w:tc>
          <w:tcPr>
            <w:tcW w:w="269" w:type="pct"/>
            <w:vAlign w:val="center"/>
          </w:tcPr>
          <w:p w:rsidR="00156DD6" w:rsidRDefault="00D51F5F">
            <w:pPr>
              <w:jc w:val="right"/>
              <w:rPr>
                <w:sz w:val="16"/>
                <w:szCs w:val="16"/>
              </w:rPr>
            </w:pPr>
            <w:r>
              <w:rPr>
                <w:sz w:val="16"/>
                <w:szCs w:val="16"/>
              </w:rPr>
              <w:t xml:space="preserve"> 50,299,241.28 </w:t>
            </w: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21,903,104.70 </w:t>
            </w:r>
          </w:p>
        </w:tc>
        <w:tc>
          <w:tcPr>
            <w:tcW w:w="269" w:type="pct"/>
            <w:vAlign w:val="center"/>
          </w:tcPr>
          <w:p w:rsidR="00156DD6" w:rsidRDefault="00D51F5F">
            <w:pPr>
              <w:jc w:val="right"/>
              <w:rPr>
                <w:sz w:val="16"/>
                <w:szCs w:val="16"/>
              </w:rPr>
            </w:pPr>
            <w:r>
              <w:rPr>
                <w:sz w:val="16"/>
                <w:szCs w:val="16"/>
              </w:rPr>
              <w:t xml:space="preserve"> 118,088,672.71 </w:t>
            </w:r>
          </w:p>
        </w:tc>
        <w:tc>
          <w:tcPr>
            <w:tcW w:w="269" w:type="pct"/>
            <w:vAlign w:val="center"/>
          </w:tcPr>
          <w:p w:rsidR="00156DD6" w:rsidRDefault="00156DD6">
            <w:pPr>
              <w:jc w:val="right"/>
              <w:rPr>
                <w:sz w:val="16"/>
                <w:szCs w:val="16"/>
              </w:rPr>
            </w:pPr>
          </w:p>
        </w:tc>
        <w:tc>
          <w:tcPr>
            <w:tcW w:w="313" w:type="pct"/>
            <w:vAlign w:val="center"/>
          </w:tcPr>
          <w:p w:rsidR="00156DD6" w:rsidRDefault="00D51F5F">
            <w:pPr>
              <w:jc w:val="right"/>
              <w:rPr>
                <w:sz w:val="16"/>
                <w:szCs w:val="16"/>
              </w:rPr>
            </w:pPr>
            <w:r>
              <w:rPr>
                <w:sz w:val="16"/>
                <w:szCs w:val="16"/>
              </w:rPr>
              <w:t xml:space="preserve"> 992,249,846.86 </w:t>
            </w: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2,390,808,456.94 </w:t>
            </w:r>
          </w:p>
        </w:tc>
        <w:tc>
          <w:tcPr>
            <w:tcW w:w="351" w:type="pct"/>
            <w:vAlign w:val="center"/>
          </w:tcPr>
          <w:p w:rsidR="00156DD6" w:rsidRDefault="00156DD6">
            <w:pPr>
              <w:jc w:val="right"/>
              <w:rPr>
                <w:sz w:val="16"/>
                <w:szCs w:val="16"/>
              </w:rPr>
            </w:pPr>
          </w:p>
        </w:tc>
        <w:tc>
          <w:tcPr>
            <w:tcW w:w="385" w:type="pct"/>
            <w:vAlign w:val="center"/>
          </w:tcPr>
          <w:p w:rsidR="00156DD6" w:rsidRDefault="00D51F5F">
            <w:pPr>
              <w:jc w:val="right"/>
              <w:rPr>
                <w:sz w:val="16"/>
                <w:szCs w:val="16"/>
              </w:rPr>
            </w:pPr>
            <w:r>
              <w:rPr>
                <w:sz w:val="16"/>
                <w:szCs w:val="16"/>
              </w:rPr>
              <w:t xml:space="preserve"> 2,390,808,456.94 </w:t>
            </w:r>
          </w:p>
        </w:tc>
      </w:tr>
      <w:tr w:rsidR="00156DD6">
        <w:sdt>
          <w:sdtPr>
            <w:rPr>
              <w:sz w:val="16"/>
              <w:szCs w:val="16"/>
            </w:rPr>
            <w:tag w:val="_PLD_186aec2424a047ee9af21797aa0ee0d8"/>
            <w:id w:val="25767644"/>
          </w:sdtPr>
          <w:sdtEndPr/>
          <w:sdtContent>
            <w:tc>
              <w:tcPr>
                <w:tcW w:w="659" w:type="pct"/>
                <w:vAlign w:val="center"/>
              </w:tcPr>
              <w:p w:rsidR="00156DD6" w:rsidRDefault="00D51F5F">
                <w:pPr>
                  <w:rPr>
                    <w:color w:val="000000" w:themeColor="text1"/>
                    <w:sz w:val="16"/>
                    <w:szCs w:val="16"/>
                  </w:rPr>
                </w:pPr>
                <w:r>
                  <w:rPr>
                    <w:color w:val="000000" w:themeColor="text1"/>
                    <w:sz w:val="16"/>
                    <w:szCs w:val="16"/>
                  </w:rPr>
                  <w:t>三、本</w:t>
                </w:r>
                <w:r>
                  <w:rPr>
                    <w:rFonts w:hint="eastAsia"/>
                    <w:color w:val="000000" w:themeColor="text1"/>
                    <w:sz w:val="16"/>
                    <w:szCs w:val="16"/>
                  </w:rPr>
                  <w:t>期</w:t>
                </w:r>
                <w:r>
                  <w:rPr>
                    <w:color w:val="000000" w:themeColor="text1"/>
                    <w:sz w:val="16"/>
                    <w:szCs w:val="16"/>
                  </w:rPr>
                  <w:t>增减变动金额（减少以</w:t>
                </w:r>
                <w:r>
                  <w:rPr>
                    <w:color w:val="000000" w:themeColor="text1"/>
                    <w:sz w:val="16"/>
                    <w:szCs w:val="16"/>
                  </w:rPr>
                  <w:lastRenderedPageBreak/>
                  <w:t>“</w:t>
                </w:r>
                <w:r>
                  <w:rPr>
                    <w:color w:val="000000" w:themeColor="text1"/>
                    <w:sz w:val="16"/>
                    <w:szCs w:val="16"/>
                  </w:rPr>
                  <w:t>－</w:t>
                </w:r>
                <w:r>
                  <w:rPr>
                    <w:color w:val="000000" w:themeColor="text1"/>
                    <w:sz w:val="16"/>
                    <w:szCs w:val="16"/>
                  </w:rPr>
                  <w:t>”</w:t>
                </w:r>
                <w:r>
                  <w:rPr>
                    <w:color w:val="000000" w:themeColor="text1"/>
                    <w:sz w:val="16"/>
                    <w:szCs w:val="16"/>
                  </w:rPr>
                  <w:t>号填列）</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3,847,666.44 </w:t>
            </w: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1,602,227.56 </w:t>
            </w:r>
          </w:p>
        </w:tc>
        <w:tc>
          <w:tcPr>
            <w:tcW w:w="269" w:type="pct"/>
            <w:vAlign w:val="center"/>
          </w:tcPr>
          <w:p w:rsidR="00156DD6" w:rsidRDefault="00D51F5F">
            <w:pPr>
              <w:jc w:val="right"/>
              <w:rPr>
                <w:sz w:val="16"/>
                <w:szCs w:val="16"/>
              </w:rPr>
            </w:pPr>
            <w:r>
              <w:rPr>
                <w:sz w:val="16"/>
                <w:szCs w:val="16"/>
              </w:rPr>
              <w:t xml:space="preserve"> 3,779,240.76 </w:t>
            </w: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D51F5F">
            <w:pPr>
              <w:jc w:val="right"/>
              <w:rPr>
                <w:sz w:val="16"/>
                <w:szCs w:val="16"/>
              </w:rPr>
            </w:pPr>
            <w:r>
              <w:rPr>
                <w:sz w:val="16"/>
                <w:szCs w:val="16"/>
              </w:rPr>
              <w:t xml:space="preserve"> -15,083,973.17 </w:t>
            </w:r>
          </w:p>
        </w:tc>
        <w:tc>
          <w:tcPr>
            <w:tcW w:w="309" w:type="pct"/>
            <w:vAlign w:val="center"/>
          </w:tcPr>
          <w:p w:rsidR="00156DD6" w:rsidRDefault="00D51F5F">
            <w:pPr>
              <w:jc w:val="right"/>
              <w:rPr>
                <w:sz w:val="16"/>
                <w:szCs w:val="16"/>
              </w:rPr>
            </w:pPr>
            <w:r>
              <w:rPr>
                <w:sz w:val="16"/>
                <w:szCs w:val="16"/>
              </w:rPr>
              <w:t xml:space="preserve">   </w:t>
            </w:r>
          </w:p>
        </w:tc>
        <w:tc>
          <w:tcPr>
            <w:tcW w:w="295" w:type="pct"/>
            <w:vAlign w:val="center"/>
          </w:tcPr>
          <w:p w:rsidR="00156DD6" w:rsidRDefault="00D51F5F">
            <w:pPr>
              <w:jc w:val="right"/>
              <w:rPr>
                <w:sz w:val="16"/>
                <w:szCs w:val="16"/>
              </w:rPr>
            </w:pPr>
            <w:r>
              <w:rPr>
                <w:sz w:val="16"/>
                <w:szCs w:val="16"/>
              </w:rPr>
              <w:t xml:space="preserve"> -5,854,838.41 </w:t>
            </w:r>
          </w:p>
        </w:tc>
        <w:tc>
          <w:tcPr>
            <w:tcW w:w="351" w:type="pct"/>
            <w:vAlign w:val="center"/>
          </w:tcPr>
          <w:p w:rsidR="00156DD6" w:rsidRDefault="00D51F5F">
            <w:pPr>
              <w:jc w:val="right"/>
              <w:rPr>
                <w:sz w:val="16"/>
                <w:szCs w:val="16"/>
              </w:rPr>
            </w:pPr>
            <w:r>
              <w:rPr>
                <w:sz w:val="16"/>
                <w:szCs w:val="16"/>
              </w:rPr>
              <w:t xml:space="preserve"> 131,376,968.76 </w:t>
            </w:r>
          </w:p>
        </w:tc>
        <w:tc>
          <w:tcPr>
            <w:tcW w:w="385" w:type="pct"/>
            <w:vAlign w:val="center"/>
          </w:tcPr>
          <w:p w:rsidR="00156DD6" w:rsidRDefault="00D51F5F">
            <w:pPr>
              <w:jc w:val="right"/>
              <w:rPr>
                <w:sz w:val="16"/>
                <w:szCs w:val="16"/>
              </w:rPr>
            </w:pPr>
            <w:r>
              <w:rPr>
                <w:sz w:val="16"/>
                <w:szCs w:val="16"/>
              </w:rPr>
              <w:t xml:space="preserve"> 125,522,130.35 </w:t>
            </w:r>
          </w:p>
        </w:tc>
      </w:tr>
      <w:tr w:rsidR="00156DD6">
        <w:sdt>
          <w:sdtPr>
            <w:rPr>
              <w:sz w:val="16"/>
              <w:szCs w:val="16"/>
            </w:rPr>
            <w:tag w:val="_PLD_17bf1a1d144b41e18dbd63758cccc7b5"/>
            <w:id w:val="-131249209"/>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（一）综合收益总额</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1,602,227.56 </w:t>
            </w: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D51F5F">
            <w:pPr>
              <w:jc w:val="right"/>
              <w:rPr>
                <w:sz w:val="16"/>
                <w:szCs w:val="16"/>
              </w:rPr>
            </w:pPr>
            <w:r>
              <w:rPr>
                <w:sz w:val="16"/>
                <w:szCs w:val="16"/>
              </w:rPr>
              <w:t xml:space="preserve"> 34,793,222.68 </w:t>
            </w: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36,395,450.24 </w:t>
            </w:r>
          </w:p>
        </w:tc>
        <w:tc>
          <w:tcPr>
            <w:tcW w:w="351" w:type="pct"/>
            <w:vAlign w:val="center"/>
          </w:tcPr>
          <w:p w:rsidR="00156DD6" w:rsidRDefault="00D51F5F">
            <w:pPr>
              <w:jc w:val="right"/>
              <w:rPr>
                <w:sz w:val="16"/>
                <w:szCs w:val="16"/>
              </w:rPr>
            </w:pPr>
            <w:r>
              <w:rPr>
                <w:sz w:val="16"/>
                <w:szCs w:val="16"/>
              </w:rPr>
              <w:t xml:space="preserve"> 2,465,657.59 </w:t>
            </w:r>
          </w:p>
        </w:tc>
        <w:tc>
          <w:tcPr>
            <w:tcW w:w="385" w:type="pct"/>
            <w:vAlign w:val="center"/>
          </w:tcPr>
          <w:p w:rsidR="00156DD6" w:rsidRDefault="00D51F5F">
            <w:pPr>
              <w:jc w:val="right"/>
              <w:rPr>
                <w:sz w:val="16"/>
                <w:szCs w:val="16"/>
              </w:rPr>
            </w:pPr>
            <w:r>
              <w:rPr>
                <w:sz w:val="16"/>
                <w:szCs w:val="16"/>
              </w:rPr>
              <w:t xml:space="preserve"> 38,861,107.83 </w:t>
            </w:r>
          </w:p>
        </w:tc>
      </w:tr>
      <w:tr w:rsidR="00156DD6">
        <w:sdt>
          <w:sdtPr>
            <w:rPr>
              <w:sz w:val="16"/>
              <w:szCs w:val="16"/>
            </w:rPr>
            <w:tag w:val="_PLD_d55056423dbf4ac187d64bd43c03aca3"/>
            <w:id w:val="1555970556"/>
          </w:sdtPr>
          <w:sdtEndPr/>
          <w:sdtContent>
            <w:tc>
              <w:tcPr>
                <w:tcW w:w="659" w:type="pct"/>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二</w:t>
                </w:r>
                <w:r>
                  <w:rPr>
                    <w:color w:val="000000" w:themeColor="text1"/>
                    <w:sz w:val="16"/>
                    <w:szCs w:val="16"/>
                  </w:rPr>
                  <w:t>）所有者投入和减少资本</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3,847,666.44 </w:t>
            </w: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3,847,666.44 </w:t>
            </w:r>
          </w:p>
        </w:tc>
        <w:tc>
          <w:tcPr>
            <w:tcW w:w="351" w:type="pct"/>
            <w:vAlign w:val="center"/>
          </w:tcPr>
          <w:p w:rsidR="00156DD6" w:rsidRDefault="00D51F5F">
            <w:pPr>
              <w:jc w:val="right"/>
              <w:rPr>
                <w:sz w:val="16"/>
                <w:szCs w:val="16"/>
              </w:rPr>
            </w:pPr>
            <w:r>
              <w:rPr>
                <w:sz w:val="16"/>
                <w:szCs w:val="16"/>
              </w:rPr>
              <w:t xml:space="preserve"> 128,836,699.07 </w:t>
            </w:r>
          </w:p>
        </w:tc>
        <w:tc>
          <w:tcPr>
            <w:tcW w:w="385" w:type="pct"/>
            <w:vAlign w:val="center"/>
          </w:tcPr>
          <w:p w:rsidR="00156DD6" w:rsidRDefault="00D51F5F">
            <w:pPr>
              <w:jc w:val="right"/>
              <w:rPr>
                <w:sz w:val="16"/>
                <w:szCs w:val="16"/>
              </w:rPr>
            </w:pPr>
            <w:r>
              <w:rPr>
                <w:sz w:val="16"/>
                <w:szCs w:val="16"/>
              </w:rPr>
              <w:t xml:space="preserve"> 132,684,365.51 </w:t>
            </w:r>
          </w:p>
        </w:tc>
      </w:tr>
      <w:tr w:rsidR="00156DD6">
        <w:sdt>
          <w:sdtPr>
            <w:rPr>
              <w:sz w:val="16"/>
              <w:szCs w:val="16"/>
            </w:rPr>
            <w:tag w:val="_PLD_284541025868477ca26973c13dd9ff9e"/>
            <w:id w:val="-1189281123"/>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1</w:t>
                </w:r>
                <w:r>
                  <w:rPr>
                    <w:rFonts w:hint="eastAsia"/>
                    <w:color w:val="000000" w:themeColor="text1"/>
                    <w:sz w:val="16"/>
                    <w:szCs w:val="16"/>
                  </w:rPr>
                  <w:t>．所有者投入的普通股</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13b4ec8d0fe34f9797d68eab8f95768d"/>
            <w:id w:val="-1684273682"/>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2</w:t>
                </w:r>
                <w:r>
                  <w:rPr>
                    <w:rFonts w:hint="eastAsia"/>
                    <w:color w:val="000000" w:themeColor="text1"/>
                    <w:sz w:val="16"/>
                    <w:szCs w:val="16"/>
                  </w:rPr>
                  <w:t>．其他权益工具持有者投入资本</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f1f3be9263a748c28f276e78f447b133"/>
            <w:id w:val="-1212501253"/>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3</w:t>
                </w:r>
                <w:r>
                  <w:rPr>
                    <w:color w:val="000000" w:themeColor="text1"/>
                    <w:sz w:val="16"/>
                    <w:szCs w:val="16"/>
                  </w:rPr>
                  <w:t>．股份支付计入所有者权益的金额</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3,847,666.44 </w:t>
            </w: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3,847,666.44 </w:t>
            </w:r>
          </w:p>
        </w:tc>
        <w:tc>
          <w:tcPr>
            <w:tcW w:w="351" w:type="pct"/>
            <w:vAlign w:val="center"/>
          </w:tcPr>
          <w:p w:rsidR="00156DD6" w:rsidRDefault="00156DD6">
            <w:pPr>
              <w:jc w:val="right"/>
              <w:rPr>
                <w:sz w:val="16"/>
                <w:szCs w:val="16"/>
              </w:rPr>
            </w:pPr>
          </w:p>
        </w:tc>
        <w:tc>
          <w:tcPr>
            <w:tcW w:w="385" w:type="pct"/>
            <w:vAlign w:val="center"/>
          </w:tcPr>
          <w:p w:rsidR="00156DD6" w:rsidRDefault="00D51F5F">
            <w:pPr>
              <w:jc w:val="right"/>
              <w:rPr>
                <w:sz w:val="16"/>
                <w:szCs w:val="16"/>
              </w:rPr>
            </w:pPr>
            <w:r>
              <w:rPr>
                <w:sz w:val="16"/>
                <w:szCs w:val="16"/>
              </w:rPr>
              <w:t xml:space="preserve"> 3,847,666.44 </w:t>
            </w:r>
          </w:p>
        </w:tc>
      </w:tr>
      <w:tr w:rsidR="00156DD6">
        <w:sdt>
          <w:sdtPr>
            <w:rPr>
              <w:sz w:val="16"/>
              <w:szCs w:val="16"/>
            </w:rPr>
            <w:tag w:val="_PLD_b361f3a237774bcd8ac416b2b21655eb"/>
            <w:id w:val="-1349019403"/>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4</w:t>
                </w:r>
                <w:r>
                  <w:rPr>
                    <w:color w:val="000000" w:themeColor="text1"/>
                    <w:sz w:val="16"/>
                    <w:szCs w:val="16"/>
                  </w:rPr>
                  <w:t>．其他</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w:t>
            </w:r>
          </w:p>
        </w:tc>
        <w:tc>
          <w:tcPr>
            <w:tcW w:w="351" w:type="pct"/>
            <w:vAlign w:val="center"/>
          </w:tcPr>
          <w:p w:rsidR="00156DD6" w:rsidRDefault="00D51F5F">
            <w:pPr>
              <w:jc w:val="right"/>
              <w:rPr>
                <w:sz w:val="16"/>
                <w:szCs w:val="16"/>
              </w:rPr>
            </w:pPr>
            <w:r>
              <w:rPr>
                <w:sz w:val="16"/>
                <w:szCs w:val="16"/>
              </w:rPr>
              <w:t xml:space="preserve"> 128,836,699.07 </w:t>
            </w:r>
          </w:p>
        </w:tc>
        <w:tc>
          <w:tcPr>
            <w:tcW w:w="385" w:type="pct"/>
            <w:vAlign w:val="center"/>
          </w:tcPr>
          <w:p w:rsidR="00156DD6" w:rsidRDefault="00D51F5F">
            <w:pPr>
              <w:jc w:val="right"/>
              <w:rPr>
                <w:sz w:val="16"/>
                <w:szCs w:val="16"/>
              </w:rPr>
            </w:pPr>
            <w:r>
              <w:rPr>
                <w:sz w:val="16"/>
                <w:szCs w:val="16"/>
              </w:rPr>
              <w:t xml:space="preserve"> 128,836,699.07 </w:t>
            </w:r>
          </w:p>
        </w:tc>
      </w:tr>
      <w:tr w:rsidR="00156DD6">
        <w:sdt>
          <w:sdtPr>
            <w:rPr>
              <w:sz w:val="16"/>
              <w:szCs w:val="16"/>
            </w:rPr>
            <w:tag w:val="_PLD_a7e75a2d1ed049d9bbdb0ef093ac9478"/>
            <w:id w:val="1100991968"/>
          </w:sdtPr>
          <w:sdtEndPr/>
          <w:sdtContent>
            <w:tc>
              <w:tcPr>
                <w:tcW w:w="659" w:type="pct"/>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三</w:t>
                </w:r>
                <w:r>
                  <w:rPr>
                    <w:color w:val="000000" w:themeColor="text1"/>
                    <w:sz w:val="16"/>
                    <w:szCs w:val="16"/>
                  </w:rPr>
                  <w:t>）利润分配</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D51F5F">
            <w:pPr>
              <w:jc w:val="right"/>
              <w:rPr>
                <w:sz w:val="16"/>
                <w:szCs w:val="16"/>
              </w:rPr>
            </w:pPr>
            <w:r>
              <w:rPr>
                <w:sz w:val="16"/>
                <w:szCs w:val="16"/>
              </w:rPr>
              <w:t xml:space="preserve"> -49,877,195.85 </w:t>
            </w: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-49,877,195.85 </w:t>
            </w:r>
          </w:p>
        </w:tc>
        <w:tc>
          <w:tcPr>
            <w:tcW w:w="351" w:type="pct"/>
            <w:vAlign w:val="center"/>
          </w:tcPr>
          <w:p w:rsidR="00156DD6" w:rsidRDefault="00156DD6">
            <w:pPr>
              <w:jc w:val="right"/>
              <w:rPr>
                <w:sz w:val="16"/>
                <w:szCs w:val="16"/>
              </w:rPr>
            </w:pPr>
          </w:p>
        </w:tc>
        <w:tc>
          <w:tcPr>
            <w:tcW w:w="385" w:type="pct"/>
            <w:vAlign w:val="center"/>
          </w:tcPr>
          <w:p w:rsidR="00156DD6" w:rsidRDefault="00D51F5F">
            <w:pPr>
              <w:jc w:val="right"/>
              <w:rPr>
                <w:sz w:val="16"/>
                <w:szCs w:val="16"/>
              </w:rPr>
            </w:pPr>
            <w:r>
              <w:rPr>
                <w:sz w:val="16"/>
                <w:szCs w:val="16"/>
              </w:rPr>
              <w:t xml:space="preserve"> -49,877,195.85 </w:t>
            </w:r>
          </w:p>
        </w:tc>
      </w:tr>
      <w:tr w:rsidR="00156DD6">
        <w:sdt>
          <w:sdtPr>
            <w:rPr>
              <w:sz w:val="16"/>
              <w:szCs w:val="16"/>
            </w:rPr>
            <w:tag w:val="_PLD_728c39864cdd4a7c93d6a2bae73ac47f"/>
            <w:id w:val="1857002155"/>
          </w:sdtPr>
          <w:sdtEndPr/>
          <w:sdtContent>
            <w:tc>
              <w:tcPr>
                <w:tcW w:w="659" w:type="pct"/>
                <w:vAlign w:val="center"/>
              </w:tcPr>
              <w:p w:rsidR="00156DD6" w:rsidRDefault="00D51F5F">
                <w:pPr>
                  <w:rPr>
                    <w:color w:val="000000" w:themeColor="text1"/>
                    <w:sz w:val="16"/>
                    <w:szCs w:val="16"/>
                  </w:rPr>
                </w:pPr>
                <w:r>
                  <w:rPr>
                    <w:color w:val="000000" w:themeColor="text1"/>
                    <w:sz w:val="16"/>
                    <w:szCs w:val="16"/>
                  </w:rPr>
                  <w:t>1</w:t>
                </w:r>
                <w:r>
                  <w:rPr>
                    <w:color w:val="000000" w:themeColor="text1"/>
                    <w:sz w:val="16"/>
                    <w:szCs w:val="16"/>
                  </w:rPr>
                  <w:t>．提取盈余公积</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6d8c8a0de80b4f6a97fdb16b82b3a6ac"/>
            <w:id w:val="-264685886"/>
          </w:sdtPr>
          <w:sdtEndPr/>
          <w:sdtContent>
            <w:tc>
              <w:tcPr>
                <w:tcW w:w="659" w:type="pct"/>
                <w:vAlign w:val="center"/>
              </w:tcPr>
              <w:p w:rsidR="00156DD6" w:rsidRDefault="00D51F5F">
                <w:pPr>
                  <w:rPr>
                    <w:color w:val="000000" w:themeColor="text1"/>
                    <w:sz w:val="16"/>
                    <w:szCs w:val="16"/>
                  </w:rPr>
                </w:pPr>
                <w:r>
                  <w:rPr>
                    <w:color w:val="000000" w:themeColor="text1"/>
                    <w:sz w:val="16"/>
                    <w:szCs w:val="16"/>
                  </w:rPr>
                  <w:t>2</w:t>
                </w:r>
                <w:r>
                  <w:rPr>
                    <w:color w:val="000000" w:themeColor="text1"/>
                    <w:sz w:val="16"/>
                    <w:szCs w:val="16"/>
                  </w:rPr>
                  <w:t>．提取一般风险准备</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a5531db3e1d84f3897cb962fdc73ab3d"/>
            <w:id w:val="-177737779"/>
          </w:sdtPr>
          <w:sdtEndPr/>
          <w:sdtContent>
            <w:tc>
              <w:tcPr>
                <w:tcW w:w="659" w:type="pct"/>
                <w:vAlign w:val="center"/>
              </w:tcPr>
              <w:p w:rsidR="00156DD6" w:rsidRDefault="00D51F5F">
                <w:pPr>
                  <w:rPr>
                    <w:color w:val="000000" w:themeColor="text1"/>
                    <w:sz w:val="16"/>
                    <w:szCs w:val="16"/>
                  </w:rPr>
                </w:pPr>
                <w:r>
                  <w:rPr>
                    <w:color w:val="000000" w:themeColor="text1"/>
                    <w:sz w:val="16"/>
                    <w:szCs w:val="16"/>
                  </w:rPr>
                  <w:t>3</w:t>
                </w:r>
                <w:r>
                  <w:rPr>
                    <w:color w:val="000000" w:themeColor="text1"/>
                    <w:sz w:val="16"/>
                    <w:szCs w:val="16"/>
                  </w:rPr>
                  <w:t>．对所有者（或股东）的分配</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D51F5F">
            <w:pPr>
              <w:jc w:val="right"/>
              <w:rPr>
                <w:sz w:val="16"/>
                <w:szCs w:val="16"/>
              </w:rPr>
            </w:pPr>
            <w:r>
              <w:rPr>
                <w:sz w:val="16"/>
                <w:szCs w:val="16"/>
              </w:rPr>
              <w:t xml:space="preserve"> -49,877,195.85 </w:t>
            </w: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-49,877,195.85 </w:t>
            </w:r>
          </w:p>
        </w:tc>
        <w:tc>
          <w:tcPr>
            <w:tcW w:w="351" w:type="pct"/>
            <w:vAlign w:val="center"/>
          </w:tcPr>
          <w:p w:rsidR="00156DD6" w:rsidRDefault="00156DD6">
            <w:pPr>
              <w:jc w:val="right"/>
              <w:rPr>
                <w:sz w:val="16"/>
                <w:szCs w:val="16"/>
              </w:rPr>
            </w:pPr>
          </w:p>
        </w:tc>
        <w:tc>
          <w:tcPr>
            <w:tcW w:w="385" w:type="pct"/>
            <w:vAlign w:val="center"/>
          </w:tcPr>
          <w:p w:rsidR="00156DD6" w:rsidRDefault="00D51F5F">
            <w:pPr>
              <w:jc w:val="right"/>
              <w:rPr>
                <w:sz w:val="16"/>
                <w:szCs w:val="16"/>
              </w:rPr>
            </w:pPr>
            <w:r>
              <w:rPr>
                <w:sz w:val="16"/>
                <w:szCs w:val="16"/>
              </w:rPr>
              <w:t xml:space="preserve"> -49,877,195.85 </w:t>
            </w:r>
          </w:p>
        </w:tc>
      </w:tr>
      <w:tr w:rsidR="00156DD6">
        <w:sdt>
          <w:sdtPr>
            <w:rPr>
              <w:sz w:val="16"/>
              <w:szCs w:val="16"/>
            </w:rPr>
            <w:tag w:val="_PLD_f3206f8cddd54371b8a1b220dc836af8"/>
            <w:id w:val="95916014"/>
          </w:sdtPr>
          <w:sdtEndPr/>
          <w:sdtContent>
            <w:tc>
              <w:tcPr>
                <w:tcW w:w="659" w:type="pct"/>
                <w:vAlign w:val="center"/>
              </w:tcPr>
              <w:p w:rsidR="00156DD6" w:rsidRDefault="00D51F5F">
                <w:pPr>
                  <w:rPr>
                    <w:color w:val="000000" w:themeColor="text1"/>
                    <w:sz w:val="16"/>
                    <w:szCs w:val="16"/>
                  </w:rPr>
                </w:pPr>
                <w:r>
                  <w:rPr>
                    <w:color w:val="000000" w:themeColor="text1"/>
                    <w:sz w:val="16"/>
                    <w:szCs w:val="16"/>
                  </w:rPr>
                  <w:t>4</w:t>
                </w:r>
                <w:r>
                  <w:rPr>
                    <w:color w:val="000000" w:themeColor="text1"/>
                    <w:sz w:val="16"/>
                    <w:szCs w:val="16"/>
                  </w:rPr>
                  <w:t>．其他</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c0c9652bd3724ad8b729d3650a0840d4"/>
            <w:id w:val="-302393168"/>
          </w:sdtPr>
          <w:sdtEndPr/>
          <w:sdtContent>
            <w:tc>
              <w:tcPr>
                <w:tcW w:w="659" w:type="pct"/>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四</w:t>
                </w:r>
                <w:r>
                  <w:rPr>
                    <w:color w:val="000000" w:themeColor="text1"/>
                    <w:sz w:val="16"/>
                    <w:szCs w:val="16"/>
                  </w:rPr>
                  <w:t>）所有者权益内部结转</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469a000ac571436189f1cb682bbe4ce7"/>
            <w:id w:val="1285073849"/>
          </w:sdtPr>
          <w:sdtEndPr/>
          <w:sdtContent>
            <w:tc>
              <w:tcPr>
                <w:tcW w:w="659" w:type="pct"/>
                <w:vAlign w:val="center"/>
              </w:tcPr>
              <w:p w:rsidR="00156DD6" w:rsidRDefault="00D51F5F">
                <w:pPr>
                  <w:rPr>
                    <w:color w:val="000000" w:themeColor="text1"/>
                    <w:sz w:val="16"/>
                    <w:szCs w:val="16"/>
                  </w:rPr>
                </w:pPr>
                <w:r>
                  <w:rPr>
                    <w:color w:val="000000" w:themeColor="text1"/>
                    <w:sz w:val="16"/>
                    <w:szCs w:val="16"/>
                  </w:rPr>
                  <w:t>1</w:t>
                </w:r>
                <w:r>
                  <w:rPr>
                    <w:color w:val="000000" w:themeColor="text1"/>
                    <w:sz w:val="16"/>
                    <w:szCs w:val="16"/>
                  </w:rPr>
                  <w:t>．资本公积转增资本（或股本）</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8874e17dc09c419baab53299f7967f44"/>
            <w:id w:val="1082717767"/>
          </w:sdtPr>
          <w:sdtEndPr/>
          <w:sdtContent>
            <w:tc>
              <w:tcPr>
                <w:tcW w:w="659" w:type="pct"/>
                <w:vAlign w:val="center"/>
              </w:tcPr>
              <w:p w:rsidR="00156DD6" w:rsidRDefault="00D51F5F">
                <w:pPr>
                  <w:rPr>
                    <w:color w:val="000000" w:themeColor="text1"/>
                    <w:sz w:val="16"/>
                    <w:szCs w:val="16"/>
                  </w:rPr>
                </w:pPr>
                <w:r>
                  <w:rPr>
                    <w:color w:val="000000" w:themeColor="text1"/>
                    <w:sz w:val="16"/>
                    <w:szCs w:val="16"/>
                  </w:rPr>
                  <w:t>2</w:t>
                </w:r>
                <w:r>
                  <w:rPr>
                    <w:color w:val="000000" w:themeColor="text1"/>
                    <w:sz w:val="16"/>
                    <w:szCs w:val="16"/>
                  </w:rPr>
                  <w:t>．盈余公积转增资</w:t>
                </w:r>
                <w:r>
                  <w:rPr>
                    <w:color w:val="000000" w:themeColor="text1"/>
                    <w:sz w:val="16"/>
                    <w:szCs w:val="16"/>
                  </w:rPr>
                  <w:lastRenderedPageBreak/>
                  <w:t>本（或股本）</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e3c6e2e078f649258bfa4dadb9266249"/>
            <w:id w:val="1561745907"/>
          </w:sdtPr>
          <w:sdtEndPr/>
          <w:sdtContent>
            <w:tc>
              <w:tcPr>
                <w:tcW w:w="659" w:type="pct"/>
                <w:vAlign w:val="center"/>
              </w:tcPr>
              <w:p w:rsidR="00156DD6" w:rsidRDefault="00D51F5F">
                <w:pPr>
                  <w:rPr>
                    <w:color w:val="000000" w:themeColor="text1"/>
                    <w:sz w:val="16"/>
                    <w:szCs w:val="16"/>
                  </w:rPr>
                </w:pPr>
                <w:r>
                  <w:rPr>
                    <w:color w:val="000000" w:themeColor="text1"/>
                    <w:sz w:val="16"/>
                    <w:szCs w:val="16"/>
                  </w:rPr>
                  <w:t>3</w:t>
                </w:r>
                <w:r>
                  <w:rPr>
                    <w:color w:val="000000" w:themeColor="text1"/>
                    <w:sz w:val="16"/>
                    <w:szCs w:val="16"/>
                  </w:rPr>
                  <w:t>．盈余公积弥补亏损</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tc>
          <w:tcPr>
            <w:tcW w:w="659" w:type="pct"/>
            <w:vAlign w:val="center"/>
          </w:tcPr>
          <w:sdt>
            <w:sdtPr>
              <w:rPr>
                <w:sz w:val="16"/>
                <w:szCs w:val="16"/>
              </w:rPr>
              <w:tag w:val="_PLD_7a03b853b8c74c2fb2e89f59e327b578"/>
              <w:id w:val="533544772"/>
            </w:sdtPr>
            <w:sdtEndPr/>
            <w:sdtContent>
              <w:p w:rsidR="00156DD6" w:rsidRDefault="00D51F5F">
                <w:pPr>
                  <w:rPr>
                    <w:color w:val="000000" w:themeColor="text1"/>
                    <w:sz w:val="16"/>
                    <w:szCs w:val="16"/>
                  </w:rPr>
                </w:pPr>
                <w:r>
                  <w:rPr>
                    <w:color w:val="000000" w:themeColor="text1"/>
                    <w:sz w:val="16"/>
                    <w:szCs w:val="16"/>
                  </w:rPr>
                  <w:t>4</w:t>
                </w:r>
                <w:r>
                  <w:rPr>
                    <w:color w:val="000000" w:themeColor="text1"/>
                    <w:sz w:val="16"/>
                    <w:szCs w:val="16"/>
                  </w:rPr>
                  <w:t>．设定受益计划变动额结转留存收益</w:t>
                </w:r>
              </w:p>
            </w:sdtContent>
          </w:sdt>
        </w:tc>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tc>
          <w:tcPr>
            <w:tcW w:w="659" w:type="pct"/>
            <w:vAlign w:val="center"/>
          </w:tcPr>
          <w:sdt>
            <w:sdtPr>
              <w:rPr>
                <w:sz w:val="16"/>
                <w:szCs w:val="16"/>
              </w:rPr>
              <w:tag w:val="_PLD_1db95d2c039e4fb6b41eae5a5c0aeb0a"/>
              <w:id w:val="1592583784"/>
            </w:sdtPr>
            <w:sdtEndPr/>
            <w:sdtContent>
              <w:p w:rsidR="00156DD6" w:rsidRDefault="00D51F5F">
                <w:pPr>
                  <w:rPr>
                    <w:color w:val="000000" w:themeColor="text1"/>
                    <w:sz w:val="16"/>
                    <w:szCs w:val="16"/>
                  </w:rPr>
                </w:pPr>
                <w:r>
                  <w:rPr>
                    <w:color w:val="000000" w:themeColor="text1"/>
                    <w:sz w:val="16"/>
                    <w:szCs w:val="16"/>
                  </w:rPr>
                  <w:t>5</w:t>
                </w:r>
                <w:r>
                  <w:rPr>
                    <w:color w:val="000000" w:themeColor="text1"/>
                    <w:sz w:val="16"/>
                    <w:szCs w:val="16"/>
                  </w:rPr>
                  <w:t>．其他综合收益结转留存收益</w:t>
                </w:r>
              </w:p>
            </w:sdtContent>
          </w:sdt>
        </w:tc>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tc>
          <w:tcPr>
            <w:tcW w:w="659" w:type="pct"/>
            <w:vAlign w:val="center"/>
          </w:tcPr>
          <w:sdt>
            <w:sdtPr>
              <w:rPr>
                <w:sz w:val="16"/>
                <w:szCs w:val="16"/>
              </w:rPr>
              <w:tag w:val="_PLD_44b366cf670e4514b5f91bc8cef97e27"/>
              <w:id w:val="-1989159377"/>
            </w:sdtPr>
            <w:sdtEndPr/>
            <w:sdtContent>
              <w:p w:rsidR="00156DD6" w:rsidRDefault="00D51F5F">
                <w:pPr>
                  <w:rPr>
                    <w:color w:val="000000" w:themeColor="text1"/>
                    <w:sz w:val="16"/>
                    <w:szCs w:val="16"/>
                  </w:rPr>
                </w:pPr>
                <w:r>
                  <w:rPr>
                    <w:color w:val="000000" w:themeColor="text1"/>
                    <w:sz w:val="16"/>
                    <w:szCs w:val="16"/>
                  </w:rPr>
                  <w:t>6</w:t>
                </w:r>
                <w:r>
                  <w:rPr>
                    <w:color w:val="000000" w:themeColor="text1"/>
                    <w:sz w:val="16"/>
                    <w:szCs w:val="16"/>
                  </w:rPr>
                  <w:t>．其他</w:t>
                </w:r>
              </w:p>
            </w:sdtContent>
          </w:sdt>
        </w:tc>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4c2ffccd1b8247f8b48874b508665dc1"/>
            <w:id w:val="875742091"/>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（五）专项储备</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3,779,240.76 </w:t>
            </w: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3,779,240.76 </w:t>
            </w:r>
          </w:p>
        </w:tc>
        <w:tc>
          <w:tcPr>
            <w:tcW w:w="351" w:type="pct"/>
            <w:vAlign w:val="center"/>
          </w:tcPr>
          <w:p w:rsidR="00156DD6" w:rsidRDefault="00D51F5F">
            <w:pPr>
              <w:jc w:val="right"/>
              <w:rPr>
                <w:sz w:val="16"/>
                <w:szCs w:val="16"/>
              </w:rPr>
            </w:pPr>
            <w:r>
              <w:rPr>
                <w:sz w:val="16"/>
                <w:szCs w:val="16"/>
              </w:rPr>
              <w:t xml:space="preserve"> 74,612.10 </w:t>
            </w:r>
          </w:p>
        </w:tc>
        <w:tc>
          <w:tcPr>
            <w:tcW w:w="385" w:type="pct"/>
            <w:vAlign w:val="center"/>
          </w:tcPr>
          <w:p w:rsidR="00156DD6" w:rsidRDefault="00D51F5F">
            <w:pPr>
              <w:jc w:val="right"/>
              <w:rPr>
                <w:sz w:val="16"/>
                <w:szCs w:val="16"/>
              </w:rPr>
            </w:pPr>
            <w:r>
              <w:rPr>
                <w:sz w:val="16"/>
                <w:szCs w:val="16"/>
              </w:rPr>
              <w:t xml:space="preserve"> 3,853,852.86 </w:t>
            </w:r>
          </w:p>
        </w:tc>
      </w:tr>
      <w:tr w:rsidR="00156DD6">
        <w:sdt>
          <w:sdtPr>
            <w:rPr>
              <w:sz w:val="16"/>
              <w:szCs w:val="16"/>
            </w:rPr>
            <w:tag w:val="_PLD_d7da1c1428f3471c9d74c89a582725d7"/>
            <w:id w:val="516656738"/>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1</w:t>
                </w:r>
                <w:r>
                  <w:rPr>
                    <w:rFonts w:hint="eastAsia"/>
                    <w:color w:val="000000" w:themeColor="text1"/>
                    <w:sz w:val="16"/>
                    <w:szCs w:val="16"/>
                  </w:rPr>
                  <w:t>．本期提取</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6,738,400.55 </w:t>
            </w: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6,738,400.55 </w:t>
            </w:r>
          </w:p>
        </w:tc>
        <w:tc>
          <w:tcPr>
            <w:tcW w:w="351" w:type="pct"/>
            <w:vAlign w:val="center"/>
          </w:tcPr>
          <w:p w:rsidR="00156DD6" w:rsidRDefault="00D51F5F">
            <w:pPr>
              <w:jc w:val="right"/>
              <w:rPr>
                <w:sz w:val="16"/>
                <w:szCs w:val="16"/>
              </w:rPr>
            </w:pPr>
            <w:r>
              <w:rPr>
                <w:sz w:val="16"/>
                <w:szCs w:val="16"/>
              </w:rPr>
              <w:t xml:space="preserve"> 156,770.47 </w:t>
            </w:r>
          </w:p>
        </w:tc>
        <w:tc>
          <w:tcPr>
            <w:tcW w:w="385" w:type="pct"/>
            <w:vAlign w:val="center"/>
          </w:tcPr>
          <w:p w:rsidR="00156DD6" w:rsidRDefault="00D51F5F">
            <w:pPr>
              <w:jc w:val="right"/>
              <w:rPr>
                <w:sz w:val="16"/>
                <w:szCs w:val="16"/>
              </w:rPr>
            </w:pPr>
            <w:r>
              <w:rPr>
                <w:sz w:val="16"/>
                <w:szCs w:val="16"/>
              </w:rPr>
              <w:t xml:space="preserve"> 6,895,171.02 </w:t>
            </w:r>
          </w:p>
        </w:tc>
      </w:tr>
      <w:tr w:rsidR="00156DD6">
        <w:sdt>
          <w:sdtPr>
            <w:rPr>
              <w:sz w:val="16"/>
              <w:szCs w:val="16"/>
            </w:rPr>
            <w:tag w:val="_PLD_f11a5c1cf32e432cb3dba158baca32fc"/>
            <w:id w:val="-1743945263"/>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2</w:t>
                </w:r>
                <w:r>
                  <w:rPr>
                    <w:rFonts w:hint="eastAsia"/>
                    <w:color w:val="000000" w:themeColor="text1"/>
                    <w:sz w:val="16"/>
                    <w:szCs w:val="16"/>
                  </w:rPr>
                  <w:t>．本期使用</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-2,959,159.79 </w:t>
            </w: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D51F5F">
            <w:pPr>
              <w:jc w:val="right"/>
              <w:rPr>
                <w:sz w:val="16"/>
                <w:szCs w:val="16"/>
              </w:rPr>
            </w:pPr>
            <w:r>
              <w:rPr>
                <w:sz w:val="16"/>
                <w:szCs w:val="16"/>
              </w:rPr>
              <w:t xml:space="preserve"> -2,959,159.79 </w:t>
            </w:r>
          </w:p>
        </w:tc>
        <w:tc>
          <w:tcPr>
            <w:tcW w:w="351" w:type="pct"/>
            <w:vAlign w:val="center"/>
          </w:tcPr>
          <w:p w:rsidR="00156DD6" w:rsidRDefault="00D51F5F">
            <w:pPr>
              <w:jc w:val="right"/>
              <w:rPr>
                <w:sz w:val="16"/>
                <w:szCs w:val="16"/>
              </w:rPr>
            </w:pPr>
            <w:r>
              <w:rPr>
                <w:sz w:val="16"/>
                <w:szCs w:val="16"/>
              </w:rPr>
              <w:t xml:space="preserve"> -82,158.37 </w:t>
            </w:r>
          </w:p>
        </w:tc>
        <w:tc>
          <w:tcPr>
            <w:tcW w:w="385" w:type="pct"/>
            <w:vAlign w:val="center"/>
          </w:tcPr>
          <w:p w:rsidR="00156DD6" w:rsidRDefault="00D51F5F">
            <w:pPr>
              <w:jc w:val="right"/>
              <w:rPr>
                <w:sz w:val="16"/>
                <w:szCs w:val="16"/>
              </w:rPr>
            </w:pPr>
            <w:r>
              <w:rPr>
                <w:sz w:val="16"/>
                <w:szCs w:val="16"/>
              </w:rPr>
              <w:t xml:space="preserve"> -3,041,318.16 </w:t>
            </w:r>
          </w:p>
        </w:tc>
      </w:tr>
      <w:tr w:rsidR="00156DD6">
        <w:sdt>
          <w:sdtPr>
            <w:rPr>
              <w:sz w:val="16"/>
              <w:szCs w:val="16"/>
            </w:rPr>
            <w:tag w:val="_PLD_749e92980f334c9cae023bb1dba136fc"/>
            <w:id w:val="-1992936707"/>
          </w:sdtPr>
          <w:sdtEndPr/>
          <w:sdtContent>
            <w:tc>
              <w:tcPr>
                <w:tcW w:w="659" w:type="pct"/>
                <w:vAlign w:val="center"/>
              </w:tcPr>
              <w:p w:rsidR="00156DD6" w:rsidRDefault="00D51F5F">
                <w:pPr>
                  <w:rPr>
                    <w:color w:val="000000" w:themeColor="text1"/>
                    <w:sz w:val="16"/>
                    <w:szCs w:val="16"/>
                  </w:rPr>
                </w:pPr>
                <w:r>
                  <w:rPr>
                    <w:rFonts w:hint="eastAsia"/>
                    <w:color w:val="000000" w:themeColor="text1"/>
                    <w:sz w:val="16"/>
                    <w:szCs w:val="16"/>
                  </w:rPr>
                  <w:t>（六）其他</w:t>
                </w:r>
              </w:p>
            </w:tc>
          </w:sdtContent>
        </w:sdt>
        <w:tc>
          <w:tcPr>
            <w:tcW w:w="268" w:type="pct"/>
            <w:vAlign w:val="center"/>
          </w:tcPr>
          <w:p w:rsidR="00156DD6" w:rsidRDefault="00156DD6">
            <w:pPr>
              <w:jc w:val="right"/>
              <w:rPr>
                <w:sz w:val="16"/>
                <w:szCs w:val="16"/>
              </w:rPr>
            </w:pP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313" w:type="pct"/>
            <w:vAlign w:val="center"/>
          </w:tcPr>
          <w:p w:rsidR="00156DD6" w:rsidRDefault="00156DD6">
            <w:pPr>
              <w:jc w:val="right"/>
              <w:rPr>
                <w:sz w:val="16"/>
                <w:szCs w:val="16"/>
              </w:rPr>
            </w:pPr>
          </w:p>
        </w:tc>
        <w:tc>
          <w:tcPr>
            <w:tcW w:w="309" w:type="pct"/>
            <w:vAlign w:val="center"/>
          </w:tcPr>
          <w:p w:rsidR="00156DD6" w:rsidRDefault="00156DD6">
            <w:pPr>
              <w:jc w:val="right"/>
              <w:rPr>
                <w:sz w:val="16"/>
                <w:szCs w:val="16"/>
              </w:rPr>
            </w:pPr>
          </w:p>
        </w:tc>
        <w:tc>
          <w:tcPr>
            <w:tcW w:w="295" w:type="pct"/>
            <w:vAlign w:val="center"/>
          </w:tcPr>
          <w:p w:rsidR="00156DD6" w:rsidRDefault="00156DD6">
            <w:pPr>
              <w:jc w:val="right"/>
              <w:rPr>
                <w:sz w:val="16"/>
                <w:szCs w:val="16"/>
              </w:rPr>
            </w:pPr>
          </w:p>
        </w:tc>
        <w:tc>
          <w:tcPr>
            <w:tcW w:w="351" w:type="pct"/>
            <w:vAlign w:val="center"/>
          </w:tcPr>
          <w:p w:rsidR="00156DD6" w:rsidRDefault="00156DD6">
            <w:pPr>
              <w:jc w:val="right"/>
              <w:rPr>
                <w:sz w:val="16"/>
                <w:szCs w:val="16"/>
              </w:rPr>
            </w:pPr>
          </w:p>
        </w:tc>
        <w:tc>
          <w:tcPr>
            <w:tcW w:w="385" w:type="pct"/>
            <w:vAlign w:val="center"/>
          </w:tcPr>
          <w:p w:rsidR="00156DD6" w:rsidRDefault="00156DD6">
            <w:pPr>
              <w:jc w:val="right"/>
              <w:rPr>
                <w:sz w:val="16"/>
                <w:szCs w:val="16"/>
              </w:rPr>
            </w:pPr>
          </w:p>
        </w:tc>
      </w:tr>
      <w:tr w:rsidR="00156DD6">
        <w:sdt>
          <w:sdtPr>
            <w:rPr>
              <w:sz w:val="16"/>
              <w:szCs w:val="16"/>
            </w:rPr>
            <w:tag w:val="_PLD_e9c8435b637745858c6ad855ad7bbea0"/>
            <w:id w:val="1968396866"/>
          </w:sdtPr>
          <w:sdtEndPr/>
          <w:sdtContent>
            <w:tc>
              <w:tcPr>
                <w:tcW w:w="659" w:type="pct"/>
                <w:vAlign w:val="center"/>
              </w:tcPr>
              <w:p w:rsidR="00156DD6" w:rsidRDefault="00D51F5F">
                <w:pPr>
                  <w:rPr>
                    <w:color w:val="000000" w:themeColor="text1"/>
                    <w:sz w:val="16"/>
                    <w:szCs w:val="16"/>
                  </w:rPr>
                </w:pPr>
                <w:r>
                  <w:rPr>
                    <w:color w:val="000000" w:themeColor="text1"/>
                    <w:sz w:val="16"/>
                    <w:szCs w:val="16"/>
                  </w:rPr>
                  <w:t>四、本期期末余额</w:t>
                </w:r>
              </w:p>
            </w:tc>
          </w:sdtContent>
        </w:sdt>
        <w:tc>
          <w:tcPr>
            <w:tcW w:w="268" w:type="pct"/>
            <w:vAlign w:val="center"/>
          </w:tcPr>
          <w:p w:rsidR="00156DD6" w:rsidRDefault="00D51F5F">
            <w:pPr>
              <w:jc w:val="right"/>
              <w:rPr>
                <w:sz w:val="16"/>
                <w:szCs w:val="16"/>
              </w:rPr>
            </w:pPr>
            <w:r>
              <w:rPr>
                <w:sz w:val="16"/>
                <w:szCs w:val="16"/>
              </w:rPr>
              <w:t xml:space="preserve"> 333,167,407.00 </w:t>
            </w:r>
          </w:p>
        </w:tc>
        <w:tc>
          <w:tcPr>
            <w:tcW w:w="268"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156DD6">
            <w:pPr>
              <w:jc w:val="right"/>
              <w:rPr>
                <w:sz w:val="16"/>
                <w:szCs w:val="16"/>
              </w:rPr>
            </w:pPr>
          </w:p>
        </w:tc>
        <w:tc>
          <w:tcPr>
            <w:tcW w:w="269" w:type="pct"/>
            <w:vAlign w:val="center"/>
          </w:tcPr>
          <w:p w:rsidR="00156DD6" w:rsidRDefault="00D51F5F">
            <w:pPr>
              <w:jc w:val="right"/>
              <w:rPr>
                <w:sz w:val="16"/>
                <w:szCs w:val="16"/>
              </w:rPr>
            </w:pPr>
            <w:r>
              <w:rPr>
                <w:sz w:val="16"/>
                <w:szCs w:val="16"/>
              </w:rPr>
              <w:t xml:space="preserve"> 979,546,333.39 </w:t>
            </w:r>
          </w:p>
        </w:tc>
        <w:tc>
          <w:tcPr>
            <w:tcW w:w="269" w:type="pct"/>
            <w:vAlign w:val="center"/>
          </w:tcPr>
          <w:p w:rsidR="00156DD6" w:rsidRDefault="00D51F5F">
            <w:pPr>
              <w:jc w:val="right"/>
              <w:rPr>
                <w:sz w:val="16"/>
                <w:szCs w:val="16"/>
              </w:rPr>
            </w:pPr>
            <w:r>
              <w:rPr>
                <w:sz w:val="16"/>
                <w:szCs w:val="16"/>
              </w:rPr>
              <w:t xml:space="preserve"> 50,299,241.28 </w:t>
            </w:r>
          </w:p>
        </w:tc>
        <w:tc>
          <w:tcPr>
            <w:tcW w:w="269" w:type="pct"/>
            <w:vAlign w:val="center"/>
          </w:tcPr>
          <w:p w:rsidR="00156DD6" w:rsidRDefault="00D51F5F">
            <w:pPr>
              <w:jc w:val="right"/>
              <w:rPr>
                <w:sz w:val="16"/>
                <w:szCs w:val="16"/>
              </w:rPr>
            </w:pPr>
            <w:r>
              <w:rPr>
                <w:sz w:val="16"/>
                <w:szCs w:val="16"/>
              </w:rPr>
              <w:t xml:space="preserve"> 1,602,227.56 </w:t>
            </w:r>
          </w:p>
        </w:tc>
        <w:tc>
          <w:tcPr>
            <w:tcW w:w="269" w:type="pct"/>
            <w:vAlign w:val="center"/>
          </w:tcPr>
          <w:p w:rsidR="00156DD6" w:rsidRDefault="00D51F5F">
            <w:pPr>
              <w:jc w:val="right"/>
              <w:rPr>
                <w:sz w:val="16"/>
                <w:szCs w:val="16"/>
              </w:rPr>
            </w:pPr>
            <w:r>
              <w:rPr>
                <w:sz w:val="16"/>
                <w:szCs w:val="16"/>
              </w:rPr>
              <w:t xml:space="preserve"> 25,682,345.46 </w:t>
            </w:r>
          </w:p>
        </w:tc>
        <w:tc>
          <w:tcPr>
            <w:tcW w:w="269" w:type="pct"/>
            <w:vAlign w:val="center"/>
          </w:tcPr>
          <w:p w:rsidR="00156DD6" w:rsidRDefault="00D51F5F">
            <w:pPr>
              <w:jc w:val="right"/>
              <w:rPr>
                <w:sz w:val="16"/>
                <w:szCs w:val="16"/>
              </w:rPr>
            </w:pPr>
            <w:r>
              <w:rPr>
                <w:sz w:val="16"/>
                <w:szCs w:val="16"/>
              </w:rPr>
              <w:t xml:space="preserve"> 118,088,672.71 </w:t>
            </w:r>
          </w:p>
        </w:tc>
        <w:tc>
          <w:tcPr>
            <w:tcW w:w="269" w:type="pct"/>
            <w:vAlign w:val="center"/>
          </w:tcPr>
          <w:p w:rsidR="00156DD6" w:rsidRDefault="00D51F5F">
            <w:pPr>
              <w:jc w:val="right"/>
              <w:rPr>
                <w:sz w:val="16"/>
                <w:szCs w:val="16"/>
              </w:rPr>
            </w:pPr>
            <w:r>
              <w:rPr>
                <w:sz w:val="16"/>
                <w:szCs w:val="16"/>
              </w:rPr>
              <w:t xml:space="preserve">   </w:t>
            </w:r>
          </w:p>
        </w:tc>
        <w:tc>
          <w:tcPr>
            <w:tcW w:w="313" w:type="pct"/>
            <w:vAlign w:val="center"/>
          </w:tcPr>
          <w:p w:rsidR="00156DD6" w:rsidRDefault="00D51F5F">
            <w:pPr>
              <w:jc w:val="right"/>
              <w:rPr>
                <w:sz w:val="16"/>
                <w:szCs w:val="16"/>
              </w:rPr>
            </w:pPr>
            <w:r>
              <w:rPr>
                <w:sz w:val="16"/>
                <w:szCs w:val="16"/>
              </w:rPr>
              <w:t xml:space="preserve"> 977,165,873.69 </w:t>
            </w:r>
          </w:p>
        </w:tc>
        <w:tc>
          <w:tcPr>
            <w:tcW w:w="309" w:type="pct"/>
            <w:vAlign w:val="center"/>
          </w:tcPr>
          <w:p w:rsidR="00156DD6" w:rsidRDefault="00D51F5F">
            <w:pPr>
              <w:jc w:val="right"/>
              <w:rPr>
                <w:sz w:val="16"/>
                <w:szCs w:val="16"/>
              </w:rPr>
            </w:pPr>
            <w:r>
              <w:rPr>
                <w:sz w:val="16"/>
                <w:szCs w:val="16"/>
              </w:rPr>
              <w:t xml:space="preserve">  </w:t>
            </w:r>
          </w:p>
        </w:tc>
        <w:tc>
          <w:tcPr>
            <w:tcW w:w="295" w:type="pct"/>
            <w:vAlign w:val="center"/>
          </w:tcPr>
          <w:p w:rsidR="00156DD6" w:rsidRDefault="00D51F5F">
            <w:pPr>
              <w:jc w:val="right"/>
              <w:rPr>
                <w:sz w:val="16"/>
                <w:szCs w:val="16"/>
              </w:rPr>
            </w:pPr>
            <w:r>
              <w:rPr>
                <w:sz w:val="16"/>
                <w:szCs w:val="16"/>
              </w:rPr>
              <w:t xml:space="preserve"> 2,384,953,618.53 </w:t>
            </w:r>
          </w:p>
        </w:tc>
        <w:tc>
          <w:tcPr>
            <w:tcW w:w="351" w:type="pct"/>
            <w:vAlign w:val="center"/>
          </w:tcPr>
          <w:p w:rsidR="00156DD6" w:rsidRDefault="00D51F5F">
            <w:pPr>
              <w:jc w:val="right"/>
              <w:rPr>
                <w:sz w:val="16"/>
                <w:szCs w:val="16"/>
              </w:rPr>
            </w:pPr>
            <w:r>
              <w:rPr>
                <w:sz w:val="16"/>
                <w:szCs w:val="16"/>
              </w:rPr>
              <w:t xml:space="preserve"> 131,376,968.76 </w:t>
            </w:r>
          </w:p>
        </w:tc>
        <w:tc>
          <w:tcPr>
            <w:tcW w:w="385" w:type="pct"/>
            <w:vAlign w:val="center"/>
          </w:tcPr>
          <w:p w:rsidR="00156DD6" w:rsidRDefault="00D51F5F">
            <w:pPr>
              <w:jc w:val="right"/>
              <w:rPr>
                <w:sz w:val="16"/>
                <w:szCs w:val="16"/>
              </w:rPr>
            </w:pPr>
            <w:r>
              <w:rPr>
                <w:sz w:val="16"/>
                <w:szCs w:val="16"/>
              </w:rPr>
              <w:t xml:space="preserve"> 2,516,330,587.29 </w:t>
            </w:r>
          </w:p>
        </w:tc>
      </w:tr>
    </w:tbl>
    <w:p w:rsidR="00156DD6" w:rsidRDefault="00D51F5F">
      <w:pPr>
        <w:snapToGrid w:val="0"/>
        <w:spacing w:line="240" w:lineRule="atLeast"/>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076a4a0998a840bab20f0ed83e5bab3d"/>
          <w:id w:val="-327369051"/>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5b21002df9e248fa81a6770579ce76cd"/>
          <w:id w:val="554892209"/>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6a446d6543174dc48c72d440eefb0b71"/>
          <w:id w:val="874113762"/>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156DD6" w:rsidRDefault="00156DD6">
      <w:pPr>
        <w:rPr>
          <w:color w:val="000000" w:themeColor="text1"/>
        </w:rPr>
      </w:pPr>
    </w:p>
    <w:p w:rsidR="00156DD6" w:rsidRDefault="00156DD6">
      <w:pPr>
        <w:rPr>
          <w:color w:val="000000" w:themeColor="text1"/>
        </w:rPr>
      </w:pPr>
    </w:p>
    <w:p w:rsidR="00156DD6" w:rsidRDefault="00D51F5F">
      <w:pPr>
        <w:pStyle w:val="TOC6"/>
        <w:jc w:val="center"/>
        <w:rPr>
          <w:rFonts w:ascii="宋体" w:hAnsi="宋体"/>
          <w:color w:val="000000" w:themeColor="text1"/>
          <w:sz w:val="21"/>
          <w:szCs w:val="36"/>
        </w:rPr>
      </w:pPr>
      <w:r>
        <w:rPr>
          <w:rFonts w:ascii="宋体" w:hAnsi="宋体"/>
          <w:color w:val="000000" w:themeColor="text1"/>
          <w:sz w:val="21"/>
          <w:szCs w:val="36"/>
        </w:rPr>
        <w:t>母公司</w:t>
      </w:r>
      <w:r>
        <w:rPr>
          <w:rFonts w:ascii="宋体" w:hAnsi="宋体" w:hint="eastAsia"/>
          <w:color w:val="000000" w:themeColor="text1"/>
          <w:sz w:val="21"/>
          <w:szCs w:val="36"/>
        </w:rPr>
        <w:t>所有者权益变动表</w:t>
      </w:r>
    </w:p>
    <w:p w:rsidR="00156DD6" w:rsidRDefault="00D51F5F">
      <w:pPr>
        <w:tabs>
          <w:tab w:val="left" w:pos="10080"/>
        </w:tabs>
        <w:snapToGrid w:val="0"/>
        <w:spacing w:line="240" w:lineRule="atLeast"/>
        <w:ind w:rightChars="12" w:right="25"/>
        <w:jc w:val="center"/>
        <w:rPr>
          <w:b/>
          <w:color w:val="000000" w:themeColor="text1"/>
        </w:rPr>
      </w:pPr>
      <w:r>
        <w:rPr>
          <w:color w:val="000000" w:themeColor="text1"/>
        </w:rPr>
        <w:t>2025</w:t>
      </w:r>
      <w:r>
        <w:rPr>
          <w:color w:val="000000" w:themeColor="text1"/>
        </w:rPr>
        <w:t>年</w:t>
      </w:r>
      <w:r>
        <w:rPr>
          <w:rFonts w:hint="eastAsia"/>
          <w:color w:val="000000" w:themeColor="text1"/>
        </w:rPr>
        <w:t>1</w:t>
      </w:r>
      <w:r>
        <w:rPr>
          <w:rFonts w:hint="eastAsia"/>
          <w:color w:val="000000" w:themeColor="text1"/>
        </w:rPr>
        <w:t>—</w:t>
      </w:r>
      <w:r>
        <w:rPr>
          <w:rFonts w:hint="eastAsia"/>
          <w:color w:val="000000" w:themeColor="text1"/>
        </w:rPr>
        <w:t>6</w:t>
      </w:r>
      <w:r>
        <w:rPr>
          <w:color w:val="000000" w:themeColor="text1"/>
        </w:rPr>
        <w:t>月</w:t>
      </w:r>
    </w:p>
    <w:p w:rsidR="00156DD6" w:rsidRDefault="00D51F5F">
      <w:pPr>
        <w:snapToGrid w:val="0"/>
        <w:spacing w:line="240" w:lineRule="atLeast"/>
        <w:jc w:val="right"/>
        <w:rPr>
          <w:color w:val="000000" w:themeColor="text1"/>
        </w:rPr>
      </w:pPr>
      <w:r>
        <w:rPr>
          <w:color w:val="000000" w:themeColor="text1"/>
        </w:rPr>
        <w:t>单位：</w:t>
      </w:r>
      <w:sdt>
        <w:sdtPr>
          <w:rPr>
            <w:color w:val="000000" w:themeColor="text1"/>
          </w:rPr>
          <w:alias w:val="单位：母公司股东权益调节表"/>
          <w:tag w:val="_GBC_048773409e614c6bb753000b028316a5"/>
          <w:id w:val="14389473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母公司股东权益调节表"/>
          <w:tag w:val="_GBC_5214b7a188334da286fc3038d017d072"/>
          <w:id w:val="-18890241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13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078"/>
        <w:gridCol w:w="1050"/>
        <w:gridCol w:w="1078"/>
        <w:gridCol w:w="1091"/>
        <w:gridCol w:w="1036"/>
        <w:gridCol w:w="1064"/>
        <w:gridCol w:w="1022"/>
        <w:gridCol w:w="1036"/>
        <w:gridCol w:w="1021"/>
        <w:gridCol w:w="1008"/>
        <w:gridCol w:w="1026"/>
      </w:tblGrid>
      <w:tr w:rsidR="00156DD6">
        <w:trPr>
          <w:trHeight w:val="20"/>
        </w:trPr>
        <w:sdt>
          <w:sdtPr>
            <w:rPr>
              <w:sz w:val="16"/>
              <w:szCs w:val="16"/>
            </w:rPr>
            <w:tag w:val="_PLD_e16babcb874e4410be91226aac3d24db"/>
            <w:id w:val="-1794894452"/>
          </w:sdtPr>
          <w:sdtEndPr/>
          <w:sdtContent>
            <w:tc>
              <w:tcPr>
                <w:tcW w:w="2450" w:type="dxa"/>
                <w:vMerge w:val="restart"/>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项目</w:t>
                </w:r>
              </w:p>
            </w:tc>
          </w:sdtContent>
        </w:sdt>
        <w:tc>
          <w:tcPr>
            <w:tcW w:w="11510" w:type="dxa"/>
            <w:gridSpan w:val="11"/>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 xml:space="preserve"> </w:t>
            </w:r>
            <w:sdt>
              <w:sdtPr>
                <w:rPr>
                  <w:sz w:val="16"/>
                  <w:szCs w:val="16"/>
                </w:rPr>
                <w:tag w:val="_PLD_f6e21c3ce66d4e148eea3bf743a653b8"/>
                <w:id w:val="-398679016"/>
              </w:sdtPr>
              <w:sdtEndPr/>
              <w:sdtContent>
                <w:r>
                  <w:rPr>
                    <w:rFonts w:hint="eastAsia"/>
                    <w:color w:val="000000" w:themeColor="text1"/>
                    <w:sz w:val="16"/>
                    <w:szCs w:val="16"/>
                  </w:rPr>
                  <w:t>2025</w:t>
                </w:r>
                <w:r>
                  <w:rPr>
                    <w:rFonts w:hint="eastAsia"/>
                    <w:color w:val="000000" w:themeColor="text1"/>
                    <w:sz w:val="16"/>
                    <w:szCs w:val="16"/>
                  </w:rPr>
                  <w:t>年半年度</w:t>
                </w:r>
              </w:sdtContent>
            </w:sdt>
          </w:p>
        </w:tc>
      </w:tr>
      <w:tr w:rsidR="00156DD6">
        <w:trPr>
          <w:trHeight w:val="315"/>
        </w:trPr>
        <w:tc>
          <w:tcPr>
            <w:tcW w:w="2450" w:type="dxa"/>
            <w:vMerge/>
            <w:vAlign w:val="center"/>
          </w:tcPr>
          <w:p w:rsidR="00156DD6" w:rsidRDefault="00156DD6">
            <w:pPr>
              <w:adjustRightInd w:val="0"/>
              <w:snapToGrid w:val="0"/>
              <w:rPr>
                <w:color w:val="000000" w:themeColor="text1"/>
                <w:sz w:val="16"/>
                <w:szCs w:val="16"/>
              </w:rPr>
            </w:pPr>
          </w:p>
        </w:tc>
        <w:sdt>
          <w:sdtPr>
            <w:rPr>
              <w:sz w:val="16"/>
              <w:szCs w:val="16"/>
            </w:rPr>
            <w:tag w:val="_PLD_0b6e9703ed65458cb162afd47e6cc9f5"/>
            <w:id w:val="-1966494153"/>
          </w:sdtPr>
          <w:sdtEndPr/>
          <w:sdtContent>
            <w:tc>
              <w:tcPr>
                <w:tcW w:w="1078" w:type="dxa"/>
                <w:vMerge w:val="restart"/>
                <w:tcBorders>
                  <w:right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实收资本</w:t>
                </w:r>
                <w:r>
                  <w:rPr>
                    <w:color w:val="000000" w:themeColor="text1"/>
                    <w:sz w:val="16"/>
                    <w:szCs w:val="16"/>
                  </w:rPr>
                  <w:t xml:space="preserve"> (</w:t>
                </w:r>
                <w:r>
                  <w:rPr>
                    <w:color w:val="000000" w:themeColor="text1"/>
                    <w:sz w:val="16"/>
                    <w:szCs w:val="16"/>
                  </w:rPr>
                  <w:t>或股本</w:t>
                </w:r>
                <w:r>
                  <w:rPr>
                    <w:color w:val="000000" w:themeColor="text1"/>
                    <w:sz w:val="16"/>
                    <w:szCs w:val="16"/>
                  </w:rPr>
                  <w:t>)</w:t>
                </w:r>
              </w:p>
            </w:tc>
          </w:sdtContent>
        </w:sdt>
        <w:sdt>
          <w:sdtPr>
            <w:rPr>
              <w:sz w:val="16"/>
              <w:szCs w:val="16"/>
            </w:rPr>
            <w:tag w:val="_PLD_385a3413585444238bb59d181b958311"/>
            <w:id w:val="-419017685"/>
          </w:sdtPr>
          <w:sdtEndPr/>
          <w:sdtContent>
            <w:tc>
              <w:tcPr>
                <w:tcW w:w="3219" w:type="dxa"/>
                <w:gridSpan w:val="3"/>
                <w:tcBorders>
                  <w:left w:val="single" w:sz="4" w:space="0" w:color="auto"/>
                  <w:bottom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其他权益工具</w:t>
                </w:r>
              </w:p>
            </w:tc>
          </w:sdtContent>
        </w:sdt>
        <w:sdt>
          <w:sdtPr>
            <w:rPr>
              <w:sz w:val="16"/>
              <w:szCs w:val="16"/>
            </w:rPr>
            <w:tag w:val="_PLD_670488de432c4150880353e82f6ebb21"/>
            <w:id w:val="1698349092"/>
          </w:sdtPr>
          <w:sdtEndPr/>
          <w:sdtContent>
            <w:tc>
              <w:tcPr>
                <w:tcW w:w="1036"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资本公积</w:t>
                </w:r>
              </w:p>
            </w:tc>
          </w:sdtContent>
        </w:sdt>
        <w:sdt>
          <w:sdtPr>
            <w:rPr>
              <w:sz w:val="16"/>
              <w:szCs w:val="16"/>
            </w:rPr>
            <w:tag w:val="_PLD_c1c25c4e521b4e8aba5ccfef16a558c5"/>
            <w:id w:val="-1757733415"/>
          </w:sdtPr>
          <w:sdtEndPr/>
          <w:sdtContent>
            <w:tc>
              <w:tcPr>
                <w:tcW w:w="1064"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减：库存股</w:t>
                </w:r>
              </w:p>
            </w:tc>
          </w:sdtContent>
        </w:sdt>
        <w:sdt>
          <w:sdtPr>
            <w:rPr>
              <w:sz w:val="16"/>
              <w:szCs w:val="16"/>
            </w:rPr>
            <w:tag w:val="_PLD_4ef83c170ca54a08ac6fcebc6a487dcd"/>
            <w:id w:val="1526599074"/>
          </w:sdtPr>
          <w:sdtEndPr/>
          <w:sdtContent>
            <w:tc>
              <w:tcPr>
                <w:tcW w:w="1022" w:type="dxa"/>
                <w:vMerge w:val="restart"/>
                <w:vAlign w:val="center"/>
              </w:tcPr>
              <w:p w:rsidR="00156DD6" w:rsidRDefault="00D51F5F">
                <w:pPr>
                  <w:jc w:val="center"/>
                  <w:rPr>
                    <w:color w:val="000000" w:themeColor="text1"/>
                    <w:sz w:val="16"/>
                    <w:szCs w:val="16"/>
                  </w:rPr>
                </w:pPr>
                <w:r>
                  <w:rPr>
                    <w:rFonts w:hint="eastAsia"/>
                    <w:color w:val="000000" w:themeColor="text1"/>
                    <w:sz w:val="16"/>
                    <w:szCs w:val="16"/>
                  </w:rPr>
                  <w:t>其他综合收益</w:t>
                </w:r>
              </w:p>
            </w:tc>
          </w:sdtContent>
        </w:sdt>
        <w:sdt>
          <w:sdtPr>
            <w:rPr>
              <w:sz w:val="16"/>
              <w:szCs w:val="16"/>
            </w:rPr>
            <w:tag w:val="_PLD_5a42f2a835d44138928915520fc5e902"/>
            <w:id w:val="1367872164"/>
          </w:sdtPr>
          <w:sdtEndPr/>
          <w:sdtContent>
            <w:tc>
              <w:tcPr>
                <w:tcW w:w="1036" w:type="dxa"/>
                <w:vMerge w:val="restart"/>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专项储备</w:t>
                </w:r>
              </w:p>
            </w:tc>
          </w:sdtContent>
        </w:sdt>
        <w:sdt>
          <w:sdtPr>
            <w:rPr>
              <w:sz w:val="16"/>
              <w:szCs w:val="16"/>
            </w:rPr>
            <w:tag w:val="_PLD_dbef0e1514f54b8ab8b43e975d3451b6"/>
            <w:id w:val="1766188563"/>
          </w:sdtPr>
          <w:sdtEndPr/>
          <w:sdtContent>
            <w:tc>
              <w:tcPr>
                <w:tcW w:w="1021"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盈余公积</w:t>
                </w:r>
              </w:p>
            </w:tc>
          </w:sdtContent>
        </w:sdt>
        <w:sdt>
          <w:sdtPr>
            <w:rPr>
              <w:sz w:val="16"/>
              <w:szCs w:val="16"/>
            </w:rPr>
            <w:tag w:val="_PLD_63b6c2969ec64e7abb1802f027c1069a"/>
            <w:id w:val="-815105806"/>
          </w:sdtPr>
          <w:sdtEndPr/>
          <w:sdtContent>
            <w:tc>
              <w:tcPr>
                <w:tcW w:w="1008"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未分配利润</w:t>
                </w:r>
              </w:p>
            </w:tc>
          </w:sdtContent>
        </w:sdt>
        <w:sdt>
          <w:sdtPr>
            <w:rPr>
              <w:sz w:val="16"/>
              <w:szCs w:val="16"/>
            </w:rPr>
            <w:tag w:val="_PLD_cdd38492b3a84e28b52c6700432babfd"/>
            <w:id w:val="763728875"/>
          </w:sdtPr>
          <w:sdtEndPr/>
          <w:sdtContent>
            <w:tc>
              <w:tcPr>
                <w:tcW w:w="1026"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所有者权益合计</w:t>
                </w:r>
              </w:p>
            </w:tc>
          </w:sdtContent>
        </w:sdt>
      </w:tr>
      <w:tr w:rsidR="00156DD6">
        <w:trPr>
          <w:trHeight w:val="294"/>
        </w:trPr>
        <w:tc>
          <w:tcPr>
            <w:tcW w:w="2450" w:type="dxa"/>
            <w:vMerge/>
            <w:vAlign w:val="center"/>
          </w:tcPr>
          <w:p w:rsidR="00156DD6" w:rsidRDefault="00156DD6">
            <w:pPr>
              <w:adjustRightInd w:val="0"/>
              <w:snapToGrid w:val="0"/>
              <w:rPr>
                <w:color w:val="000000" w:themeColor="text1"/>
                <w:sz w:val="16"/>
                <w:szCs w:val="16"/>
              </w:rPr>
            </w:pPr>
          </w:p>
        </w:tc>
        <w:tc>
          <w:tcPr>
            <w:tcW w:w="1078" w:type="dxa"/>
            <w:vMerge/>
            <w:tcBorders>
              <w:right w:val="single" w:sz="4" w:space="0" w:color="auto"/>
            </w:tcBorders>
            <w:vAlign w:val="center"/>
          </w:tcPr>
          <w:p w:rsidR="00156DD6" w:rsidRDefault="00156DD6">
            <w:pPr>
              <w:adjustRightInd w:val="0"/>
              <w:snapToGrid w:val="0"/>
              <w:jc w:val="center"/>
              <w:rPr>
                <w:color w:val="000000" w:themeColor="text1"/>
                <w:sz w:val="16"/>
                <w:szCs w:val="16"/>
              </w:rPr>
            </w:pPr>
          </w:p>
        </w:tc>
        <w:sdt>
          <w:sdtPr>
            <w:rPr>
              <w:sz w:val="16"/>
              <w:szCs w:val="16"/>
            </w:rPr>
            <w:tag w:val="_PLD_90c1cf3c29414463ba491093caed23a7"/>
            <w:id w:val="61602659"/>
          </w:sdtPr>
          <w:sdtEndPr/>
          <w:sdtContent>
            <w:tc>
              <w:tcPr>
                <w:tcW w:w="1050" w:type="dxa"/>
                <w:tcBorders>
                  <w:top w:val="single" w:sz="4" w:space="0" w:color="auto"/>
                  <w:left w:val="single" w:sz="4" w:space="0" w:color="auto"/>
                  <w:right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优先股</w:t>
                </w:r>
              </w:p>
            </w:tc>
          </w:sdtContent>
        </w:sdt>
        <w:sdt>
          <w:sdtPr>
            <w:rPr>
              <w:sz w:val="16"/>
              <w:szCs w:val="16"/>
            </w:rPr>
            <w:tag w:val="_PLD_7dac20c025664b94b7a2176be4c24d00"/>
            <w:id w:val="1868104323"/>
          </w:sdtPr>
          <w:sdtEndPr/>
          <w:sdtContent>
            <w:tc>
              <w:tcPr>
                <w:tcW w:w="1078" w:type="dxa"/>
                <w:tcBorders>
                  <w:top w:val="single" w:sz="4" w:space="0" w:color="auto"/>
                  <w:left w:val="single" w:sz="4" w:space="0" w:color="auto"/>
                  <w:right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永续债</w:t>
                </w:r>
              </w:p>
            </w:tc>
          </w:sdtContent>
        </w:sdt>
        <w:sdt>
          <w:sdtPr>
            <w:rPr>
              <w:sz w:val="16"/>
              <w:szCs w:val="16"/>
            </w:rPr>
            <w:tag w:val="_PLD_23829f284d5149ee92e64b94083b1ade"/>
            <w:id w:val="-1299454251"/>
          </w:sdtPr>
          <w:sdtEndPr/>
          <w:sdtContent>
            <w:tc>
              <w:tcPr>
                <w:tcW w:w="1091" w:type="dxa"/>
                <w:tcBorders>
                  <w:top w:val="single" w:sz="4" w:space="0" w:color="auto"/>
                  <w:left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其他</w:t>
                </w:r>
              </w:p>
            </w:tc>
          </w:sdtContent>
        </w:sdt>
        <w:tc>
          <w:tcPr>
            <w:tcW w:w="1036" w:type="dxa"/>
            <w:vMerge/>
            <w:vAlign w:val="center"/>
          </w:tcPr>
          <w:p w:rsidR="00156DD6" w:rsidRDefault="00156DD6">
            <w:pPr>
              <w:adjustRightInd w:val="0"/>
              <w:snapToGrid w:val="0"/>
              <w:jc w:val="center"/>
              <w:rPr>
                <w:color w:val="000000" w:themeColor="text1"/>
                <w:sz w:val="16"/>
                <w:szCs w:val="16"/>
              </w:rPr>
            </w:pPr>
          </w:p>
        </w:tc>
        <w:tc>
          <w:tcPr>
            <w:tcW w:w="1064" w:type="dxa"/>
            <w:vMerge/>
            <w:vAlign w:val="center"/>
          </w:tcPr>
          <w:p w:rsidR="00156DD6" w:rsidRDefault="00156DD6">
            <w:pPr>
              <w:adjustRightInd w:val="0"/>
              <w:snapToGrid w:val="0"/>
              <w:jc w:val="center"/>
              <w:rPr>
                <w:color w:val="000000" w:themeColor="text1"/>
                <w:sz w:val="16"/>
                <w:szCs w:val="16"/>
              </w:rPr>
            </w:pPr>
          </w:p>
        </w:tc>
        <w:tc>
          <w:tcPr>
            <w:tcW w:w="1022" w:type="dxa"/>
            <w:vMerge/>
            <w:vAlign w:val="center"/>
          </w:tcPr>
          <w:p w:rsidR="00156DD6" w:rsidRDefault="00156DD6">
            <w:pPr>
              <w:jc w:val="center"/>
              <w:rPr>
                <w:color w:val="000000" w:themeColor="text1"/>
                <w:sz w:val="16"/>
                <w:szCs w:val="16"/>
              </w:rPr>
            </w:pPr>
          </w:p>
        </w:tc>
        <w:tc>
          <w:tcPr>
            <w:tcW w:w="1036" w:type="dxa"/>
            <w:vMerge/>
            <w:vAlign w:val="center"/>
          </w:tcPr>
          <w:p w:rsidR="00156DD6" w:rsidRDefault="00156DD6">
            <w:pPr>
              <w:adjustRightInd w:val="0"/>
              <w:snapToGrid w:val="0"/>
              <w:jc w:val="center"/>
              <w:rPr>
                <w:color w:val="000000" w:themeColor="text1"/>
                <w:sz w:val="16"/>
                <w:szCs w:val="16"/>
              </w:rPr>
            </w:pPr>
          </w:p>
        </w:tc>
        <w:tc>
          <w:tcPr>
            <w:tcW w:w="1021" w:type="dxa"/>
            <w:vMerge/>
            <w:vAlign w:val="center"/>
          </w:tcPr>
          <w:p w:rsidR="00156DD6" w:rsidRDefault="00156DD6">
            <w:pPr>
              <w:adjustRightInd w:val="0"/>
              <w:snapToGrid w:val="0"/>
              <w:jc w:val="center"/>
              <w:rPr>
                <w:color w:val="000000" w:themeColor="text1"/>
                <w:sz w:val="16"/>
                <w:szCs w:val="16"/>
              </w:rPr>
            </w:pPr>
          </w:p>
        </w:tc>
        <w:tc>
          <w:tcPr>
            <w:tcW w:w="1008" w:type="dxa"/>
            <w:vMerge/>
            <w:vAlign w:val="center"/>
          </w:tcPr>
          <w:p w:rsidR="00156DD6" w:rsidRDefault="00156DD6">
            <w:pPr>
              <w:adjustRightInd w:val="0"/>
              <w:snapToGrid w:val="0"/>
              <w:jc w:val="center"/>
              <w:rPr>
                <w:color w:val="000000" w:themeColor="text1"/>
                <w:sz w:val="16"/>
                <w:szCs w:val="16"/>
              </w:rPr>
            </w:pPr>
          </w:p>
        </w:tc>
        <w:tc>
          <w:tcPr>
            <w:tcW w:w="1026" w:type="dxa"/>
            <w:vMerge/>
            <w:vAlign w:val="center"/>
          </w:tcPr>
          <w:p w:rsidR="00156DD6" w:rsidRDefault="00156DD6">
            <w:pPr>
              <w:adjustRightInd w:val="0"/>
              <w:snapToGrid w:val="0"/>
              <w:jc w:val="center"/>
              <w:rPr>
                <w:color w:val="000000" w:themeColor="text1"/>
                <w:sz w:val="16"/>
                <w:szCs w:val="16"/>
              </w:rPr>
            </w:pPr>
          </w:p>
        </w:tc>
      </w:tr>
      <w:tr w:rsidR="00156DD6">
        <w:trPr>
          <w:trHeight w:val="20"/>
        </w:trPr>
        <w:sdt>
          <w:sdtPr>
            <w:rPr>
              <w:sz w:val="16"/>
              <w:szCs w:val="16"/>
            </w:rPr>
            <w:tag w:val="_PLD_b5131b53bda244fcbd76916797d6b666"/>
            <w:id w:val="-324508989"/>
          </w:sdtPr>
          <w:sdtEndPr/>
          <w:sdtContent>
            <w:tc>
              <w:tcPr>
                <w:tcW w:w="2450" w:type="dxa"/>
                <w:vAlign w:val="center"/>
              </w:tcPr>
              <w:p w:rsidR="00156DD6" w:rsidRDefault="00D51F5F">
                <w:pPr>
                  <w:rPr>
                    <w:color w:val="000000" w:themeColor="text1"/>
                    <w:sz w:val="16"/>
                    <w:szCs w:val="16"/>
                  </w:rPr>
                </w:pPr>
                <w:r>
                  <w:rPr>
                    <w:color w:val="000000" w:themeColor="text1"/>
                    <w:sz w:val="16"/>
                    <w:szCs w:val="16"/>
                  </w:rPr>
                  <w:t>一、上年</w:t>
                </w:r>
                <w:r>
                  <w:rPr>
                    <w:rFonts w:hint="eastAsia"/>
                    <w:color w:val="000000" w:themeColor="text1"/>
                    <w:sz w:val="16"/>
                    <w:szCs w:val="16"/>
                  </w:rPr>
                  <w:t>期</w:t>
                </w:r>
                <w:r>
                  <w:rPr>
                    <w:color w:val="000000" w:themeColor="text1"/>
                    <w:sz w:val="16"/>
                    <w:szCs w:val="16"/>
                  </w:rPr>
                  <w:t>末余额</w:t>
                </w:r>
              </w:p>
            </w:tc>
          </w:sdtContent>
        </w:sdt>
        <w:tc>
          <w:tcPr>
            <w:tcW w:w="1078" w:type="dxa"/>
            <w:tcBorders>
              <w:right w:val="single" w:sz="4" w:space="0" w:color="auto"/>
            </w:tcBorders>
            <w:vAlign w:val="center"/>
          </w:tcPr>
          <w:p w:rsidR="00156DD6" w:rsidRDefault="00D51F5F">
            <w:pPr>
              <w:jc w:val="right"/>
              <w:rPr>
                <w:sz w:val="16"/>
                <w:szCs w:val="16"/>
              </w:rPr>
            </w:pPr>
            <w:r>
              <w:rPr>
                <w:rFonts w:hint="eastAsia"/>
                <w:sz w:val="16"/>
                <w:szCs w:val="16"/>
              </w:rPr>
              <w:t xml:space="preserve"> 333,167,407.00 </w:t>
            </w: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right w:val="single" w:sz="4" w:space="0" w:color="auto"/>
            </w:tcBorders>
            <w:vAlign w:val="center"/>
          </w:tcPr>
          <w:p w:rsidR="00156DD6" w:rsidRDefault="00156DD6">
            <w:pPr>
              <w:jc w:val="right"/>
              <w:rPr>
                <w:sz w:val="16"/>
                <w:szCs w:val="16"/>
              </w:rPr>
            </w:pPr>
          </w:p>
        </w:tc>
        <w:tc>
          <w:tcPr>
            <w:tcW w:w="1036" w:type="dxa"/>
            <w:tcBorders>
              <w:left w:val="single" w:sz="4" w:space="0" w:color="auto"/>
            </w:tcBorders>
            <w:vAlign w:val="center"/>
          </w:tcPr>
          <w:p w:rsidR="00156DD6" w:rsidRDefault="00D51F5F">
            <w:pPr>
              <w:jc w:val="right"/>
              <w:rPr>
                <w:sz w:val="16"/>
                <w:szCs w:val="16"/>
              </w:rPr>
            </w:pPr>
            <w:r>
              <w:rPr>
                <w:rFonts w:hint="eastAsia"/>
                <w:sz w:val="16"/>
                <w:szCs w:val="16"/>
              </w:rPr>
              <w:t xml:space="preserve"> 969,891,813.86 </w:t>
            </w:r>
          </w:p>
        </w:tc>
        <w:tc>
          <w:tcPr>
            <w:tcW w:w="1064" w:type="dxa"/>
            <w:vAlign w:val="center"/>
          </w:tcPr>
          <w:p w:rsidR="00156DD6" w:rsidRDefault="00D51F5F">
            <w:pPr>
              <w:jc w:val="right"/>
              <w:rPr>
                <w:sz w:val="16"/>
                <w:szCs w:val="16"/>
              </w:rPr>
            </w:pPr>
            <w:r>
              <w:rPr>
                <w:rFonts w:hint="eastAsia"/>
                <w:sz w:val="16"/>
                <w:szCs w:val="16"/>
              </w:rPr>
              <w:t xml:space="preserve"> 30,893,741.28 </w:t>
            </w:r>
          </w:p>
        </w:tc>
        <w:tc>
          <w:tcPr>
            <w:tcW w:w="1022" w:type="dxa"/>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19,302,441.84 </w:t>
            </w:r>
          </w:p>
        </w:tc>
        <w:tc>
          <w:tcPr>
            <w:tcW w:w="1021" w:type="dxa"/>
            <w:vAlign w:val="center"/>
          </w:tcPr>
          <w:p w:rsidR="00156DD6" w:rsidRDefault="00D51F5F">
            <w:pPr>
              <w:jc w:val="right"/>
              <w:rPr>
                <w:sz w:val="16"/>
                <w:szCs w:val="16"/>
              </w:rPr>
            </w:pPr>
            <w:r>
              <w:rPr>
                <w:rFonts w:hint="eastAsia"/>
                <w:sz w:val="16"/>
                <w:szCs w:val="16"/>
              </w:rPr>
              <w:t xml:space="preserve"> 121,494,338.37 </w:t>
            </w:r>
          </w:p>
        </w:tc>
        <w:tc>
          <w:tcPr>
            <w:tcW w:w="1008" w:type="dxa"/>
            <w:vAlign w:val="center"/>
          </w:tcPr>
          <w:p w:rsidR="00156DD6" w:rsidRDefault="00D51F5F">
            <w:pPr>
              <w:jc w:val="right"/>
              <w:rPr>
                <w:sz w:val="16"/>
                <w:szCs w:val="16"/>
              </w:rPr>
            </w:pPr>
            <w:r>
              <w:rPr>
                <w:rFonts w:hint="eastAsia"/>
                <w:sz w:val="16"/>
                <w:szCs w:val="16"/>
              </w:rPr>
              <w:t xml:space="preserve"> 982,926,914.80 </w:t>
            </w:r>
          </w:p>
        </w:tc>
        <w:tc>
          <w:tcPr>
            <w:tcW w:w="1026" w:type="dxa"/>
            <w:vAlign w:val="center"/>
          </w:tcPr>
          <w:p w:rsidR="00156DD6" w:rsidRDefault="00D51F5F">
            <w:pPr>
              <w:jc w:val="right"/>
              <w:rPr>
                <w:sz w:val="16"/>
                <w:szCs w:val="16"/>
              </w:rPr>
            </w:pPr>
            <w:r>
              <w:rPr>
                <w:rFonts w:hint="eastAsia"/>
                <w:sz w:val="16"/>
                <w:szCs w:val="16"/>
              </w:rPr>
              <w:t xml:space="preserve"> 2,395,889,174.59 </w:t>
            </w:r>
          </w:p>
        </w:tc>
      </w:tr>
      <w:tr w:rsidR="00156DD6">
        <w:trPr>
          <w:trHeight w:val="20"/>
        </w:trPr>
        <w:sdt>
          <w:sdtPr>
            <w:rPr>
              <w:sz w:val="16"/>
              <w:szCs w:val="16"/>
            </w:rPr>
            <w:tag w:val="_PLD_66de901175bd4e50a35a24f0fca7513d"/>
            <w:id w:val="710539094"/>
          </w:sdtPr>
          <w:sdtEndPr/>
          <w:sdtContent>
            <w:tc>
              <w:tcPr>
                <w:tcW w:w="2450" w:type="dxa"/>
                <w:vAlign w:val="center"/>
              </w:tcPr>
              <w:p w:rsidR="00156DD6" w:rsidRDefault="00D51F5F">
                <w:pPr>
                  <w:rPr>
                    <w:color w:val="000000" w:themeColor="text1"/>
                    <w:sz w:val="16"/>
                    <w:szCs w:val="16"/>
                  </w:rPr>
                </w:pPr>
                <w:r>
                  <w:rPr>
                    <w:color w:val="000000" w:themeColor="text1"/>
                    <w:sz w:val="16"/>
                    <w:szCs w:val="16"/>
                  </w:rPr>
                  <w:t>加：会计政策变更</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right w:val="single" w:sz="4" w:space="0" w:color="auto"/>
            </w:tcBorders>
            <w:vAlign w:val="center"/>
          </w:tcPr>
          <w:p w:rsidR="00156DD6" w:rsidRDefault="00156DD6">
            <w:pPr>
              <w:jc w:val="right"/>
              <w:rPr>
                <w:sz w:val="16"/>
                <w:szCs w:val="16"/>
              </w:rPr>
            </w:pPr>
          </w:p>
        </w:tc>
        <w:tc>
          <w:tcPr>
            <w:tcW w:w="1036" w:type="dxa"/>
            <w:tcBorders>
              <w:left w:val="single" w:sz="4" w:space="0" w:color="auto"/>
            </w:tcBorders>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sdt>
          <w:sdtPr>
            <w:rPr>
              <w:sz w:val="16"/>
              <w:szCs w:val="16"/>
            </w:rPr>
            <w:tag w:val="_PLD_3bfc3b7951f4488f95a7180f02c989cf"/>
            <w:id w:val="22830739"/>
          </w:sdtPr>
          <w:sdtEndPr/>
          <w:sdtContent>
            <w:tc>
              <w:tcPr>
                <w:tcW w:w="2450" w:type="dxa"/>
                <w:vAlign w:val="center"/>
              </w:tcPr>
              <w:p w:rsidR="00156DD6" w:rsidRDefault="00D51F5F">
                <w:pPr>
                  <w:ind w:firstLineChars="200" w:firstLine="320"/>
                  <w:rPr>
                    <w:color w:val="000000" w:themeColor="text1"/>
                    <w:sz w:val="16"/>
                    <w:szCs w:val="16"/>
                  </w:rPr>
                </w:pPr>
                <w:r>
                  <w:rPr>
                    <w:color w:val="000000" w:themeColor="text1"/>
                    <w:sz w:val="16"/>
                    <w:szCs w:val="16"/>
                  </w:rPr>
                  <w:t>前期差错更正</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right w:val="single" w:sz="4" w:space="0" w:color="auto"/>
            </w:tcBorders>
            <w:vAlign w:val="center"/>
          </w:tcPr>
          <w:p w:rsidR="00156DD6" w:rsidRDefault="00156DD6">
            <w:pPr>
              <w:jc w:val="right"/>
              <w:rPr>
                <w:sz w:val="16"/>
                <w:szCs w:val="16"/>
              </w:rPr>
            </w:pPr>
          </w:p>
        </w:tc>
        <w:tc>
          <w:tcPr>
            <w:tcW w:w="1036" w:type="dxa"/>
            <w:tcBorders>
              <w:left w:val="single" w:sz="4" w:space="0" w:color="auto"/>
            </w:tcBorders>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sdt>
          <w:sdtPr>
            <w:rPr>
              <w:sz w:val="16"/>
              <w:szCs w:val="16"/>
            </w:rPr>
            <w:tag w:val="_PLD_dc9b9aaf7e384b1eae7dcabb517c2b1e"/>
            <w:id w:val="-2133862288"/>
          </w:sdtPr>
          <w:sdtEndPr/>
          <w:sdtContent>
            <w:tc>
              <w:tcPr>
                <w:tcW w:w="2450" w:type="dxa"/>
                <w:vAlign w:val="center"/>
              </w:tcPr>
              <w:p w:rsidR="00156DD6" w:rsidRDefault="00D51F5F">
                <w:pPr>
                  <w:ind w:firstLineChars="200" w:firstLine="320"/>
                  <w:rPr>
                    <w:color w:val="000000" w:themeColor="text1"/>
                    <w:sz w:val="16"/>
                    <w:szCs w:val="16"/>
                  </w:rPr>
                </w:pPr>
                <w:r>
                  <w:rPr>
                    <w:rFonts w:hint="eastAsia"/>
                    <w:color w:val="000000" w:themeColor="text1"/>
                    <w:sz w:val="16"/>
                    <w:szCs w:val="16"/>
                  </w:rPr>
                  <w:t>其他</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right w:val="single" w:sz="4" w:space="0" w:color="auto"/>
            </w:tcBorders>
            <w:vAlign w:val="center"/>
          </w:tcPr>
          <w:p w:rsidR="00156DD6" w:rsidRDefault="00156DD6">
            <w:pPr>
              <w:jc w:val="right"/>
              <w:rPr>
                <w:sz w:val="16"/>
                <w:szCs w:val="16"/>
              </w:rPr>
            </w:pPr>
          </w:p>
        </w:tc>
        <w:tc>
          <w:tcPr>
            <w:tcW w:w="1036" w:type="dxa"/>
            <w:tcBorders>
              <w:left w:val="single" w:sz="4" w:space="0" w:color="auto"/>
            </w:tcBorders>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sdt>
          <w:sdtPr>
            <w:rPr>
              <w:sz w:val="16"/>
              <w:szCs w:val="16"/>
            </w:rPr>
            <w:tag w:val="_PLD_345919472b384d0eb13471ef5f2f5e92"/>
            <w:id w:val="-1119301923"/>
          </w:sdtPr>
          <w:sdtEndPr/>
          <w:sdtContent>
            <w:tc>
              <w:tcPr>
                <w:tcW w:w="2450" w:type="dxa"/>
                <w:vAlign w:val="center"/>
              </w:tcPr>
              <w:p w:rsidR="00156DD6" w:rsidRDefault="00D51F5F">
                <w:pPr>
                  <w:rPr>
                    <w:color w:val="000000" w:themeColor="text1"/>
                    <w:sz w:val="16"/>
                    <w:szCs w:val="16"/>
                  </w:rPr>
                </w:pPr>
                <w:r>
                  <w:rPr>
                    <w:color w:val="000000" w:themeColor="text1"/>
                    <w:sz w:val="16"/>
                    <w:szCs w:val="16"/>
                  </w:rPr>
                  <w:t>二、本年</w:t>
                </w:r>
                <w:r>
                  <w:rPr>
                    <w:rFonts w:hint="eastAsia"/>
                    <w:color w:val="000000" w:themeColor="text1"/>
                    <w:sz w:val="16"/>
                    <w:szCs w:val="16"/>
                  </w:rPr>
                  <w:t>期</w:t>
                </w:r>
                <w:r>
                  <w:rPr>
                    <w:color w:val="000000" w:themeColor="text1"/>
                    <w:sz w:val="16"/>
                    <w:szCs w:val="16"/>
                  </w:rPr>
                  <w:t>初余额</w:t>
                </w:r>
              </w:p>
            </w:tc>
          </w:sdtContent>
        </w:sdt>
        <w:tc>
          <w:tcPr>
            <w:tcW w:w="1078" w:type="dxa"/>
            <w:tcBorders>
              <w:right w:val="single" w:sz="4" w:space="0" w:color="auto"/>
            </w:tcBorders>
            <w:vAlign w:val="center"/>
          </w:tcPr>
          <w:p w:rsidR="00156DD6" w:rsidRDefault="00D51F5F">
            <w:pPr>
              <w:jc w:val="right"/>
              <w:rPr>
                <w:sz w:val="16"/>
                <w:szCs w:val="16"/>
              </w:rPr>
            </w:pPr>
            <w:r>
              <w:rPr>
                <w:rFonts w:hint="eastAsia"/>
                <w:sz w:val="16"/>
                <w:szCs w:val="16"/>
              </w:rPr>
              <w:t xml:space="preserve"> 333,167,407.00 </w:t>
            </w: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right w:val="single" w:sz="4" w:space="0" w:color="auto"/>
            </w:tcBorders>
            <w:vAlign w:val="center"/>
          </w:tcPr>
          <w:p w:rsidR="00156DD6" w:rsidRDefault="00156DD6">
            <w:pPr>
              <w:jc w:val="right"/>
              <w:rPr>
                <w:sz w:val="16"/>
                <w:szCs w:val="16"/>
              </w:rPr>
            </w:pPr>
          </w:p>
        </w:tc>
        <w:tc>
          <w:tcPr>
            <w:tcW w:w="1036" w:type="dxa"/>
            <w:tcBorders>
              <w:left w:val="single" w:sz="4" w:space="0" w:color="auto"/>
            </w:tcBorders>
            <w:vAlign w:val="center"/>
          </w:tcPr>
          <w:p w:rsidR="00156DD6" w:rsidRDefault="00D51F5F">
            <w:pPr>
              <w:jc w:val="right"/>
              <w:rPr>
                <w:sz w:val="16"/>
                <w:szCs w:val="16"/>
              </w:rPr>
            </w:pPr>
            <w:r>
              <w:rPr>
                <w:rFonts w:hint="eastAsia"/>
                <w:sz w:val="16"/>
                <w:szCs w:val="16"/>
              </w:rPr>
              <w:t xml:space="preserve"> 969,891,813.86 </w:t>
            </w:r>
          </w:p>
        </w:tc>
        <w:tc>
          <w:tcPr>
            <w:tcW w:w="1064" w:type="dxa"/>
            <w:vAlign w:val="center"/>
          </w:tcPr>
          <w:p w:rsidR="00156DD6" w:rsidRDefault="00D51F5F">
            <w:pPr>
              <w:jc w:val="right"/>
              <w:rPr>
                <w:sz w:val="16"/>
                <w:szCs w:val="16"/>
              </w:rPr>
            </w:pPr>
            <w:r>
              <w:rPr>
                <w:rFonts w:hint="eastAsia"/>
                <w:sz w:val="16"/>
                <w:szCs w:val="16"/>
              </w:rPr>
              <w:t xml:space="preserve"> 30,893,741.28 </w:t>
            </w:r>
          </w:p>
        </w:tc>
        <w:tc>
          <w:tcPr>
            <w:tcW w:w="1022" w:type="dxa"/>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19,302,441.84 </w:t>
            </w:r>
          </w:p>
        </w:tc>
        <w:tc>
          <w:tcPr>
            <w:tcW w:w="1021" w:type="dxa"/>
            <w:vAlign w:val="center"/>
          </w:tcPr>
          <w:p w:rsidR="00156DD6" w:rsidRDefault="00D51F5F">
            <w:pPr>
              <w:jc w:val="right"/>
              <w:rPr>
                <w:sz w:val="16"/>
                <w:szCs w:val="16"/>
              </w:rPr>
            </w:pPr>
            <w:r>
              <w:rPr>
                <w:rFonts w:hint="eastAsia"/>
                <w:sz w:val="16"/>
                <w:szCs w:val="16"/>
              </w:rPr>
              <w:t xml:space="preserve"> 121,494,338.37 </w:t>
            </w:r>
          </w:p>
        </w:tc>
        <w:tc>
          <w:tcPr>
            <w:tcW w:w="1008" w:type="dxa"/>
            <w:vAlign w:val="center"/>
          </w:tcPr>
          <w:p w:rsidR="00156DD6" w:rsidRDefault="00D51F5F">
            <w:pPr>
              <w:jc w:val="right"/>
              <w:rPr>
                <w:sz w:val="16"/>
                <w:szCs w:val="16"/>
              </w:rPr>
            </w:pPr>
            <w:r>
              <w:rPr>
                <w:rFonts w:hint="eastAsia"/>
                <w:sz w:val="16"/>
                <w:szCs w:val="16"/>
              </w:rPr>
              <w:t xml:space="preserve"> 982,926,914.80 </w:t>
            </w:r>
          </w:p>
        </w:tc>
        <w:tc>
          <w:tcPr>
            <w:tcW w:w="1026" w:type="dxa"/>
            <w:vAlign w:val="center"/>
          </w:tcPr>
          <w:p w:rsidR="00156DD6" w:rsidRDefault="00D51F5F">
            <w:pPr>
              <w:jc w:val="right"/>
              <w:rPr>
                <w:sz w:val="16"/>
                <w:szCs w:val="16"/>
              </w:rPr>
            </w:pPr>
            <w:r>
              <w:rPr>
                <w:rFonts w:hint="eastAsia"/>
                <w:sz w:val="16"/>
                <w:szCs w:val="16"/>
              </w:rPr>
              <w:t xml:space="preserve"> 2,395,889,174.59 </w:t>
            </w:r>
          </w:p>
        </w:tc>
      </w:tr>
      <w:tr w:rsidR="00156DD6">
        <w:trPr>
          <w:trHeight w:val="20"/>
        </w:trPr>
        <w:sdt>
          <w:sdtPr>
            <w:rPr>
              <w:sz w:val="16"/>
              <w:szCs w:val="16"/>
            </w:rPr>
            <w:tag w:val="_PLD_4eea4cc259884a6ab5f2fe018aec3d4e"/>
            <w:id w:val="1336881578"/>
          </w:sdtPr>
          <w:sdtEndPr/>
          <w:sdtContent>
            <w:tc>
              <w:tcPr>
                <w:tcW w:w="2450" w:type="dxa"/>
                <w:vAlign w:val="center"/>
              </w:tcPr>
              <w:p w:rsidR="00156DD6" w:rsidRDefault="00D51F5F">
                <w:pPr>
                  <w:rPr>
                    <w:color w:val="000000" w:themeColor="text1"/>
                    <w:sz w:val="16"/>
                    <w:szCs w:val="16"/>
                  </w:rPr>
                </w:pPr>
                <w:r>
                  <w:rPr>
                    <w:color w:val="000000" w:themeColor="text1"/>
                    <w:sz w:val="16"/>
                    <w:szCs w:val="16"/>
                  </w:rPr>
                  <w:t>三、本</w:t>
                </w:r>
                <w:r>
                  <w:rPr>
                    <w:rFonts w:hint="eastAsia"/>
                    <w:color w:val="000000" w:themeColor="text1"/>
                    <w:sz w:val="16"/>
                    <w:szCs w:val="16"/>
                  </w:rPr>
                  <w:t>期</w:t>
                </w:r>
                <w:r>
                  <w:rPr>
                    <w:color w:val="000000" w:themeColor="text1"/>
                    <w:sz w:val="16"/>
                    <w:szCs w:val="16"/>
                  </w:rPr>
                  <w:t>增减变动金额（减少以</w:t>
                </w:r>
                <w:r>
                  <w:rPr>
                    <w:color w:val="000000" w:themeColor="text1"/>
                    <w:sz w:val="16"/>
                    <w:szCs w:val="16"/>
                  </w:rPr>
                  <w:t>“</w:t>
                </w:r>
                <w:r>
                  <w:rPr>
                    <w:color w:val="000000" w:themeColor="text1"/>
                    <w:sz w:val="16"/>
                    <w:szCs w:val="16"/>
                  </w:rPr>
                  <w:t>－</w:t>
                </w:r>
                <w:r>
                  <w:rPr>
                    <w:color w:val="000000" w:themeColor="text1"/>
                    <w:sz w:val="16"/>
                    <w:szCs w:val="16"/>
                  </w:rPr>
                  <w:t>”</w:t>
                </w:r>
                <w:r>
                  <w:rPr>
                    <w:color w:val="000000" w:themeColor="text1"/>
                    <w:sz w:val="16"/>
                    <w:szCs w:val="16"/>
                  </w:rPr>
                  <w:t>号填列）</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-1,813,927.74 </w:t>
            </w:r>
          </w:p>
        </w:tc>
        <w:tc>
          <w:tcPr>
            <w:tcW w:w="1064" w:type="dxa"/>
            <w:vAlign w:val="center"/>
          </w:tcPr>
          <w:p w:rsidR="00156DD6" w:rsidRDefault="00D51F5F">
            <w:pPr>
              <w:jc w:val="right"/>
              <w:rPr>
                <w:sz w:val="16"/>
                <w:szCs w:val="16"/>
              </w:rPr>
            </w:pPr>
            <w:r>
              <w:rPr>
                <w:rFonts w:hint="eastAsia"/>
                <w:sz w:val="16"/>
                <w:szCs w:val="16"/>
              </w:rPr>
              <w:t xml:space="preserve"> -4,500,800.00 </w:t>
            </w:r>
          </w:p>
        </w:tc>
        <w:tc>
          <w:tcPr>
            <w:tcW w:w="1022" w:type="dxa"/>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1,003,835.70 </w:t>
            </w:r>
          </w:p>
        </w:tc>
        <w:tc>
          <w:tcPr>
            <w:tcW w:w="1021" w:type="dxa"/>
            <w:vAlign w:val="center"/>
          </w:tcPr>
          <w:p w:rsidR="00156DD6" w:rsidRDefault="00156DD6">
            <w:pPr>
              <w:jc w:val="right"/>
              <w:rPr>
                <w:sz w:val="16"/>
                <w:szCs w:val="16"/>
              </w:rPr>
            </w:pPr>
          </w:p>
        </w:tc>
        <w:tc>
          <w:tcPr>
            <w:tcW w:w="1008" w:type="dxa"/>
            <w:vAlign w:val="center"/>
          </w:tcPr>
          <w:p w:rsidR="00156DD6" w:rsidRDefault="00D51F5F">
            <w:pPr>
              <w:jc w:val="right"/>
              <w:rPr>
                <w:sz w:val="16"/>
                <w:szCs w:val="16"/>
              </w:rPr>
            </w:pPr>
            <w:r>
              <w:rPr>
                <w:rFonts w:hint="eastAsia"/>
                <w:sz w:val="16"/>
                <w:szCs w:val="16"/>
              </w:rPr>
              <w:t xml:space="preserve">   30,362,835.85   </w:t>
            </w:r>
          </w:p>
        </w:tc>
        <w:tc>
          <w:tcPr>
            <w:tcW w:w="1026" w:type="dxa"/>
            <w:vAlign w:val="center"/>
          </w:tcPr>
          <w:p w:rsidR="00156DD6" w:rsidRDefault="00D51F5F">
            <w:pPr>
              <w:jc w:val="right"/>
              <w:rPr>
                <w:sz w:val="16"/>
                <w:szCs w:val="16"/>
              </w:rPr>
            </w:pPr>
            <w:r>
              <w:rPr>
                <w:rFonts w:hint="eastAsia"/>
                <w:sz w:val="16"/>
                <w:szCs w:val="16"/>
              </w:rPr>
              <w:t xml:space="preserve">   34,053,543.81   </w:t>
            </w:r>
          </w:p>
        </w:tc>
      </w:tr>
      <w:tr w:rsidR="00156DD6">
        <w:trPr>
          <w:trHeight w:val="20"/>
        </w:trPr>
        <w:sdt>
          <w:sdtPr>
            <w:rPr>
              <w:sz w:val="16"/>
              <w:szCs w:val="16"/>
            </w:rPr>
            <w:tag w:val="_PLD_c2eb317db9474ea9b9513a40ba81d9f7"/>
            <w:id w:val="-1557920174"/>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（一）综合收益总额</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D51F5F">
            <w:pPr>
              <w:jc w:val="right"/>
              <w:rPr>
                <w:sz w:val="16"/>
                <w:szCs w:val="16"/>
              </w:rPr>
            </w:pPr>
            <w:r>
              <w:rPr>
                <w:rFonts w:hint="eastAsia"/>
                <w:sz w:val="16"/>
                <w:szCs w:val="16"/>
              </w:rPr>
              <w:t xml:space="preserve">   46,976,867.80   </w:t>
            </w:r>
          </w:p>
        </w:tc>
        <w:tc>
          <w:tcPr>
            <w:tcW w:w="1026" w:type="dxa"/>
            <w:vAlign w:val="center"/>
          </w:tcPr>
          <w:p w:rsidR="00156DD6" w:rsidRDefault="00D51F5F">
            <w:pPr>
              <w:jc w:val="right"/>
              <w:rPr>
                <w:sz w:val="16"/>
                <w:szCs w:val="16"/>
              </w:rPr>
            </w:pPr>
            <w:r>
              <w:rPr>
                <w:rFonts w:hint="eastAsia"/>
                <w:sz w:val="16"/>
                <w:szCs w:val="16"/>
              </w:rPr>
              <w:t xml:space="preserve">   46,976,867.80   </w:t>
            </w:r>
          </w:p>
        </w:tc>
      </w:tr>
      <w:tr w:rsidR="00156DD6">
        <w:trPr>
          <w:trHeight w:val="20"/>
        </w:trPr>
        <w:sdt>
          <w:sdtPr>
            <w:rPr>
              <w:sz w:val="16"/>
              <w:szCs w:val="16"/>
            </w:rPr>
            <w:tag w:val="_PLD_2c2c42255e12419d81111ac5d28c5859"/>
            <w:id w:val="-814021865"/>
          </w:sdtPr>
          <w:sdtEndPr/>
          <w:sdtContent>
            <w:tc>
              <w:tcPr>
                <w:tcW w:w="2450" w:type="dxa"/>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二</w:t>
                </w:r>
                <w:r>
                  <w:rPr>
                    <w:color w:val="000000" w:themeColor="text1"/>
                    <w:sz w:val="16"/>
                    <w:szCs w:val="16"/>
                  </w:rPr>
                  <w:t>）所有者投入和减少资本</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-1,813,927.74 </w:t>
            </w:r>
          </w:p>
        </w:tc>
        <w:tc>
          <w:tcPr>
            <w:tcW w:w="1064" w:type="dxa"/>
            <w:vAlign w:val="center"/>
          </w:tcPr>
          <w:p w:rsidR="00156DD6" w:rsidRDefault="00D51F5F">
            <w:pPr>
              <w:jc w:val="right"/>
              <w:rPr>
                <w:sz w:val="16"/>
                <w:szCs w:val="16"/>
              </w:rPr>
            </w:pPr>
            <w:r>
              <w:rPr>
                <w:rFonts w:hint="eastAsia"/>
                <w:sz w:val="16"/>
                <w:szCs w:val="16"/>
              </w:rPr>
              <w:t xml:space="preserve"> -4,500,800.00 </w:t>
            </w: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D51F5F">
            <w:pPr>
              <w:jc w:val="right"/>
              <w:rPr>
                <w:sz w:val="16"/>
                <w:szCs w:val="16"/>
              </w:rPr>
            </w:pPr>
            <w:r>
              <w:rPr>
                <w:rFonts w:hint="eastAsia"/>
                <w:sz w:val="16"/>
                <w:szCs w:val="16"/>
              </w:rPr>
              <w:t xml:space="preserve">   </w:t>
            </w:r>
          </w:p>
        </w:tc>
        <w:tc>
          <w:tcPr>
            <w:tcW w:w="1026" w:type="dxa"/>
            <w:vAlign w:val="center"/>
          </w:tcPr>
          <w:p w:rsidR="00156DD6" w:rsidRDefault="00D51F5F">
            <w:pPr>
              <w:jc w:val="right"/>
              <w:rPr>
                <w:sz w:val="16"/>
                <w:szCs w:val="16"/>
              </w:rPr>
            </w:pPr>
            <w:r>
              <w:rPr>
                <w:rFonts w:hint="eastAsia"/>
                <w:sz w:val="16"/>
                <w:szCs w:val="16"/>
              </w:rPr>
              <w:t xml:space="preserve"> 2,686,872.26 </w:t>
            </w:r>
          </w:p>
        </w:tc>
      </w:tr>
      <w:tr w:rsidR="00156DD6">
        <w:trPr>
          <w:trHeight w:val="20"/>
        </w:trPr>
        <w:sdt>
          <w:sdtPr>
            <w:rPr>
              <w:sz w:val="16"/>
              <w:szCs w:val="16"/>
            </w:rPr>
            <w:tag w:val="_PLD_ced9c335ab0c4ec8b683bd42730e309b"/>
            <w:id w:val="-636485449"/>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1</w:t>
                </w:r>
                <w:r>
                  <w:rPr>
                    <w:rFonts w:hint="eastAsia"/>
                    <w:color w:val="000000" w:themeColor="text1"/>
                    <w:sz w:val="16"/>
                    <w:szCs w:val="16"/>
                  </w:rPr>
                  <w:t>．所有者投入的普通股</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sdt>
          <w:sdtPr>
            <w:rPr>
              <w:sz w:val="16"/>
              <w:szCs w:val="16"/>
            </w:rPr>
            <w:tag w:val="_PLD_5db7714c048b45cb8fc2f783898126a2"/>
            <w:id w:val="-1447540771"/>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2</w:t>
                </w:r>
                <w:r>
                  <w:rPr>
                    <w:rFonts w:hint="eastAsia"/>
                    <w:color w:val="000000" w:themeColor="text1"/>
                    <w:sz w:val="16"/>
                    <w:szCs w:val="16"/>
                  </w:rPr>
                  <w:t>．其他权益工具持有者投入资本</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sdt>
          <w:sdtPr>
            <w:rPr>
              <w:sz w:val="16"/>
              <w:szCs w:val="16"/>
            </w:rPr>
            <w:tag w:val="_PLD_0c8627dcaed14beabce3c3a65384cf01"/>
            <w:id w:val="955366726"/>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3</w:t>
                </w:r>
                <w:r>
                  <w:rPr>
                    <w:color w:val="000000" w:themeColor="text1"/>
                    <w:sz w:val="16"/>
                    <w:szCs w:val="16"/>
                  </w:rPr>
                  <w:t>．股份支付计入所有者权益的金额</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-1,813,927.74 </w:t>
            </w:r>
          </w:p>
        </w:tc>
        <w:tc>
          <w:tcPr>
            <w:tcW w:w="1064" w:type="dxa"/>
            <w:vAlign w:val="center"/>
          </w:tcPr>
          <w:p w:rsidR="00156DD6" w:rsidRDefault="00D51F5F">
            <w:pPr>
              <w:jc w:val="right"/>
              <w:rPr>
                <w:sz w:val="16"/>
                <w:szCs w:val="16"/>
              </w:rPr>
            </w:pPr>
            <w:r>
              <w:rPr>
                <w:rFonts w:hint="eastAsia"/>
                <w:sz w:val="16"/>
                <w:szCs w:val="16"/>
              </w:rPr>
              <w:t xml:space="preserve"> -4,500,800.00 </w:t>
            </w: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D51F5F">
            <w:pPr>
              <w:jc w:val="right"/>
              <w:rPr>
                <w:sz w:val="16"/>
                <w:szCs w:val="16"/>
              </w:rPr>
            </w:pPr>
            <w:r>
              <w:rPr>
                <w:rFonts w:hint="eastAsia"/>
                <w:sz w:val="16"/>
                <w:szCs w:val="16"/>
              </w:rPr>
              <w:t xml:space="preserve"> 2,686,872.26 </w:t>
            </w:r>
          </w:p>
        </w:tc>
      </w:tr>
      <w:tr w:rsidR="00156DD6">
        <w:trPr>
          <w:trHeight w:val="20"/>
        </w:trPr>
        <w:sdt>
          <w:sdtPr>
            <w:rPr>
              <w:sz w:val="16"/>
              <w:szCs w:val="16"/>
            </w:rPr>
            <w:tag w:val="_PLD_4815225e85794febad32622528b72229"/>
            <w:id w:val="-1795587328"/>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4</w:t>
                </w:r>
                <w:r>
                  <w:rPr>
                    <w:color w:val="000000" w:themeColor="text1"/>
                    <w:sz w:val="16"/>
                    <w:szCs w:val="16"/>
                  </w:rPr>
                  <w:t>．其他</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D51F5F">
            <w:pPr>
              <w:jc w:val="right"/>
              <w:rPr>
                <w:sz w:val="16"/>
                <w:szCs w:val="16"/>
              </w:rPr>
            </w:pPr>
            <w:r>
              <w:rPr>
                <w:rFonts w:hint="eastAsia"/>
                <w:sz w:val="16"/>
                <w:szCs w:val="16"/>
              </w:rPr>
              <w:t xml:space="preserve">  </w:t>
            </w:r>
          </w:p>
        </w:tc>
      </w:tr>
      <w:tr w:rsidR="00156DD6">
        <w:trPr>
          <w:trHeight w:val="20"/>
        </w:trPr>
        <w:sdt>
          <w:sdtPr>
            <w:rPr>
              <w:sz w:val="16"/>
              <w:szCs w:val="16"/>
            </w:rPr>
            <w:tag w:val="_PLD_1277678c10f343d5a55853e3552c21df"/>
            <w:id w:val="-351960105"/>
          </w:sdtPr>
          <w:sdtEndPr/>
          <w:sdtContent>
            <w:tc>
              <w:tcPr>
                <w:tcW w:w="2450" w:type="dxa"/>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三</w:t>
                </w:r>
                <w:r>
                  <w:rPr>
                    <w:color w:val="000000" w:themeColor="text1"/>
                    <w:sz w:val="16"/>
                    <w:szCs w:val="16"/>
                  </w:rPr>
                  <w:t>）利润分配</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D51F5F">
            <w:pPr>
              <w:jc w:val="right"/>
              <w:rPr>
                <w:sz w:val="16"/>
                <w:szCs w:val="16"/>
              </w:rPr>
            </w:pPr>
            <w:r>
              <w:rPr>
                <w:rFonts w:hint="eastAsia"/>
                <w:sz w:val="16"/>
                <w:szCs w:val="16"/>
              </w:rPr>
              <w:t xml:space="preserve"> -16,614,031.95 </w:t>
            </w:r>
          </w:p>
        </w:tc>
        <w:tc>
          <w:tcPr>
            <w:tcW w:w="1026" w:type="dxa"/>
            <w:vAlign w:val="center"/>
          </w:tcPr>
          <w:p w:rsidR="00156DD6" w:rsidRDefault="00D51F5F">
            <w:pPr>
              <w:jc w:val="right"/>
              <w:rPr>
                <w:sz w:val="16"/>
                <w:szCs w:val="16"/>
              </w:rPr>
            </w:pPr>
            <w:r>
              <w:rPr>
                <w:rFonts w:hint="eastAsia"/>
                <w:sz w:val="16"/>
                <w:szCs w:val="16"/>
              </w:rPr>
              <w:t xml:space="preserve"> -16,614,031.95 </w:t>
            </w:r>
          </w:p>
        </w:tc>
      </w:tr>
      <w:tr w:rsidR="00156DD6">
        <w:trPr>
          <w:trHeight w:val="20"/>
        </w:trPr>
        <w:sdt>
          <w:sdtPr>
            <w:rPr>
              <w:sz w:val="16"/>
              <w:szCs w:val="16"/>
            </w:rPr>
            <w:tag w:val="_PLD_6be0f6b7609247d98f239c435a57bdf2"/>
            <w:id w:val="870264978"/>
          </w:sdtPr>
          <w:sdtEndPr/>
          <w:sdtContent>
            <w:tc>
              <w:tcPr>
                <w:tcW w:w="2450" w:type="dxa"/>
                <w:vAlign w:val="center"/>
              </w:tcPr>
              <w:p w:rsidR="00156DD6" w:rsidRDefault="00D51F5F">
                <w:pPr>
                  <w:rPr>
                    <w:color w:val="000000" w:themeColor="text1"/>
                    <w:sz w:val="16"/>
                    <w:szCs w:val="16"/>
                  </w:rPr>
                </w:pPr>
                <w:r>
                  <w:rPr>
                    <w:color w:val="000000" w:themeColor="text1"/>
                    <w:sz w:val="16"/>
                    <w:szCs w:val="16"/>
                  </w:rPr>
                  <w:t>1</w:t>
                </w:r>
                <w:r>
                  <w:rPr>
                    <w:color w:val="000000" w:themeColor="text1"/>
                    <w:sz w:val="16"/>
                    <w:szCs w:val="16"/>
                  </w:rPr>
                  <w:t>．提取盈余公积</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b4a66855afc2407cbaf93baeafe0ad7f"/>
            <w:id w:val="-1316486462"/>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2</w:t>
                </w:r>
                <w:r>
                  <w:rPr>
                    <w:color w:val="000000" w:themeColor="text1"/>
                    <w:sz w:val="16"/>
                    <w:szCs w:val="16"/>
                  </w:rPr>
                  <w:t>．对所有者（或股东）的分配</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D51F5F">
            <w:pPr>
              <w:jc w:val="right"/>
              <w:rPr>
                <w:sz w:val="16"/>
                <w:szCs w:val="16"/>
              </w:rPr>
            </w:pPr>
            <w:r>
              <w:rPr>
                <w:rFonts w:hint="eastAsia"/>
                <w:sz w:val="16"/>
                <w:szCs w:val="16"/>
              </w:rPr>
              <w:t xml:space="preserve"> -16,614,031.95 </w:t>
            </w:r>
          </w:p>
        </w:tc>
        <w:tc>
          <w:tcPr>
            <w:tcW w:w="1026" w:type="dxa"/>
            <w:vAlign w:val="center"/>
          </w:tcPr>
          <w:p w:rsidR="00156DD6" w:rsidRDefault="00D51F5F">
            <w:pPr>
              <w:jc w:val="right"/>
              <w:rPr>
                <w:sz w:val="16"/>
                <w:szCs w:val="16"/>
              </w:rPr>
            </w:pPr>
            <w:r>
              <w:rPr>
                <w:rFonts w:hint="eastAsia"/>
                <w:sz w:val="16"/>
                <w:szCs w:val="16"/>
              </w:rPr>
              <w:t xml:space="preserve"> -16,614,031.95 </w:t>
            </w:r>
          </w:p>
        </w:tc>
      </w:tr>
      <w:tr w:rsidR="00156DD6">
        <w:trPr>
          <w:trHeight w:val="20"/>
        </w:trPr>
        <w:sdt>
          <w:sdtPr>
            <w:rPr>
              <w:sz w:val="16"/>
              <w:szCs w:val="16"/>
            </w:rPr>
            <w:tag w:val="_PLD_f35184bd1aa14b32a781b0ed9b526ffe"/>
            <w:id w:val="599061754"/>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3</w:t>
                </w:r>
                <w:r>
                  <w:rPr>
                    <w:color w:val="000000" w:themeColor="text1"/>
                    <w:sz w:val="16"/>
                    <w:szCs w:val="16"/>
                  </w:rPr>
                  <w:t>．其他</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D51F5F">
            <w:pPr>
              <w:jc w:val="right"/>
              <w:rPr>
                <w:sz w:val="16"/>
                <w:szCs w:val="16"/>
              </w:rPr>
            </w:pPr>
            <w:r>
              <w:rPr>
                <w:rFonts w:hint="eastAsia"/>
                <w:sz w:val="16"/>
                <w:szCs w:val="16"/>
              </w:rPr>
              <w:t xml:space="preserve">  </w:t>
            </w:r>
          </w:p>
        </w:tc>
      </w:tr>
      <w:tr w:rsidR="00156DD6">
        <w:trPr>
          <w:trHeight w:val="20"/>
        </w:trPr>
        <w:sdt>
          <w:sdtPr>
            <w:rPr>
              <w:sz w:val="16"/>
              <w:szCs w:val="16"/>
            </w:rPr>
            <w:tag w:val="_PLD_377c539e51b74e8689b49d91a30d6a9f"/>
            <w:id w:val="2087261687"/>
          </w:sdtPr>
          <w:sdtEndPr/>
          <w:sdtContent>
            <w:tc>
              <w:tcPr>
                <w:tcW w:w="2450" w:type="dxa"/>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四</w:t>
                </w:r>
                <w:r>
                  <w:rPr>
                    <w:color w:val="000000" w:themeColor="text1"/>
                    <w:sz w:val="16"/>
                    <w:szCs w:val="16"/>
                  </w:rPr>
                  <w:t>）所有者权益内部结转</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sdt>
          <w:sdtPr>
            <w:rPr>
              <w:sz w:val="16"/>
              <w:szCs w:val="16"/>
            </w:rPr>
            <w:tag w:val="_PLD_9d82304ad85542d89ad56bdebdedd7c5"/>
            <w:id w:val="-122542480"/>
          </w:sdtPr>
          <w:sdtEndPr/>
          <w:sdtContent>
            <w:tc>
              <w:tcPr>
                <w:tcW w:w="2450" w:type="dxa"/>
                <w:vAlign w:val="center"/>
              </w:tcPr>
              <w:p w:rsidR="00156DD6" w:rsidRDefault="00D51F5F">
                <w:pPr>
                  <w:rPr>
                    <w:color w:val="000000" w:themeColor="text1"/>
                    <w:sz w:val="16"/>
                    <w:szCs w:val="16"/>
                  </w:rPr>
                </w:pPr>
                <w:r>
                  <w:rPr>
                    <w:color w:val="000000" w:themeColor="text1"/>
                    <w:sz w:val="16"/>
                    <w:szCs w:val="16"/>
                  </w:rPr>
                  <w:t>1</w:t>
                </w:r>
                <w:r>
                  <w:rPr>
                    <w:color w:val="000000" w:themeColor="text1"/>
                    <w:sz w:val="16"/>
                    <w:szCs w:val="16"/>
                  </w:rPr>
                  <w:t>．资本公积转增资本（或股本）</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sdt>
          <w:sdtPr>
            <w:rPr>
              <w:sz w:val="16"/>
              <w:szCs w:val="16"/>
            </w:rPr>
            <w:tag w:val="_PLD_ba5c81951f1c4ff0a188b55532ed96a5"/>
            <w:id w:val="-359360989"/>
          </w:sdtPr>
          <w:sdtEndPr/>
          <w:sdtContent>
            <w:tc>
              <w:tcPr>
                <w:tcW w:w="2450" w:type="dxa"/>
                <w:vAlign w:val="center"/>
              </w:tcPr>
              <w:p w:rsidR="00156DD6" w:rsidRDefault="00D51F5F">
                <w:pPr>
                  <w:rPr>
                    <w:color w:val="000000" w:themeColor="text1"/>
                    <w:sz w:val="16"/>
                    <w:szCs w:val="16"/>
                  </w:rPr>
                </w:pPr>
                <w:r>
                  <w:rPr>
                    <w:color w:val="000000" w:themeColor="text1"/>
                    <w:sz w:val="16"/>
                    <w:szCs w:val="16"/>
                  </w:rPr>
                  <w:t>2</w:t>
                </w:r>
                <w:r>
                  <w:rPr>
                    <w:color w:val="000000" w:themeColor="text1"/>
                    <w:sz w:val="16"/>
                    <w:szCs w:val="16"/>
                  </w:rPr>
                  <w:t>．盈余公积转增资本（或股本）</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sdt>
          <w:sdtPr>
            <w:rPr>
              <w:sz w:val="16"/>
              <w:szCs w:val="16"/>
            </w:rPr>
            <w:tag w:val="_PLD_81b068c4cdf2482a9438450e52e9b3b4"/>
            <w:id w:val="173845704"/>
          </w:sdtPr>
          <w:sdtEndPr/>
          <w:sdtContent>
            <w:tc>
              <w:tcPr>
                <w:tcW w:w="2450" w:type="dxa"/>
                <w:vAlign w:val="center"/>
              </w:tcPr>
              <w:p w:rsidR="00156DD6" w:rsidRDefault="00D51F5F">
                <w:pPr>
                  <w:rPr>
                    <w:color w:val="000000" w:themeColor="text1"/>
                    <w:sz w:val="16"/>
                    <w:szCs w:val="16"/>
                  </w:rPr>
                </w:pPr>
                <w:r>
                  <w:rPr>
                    <w:color w:val="000000" w:themeColor="text1"/>
                    <w:sz w:val="16"/>
                    <w:szCs w:val="16"/>
                  </w:rPr>
                  <w:t>3</w:t>
                </w:r>
                <w:r>
                  <w:rPr>
                    <w:color w:val="000000" w:themeColor="text1"/>
                    <w:sz w:val="16"/>
                    <w:szCs w:val="16"/>
                  </w:rPr>
                  <w:t>．盈余公积弥补亏损</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tc>
          <w:tcPr>
            <w:tcW w:w="2450" w:type="dxa"/>
            <w:vAlign w:val="center"/>
          </w:tcPr>
          <w:sdt>
            <w:sdtPr>
              <w:rPr>
                <w:sz w:val="16"/>
                <w:szCs w:val="16"/>
              </w:rPr>
              <w:tag w:val="_PLD_0e7647effaeb42219d706b118465bdec"/>
              <w:id w:val="-693000273"/>
            </w:sdtPr>
            <w:sdtEndPr/>
            <w:sdtContent>
              <w:p w:rsidR="00156DD6" w:rsidRDefault="00D51F5F">
                <w:pPr>
                  <w:rPr>
                    <w:color w:val="000000" w:themeColor="text1"/>
                    <w:sz w:val="16"/>
                    <w:szCs w:val="16"/>
                  </w:rPr>
                </w:pPr>
                <w:r>
                  <w:rPr>
                    <w:color w:val="000000" w:themeColor="text1"/>
                    <w:sz w:val="16"/>
                    <w:szCs w:val="16"/>
                  </w:rPr>
                  <w:t>4</w:t>
                </w:r>
                <w:r>
                  <w:rPr>
                    <w:color w:val="000000" w:themeColor="text1"/>
                    <w:sz w:val="16"/>
                    <w:szCs w:val="16"/>
                  </w:rPr>
                  <w:t>．设定受益计划变动额结转留存收益</w:t>
                </w:r>
              </w:p>
            </w:sdtContent>
          </w:sdt>
        </w:tc>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tc>
          <w:tcPr>
            <w:tcW w:w="2450" w:type="dxa"/>
            <w:vAlign w:val="center"/>
          </w:tcPr>
          <w:sdt>
            <w:sdtPr>
              <w:rPr>
                <w:sz w:val="16"/>
                <w:szCs w:val="16"/>
              </w:rPr>
              <w:tag w:val="_PLD_1c8ba4a0bb224c1d891e628390545199"/>
              <w:id w:val="1360851849"/>
            </w:sdtPr>
            <w:sdtEndPr/>
            <w:sdtContent>
              <w:p w:rsidR="00156DD6" w:rsidRDefault="00D51F5F">
                <w:pPr>
                  <w:rPr>
                    <w:color w:val="000000" w:themeColor="text1"/>
                    <w:sz w:val="16"/>
                    <w:szCs w:val="16"/>
                  </w:rPr>
                </w:pPr>
                <w:r>
                  <w:rPr>
                    <w:color w:val="000000" w:themeColor="text1"/>
                    <w:sz w:val="16"/>
                    <w:szCs w:val="16"/>
                  </w:rPr>
                  <w:t>5</w:t>
                </w:r>
                <w:r>
                  <w:rPr>
                    <w:color w:val="000000" w:themeColor="text1"/>
                    <w:sz w:val="16"/>
                    <w:szCs w:val="16"/>
                  </w:rPr>
                  <w:t>．其他综合收益结转留存收益</w:t>
                </w:r>
              </w:p>
            </w:sdtContent>
          </w:sdt>
        </w:tc>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tc>
          <w:tcPr>
            <w:tcW w:w="2450" w:type="dxa"/>
            <w:vAlign w:val="center"/>
          </w:tcPr>
          <w:sdt>
            <w:sdtPr>
              <w:rPr>
                <w:sz w:val="16"/>
                <w:szCs w:val="16"/>
              </w:rPr>
              <w:tag w:val="_PLD_69d4adb536bf498a8a9d97dda9d31e75"/>
              <w:id w:val="802193039"/>
            </w:sdtPr>
            <w:sdtEndPr/>
            <w:sdtContent>
              <w:p w:rsidR="00156DD6" w:rsidRDefault="00D51F5F">
                <w:pPr>
                  <w:rPr>
                    <w:color w:val="000000" w:themeColor="text1"/>
                    <w:sz w:val="16"/>
                    <w:szCs w:val="16"/>
                  </w:rPr>
                </w:pPr>
                <w:r>
                  <w:rPr>
                    <w:color w:val="000000" w:themeColor="text1"/>
                    <w:sz w:val="16"/>
                    <w:szCs w:val="16"/>
                  </w:rPr>
                  <w:t>6</w:t>
                </w:r>
                <w:r>
                  <w:rPr>
                    <w:color w:val="000000" w:themeColor="text1"/>
                    <w:sz w:val="16"/>
                    <w:szCs w:val="16"/>
                  </w:rPr>
                  <w:t>．其他</w:t>
                </w:r>
              </w:p>
            </w:sdtContent>
          </w:sdt>
        </w:tc>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156DD6">
            <w:pPr>
              <w:jc w:val="right"/>
              <w:rPr>
                <w:sz w:val="16"/>
                <w:szCs w:val="16"/>
              </w:rPr>
            </w:pPr>
          </w:p>
        </w:tc>
      </w:tr>
      <w:tr w:rsidR="00156DD6">
        <w:trPr>
          <w:trHeight w:val="20"/>
        </w:trPr>
        <w:sdt>
          <w:sdtPr>
            <w:rPr>
              <w:sz w:val="16"/>
              <w:szCs w:val="16"/>
            </w:rPr>
            <w:tag w:val="_PLD_2ae06251c01740e284196240776af550"/>
            <w:id w:val="-1605410780"/>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（五）专项储备</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1,003,835.70 </w:t>
            </w: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D51F5F">
            <w:pPr>
              <w:jc w:val="right"/>
              <w:rPr>
                <w:sz w:val="16"/>
                <w:szCs w:val="16"/>
              </w:rPr>
            </w:pPr>
            <w:r>
              <w:rPr>
                <w:rFonts w:hint="eastAsia"/>
                <w:sz w:val="16"/>
                <w:szCs w:val="16"/>
              </w:rPr>
              <w:t xml:space="preserve"> 1,003,835.70 </w:t>
            </w:r>
          </w:p>
        </w:tc>
      </w:tr>
      <w:tr w:rsidR="00156DD6">
        <w:trPr>
          <w:trHeight w:val="20"/>
        </w:trPr>
        <w:sdt>
          <w:sdtPr>
            <w:rPr>
              <w:sz w:val="16"/>
              <w:szCs w:val="16"/>
            </w:rPr>
            <w:tag w:val="_PLD_6c9c274129814a4ea45296335d45791b"/>
            <w:id w:val="-1848084180"/>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1</w:t>
                </w:r>
                <w:r>
                  <w:rPr>
                    <w:rFonts w:hint="eastAsia"/>
                    <w:color w:val="000000" w:themeColor="text1"/>
                    <w:sz w:val="16"/>
                    <w:szCs w:val="16"/>
                  </w:rPr>
                  <w:t>．本期提取</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5,409,862.98 </w:t>
            </w: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D51F5F">
            <w:pPr>
              <w:jc w:val="right"/>
              <w:rPr>
                <w:sz w:val="16"/>
                <w:szCs w:val="16"/>
              </w:rPr>
            </w:pPr>
            <w:r>
              <w:rPr>
                <w:rFonts w:hint="eastAsia"/>
                <w:sz w:val="16"/>
                <w:szCs w:val="16"/>
              </w:rPr>
              <w:t xml:space="preserve"> 5,409,862.98 </w:t>
            </w:r>
          </w:p>
        </w:tc>
      </w:tr>
      <w:tr w:rsidR="00156DD6">
        <w:trPr>
          <w:trHeight w:val="20"/>
        </w:trPr>
        <w:sdt>
          <w:sdtPr>
            <w:rPr>
              <w:sz w:val="16"/>
              <w:szCs w:val="16"/>
            </w:rPr>
            <w:tag w:val="_PLD_14398e4dd6ed4c74869a974323e2137e"/>
            <w:id w:val="-539814473"/>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2</w:t>
                </w:r>
                <w:r>
                  <w:rPr>
                    <w:rFonts w:hint="eastAsia"/>
                    <w:color w:val="000000" w:themeColor="text1"/>
                    <w:sz w:val="16"/>
                    <w:szCs w:val="16"/>
                  </w:rPr>
                  <w:t>．本期使用</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-4,406,027.28 </w:t>
            </w: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D51F5F">
            <w:pPr>
              <w:jc w:val="right"/>
              <w:rPr>
                <w:sz w:val="16"/>
                <w:szCs w:val="16"/>
              </w:rPr>
            </w:pPr>
            <w:r>
              <w:rPr>
                <w:rFonts w:hint="eastAsia"/>
                <w:sz w:val="16"/>
                <w:szCs w:val="16"/>
              </w:rPr>
              <w:t xml:space="preserve"> -4,406,027.28 </w:t>
            </w:r>
          </w:p>
        </w:tc>
      </w:tr>
      <w:tr w:rsidR="00156DD6">
        <w:trPr>
          <w:trHeight w:val="20"/>
        </w:trPr>
        <w:sdt>
          <w:sdtPr>
            <w:rPr>
              <w:sz w:val="16"/>
              <w:szCs w:val="16"/>
            </w:rPr>
            <w:tag w:val="_PLD_224fa1ebe84a4d40b88b89a97997e311"/>
            <w:id w:val="1803424117"/>
          </w:sdtPr>
          <w:sdtEndPr/>
          <w:sdtContent>
            <w:tc>
              <w:tcPr>
                <w:tcW w:w="2450" w:type="dxa"/>
                <w:vAlign w:val="center"/>
              </w:tcPr>
              <w:p w:rsidR="00156DD6" w:rsidRDefault="00D51F5F">
                <w:pPr>
                  <w:rPr>
                    <w:color w:val="000000" w:themeColor="text1"/>
                    <w:sz w:val="16"/>
                    <w:szCs w:val="16"/>
                  </w:rPr>
                </w:pPr>
                <w:r>
                  <w:rPr>
                    <w:rFonts w:hint="eastAsia"/>
                    <w:color w:val="000000" w:themeColor="text1"/>
                    <w:sz w:val="16"/>
                    <w:szCs w:val="16"/>
                  </w:rPr>
                  <w:t>（六）其他</w:t>
                </w:r>
              </w:p>
            </w:tc>
          </w:sdtContent>
        </w:sdt>
        <w:tc>
          <w:tcPr>
            <w:tcW w:w="1078" w:type="dxa"/>
            <w:tcBorders>
              <w:right w:val="single" w:sz="4" w:space="0" w:color="auto"/>
            </w:tcBorders>
            <w:vAlign w:val="center"/>
          </w:tcPr>
          <w:p w:rsidR="00156DD6" w:rsidRDefault="00156DD6">
            <w:pPr>
              <w:jc w:val="right"/>
              <w:rPr>
                <w:sz w:val="16"/>
                <w:szCs w:val="16"/>
              </w:rPr>
            </w:pP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64" w:type="dxa"/>
            <w:vAlign w:val="center"/>
          </w:tcPr>
          <w:p w:rsidR="00156DD6" w:rsidRDefault="00156DD6">
            <w:pPr>
              <w:jc w:val="right"/>
              <w:rPr>
                <w:sz w:val="16"/>
                <w:szCs w:val="16"/>
              </w:rPr>
            </w:pPr>
          </w:p>
        </w:tc>
        <w:tc>
          <w:tcPr>
            <w:tcW w:w="1022" w:type="dxa"/>
            <w:vAlign w:val="center"/>
          </w:tcPr>
          <w:p w:rsidR="00156DD6" w:rsidRDefault="00156DD6">
            <w:pPr>
              <w:jc w:val="right"/>
              <w:rPr>
                <w:sz w:val="16"/>
                <w:szCs w:val="16"/>
              </w:rPr>
            </w:pPr>
          </w:p>
        </w:tc>
        <w:tc>
          <w:tcPr>
            <w:tcW w:w="1036" w:type="dxa"/>
            <w:vAlign w:val="center"/>
          </w:tcPr>
          <w:p w:rsidR="00156DD6" w:rsidRDefault="00156DD6">
            <w:pPr>
              <w:jc w:val="right"/>
              <w:rPr>
                <w:sz w:val="16"/>
                <w:szCs w:val="16"/>
              </w:rPr>
            </w:pPr>
          </w:p>
        </w:tc>
        <w:tc>
          <w:tcPr>
            <w:tcW w:w="1021" w:type="dxa"/>
            <w:vAlign w:val="center"/>
          </w:tcPr>
          <w:p w:rsidR="00156DD6" w:rsidRDefault="00156DD6">
            <w:pPr>
              <w:jc w:val="right"/>
              <w:rPr>
                <w:sz w:val="16"/>
                <w:szCs w:val="16"/>
              </w:rPr>
            </w:pPr>
          </w:p>
        </w:tc>
        <w:tc>
          <w:tcPr>
            <w:tcW w:w="1008" w:type="dxa"/>
            <w:vAlign w:val="center"/>
          </w:tcPr>
          <w:p w:rsidR="00156DD6" w:rsidRDefault="00156DD6">
            <w:pPr>
              <w:jc w:val="right"/>
              <w:rPr>
                <w:sz w:val="16"/>
                <w:szCs w:val="16"/>
              </w:rPr>
            </w:pPr>
          </w:p>
        </w:tc>
        <w:tc>
          <w:tcPr>
            <w:tcW w:w="1026" w:type="dxa"/>
            <w:vAlign w:val="center"/>
          </w:tcPr>
          <w:p w:rsidR="00156DD6" w:rsidRDefault="00D51F5F">
            <w:pPr>
              <w:jc w:val="right"/>
              <w:rPr>
                <w:sz w:val="16"/>
                <w:szCs w:val="16"/>
              </w:rPr>
            </w:pPr>
            <w:r>
              <w:rPr>
                <w:rFonts w:hint="eastAsia"/>
                <w:sz w:val="16"/>
                <w:szCs w:val="16"/>
              </w:rPr>
              <w:t xml:space="preserve">  </w:t>
            </w:r>
          </w:p>
        </w:tc>
      </w:tr>
      <w:tr w:rsidR="00156DD6">
        <w:trPr>
          <w:trHeight w:val="20"/>
        </w:trPr>
        <w:sdt>
          <w:sdtPr>
            <w:rPr>
              <w:sz w:val="16"/>
              <w:szCs w:val="16"/>
            </w:rPr>
            <w:tag w:val="_PLD_fe962ef732004aec94edafee7e0bef94"/>
            <w:id w:val="2561061"/>
          </w:sdtPr>
          <w:sdtEndPr/>
          <w:sdtContent>
            <w:tc>
              <w:tcPr>
                <w:tcW w:w="2450" w:type="dxa"/>
                <w:vAlign w:val="center"/>
              </w:tcPr>
              <w:p w:rsidR="00156DD6" w:rsidRDefault="00D51F5F">
                <w:pPr>
                  <w:rPr>
                    <w:color w:val="000000" w:themeColor="text1"/>
                    <w:sz w:val="16"/>
                    <w:szCs w:val="16"/>
                  </w:rPr>
                </w:pPr>
                <w:r>
                  <w:rPr>
                    <w:color w:val="000000" w:themeColor="text1"/>
                    <w:sz w:val="16"/>
                    <w:szCs w:val="16"/>
                  </w:rPr>
                  <w:t>四、本期期末余额</w:t>
                </w:r>
              </w:p>
            </w:tc>
          </w:sdtContent>
        </w:sdt>
        <w:tc>
          <w:tcPr>
            <w:tcW w:w="1078" w:type="dxa"/>
            <w:tcBorders>
              <w:right w:val="single" w:sz="4" w:space="0" w:color="auto"/>
            </w:tcBorders>
            <w:vAlign w:val="center"/>
          </w:tcPr>
          <w:p w:rsidR="00156DD6" w:rsidRDefault="00D51F5F">
            <w:pPr>
              <w:jc w:val="right"/>
              <w:rPr>
                <w:sz w:val="16"/>
                <w:szCs w:val="16"/>
              </w:rPr>
            </w:pPr>
            <w:r>
              <w:rPr>
                <w:rFonts w:hint="eastAsia"/>
                <w:sz w:val="16"/>
                <w:szCs w:val="16"/>
              </w:rPr>
              <w:t xml:space="preserve"> 333,167,407.00 </w:t>
            </w:r>
          </w:p>
        </w:tc>
        <w:tc>
          <w:tcPr>
            <w:tcW w:w="1050" w:type="dxa"/>
            <w:tcBorders>
              <w:left w:val="single" w:sz="4" w:space="0" w:color="auto"/>
              <w:right w:val="single" w:sz="4" w:space="0" w:color="auto"/>
            </w:tcBorders>
            <w:vAlign w:val="center"/>
          </w:tcPr>
          <w:p w:rsidR="00156DD6" w:rsidRDefault="00156DD6">
            <w:pPr>
              <w:jc w:val="right"/>
              <w:rPr>
                <w:sz w:val="16"/>
                <w:szCs w:val="16"/>
              </w:rPr>
            </w:pPr>
          </w:p>
        </w:tc>
        <w:tc>
          <w:tcPr>
            <w:tcW w:w="1078" w:type="dxa"/>
            <w:tcBorders>
              <w:left w:val="single" w:sz="4" w:space="0" w:color="auto"/>
              <w:right w:val="single" w:sz="4" w:space="0" w:color="auto"/>
            </w:tcBorders>
            <w:vAlign w:val="center"/>
          </w:tcPr>
          <w:p w:rsidR="00156DD6" w:rsidRDefault="00156DD6">
            <w:pPr>
              <w:jc w:val="right"/>
              <w:rPr>
                <w:sz w:val="16"/>
                <w:szCs w:val="16"/>
              </w:rPr>
            </w:pPr>
          </w:p>
        </w:tc>
        <w:tc>
          <w:tcPr>
            <w:tcW w:w="1091" w:type="dxa"/>
            <w:tcBorders>
              <w:left w:val="single" w:sz="4" w:space="0" w:color="auto"/>
            </w:tcBorders>
            <w:vAlign w:val="center"/>
          </w:tcPr>
          <w:p w:rsidR="00156DD6" w:rsidRDefault="00156DD6">
            <w:pPr>
              <w:jc w:val="right"/>
              <w:rPr>
                <w:sz w:val="16"/>
                <w:szCs w:val="16"/>
              </w:rPr>
            </w:pPr>
          </w:p>
        </w:tc>
        <w:tc>
          <w:tcPr>
            <w:tcW w:w="1036" w:type="dxa"/>
            <w:vAlign w:val="center"/>
          </w:tcPr>
          <w:p w:rsidR="00156DD6" w:rsidRDefault="00D51F5F">
            <w:pPr>
              <w:jc w:val="right"/>
              <w:rPr>
                <w:sz w:val="16"/>
                <w:szCs w:val="16"/>
              </w:rPr>
            </w:pPr>
            <w:r>
              <w:rPr>
                <w:rFonts w:hint="eastAsia"/>
                <w:sz w:val="16"/>
                <w:szCs w:val="16"/>
              </w:rPr>
              <w:t xml:space="preserve"> 968,077,886.12 </w:t>
            </w:r>
          </w:p>
        </w:tc>
        <w:tc>
          <w:tcPr>
            <w:tcW w:w="1064" w:type="dxa"/>
            <w:vAlign w:val="center"/>
          </w:tcPr>
          <w:p w:rsidR="00156DD6" w:rsidRDefault="00D51F5F">
            <w:pPr>
              <w:jc w:val="right"/>
              <w:rPr>
                <w:sz w:val="16"/>
                <w:szCs w:val="16"/>
              </w:rPr>
            </w:pPr>
            <w:r>
              <w:rPr>
                <w:rFonts w:hint="eastAsia"/>
                <w:sz w:val="16"/>
                <w:szCs w:val="16"/>
              </w:rPr>
              <w:t xml:space="preserve"> 26,392,941.28 </w:t>
            </w:r>
          </w:p>
        </w:tc>
        <w:tc>
          <w:tcPr>
            <w:tcW w:w="1022" w:type="dxa"/>
            <w:vAlign w:val="center"/>
          </w:tcPr>
          <w:p w:rsidR="00156DD6" w:rsidRDefault="00D51F5F">
            <w:pPr>
              <w:jc w:val="right"/>
              <w:rPr>
                <w:sz w:val="16"/>
                <w:szCs w:val="16"/>
              </w:rPr>
            </w:pPr>
            <w:r>
              <w:rPr>
                <w:rFonts w:hint="eastAsia"/>
                <w:sz w:val="16"/>
                <w:szCs w:val="16"/>
              </w:rPr>
              <w:t xml:space="preserve">   </w:t>
            </w:r>
          </w:p>
        </w:tc>
        <w:tc>
          <w:tcPr>
            <w:tcW w:w="1036" w:type="dxa"/>
            <w:vAlign w:val="center"/>
          </w:tcPr>
          <w:p w:rsidR="00156DD6" w:rsidRDefault="00D51F5F">
            <w:pPr>
              <w:jc w:val="right"/>
              <w:rPr>
                <w:sz w:val="16"/>
                <w:szCs w:val="16"/>
              </w:rPr>
            </w:pPr>
            <w:r>
              <w:rPr>
                <w:rFonts w:hint="eastAsia"/>
                <w:sz w:val="16"/>
                <w:szCs w:val="16"/>
              </w:rPr>
              <w:t xml:space="preserve"> 20,306,277.54 </w:t>
            </w:r>
          </w:p>
        </w:tc>
        <w:tc>
          <w:tcPr>
            <w:tcW w:w="1021" w:type="dxa"/>
            <w:vAlign w:val="center"/>
          </w:tcPr>
          <w:p w:rsidR="00156DD6" w:rsidRDefault="00D51F5F">
            <w:pPr>
              <w:jc w:val="right"/>
              <w:rPr>
                <w:sz w:val="16"/>
                <w:szCs w:val="16"/>
              </w:rPr>
            </w:pPr>
            <w:r>
              <w:rPr>
                <w:rFonts w:hint="eastAsia"/>
                <w:sz w:val="16"/>
                <w:szCs w:val="16"/>
              </w:rPr>
              <w:t xml:space="preserve">  121,494,338.37  </w:t>
            </w:r>
          </w:p>
        </w:tc>
        <w:tc>
          <w:tcPr>
            <w:tcW w:w="1008" w:type="dxa"/>
            <w:vAlign w:val="center"/>
          </w:tcPr>
          <w:p w:rsidR="00156DD6" w:rsidRDefault="00D51F5F">
            <w:pPr>
              <w:jc w:val="right"/>
              <w:rPr>
                <w:sz w:val="16"/>
                <w:szCs w:val="16"/>
              </w:rPr>
            </w:pPr>
            <w:r>
              <w:rPr>
                <w:rFonts w:hint="eastAsia"/>
                <w:sz w:val="16"/>
                <w:szCs w:val="16"/>
              </w:rPr>
              <w:t xml:space="preserve">   1,013,289,750.65   </w:t>
            </w:r>
          </w:p>
        </w:tc>
        <w:tc>
          <w:tcPr>
            <w:tcW w:w="1026" w:type="dxa"/>
            <w:vAlign w:val="center"/>
          </w:tcPr>
          <w:p w:rsidR="00156DD6" w:rsidRDefault="00D51F5F">
            <w:pPr>
              <w:jc w:val="right"/>
              <w:rPr>
                <w:sz w:val="16"/>
                <w:szCs w:val="16"/>
              </w:rPr>
            </w:pPr>
            <w:r>
              <w:rPr>
                <w:rFonts w:hint="eastAsia"/>
                <w:sz w:val="16"/>
                <w:szCs w:val="16"/>
              </w:rPr>
              <w:t xml:space="preserve">   2,429,942,718.40   </w:t>
            </w:r>
          </w:p>
        </w:tc>
      </w:tr>
    </w:tbl>
    <w:p w:rsidR="00156DD6" w:rsidRDefault="00156DD6">
      <w:pPr>
        <w:rPr>
          <w:color w:val="000000" w:themeColor="text1"/>
        </w:rPr>
      </w:pPr>
    </w:p>
    <w:p w:rsidR="00156DD6" w:rsidRDefault="00156DD6">
      <w:pPr>
        <w:rPr>
          <w:color w:val="000000" w:themeColor="text1"/>
        </w:rPr>
      </w:pPr>
    </w:p>
    <w:tbl>
      <w:tblPr>
        <w:tblStyle w:val="Style52"/>
        <w:tblW w:w="1390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078"/>
        <w:gridCol w:w="1050"/>
        <w:gridCol w:w="1078"/>
        <w:gridCol w:w="1091"/>
        <w:gridCol w:w="1036"/>
        <w:gridCol w:w="1064"/>
        <w:gridCol w:w="1022"/>
        <w:gridCol w:w="1036"/>
        <w:gridCol w:w="1021"/>
        <w:gridCol w:w="1008"/>
        <w:gridCol w:w="1026"/>
      </w:tblGrid>
      <w:tr w:rsidR="00156DD6">
        <w:trPr>
          <w:trHeight w:val="20"/>
        </w:trPr>
        <w:tc>
          <w:tcPr>
            <w:tcW w:w="2394" w:type="dxa"/>
            <w:vMerge w:val="restart"/>
            <w:vAlign w:val="center"/>
          </w:tcPr>
          <w:sdt>
            <w:sdtPr>
              <w:rPr>
                <w:sz w:val="16"/>
                <w:szCs w:val="16"/>
              </w:rPr>
              <w:tag w:val="_PLD_312727f4b56147c2b646c0fb68a4b58b"/>
              <w:id w:val="560221979"/>
            </w:sdtPr>
            <w:sdtEndPr/>
            <w:sdtContent>
              <w:p w:rsidR="00156DD6" w:rsidRDefault="00D51F5F">
                <w:pPr>
                  <w:adjustRightInd w:val="0"/>
                  <w:snapToGrid w:val="0"/>
                  <w:jc w:val="center"/>
                  <w:rPr>
                    <w:color w:val="000000" w:themeColor="text1"/>
                    <w:sz w:val="16"/>
                    <w:szCs w:val="16"/>
                  </w:rPr>
                </w:pPr>
                <w:r>
                  <w:rPr>
                    <w:rFonts w:hint="eastAsia"/>
                    <w:color w:val="000000" w:themeColor="text1"/>
                    <w:sz w:val="16"/>
                    <w:szCs w:val="16"/>
                  </w:rPr>
                  <w:t>项目</w:t>
                </w:r>
              </w:p>
            </w:sdtContent>
          </w:sdt>
        </w:tc>
        <w:tc>
          <w:tcPr>
            <w:tcW w:w="11510" w:type="dxa"/>
            <w:gridSpan w:val="11"/>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 xml:space="preserve"> </w:t>
            </w:r>
            <w:sdt>
              <w:sdtPr>
                <w:rPr>
                  <w:sz w:val="16"/>
                  <w:szCs w:val="16"/>
                </w:rPr>
                <w:tag w:val="_PLD_35246b22171846ac8ef46c5dfa1d1663"/>
                <w:id w:val="641939587"/>
              </w:sdtPr>
              <w:sdtEndPr/>
              <w:sdtContent>
                <w:r>
                  <w:rPr>
                    <w:rFonts w:hint="eastAsia"/>
                    <w:color w:val="000000" w:themeColor="text1"/>
                    <w:sz w:val="16"/>
                    <w:szCs w:val="16"/>
                  </w:rPr>
                  <w:t>2024</w:t>
                </w:r>
                <w:r>
                  <w:rPr>
                    <w:rFonts w:hint="eastAsia"/>
                    <w:color w:val="000000" w:themeColor="text1"/>
                    <w:sz w:val="16"/>
                    <w:szCs w:val="16"/>
                  </w:rPr>
                  <w:t>年半年度</w:t>
                </w:r>
              </w:sdtContent>
            </w:sdt>
          </w:p>
        </w:tc>
      </w:tr>
      <w:tr w:rsidR="00156DD6">
        <w:trPr>
          <w:trHeight w:val="315"/>
        </w:trPr>
        <w:tc>
          <w:tcPr>
            <w:tcW w:w="2394" w:type="dxa"/>
            <w:vMerge/>
            <w:vAlign w:val="center"/>
          </w:tcPr>
          <w:p w:rsidR="00156DD6" w:rsidRDefault="00156DD6">
            <w:pPr>
              <w:adjustRightInd w:val="0"/>
              <w:snapToGrid w:val="0"/>
              <w:rPr>
                <w:color w:val="000000" w:themeColor="text1"/>
                <w:sz w:val="16"/>
                <w:szCs w:val="16"/>
              </w:rPr>
            </w:pPr>
          </w:p>
        </w:tc>
        <w:sdt>
          <w:sdtPr>
            <w:rPr>
              <w:sz w:val="16"/>
              <w:szCs w:val="16"/>
            </w:rPr>
            <w:tag w:val="_PLD_5da9900c5a9e46a085487ea972f44796"/>
            <w:id w:val="1312059209"/>
          </w:sdtPr>
          <w:sdtEndPr/>
          <w:sdtContent>
            <w:tc>
              <w:tcPr>
                <w:tcW w:w="1078" w:type="dxa"/>
                <w:vMerge w:val="restart"/>
                <w:tcBorders>
                  <w:right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实收资本</w:t>
                </w:r>
                <w:r>
                  <w:rPr>
                    <w:color w:val="000000" w:themeColor="text1"/>
                    <w:sz w:val="16"/>
                    <w:szCs w:val="16"/>
                  </w:rPr>
                  <w:t xml:space="preserve"> (</w:t>
                </w:r>
                <w:r>
                  <w:rPr>
                    <w:color w:val="000000" w:themeColor="text1"/>
                    <w:sz w:val="16"/>
                    <w:szCs w:val="16"/>
                  </w:rPr>
                  <w:t>或股本</w:t>
                </w:r>
                <w:r>
                  <w:rPr>
                    <w:color w:val="000000" w:themeColor="text1"/>
                    <w:sz w:val="16"/>
                    <w:szCs w:val="16"/>
                  </w:rPr>
                  <w:t>)</w:t>
                </w:r>
              </w:p>
            </w:tc>
          </w:sdtContent>
        </w:sdt>
        <w:sdt>
          <w:sdtPr>
            <w:rPr>
              <w:sz w:val="16"/>
              <w:szCs w:val="16"/>
            </w:rPr>
            <w:tag w:val="_PLD_fc0bce3be00144ff950606755a048a76"/>
            <w:id w:val="-1364284823"/>
          </w:sdtPr>
          <w:sdtEndPr/>
          <w:sdtContent>
            <w:tc>
              <w:tcPr>
                <w:tcW w:w="3219" w:type="dxa"/>
                <w:gridSpan w:val="3"/>
                <w:tcBorders>
                  <w:left w:val="single" w:sz="4" w:space="0" w:color="auto"/>
                  <w:bottom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其他权益工具</w:t>
                </w:r>
              </w:p>
            </w:tc>
          </w:sdtContent>
        </w:sdt>
        <w:sdt>
          <w:sdtPr>
            <w:rPr>
              <w:sz w:val="16"/>
              <w:szCs w:val="16"/>
            </w:rPr>
            <w:tag w:val="_PLD_b31d07f97db344b1b180738b22a76467"/>
            <w:id w:val="-246268011"/>
          </w:sdtPr>
          <w:sdtEndPr/>
          <w:sdtContent>
            <w:tc>
              <w:tcPr>
                <w:tcW w:w="1036"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资本公积</w:t>
                </w:r>
              </w:p>
            </w:tc>
          </w:sdtContent>
        </w:sdt>
        <w:sdt>
          <w:sdtPr>
            <w:rPr>
              <w:sz w:val="16"/>
              <w:szCs w:val="16"/>
            </w:rPr>
            <w:tag w:val="_PLD_244676dcaf4245bd9119f474a4e885f9"/>
            <w:id w:val="-1813547932"/>
          </w:sdtPr>
          <w:sdtEndPr/>
          <w:sdtContent>
            <w:tc>
              <w:tcPr>
                <w:tcW w:w="1064"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减：库存股</w:t>
                </w:r>
              </w:p>
            </w:tc>
          </w:sdtContent>
        </w:sdt>
        <w:sdt>
          <w:sdtPr>
            <w:rPr>
              <w:sz w:val="16"/>
              <w:szCs w:val="16"/>
            </w:rPr>
            <w:tag w:val="_PLD_01eab1b775574165b2820a19e72d2ad0"/>
            <w:id w:val="-2014143925"/>
          </w:sdtPr>
          <w:sdtEndPr/>
          <w:sdtContent>
            <w:tc>
              <w:tcPr>
                <w:tcW w:w="1022" w:type="dxa"/>
                <w:vMerge w:val="restart"/>
                <w:vAlign w:val="center"/>
              </w:tcPr>
              <w:p w:rsidR="00156DD6" w:rsidRDefault="00D51F5F">
                <w:pPr>
                  <w:jc w:val="center"/>
                  <w:rPr>
                    <w:color w:val="000000" w:themeColor="text1"/>
                    <w:sz w:val="16"/>
                    <w:szCs w:val="16"/>
                  </w:rPr>
                </w:pPr>
                <w:r>
                  <w:rPr>
                    <w:rFonts w:hint="eastAsia"/>
                    <w:color w:val="000000" w:themeColor="text1"/>
                    <w:sz w:val="16"/>
                    <w:szCs w:val="16"/>
                  </w:rPr>
                  <w:t>其他综合收益</w:t>
                </w:r>
              </w:p>
            </w:tc>
          </w:sdtContent>
        </w:sdt>
        <w:sdt>
          <w:sdtPr>
            <w:rPr>
              <w:sz w:val="16"/>
              <w:szCs w:val="16"/>
            </w:rPr>
            <w:tag w:val="_PLD_13f17e2c8a7a404da876af1bac2ae6d1"/>
            <w:id w:val="1946575"/>
          </w:sdtPr>
          <w:sdtEndPr/>
          <w:sdtContent>
            <w:tc>
              <w:tcPr>
                <w:tcW w:w="1036" w:type="dxa"/>
                <w:vMerge w:val="restart"/>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专项储备</w:t>
                </w:r>
              </w:p>
            </w:tc>
          </w:sdtContent>
        </w:sdt>
        <w:sdt>
          <w:sdtPr>
            <w:rPr>
              <w:sz w:val="16"/>
              <w:szCs w:val="16"/>
            </w:rPr>
            <w:tag w:val="_PLD_9578f3812cf04a34965a5bdc9ee82115"/>
            <w:id w:val="-2133311899"/>
          </w:sdtPr>
          <w:sdtEndPr/>
          <w:sdtContent>
            <w:tc>
              <w:tcPr>
                <w:tcW w:w="1021"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盈余公积</w:t>
                </w:r>
              </w:p>
            </w:tc>
          </w:sdtContent>
        </w:sdt>
        <w:sdt>
          <w:sdtPr>
            <w:rPr>
              <w:sz w:val="16"/>
              <w:szCs w:val="16"/>
            </w:rPr>
            <w:tag w:val="_PLD_5d835cd98ccc4304aec553a0b6a56628"/>
            <w:id w:val="111875450"/>
          </w:sdtPr>
          <w:sdtEndPr/>
          <w:sdtContent>
            <w:tc>
              <w:tcPr>
                <w:tcW w:w="1008"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未分配利润</w:t>
                </w:r>
              </w:p>
            </w:tc>
          </w:sdtContent>
        </w:sdt>
        <w:sdt>
          <w:sdtPr>
            <w:rPr>
              <w:sz w:val="16"/>
              <w:szCs w:val="16"/>
            </w:rPr>
            <w:tag w:val="_PLD_1cbb8af374a54430ad1f29ed83c69cd0"/>
            <w:id w:val="1163817533"/>
          </w:sdtPr>
          <w:sdtEndPr/>
          <w:sdtContent>
            <w:tc>
              <w:tcPr>
                <w:tcW w:w="1026" w:type="dxa"/>
                <w:vMerge w:val="restart"/>
                <w:vAlign w:val="center"/>
              </w:tcPr>
              <w:p w:rsidR="00156DD6" w:rsidRDefault="00D51F5F">
                <w:pPr>
                  <w:adjustRightInd w:val="0"/>
                  <w:snapToGrid w:val="0"/>
                  <w:jc w:val="center"/>
                  <w:rPr>
                    <w:color w:val="000000" w:themeColor="text1"/>
                    <w:sz w:val="16"/>
                    <w:szCs w:val="16"/>
                  </w:rPr>
                </w:pPr>
                <w:r>
                  <w:rPr>
                    <w:color w:val="000000" w:themeColor="text1"/>
                    <w:sz w:val="16"/>
                    <w:szCs w:val="16"/>
                  </w:rPr>
                  <w:t>所有者权益合计</w:t>
                </w:r>
              </w:p>
            </w:tc>
          </w:sdtContent>
        </w:sdt>
      </w:tr>
      <w:tr w:rsidR="00156DD6">
        <w:trPr>
          <w:trHeight w:val="294"/>
        </w:trPr>
        <w:tc>
          <w:tcPr>
            <w:tcW w:w="2394" w:type="dxa"/>
            <w:vMerge/>
            <w:vAlign w:val="center"/>
          </w:tcPr>
          <w:p w:rsidR="00156DD6" w:rsidRDefault="00156DD6">
            <w:pPr>
              <w:adjustRightInd w:val="0"/>
              <w:snapToGrid w:val="0"/>
              <w:rPr>
                <w:color w:val="000000" w:themeColor="text1"/>
                <w:sz w:val="16"/>
                <w:szCs w:val="16"/>
              </w:rPr>
            </w:pPr>
          </w:p>
        </w:tc>
        <w:tc>
          <w:tcPr>
            <w:tcW w:w="1078" w:type="dxa"/>
            <w:vMerge/>
            <w:tcBorders>
              <w:right w:val="single" w:sz="4" w:space="0" w:color="auto"/>
            </w:tcBorders>
            <w:vAlign w:val="center"/>
          </w:tcPr>
          <w:p w:rsidR="00156DD6" w:rsidRDefault="00156DD6">
            <w:pPr>
              <w:adjustRightInd w:val="0"/>
              <w:snapToGrid w:val="0"/>
              <w:jc w:val="center"/>
              <w:rPr>
                <w:color w:val="000000" w:themeColor="text1"/>
                <w:sz w:val="16"/>
                <w:szCs w:val="16"/>
              </w:rPr>
            </w:pPr>
          </w:p>
        </w:tc>
        <w:sdt>
          <w:sdtPr>
            <w:rPr>
              <w:sz w:val="16"/>
              <w:szCs w:val="16"/>
            </w:rPr>
            <w:tag w:val="_PLD_dcc9ba0f815c4a99a7c4c9fe219d232e"/>
            <w:id w:val="-382566092"/>
          </w:sdtPr>
          <w:sdtEndPr/>
          <w:sdtContent>
            <w:tc>
              <w:tcPr>
                <w:tcW w:w="1050" w:type="dxa"/>
                <w:tcBorders>
                  <w:top w:val="single" w:sz="4" w:space="0" w:color="auto"/>
                  <w:left w:val="single" w:sz="4" w:space="0" w:color="auto"/>
                  <w:right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优先股</w:t>
                </w:r>
              </w:p>
            </w:tc>
          </w:sdtContent>
        </w:sdt>
        <w:sdt>
          <w:sdtPr>
            <w:rPr>
              <w:sz w:val="16"/>
              <w:szCs w:val="16"/>
            </w:rPr>
            <w:tag w:val="_PLD_42f56a6e995041a8b03e0979c7b2350c"/>
            <w:id w:val="-156690184"/>
          </w:sdtPr>
          <w:sdtEndPr/>
          <w:sdtContent>
            <w:tc>
              <w:tcPr>
                <w:tcW w:w="1078" w:type="dxa"/>
                <w:tcBorders>
                  <w:top w:val="single" w:sz="4" w:space="0" w:color="auto"/>
                  <w:left w:val="single" w:sz="4" w:space="0" w:color="auto"/>
                  <w:right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永续债</w:t>
                </w:r>
              </w:p>
            </w:tc>
          </w:sdtContent>
        </w:sdt>
        <w:sdt>
          <w:sdtPr>
            <w:rPr>
              <w:sz w:val="16"/>
              <w:szCs w:val="16"/>
            </w:rPr>
            <w:tag w:val="_PLD_30aa853463c54004a69a2235554ee8fd"/>
            <w:id w:val="624431512"/>
          </w:sdtPr>
          <w:sdtEndPr/>
          <w:sdtContent>
            <w:tc>
              <w:tcPr>
                <w:tcW w:w="1091" w:type="dxa"/>
                <w:tcBorders>
                  <w:top w:val="single" w:sz="4" w:space="0" w:color="auto"/>
                  <w:left w:val="single" w:sz="4" w:space="0" w:color="auto"/>
                </w:tcBorders>
                <w:vAlign w:val="center"/>
              </w:tcPr>
              <w:p w:rsidR="00156DD6" w:rsidRDefault="00D51F5F">
                <w:pPr>
                  <w:adjustRightInd w:val="0"/>
                  <w:snapToGrid w:val="0"/>
                  <w:jc w:val="center"/>
                  <w:rPr>
                    <w:color w:val="000000" w:themeColor="text1"/>
                    <w:sz w:val="16"/>
                    <w:szCs w:val="16"/>
                  </w:rPr>
                </w:pPr>
                <w:r>
                  <w:rPr>
                    <w:rFonts w:hint="eastAsia"/>
                    <w:color w:val="000000" w:themeColor="text1"/>
                    <w:sz w:val="16"/>
                    <w:szCs w:val="16"/>
                  </w:rPr>
                  <w:t>其他</w:t>
                </w:r>
              </w:p>
            </w:tc>
          </w:sdtContent>
        </w:sdt>
        <w:tc>
          <w:tcPr>
            <w:tcW w:w="1036" w:type="dxa"/>
            <w:vMerge/>
            <w:vAlign w:val="center"/>
          </w:tcPr>
          <w:p w:rsidR="00156DD6" w:rsidRDefault="00156DD6">
            <w:pPr>
              <w:adjustRightInd w:val="0"/>
              <w:snapToGrid w:val="0"/>
              <w:jc w:val="center"/>
              <w:rPr>
                <w:color w:val="000000" w:themeColor="text1"/>
                <w:sz w:val="16"/>
                <w:szCs w:val="16"/>
              </w:rPr>
            </w:pPr>
          </w:p>
        </w:tc>
        <w:tc>
          <w:tcPr>
            <w:tcW w:w="1064" w:type="dxa"/>
            <w:vMerge/>
            <w:vAlign w:val="center"/>
          </w:tcPr>
          <w:p w:rsidR="00156DD6" w:rsidRDefault="00156DD6">
            <w:pPr>
              <w:adjustRightInd w:val="0"/>
              <w:snapToGrid w:val="0"/>
              <w:jc w:val="center"/>
              <w:rPr>
                <w:color w:val="000000" w:themeColor="text1"/>
                <w:sz w:val="16"/>
                <w:szCs w:val="16"/>
              </w:rPr>
            </w:pPr>
          </w:p>
        </w:tc>
        <w:tc>
          <w:tcPr>
            <w:tcW w:w="1022" w:type="dxa"/>
            <w:vMerge/>
            <w:vAlign w:val="center"/>
          </w:tcPr>
          <w:p w:rsidR="00156DD6" w:rsidRDefault="00156DD6">
            <w:pPr>
              <w:jc w:val="center"/>
              <w:rPr>
                <w:color w:val="000000" w:themeColor="text1"/>
                <w:sz w:val="16"/>
                <w:szCs w:val="16"/>
              </w:rPr>
            </w:pPr>
          </w:p>
        </w:tc>
        <w:tc>
          <w:tcPr>
            <w:tcW w:w="1036" w:type="dxa"/>
            <w:vMerge/>
            <w:vAlign w:val="center"/>
          </w:tcPr>
          <w:p w:rsidR="00156DD6" w:rsidRDefault="00156DD6">
            <w:pPr>
              <w:adjustRightInd w:val="0"/>
              <w:snapToGrid w:val="0"/>
              <w:jc w:val="center"/>
              <w:rPr>
                <w:color w:val="000000" w:themeColor="text1"/>
                <w:sz w:val="16"/>
                <w:szCs w:val="16"/>
              </w:rPr>
            </w:pPr>
          </w:p>
        </w:tc>
        <w:tc>
          <w:tcPr>
            <w:tcW w:w="1021" w:type="dxa"/>
            <w:vMerge/>
            <w:vAlign w:val="center"/>
          </w:tcPr>
          <w:p w:rsidR="00156DD6" w:rsidRDefault="00156DD6">
            <w:pPr>
              <w:adjustRightInd w:val="0"/>
              <w:snapToGrid w:val="0"/>
              <w:jc w:val="center"/>
              <w:rPr>
                <w:color w:val="000000" w:themeColor="text1"/>
                <w:sz w:val="16"/>
                <w:szCs w:val="16"/>
              </w:rPr>
            </w:pPr>
          </w:p>
        </w:tc>
        <w:tc>
          <w:tcPr>
            <w:tcW w:w="1008" w:type="dxa"/>
            <w:vMerge/>
            <w:vAlign w:val="center"/>
          </w:tcPr>
          <w:p w:rsidR="00156DD6" w:rsidRDefault="00156DD6">
            <w:pPr>
              <w:adjustRightInd w:val="0"/>
              <w:snapToGrid w:val="0"/>
              <w:jc w:val="center"/>
              <w:rPr>
                <w:color w:val="000000" w:themeColor="text1"/>
                <w:sz w:val="16"/>
                <w:szCs w:val="16"/>
              </w:rPr>
            </w:pPr>
          </w:p>
        </w:tc>
        <w:tc>
          <w:tcPr>
            <w:tcW w:w="1026" w:type="dxa"/>
            <w:vMerge/>
            <w:vAlign w:val="center"/>
          </w:tcPr>
          <w:p w:rsidR="00156DD6" w:rsidRDefault="00156DD6">
            <w:pPr>
              <w:adjustRightInd w:val="0"/>
              <w:snapToGrid w:val="0"/>
              <w:jc w:val="center"/>
              <w:rPr>
                <w:color w:val="000000" w:themeColor="text1"/>
                <w:sz w:val="16"/>
                <w:szCs w:val="16"/>
              </w:rPr>
            </w:pPr>
          </w:p>
        </w:tc>
      </w:tr>
      <w:tr w:rsidR="00156DD6">
        <w:trPr>
          <w:trHeight w:val="20"/>
        </w:trPr>
        <w:sdt>
          <w:sdtPr>
            <w:rPr>
              <w:sz w:val="16"/>
              <w:szCs w:val="16"/>
            </w:rPr>
            <w:tag w:val="_PLD_b00b327c7ecc4ad1bfafd8f9c1a6ce86"/>
            <w:id w:val="1019361340"/>
          </w:sdtPr>
          <w:sdtEndPr/>
          <w:sdtContent>
            <w:tc>
              <w:tcPr>
                <w:tcW w:w="2394" w:type="dxa"/>
                <w:vAlign w:val="center"/>
              </w:tcPr>
              <w:p w:rsidR="00156DD6" w:rsidRDefault="00D51F5F">
                <w:pPr>
                  <w:rPr>
                    <w:color w:val="000000" w:themeColor="text1"/>
                    <w:sz w:val="16"/>
                    <w:szCs w:val="16"/>
                  </w:rPr>
                </w:pPr>
                <w:r>
                  <w:rPr>
                    <w:color w:val="000000" w:themeColor="text1"/>
                    <w:sz w:val="16"/>
                    <w:szCs w:val="16"/>
                  </w:rPr>
                  <w:t>一、上年</w:t>
                </w:r>
                <w:r>
                  <w:rPr>
                    <w:rFonts w:hint="eastAsia"/>
                    <w:color w:val="000000" w:themeColor="text1"/>
                    <w:sz w:val="16"/>
                    <w:szCs w:val="16"/>
                  </w:rPr>
                  <w:t>期</w:t>
                </w:r>
                <w:r>
                  <w:rPr>
                    <w:color w:val="000000" w:themeColor="text1"/>
                    <w:sz w:val="16"/>
                    <w:szCs w:val="16"/>
                  </w:rPr>
                  <w:t>末余额</w:t>
                </w:r>
              </w:p>
            </w:tc>
          </w:sdtContent>
        </w:sdt>
        <w:tc>
          <w:tcPr>
            <w:tcW w:w="1078" w:type="dxa"/>
            <w:tcBorders>
              <w:right w:val="single" w:sz="4" w:space="0" w:color="auto"/>
            </w:tcBorders>
          </w:tcPr>
          <w:p w:rsidR="00156DD6" w:rsidRDefault="00D51F5F">
            <w:pPr>
              <w:jc w:val="right"/>
              <w:rPr>
                <w:sz w:val="16"/>
                <w:szCs w:val="16"/>
              </w:rPr>
            </w:pPr>
            <w:r>
              <w:rPr>
                <w:sz w:val="16"/>
                <w:szCs w:val="16"/>
              </w:rPr>
              <w:t xml:space="preserve"> 333,167,407.00 </w:t>
            </w: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right w:val="single" w:sz="4" w:space="0" w:color="auto"/>
            </w:tcBorders>
          </w:tcPr>
          <w:p w:rsidR="00156DD6" w:rsidRDefault="00156DD6">
            <w:pPr>
              <w:jc w:val="right"/>
              <w:rPr>
                <w:sz w:val="16"/>
                <w:szCs w:val="16"/>
              </w:rPr>
            </w:pPr>
          </w:p>
        </w:tc>
        <w:tc>
          <w:tcPr>
            <w:tcW w:w="1036" w:type="dxa"/>
            <w:tcBorders>
              <w:left w:val="single" w:sz="4" w:space="0" w:color="auto"/>
            </w:tcBorders>
          </w:tcPr>
          <w:p w:rsidR="00156DD6" w:rsidRDefault="00D51F5F">
            <w:pPr>
              <w:jc w:val="right"/>
              <w:rPr>
                <w:sz w:val="16"/>
                <w:szCs w:val="16"/>
              </w:rPr>
            </w:pPr>
            <w:r>
              <w:rPr>
                <w:sz w:val="16"/>
                <w:szCs w:val="16"/>
              </w:rPr>
              <w:t xml:space="preserve"> 984,845,013.70 </w:t>
            </w:r>
          </w:p>
        </w:tc>
        <w:tc>
          <w:tcPr>
            <w:tcW w:w="1064" w:type="dxa"/>
          </w:tcPr>
          <w:p w:rsidR="00156DD6" w:rsidRDefault="00D51F5F">
            <w:pPr>
              <w:jc w:val="right"/>
              <w:rPr>
                <w:sz w:val="16"/>
                <w:szCs w:val="16"/>
              </w:rPr>
            </w:pPr>
            <w:r>
              <w:rPr>
                <w:sz w:val="16"/>
                <w:szCs w:val="16"/>
              </w:rPr>
              <w:t xml:space="preserve"> 50,299,241.28 </w:t>
            </w:r>
          </w:p>
        </w:tc>
        <w:tc>
          <w:tcPr>
            <w:tcW w:w="1022" w:type="dxa"/>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20,486,861.44 </w:t>
            </w:r>
          </w:p>
        </w:tc>
        <w:tc>
          <w:tcPr>
            <w:tcW w:w="1021" w:type="dxa"/>
          </w:tcPr>
          <w:p w:rsidR="00156DD6" w:rsidRDefault="00D51F5F">
            <w:pPr>
              <w:jc w:val="right"/>
              <w:rPr>
                <w:sz w:val="16"/>
                <w:szCs w:val="16"/>
              </w:rPr>
            </w:pPr>
            <w:r>
              <w:rPr>
                <w:sz w:val="16"/>
                <w:szCs w:val="16"/>
              </w:rPr>
              <w:t xml:space="preserve"> 117,387,556.66 </w:t>
            </w:r>
          </w:p>
        </w:tc>
        <w:tc>
          <w:tcPr>
            <w:tcW w:w="1008" w:type="dxa"/>
          </w:tcPr>
          <w:p w:rsidR="00156DD6" w:rsidRDefault="00D51F5F">
            <w:pPr>
              <w:jc w:val="right"/>
              <w:rPr>
                <w:sz w:val="16"/>
                <w:szCs w:val="16"/>
              </w:rPr>
            </w:pPr>
            <w:r>
              <w:rPr>
                <w:sz w:val="16"/>
                <w:szCs w:val="16"/>
              </w:rPr>
              <w:t xml:space="preserve"> 995,843,075.29 </w:t>
            </w:r>
          </w:p>
        </w:tc>
        <w:tc>
          <w:tcPr>
            <w:tcW w:w="1026" w:type="dxa"/>
          </w:tcPr>
          <w:p w:rsidR="00156DD6" w:rsidRDefault="00D51F5F">
            <w:pPr>
              <w:jc w:val="right"/>
              <w:rPr>
                <w:sz w:val="16"/>
                <w:szCs w:val="16"/>
              </w:rPr>
            </w:pPr>
            <w:r>
              <w:rPr>
                <w:sz w:val="16"/>
                <w:szCs w:val="16"/>
              </w:rPr>
              <w:t xml:space="preserve"> 2,401,430,672.81 </w:t>
            </w:r>
          </w:p>
        </w:tc>
      </w:tr>
      <w:tr w:rsidR="00156DD6">
        <w:trPr>
          <w:trHeight w:val="20"/>
        </w:trPr>
        <w:sdt>
          <w:sdtPr>
            <w:rPr>
              <w:sz w:val="16"/>
              <w:szCs w:val="16"/>
            </w:rPr>
            <w:tag w:val="_PLD_87ad1d45ba9b40488fdf5165b8168def"/>
            <w:id w:val="-1675255376"/>
          </w:sdtPr>
          <w:sdtEndPr/>
          <w:sdtContent>
            <w:tc>
              <w:tcPr>
                <w:tcW w:w="2394" w:type="dxa"/>
                <w:vAlign w:val="center"/>
              </w:tcPr>
              <w:p w:rsidR="00156DD6" w:rsidRDefault="00D51F5F">
                <w:pPr>
                  <w:rPr>
                    <w:color w:val="000000" w:themeColor="text1"/>
                    <w:sz w:val="16"/>
                    <w:szCs w:val="16"/>
                  </w:rPr>
                </w:pPr>
                <w:r>
                  <w:rPr>
                    <w:color w:val="000000" w:themeColor="text1"/>
                    <w:sz w:val="16"/>
                    <w:szCs w:val="16"/>
                  </w:rPr>
                  <w:t>加：会计政策变更</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right w:val="single" w:sz="4" w:space="0" w:color="auto"/>
            </w:tcBorders>
          </w:tcPr>
          <w:p w:rsidR="00156DD6" w:rsidRDefault="00156DD6">
            <w:pPr>
              <w:jc w:val="right"/>
              <w:rPr>
                <w:sz w:val="16"/>
                <w:szCs w:val="16"/>
              </w:rPr>
            </w:pPr>
          </w:p>
        </w:tc>
        <w:tc>
          <w:tcPr>
            <w:tcW w:w="1036" w:type="dxa"/>
            <w:tcBorders>
              <w:left w:val="single" w:sz="4" w:space="0" w:color="auto"/>
            </w:tcBorders>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494f8b7216f946d9a09f6954da6ee226"/>
            <w:id w:val="1262334374"/>
          </w:sdtPr>
          <w:sdtEndPr/>
          <w:sdtContent>
            <w:tc>
              <w:tcPr>
                <w:tcW w:w="2394" w:type="dxa"/>
                <w:vAlign w:val="center"/>
              </w:tcPr>
              <w:p w:rsidR="00156DD6" w:rsidRDefault="00D51F5F">
                <w:pPr>
                  <w:ind w:firstLineChars="200" w:firstLine="320"/>
                  <w:rPr>
                    <w:color w:val="000000" w:themeColor="text1"/>
                    <w:sz w:val="16"/>
                    <w:szCs w:val="16"/>
                  </w:rPr>
                </w:pPr>
                <w:r>
                  <w:rPr>
                    <w:color w:val="000000" w:themeColor="text1"/>
                    <w:sz w:val="16"/>
                    <w:szCs w:val="16"/>
                  </w:rPr>
                  <w:t>前期差错更正</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right w:val="single" w:sz="4" w:space="0" w:color="auto"/>
            </w:tcBorders>
          </w:tcPr>
          <w:p w:rsidR="00156DD6" w:rsidRDefault="00156DD6">
            <w:pPr>
              <w:jc w:val="right"/>
              <w:rPr>
                <w:sz w:val="16"/>
                <w:szCs w:val="16"/>
              </w:rPr>
            </w:pPr>
          </w:p>
        </w:tc>
        <w:tc>
          <w:tcPr>
            <w:tcW w:w="1036" w:type="dxa"/>
            <w:tcBorders>
              <w:left w:val="single" w:sz="4" w:space="0" w:color="auto"/>
            </w:tcBorders>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cdd9f72b38894c3eb70b005a61432c29"/>
            <w:id w:val="2140066646"/>
          </w:sdtPr>
          <w:sdtEndPr/>
          <w:sdtContent>
            <w:tc>
              <w:tcPr>
                <w:tcW w:w="2394" w:type="dxa"/>
                <w:vAlign w:val="center"/>
              </w:tcPr>
              <w:p w:rsidR="00156DD6" w:rsidRDefault="00D51F5F">
                <w:pPr>
                  <w:ind w:firstLineChars="200" w:firstLine="320"/>
                  <w:rPr>
                    <w:color w:val="000000" w:themeColor="text1"/>
                    <w:sz w:val="16"/>
                    <w:szCs w:val="16"/>
                  </w:rPr>
                </w:pPr>
                <w:r>
                  <w:rPr>
                    <w:rFonts w:hint="eastAsia"/>
                    <w:color w:val="000000" w:themeColor="text1"/>
                    <w:sz w:val="16"/>
                    <w:szCs w:val="16"/>
                  </w:rPr>
                  <w:t>其他</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right w:val="single" w:sz="4" w:space="0" w:color="auto"/>
            </w:tcBorders>
          </w:tcPr>
          <w:p w:rsidR="00156DD6" w:rsidRDefault="00156DD6">
            <w:pPr>
              <w:jc w:val="right"/>
              <w:rPr>
                <w:sz w:val="16"/>
                <w:szCs w:val="16"/>
              </w:rPr>
            </w:pPr>
          </w:p>
        </w:tc>
        <w:tc>
          <w:tcPr>
            <w:tcW w:w="1036" w:type="dxa"/>
            <w:tcBorders>
              <w:left w:val="single" w:sz="4" w:space="0" w:color="auto"/>
            </w:tcBorders>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8593e1735c664981bacefcb1a0cab245"/>
            <w:id w:val="-151141993"/>
          </w:sdtPr>
          <w:sdtEndPr/>
          <w:sdtContent>
            <w:tc>
              <w:tcPr>
                <w:tcW w:w="2394" w:type="dxa"/>
                <w:vAlign w:val="center"/>
              </w:tcPr>
              <w:p w:rsidR="00156DD6" w:rsidRDefault="00D51F5F">
                <w:pPr>
                  <w:rPr>
                    <w:color w:val="000000" w:themeColor="text1"/>
                    <w:sz w:val="16"/>
                    <w:szCs w:val="16"/>
                  </w:rPr>
                </w:pPr>
                <w:r>
                  <w:rPr>
                    <w:color w:val="000000" w:themeColor="text1"/>
                    <w:sz w:val="16"/>
                    <w:szCs w:val="16"/>
                  </w:rPr>
                  <w:t>二、本年</w:t>
                </w:r>
                <w:r>
                  <w:rPr>
                    <w:rFonts w:hint="eastAsia"/>
                    <w:color w:val="000000" w:themeColor="text1"/>
                    <w:sz w:val="16"/>
                    <w:szCs w:val="16"/>
                  </w:rPr>
                  <w:t>期</w:t>
                </w:r>
                <w:r>
                  <w:rPr>
                    <w:color w:val="000000" w:themeColor="text1"/>
                    <w:sz w:val="16"/>
                    <w:szCs w:val="16"/>
                  </w:rPr>
                  <w:t>初余额</w:t>
                </w:r>
              </w:p>
            </w:tc>
          </w:sdtContent>
        </w:sdt>
        <w:tc>
          <w:tcPr>
            <w:tcW w:w="1078" w:type="dxa"/>
            <w:tcBorders>
              <w:right w:val="single" w:sz="4" w:space="0" w:color="auto"/>
            </w:tcBorders>
          </w:tcPr>
          <w:p w:rsidR="00156DD6" w:rsidRDefault="00D51F5F">
            <w:pPr>
              <w:jc w:val="right"/>
              <w:rPr>
                <w:sz w:val="16"/>
                <w:szCs w:val="16"/>
              </w:rPr>
            </w:pPr>
            <w:r>
              <w:rPr>
                <w:sz w:val="16"/>
                <w:szCs w:val="16"/>
              </w:rPr>
              <w:t xml:space="preserve"> 333,167,407.00 </w:t>
            </w: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right w:val="single" w:sz="4" w:space="0" w:color="auto"/>
            </w:tcBorders>
          </w:tcPr>
          <w:p w:rsidR="00156DD6" w:rsidRDefault="00156DD6">
            <w:pPr>
              <w:jc w:val="right"/>
              <w:rPr>
                <w:sz w:val="16"/>
                <w:szCs w:val="16"/>
              </w:rPr>
            </w:pPr>
          </w:p>
        </w:tc>
        <w:tc>
          <w:tcPr>
            <w:tcW w:w="1036" w:type="dxa"/>
            <w:tcBorders>
              <w:left w:val="single" w:sz="4" w:space="0" w:color="auto"/>
            </w:tcBorders>
          </w:tcPr>
          <w:p w:rsidR="00156DD6" w:rsidRDefault="00D51F5F">
            <w:pPr>
              <w:jc w:val="right"/>
              <w:rPr>
                <w:sz w:val="16"/>
                <w:szCs w:val="16"/>
              </w:rPr>
            </w:pPr>
            <w:r>
              <w:rPr>
                <w:sz w:val="16"/>
                <w:szCs w:val="16"/>
              </w:rPr>
              <w:t xml:space="preserve"> 984,845,013.70 </w:t>
            </w:r>
          </w:p>
        </w:tc>
        <w:tc>
          <w:tcPr>
            <w:tcW w:w="1064" w:type="dxa"/>
          </w:tcPr>
          <w:p w:rsidR="00156DD6" w:rsidRDefault="00D51F5F">
            <w:pPr>
              <w:jc w:val="right"/>
              <w:rPr>
                <w:sz w:val="16"/>
                <w:szCs w:val="16"/>
              </w:rPr>
            </w:pPr>
            <w:r>
              <w:rPr>
                <w:sz w:val="16"/>
                <w:szCs w:val="16"/>
              </w:rPr>
              <w:t xml:space="preserve"> 50,299,241.28 </w:t>
            </w:r>
          </w:p>
        </w:tc>
        <w:tc>
          <w:tcPr>
            <w:tcW w:w="1022" w:type="dxa"/>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20,486,861.44 </w:t>
            </w:r>
          </w:p>
        </w:tc>
        <w:tc>
          <w:tcPr>
            <w:tcW w:w="1021" w:type="dxa"/>
          </w:tcPr>
          <w:p w:rsidR="00156DD6" w:rsidRDefault="00D51F5F">
            <w:pPr>
              <w:jc w:val="right"/>
              <w:rPr>
                <w:sz w:val="16"/>
                <w:szCs w:val="16"/>
              </w:rPr>
            </w:pPr>
            <w:r>
              <w:rPr>
                <w:sz w:val="16"/>
                <w:szCs w:val="16"/>
              </w:rPr>
              <w:t xml:space="preserve"> 117,387,556.66 </w:t>
            </w:r>
          </w:p>
        </w:tc>
        <w:tc>
          <w:tcPr>
            <w:tcW w:w="1008" w:type="dxa"/>
          </w:tcPr>
          <w:p w:rsidR="00156DD6" w:rsidRDefault="00D51F5F">
            <w:pPr>
              <w:jc w:val="right"/>
              <w:rPr>
                <w:sz w:val="16"/>
                <w:szCs w:val="16"/>
              </w:rPr>
            </w:pPr>
            <w:r>
              <w:rPr>
                <w:sz w:val="16"/>
                <w:szCs w:val="16"/>
              </w:rPr>
              <w:t xml:space="preserve"> 995,843,075.29 </w:t>
            </w:r>
          </w:p>
        </w:tc>
        <w:tc>
          <w:tcPr>
            <w:tcW w:w="1026" w:type="dxa"/>
          </w:tcPr>
          <w:p w:rsidR="00156DD6" w:rsidRDefault="00D51F5F">
            <w:pPr>
              <w:jc w:val="right"/>
              <w:rPr>
                <w:sz w:val="16"/>
                <w:szCs w:val="16"/>
              </w:rPr>
            </w:pPr>
            <w:r>
              <w:rPr>
                <w:sz w:val="16"/>
                <w:szCs w:val="16"/>
              </w:rPr>
              <w:t xml:space="preserve"> 2,401,430,672.81 </w:t>
            </w:r>
          </w:p>
        </w:tc>
      </w:tr>
      <w:tr w:rsidR="00156DD6">
        <w:trPr>
          <w:trHeight w:val="20"/>
        </w:trPr>
        <w:sdt>
          <w:sdtPr>
            <w:rPr>
              <w:sz w:val="16"/>
              <w:szCs w:val="16"/>
            </w:rPr>
            <w:tag w:val="_PLD_9ce2d31f4fd34371930cec7fd79a4318"/>
            <w:id w:val="915672017"/>
          </w:sdtPr>
          <w:sdtEndPr/>
          <w:sdtContent>
            <w:tc>
              <w:tcPr>
                <w:tcW w:w="2394" w:type="dxa"/>
                <w:vAlign w:val="center"/>
              </w:tcPr>
              <w:p w:rsidR="00156DD6" w:rsidRDefault="00D51F5F">
                <w:pPr>
                  <w:rPr>
                    <w:color w:val="000000" w:themeColor="text1"/>
                    <w:sz w:val="16"/>
                    <w:szCs w:val="16"/>
                  </w:rPr>
                </w:pPr>
                <w:r>
                  <w:rPr>
                    <w:color w:val="000000" w:themeColor="text1"/>
                    <w:sz w:val="16"/>
                    <w:szCs w:val="16"/>
                  </w:rPr>
                  <w:t>三、本</w:t>
                </w:r>
                <w:r>
                  <w:rPr>
                    <w:rFonts w:hint="eastAsia"/>
                    <w:color w:val="000000" w:themeColor="text1"/>
                    <w:sz w:val="16"/>
                    <w:szCs w:val="16"/>
                  </w:rPr>
                  <w:t>期</w:t>
                </w:r>
                <w:r>
                  <w:rPr>
                    <w:color w:val="000000" w:themeColor="text1"/>
                    <w:sz w:val="16"/>
                    <w:szCs w:val="16"/>
                  </w:rPr>
                  <w:t>增减变动金额（减少以</w:t>
                </w:r>
                <w:r>
                  <w:rPr>
                    <w:color w:val="000000" w:themeColor="text1"/>
                    <w:sz w:val="16"/>
                    <w:szCs w:val="16"/>
                  </w:rPr>
                  <w:t>“</w:t>
                </w:r>
                <w:r>
                  <w:rPr>
                    <w:color w:val="000000" w:themeColor="text1"/>
                    <w:sz w:val="16"/>
                    <w:szCs w:val="16"/>
                  </w:rPr>
                  <w:t>－</w:t>
                </w:r>
                <w:r>
                  <w:rPr>
                    <w:color w:val="000000" w:themeColor="text1"/>
                    <w:sz w:val="16"/>
                    <w:szCs w:val="16"/>
                  </w:rPr>
                  <w:t>”</w:t>
                </w:r>
                <w:r>
                  <w:rPr>
                    <w:color w:val="000000" w:themeColor="text1"/>
                    <w:sz w:val="16"/>
                    <w:szCs w:val="16"/>
                  </w:rPr>
                  <w:t>号填列）</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3,847,666.44 </w:t>
            </w: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2,825,795.37 </w:t>
            </w:r>
          </w:p>
        </w:tc>
        <w:tc>
          <w:tcPr>
            <w:tcW w:w="1021" w:type="dxa"/>
          </w:tcPr>
          <w:p w:rsidR="00156DD6" w:rsidRDefault="00D51F5F">
            <w:pPr>
              <w:jc w:val="right"/>
              <w:rPr>
                <w:sz w:val="16"/>
                <w:szCs w:val="16"/>
              </w:rPr>
            </w:pPr>
            <w:r>
              <w:rPr>
                <w:sz w:val="16"/>
                <w:szCs w:val="16"/>
              </w:rPr>
              <w:t xml:space="preserve">   </w:t>
            </w:r>
          </w:p>
        </w:tc>
        <w:tc>
          <w:tcPr>
            <w:tcW w:w="1008" w:type="dxa"/>
          </w:tcPr>
          <w:p w:rsidR="00156DD6" w:rsidRDefault="00D51F5F">
            <w:pPr>
              <w:jc w:val="right"/>
              <w:rPr>
                <w:sz w:val="16"/>
                <w:szCs w:val="16"/>
              </w:rPr>
            </w:pPr>
            <w:r>
              <w:rPr>
                <w:sz w:val="16"/>
                <w:szCs w:val="16"/>
              </w:rPr>
              <w:t xml:space="preserve"> -15,399,973.41 </w:t>
            </w:r>
          </w:p>
        </w:tc>
        <w:tc>
          <w:tcPr>
            <w:tcW w:w="1026" w:type="dxa"/>
          </w:tcPr>
          <w:p w:rsidR="00156DD6" w:rsidRDefault="00D51F5F">
            <w:pPr>
              <w:jc w:val="right"/>
              <w:rPr>
                <w:sz w:val="16"/>
                <w:szCs w:val="16"/>
              </w:rPr>
            </w:pPr>
            <w:r>
              <w:rPr>
                <w:sz w:val="16"/>
                <w:szCs w:val="16"/>
              </w:rPr>
              <w:t xml:space="preserve"> -8,726,511.60 </w:t>
            </w:r>
          </w:p>
        </w:tc>
      </w:tr>
      <w:tr w:rsidR="00156DD6">
        <w:trPr>
          <w:trHeight w:val="20"/>
        </w:trPr>
        <w:sdt>
          <w:sdtPr>
            <w:rPr>
              <w:sz w:val="16"/>
              <w:szCs w:val="16"/>
            </w:rPr>
            <w:tag w:val="_PLD_8e61c9577cd8495fb0815773685b00bb"/>
            <w:id w:val="-1432360659"/>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（一）综合收益总额</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D51F5F">
            <w:pPr>
              <w:jc w:val="right"/>
              <w:rPr>
                <w:sz w:val="16"/>
                <w:szCs w:val="16"/>
              </w:rPr>
            </w:pPr>
            <w:r>
              <w:rPr>
                <w:sz w:val="16"/>
                <w:szCs w:val="16"/>
              </w:rPr>
              <w:t xml:space="preserve"> 34,477,222.44 </w:t>
            </w:r>
          </w:p>
        </w:tc>
        <w:tc>
          <w:tcPr>
            <w:tcW w:w="1026" w:type="dxa"/>
          </w:tcPr>
          <w:p w:rsidR="00156DD6" w:rsidRDefault="00D51F5F">
            <w:pPr>
              <w:jc w:val="right"/>
              <w:rPr>
                <w:sz w:val="16"/>
                <w:szCs w:val="16"/>
              </w:rPr>
            </w:pPr>
            <w:r>
              <w:rPr>
                <w:sz w:val="16"/>
                <w:szCs w:val="16"/>
              </w:rPr>
              <w:t xml:space="preserve"> 34,477,222.44 </w:t>
            </w:r>
          </w:p>
        </w:tc>
      </w:tr>
      <w:tr w:rsidR="00156DD6">
        <w:trPr>
          <w:trHeight w:val="20"/>
        </w:trPr>
        <w:sdt>
          <w:sdtPr>
            <w:rPr>
              <w:sz w:val="16"/>
              <w:szCs w:val="16"/>
            </w:rPr>
            <w:tag w:val="_PLD_e11fbdac72bf4f84a5635701204e5724"/>
            <w:id w:val="-988473190"/>
          </w:sdtPr>
          <w:sdtEndPr/>
          <w:sdtContent>
            <w:tc>
              <w:tcPr>
                <w:tcW w:w="2394" w:type="dxa"/>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二</w:t>
                </w:r>
                <w:r>
                  <w:rPr>
                    <w:color w:val="000000" w:themeColor="text1"/>
                    <w:sz w:val="16"/>
                    <w:szCs w:val="16"/>
                  </w:rPr>
                  <w:t>）所有者投入和减少资本</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3,847,666.44 </w:t>
            </w: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D51F5F">
            <w:pPr>
              <w:jc w:val="right"/>
              <w:rPr>
                <w:sz w:val="16"/>
                <w:szCs w:val="16"/>
              </w:rPr>
            </w:pPr>
            <w:r>
              <w:rPr>
                <w:sz w:val="16"/>
                <w:szCs w:val="16"/>
              </w:rPr>
              <w:t xml:space="preserve">  </w:t>
            </w:r>
          </w:p>
        </w:tc>
        <w:tc>
          <w:tcPr>
            <w:tcW w:w="1026" w:type="dxa"/>
          </w:tcPr>
          <w:p w:rsidR="00156DD6" w:rsidRDefault="00D51F5F">
            <w:pPr>
              <w:jc w:val="right"/>
              <w:rPr>
                <w:sz w:val="16"/>
                <w:szCs w:val="16"/>
              </w:rPr>
            </w:pPr>
            <w:r>
              <w:rPr>
                <w:sz w:val="16"/>
                <w:szCs w:val="16"/>
              </w:rPr>
              <w:t xml:space="preserve"> 3,847,666.44 </w:t>
            </w:r>
          </w:p>
        </w:tc>
      </w:tr>
      <w:tr w:rsidR="00156DD6">
        <w:trPr>
          <w:trHeight w:val="20"/>
        </w:trPr>
        <w:sdt>
          <w:sdtPr>
            <w:rPr>
              <w:sz w:val="16"/>
              <w:szCs w:val="16"/>
            </w:rPr>
            <w:tag w:val="_PLD_7b195f652f0542a9b8fb6e62990feb42"/>
            <w:id w:val="603773119"/>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1</w:t>
                </w:r>
                <w:r>
                  <w:rPr>
                    <w:rFonts w:hint="eastAsia"/>
                    <w:color w:val="000000" w:themeColor="text1"/>
                    <w:sz w:val="16"/>
                    <w:szCs w:val="16"/>
                  </w:rPr>
                  <w:t>．所有者投入的普通股</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4873337789fc42b5ae8485de96f3dad3"/>
            <w:id w:val="2087956129"/>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2</w:t>
                </w:r>
                <w:r>
                  <w:rPr>
                    <w:rFonts w:hint="eastAsia"/>
                    <w:color w:val="000000" w:themeColor="text1"/>
                    <w:sz w:val="16"/>
                    <w:szCs w:val="16"/>
                  </w:rPr>
                  <w:t>．其他权益工具持有者投入资本</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D51F5F">
            <w:pPr>
              <w:jc w:val="right"/>
              <w:rPr>
                <w:sz w:val="16"/>
                <w:szCs w:val="16"/>
              </w:rPr>
            </w:pPr>
            <w:r>
              <w:rPr>
                <w:sz w:val="16"/>
                <w:szCs w:val="16"/>
              </w:rPr>
              <w:t xml:space="preserve">  </w:t>
            </w:r>
          </w:p>
        </w:tc>
      </w:tr>
      <w:tr w:rsidR="00156DD6">
        <w:trPr>
          <w:trHeight w:val="20"/>
        </w:trPr>
        <w:sdt>
          <w:sdtPr>
            <w:rPr>
              <w:sz w:val="16"/>
              <w:szCs w:val="16"/>
            </w:rPr>
            <w:tag w:val="_PLD_83c73c5580c0412189f697f05780f9af"/>
            <w:id w:val="-1378538324"/>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3</w:t>
                </w:r>
                <w:r>
                  <w:rPr>
                    <w:color w:val="000000" w:themeColor="text1"/>
                    <w:sz w:val="16"/>
                    <w:szCs w:val="16"/>
                  </w:rPr>
                  <w:t>．股份支付计入所有者权益的金额</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3,847,666.44 </w:t>
            </w: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D51F5F">
            <w:pPr>
              <w:jc w:val="right"/>
              <w:rPr>
                <w:sz w:val="16"/>
                <w:szCs w:val="16"/>
              </w:rPr>
            </w:pPr>
            <w:r>
              <w:rPr>
                <w:sz w:val="16"/>
                <w:szCs w:val="16"/>
              </w:rPr>
              <w:t xml:space="preserve"> 3,847,666.44 </w:t>
            </w:r>
          </w:p>
        </w:tc>
      </w:tr>
      <w:tr w:rsidR="00156DD6">
        <w:trPr>
          <w:trHeight w:val="20"/>
        </w:trPr>
        <w:sdt>
          <w:sdtPr>
            <w:rPr>
              <w:sz w:val="16"/>
              <w:szCs w:val="16"/>
            </w:rPr>
            <w:tag w:val="_PLD_b328cbc349734354ae3aacf675414174"/>
            <w:id w:val="517510415"/>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4</w:t>
                </w:r>
                <w:r>
                  <w:rPr>
                    <w:color w:val="000000" w:themeColor="text1"/>
                    <w:sz w:val="16"/>
                    <w:szCs w:val="16"/>
                  </w:rPr>
                  <w:t>．其他</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D51F5F">
            <w:pPr>
              <w:jc w:val="right"/>
              <w:rPr>
                <w:sz w:val="16"/>
                <w:szCs w:val="16"/>
              </w:rPr>
            </w:pPr>
            <w:r>
              <w:rPr>
                <w:sz w:val="16"/>
                <w:szCs w:val="16"/>
              </w:rPr>
              <w:t xml:space="preserve">   </w:t>
            </w:r>
          </w:p>
        </w:tc>
      </w:tr>
      <w:tr w:rsidR="00156DD6">
        <w:trPr>
          <w:trHeight w:val="20"/>
        </w:trPr>
        <w:sdt>
          <w:sdtPr>
            <w:rPr>
              <w:sz w:val="16"/>
              <w:szCs w:val="16"/>
            </w:rPr>
            <w:tag w:val="_PLD_9773183e97be44a1a360188937e7fe10"/>
            <w:id w:val="-877316649"/>
          </w:sdtPr>
          <w:sdtEndPr/>
          <w:sdtContent>
            <w:tc>
              <w:tcPr>
                <w:tcW w:w="2394" w:type="dxa"/>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三</w:t>
                </w:r>
                <w:r>
                  <w:rPr>
                    <w:color w:val="000000" w:themeColor="text1"/>
                    <w:sz w:val="16"/>
                    <w:szCs w:val="16"/>
                  </w:rPr>
                  <w:t>）利润分配</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D51F5F">
            <w:pPr>
              <w:jc w:val="right"/>
              <w:rPr>
                <w:sz w:val="16"/>
                <w:szCs w:val="16"/>
              </w:rPr>
            </w:pPr>
            <w:r>
              <w:rPr>
                <w:sz w:val="16"/>
                <w:szCs w:val="16"/>
              </w:rPr>
              <w:t xml:space="preserve"> -49,877,195.85 </w:t>
            </w:r>
          </w:p>
        </w:tc>
        <w:tc>
          <w:tcPr>
            <w:tcW w:w="1026" w:type="dxa"/>
          </w:tcPr>
          <w:p w:rsidR="00156DD6" w:rsidRDefault="00D51F5F">
            <w:pPr>
              <w:jc w:val="right"/>
              <w:rPr>
                <w:sz w:val="16"/>
                <w:szCs w:val="16"/>
              </w:rPr>
            </w:pPr>
            <w:r>
              <w:rPr>
                <w:sz w:val="16"/>
                <w:szCs w:val="16"/>
              </w:rPr>
              <w:t xml:space="preserve"> -49,877,195.85 </w:t>
            </w:r>
          </w:p>
        </w:tc>
      </w:tr>
      <w:tr w:rsidR="00156DD6">
        <w:trPr>
          <w:trHeight w:val="20"/>
        </w:trPr>
        <w:sdt>
          <w:sdtPr>
            <w:rPr>
              <w:sz w:val="16"/>
              <w:szCs w:val="16"/>
            </w:rPr>
            <w:tag w:val="_PLD_49d633deae854098a44173514bb3a7b3"/>
            <w:id w:val="-938831935"/>
          </w:sdtPr>
          <w:sdtEndPr/>
          <w:sdtContent>
            <w:tc>
              <w:tcPr>
                <w:tcW w:w="2394" w:type="dxa"/>
                <w:vAlign w:val="center"/>
              </w:tcPr>
              <w:p w:rsidR="00156DD6" w:rsidRDefault="00D51F5F">
                <w:pPr>
                  <w:rPr>
                    <w:color w:val="000000" w:themeColor="text1"/>
                    <w:sz w:val="16"/>
                    <w:szCs w:val="16"/>
                  </w:rPr>
                </w:pPr>
                <w:r>
                  <w:rPr>
                    <w:color w:val="000000" w:themeColor="text1"/>
                    <w:sz w:val="16"/>
                    <w:szCs w:val="16"/>
                  </w:rPr>
                  <w:t>1</w:t>
                </w:r>
                <w:r>
                  <w:rPr>
                    <w:color w:val="000000" w:themeColor="text1"/>
                    <w:sz w:val="16"/>
                    <w:szCs w:val="16"/>
                  </w:rPr>
                  <w:t>．提取盈余公积</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97bd41fffab4497fb1be0b345aef17bd"/>
            <w:id w:val="724726915"/>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2</w:t>
                </w:r>
                <w:r>
                  <w:rPr>
                    <w:color w:val="000000" w:themeColor="text1"/>
                    <w:sz w:val="16"/>
                    <w:szCs w:val="16"/>
                  </w:rPr>
                  <w:t>．对所有者（或股东）的分配</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D51F5F">
            <w:pPr>
              <w:jc w:val="right"/>
              <w:rPr>
                <w:sz w:val="16"/>
                <w:szCs w:val="16"/>
              </w:rPr>
            </w:pPr>
            <w:r>
              <w:rPr>
                <w:sz w:val="16"/>
                <w:szCs w:val="16"/>
              </w:rPr>
              <w:t xml:space="preserve"> -49,877,195.85 </w:t>
            </w:r>
          </w:p>
        </w:tc>
        <w:tc>
          <w:tcPr>
            <w:tcW w:w="1026" w:type="dxa"/>
          </w:tcPr>
          <w:p w:rsidR="00156DD6" w:rsidRDefault="00D51F5F">
            <w:pPr>
              <w:jc w:val="right"/>
              <w:rPr>
                <w:sz w:val="16"/>
                <w:szCs w:val="16"/>
              </w:rPr>
            </w:pPr>
            <w:r>
              <w:rPr>
                <w:sz w:val="16"/>
                <w:szCs w:val="16"/>
              </w:rPr>
              <w:t xml:space="preserve"> -49,877,195.85 </w:t>
            </w:r>
          </w:p>
        </w:tc>
      </w:tr>
      <w:tr w:rsidR="00156DD6">
        <w:trPr>
          <w:trHeight w:val="20"/>
        </w:trPr>
        <w:sdt>
          <w:sdtPr>
            <w:rPr>
              <w:sz w:val="16"/>
              <w:szCs w:val="16"/>
            </w:rPr>
            <w:tag w:val="_PLD_a5c6789730e84b389ee95f39091419a8"/>
            <w:id w:val="445352861"/>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3</w:t>
                </w:r>
                <w:r>
                  <w:rPr>
                    <w:color w:val="000000" w:themeColor="text1"/>
                    <w:sz w:val="16"/>
                    <w:szCs w:val="16"/>
                  </w:rPr>
                  <w:t>．其他</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9c529a92f12642ed93c3ac5d7c5ef52b"/>
            <w:id w:val="1902868035"/>
          </w:sdtPr>
          <w:sdtEndPr/>
          <w:sdtContent>
            <w:tc>
              <w:tcPr>
                <w:tcW w:w="2394" w:type="dxa"/>
                <w:vAlign w:val="center"/>
              </w:tcPr>
              <w:p w:rsidR="00156DD6" w:rsidRDefault="00D51F5F">
                <w:pPr>
                  <w:rPr>
                    <w:color w:val="000000" w:themeColor="text1"/>
                    <w:sz w:val="16"/>
                    <w:szCs w:val="16"/>
                  </w:rPr>
                </w:pPr>
                <w:r>
                  <w:rPr>
                    <w:color w:val="000000" w:themeColor="text1"/>
                    <w:sz w:val="16"/>
                    <w:szCs w:val="16"/>
                  </w:rPr>
                  <w:t>（</w:t>
                </w:r>
                <w:r>
                  <w:rPr>
                    <w:rFonts w:hint="eastAsia"/>
                    <w:color w:val="000000" w:themeColor="text1"/>
                    <w:sz w:val="16"/>
                    <w:szCs w:val="16"/>
                  </w:rPr>
                  <w:t>四</w:t>
                </w:r>
                <w:r>
                  <w:rPr>
                    <w:color w:val="000000" w:themeColor="text1"/>
                    <w:sz w:val="16"/>
                    <w:szCs w:val="16"/>
                  </w:rPr>
                  <w:t>）所有者权益内部结转</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084a56709ef243f89e8f0aead886c10d"/>
            <w:id w:val="1152332351"/>
          </w:sdtPr>
          <w:sdtEndPr/>
          <w:sdtContent>
            <w:tc>
              <w:tcPr>
                <w:tcW w:w="2394" w:type="dxa"/>
                <w:vAlign w:val="center"/>
              </w:tcPr>
              <w:p w:rsidR="00156DD6" w:rsidRDefault="00D51F5F">
                <w:pPr>
                  <w:rPr>
                    <w:color w:val="000000" w:themeColor="text1"/>
                    <w:sz w:val="16"/>
                    <w:szCs w:val="16"/>
                  </w:rPr>
                </w:pPr>
                <w:r>
                  <w:rPr>
                    <w:color w:val="000000" w:themeColor="text1"/>
                    <w:sz w:val="16"/>
                    <w:szCs w:val="16"/>
                  </w:rPr>
                  <w:t>1</w:t>
                </w:r>
                <w:r>
                  <w:rPr>
                    <w:color w:val="000000" w:themeColor="text1"/>
                    <w:sz w:val="16"/>
                    <w:szCs w:val="16"/>
                  </w:rPr>
                  <w:t>．资本公积转增资本（或股本）</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22df50d156334ad9a740cc6d62e17f0b"/>
            <w:id w:val="-257209160"/>
          </w:sdtPr>
          <w:sdtEndPr/>
          <w:sdtContent>
            <w:tc>
              <w:tcPr>
                <w:tcW w:w="2394" w:type="dxa"/>
                <w:vAlign w:val="center"/>
              </w:tcPr>
              <w:p w:rsidR="00156DD6" w:rsidRDefault="00D51F5F">
                <w:pPr>
                  <w:rPr>
                    <w:color w:val="000000" w:themeColor="text1"/>
                    <w:sz w:val="16"/>
                    <w:szCs w:val="16"/>
                  </w:rPr>
                </w:pPr>
                <w:r>
                  <w:rPr>
                    <w:color w:val="000000" w:themeColor="text1"/>
                    <w:sz w:val="16"/>
                    <w:szCs w:val="16"/>
                  </w:rPr>
                  <w:t>2</w:t>
                </w:r>
                <w:r>
                  <w:rPr>
                    <w:color w:val="000000" w:themeColor="text1"/>
                    <w:sz w:val="16"/>
                    <w:szCs w:val="16"/>
                  </w:rPr>
                  <w:t>．盈余公积转增资本（或股本）</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4846580862224d1a9e17a9af1fe14d07"/>
            <w:id w:val="2003776588"/>
          </w:sdtPr>
          <w:sdtEndPr/>
          <w:sdtContent>
            <w:tc>
              <w:tcPr>
                <w:tcW w:w="2394" w:type="dxa"/>
                <w:vAlign w:val="center"/>
              </w:tcPr>
              <w:p w:rsidR="00156DD6" w:rsidRDefault="00D51F5F">
                <w:pPr>
                  <w:rPr>
                    <w:color w:val="000000" w:themeColor="text1"/>
                    <w:sz w:val="16"/>
                    <w:szCs w:val="16"/>
                  </w:rPr>
                </w:pPr>
                <w:r>
                  <w:rPr>
                    <w:color w:val="000000" w:themeColor="text1"/>
                    <w:sz w:val="16"/>
                    <w:szCs w:val="16"/>
                  </w:rPr>
                  <w:t>3</w:t>
                </w:r>
                <w:r>
                  <w:rPr>
                    <w:color w:val="000000" w:themeColor="text1"/>
                    <w:sz w:val="16"/>
                    <w:szCs w:val="16"/>
                  </w:rPr>
                  <w:t>．盈余公积弥补亏损</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tc>
          <w:tcPr>
            <w:tcW w:w="2394" w:type="dxa"/>
            <w:vAlign w:val="center"/>
          </w:tcPr>
          <w:sdt>
            <w:sdtPr>
              <w:rPr>
                <w:sz w:val="16"/>
                <w:szCs w:val="16"/>
              </w:rPr>
              <w:tag w:val="_PLD_a2566358e2dc4d0b9e534ee13a2b1a26"/>
              <w:id w:val="-1470902978"/>
            </w:sdtPr>
            <w:sdtEndPr/>
            <w:sdtContent>
              <w:p w:rsidR="00156DD6" w:rsidRDefault="00D51F5F">
                <w:pPr>
                  <w:rPr>
                    <w:color w:val="000000" w:themeColor="text1"/>
                    <w:sz w:val="16"/>
                    <w:szCs w:val="16"/>
                  </w:rPr>
                </w:pPr>
                <w:r>
                  <w:rPr>
                    <w:color w:val="000000" w:themeColor="text1"/>
                    <w:sz w:val="16"/>
                    <w:szCs w:val="16"/>
                  </w:rPr>
                  <w:t>4</w:t>
                </w:r>
                <w:r>
                  <w:rPr>
                    <w:color w:val="000000" w:themeColor="text1"/>
                    <w:sz w:val="16"/>
                    <w:szCs w:val="16"/>
                  </w:rPr>
                  <w:t>．设定受益计划变动额结转留存收益</w:t>
                </w:r>
              </w:p>
            </w:sdtContent>
          </w:sdt>
        </w:tc>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tc>
          <w:tcPr>
            <w:tcW w:w="2394" w:type="dxa"/>
            <w:vAlign w:val="center"/>
          </w:tcPr>
          <w:sdt>
            <w:sdtPr>
              <w:rPr>
                <w:sz w:val="16"/>
                <w:szCs w:val="16"/>
              </w:rPr>
              <w:tag w:val="_PLD_659907ea90ce4ac18323403c6e02efd1"/>
              <w:id w:val="503554829"/>
            </w:sdtPr>
            <w:sdtEndPr/>
            <w:sdtContent>
              <w:p w:rsidR="00156DD6" w:rsidRDefault="00D51F5F">
                <w:pPr>
                  <w:rPr>
                    <w:color w:val="000000" w:themeColor="text1"/>
                    <w:sz w:val="16"/>
                    <w:szCs w:val="16"/>
                  </w:rPr>
                </w:pPr>
                <w:r>
                  <w:rPr>
                    <w:color w:val="000000" w:themeColor="text1"/>
                    <w:sz w:val="16"/>
                    <w:szCs w:val="16"/>
                  </w:rPr>
                  <w:t>5</w:t>
                </w:r>
                <w:r>
                  <w:rPr>
                    <w:color w:val="000000" w:themeColor="text1"/>
                    <w:sz w:val="16"/>
                    <w:szCs w:val="16"/>
                  </w:rPr>
                  <w:t>．其他综合收益结转留存收益</w:t>
                </w:r>
              </w:p>
            </w:sdtContent>
          </w:sdt>
        </w:tc>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tc>
          <w:tcPr>
            <w:tcW w:w="2394" w:type="dxa"/>
            <w:vAlign w:val="center"/>
          </w:tcPr>
          <w:sdt>
            <w:sdtPr>
              <w:rPr>
                <w:sz w:val="16"/>
                <w:szCs w:val="16"/>
              </w:rPr>
              <w:tag w:val="_PLD_811577c623d04471a27af10d35119258"/>
              <w:id w:val="-1924175111"/>
            </w:sdtPr>
            <w:sdtEndPr/>
            <w:sdtContent>
              <w:p w:rsidR="00156DD6" w:rsidRDefault="00D51F5F">
                <w:pPr>
                  <w:rPr>
                    <w:color w:val="000000" w:themeColor="text1"/>
                    <w:sz w:val="16"/>
                    <w:szCs w:val="16"/>
                  </w:rPr>
                </w:pPr>
                <w:r>
                  <w:rPr>
                    <w:color w:val="000000" w:themeColor="text1"/>
                    <w:sz w:val="16"/>
                    <w:szCs w:val="16"/>
                  </w:rPr>
                  <w:t>6</w:t>
                </w:r>
                <w:r>
                  <w:rPr>
                    <w:color w:val="000000" w:themeColor="text1"/>
                    <w:sz w:val="16"/>
                    <w:szCs w:val="16"/>
                  </w:rPr>
                  <w:t>．其他</w:t>
                </w:r>
              </w:p>
            </w:sdtContent>
          </w:sdt>
        </w:tc>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156DD6">
            <w:pPr>
              <w:jc w:val="right"/>
              <w:rPr>
                <w:sz w:val="16"/>
                <w:szCs w:val="16"/>
              </w:rPr>
            </w:pPr>
          </w:p>
        </w:tc>
      </w:tr>
      <w:tr w:rsidR="00156DD6">
        <w:trPr>
          <w:trHeight w:val="20"/>
        </w:trPr>
        <w:sdt>
          <w:sdtPr>
            <w:rPr>
              <w:sz w:val="16"/>
              <w:szCs w:val="16"/>
            </w:rPr>
            <w:tag w:val="_PLD_2a0b15de13474fe285b68b48e29b688f"/>
            <w:id w:val="828185567"/>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（五）专项储备</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2,825,795.37 </w:t>
            </w: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D51F5F">
            <w:pPr>
              <w:jc w:val="right"/>
              <w:rPr>
                <w:sz w:val="16"/>
                <w:szCs w:val="16"/>
              </w:rPr>
            </w:pPr>
            <w:r>
              <w:rPr>
                <w:sz w:val="16"/>
                <w:szCs w:val="16"/>
              </w:rPr>
              <w:t xml:space="preserve"> 2,825,795.37 </w:t>
            </w:r>
          </w:p>
        </w:tc>
      </w:tr>
      <w:tr w:rsidR="00156DD6">
        <w:trPr>
          <w:trHeight w:val="20"/>
        </w:trPr>
        <w:sdt>
          <w:sdtPr>
            <w:rPr>
              <w:sz w:val="16"/>
              <w:szCs w:val="16"/>
            </w:rPr>
            <w:tag w:val="_PLD_8be2fdb078fc42cdaebf61e81ed6d67b"/>
            <w:id w:val="1967691849"/>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1</w:t>
                </w:r>
                <w:r>
                  <w:rPr>
                    <w:rFonts w:hint="eastAsia"/>
                    <w:color w:val="000000" w:themeColor="text1"/>
                    <w:sz w:val="16"/>
                    <w:szCs w:val="16"/>
                  </w:rPr>
                  <w:t>．本期提取</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5,334,598.50 </w:t>
            </w: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D51F5F">
            <w:pPr>
              <w:jc w:val="right"/>
              <w:rPr>
                <w:sz w:val="16"/>
                <w:szCs w:val="16"/>
              </w:rPr>
            </w:pPr>
            <w:r>
              <w:rPr>
                <w:sz w:val="16"/>
                <w:szCs w:val="16"/>
              </w:rPr>
              <w:t xml:space="preserve"> 5,334,598.50 </w:t>
            </w:r>
          </w:p>
        </w:tc>
      </w:tr>
      <w:tr w:rsidR="00156DD6">
        <w:trPr>
          <w:trHeight w:val="20"/>
        </w:trPr>
        <w:sdt>
          <w:sdtPr>
            <w:rPr>
              <w:sz w:val="16"/>
              <w:szCs w:val="16"/>
            </w:rPr>
            <w:tag w:val="_PLD_12344832238e442d9f64388fa2af60f1"/>
            <w:id w:val="2036612024"/>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2</w:t>
                </w:r>
                <w:r>
                  <w:rPr>
                    <w:rFonts w:hint="eastAsia"/>
                    <w:color w:val="000000" w:themeColor="text1"/>
                    <w:sz w:val="16"/>
                    <w:szCs w:val="16"/>
                  </w:rPr>
                  <w:t>．本期使用</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-2,508,803.13 </w:t>
            </w: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D51F5F">
            <w:pPr>
              <w:jc w:val="right"/>
              <w:rPr>
                <w:sz w:val="16"/>
                <w:szCs w:val="16"/>
              </w:rPr>
            </w:pPr>
            <w:r>
              <w:rPr>
                <w:sz w:val="16"/>
                <w:szCs w:val="16"/>
              </w:rPr>
              <w:t xml:space="preserve"> -2,508,803.13 </w:t>
            </w:r>
          </w:p>
        </w:tc>
      </w:tr>
      <w:tr w:rsidR="00156DD6">
        <w:trPr>
          <w:trHeight w:val="20"/>
        </w:trPr>
        <w:sdt>
          <w:sdtPr>
            <w:rPr>
              <w:sz w:val="16"/>
              <w:szCs w:val="16"/>
            </w:rPr>
            <w:tag w:val="_PLD_adc6cb0ad3a14129b7edac5f396c8fd5"/>
            <w:id w:val="1303503506"/>
          </w:sdtPr>
          <w:sdtEndPr/>
          <w:sdtContent>
            <w:tc>
              <w:tcPr>
                <w:tcW w:w="2394" w:type="dxa"/>
                <w:vAlign w:val="center"/>
              </w:tcPr>
              <w:p w:rsidR="00156DD6" w:rsidRDefault="00D51F5F">
                <w:pPr>
                  <w:rPr>
                    <w:color w:val="000000" w:themeColor="text1"/>
                    <w:sz w:val="16"/>
                    <w:szCs w:val="16"/>
                  </w:rPr>
                </w:pPr>
                <w:r>
                  <w:rPr>
                    <w:rFonts w:hint="eastAsia"/>
                    <w:color w:val="000000" w:themeColor="text1"/>
                    <w:sz w:val="16"/>
                    <w:szCs w:val="16"/>
                  </w:rPr>
                  <w:t>（六）其他</w:t>
                </w:r>
              </w:p>
            </w:tc>
          </w:sdtContent>
        </w:sdt>
        <w:tc>
          <w:tcPr>
            <w:tcW w:w="1078" w:type="dxa"/>
            <w:tcBorders>
              <w:right w:val="single" w:sz="4" w:space="0" w:color="auto"/>
            </w:tcBorders>
          </w:tcPr>
          <w:p w:rsidR="00156DD6" w:rsidRDefault="00156DD6">
            <w:pPr>
              <w:jc w:val="right"/>
              <w:rPr>
                <w:sz w:val="16"/>
                <w:szCs w:val="16"/>
              </w:rPr>
            </w:pP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156DD6">
            <w:pPr>
              <w:jc w:val="right"/>
              <w:rPr>
                <w:sz w:val="16"/>
                <w:szCs w:val="16"/>
              </w:rPr>
            </w:pPr>
          </w:p>
        </w:tc>
        <w:tc>
          <w:tcPr>
            <w:tcW w:w="1064" w:type="dxa"/>
          </w:tcPr>
          <w:p w:rsidR="00156DD6" w:rsidRDefault="00156DD6">
            <w:pPr>
              <w:jc w:val="right"/>
              <w:rPr>
                <w:sz w:val="16"/>
                <w:szCs w:val="16"/>
              </w:rPr>
            </w:pPr>
          </w:p>
        </w:tc>
        <w:tc>
          <w:tcPr>
            <w:tcW w:w="1022" w:type="dxa"/>
          </w:tcPr>
          <w:p w:rsidR="00156DD6" w:rsidRDefault="00156DD6">
            <w:pPr>
              <w:jc w:val="right"/>
              <w:rPr>
                <w:sz w:val="16"/>
                <w:szCs w:val="16"/>
              </w:rPr>
            </w:pPr>
          </w:p>
        </w:tc>
        <w:tc>
          <w:tcPr>
            <w:tcW w:w="1036" w:type="dxa"/>
          </w:tcPr>
          <w:p w:rsidR="00156DD6" w:rsidRDefault="00156DD6">
            <w:pPr>
              <w:jc w:val="right"/>
              <w:rPr>
                <w:sz w:val="16"/>
                <w:szCs w:val="16"/>
              </w:rPr>
            </w:pPr>
          </w:p>
        </w:tc>
        <w:tc>
          <w:tcPr>
            <w:tcW w:w="1021" w:type="dxa"/>
          </w:tcPr>
          <w:p w:rsidR="00156DD6" w:rsidRDefault="00156DD6">
            <w:pPr>
              <w:jc w:val="right"/>
              <w:rPr>
                <w:sz w:val="16"/>
                <w:szCs w:val="16"/>
              </w:rPr>
            </w:pPr>
          </w:p>
        </w:tc>
        <w:tc>
          <w:tcPr>
            <w:tcW w:w="1008" w:type="dxa"/>
          </w:tcPr>
          <w:p w:rsidR="00156DD6" w:rsidRDefault="00156DD6">
            <w:pPr>
              <w:jc w:val="right"/>
              <w:rPr>
                <w:sz w:val="16"/>
                <w:szCs w:val="16"/>
              </w:rPr>
            </w:pPr>
          </w:p>
        </w:tc>
        <w:tc>
          <w:tcPr>
            <w:tcW w:w="1026" w:type="dxa"/>
          </w:tcPr>
          <w:p w:rsidR="00156DD6" w:rsidRDefault="00D51F5F">
            <w:pPr>
              <w:jc w:val="right"/>
              <w:rPr>
                <w:sz w:val="16"/>
                <w:szCs w:val="16"/>
              </w:rPr>
            </w:pPr>
            <w:r>
              <w:rPr>
                <w:sz w:val="16"/>
                <w:szCs w:val="16"/>
              </w:rPr>
              <w:t xml:space="preserve">  </w:t>
            </w:r>
          </w:p>
        </w:tc>
      </w:tr>
      <w:tr w:rsidR="00156DD6">
        <w:trPr>
          <w:trHeight w:val="20"/>
        </w:trPr>
        <w:sdt>
          <w:sdtPr>
            <w:rPr>
              <w:sz w:val="16"/>
              <w:szCs w:val="16"/>
            </w:rPr>
            <w:tag w:val="_PLD_0009c8b4e5ca4d7083f8b2619f6a4584"/>
            <w:id w:val="1839726281"/>
          </w:sdtPr>
          <w:sdtEndPr/>
          <w:sdtContent>
            <w:tc>
              <w:tcPr>
                <w:tcW w:w="2394" w:type="dxa"/>
                <w:vAlign w:val="center"/>
              </w:tcPr>
              <w:p w:rsidR="00156DD6" w:rsidRDefault="00D51F5F">
                <w:pPr>
                  <w:rPr>
                    <w:color w:val="000000" w:themeColor="text1"/>
                    <w:sz w:val="16"/>
                    <w:szCs w:val="16"/>
                  </w:rPr>
                </w:pPr>
                <w:r>
                  <w:rPr>
                    <w:color w:val="000000" w:themeColor="text1"/>
                    <w:sz w:val="16"/>
                    <w:szCs w:val="16"/>
                  </w:rPr>
                  <w:t>四、本期期末余额</w:t>
                </w:r>
              </w:p>
            </w:tc>
          </w:sdtContent>
        </w:sdt>
        <w:tc>
          <w:tcPr>
            <w:tcW w:w="1078" w:type="dxa"/>
            <w:tcBorders>
              <w:right w:val="single" w:sz="4" w:space="0" w:color="auto"/>
            </w:tcBorders>
          </w:tcPr>
          <w:p w:rsidR="00156DD6" w:rsidRDefault="00D51F5F">
            <w:pPr>
              <w:jc w:val="right"/>
              <w:rPr>
                <w:sz w:val="16"/>
                <w:szCs w:val="16"/>
              </w:rPr>
            </w:pPr>
            <w:r>
              <w:rPr>
                <w:sz w:val="16"/>
                <w:szCs w:val="16"/>
              </w:rPr>
              <w:t xml:space="preserve"> 333,167,407.00 </w:t>
            </w:r>
          </w:p>
        </w:tc>
        <w:tc>
          <w:tcPr>
            <w:tcW w:w="1050" w:type="dxa"/>
            <w:tcBorders>
              <w:left w:val="single" w:sz="4" w:space="0" w:color="auto"/>
              <w:right w:val="single" w:sz="4" w:space="0" w:color="auto"/>
            </w:tcBorders>
          </w:tcPr>
          <w:p w:rsidR="00156DD6" w:rsidRDefault="00156DD6">
            <w:pPr>
              <w:jc w:val="right"/>
              <w:rPr>
                <w:sz w:val="16"/>
                <w:szCs w:val="16"/>
              </w:rPr>
            </w:pPr>
          </w:p>
        </w:tc>
        <w:tc>
          <w:tcPr>
            <w:tcW w:w="1078" w:type="dxa"/>
            <w:tcBorders>
              <w:left w:val="single" w:sz="4" w:space="0" w:color="auto"/>
              <w:right w:val="single" w:sz="4" w:space="0" w:color="auto"/>
            </w:tcBorders>
          </w:tcPr>
          <w:p w:rsidR="00156DD6" w:rsidRDefault="00156DD6">
            <w:pPr>
              <w:jc w:val="right"/>
              <w:rPr>
                <w:sz w:val="16"/>
                <w:szCs w:val="16"/>
              </w:rPr>
            </w:pPr>
          </w:p>
        </w:tc>
        <w:tc>
          <w:tcPr>
            <w:tcW w:w="1091" w:type="dxa"/>
            <w:tcBorders>
              <w:left w:val="single" w:sz="4" w:space="0" w:color="auto"/>
            </w:tcBorders>
          </w:tcPr>
          <w:p w:rsidR="00156DD6" w:rsidRDefault="00156DD6">
            <w:pPr>
              <w:jc w:val="right"/>
              <w:rPr>
                <w:sz w:val="16"/>
                <w:szCs w:val="16"/>
              </w:rPr>
            </w:pPr>
          </w:p>
        </w:tc>
        <w:tc>
          <w:tcPr>
            <w:tcW w:w="1036" w:type="dxa"/>
          </w:tcPr>
          <w:p w:rsidR="00156DD6" w:rsidRDefault="00D51F5F">
            <w:pPr>
              <w:jc w:val="right"/>
              <w:rPr>
                <w:sz w:val="16"/>
                <w:szCs w:val="16"/>
              </w:rPr>
            </w:pPr>
            <w:r>
              <w:rPr>
                <w:sz w:val="16"/>
                <w:szCs w:val="16"/>
              </w:rPr>
              <w:t xml:space="preserve"> 988,692,680.14 </w:t>
            </w:r>
          </w:p>
        </w:tc>
        <w:tc>
          <w:tcPr>
            <w:tcW w:w="1064" w:type="dxa"/>
          </w:tcPr>
          <w:p w:rsidR="00156DD6" w:rsidRDefault="00D51F5F">
            <w:pPr>
              <w:jc w:val="right"/>
              <w:rPr>
                <w:sz w:val="16"/>
                <w:szCs w:val="16"/>
              </w:rPr>
            </w:pPr>
            <w:r>
              <w:rPr>
                <w:sz w:val="16"/>
                <w:szCs w:val="16"/>
              </w:rPr>
              <w:t xml:space="preserve"> 50,299,241.28 </w:t>
            </w:r>
          </w:p>
        </w:tc>
        <w:tc>
          <w:tcPr>
            <w:tcW w:w="1022" w:type="dxa"/>
          </w:tcPr>
          <w:p w:rsidR="00156DD6" w:rsidRDefault="00D51F5F">
            <w:pPr>
              <w:jc w:val="right"/>
              <w:rPr>
                <w:sz w:val="16"/>
                <w:szCs w:val="16"/>
              </w:rPr>
            </w:pPr>
            <w:r>
              <w:rPr>
                <w:sz w:val="16"/>
                <w:szCs w:val="16"/>
              </w:rPr>
              <w:t xml:space="preserve">  </w:t>
            </w:r>
          </w:p>
        </w:tc>
        <w:tc>
          <w:tcPr>
            <w:tcW w:w="1036" w:type="dxa"/>
          </w:tcPr>
          <w:p w:rsidR="00156DD6" w:rsidRDefault="00D51F5F">
            <w:pPr>
              <w:jc w:val="right"/>
              <w:rPr>
                <w:sz w:val="16"/>
                <w:szCs w:val="16"/>
              </w:rPr>
            </w:pPr>
            <w:r>
              <w:rPr>
                <w:sz w:val="16"/>
                <w:szCs w:val="16"/>
              </w:rPr>
              <w:t xml:space="preserve"> 23,312,656.81 </w:t>
            </w:r>
          </w:p>
        </w:tc>
        <w:tc>
          <w:tcPr>
            <w:tcW w:w="1021" w:type="dxa"/>
          </w:tcPr>
          <w:p w:rsidR="00156DD6" w:rsidRDefault="00D51F5F">
            <w:pPr>
              <w:jc w:val="right"/>
              <w:rPr>
                <w:sz w:val="16"/>
                <w:szCs w:val="16"/>
              </w:rPr>
            </w:pPr>
            <w:r>
              <w:rPr>
                <w:sz w:val="16"/>
                <w:szCs w:val="16"/>
              </w:rPr>
              <w:t xml:space="preserve"> 117,387,556.66 </w:t>
            </w:r>
          </w:p>
        </w:tc>
        <w:tc>
          <w:tcPr>
            <w:tcW w:w="1008" w:type="dxa"/>
          </w:tcPr>
          <w:p w:rsidR="00156DD6" w:rsidRDefault="00D51F5F">
            <w:pPr>
              <w:jc w:val="right"/>
              <w:rPr>
                <w:sz w:val="16"/>
                <w:szCs w:val="16"/>
              </w:rPr>
            </w:pPr>
            <w:r>
              <w:rPr>
                <w:sz w:val="16"/>
                <w:szCs w:val="16"/>
              </w:rPr>
              <w:t xml:space="preserve"> 980,443,101.88 </w:t>
            </w:r>
          </w:p>
        </w:tc>
        <w:tc>
          <w:tcPr>
            <w:tcW w:w="1026" w:type="dxa"/>
          </w:tcPr>
          <w:p w:rsidR="00156DD6" w:rsidRDefault="00D51F5F">
            <w:pPr>
              <w:jc w:val="right"/>
              <w:rPr>
                <w:sz w:val="16"/>
                <w:szCs w:val="16"/>
              </w:rPr>
            </w:pPr>
            <w:r>
              <w:rPr>
                <w:sz w:val="16"/>
                <w:szCs w:val="16"/>
              </w:rPr>
              <w:t xml:space="preserve"> 2,392,704,161.21 </w:t>
            </w:r>
          </w:p>
        </w:tc>
      </w:tr>
    </w:tbl>
    <w:p w:rsidR="00156DD6" w:rsidRDefault="00D51F5F">
      <w:pPr>
        <w:snapToGrid w:val="0"/>
        <w:spacing w:line="240" w:lineRule="atLeast"/>
        <w:rPr>
          <w:b/>
          <w:color w:val="000000" w:themeColor="text1"/>
        </w:rPr>
      </w:pPr>
      <w:r>
        <w:rPr>
          <w:color w:val="000000" w:themeColor="text1"/>
        </w:rPr>
        <w:t>公司负责人</w:t>
      </w:r>
      <w:r>
        <w:rPr>
          <w:rFonts w:hint="eastAsia"/>
          <w:color w:val="000000" w:themeColor="text1"/>
        </w:rPr>
        <w:t>：</w:t>
      </w:r>
      <w:sdt>
        <w:sdtPr>
          <w:rPr>
            <w:rFonts w:hint="eastAsia"/>
            <w:color w:val="000000" w:themeColor="text1"/>
          </w:rPr>
          <w:alias w:val="公司负责人"/>
          <w:tag w:val="_GBC_6042a2c12168484781348969a4da3e4c"/>
          <w:id w:val="-735238456"/>
          <w:placeholder>
            <w:docPart w:val="GBC22222222222222222222222222222"/>
          </w:placeholder>
          <w:dataBinding w:prefixMappings="xmlns:clcid-mr='clcid-mr'" w:xpath="/*/clcid-mr:GongSiFuZeRenXingMing[not(@periodRef)]" w:storeItemID="{89EBAB94-44A0-46A2-B712-30D997D04A6D}"/>
          <w:text/>
        </w:sdtPr>
        <w:sdtEndPr/>
        <w:sdtContent>
          <w:r>
            <w:rPr>
              <w:rFonts w:hint="eastAsia"/>
              <w:color w:val="000000" w:themeColor="text1"/>
            </w:rPr>
            <w:t>杨泽民</w:t>
          </w:r>
        </w:sdtContent>
      </w:sdt>
      <w:r>
        <w:rPr>
          <w:rFonts w:hint="eastAsia"/>
          <w:color w:val="000000" w:themeColor="text1"/>
        </w:rPr>
        <w:t xml:space="preserve">                                     </w:t>
      </w:r>
      <w:r>
        <w:rPr>
          <w:color w:val="000000" w:themeColor="text1"/>
        </w:rPr>
        <w:t>主管会计工作负责人</w:t>
      </w:r>
      <w:r>
        <w:rPr>
          <w:rFonts w:hint="eastAsia"/>
          <w:color w:val="000000" w:themeColor="text1"/>
        </w:rPr>
        <w:t>：</w:t>
      </w:r>
      <w:sdt>
        <w:sdtPr>
          <w:rPr>
            <w:rFonts w:hint="eastAsia"/>
            <w:color w:val="000000" w:themeColor="text1"/>
          </w:rPr>
          <w:alias w:val="主管会计工作负责人姓名"/>
          <w:tag w:val="_GBC_3008dab61aca43f0a6d82ef192943e79"/>
          <w:id w:val="591510652"/>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color w:val="000000" w:themeColor="text1"/>
            </w:rPr>
            <w:t>杨万华</w:t>
          </w:r>
        </w:sdtContent>
      </w:sdt>
      <w:r>
        <w:rPr>
          <w:rFonts w:hint="eastAsia"/>
          <w:color w:val="000000" w:themeColor="text1"/>
        </w:rPr>
        <w:t xml:space="preserve">                               </w:t>
      </w:r>
      <w:r>
        <w:rPr>
          <w:color w:val="000000" w:themeColor="text1"/>
        </w:rPr>
        <w:t>会计机构负责人</w:t>
      </w:r>
      <w:r>
        <w:rPr>
          <w:rFonts w:hint="eastAsia"/>
          <w:color w:val="000000" w:themeColor="text1"/>
        </w:rPr>
        <w:t>：</w:t>
      </w:r>
      <w:sdt>
        <w:sdtPr>
          <w:rPr>
            <w:rFonts w:hint="eastAsia"/>
            <w:color w:val="000000" w:themeColor="text1"/>
          </w:rPr>
          <w:alias w:val="会计机构负责人姓名"/>
          <w:tag w:val="_GBC_e6c21b270080402ca8dbdc0cab514bde"/>
          <w:id w:val="1027059389"/>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color w:val="000000" w:themeColor="text1"/>
            </w:rPr>
            <w:t>冯波</w:t>
          </w:r>
        </w:sdtContent>
      </w:sdt>
    </w:p>
    <w:p w:rsidR="00156DD6" w:rsidRDefault="00156DD6">
      <w:pPr>
        <w:rPr>
          <w:color w:val="000000" w:themeColor="text1"/>
        </w:rPr>
      </w:pPr>
    </w:p>
    <w:p w:rsidR="00156DD6" w:rsidRDefault="00156DD6">
      <w:pPr>
        <w:snapToGrid w:val="0"/>
        <w:spacing w:line="240" w:lineRule="atLeast"/>
        <w:rPr>
          <w:color w:val="000000" w:themeColor="text1"/>
        </w:rPr>
        <w:sectPr w:rsidR="00156DD6">
          <w:pgSz w:w="16838" w:h="11906" w:orient="landscape"/>
          <w:pgMar w:top="1797" w:right="1525" w:bottom="1276" w:left="1440" w:header="851" w:footer="992" w:gutter="0"/>
          <w:cols w:space="425"/>
          <w:docGrid w:linePitch="312"/>
        </w:sectPr>
      </w:pPr>
      <w:bookmarkStart w:id="174" w:name="_Hlk10212138"/>
      <w:bookmarkEnd w:id="172"/>
      <w:bookmarkEnd w:id="174"/>
    </w:p>
    <w:p w:rsidR="00156DD6" w:rsidRDefault="00D51F5F">
      <w:pPr>
        <w:pStyle w:val="2CharCharChar"/>
        <w:numPr>
          <w:ilvl w:val="0"/>
          <w:numId w:val="33"/>
        </w:numPr>
        <w:ind w:left="420" w:hanging="420"/>
        <w:rPr>
          <w:rFonts w:ascii="宋体" w:hAnsi="宋体"/>
          <w:color w:val="000000" w:themeColor="text1"/>
          <w:sz w:val="21"/>
          <w:szCs w:val="21"/>
        </w:rPr>
      </w:pPr>
      <w:bookmarkStart w:id="175" w:name="_Hlk168646044"/>
      <w:bookmarkStart w:id="176" w:name="_Hlk168993498"/>
      <w:r>
        <w:rPr>
          <w:rFonts w:ascii="宋体" w:hAnsi="宋体" w:hint="eastAsia"/>
          <w:color w:val="000000" w:themeColor="text1"/>
          <w:sz w:val="21"/>
          <w:szCs w:val="21"/>
        </w:rPr>
        <w:lastRenderedPageBreak/>
        <w:t>公司基本情况</w:t>
      </w:r>
    </w:p>
    <w:p w:rsidR="00156DD6" w:rsidRDefault="00D51F5F">
      <w:pPr>
        <w:pStyle w:val="TOC6"/>
        <w:numPr>
          <w:ilvl w:val="0"/>
          <w:numId w:val="34"/>
        </w:numPr>
        <w:ind w:left="425" w:hanging="425"/>
        <w:rPr>
          <w:color w:val="000000" w:themeColor="text1"/>
          <w:sz w:val="21"/>
          <w:szCs w:val="36"/>
        </w:rPr>
      </w:pPr>
      <w:r>
        <w:rPr>
          <w:rFonts w:hint="eastAsia"/>
          <w:color w:val="000000" w:themeColor="text1"/>
          <w:sz w:val="21"/>
          <w:szCs w:val="36"/>
        </w:rPr>
        <w:t>公司概况</w:t>
      </w:r>
    </w:p>
    <w:sdt>
      <w:sdtPr>
        <w:rPr>
          <w:rFonts w:hint="eastAsia"/>
          <w:color w:val="000000" w:themeColor="text1"/>
        </w:rPr>
        <w:alias w:val="是否适用：公司概况[双击切换]"/>
        <w:tag w:val="_GBC_0cae3ba4a5394806810c0303cd783dd4"/>
        <w:id w:val="-22129192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公司概况"/>
        <w:tag w:val="_GBC_ae08459ad5fd43f3a92abaa61cf00bfd"/>
        <w:id w:val="-1378163154"/>
        <w:placeholder>
          <w:docPart w:val="GBC22222222222222222222222222222"/>
        </w:placeholder>
      </w:sdtPr>
      <w:sdtEndPr/>
      <w:sdtContent>
        <w:p w:rsidR="00156DD6" w:rsidRDefault="00D51F5F">
          <w:pPr>
            <w:spacing w:line="360" w:lineRule="exact"/>
            <w:ind w:firstLineChars="200" w:firstLine="420"/>
          </w:pPr>
          <w:r>
            <w:rPr>
              <w:rFonts w:hint="eastAsia"/>
            </w:rPr>
            <w:t>重庆望变电气（集团）股份有限公司（以下简称公司或本公司）成立于</w:t>
          </w:r>
          <w:r>
            <w:rPr>
              <w:rFonts w:hint="eastAsia"/>
            </w:rPr>
            <w:t>1994</w:t>
          </w:r>
          <w:r>
            <w:rPr>
              <w:rFonts w:hint="eastAsia"/>
            </w:rPr>
            <w:t>年</w:t>
          </w:r>
          <w:r>
            <w:rPr>
              <w:rFonts w:hint="eastAsia"/>
            </w:rPr>
            <w:t>8</w:t>
          </w:r>
          <w:r>
            <w:rPr>
              <w:rFonts w:hint="eastAsia"/>
            </w:rPr>
            <w:t>月</w:t>
          </w:r>
          <w:r>
            <w:rPr>
              <w:rFonts w:hint="eastAsia"/>
            </w:rPr>
            <w:t>16</w:t>
          </w:r>
          <w:r>
            <w:rPr>
              <w:rFonts w:hint="eastAsia"/>
            </w:rPr>
            <w:t>日，系由重庆望江变压器厂有限公司整体改制变更设立的股份有限公司，现持有统一社会信用代码为</w:t>
          </w:r>
          <w:r>
            <w:rPr>
              <w:rFonts w:hint="eastAsia"/>
            </w:rPr>
            <w:t>91500115203395479N</w:t>
          </w:r>
          <w:r>
            <w:rPr>
              <w:rFonts w:hint="eastAsia"/>
            </w:rPr>
            <w:t>的营业执照，注册资本</w:t>
          </w:r>
          <w:r>
            <w:rPr>
              <w:rFonts w:hint="eastAsia"/>
            </w:rPr>
            <w:t>333,167,407.00</w:t>
          </w:r>
          <w:r>
            <w:rPr>
              <w:rFonts w:hint="eastAsia"/>
            </w:rPr>
            <w:t>元，股份总数</w:t>
          </w:r>
          <w:r>
            <w:rPr>
              <w:rFonts w:hint="eastAsia"/>
            </w:rPr>
            <w:t>333,167,407</w:t>
          </w:r>
          <w:r>
            <w:rPr>
              <w:rFonts w:hint="eastAsia"/>
            </w:rPr>
            <w:t>股（每股面值</w:t>
          </w:r>
          <w:r>
            <w:rPr>
              <w:rFonts w:hint="eastAsia"/>
            </w:rPr>
            <w:t>1</w:t>
          </w:r>
          <w:r>
            <w:rPr>
              <w:rFonts w:hint="eastAsia"/>
            </w:rPr>
            <w:t>元）。公司股票已于</w:t>
          </w:r>
          <w:r>
            <w:rPr>
              <w:rFonts w:hint="eastAsia"/>
            </w:rPr>
            <w:t>2022</w:t>
          </w:r>
          <w:r>
            <w:rPr>
              <w:rFonts w:hint="eastAsia"/>
            </w:rPr>
            <w:t>年</w:t>
          </w:r>
          <w:r>
            <w:rPr>
              <w:rFonts w:hint="eastAsia"/>
            </w:rPr>
            <w:t>4</w:t>
          </w:r>
          <w:r>
            <w:rPr>
              <w:rFonts w:hint="eastAsia"/>
            </w:rPr>
            <w:t>月</w:t>
          </w:r>
          <w:r>
            <w:rPr>
              <w:rFonts w:hint="eastAsia"/>
            </w:rPr>
            <w:t>28</w:t>
          </w:r>
          <w:r>
            <w:rPr>
              <w:rFonts w:hint="eastAsia"/>
            </w:rPr>
            <w:t>日在上海证券交易所挂牌交易。</w:t>
          </w:r>
        </w:p>
        <w:p w:rsidR="00156DD6" w:rsidRDefault="00D51F5F">
          <w:pPr>
            <w:spacing w:line="360" w:lineRule="exact"/>
            <w:ind w:firstLineChars="200" w:firstLine="420"/>
          </w:pPr>
          <w:r>
            <w:rPr>
              <w:rFonts w:hint="eastAsia"/>
            </w:rPr>
            <w:t>本公司主要经营活动为输配电及控制设备和取向硅钢的研发、生产和销售，输配电及控制设备属于输配电及控制设备行业，取向硅钢属于钢压延加工行业。</w:t>
          </w:r>
        </w:p>
        <w:p w:rsidR="00156DD6" w:rsidRDefault="00D51F5F">
          <w:pPr>
            <w:spacing w:line="360" w:lineRule="exact"/>
            <w:ind w:firstLineChars="200" w:firstLine="420"/>
          </w:pPr>
          <w:r>
            <w:rPr>
              <w:rFonts w:hint="eastAsia"/>
            </w:rPr>
            <w:t>本财务报</w:t>
          </w:r>
          <w:r>
            <w:rPr>
              <w:rFonts w:hint="eastAsia"/>
            </w:rPr>
            <w:t>表业经公司</w:t>
          </w:r>
          <w:r>
            <w:rPr>
              <w:rFonts w:hint="eastAsia"/>
            </w:rPr>
            <w:t>2025</w:t>
          </w:r>
          <w:r>
            <w:rPr>
              <w:rFonts w:hint="eastAsia"/>
            </w:rPr>
            <w:t>年</w:t>
          </w:r>
          <w:r>
            <w:rPr>
              <w:rFonts w:hint="eastAsia"/>
            </w:rPr>
            <w:t>8</w:t>
          </w:r>
          <w:r>
            <w:rPr>
              <w:rFonts w:hint="eastAsia"/>
            </w:rPr>
            <w:t>月</w:t>
          </w:r>
          <w:r>
            <w:rPr>
              <w:rFonts w:hint="eastAsia"/>
            </w:rPr>
            <w:t>27</w:t>
          </w:r>
          <w:r>
            <w:rPr>
              <w:rFonts w:hint="eastAsia"/>
            </w:rPr>
            <w:t>日第四届董事会第十三次会议批准对外报出。</w:t>
          </w:r>
        </w:p>
      </w:sdtContent>
    </w:sdt>
    <w:bookmarkEnd w:id="175"/>
    <w:bookmarkEnd w:id="176"/>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财务报表的编制基础</w:t>
      </w:r>
    </w:p>
    <w:p w:rsidR="00156DD6" w:rsidRDefault="00D51F5F">
      <w:pPr>
        <w:pStyle w:val="TOC6"/>
        <w:numPr>
          <w:ilvl w:val="0"/>
          <w:numId w:val="35"/>
        </w:numPr>
        <w:rPr>
          <w:rFonts w:ascii="宋体" w:hAnsi="宋体"/>
          <w:color w:val="000000" w:themeColor="text1"/>
          <w:sz w:val="21"/>
          <w:szCs w:val="36"/>
        </w:rPr>
      </w:pPr>
      <w:r>
        <w:rPr>
          <w:rFonts w:ascii="宋体" w:hAnsi="宋体"/>
          <w:color w:val="000000" w:themeColor="text1"/>
          <w:sz w:val="21"/>
          <w:szCs w:val="36"/>
        </w:rPr>
        <w:t>编制基础</w:t>
      </w:r>
    </w:p>
    <w:sdt>
      <w:sdtPr>
        <w:rPr>
          <w:rFonts w:hint="eastAsia"/>
          <w:color w:val="000000" w:themeColor="text1"/>
        </w:rPr>
        <w:alias w:val="财务报表的编制基础"/>
        <w:tag w:val="_GBC_1dc2375ed7ab49628f5badf2d5006405"/>
        <w:id w:val="-368846429"/>
        <w:placeholder>
          <w:docPart w:val="GBC22222222222222222222222222222"/>
        </w:placeholder>
      </w:sdtPr>
      <w:sdtEndPr/>
      <w:sdtContent>
        <w:p w:rsidR="00156DD6" w:rsidRDefault="00D51F5F">
          <w:pPr>
            <w:rPr>
              <w:color w:val="000000" w:themeColor="text1"/>
            </w:rPr>
          </w:pPr>
          <w:r>
            <w:rPr>
              <w:color w:val="000000" w:themeColor="text1"/>
            </w:rPr>
            <w:t>本公司财务报表以持续经营为编制基础。</w:t>
          </w:r>
        </w:p>
      </w:sdtContent>
    </w:sdt>
    <w:p w:rsidR="00156DD6" w:rsidRDefault="00D51F5F">
      <w:pPr>
        <w:pStyle w:val="TOC6"/>
        <w:numPr>
          <w:ilvl w:val="0"/>
          <w:numId w:val="35"/>
        </w:numPr>
        <w:rPr>
          <w:rFonts w:ascii="宋体" w:hAnsi="宋体"/>
          <w:color w:val="000000" w:themeColor="text1"/>
          <w:sz w:val="21"/>
          <w:szCs w:val="36"/>
        </w:rPr>
      </w:pPr>
      <w:r>
        <w:rPr>
          <w:rFonts w:ascii="宋体" w:hAnsi="宋体"/>
          <w:color w:val="000000" w:themeColor="text1"/>
          <w:sz w:val="21"/>
          <w:szCs w:val="36"/>
        </w:rPr>
        <w:t>持续经营</w:t>
      </w:r>
    </w:p>
    <w:sdt>
      <w:sdtPr>
        <w:rPr>
          <w:color w:val="000000" w:themeColor="text1"/>
        </w:rPr>
        <w:alias w:val="是否适用：持续经营[双击切换]"/>
        <w:tag w:val="_GBC_7a7bd82392314f508ef1adfe80947192"/>
        <w:id w:val="-127970952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持续经营"/>
        <w:tag w:val="_GBC_dc876c24006b428987a041949eb554f3"/>
        <w:id w:val="-2100785477"/>
        <w:placeholder>
          <w:docPart w:val="GBC22222222222222222222222222222"/>
        </w:placeholder>
      </w:sdtPr>
      <w:sdtEndPr/>
      <w:sdtContent>
        <w:p w:rsidR="00156DD6" w:rsidRDefault="00D51F5F">
          <w:pPr>
            <w:rPr>
              <w:color w:val="000000" w:themeColor="text1"/>
            </w:rPr>
          </w:pPr>
          <w:r>
            <w:rPr>
              <w:rFonts w:hint="eastAsia"/>
              <w:color w:val="000000" w:themeColor="text1"/>
            </w:rPr>
            <w:t>本公司不存在导致对报告期末起</w:t>
          </w:r>
          <w:r>
            <w:rPr>
              <w:rFonts w:hint="eastAsia"/>
              <w:color w:val="000000" w:themeColor="text1"/>
            </w:rPr>
            <w:t>12</w:t>
          </w:r>
          <w:r>
            <w:rPr>
              <w:rFonts w:hint="eastAsia"/>
              <w:color w:val="000000" w:themeColor="text1"/>
            </w:rPr>
            <w:t>个月内的持续经营能力产生重大疑虑的事项或情况。</w:t>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重要会计政策及会计估计</w:t>
      </w:r>
    </w:p>
    <w:p w:rsidR="00156DD6" w:rsidRDefault="00D51F5F">
      <w:pPr>
        <w:rPr>
          <w:color w:val="000000" w:themeColor="text1"/>
        </w:rPr>
      </w:pPr>
      <w:r>
        <w:rPr>
          <w:rFonts w:hint="eastAsia"/>
          <w:color w:val="000000" w:themeColor="text1"/>
        </w:rPr>
        <w:t>具体会计政策和会计估计提示：</w:t>
      </w:r>
    </w:p>
    <w:sdt>
      <w:sdtPr>
        <w:rPr>
          <w:color w:val="000000" w:themeColor="text1"/>
        </w:rPr>
        <w:alias w:val="是否适用：具体会计政策和会计估计提示[双击切换]"/>
        <w:tag w:val="_GBC_77c62823e3884e1fbfb236cea1f9f425"/>
        <w:id w:val="1928200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具体会计政策和会计估计提示"/>
        <w:tag w:val="_GBC_caddaeaf0d1a454ab0bede37f0db7782"/>
        <w:id w:val="359711396"/>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rPr>
            <w:t>本公司根据实际生产经营特点针对金融工具减值、存货、固定资产折旧、在建工程、无形资产、收入确认等交易或事项制定了具体会计政策和会计估计。</w:t>
          </w:r>
        </w:p>
      </w:sdtContent>
    </w:sdt>
    <w:p w:rsidR="00156DD6" w:rsidRDefault="00D51F5F">
      <w:pPr>
        <w:pStyle w:val="TOC6"/>
        <w:numPr>
          <w:ilvl w:val="0"/>
          <w:numId w:val="36"/>
        </w:numPr>
        <w:rPr>
          <w:rFonts w:ascii="宋体" w:hAnsi="宋体"/>
          <w:color w:val="000000" w:themeColor="text1"/>
          <w:sz w:val="21"/>
          <w:szCs w:val="36"/>
        </w:rPr>
      </w:pPr>
      <w:r>
        <w:rPr>
          <w:rFonts w:ascii="宋体" w:hAnsi="宋体"/>
          <w:color w:val="000000" w:themeColor="text1"/>
          <w:sz w:val="21"/>
          <w:szCs w:val="36"/>
        </w:rPr>
        <w:t>遵循企业会计准则的声明</w:t>
      </w:r>
    </w:p>
    <w:sdt>
      <w:sdtPr>
        <w:rPr>
          <w:rFonts w:hint="eastAsia"/>
          <w:color w:val="000000" w:themeColor="text1"/>
        </w:rPr>
        <w:alias w:val="会计准则和会计制度"/>
        <w:tag w:val="_GBC_a350b889163a4ef3bb500c021e6a6b47"/>
        <w:id w:val="1752775795"/>
        <w:placeholder>
          <w:docPart w:val="GBC22222222222222222222222222222"/>
        </w:placeholder>
      </w:sdtPr>
      <w:sdtEndPr/>
      <w:sdtContent>
        <w:p w:rsidR="00156DD6" w:rsidRDefault="00D51F5F">
          <w:pPr>
            <w:spacing w:line="360" w:lineRule="exact"/>
            <w:ind w:firstLineChars="200" w:firstLine="420"/>
            <w:rPr>
              <w:color w:val="000000" w:themeColor="text1"/>
            </w:rPr>
          </w:pPr>
          <w:r>
            <w:rPr>
              <w:color w:val="000000" w:themeColor="text1"/>
            </w:rPr>
            <w:t>本公司所编制的财务报表符合企业会计准则的要求，真实、完整地反映了公司的财务状况、经营成果、股东权益变动和现金流量等有关信息。</w:t>
          </w:r>
        </w:p>
      </w:sdtContent>
    </w:sdt>
    <w:p w:rsidR="00156DD6" w:rsidRDefault="00D51F5F">
      <w:pPr>
        <w:pStyle w:val="TOC6"/>
        <w:numPr>
          <w:ilvl w:val="0"/>
          <w:numId w:val="36"/>
        </w:numPr>
        <w:rPr>
          <w:rFonts w:ascii="宋体" w:hAnsi="宋体"/>
          <w:color w:val="000000" w:themeColor="text1"/>
          <w:sz w:val="21"/>
          <w:szCs w:val="36"/>
        </w:rPr>
      </w:pPr>
      <w:r>
        <w:rPr>
          <w:rFonts w:ascii="宋体" w:hAnsi="宋体"/>
          <w:color w:val="000000" w:themeColor="text1"/>
          <w:sz w:val="21"/>
          <w:szCs w:val="36"/>
        </w:rPr>
        <w:t>会计期间</w:t>
      </w:r>
    </w:p>
    <w:sdt>
      <w:sdtPr>
        <w:rPr>
          <w:rFonts w:hint="eastAsia"/>
          <w:color w:val="000000" w:themeColor="text1"/>
        </w:rPr>
        <w:alias w:val="会计年度"/>
        <w:tag w:val="_GBC_fc896fba50b143f8a06984831f5d5600"/>
        <w:id w:val="1391154190"/>
        <w:placeholder>
          <w:docPart w:val="GBC22222222222222222222222222222"/>
        </w:placeholder>
      </w:sdtPr>
      <w:sdtEndPr/>
      <w:sdtContent>
        <w:p w:rsidR="00156DD6" w:rsidRDefault="00D51F5F">
          <w:pPr>
            <w:rPr>
              <w:color w:val="000000" w:themeColor="text1"/>
            </w:rPr>
          </w:pPr>
          <w:r>
            <w:rPr>
              <w:color w:val="000000" w:themeColor="text1"/>
            </w:rPr>
            <w:t>本公司会计年度自公历</w:t>
          </w:r>
          <w:r>
            <w:rPr>
              <w:color w:val="000000" w:themeColor="text1"/>
            </w:rPr>
            <w:t>1</w:t>
          </w:r>
          <w:r>
            <w:rPr>
              <w:color w:val="000000" w:themeColor="text1"/>
            </w:rPr>
            <w:t>月</w:t>
          </w:r>
          <w:r>
            <w:rPr>
              <w:color w:val="000000" w:themeColor="text1"/>
            </w:rPr>
            <w:t>1</w:t>
          </w:r>
          <w:r>
            <w:rPr>
              <w:color w:val="000000" w:themeColor="text1"/>
            </w:rPr>
            <w:t>日起至</w:t>
          </w:r>
          <w:r>
            <w:rPr>
              <w:color w:val="000000" w:themeColor="text1"/>
            </w:rPr>
            <w:t>12</w:t>
          </w:r>
          <w:r>
            <w:rPr>
              <w:color w:val="000000" w:themeColor="text1"/>
            </w:rPr>
            <w:t>月</w:t>
          </w:r>
          <w:r>
            <w:rPr>
              <w:color w:val="000000" w:themeColor="text1"/>
            </w:rPr>
            <w:t>31</w:t>
          </w:r>
          <w:r>
            <w:rPr>
              <w:color w:val="000000" w:themeColor="text1"/>
            </w:rPr>
            <w:t>日止。</w:t>
          </w:r>
        </w:p>
      </w:sdtContent>
    </w:sdt>
    <w:p w:rsidR="00156DD6" w:rsidRDefault="00D51F5F">
      <w:pPr>
        <w:pStyle w:val="TOC6"/>
        <w:numPr>
          <w:ilvl w:val="0"/>
          <w:numId w:val="36"/>
        </w:numPr>
        <w:rPr>
          <w:rFonts w:ascii="宋体" w:hAnsi="宋体"/>
          <w:color w:val="000000" w:themeColor="text1"/>
          <w:sz w:val="21"/>
          <w:szCs w:val="36"/>
        </w:rPr>
      </w:pPr>
      <w:r>
        <w:rPr>
          <w:rFonts w:ascii="宋体" w:hAnsi="宋体"/>
          <w:color w:val="000000" w:themeColor="text1"/>
          <w:sz w:val="21"/>
          <w:szCs w:val="36"/>
        </w:rPr>
        <w:t>营业周期</w:t>
      </w:r>
    </w:p>
    <w:sdt>
      <w:sdtPr>
        <w:rPr>
          <w:color w:val="000000" w:themeColor="text1"/>
        </w:rPr>
        <w:alias w:val="是否适用：营业周期[双击切换]"/>
        <w:tag w:val="_GBC_1668f7f497234cf886206b57711c4c87"/>
        <w:id w:val="-12184668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营业周期"/>
        <w:tag w:val="_GBC_e145e43187d9463889884f48e9e0b234"/>
        <w:id w:val="32324464"/>
        <w:placeholder>
          <w:docPart w:val="GBC22222222222222222222222222222"/>
        </w:placeholder>
      </w:sdtPr>
      <w:sdtEndPr>
        <w:rPr>
          <w:sz w:val="22"/>
          <w:szCs w:val="22"/>
        </w:rPr>
      </w:sdtEndPr>
      <w:sdtContent>
        <w:p w:rsidR="00156DD6" w:rsidRDefault="00D51F5F">
          <w:pPr>
            <w:rPr>
              <w:color w:val="000000" w:themeColor="text1"/>
              <w:sz w:val="22"/>
              <w:szCs w:val="22"/>
            </w:rPr>
          </w:pPr>
          <w:r>
            <w:rPr>
              <w:rFonts w:hint="eastAsia"/>
              <w:color w:val="000000" w:themeColor="text1"/>
            </w:rPr>
            <w:t>公司</w:t>
          </w:r>
          <w:r>
            <w:rPr>
              <w:rFonts w:hint="eastAsia"/>
              <w:color w:val="000000" w:themeColor="text1"/>
              <w:sz w:val="22"/>
              <w:szCs w:val="22"/>
            </w:rPr>
            <w:t>经营业务的营业周期较短，以</w:t>
          </w:r>
          <w:r>
            <w:rPr>
              <w:rFonts w:hint="eastAsia"/>
              <w:color w:val="000000" w:themeColor="text1"/>
              <w:sz w:val="22"/>
              <w:szCs w:val="22"/>
            </w:rPr>
            <w:t>12</w:t>
          </w:r>
          <w:r>
            <w:rPr>
              <w:rFonts w:hint="eastAsia"/>
              <w:color w:val="000000" w:themeColor="text1"/>
              <w:sz w:val="22"/>
              <w:szCs w:val="22"/>
            </w:rPr>
            <w:t>个月作为资产和负债的流动性划分标准。</w:t>
          </w:r>
        </w:p>
      </w:sdtContent>
    </w:sdt>
    <w:p w:rsidR="00156DD6" w:rsidRDefault="00D51F5F">
      <w:pPr>
        <w:pStyle w:val="TOC6"/>
        <w:numPr>
          <w:ilvl w:val="0"/>
          <w:numId w:val="36"/>
        </w:numPr>
        <w:rPr>
          <w:rFonts w:ascii="宋体" w:hAnsi="宋体"/>
          <w:color w:val="000000" w:themeColor="text1"/>
          <w:sz w:val="21"/>
          <w:szCs w:val="36"/>
        </w:rPr>
      </w:pPr>
      <w:r>
        <w:rPr>
          <w:rFonts w:ascii="宋体" w:hAnsi="宋体"/>
          <w:color w:val="000000" w:themeColor="text1"/>
          <w:sz w:val="21"/>
          <w:szCs w:val="36"/>
        </w:rPr>
        <w:t>记账本位币</w:t>
      </w:r>
    </w:p>
    <w:sdt>
      <w:sdtPr>
        <w:rPr>
          <w:rFonts w:hint="eastAsia"/>
          <w:color w:val="000000" w:themeColor="text1"/>
          <w:sz w:val="22"/>
          <w:szCs w:val="22"/>
        </w:rPr>
        <w:alias w:val="记账本位币"/>
        <w:tag w:val="_GBC_3749a2357eba44e8b968cb41cda75ff1"/>
        <w:id w:val="-1983995751"/>
        <w:placeholder>
          <w:docPart w:val="GBC22222222222222222222222222222"/>
        </w:placeholder>
      </w:sdtPr>
      <w:sdtEndPr/>
      <w:sdtContent>
        <w:p w:rsidR="00156DD6" w:rsidRDefault="00D51F5F">
          <w:pPr>
            <w:rPr>
              <w:color w:val="000000" w:themeColor="text1"/>
              <w:sz w:val="22"/>
              <w:szCs w:val="22"/>
            </w:rPr>
          </w:pPr>
          <w:r>
            <w:rPr>
              <w:color w:val="000000" w:themeColor="text1"/>
              <w:sz w:val="22"/>
              <w:szCs w:val="22"/>
            </w:rPr>
            <w:t>本公司的记账本位币为人民币。</w:t>
          </w:r>
        </w:p>
      </w:sdtContent>
    </w:sdt>
    <w:p w:rsidR="00156DD6" w:rsidRDefault="00D51F5F">
      <w:pPr>
        <w:pStyle w:val="TOC6"/>
        <w:numPr>
          <w:ilvl w:val="0"/>
          <w:numId w:val="36"/>
        </w:numPr>
        <w:rPr>
          <w:rFonts w:ascii="宋体" w:hAnsi="宋体"/>
          <w:color w:val="000000" w:themeColor="text1"/>
          <w:sz w:val="21"/>
          <w:szCs w:val="36"/>
        </w:rPr>
      </w:pPr>
      <w:bookmarkStart w:id="177" w:name="_Hlk167809539"/>
      <w:bookmarkStart w:id="178" w:name="_Hlk169007161"/>
      <w:r>
        <w:rPr>
          <w:rFonts w:ascii="宋体" w:hAnsi="宋体"/>
          <w:color w:val="000000" w:themeColor="text1"/>
          <w:sz w:val="21"/>
          <w:szCs w:val="36"/>
        </w:rPr>
        <w:t>重要性标准确定方法和选择依据</w:t>
      </w:r>
    </w:p>
    <w:sdt>
      <w:sdtPr>
        <w:rPr>
          <w:color w:val="000000" w:themeColor="text1"/>
          <w:sz w:val="22"/>
          <w:szCs w:val="22"/>
        </w:rPr>
        <w:alias w:val="是否适用：重要性标准确定方法和选择依据[双击切换]"/>
        <w:tag w:val="_GBC_1f44a82433fd445aac6090cd207979fd"/>
        <w:id w:val="-2134779964"/>
        <w:placeholder>
          <w:docPart w:val="GBC22222222222222222222222222222"/>
        </w:placeholder>
      </w:sdtPr>
      <w:sdtEndPr/>
      <w:sdtContent>
        <w:p w:rsidR="00156DD6" w:rsidRDefault="00D51F5F">
          <w:pPr>
            <w:rPr>
              <w:color w:val="000000" w:themeColor="text1"/>
              <w:sz w:val="22"/>
              <w:szCs w:val="22"/>
            </w:rPr>
          </w:pPr>
          <w:r>
            <w:rPr>
              <w:color w:val="000000" w:themeColor="text1"/>
              <w:sz w:val="22"/>
              <w:szCs w:val="22"/>
            </w:rPr>
            <w:fldChar w:fldCharType="begin"/>
          </w:r>
          <w:r>
            <w:rPr>
              <w:color w:val="000000" w:themeColor="text1"/>
              <w:sz w:val="22"/>
              <w:szCs w:val="22"/>
            </w:rPr>
            <w:instrText xml:space="preserve"> MACROBUTTON  SnrToggleCheckbox √</w:instrText>
          </w:r>
          <w:r>
            <w:rPr>
              <w:color w:val="000000" w:themeColor="text1"/>
              <w:sz w:val="22"/>
              <w:szCs w:val="22"/>
            </w:rPr>
            <w:instrText>适用</w:instrText>
          </w:r>
          <w:r>
            <w:rPr>
              <w:color w:val="000000" w:themeColor="text1"/>
              <w:sz w:val="22"/>
              <w:szCs w:val="22"/>
            </w:rPr>
            <w:instrText xml:space="preserve"> </w:instrText>
          </w:r>
          <w:r>
            <w:rPr>
              <w:color w:val="000000" w:themeColor="text1"/>
              <w:sz w:val="22"/>
              <w:szCs w:val="22"/>
            </w:rPr>
            <w:fldChar w:fldCharType="end"/>
          </w:r>
          <w:r>
            <w:rPr>
              <w:color w:val="000000" w:themeColor="text1"/>
              <w:sz w:val="22"/>
              <w:szCs w:val="22"/>
            </w:rPr>
            <w:fldChar w:fldCharType="begin"/>
          </w:r>
          <w:r>
            <w:rPr>
              <w:color w:val="000000" w:themeColor="text1"/>
              <w:sz w:val="22"/>
              <w:szCs w:val="22"/>
            </w:rPr>
            <w:instrText xml:space="preserve"> MACROBUTTON  SnrToggleCheckbox □</w:instrText>
          </w:r>
          <w:r>
            <w:rPr>
              <w:color w:val="000000" w:themeColor="text1"/>
              <w:sz w:val="22"/>
              <w:szCs w:val="22"/>
            </w:rPr>
            <w:instrText>不适用</w:instrText>
          </w:r>
          <w:r>
            <w:rPr>
              <w:color w:val="000000" w:themeColor="text1"/>
              <w:sz w:val="22"/>
              <w:szCs w:val="22"/>
            </w:rPr>
            <w:instrText xml:space="preserve"> </w:instrText>
          </w:r>
          <w:r>
            <w:rPr>
              <w:color w:val="000000" w:themeColor="text1"/>
              <w:sz w:val="22"/>
              <w:szCs w:val="22"/>
            </w:rPr>
            <w:fldChar w:fldCharType="end"/>
          </w:r>
        </w:p>
      </w:sdtContent>
    </w:sdt>
    <w:tbl>
      <w:tblPr>
        <w:tblStyle w:val="g2"/>
        <w:tblW w:w="0" w:type="auto"/>
        <w:tblInd w:w="0" w:type="dxa"/>
        <w:tblLook w:val="04A0" w:firstRow="1" w:lastRow="0" w:firstColumn="1" w:lastColumn="0" w:noHBand="0" w:noVBand="1"/>
      </w:tblPr>
      <w:tblGrid>
        <w:gridCol w:w="3964"/>
        <w:gridCol w:w="4859"/>
      </w:tblGrid>
      <w:tr w:rsidR="00156DD6">
        <w:trPr>
          <w:trHeight w:val="397"/>
        </w:trPr>
        <w:bookmarkEnd w:id="178" w:displacedByCustomXml="next"/>
        <w:bookmarkEnd w:id="177" w:displacedByCustomXml="next"/>
        <w:sdt>
          <w:sdtPr>
            <w:tag w:val="_PLD_8d2a16b36b194561ae6c2ac9de9d21f1"/>
            <w:id w:val="-786496269"/>
          </w:sdtPr>
          <w:sdtEndPr/>
          <w:sdtContent>
            <w:tc>
              <w:tcPr>
                <w:tcW w:w="3964" w:type="dxa"/>
                <w:vAlign w:val="center"/>
              </w:tcPr>
              <w:p w:rsidR="00156DD6" w:rsidRDefault="00D51F5F">
                <w:pPr>
                  <w:jc w:val="center"/>
                  <w:rPr>
                    <w:color w:val="000000" w:themeColor="text1"/>
                  </w:rPr>
                </w:pPr>
                <w:r>
                  <w:rPr>
                    <w:rFonts w:hint="eastAsia"/>
                    <w:color w:val="000000" w:themeColor="text1"/>
                  </w:rPr>
                  <w:t>项目</w:t>
                </w:r>
              </w:p>
            </w:tc>
          </w:sdtContent>
        </w:sdt>
        <w:sdt>
          <w:sdtPr>
            <w:tag w:val="_PLD_eb4e754207e74cc59df0dce32451d27d"/>
            <w:id w:val="446978228"/>
          </w:sdtPr>
          <w:sdtEndPr/>
          <w:sdtContent>
            <w:tc>
              <w:tcPr>
                <w:tcW w:w="4859" w:type="dxa"/>
                <w:vAlign w:val="center"/>
              </w:tcPr>
              <w:p w:rsidR="00156DD6" w:rsidRDefault="00D51F5F">
                <w:pPr>
                  <w:jc w:val="center"/>
                  <w:rPr>
                    <w:color w:val="000000" w:themeColor="text1"/>
                  </w:rPr>
                </w:pPr>
                <w:r>
                  <w:rPr>
                    <w:color w:val="000000" w:themeColor="text1"/>
                  </w:rPr>
                  <w:t>重要性标准</w:t>
                </w:r>
              </w:p>
            </w:tc>
          </w:sdtContent>
        </w:sdt>
      </w:tr>
      <w:tr w:rsidR="00156DD6">
        <w:trPr>
          <w:trHeight w:val="397"/>
        </w:trPr>
        <w:tc>
          <w:tcPr>
            <w:tcW w:w="3964" w:type="dxa"/>
            <w:vAlign w:val="center"/>
          </w:tcPr>
          <w:p w:rsidR="00156DD6" w:rsidRDefault="00D51F5F">
            <w:pPr>
              <w:pStyle w:val="Style43"/>
              <w:rPr>
                <w:sz w:val="21"/>
                <w:szCs w:val="21"/>
              </w:rPr>
            </w:pPr>
            <w:r>
              <w:rPr>
                <w:sz w:val="21"/>
                <w:szCs w:val="21"/>
              </w:rPr>
              <w:t>重要的单项计提坏账准备的应收账款</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0.1%</w:t>
            </w:r>
          </w:p>
        </w:tc>
      </w:tr>
      <w:tr w:rsidR="00156DD6">
        <w:trPr>
          <w:trHeight w:val="397"/>
        </w:trPr>
        <w:tc>
          <w:tcPr>
            <w:tcW w:w="3964" w:type="dxa"/>
            <w:vAlign w:val="center"/>
          </w:tcPr>
          <w:p w:rsidR="00156DD6" w:rsidRDefault="00D51F5F">
            <w:pPr>
              <w:pStyle w:val="Style43"/>
              <w:rPr>
                <w:sz w:val="21"/>
                <w:szCs w:val="21"/>
              </w:rPr>
            </w:pPr>
            <w:r>
              <w:rPr>
                <w:sz w:val="21"/>
                <w:szCs w:val="21"/>
              </w:rPr>
              <w:t>重要的应收账款坏账准备收回或转回</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0.1%</w:t>
            </w:r>
          </w:p>
        </w:tc>
      </w:tr>
      <w:tr w:rsidR="00156DD6">
        <w:trPr>
          <w:trHeight w:val="397"/>
        </w:trPr>
        <w:tc>
          <w:tcPr>
            <w:tcW w:w="3964" w:type="dxa"/>
            <w:vAlign w:val="center"/>
          </w:tcPr>
          <w:p w:rsidR="00156DD6" w:rsidRDefault="00D51F5F">
            <w:pPr>
              <w:pStyle w:val="Style43"/>
              <w:rPr>
                <w:sz w:val="21"/>
                <w:szCs w:val="21"/>
              </w:rPr>
            </w:pPr>
            <w:r>
              <w:rPr>
                <w:sz w:val="21"/>
                <w:szCs w:val="21"/>
              </w:rPr>
              <w:t>重要的核销应收账款</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0.1%</w:t>
            </w:r>
          </w:p>
        </w:tc>
      </w:tr>
      <w:tr w:rsidR="00156DD6">
        <w:trPr>
          <w:trHeight w:val="397"/>
        </w:trPr>
        <w:tc>
          <w:tcPr>
            <w:tcW w:w="3964" w:type="dxa"/>
            <w:vAlign w:val="center"/>
          </w:tcPr>
          <w:p w:rsidR="00156DD6" w:rsidRDefault="00D51F5F">
            <w:pPr>
              <w:pStyle w:val="Style43"/>
              <w:rPr>
                <w:sz w:val="21"/>
                <w:szCs w:val="21"/>
              </w:rPr>
            </w:pPr>
            <w:r>
              <w:rPr>
                <w:sz w:val="21"/>
                <w:szCs w:val="21"/>
              </w:rPr>
              <w:t>重要的单项计提坏账准备的其他应收款</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0.1%</w:t>
            </w:r>
          </w:p>
        </w:tc>
      </w:tr>
      <w:tr w:rsidR="00156DD6">
        <w:trPr>
          <w:trHeight w:val="397"/>
        </w:trPr>
        <w:tc>
          <w:tcPr>
            <w:tcW w:w="3964" w:type="dxa"/>
            <w:vAlign w:val="center"/>
          </w:tcPr>
          <w:p w:rsidR="00156DD6" w:rsidRDefault="00D51F5F">
            <w:pPr>
              <w:pStyle w:val="Style43"/>
              <w:rPr>
                <w:sz w:val="21"/>
                <w:szCs w:val="21"/>
              </w:rPr>
            </w:pPr>
            <w:r>
              <w:rPr>
                <w:sz w:val="21"/>
                <w:szCs w:val="21"/>
              </w:rPr>
              <w:t>重要的核销其他应收款</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0.1%</w:t>
            </w:r>
          </w:p>
        </w:tc>
      </w:tr>
      <w:tr w:rsidR="00156DD6">
        <w:trPr>
          <w:trHeight w:val="397"/>
        </w:trPr>
        <w:tc>
          <w:tcPr>
            <w:tcW w:w="3964" w:type="dxa"/>
            <w:vAlign w:val="center"/>
          </w:tcPr>
          <w:p w:rsidR="00156DD6" w:rsidRDefault="00D51F5F">
            <w:pPr>
              <w:pStyle w:val="Style43"/>
              <w:rPr>
                <w:sz w:val="21"/>
                <w:szCs w:val="21"/>
              </w:rPr>
            </w:pPr>
            <w:r>
              <w:rPr>
                <w:sz w:val="21"/>
                <w:szCs w:val="21"/>
              </w:rPr>
              <w:lastRenderedPageBreak/>
              <w:t>重要的账龄超过</w:t>
            </w:r>
            <w:r>
              <w:rPr>
                <w:sz w:val="21"/>
                <w:szCs w:val="21"/>
              </w:rPr>
              <w:t>1</w:t>
            </w:r>
            <w:r>
              <w:rPr>
                <w:sz w:val="21"/>
                <w:szCs w:val="21"/>
              </w:rPr>
              <w:t>年的预付款项</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0.3%</w:t>
            </w:r>
          </w:p>
        </w:tc>
      </w:tr>
      <w:tr w:rsidR="00156DD6">
        <w:trPr>
          <w:trHeight w:val="397"/>
        </w:trPr>
        <w:tc>
          <w:tcPr>
            <w:tcW w:w="3964" w:type="dxa"/>
            <w:vAlign w:val="center"/>
          </w:tcPr>
          <w:p w:rsidR="00156DD6" w:rsidRDefault="00D51F5F">
            <w:pPr>
              <w:pStyle w:val="Style43"/>
              <w:rPr>
                <w:sz w:val="21"/>
                <w:szCs w:val="21"/>
              </w:rPr>
            </w:pPr>
            <w:r>
              <w:rPr>
                <w:sz w:val="21"/>
                <w:szCs w:val="21"/>
              </w:rPr>
              <w:t>重要的在建工程项目</w:t>
            </w:r>
          </w:p>
        </w:tc>
        <w:tc>
          <w:tcPr>
            <w:tcW w:w="4859" w:type="dxa"/>
            <w:vAlign w:val="center"/>
          </w:tcPr>
          <w:p w:rsidR="00156DD6" w:rsidRDefault="00D51F5F">
            <w:pPr>
              <w:pStyle w:val="Style43"/>
              <w:rPr>
                <w:sz w:val="21"/>
                <w:szCs w:val="21"/>
              </w:rPr>
            </w:pPr>
            <w:r>
              <w:rPr>
                <w:sz w:val="21"/>
                <w:szCs w:val="21"/>
              </w:rPr>
              <w:t>单项工程投资总额超过资产总额</w:t>
            </w:r>
            <w:r>
              <w:rPr>
                <w:sz w:val="21"/>
                <w:szCs w:val="21"/>
              </w:rPr>
              <w:t>0.3%</w:t>
            </w:r>
          </w:p>
        </w:tc>
      </w:tr>
      <w:tr w:rsidR="00156DD6">
        <w:trPr>
          <w:trHeight w:val="397"/>
        </w:trPr>
        <w:tc>
          <w:tcPr>
            <w:tcW w:w="3964" w:type="dxa"/>
            <w:vAlign w:val="center"/>
          </w:tcPr>
          <w:p w:rsidR="00156DD6" w:rsidRDefault="00D51F5F">
            <w:pPr>
              <w:pStyle w:val="Style43"/>
              <w:rPr>
                <w:sz w:val="21"/>
                <w:szCs w:val="21"/>
              </w:rPr>
            </w:pPr>
            <w:r>
              <w:rPr>
                <w:sz w:val="21"/>
                <w:szCs w:val="21"/>
              </w:rPr>
              <w:t>重要的账龄超过</w:t>
            </w:r>
            <w:r>
              <w:rPr>
                <w:sz w:val="21"/>
                <w:szCs w:val="21"/>
              </w:rPr>
              <w:t>1</w:t>
            </w:r>
            <w:r>
              <w:rPr>
                <w:sz w:val="21"/>
                <w:szCs w:val="21"/>
              </w:rPr>
              <w:t>年的应付账款</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0.3%</w:t>
            </w:r>
          </w:p>
        </w:tc>
      </w:tr>
      <w:tr w:rsidR="00156DD6">
        <w:trPr>
          <w:trHeight w:val="397"/>
        </w:trPr>
        <w:tc>
          <w:tcPr>
            <w:tcW w:w="3964" w:type="dxa"/>
            <w:vAlign w:val="center"/>
          </w:tcPr>
          <w:p w:rsidR="00156DD6" w:rsidRDefault="00D51F5F">
            <w:pPr>
              <w:pStyle w:val="Style43"/>
              <w:rPr>
                <w:sz w:val="21"/>
                <w:szCs w:val="21"/>
              </w:rPr>
            </w:pPr>
            <w:r>
              <w:rPr>
                <w:sz w:val="21"/>
                <w:szCs w:val="21"/>
              </w:rPr>
              <w:t>重要的账龄超过</w:t>
            </w:r>
            <w:r>
              <w:rPr>
                <w:sz w:val="21"/>
                <w:szCs w:val="21"/>
              </w:rPr>
              <w:t>1</w:t>
            </w:r>
            <w:r>
              <w:rPr>
                <w:sz w:val="21"/>
                <w:szCs w:val="21"/>
              </w:rPr>
              <w:t>年的其他应付款</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0.1%</w:t>
            </w:r>
          </w:p>
        </w:tc>
      </w:tr>
      <w:tr w:rsidR="00156DD6">
        <w:trPr>
          <w:trHeight w:val="397"/>
        </w:trPr>
        <w:tc>
          <w:tcPr>
            <w:tcW w:w="3964" w:type="dxa"/>
            <w:vAlign w:val="center"/>
          </w:tcPr>
          <w:p w:rsidR="00156DD6" w:rsidRDefault="00D51F5F">
            <w:pPr>
              <w:pStyle w:val="Style43"/>
              <w:rPr>
                <w:sz w:val="21"/>
                <w:szCs w:val="21"/>
              </w:rPr>
            </w:pPr>
            <w:r>
              <w:rPr>
                <w:sz w:val="21"/>
                <w:szCs w:val="21"/>
              </w:rPr>
              <w:t>重要的账龄超过</w:t>
            </w:r>
            <w:r>
              <w:rPr>
                <w:sz w:val="21"/>
                <w:szCs w:val="21"/>
              </w:rPr>
              <w:t>1</w:t>
            </w:r>
            <w:r>
              <w:rPr>
                <w:sz w:val="21"/>
                <w:szCs w:val="21"/>
              </w:rPr>
              <w:t>年的合同负债</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0.1%</w:t>
            </w:r>
          </w:p>
        </w:tc>
      </w:tr>
      <w:tr w:rsidR="00156DD6">
        <w:trPr>
          <w:trHeight w:val="397"/>
        </w:trPr>
        <w:tc>
          <w:tcPr>
            <w:tcW w:w="3964" w:type="dxa"/>
            <w:vAlign w:val="center"/>
          </w:tcPr>
          <w:p w:rsidR="00156DD6" w:rsidRDefault="00D51F5F">
            <w:pPr>
              <w:pStyle w:val="Style43"/>
              <w:rPr>
                <w:sz w:val="21"/>
                <w:szCs w:val="21"/>
              </w:rPr>
            </w:pPr>
            <w:r>
              <w:rPr>
                <w:sz w:val="21"/>
                <w:szCs w:val="21"/>
              </w:rPr>
              <w:t>重要的预计负债</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0.1%</w:t>
            </w:r>
          </w:p>
        </w:tc>
      </w:tr>
      <w:tr w:rsidR="00156DD6">
        <w:trPr>
          <w:trHeight w:val="397"/>
        </w:trPr>
        <w:tc>
          <w:tcPr>
            <w:tcW w:w="3964" w:type="dxa"/>
            <w:vAlign w:val="center"/>
          </w:tcPr>
          <w:p w:rsidR="00156DD6" w:rsidRDefault="00D51F5F">
            <w:pPr>
              <w:pStyle w:val="Style43"/>
              <w:rPr>
                <w:sz w:val="21"/>
                <w:szCs w:val="21"/>
              </w:rPr>
            </w:pPr>
            <w:r>
              <w:rPr>
                <w:sz w:val="21"/>
                <w:szCs w:val="21"/>
              </w:rPr>
              <w:t>重要的投资活动现金流量</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1%</w:t>
            </w:r>
          </w:p>
        </w:tc>
      </w:tr>
      <w:tr w:rsidR="00156DD6">
        <w:trPr>
          <w:trHeight w:val="397"/>
        </w:trPr>
        <w:tc>
          <w:tcPr>
            <w:tcW w:w="3964" w:type="dxa"/>
            <w:vAlign w:val="center"/>
          </w:tcPr>
          <w:p w:rsidR="00156DD6" w:rsidRDefault="00D51F5F">
            <w:pPr>
              <w:pStyle w:val="Style43"/>
              <w:rPr>
                <w:sz w:val="21"/>
                <w:szCs w:val="21"/>
              </w:rPr>
            </w:pPr>
            <w:r>
              <w:rPr>
                <w:sz w:val="21"/>
                <w:szCs w:val="21"/>
              </w:rPr>
              <w:t>重要的筹资活动现金流量</w:t>
            </w:r>
          </w:p>
        </w:tc>
        <w:tc>
          <w:tcPr>
            <w:tcW w:w="4859" w:type="dxa"/>
            <w:vAlign w:val="center"/>
          </w:tcPr>
          <w:p w:rsidR="00156DD6" w:rsidRDefault="00D51F5F">
            <w:pPr>
              <w:pStyle w:val="Style43"/>
              <w:rPr>
                <w:sz w:val="21"/>
                <w:szCs w:val="21"/>
              </w:rPr>
            </w:pPr>
            <w:r>
              <w:rPr>
                <w:sz w:val="21"/>
                <w:szCs w:val="21"/>
              </w:rPr>
              <w:t>单项金额超过资产总额</w:t>
            </w:r>
            <w:r>
              <w:rPr>
                <w:sz w:val="21"/>
                <w:szCs w:val="21"/>
              </w:rPr>
              <w:t>1%</w:t>
            </w:r>
          </w:p>
        </w:tc>
      </w:tr>
      <w:tr w:rsidR="00156DD6">
        <w:trPr>
          <w:trHeight w:val="397"/>
        </w:trPr>
        <w:tc>
          <w:tcPr>
            <w:tcW w:w="3964" w:type="dxa"/>
            <w:vAlign w:val="center"/>
          </w:tcPr>
          <w:p w:rsidR="00156DD6" w:rsidRDefault="00D51F5F">
            <w:pPr>
              <w:pStyle w:val="Style43"/>
              <w:rPr>
                <w:sz w:val="21"/>
                <w:szCs w:val="21"/>
              </w:rPr>
            </w:pPr>
            <w:r>
              <w:rPr>
                <w:sz w:val="21"/>
                <w:szCs w:val="21"/>
              </w:rPr>
              <w:t>重要的子公司</w:t>
            </w:r>
          </w:p>
        </w:tc>
        <w:tc>
          <w:tcPr>
            <w:tcW w:w="4859" w:type="dxa"/>
            <w:vAlign w:val="center"/>
          </w:tcPr>
          <w:p w:rsidR="00156DD6" w:rsidRDefault="00D51F5F">
            <w:pPr>
              <w:pStyle w:val="Style43"/>
              <w:rPr>
                <w:sz w:val="21"/>
                <w:szCs w:val="21"/>
              </w:rPr>
            </w:pPr>
            <w:r>
              <w:rPr>
                <w:sz w:val="21"/>
                <w:szCs w:val="21"/>
              </w:rPr>
              <w:t>子公司利润总额超过集团利润总额的</w:t>
            </w:r>
            <w:r>
              <w:rPr>
                <w:sz w:val="21"/>
                <w:szCs w:val="21"/>
              </w:rPr>
              <w:t>15%</w:t>
            </w:r>
          </w:p>
        </w:tc>
      </w:tr>
      <w:tr w:rsidR="00156DD6">
        <w:trPr>
          <w:trHeight w:val="397"/>
        </w:trPr>
        <w:tc>
          <w:tcPr>
            <w:tcW w:w="3964" w:type="dxa"/>
            <w:vAlign w:val="center"/>
          </w:tcPr>
          <w:p w:rsidR="00156DD6" w:rsidRDefault="00D51F5F">
            <w:pPr>
              <w:pStyle w:val="Style43"/>
              <w:rPr>
                <w:sz w:val="21"/>
                <w:szCs w:val="21"/>
              </w:rPr>
            </w:pPr>
            <w:r>
              <w:rPr>
                <w:sz w:val="21"/>
                <w:szCs w:val="21"/>
              </w:rPr>
              <w:t>重要的联营企业</w:t>
            </w:r>
          </w:p>
        </w:tc>
        <w:tc>
          <w:tcPr>
            <w:tcW w:w="4859" w:type="dxa"/>
            <w:vAlign w:val="center"/>
          </w:tcPr>
          <w:p w:rsidR="00156DD6" w:rsidRDefault="00D51F5F">
            <w:pPr>
              <w:pStyle w:val="Style43"/>
              <w:rPr>
                <w:sz w:val="21"/>
                <w:szCs w:val="21"/>
              </w:rPr>
            </w:pPr>
            <w:r>
              <w:rPr>
                <w:sz w:val="21"/>
                <w:szCs w:val="21"/>
              </w:rPr>
              <w:t>单项长期股权投资账面价值超过集团净资产的</w:t>
            </w:r>
            <w:r>
              <w:rPr>
                <w:sz w:val="21"/>
                <w:szCs w:val="21"/>
              </w:rPr>
              <w:t>15%</w:t>
            </w:r>
          </w:p>
        </w:tc>
      </w:tr>
    </w:tbl>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同一控制下和非同一控制下企业合并的会计处理方法</w:t>
      </w:r>
    </w:p>
    <w:sdt>
      <w:sdtPr>
        <w:rPr>
          <w:rFonts w:hint="eastAsia"/>
          <w:color w:val="000000" w:themeColor="text1"/>
        </w:rPr>
        <w:alias w:val="是否适用：同一控制下和非同一控制下企业合并的会计处理方法[双击切换]"/>
        <w:tag w:val="_GBC_15953b39483a4ce1a5c96869e4a0ae9c"/>
        <w:id w:val="91961158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同一控制下和非同一控制下企业合并的会计处理方法"/>
        <w:tag w:val="_GBC_ef4b9a8d4ac34f45a0f61a23267bcbb8"/>
        <w:id w:val="1121274804"/>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）同一控制下企业合并的会计处理方法</w:t>
          </w:r>
        </w:p>
        <w:p w:rsidR="00156DD6" w:rsidRDefault="00D51F5F">
          <w:pPr>
            <w:spacing w:line="360" w:lineRule="exact"/>
            <w:ind w:firstLineChars="200" w:firstLine="420"/>
            <w:rPr>
              <w:color w:val="000000" w:themeColor="text1"/>
            </w:rPr>
          </w:pPr>
          <w:r>
            <w:rPr>
              <w:rFonts w:hint="eastAsia"/>
              <w:color w:val="000000" w:themeColor="text1"/>
            </w:rPr>
            <w:t>公司在企业合并中取得的资产和负债，按照合并日被合并方在最终控制方合并财务报表中的账面价值计量。公司按照被合并方所有者权益在最终控制方合并财务报表中的账面价值份额与支付的合并对价账面价值或发行股份面值总额的差额，调整资本公积；资本公积不足冲减的，调整留存收益。</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）非同一控制下企业合并的会计处理方法</w:t>
          </w:r>
        </w:p>
        <w:p w:rsidR="00156DD6" w:rsidRDefault="00D51F5F">
          <w:pPr>
            <w:spacing w:line="360" w:lineRule="exact"/>
            <w:ind w:firstLineChars="200" w:firstLine="420"/>
            <w:rPr>
              <w:color w:val="000000" w:themeColor="text1"/>
            </w:rPr>
          </w:pPr>
          <w:r>
            <w:rPr>
              <w:rFonts w:hint="eastAsia"/>
              <w:color w:val="000000" w:themeColor="text1"/>
            </w:rPr>
            <w:t>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sdtContent>
    </w:sdt>
    <w:p w:rsidR="00156DD6" w:rsidRDefault="00D51F5F">
      <w:pPr>
        <w:pStyle w:val="TOC6"/>
        <w:numPr>
          <w:ilvl w:val="0"/>
          <w:numId w:val="36"/>
        </w:numPr>
        <w:rPr>
          <w:rFonts w:ascii="宋体" w:hAnsi="宋体"/>
          <w:color w:val="000000" w:themeColor="text1"/>
          <w:sz w:val="21"/>
          <w:szCs w:val="21"/>
        </w:rPr>
      </w:pPr>
      <w:bookmarkStart w:id="179" w:name="_Hlk169007307"/>
      <w:r>
        <w:rPr>
          <w:rFonts w:ascii="宋体" w:hAnsi="宋体"/>
          <w:color w:val="000000" w:themeColor="text1"/>
          <w:sz w:val="21"/>
          <w:szCs w:val="21"/>
        </w:rPr>
        <w:t>控制的判断标准和合并财务报表的编制方法</w:t>
      </w:r>
    </w:p>
    <w:sdt>
      <w:sdtPr>
        <w:rPr>
          <w:rFonts w:hint="eastAsia"/>
          <w:color w:val="000000" w:themeColor="text1"/>
        </w:rPr>
        <w:alias w:val="是否适用：合并财务报表的编制方法[双击切换]"/>
        <w:tag w:val="_GBC_dad2e053cc8c4461a681b3e4926c48a6"/>
        <w:id w:val="-171842619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w:instrText>
          </w:r>
          <w:r>
            <w:rPr>
              <w:color w:val="000000" w:themeColor="text1"/>
            </w:rPr>
            <w:instrText>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企业合并及合并财务报表的说明"/>
        <w:tag w:val="_GBC_5201beca0c0944939b4a0d8d100d6fcf"/>
        <w:id w:val="161058506"/>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）控制的判断</w:t>
          </w:r>
        </w:p>
        <w:p w:rsidR="00156DD6" w:rsidRDefault="00D51F5F">
          <w:pPr>
            <w:spacing w:line="360" w:lineRule="exact"/>
            <w:ind w:firstLineChars="200" w:firstLine="420"/>
            <w:rPr>
              <w:color w:val="000000" w:themeColor="text1"/>
            </w:rPr>
          </w:pPr>
          <w:r>
            <w:rPr>
              <w:rFonts w:hint="eastAsia"/>
              <w:color w:val="000000" w:themeColor="text1"/>
            </w:rPr>
            <w:t>拥有对被投资方的权力，通过参与被投资方的相关活动而享有可变回报，并且有能力运用对被投资方的权力影响其可变回报金额的，认定为控制。</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）合并财务报表的编制方法</w:t>
          </w:r>
        </w:p>
        <w:p w:rsidR="00156DD6" w:rsidRDefault="00D51F5F">
          <w:pPr>
            <w:spacing w:line="360" w:lineRule="exact"/>
            <w:ind w:firstLineChars="200" w:firstLine="420"/>
            <w:rPr>
              <w:color w:val="000000" w:themeColor="text1"/>
            </w:rPr>
          </w:pPr>
          <w:r>
            <w:rPr>
              <w:rFonts w:hint="eastAsia"/>
              <w:color w:val="000000" w:themeColor="text1"/>
            </w:rPr>
            <w:t>母公司将其控制的所有子公司纳入合并财务报表的合并范围。合并财务报表以母公司及其子公司的财务报表为基础，根据其他有关资料，由母公司按照《企业会计准则第</w:t>
          </w:r>
          <w:r>
            <w:rPr>
              <w:rFonts w:hint="eastAsia"/>
              <w:color w:val="000000" w:themeColor="text1"/>
            </w:rPr>
            <w:t>33</w:t>
          </w:r>
          <w:r>
            <w:rPr>
              <w:rFonts w:hint="eastAsia"/>
              <w:color w:val="000000" w:themeColor="text1"/>
            </w:rPr>
            <w:t>号——合并财务报表》编制。</w:t>
          </w:r>
        </w:p>
      </w:sdtContent>
    </w:sdt>
    <w:bookmarkEnd w:id="179"/>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合营安排分类及共同经营会计处理方法</w:t>
      </w:r>
    </w:p>
    <w:sdt>
      <w:sdtPr>
        <w:rPr>
          <w:rFonts w:hint="eastAsia"/>
          <w:color w:val="000000" w:themeColor="text1"/>
        </w:rPr>
        <w:alias w:val="是否适用：合营安排分类及共同经营会计处理方法[双击切换]"/>
        <w:tag w:val="_GBC_f94c8519453541fe9de852d3064d61d5"/>
        <w:id w:val="954366553"/>
        <w:placeholder>
          <w:docPart w:val="GBC22222222222222222222222222222"/>
        </w:placeholder>
      </w:sdtPr>
      <w:sdtEndPr/>
      <w:sdtContent>
        <w:p w:rsidR="00156DD6" w:rsidRDefault="00D51F5F">
          <w:pPr>
            <w:rPr>
              <w:b/>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w:instrText>
          </w:r>
          <w:r>
            <w:rPr>
              <w:rFonts w:hint="eastAsia"/>
              <w:color w:val="000000" w:themeColor="text1"/>
            </w:rPr>
            <w:instrText xml:space="preserve">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现金及现金等价物的确定标准</w:t>
      </w:r>
    </w:p>
    <w:sdt>
      <w:sdtPr>
        <w:rPr>
          <w:rFonts w:hint="eastAsia"/>
          <w:color w:val="000000" w:themeColor="text1"/>
        </w:rPr>
        <w:alias w:val="现金及现金等价物的确定标准"/>
        <w:tag w:val="_GBC_54f6bc3e44e840bc85cb3872600823b5"/>
        <w:id w:val="370351128"/>
        <w:placeholder>
          <w:docPart w:val="GBC22222222222222222222222222222"/>
        </w:placeholder>
      </w:sdtPr>
      <w:sdtEndPr/>
      <w:sdtContent>
        <w:p w:rsidR="00156DD6" w:rsidRDefault="00D51F5F">
          <w:pPr>
            <w:spacing w:line="360" w:lineRule="exact"/>
            <w:ind w:firstLineChars="200" w:firstLine="420"/>
            <w:rPr>
              <w:color w:val="000000" w:themeColor="text1"/>
            </w:rPr>
          </w:pPr>
          <w:r>
            <w:rPr>
              <w:color w:val="000000" w:themeColor="text1"/>
            </w:rPr>
            <w:t>现金等价物是指企业持有的期限短（一般指从购买日起三个月内到期）、流动性强、易于转换为已知金额现金、价值变动风险很小的投资。</w:t>
          </w:r>
        </w:p>
      </w:sdtContent>
    </w:sdt>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lastRenderedPageBreak/>
        <w:t>外币业务和外币报表折算</w:t>
      </w:r>
    </w:p>
    <w:sdt>
      <w:sdtPr>
        <w:rPr>
          <w:rFonts w:hint="eastAsia"/>
          <w:color w:val="000000" w:themeColor="text1"/>
        </w:rPr>
        <w:alias w:val="是否适用：外币业务和外币报表折算[双击切换]"/>
        <w:tag w:val="_GBC_cd1fc5c05f5e49ed9ea2fffe41d0d113"/>
        <w:id w:val="5443690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外币业务核算方法"/>
        <w:tag w:val="_GBC_1703fe5fc56b42a8972c0906a4ac6d6b"/>
        <w:id w:val="786711130"/>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折算，不改变其人民币金额；以公允价值计量的外币非货币性项目，采用公允价值确定日的即期汇率折算，差额计入当期损益或其他综合收益。</w:t>
          </w:r>
        </w:p>
      </w:sdtContent>
    </w:sdt>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金融工具</w:t>
      </w:r>
    </w:p>
    <w:sdt>
      <w:sdtPr>
        <w:rPr>
          <w:rFonts w:hint="eastAsia"/>
          <w:color w:val="000000" w:themeColor="text1"/>
        </w:rPr>
        <w:alias w:val="是否适用：金融工具_重要会计政策和估计[双击切换]"/>
        <w:tag w:val="_GBC_285bdf73a629411f9c5d05731712b876"/>
        <w:id w:val="-74834507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w:instrText>
          </w:r>
          <w:r>
            <w:rPr>
              <w:color w:val="000000" w:themeColor="text1"/>
            </w:rPr>
            <w:instrText>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金融资产和金融负债的核算方法"/>
        <w:tag w:val="_GBC_b358067bbe2a49bf880c383a5db50d8a"/>
        <w:id w:val="-1821029203"/>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）金融资产和金融负债的分类</w:t>
          </w:r>
        </w:p>
        <w:p w:rsidR="00156DD6" w:rsidRDefault="00D51F5F">
          <w:pPr>
            <w:spacing w:line="360" w:lineRule="exact"/>
            <w:ind w:firstLineChars="200" w:firstLine="420"/>
            <w:rPr>
              <w:color w:val="000000" w:themeColor="text1"/>
            </w:rPr>
          </w:pPr>
          <w:r>
            <w:rPr>
              <w:rFonts w:hint="eastAsia"/>
              <w:color w:val="000000" w:themeColor="text1"/>
            </w:rPr>
            <w:t>金融资产在初始确认时划分为以下三类：</w:t>
          </w:r>
          <w:r>
            <w:rPr>
              <w:rFonts w:hint="eastAsia"/>
              <w:color w:val="000000" w:themeColor="text1"/>
            </w:rPr>
            <w:t>1</w:t>
          </w:r>
          <w:r>
            <w:rPr>
              <w:rFonts w:hint="eastAsia"/>
              <w:color w:val="000000" w:themeColor="text1"/>
            </w:rPr>
            <w:t>）以摊余成本计量的金融资产；</w:t>
          </w:r>
          <w:r>
            <w:rPr>
              <w:rFonts w:hint="eastAsia"/>
              <w:color w:val="000000" w:themeColor="text1"/>
            </w:rPr>
            <w:t>2</w:t>
          </w:r>
          <w:r>
            <w:rPr>
              <w:rFonts w:hint="eastAsia"/>
              <w:color w:val="000000" w:themeColor="text1"/>
            </w:rPr>
            <w:t>）以公允价值计量且其变动计入其他综合收益的金融资产；</w:t>
          </w:r>
          <w:r>
            <w:rPr>
              <w:rFonts w:hint="eastAsia"/>
              <w:color w:val="000000" w:themeColor="text1"/>
            </w:rPr>
            <w:t>3</w:t>
          </w:r>
          <w:r>
            <w:rPr>
              <w:rFonts w:hint="eastAsia"/>
              <w:color w:val="000000" w:themeColor="text1"/>
            </w:rPr>
            <w:t>）以公允价值计量且其变动计入当期损益的金融资产。</w:t>
          </w:r>
        </w:p>
        <w:p w:rsidR="00156DD6" w:rsidRDefault="00D51F5F">
          <w:pPr>
            <w:spacing w:line="360" w:lineRule="exact"/>
            <w:ind w:firstLineChars="200" w:firstLine="420"/>
            <w:rPr>
              <w:color w:val="000000" w:themeColor="text1"/>
            </w:rPr>
          </w:pPr>
          <w:r>
            <w:rPr>
              <w:rFonts w:hint="eastAsia"/>
              <w:color w:val="000000" w:themeColor="text1"/>
            </w:rPr>
            <w:t>金融负债在初始确认时划分为以下四类：</w:t>
          </w:r>
          <w:r>
            <w:rPr>
              <w:rFonts w:hint="eastAsia"/>
              <w:color w:val="000000" w:themeColor="text1"/>
            </w:rPr>
            <w:t>1</w:t>
          </w:r>
          <w:r>
            <w:rPr>
              <w:rFonts w:hint="eastAsia"/>
              <w:color w:val="000000" w:themeColor="text1"/>
            </w:rPr>
            <w:t>）以公允价值计量且其变动计入当期损益的金融负债；</w:t>
          </w:r>
          <w:r>
            <w:rPr>
              <w:rFonts w:hint="eastAsia"/>
              <w:color w:val="000000" w:themeColor="text1"/>
            </w:rPr>
            <w:t>2</w:t>
          </w:r>
          <w:r>
            <w:rPr>
              <w:rFonts w:hint="eastAsia"/>
              <w:color w:val="000000" w:themeColor="text1"/>
            </w:rPr>
            <w:t>）金融资产转移不符合终止确认条件或继续涉入被转移金融资产所形成的金融负债；</w:t>
          </w:r>
          <w:r>
            <w:rPr>
              <w:rFonts w:hint="eastAsia"/>
              <w:color w:val="000000" w:themeColor="text1"/>
            </w:rPr>
            <w:t>3</w:t>
          </w:r>
          <w:r>
            <w:rPr>
              <w:rFonts w:hint="eastAsia"/>
              <w:color w:val="000000" w:themeColor="text1"/>
            </w:rPr>
            <w:t>）不属于上述</w:t>
          </w:r>
          <w:r>
            <w:rPr>
              <w:rFonts w:hint="eastAsia"/>
              <w:color w:val="000000" w:themeColor="text1"/>
            </w:rPr>
            <w:t>1</w:t>
          </w:r>
          <w:r>
            <w:rPr>
              <w:rFonts w:hint="eastAsia"/>
              <w:color w:val="000000" w:themeColor="text1"/>
            </w:rPr>
            <w:t>）或</w:t>
          </w:r>
          <w:r>
            <w:rPr>
              <w:rFonts w:hint="eastAsia"/>
              <w:color w:val="000000" w:themeColor="text1"/>
            </w:rPr>
            <w:t>2</w:t>
          </w:r>
          <w:r>
            <w:rPr>
              <w:rFonts w:hint="eastAsia"/>
              <w:color w:val="000000" w:themeColor="text1"/>
            </w:rPr>
            <w:t>）的财务担保合同，以及不属于上述</w:t>
          </w:r>
          <w:r>
            <w:rPr>
              <w:rFonts w:hint="eastAsia"/>
              <w:color w:val="000000" w:themeColor="text1"/>
            </w:rPr>
            <w:t>1</w:t>
          </w:r>
          <w:r>
            <w:rPr>
              <w:rFonts w:hint="eastAsia"/>
              <w:color w:val="000000" w:themeColor="text1"/>
            </w:rPr>
            <w:t>）并以低于</w:t>
          </w:r>
          <w:r>
            <w:rPr>
              <w:rFonts w:hint="eastAsia"/>
              <w:color w:val="000000" w:themeColor="text1"/>
            </w:rPr>
            <w:t>市场利率贷款的贷款承诺；</w:t>
          </w:r>
          <w:r>
            <w:rPr>
              <w:rFonts w:hint="eastAsia"/>
              <w:color w:val="000000" w:themeColor="text1"/>
            </w:rPr>
            <w:t>4</w:t>
          </w:r>
          <w:r>
            <w:rPr>
              <w:rFonts w:hint="eastAsia"/>
              <w:color w:val="000000" w:themeColor="text1"/>
            </w:rPr>
            <w:t>）以摊余成本计量的金融负债。</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）金融资产和金融负债的确认依据、计量方法和终止确认条件</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）金融资产和金融负债的确认依据和初始计量方法</w:t>
          </w:r>
        </w:p>
        <w:p w:rsidR="00156DD6" w:rsidRDefault="00D51F5F">
          <w:pPr>
            <w:spacing w:line="360" w:lineRule="exact"/>
            <w:ind w:firstLineChars="200" w:firstLine="420"/>
            <w:rPr>
              <w:color w:val="000000" w:themeColor="text1"/>
            </w:rPr>
          </w:pPr>
          <w:r>
            <w:rPr>
              <w:rFonts w:hint="eastAsia"/>
              <w:color w:val="000000" w:themeColor="text1"/>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但是，公司初始确认的应收账款未包含重大融资成分或公司不考虑未超过一年的合同中的融资成分的，按照《企业会计准则第</w:t>
          </w:r>
          <w:r>
            <w:rPr>
              <w:rFonts w:hint="eastAsia"/>
              <w:color w:val="000000" w:themeColor="text1"/>
            </w:rPr>
            <w:t>14</w:t>
          </w:r>
          <w:r>
            <w:rPr>
              <w:rFonts w:hint="eastAsia"/>
              <w:color w:val="000000" w:themeColor="text1"/>
            </w:rPr>
            <w:t>号——收入》所定义的交易价格进行初始计量。</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）金融资产的后续计量方法</w:t>
          </w:r>
        </w:p>
        <w:p w:rsidR="00156DD6" w:rsidRDefault="00D51F5F">
          <w:pPr>
            <w:spacing w:line="360" w:lineRule="exact"/>
            <w:ind w:firstLineChars="200" w:firstLine="420"/>
            <w:rPr>
              <w:color w:val="000000" w:themeColor="text1"/>
            </w:rPr>
          </w:pPr>
          <w:r>
            <w:rPr>
              <w:rFonts w:hint="eastAsia"/>
              <w:color w:val="000000" w:themeColor="text1"/>
            </w:rPr>
            <w:t>①以摊余成本计量的金融资产</w:t>
          </w:r>
        </w:p>
        <w:p w:rsidR="00156DD6" w:rsidRDefault="00D51F5F">
          <w:pPr>
            <w:spacing w:line="360" w:lineRule="exact"/>
            <w:ind w:firstLineChars="200" w:firstLine="420"/>
            <w:rPr>
              <w:color w:val="000000" w:themeColor="text1"/>
            </w:rPr>
          </w:pPr>
          <w:r>
            <w:rPr>
              <w:rFonts w:hint="eastAsia"/>
              <w:color w:val="000000" w:themeColor="text1"/>
            </w:rPr>
            <w:t>采用实际利率法，按照摊余成本进行后续计</w:t>
          </w:r>
          <w:r>
            <w:rPr>
              <w:rFonts w:hint="eastAsia"/>
              <w:color w:val="000000" w:themeColor="text1"/>
            </w:rPr>
            <w:t>量。以摊余成本计量且不属于任何套期关系的一部分的金融资产所产生的利得或损失，在终止确认、重分类、按照实际利率法摊销或确认减值时，计入当期损益。</w:t>
          </w:r>
        </w:p>
        <w:p w:rsidR="00156DD6" w:rsidRDefault="00D51F5F">
          <w:pPr>
            <w:spacing w:line="360" w:lineRule="exact"/>
            <w:ind w:firstLineChars="200" w:firstLine="420"/>
            <w:rPr>
              <w:color w:val="000000" w:themeColor="text1"/>
            </w:rPr>
          </w:pPr>
          <w:r>
            <w:rPr>
              <w:rFonts w:hint="eastAsia"/>
              <w:color w:val="000000" w:themeColor="text1"/>
            </w:rPr>
            <w:t>②以公允价值计量且其变动计入其他综合收益的债务工具投资</w:t>
          </w:r>
        </w:p>
        <w:p w:rsidR="00156DD6" w:rsidRDefault="00D51F5F">
          <w:pPr>
            <w:spacing w:line="360" w:lineRule="exact"/>
            <w:ind w:firstLineChars="200" w:firstLine="420"/>
            <w:rPr>
              <w:color w:val="000000" w:themeColor="text1"/>
            </w:rPr>
          </w:pPr>
          <w:r>
            <w:rPr>
              <w:rFonts w:hint="eastAsia"/>
              <w:color w:val="000000" w:themeColor="text1"/>
            </w:rPr>
            <w:t>采用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p>
        <w:p w:rsidR="00156DD6" w:rsidRDefault="00D51F5F">
          <w:pPr>
            <w:spacing w:line="360" w:lineRule="exact"/>
            <w:ind w:firstLineChars="200" w:firstLine="420"/>
            <w:rPr>
              <w:color w:val="000000" w:themeColor="text1"/>
            </w:rPr>
          </w:pPr>
          <w:r>
            <w:rPr>
              <w:rFonts w:hint="eastAsia"/>
              <w:color w:val="000000" w:themeColor="text1"/>
            </w:rPr>
            <w:t>③以公允价值计量且其变动计入其他综合收益的权益工具投资</w:t>
          </w:r>
        </w:p>
        <w:p w:rsidR="00156DD6" w:rsidRDefault="00D51F5F">
          <w:pPr>
            <w:spacing w:line="360" w:lineRule="exact"/>
            <w:ind w:firstLineChars="200" w:firstLine="420"/>
            <w:rPr>
              <w:color w:val="000000" w:themeColor="text1"/>
            </w:rPr>
          </w:pPr>
          <w:r>
            <w:rPr>
              <w:rFonts w:hint="eastAsia"/>
              <w:color w:val="000000" w:themeColor="text1"/>
            </w:rPr>
            <w:t>采用公允价值进行后续计量。获得的股利（属于投资</w:t>
          </w:r>
          <w:r>
            <w:rPr>
              <w:rFonts w:hint="eastAsia"/>
              <w:color w:val="000000" w:themeColor="text1"/>
            </w:rPr>
            <w:t>成本收回部分的除外）计入当期损益，其他利得或损失计入其他综合收益。终止确认时，将之前计入其他综合收益的累计利得或损失从其他综合收益中转出，计入留存收益。</w:t>
          </w:r>
        </w:p>
        <w:p w:rsidR="00156DD6" w:rsidRDefault="00D51F5F">
          <w:pPr>
            <w:spacing w:line="360" w:lineRule="exact"/>
            <w:ind w:firstLineChars="200" w:firstLine="420"/>
            <w:rPr>
              <w:color w:val="000000" w:themeColor="text1"/>
            </w:rPr>
          </w:pPr>
          <w:r>
            <w:rPr>
              <w:rFonts w:hint="eastAsia"/>
              <w:color w:val="000000" w:themeColor="text1"/>
            </w:rPr>
            <w:t>④以公允价值计量且其变动计入当期损益的金融资产</w:t>
          </w:r>
        </w:p>
        <w:p w:rsidR="00156DD6" w:rsidRDefault="00D51F5F">
          <w:pPr>
            <w:spacing w:line="360" w:lineRule="exact"/>
            <w:ind w:firstLineChars="200" w:firstLine="420"/>
            <w:rPr>
              <w:color w:val="000000" w:themeColor="text1"/>
            </w:rPr>
          </w:pPr>
          <w:r>
            <w:rPr>
              <w:rFonts w:hint="eastAsia"/>
              <w:color w:val="000000" w:themeColor="text1"/>
            </w:rPr>
            <w:lastRenderedPageBreak/>
            <w:t>采用公允价值进行后续计量，产生的利得或损失（包括利息和股利收入）计入当期损益，除非该金融资产属于套期关系的一部分。</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）金融负债的后续计量方法</w:t>
          </w:r>
        </w:p>
        <w:p w:rsidR="00156DD6" w:rsidRDefault="00D51F5F">
          <w:pPr>
            <w:spacing w:line="360" w:lineRule="exact"/>
            <w:ind w:firstLineChars="200" w:firstLine="420"/>
            <w:rPr>
              <w:color w:val="000000" w:themeColor="text1"/>
            </w:rPr>
          </w:pPr>
          <w:r>
            <w:rPr>
              <w:rFonts w:hint="eastAsia"/>
              <w:color w:val="000000" w:themeColor="text1"/>
            </w:rPr>
            <w:t>①以公允价值计量且其变动计入当期损益的金融负债</w:t>
          </w:r>
        </w:p>
        <w:p w:rsidR="00156DD6" w:rsidRDefault="00D51F5F">
          <w:pPr>
            <w:spacing w:line="360" w:lineRule="exact"/>
            <w:ind w:firstLineChars="200" w:firstLine="420"/>
            <w:rPr>
              <w:color w:val="000000" w:themeColor="text1"/>
            </w:rPr>
          </w:pPr>
          <w:r>
            <w:rPr>
              <w:rFonts w:hint="eastAsia"/>
              <w:color w:val="000000" w:themeColor="text1"/>
            </w:rPr>
            <w:t>此类金融负债包括交易性金融负债（含属于金融负债的衍生工具）和指定为以公允价值计量且其变动计入当期损益的金融负债。对于此</w:t>
          </w:r>
          <w:r>
            <w:rPr>
              <w:rFonts w:hint="eastAsia"/>
              <w:color w:val="000000" w:themeColor="text1"/>
            </w:rPr>
            <w:t>类金融负债以公允价值进行后续计量。因公司自身信用风险变动引起的指定为以公允价值计量且其变动计入当期损益的金融负债的公允价值变动金额计入其他综合收益，除非该处理会造成或扩大损益中的会计错配。此类金融负债产生的其他利得或损失（包括利息费用、除因公司自身信用风险变动引起的公允价值变动）计入当期损益，除非该金融负债属于套期关系的一部分。终止确认时，将之前计入其他综合收益的累计利得或损失从其他综合收益中转出，计入留存收益。</w:t>
          </w:r>
        </w:p>
        <w:p w:rsidR="00156DD6" w:rsidRDefault="00D51F5F">
          <w:pPr>
            <w:spacing w:line="360" w:lineRule="exact"/>
            <w:ind w:firstLineChars="200" w:firstLine="420"/>
            <w:rPr>
              <w:color w:val="000000" w:themeColor="text1"/>
            </w:rPr>
          </w:pPr>
          <w:r>
            <w:rPr>
              <w:rFonts w:hint="eastAsia"/>
              <w:color w:val="000000" w:themeColor="text1"/>
            </w:rPr>
            <w:t>②金融资产转移不符合终止确认条件或继续涉入被转移金融资产所形成的金融负债</w:t>
          </w:r>
        </w:p>
        <w:p w:rsidR="00156DD6" w:rsidRDefault="00D51F5F">
          <w:pPr>
            <w:spacing w:line="360" w:lineRule="exact"/>
            <w:ind w:firstLineChars="200" w:firstLine="420"/>
            <w:rPr>
              <w:color w:val="000000" w:themeColor="text1"/>
            </w:rPr>
          </w:pPr>
          <w:r>
            <w:rPr>
              <w:rFonts w:hint="eastAsia"/>
              <w:color w:val="000000" w:themeColor="text1"/>
            </w:rPr>
            <w:t>按照《企业会计准则第</w:t>
          </w:r>
          <w:r>
            <w:rPr>
              <w:rFonts w:hint="eastAsia"/>
              <w:color w:val="000000" w:themeColor="text1"/>
            </w:rPr>
            <w:t>23</w:t>
          </w:r>
          <w:r>
            <w:rPr>
              <w:rFonts w:hint="eastAsia"/>
              <w:color w:val="000000" w:themeColor="text1"/>
            </w:rPr>
            <w:t>号——金融资产转移》相关规定进行计量。</w:t>
          </w:r>
        </w:p>
        <w:p w:rsidR="00156DD6" w:rsidRDefault="00D51F5F">
          <w:pPr>
            <w:spacing w:line="360" w:lineRule="exact"/>
            <w:ind w:firstLineChars="200" w:firstLine="420"/>
            <w:rPr>
              <w:color w:val="000000" w:themeColor="text1"/>
            </w:rPr>
          </w:pPr>
          <w:r>
            <w:rPr>
              <w:rFonts w:hint="eastAsia"/>
              <w:color w:val="000000" w:themeColor="text1"/>
            </w:rPr>
            <w:t>③</w:t>
          </w:r>
          <w:r>
            <w:rPr>
              <w:rFonts w:hint="eastAsia"/>
              <w:color w:val="000000" w:themeColor="text1"/>
            </w:rPr>
            <w:t xml:space="preserve"> </w:t>
          </w:r>
          <w:r>
            <w:rPr>
              <w:rFonts w:hint="eastAsia"/>
              <w:color w:val="000000" w:themeColor="text1"/>
            </w:rPr>
            <w:t>不属于上述①或②的财务担保合同，以及不属于上述①并以低于市场利率贷款的贷款承诺</w:t>
          </w:r>
        </w:p>
        <w:p w:rsidR="00156DD6" w:rsidRDefault="00D51F5F">
          <w:pPr>
            <w:spacing w:line="360" w:lineRule="exact"/>
            <w:ind w:firstLineChars="200" w:firstLine="420"/>
            <w:rPr>
              <w:color w:val="000000" w:themeColor="text1"/>
            </w:rPr>
          </w:pPr>
          <w:r>
            <w:rPr>
              <w:rFonts w:hint="eastAsia"/>
              <w:color w:val="000000" w:themeColor="text1"/>
            </w:rPr>
            <w:t>在初始确认后按照下列两项金额之中的较高者进行后续计量：按照金融工具的减值规定确定的损失准备金额；初始确认金额扣除按照《企业会计准则第</w:t>
          </w:r>
          <w:r>
            <w:rPr>
              <w:rFonts w:hint="eastAsia"/>
              <w:color w:val="000000" w:themeColor="text1"/>
            </w:rPr>
            <w:t>14</w:t>
          </w:r>
          <w:r>
            <w:rPr>
              <w:rFonts w:hint="eastAsia"/>
              <w:color w:val="000000" w:themeColor="text1"/>
            </w:rPr>
            <w:t>号——收入》相关规定所确定的累计摊销额后的余额。</w:t>
          </w:r>
        </w:p>
        <w:p w:rsidR="00156DD6" w:rsidRDefault="00D51F5F">
          <w:pPr>
            <w:spacing w:line="360" w:lineRule="exact"/>
            <w:ind w:firstLineChars="200" w:firstLine="420"/>
            <w:rPr>
              <w:color w:val="000000" w:themeColor="text1"/>
            </w:rPr>
          </w:pPr>
          <w:r>
            <w:rPr>
              <w:rFonts w:hint="eastAsia"/>
              <w:color w:val="000000" w:themeColor="text1"/>
            </w:rPr>
            <w:t>④以摊余成本计量的金融负债</w:t>
          </w:r>
        </w:p>
        <w:p w:rsidR="00156DD6" w:rsidRDefault="00D51F5F">
          <w:pPr>
            <w:spacing w:line="360" w:lineRule="exact"/>
            <w:ind w:firstLineChars="200" w:firstLine="420"/>
            <w:rPr>
              <w:color w:val="000000" w:themeColor="text1"/>
            </w:rPr>
          </w:pPr>
          <w:r>
            <w:rPr>
              <w:rFonts w:hint="eastAsia"/>
              <w:color w:val="000000" w:themeColor="text1"/>
            </w:rPr>
            <w:t>采用实际利率法以摊余成本计量。以摊余成本计量且不属于任何套期关系的一部分的金融负债所产生的利得或损失，在终止确认、按照实际利率法摊销时计入当期损益。</w:t>
          </w:r>
        </w:p>
        <w:p w:rsidR="00156DD6" w:rsidRDefault="00D51F5F">
          <w:pPr>
            <w:spacing w:line="360" w:lineRule="exact"/>
            <w:ind w:firstLineChars="200" w:firstLine="420"/>
            <w:rPr>
              <w:color w:val="000000" w:themeColor="text1"/>
            </w:rPr>
          </w:pPr>
          <w:r>
            <w:rPr>
              <w:rFonts w:hint="eastAsia"/>
              <w:color w:val="000000" w:themeColor="text1"/>
            </w:rPr>
            <w:t>4</w:t>
          </w:r>
          <w:r>
            <w:rPr>
              <w:rFonts w:hint="eastAsia"/>
              <w:color w:val="000000" w:themeColor="text1"/>
            </w:rPr>
            <w:t>）金融资产和金融负债的终止确认</w:t>
          </w:r>
        </w:p>
        <w:p w:rsidR="00156DD6" w:rsidRDefault="00D51F5F">
          <w:pPr>
            <w:spacing w:line="360" w:lineRule="exact"/>
            <w:ind w:firstLineChars="200" w:firstLine="420"/>
            <w:rPr>
              <w:color w:val="000000" w:themeColor="text1"/>
            </w:rPr>
          </w:pPr>
          <w:r>
            <w:rPr>
              <w:rFonts w:hint="eastAsia"/>
              <w:color w:val="000000" w:themeColor="text1"/>
            </w:rPr>
            <w:t>①当满足下列条件之一时，终止确认金融资产：</w:t>
          </w:r>
        </w:p>
        <w:p w:rsidR="00156DD6" w:rsidRDefault="00D51F5F">
          <w:pPr>
            <w:spacing w:line="360" w:lineRule="exact"/>
            <w:ind w:firstLineChars="200" w:firstLine="420"/>
            <w:rPr>
              <w:color w:val="000000" w:themeColor="text1"/>
            </w:rPr>
          </w:pPr>
          <w:r>
            <w:rPr>
              <w:rFonts w:hint="eastAsia"/>
              <w:color w:val="000000" w:themeColor="text1"/>
            </w:rPr>
            <w:t>收取金融资产现金流量的合同权利已终止；</w:t>
          </w:r>
        </w:p>
        <w:p w:rsidR="00156DD6" w:rsidRDefault="00D51F5F">
          <w:pPr>
            <w:spacing w:line="360" w:lineRule="exact"/>
            <w:ind w:firstLineChars="200" w:firstLine="420"/>
            <w:rPr>
              <w:color w:val="000000" w:themeColor="text1"/>
            </w:rPr>
          </w:pPr>
          <w:r>
            <w:rPr>
              <w:rFonts w:hint="eastAsia"/>
              <w:color w:val="000000" w:themeColor="text1"/>
            </w:rPr>
            <w:t>金融资产已转移，且该转移满足《企业会计准则第</w:t>
          </w:r>
          <w:r>
            <w:rPr>
              <w:rFonts w:hint="eastAsia"/>
              <w:color w:val="000000" w:themeColor="text1"/>
            </w:rPr>
            <w:t>23</w:t>
          </w:r>
          <w:r>
            <w:rPr>
              <w:rFonts w:hint="eastAsia"/>
              <w:color w:val="000000" w:themeColor="text1"/>
            </w:rPr>
            <w:t>号——金融资产转移》关于金融资产终止确认的规定。</w:t>
          </w:r>
        </w:p>
        <w:p w:rsidR="00156DD6" w:rsidRDefault="00D51F5F">
          <w:pPr>
            <w:spacing w:line="360" w:lineRule="exact"/>
            <w:ind w:firstLineChars="200" w:firstLine="420"/>
            <w:rPr>
              <w:color w:val="000000" w:themeColor="text1"/>
            </w:rPr>
          </w:pPr>
          <w:r>
            <w:rPr>
              <w:rFonts w:hint="eastAsia"/>
              <w:color w:val="000000" w:themeColor="text1"/>
            </w:rPr>
            <w:t>②当金融负债（或其一部分）的现时义务已经解除时，相应终止确认该金融负债（或该部分金融负债）。</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）金融资产转移的确认依据和计量方法</w:t>
          </w:r>
        </w:p>
        <w:p w:rsidR="00156DD6" w:rsidRDefault="00D51F5F">
          <w:pPr>
            <w:spacing w:line="360" w:lineRule="exact"/>
            <w:ind w:firstLineChars="200" w:firstLine="420"/>
            <w:rPr>
              <w:color w:val="000000" w:themeColor="text1"/>
            </w:rPr>
          </w:pPr>
          <w:r>
            <w:rPr>
              <w:rFonts w:hint="eastAsia"/>
              <w:color w:val="000000" w:themeColor="text1"/>
            </w:rPr>
            <w:t>公司转移了金融资产所有权上几乎所有的风险和报酬的，终止确认该金融资产，并将转移中产生或保留的权利和义务单独确认为资产或负债；保留了金融资产所有权上几乎所有的风险和</w:t>
          </w:r>
          <w:r>
            <w:rPr>
              <w:rFonts w:hint="eastAsia"/>
              <w:color w:val="000000" w:themeColor="text1"/>
            </w:rPr>
            <w:t>报酬的，继续确认所转移的金融资产。公司既没有转移也没有保留金融资产所有权上几乎所有的风险和报酬的，分别下列情况处理：</w:t>
          </w:r>
          <w:r>
            <w:rPr>
              <w:rFonts w:hint="eastAsia"/>
              <w:color w:val="000000" w:themeColor="text1"/>
            </w:rPr>
            <w:t>1</w:t>
          </w:r>
          <w:r>
            <w:rPr>
              <w:rFonts w:hint="eastAsia"/>
              <w:color w:val="000000" w:themeColor="text1"/>
            </w:rPr>
            <w:t>）未保留对该金融资产控制的，终止确认该金融资产，并将转移中产生或保留的权利和义务单独确认为资产或负债；</w:t>
          </w:r>
          <w:r>
            <w:rPr>
              <w:rFonts w:hint="eastAsia"/>
              <w:color w:val="000000" w:themeColor="text1"/>
            </w:rPr>
            <w:t>2</w:t>
          </w:r>
          <w:r>
            <w:rPr>
              <w:rFonts w:hint="eastAsia"/>
              <w:color w:val="000000" w:themeColor="text1"/>
            </w:rPr>
            <w:t>）保留了对该金融资产控制的，按照继续涉入所转移金融资产的程度确认有关金融资产，并相应确认有关负债。</w:t>
          </w:r>
        </w:p>
        <w:p w:rsidR="00156DD6" w:rsidRDefault="00D51F5F">
          <w:pPr>
            <w:spacing w:line="360" w:lineRule="exact"/>
            <w:ind w:firstLineChars="200" w:firstLine="420"/>
            <w:rPr>
              <w:color w:val="000000" w:themeColor="text1"/>
            </w:rPr>
          </w:pPr>
          <w:r>
            <w:rPr>
              <w:rFonts w:hint="eastAsia"/>
              <w:color w:val="000000" w:themeColor="text1"/>
            </w:rPr>
            <w:t>金融资产整体转移满足终止确认条件的，将下列两项金额的差额计入当期损益：</w:t>
          </w:r>
          <w:r>
            <w:rPr>
              <w:rFonts w:hint="eastAsia"/>
              <w:color w:val="000000" w:themeColor="text1"/>
            </w:rPr>
            <w:t>1</w:t>
          </w:r>
          <w:r>
            <w:rPr>
              <w:rFonts w:hint="eastAsia"/>
              <w:color w:val="000000" w:themeColor="text1"/>
            </w:rPr>
            <w:t>）所转移金融资产在终止确认日的账面价值；</w:t>
          </w:r>
          <w:r>
            <w:rPr>
              <w:rFonts w:hint="eastAsia"/>
              <w:color w:val="000000" w:themeColor="text1"/>
            </w:rPr>
            <w:t>2</w:t>
          </w:r>
          <w:r>
            <w:rPr>
              <w:rFonts w:hint="eastAsia"/>
              <w:color w:val="000000" w:themeColor="text1"/>
            </w:rPr>
            <w:t>）因转移金融资产而收到的对价，与原直接计入其他综合收益的公允价值变动累计额中</w:t>
          </w:r>
          <w:r>
            <w:rPr>
              <w:rFonts w:hint="eastAsia"/>
              <w:color w:val="000000" w:themeColor="text1"/>
            </w:rPr>
            <w:t>对应终止确认部分的金额（涉及转移的金融资产为以公允价值计量</w:t>
          </w:r>
          <w:r>
            <w:rPr>
              <w:rFonts w:hint="eastAsia"/>
              <w:color w:val="000000" w:themeColor="text1"/>
            </w:rPr>
            <w:lastRenderedPageBreak/>
            <w:t>且其变动计入其他综合收益的债务工具投资）之和。转移了金融资产的一部分，且该被转移部分整体满足终止确认条件的，将转移前金融资产整体的账面价值，在终止确认部分和继续确认部分之间，按照转移日各自的相对公允价值进行分摊，并将下列两项金额的差额计入当期损益：</w:t>
          </w:r>
          <w:r>
            <w:rPr>
              <w:rFonts w:hint="eastAsia"/>
              <w:color w:val="000000" w:themeColor="text1"/>
            </w:rPr>
            <w:t>1</w:t>
          </w:r>
          <w:r>
            <w:rPr>
              <w:rFonts w:hint="eastAsia"/>
              <w:color w:val="000000" w:themeColor="text1"/>
            </w:rPr>
            <w:t>）终止确认部分的账面价值；</w:t>
          </w:r>
          <w:r>
            <w:rPr>
              <w:rFonts w:hint="eastAsia"/>
              <w:color w:val="000000" w:themeColor="text1"/>
            </w:rPr>
            <w:t>2</w:t>
          </w:r>
          <w:r>
            <w:rPr>
              <w:rFonts w:hint="eastAsia"/>
              <w:color w:val="000000" w:themeColor="text1"/>
            </w:rPr>
            <w:t>）终止确认部分的对价，与原直接计入其他综合收益的公允价值变动累计额中对应终止确认部分的金额（涉及转移的金融资产为以公允价值计量且其变动计入其他综合收益的债务工具投资）之和。</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）金融资产和金融负债的公允价值确定方法</w:t>
          </w:r>
        </w:p>
        <w:p w:rsidR="00156DD6" w:rsidRDefault="00D51F5F">
          <w:pPr>
            <w:spacing w:line="360" w:lineRule="exact"/>
            <w:ind w:firstLineChars="200" w:firstLine="420"/>
            <w:rPr>
              <w:color w:val="000000" w:themeColor="text1"/>
            </w:rPr>
          </w:pPr>
          <w:r>
            <w:rPr>
              <w:rFonts w:hint="eastAsia"/>
              <w:color w:val="000000" w:themeColor="text1"/>
            </w:rPr>
            <w:t>公司采用在当前情况下适用并且有足够可利用数据和其他信息支持的估值技术确定相关金融资产和金融负债的公允价值。公司将估值技术使用的输入值分以下层级，并依次使用：</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）第一层次输入值是在计量日能够取得的相同资产或负债在活跃市场上未经调整的报价；</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第二层次输入值是除第一层次输入值外相关资产或负债直接或间接可观察的输入值，包括：活跃市场中类似资产或负债的报价；非活跃市场中相同或类似资产或负债的报价；除报价以外的其他可观察输入值，如在正常报价间隔期间可观察的利率和收益率曲线</w:t>
          </w:r>
          <w:r>
            <w:rPr>
              <w:rFonts w:hint="eastAsia"/>
              <w:color w:val="000000" w:themeColor="text1"/>
            </w:rPr>
            <w:t>等；市场验证的输入值等；</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）第三层次输入值是相关资产或负债的不可观察输入值，包括不能直接观察或无法由可观察市场数据验证的利率、股票波动率、企业合并中承担的弃置义务的未来现金流量、使用自身数据作出的财务预测等。</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）金融工具减值</w:t>
          </w:r>
        </w:p>
        <w:p w:rsidR="00156DD6" w:rsidRDefault="00D51F5F">
          <w:pPr>
            <w:spacing w:line="360" w:lineRule="exact"/>
            <w:ind w:firstLineChars="200" w:firstLine="420"/>
            <w:rPr>
              <w:color w:val="000000" w:themeColor="text1"/>
            </w:rPr>
          </w:pPr>
          <w:r>
            <w:rPr>
              <w:rFonts w:hint="eastAsia"/>
              <w:color w:val="000000" w:themeColor="text1"/>
            </w:rPr>
            <w:t>公司以预期信用损失为基础，对以摊余成本计量的金融资产、以公允价值计量且其变动计入其他综合收益的债务工具投资、合同资产、租赁应收款、分类为以公允价值计量且其变动计入当期损益的金融负债以外的贷款承诺、不属于以公允价值计量且其变动计入当期损益的金融负债或不属于金融资产转移不符合终止确认</w:t>
          </w:r>
          <w:r>
            <w:rPr>
              <w:rFonts w:hint="eastAsia"/>
              <w:color w:val="000000" w:themeColor="text1"/>
            </w:rPr>
            <w:t>条件或继续涉入被转移金融资产所形成的金融负债的财务担保合同进行减值处理并确认损失准备。</w:t>
          </w:r>
        </w:p>
        <w:p w:rsidR="00156DD6" w:rsidRDefault="00D51F5F">
          <w:pPr>
            <w:spacing w:line="360" w:lineRule="exact"/>
            <w:ind w:firstLineChars="200" w:firstLine="420"/>
            <w:rPr>
              <w:color w:val="000000" w:themeColor="text1"/>
            </w:rPr>
          </w:pPr>
          <w:r>
            <w:rPr>
              <w:rFonts w:hint="eastAsia"/>
              <w:color w:val="000000" w:themeColor="text1"/>
            </w:rPr>
            <w:t>预期信用损失，是指以发生违约的风险为权重的金融工具信用损失的加权平均值。信用损失，是指公司按照原实际利率折现的、根据合同应收的所有合同现金流量与预期收取的所有现金流量之间的差额，即全部现金短缺的现值。其中，对于公司购买或源生的已发生信用减值的金融资产，按照该金融资产经信用调整的实际利率折现。</w:t>
          </w:r>
        </w:p>
        <w:p w:rsidR="00156DD6" w:rsidRDefault="00D51F5F">
          <w:pPr>
            <w:spacing w:line="360" w:lineRule="exact"/>
            <w:ind w:firstLineChars="200" w:firstLine="420"/>
            <w:rPr>
              <w:color w:val="000000" w:themeColor="text1"/>
            </w:rPr>
          </w:pPr>
          <w:r>
            <w:rPr>
              <w:rFonts w:hint="eastAsia"/>
              <w:color w:val="000000" w:themeColor="text1"/>
            </w:rPr>
            <w:t>对于购买或源生的已发生信用减值的金融资产，公司在资产负债表日仅将自初始确认后整个存续期内预期信用损失的累计变动确认为损失准备。</w:t>
          </w:r>
        </w:p>
        <w:p w:rsidR="00156DD6" w:rsidRDefault="00D51F5F">
          <w:pPr>
            <w:spacing w:line="360" w:lineRule="exact"/>
            <w:ind w:firstLineChars="200" w:firstLine="420"/>
            <w:rPr>
              <w:color w:val="000000" w:themeColor="text1"/>
            </w:rPr>
          </w:pPr>
          <w:r>
            <w:rPr>
              <w:rFonts w:hint="eastAsia"/>
              <w:color w:val="000000" w:themeColor="text1"/>
            </w:rPr>
            <w:t>对</w:t>
          </w:r>
          <w:r>
            <w:rPr>
              <w:rFonts w:hint="eastAsia"/>
              <w:color w:val="000000" w:themeColor="text1"/>
            </w:rPr>
            <w:t>于由《企业会计准则第</w:t>
          </w:r>
          <w:r>
            <w:rPr>
              <w:rFonts w:hint="eastAsia"/>
              <w:color w:val="000000" w:themeColor="text1"/>
            </w:rPr>
            <w:t>14</w:t>
          </w:r>
          <w:r>
            <w:rPr>
              <w:rFonts w:hint="eastAsia"/>
              <w:color w:val="000000" w:themeColor="text1"/>
            </w:rPr>
            <w:t>号——收入》规范的交易形成，且不含重大融资成分或者公司不考虑不超过一年的合同中的融资成分的应收款项及合同资产，公司运用简化计量方法，按照相当于整个存续期内的预期信用损失金额计量损失准备。</w:t>
          </w:r>
        </w:p>
        <w:p w:rsidR="00156DD6" w:rsidRDefault="00D51F5F">
          <w:pPr>
            <w:spacing w:line="360" w:lineRule="exact"/>
            <w:ind w:firstLineChars="200" w:firstLine="420"/>
            <w:rPr>
              <w:color w:val="000000" w:themeColor="text1"/>
            </w:rPr>
          </w:pPr>
          <w:r>
            <w:rPr>
              <w:rFonts w:hint="eastAsia"/>
              <w:color w:val="000000" w:themeColor="text1"/>
            </w:rPr>
            <w:t>除上述计量方法以外的金融资产，公司在每个资产负债表日评估其信用风险自初始确认后是否已经显著增加。如果信用风险自初始确认后已显著增加，公司按照整个存续期内预期信用损失的金额计量损失准备；如果信用风险自初始确认后未显著增加，公司按照该金融工具未来</w:t>
          </w:r>
          <w:r>
            <w:rPr>
              <w:rFonts w:hint="eastAsia"/>
              <w:color w:val="000000" w:themeColor="text1"/>
            </w:rPr>
            <w:t>12</w:t>
          </w:r>
          <w:r>
            <w:rPr>
              <w:rFonts w:hint="eastAsia"/>
              <w:color w:val="000000" w:themeColor="text1"/>
            </w:rPr>
            <w:t>个月内预期信用损失的金额计量损失准备。</w:t>
          </w:r>
        </w:p>
        <w:p w:rsidR="00156DD6" w:rsidRDefault="00D51F5F">
          <w:pPr>
            <w:spacing w:line="360" w:lineRule="exact"/>
            <w:ind w:firstLineChars="200" w:firstLine="420"/>
            <w:rPr>
              <w:color w:val="000000" w:themeColor="text1"/>
            </w:rPr>
          </w:pPr>
          <w:r>
            <w:rPr>
              <w:rFonts w:hint="eastAsia"/>
              <w:color w:val="000000" w:themeColor="text1"/>
            </w:rPr>
            <w:lastRenderedPageBreak/>
            <w:t>公司利用可获得</w:t>
          </w:r>
          <w:r>
            <w:rPr>
              <w:rFonts w:hint="eastAsia"/>
              <w:color w:val="000000" w:themeColor="text1"/>
            </w:rPr>
            <w:t>的合理且有依据的信息，包括前瞻性信息，通过比较金融工具在资产负债表日发生违约的风险与在初始确认日发生违约的风险，以确定金融工具的信用风险自初始确认后是否已显著增加。</w:t>
          </w:r>
        </w:p>
        <w:p w:rsidR="00156DD6" w:rsidRDefault="00D51F5F">
          <w:pPr>
            <w:spacing w:line="360" w:lineRule="exact"/>
            <w:ind w:firstLineChars="200" w:firstLine="420"/>
            <w:rPr>
              <w:color w:val="000000" w:themeColor="text1"/>
            </w:rPr>
          </w:pPr>
          <w:r>
            <w:rPr>
              <w:rFonts w:hint="eastAsia"/>
              <w:color w:val="000000" w:themeColor="text1"/>
            </w:rPr>
            <w:t>于资产负债表日，若公司判断金融工具只具有较低的信用风险，则假定该金融工具的信用风险自初始确认后并未显著增加。</w:t>
          </w:r>
        </w:p>
        <w:p w:rsidR="00156DD6" w:rsidRDefault="00D51F5F">
          <w:pPr>
            <w:spacing w:line="360" w:lineRule="exact"/>
            <w:ind w:firstLineChars="200" w:firstLine="420"/>
            <w:rPr>
              <w:color w:val="000000" w:themeColor="text1"/>
            </w:rPr>
          </w:pPr>
          <w:r>
            <w:rPr>
              <w:rFonts w:hint="eastAsia"/>
              <w:color w:val="000000" w:themeColor="text1"/>
            </w:rPr>
            <w:t>公司以单项金融工具或金融工具组合为基础评估预期信用风险和计量预期信用损失。当以金融工具组合为基础时，公司以共同风险特征为依据，将金融工具划分为不同组合。</w:t>
          </w:r>
        </w:p>
        <w:p w:rsidR="00156DD6" w:rsidRDefault="00D51F5F">
          <w:pPr>
            <w:spacing w:line="360" w:lineRule="exact"/>
            <w:ind w:firstLineChars="200" w:firstLine="420"/>
            <w:rPr>
              <w:color w:val="000000" w:themeColor="text1"/>
            </w:rPr>
          </w:pPr>
          <w:r>
            <w:rPr>
              <w:rFonts w:hint="eastAsia"/>
              <w:color w:val="000000" w:themeColor="text1"/>
            </w:rPr>
            <w:t>公司在每个资产负债表日重新计量预期信用损失，由此形成的损失准备的增加或转回金额，作为减值损失或利得计入当期损益。对于以摊余成本计量的金融资产，损失准备抵减该金融资产在资产负债表中列示的账面价值；对于以公允价值计量且其变动计入其他综合收益的债权投资，公司在其他综合收益中确认其损失准备，不抵减该金融资产的账面价值。</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）金融资产和金融负债的抵销</w:t>
          </w:r>
        </w:p>
        <w:p w:rsidR="00156DD6" w:rsidRDefault="00D51F5F">
          <w:pPr>
            <w:spacing w:line="360" w:lineRule="exact"/>
            <w:ind w:firstLineChars="200" w:firstLine="420"/>
            <w:rPr>
              <w:color w:val="000000" w:themeColor="text1"/>
            </w:rPr>
          </w:pPr>
          <w:r>
            <w:rPr>
              <w:rFonts w:hint="eastAsia"/>
              <w:color w:val="000000" w:themeColor="text1"/>
            </w:rPr>
            <w:t>金融资产和金融负债在资产负债表内分别列示，不相互抵销。但同时满足下列条件的，公司以相互抵销后的净额在资产负债表内列示：</w:t>
          </w:r>
          <w:r>
            <w:rPr>
              <w:rFonts w:hint="eastAsia"/>
              <w:color w:val="000000" w:themeColor="text1"/>
            </w:rPr>
            <w:t>1</w:t>
          </w:r>
          <w:r>
            <w:rPr>
              <w:rFonts w:hint="eastAsia"/>
              <w:color w:val="000000" w:themeColor="text1"/>
            </w:rPr>
            <w:t>）公司具有抵销已确认金额的法定权利，且该种法定</w:t>
          </w:r>
          <w:r>
            <w:rPr>
              <w:rFonts w:hint="eastAsia"/>
              <w:color w:val="000000" w:themeColor="text1"/>
            </w:rPr>
            <w:t>权利是当前可执行的；</w:t>
          </w:r>
          <w:r>
            <w:rPr>
              <w:rFonts w:hint="eastAsia"/>
              <w:color w:val="000000" w:themeColor="text1"/>
            </w:rPr>
            <w:t>2</w:t>
          </w:r>
          <w:r>
            <w:rPr>
              <w:rFonts w:hint="eastAsia"/>
              <w:color w:val="000000" w:themeColor="text1"/>
            </w:rPr>
            <w:t>）公司计划以净额结算，或同时变现该金融资产和清偿该金融负债。</w:t>
          </w:r>
        </w:p>
        <w:p w:rsidR="00156DD6" w:rsidRDefault="00D51F5F">
          <w:pPr>
            <w:spacing w:line="360" w:lineRule="exact"/>
            <w:ind w:firstLineChars="200" w:firstLine="420"/>
            <w:rPr>
              <w:color w:val="000000" w:themeColor="text1"/>
            </w:rPr>
          </w:pPr>
          <w:r>
            <w:rPr>
              <w:rFonts w:hint="eastAsia"/>
              <w:color w:val="000000" w:themeColor="text1"/>
            </w:rPr>
            <w:t>不满足终止确认条件的金融资产转移，公司不对已转移的金融资产和相关负债进行抵销。</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）应收款项预期信用损失的确认标准和计提方法</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）按信用风险特征组合计提预期信用损失的应收款项</w:t>
          </w:r>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979"/>
            <w:gridCol w:w="2979"/>
          </w:tblGrid>
          <w:tr w:rsidR="00156DD6">
            <w:trPr>
              <w:trHeight w:val="397"/>
              <w:tblHeader/>
            </w:trPr>
            <w:tc>
              <w:tcPr>
                <w:tcW w:w="1624" w:type="pct"/>
                <w:vAlign w:val="center"/>
              </w:tcPr>
              <w:p w:rsidR="00156DD6" w:rsidRDefault="00D51F5F">
                <w:pPr>
                  <w:jc w:val="center"/>
                </w:pPr>
                <w:r>
                  <w:rPr>
                    <w:rFonts w:hint="eastAsia"/>
                  </w:rPr>
                  <w:t>组合类别</w:t>
                </w:r>
              </w:p>
            </w:tc>
            <w:tc>
              <w:tcPr>
                <w:tcW w:w="1688" w:type="pct"/>
                <w:vAlign w:val="center"/>
              </w:tcPr>
              <w:p w:rsidR="00156DD6" w:rsidRDefault="00D51F5F">
                <w:pPr>
                  <w:jc w:val="center"/>
                </w:pPr>
                <w:r>
                  <w:rPr>
                    <w:rFonts w:hint="eastAsia"/>
                  </w:rPr>
                  <w:t>确定组合的依据</w:t>
                </w:r>
              </w:p>
            </w:tc>
            <w:tc>
              <w:tcPr>
                <w:tcW w:w="1688" w:type="pct"/>
                <w:vAlign w:val="center"/>
              </w:tcPr>
              <w:p w:rsidR="00156DD6" w:rsidRDefault="00D51F5F">
                <w:pPr>
                  <w:jc w:val="center"/>
                </w:pPr>
                <w:r>
                  <w:rPr>
                    <w:rFonts w:hint="eastAsia"/>
                  </w:rPr>
                  <w:t>计量预期信用损失的方法</w:t>
                </w:r>
              </w:p>
            </w:tc>
          </w:tr>
          <w:tr w:rsidR="00156DD6">
            <w:trPr>
              <w:trHeight w:val="397"/>
            </w:trPr>
            <w:tc>
              <w:tcPr>
                <w:tcW w:w="1624" w:type="pct"/>
                <w:vAlign w:val="center"/>
              </w:tcPr>
              <w:p w:rsidR="00156DD6" w:rsidRDefault="00D51F5F">
                <w:pPr>
                  <w:jc w:val="both"/>
                </w:pPr>
                <w:r>
                  <w:rPr>
                    <w:rFonts w:hint="eastAsia"/>
                  </w:rPr>
                  <w:t>应收银行承兑汇票</w:t>
                </w:r>
              </w:p>
            </w:tc>
            <w:tc>
              <w:tcPr>
                <w:tcW w:w="1688" w:type="pct"/>
                <w:vMerge w:val="restart"/>
                <w:vAlign w:val="center"/>
              </w:tcPr>
              <w:p w:rsidR="00156DD6" w:rsidRDefault="00D51F5F">
                <w:pPr>
                  <w:jc w:val="both"/>
                </w:pPr>
                <w:r>
                  <w:rPr>
                    <w:rFonts w:hint="eastAsia"/>
                  </w:rPr>
                  <w:t>票据类型</w:t>
                </w:r>
              </w:p>
            </w:tc>
            <w:tc>
              <w:tcPr>
                <w:tcW w:w="1688" w:type="pct"/>
                <w:vMerge w:val="restart"/>
                <w:vAlign w:val="center"/>
              </w:tcPr>
              <w:p w:rsidR="00156DD6" w:rsidRDefault="00D51F5F">
                <w:pPr>
                  <w:jc w:val="both"/>
                </w:pPr>
                <w:r>
                  <w:rPr>
                    <w:rFonts w:hint="eastAsia"/>
                  </w:rPr>
                  <w:t>参考历史信用损失经验，结合当前状况以及对未来经济状况的预测，通过违约风险敞口和整个存续期预期信用损失率，计算预期信用损失</w:t>
                </w:r>
              </w:p>
            </w:tc>
          </w:tr>
          <w:tr w:rsidR="00156DD6">
            <w:trPr>
              <w:trHeight w:val="397"/>
            </w:trPr>
            <w:tc>
              <w:tcPr>
                <w:tcW w:w="1624" w:type="pct"/>
                <w:vAlign w:val="center"/>
              </w:tcPr>
              <w:p w:rsidR="00156DD6" w:rsidRDefault="00D51F5F">
                <w:pPr>
                  <w:jc w:val="both"/>
                </w:pPr>
                <w:r>
                  <w:rPr>
                    <w:rFonts w:hint="eastAsia"/>
                  </w:rPr>
                  <w:t>应收商业承兑汇票</w:t>
                </w:r>
              </w:p>
            </w:tc>
            <w:tc>
              <w:tcPr>
                <w:tcW w:w="1688" w:type="pct"/>
                <w:vMerge/>
                <w:vAlign w:val="center"/>
              </w:tcPr>
              <w:p w:rsidR="00156DD6" w:rsidRDefault="00156DD6">
                <w:pPr>
                  <w:jc w:val="both"/>
                </w:pPr>
              </w:p>
            </w:tc>
            <w:tc>
              <w:tcPr>
                <w:tcW w:w="1688" w:type="pct"/>
                <w:vMerge/>
                <w:vAlign w:val="center"/>
              </w:tcPr>
              <w:p w:rsidR="00156DD6" w:rsidRDefault="00156DD6">
                <w:pPr>
                  <w:jc w:val="both"/>
                </w:pPr>
              </w:p>
            </w:tc>
          </w:tr>
          <w:tr w:rsidR="00156DD6">
            <w:trPr>
              <w:trHeight w:val="397"/>
            </w:trPr>
            <w:tc>
              <w:tcPr>
                <w:tcW w:w="1624" w:type="pct"/>
                <w:vAlign w:val="center"/>
              </w:tcPr>
              <w:p w:rsidR="00156DD6" w:rsidRDefault="00D51F5F">
                <w:pPr>
                  <w:jc w:val="both"/>
                </w:pPr>
                <w:r>
                  <w:rPr>
                    <w:rFonts w:hint="eastAsia"/>
                  </w:rPr>
                  <w:t>应收财务公司承兑汇票</w:t>
                </w:r>
              </w:p>
            </w:tc>
            <w:tc>
              <w:tcPr>
                <w:tcW w:w="1688" w:type="pct"/>
                <w:vMerge/>
                <w:vAlign w:val="center"/>
              </w:tcPr>
              <w:p w:rsidR="00156DD6" w:rsidRDefault="00156DD6">
                <w:pPr>
                  <w:jc w:val="both"/>
                </w:pPr>
              </w:p>
            </w:tc>
            <w:tc>
              <w:tcPr>
                <w:tcW w:w="1688" w:type="pct"/>
                <w:vMerge/>
                <w:vAlign w:val="center"/>
              </w:tcPr>
              <w:p w:rsidR="00156DD6" w:rsidRDefault="00156DD6">
                <w:pPr>
                  <w:jc w:val="both"/>
                </w:pPr>
              </w:p>
            </w:tc>
          </w:tr>
          <w:tr w:rsidR="00156DD6">
            <w:trPr>
              <w:trHeight w:val="397"/>
            </w:trPr>
            <w:tc>
              <w:tcPr>
                <w:tcW w:w="1624" w:type="pct"/>
                <w:vAlign w:val="center"/>
              </w:tcPr>
              <w:p w:rsidR="00156DD6" w:rsidRDefault="00D51F5F">
                <w:pPr>
                  <w:jc w:val="both"/>
                </w:pPr>
                <w:r>
                  <w:rPr>
                    <w:rFonts w:hint="eastAsia"/>
                  </w:rPr>
                  <w:t>应收账款—账龄组合</w:t>
                </w:r>
              </w:p>
            </w:tc>
            <w:tc>
              <w:tcPr>
                <w:tcW w:w="1688" w:type="pct"/>
                <w:vAlign w:val="center"/>
              </w:tcPr>
              <w:p w:rsidR="00156DD6" w:rsidRDefault="00D51F5F">
                <w:pPr>
                  <w:jc w:val="both"/>
                </w:pPr>
                <w:r>
                  <w:rPr>
                    <w:rFonts w:hint="eastAsia"/>
                  </w:rPr>
                  <w:t>账龄</w:t>
                </w:r>
              </w:p>
            </w:tc>
            <w:tc>
              <w:tcPr>
                <w:tcW w:w="1688" w:type="pct"/>
                <w:vAlign w:val="center"/>
              </w:tcPr>
              <w:p w:rsidR="00156DD6" w:rsidRDefault="00D51F5F">
                <w:pPr>
                  <w:jc w:val="both"/>
                </w:pPr>
                <w:r>
                  <w:rPr>
                    <w:rFonts w:hint="eastAsia"/>
                  </w:rPr>
                  <w:t>参考历史信用损失经验，结合当前状况以及对未来经济状况的预测，编制应收账款账龄与预期信用损失率对照表，计算预期信用损失</w:t>
                </w:r>
              </w:p>
            </w:tc>
          </w:tr>
          <w:tr w:rsidR="00156DD6">
            <w:trPr>
              <w:trHeight w:val="397"/>
            </w:trPr>
            <w:tc>
              <w:tcPr>
                <w:tcW w:w="1624" w:type="pct"/>
                <w:vAlign w:val="center"/>
              </w:tcPr>
              <w:p w:rsidR="00156DD6" w:rsidRDefault="00D51F5F">
                <w:pPr>
                  <w:jc w:val="both"/>
                </w:pPr>
                <w:r>
                  <w:rPr>
                    <w:rFonts w:hint="eastAsia"/>
                  </w:rPr>
                  <w:t>应收账款—合并范围内关联方组合</w:t>
                </w:r>
              </w:p>
            </w:tc>
            <w:tc>
              <w:tcPr>
                <w:tcW w:w="1688" w:type="pct"/>
                <w:vMerge w:val="restart"/>
                <w:vAlign w:val="center"/>
              </w:tcPr>
              <w:p w:rsidR="00156DD6" w:rsidRDefault="00D51F5F">
                <w:pPr>
                  <w:jc w:val="both"/>
                </w:pPr>
                <w:r>
                  <w:rPr>
                    <w:rFonts w:hint="eastAsia"/>
                  </w:rPr>
                  <w:t>合并范围内关联方</w:t>
                </w:r>
              </w:p>
            </w:tc>
            <w:tc>
              <w:tcPr>
                <w:tcW w:w="1688" w:type="pct"/>
                <w:vMerge w:val="restart"/>
                <w:vAlign w:val="center"/>
              </w:tcPr>
              <w:p w:rsidR="00156DD6" w:rsidRDefault="00D51F5F">
                <w:pPr>
                  <w:jc w:val="both"/>
                </w:pPr>
                <w:r>
                  <w:rPr>
                    <w:rFonts w:hint="eastAsia"/>
                  </w:rPr>
                  <w:t>参考历史信用损失经验，结合当前状况以及对未来经济状况的预测，通过违约风险敞口和未来</w:t>
                </w:r>
                <w:r>
                  <w:rPr>
                    <w:rFonts w:hint="eastAsia"/>
                  </w:rPr>
                  <w:t>12</w:t>
                </w:r>
                <w:r>
                  <w:rPr>
                    <w:rFonts w:hint="eastAsia"/>
                  </w:rPr>
                  <w:t>个月内或整个存续期预期信用损失率，计算预期信用损失</w:t>
                </w:r>
              </w:p>
            </w:tc>
          </w:tr>
          <w:tr w:rsidR="00156DD6">
            <w:trPr>
              <w:trHeight w:val="397"/>
            </w:trPr>
            <w:tc>
              <w:tcPr>
                <w:tcW w:w="1624" w:type="pct"/>
                <w:vAlign w:val="center"/>
              </w:tcPr>
              <w:p w:rsidR="00156DD6" w:rsidRDefault="00D51F5F">
                <w:pPr>
                  <w:jc w:val="both"/>
                </w:pPr>
                <w:r>
                  <w:rPr>
                    <w:rFonts w:hint="eastAsia"/>
                  </w:rPr>
                  <w:t>其他应收款—合并范围内关联方组合</w:t>
                </w:r>
              </w:p>
            </w:tc>
            <w:tc>
              <w:tcPr>
                <w:tcW w:w="1688" w:type="pct"/>
                <w:vMerge/>
                <w:vAlign w:val="center"/>
              </w:tcPr>
              <w:p w:rsidR="00156DD6" w:rsidRDefault="00156DD6">
                <w:pPr>
                  <w:jc w:val="both"/>
                </w:pPr>
              </w:p>
            </w:tc>
            <w:tc>
              <w:tcPr>
                <w:tcW w:w="1688" w:type="pct"/>
                <w:vMerge/>
                <w:vAlign w:val="center"/>
              </w:tcPr>
              <w:p w:rsidR="00156DD6" w:rsidRDefault="00156DD6">
                <w:pPr>
                  <w:jc w:val="both"/>
                </w:pPr>
              </w:p>
            </w:tc>
          </w:tr>
          <w:tr w:rsidR="00156DD6">
            <w:trPr>
              <w:trHeight w:val="397"/>
            </w:trPr>
            <w:tc>
              <w:tcPr>
                <w:tcW w:w="1624" w:type="pct"/>
                <w:vAlign w:val="center"/>
              </w:tcPr>
              <w:p w:rsidR="00156DD6" w:rsidRDefault="00D51F5F">
                <w:pPr>
                  <w:jc w:val="both"/>
                </w:pPr>
                <w:r>
                  <w:rPr>
                    <w:rFonts w:hint="eastAsia"/>
                  </w:rPr>
                  <w:t>其他应收款—账龄组合</w:t>
                </w:r>
              </w:p>
            </w:tc>
            <w:tc>
              <w:tcPr>
                <w:tcW w:w="1688" w:type="pct"/>
                <w:vAlign w:val="center"/>
              </w:tcPr>
              <w:p w:rsidR="00156DD6" w:rsidRDefault="00D51F5F">
                <w:pPr>
                  <w:jc w:val="both"/>
                </w:pPr>
                <w:r>
                  <w:rPr>
                    <w:rFonts w:hint="eastAsia"/>
                  </w:rPr>
                  <w:t>账龄</w:t>
                </w:r>
              </w:p>
            </w:tc>
            <w:tc>
              <w:tcPr>
                <w:tcW w:w="1688" w:type="pct"/>
                <w:vAlign w:val="center"/>
              </w:tcPr>
              <w:p w:rsidR="00156DD6" w:rsidRDefault="00D51F5F">
                <w:pPr>
                  <w:jc w:val="both"/>
                </w:pPr>
                <w:r>
                  <w:rPr>
                    <w:rFonts w:hint="eastAsia"/>
                  </w:rPr>
                  <w:t>参考历史信用损失经验，结合当前状况以及对未来经济状况的预测，编制其他应收款账龄与预期信用损失率对照表，计算预期信用损失</w:t>
                </w:r>
              </w:p>
            </w:tc>
          </w:tr>
        </w:tbl>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）账龄组合的账龄与预期信用损失率对照表</w:t>
          </w:r>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120"/>
            <w:gridCol w:w="3298"/>
          </w:tblGrid>
          <w:tr w:rsidR="00156DD6">
            <w:trPr>
              <w:trHeight w:val="397"/>
              <w:tblHeader/>
            </w:trPr>
            <w:tc>
              <w:tcPr>
                <w:tcW w:w="1363" w:type="pct"/>
                <w:vAlign w:val="center"/>
              </w:tcPr>
              <w:p w:rsidR="00156DD6" w:rsidRDefault="00D51F5F">
                <w:pPr>
                  <w:jc w:val="center"/>
                </w:pPr>
                <w:r>
                  <w:rPr>
                    <w:rFonts w:hint="eastAsia"/>
                  </w:rPr>
                  <w:t>账</w:t>
                </w:r>
                <w:r>
                  <w:rPr>
                    <w:rFonts w:hint="eastAsia"/>
                  </w:rPr>
                  <w:t xml:space="preserve">  </w:t>
                </w:r>
                <w:r>
                  <w:rPr>
                    <w:rFonts w:hint="eastAsia"/>
                  </w:rPr>
                  <w:t>龄</w:t>
                </w:r>
              </w:p>
            </w:tc>
            <w:tc>
              <w:tcPr>
                <w:tcW w:w="1768" w:type="pct"/>
                <w:vAlign w:val="center"/>
              </w:tcPr>
              <w:p w:rsidR="00156DD6" w:rsidRDefault="00D51F5F">
                <w:pPr>
                  <w:jc w:val="center"/>
                </w:pPr>
                <w:r>
                  <w:rPr>
                    <w:rFonts w:hint="eastAsia"/>
                  </w:rPr>
                  <w:t>应收账款预期信用损失率（</w:t>
                </w:r>
                <w:r>
                  <w:rPr>
                    <w:rFonts w:hint="eastAsia"/>
                  </w:rPr>
                  <w:t>%</w:t>
                </w:r>
                <w:r>
                  <w:rPr>
                    <w:rFonts w:hint="eastAsia"/>
                  </w:rPr>
                  <w:t>）</w:t>
                </w:r>
              </w:p>
            </w:tc>
            <w:tc>
              <w:tcPr>
                <w:tcW w:w="1870" w:type="pct"/>
                <w:vAlign w:val="center"/>
              </w:tcPr>
              <w:p w:rsidR="00156DD6" w:rsidRDefault="00D51F5F">
                <w:pPr>
                  <w:jc w:val="center"/>
                </w:pPr>
                <w:r>
                  <w:rPr>
                    <w:rFonts w:hint="eastAsia"/>
                  </w:rPr>
                  <w:t>其他应收款预期信用损失率（</w:t>
                </w:r>
                <w:r>
                  <w:rPr>
                    <w:rFonts w:hint="eastAsia"/>
                  </w:rPr>
                  <w:t>%</w:t>
                </w:r>
                <w:r>
                  <w:rPr>
                    <w:rFonts w:hint="eastAsia"/>
                  </w:rPr>
                  <w:t>）</w:t>
                </w:r>
              </w:p>
            </w:tc>
          </w:tr>
          <w:tr w:rsidR="00156DD6">
            <w:trPr>
              <w:trHeight w:val="397"/>
            </w:trPr>
            <w:tc>
              <w:tcPr>
                <w:tcW w:w="1363" w:type="pct"/>
                <w:vAlign w:val="center"/>
              </w:tcPr>
              <w:p w:rsidR="00156DD6" w:rsidRDefault="00D51F5F">
                <w:pPr>
                  <w:jc w:val="both"/>
                </w:pPr>
                <w:r>
                  <w:rPr>
                    <w:rFonts w:hint="eastAsia"/>
                  </w:rPr>
                  <w:t>1</w:t>
                </w:r>
                <w:r>
                  <w:rPr>
                    <w:rFonts w:hint="eastAsia"/>
                  </w:rPr>
                  <w:t>年以内（含，下同）</w:t>
                </w:r>
              </w:p>
            </w:tc>
            <w:tc>
              <w:tcPr>
                <w:tcW w:w="1768" w:type="pct"/>
                <w:vAlign w:val="center"/>
              </w:tcPr>
              <w:p w:rsidR="00156DD6" w:rsidRDefault="00D51F5F">
                <w:pPr>
                  <w:jc w:val="center"/>
                </w:pPr>
                <w:r>
                  <w:rPr>
                    <w:rFonts w:hint="eastAsia"/>
                  </w:rPr>
                  <w:t>5.00</w:t>
                </w:r>
              </w:p>
            </w:tc>
            <w:tc>
              <w:tcPr>
                <w:tcW w:w="1870" w:type="pct"/>
                <w:vAlign w:val="center"/>
              </w:tcPr>
              <w:p w:rsidR="00156DD6" w:rsidRDefault="00D51F5F">
                <w:pPr>
                  <w:jc w:val="center"/>
                </w:pPr>
                <w:r>
                  <w:rPr>
                    <w:rFonts w:hint="eastAsia"/>
                  </w:rPr>
                  <w:t>5.00</w:t>
                </w:r>
              </w:p>
            </w:tc>
          </w:tr>
          <w:tr w:rsidR="00156DD6">
            <w:trPr>
              <w:trHeight w:val="397"/>
            </w:trPr>
            <w:tc>
              <w:tcPr>
                <w:tcW w:w="1363" w:type="pct"/>
                <w:vAlign w:val="center"/>
              </w:tcPr>
              <w:p w:rsidR="00156DD6" w:rsidRDefault="00D51F5F">
                <w:pPr>
                  <w:jc w:val="both"/>
                </w:pPr>
                <w:r>
                  <w:rPr>
                    <w:rFonts w:hint="eastAsia"/>
                  </w:rPr>
                  <w:lastRenderedPageBreak/>
                  <w:t>1-2</w:t>
                </w:r>
                <w:r>
                  <w:rPr>
                    <w:rFonts w:hint="eastAsia"/>
                  </w:rPr>
                  <w:t>年</w:t>
                </w:r>
              </w:p>
            </w:tc>
            <w:tc>
              <w:tcPr>
                <w:tcW w:w="1768" w:type="pct"/>
                <w:vAlign w:val="center"/>
              </w:tcPr>
              <w:p w:rsidR="00156DD6" w:rsidRDefault="00D51F5F">
                <w:pPr>
                  <w:jc w:val="center"/>
                </w:pPr>
                <w:r>
                  <w:rPr>
                    <w:rFonts w:hint="eastAsia"/>
                  </w:rPr>
                  <w:t>10.00</w:t>
                </w:r>
              </w:p>
            </w:tc>
            <w:tc>
              <w:tcPr>
                <w:tcW w:w="1870" w:type="pct"/>
                <w:vAlign w:val="center"/>
              </w:tcPr>
              <w:p w:rsidR="00156DD6" w:rsidRDefault="00D51F5F">
                <w:pPr>
                  <w:jc w:val="center"/>
                </w:pPr>
                <w:r>
                  <w:rPr>
                    <w:rFonts w:hint="eastAsia"/>
                  </w:rPr>
                  <w:t>10.00</w:t>
                </w:r>
              </w:p>
            </w:tc>
          </w:tr>
          <w:tr w:rsidR="00156DD6">
            <w:trPr>
              <w:trHeight w:val="397"/>
            </w:trPr>
            <w:tc>
              <w:tcPr>
                <w:tcW w:w="1363" w:type="pct"/>
                <w:vAlign w:val="center"/>
              </w:tcPr>
              <w:p w:rsidR="00156DD6" w:rsidRDefault="00D51F5F">
                <w:pPr>
                  <w:jc w:val="both"/>
                </w:pPr>
                <w:r>
                  <w:rPr>
                    <w:rFonts w:hint="eastAsia"/>
                  </w:rPr>
                  <w:t>2-3</w:t>
                </w:r>
                <w:r>
                  <w:rPr>
                    <w:rFonts w:hint="eastAsia"/>
                  </w:rPr>
                  <w:t>年</w:t>
                </w:r>
              </w:p>
            </w:tc>
            <w:tc>
              <w:tcPr>
                <w:tcW w:w="1768" w:type="pct"/>
                <w:vAlign w:val="center"/>
              </w:tcPr>
              <w:p w:rsidR="00156DD6" w:rsidRDefault="00D51F5F">
                <w:pPr>
                  <w:jc w:val="center"/>
                </w:pPr>
                <w:r>
                  <w:rPr>
                    <w:rFonts w:hint="eastAsia"/>
                  </w:rPr>
                  <w:t>20.00</w:t>
                </w:r>
              </w:p>
            </w:tc>
            <w:tc>
              <w:tcPr>
                <w:tcW w:w="1870" w:type="pct"/>
                <w:vAlign w:val="center"/>
              </w:tcPr>
              <w:p w:rsidR="00156DD6" w:rsidRDefault="00D51F5F">
                <w:pPr>
                  <w:jc w:val="center"/>
                </w:pPr>
                <w:r>
                  <w:rPr>
                    <w:rFonts w:hint="eastAsia"/>
                  </w:rPr>
                  <w:t>20.00</w:t>
                </w:r>
              </w:p>
            </w:tc>
          </w:tr>
          <w:tr w:rsidR="00156DD6">
            <w:trPr>
              <w:trHeight w:val="397"/>
            </w:trPr>
            <w:tc>
              <w:tcPr>
                <w:tcW w:w="1363" w:type="pct"/>
                <w:vAlign w:val="center"/>
              </w:tcPr>
              <w:p w:rsidR="00156DD6" w:rsidRDefault="00D51F5F">
                <w:pPr>
                  <w:jc w:val="both"/>
                </w:pPr>
                <w:r>
                  <w:rPr>
                    <w:rFonts w:hint="eastAsia"/>
                  </w:rPr>
                  <w:t>3-4</w:t>
                </w:r>
                <w:r>
                  <w:rPr>
                    <w:rFonts w:hint="eastAsia"/>
                  </w:rPr>
                  <w:t>年</w:t>
                </w:r>
              </w:p>
            </w:tc>
            <w:tc>
              <w:tcPr>
                <w:tcW w:w="1768" w:type="pct"/>
                <w:vAlign w:val="center"/>
              </w:tcPr>
              <w:p w:rsidR="00156DD6" w:rsidRDefault="00D51F5F">
                <w:pPr>
                  <w:jc w:val="center"/>
                </w:pPr>
                <w:r>
                  <w:rPr>
                    <w:rFonts w:hint="eastAsia"/>
                  </w:rPr>
                  <w:t>30.00</w:t>
                </w:r>
              </w:p>
            </w:tc>
            <w:tc>
              <w:tcPr>
                <w:tcW w:w="1870" w:type="pct"/>
                <w:vAlign w:val="center"/>
              </w:tcPr>
              <w:p w:rsidR="00156DD6" w:rsidRDefault="00D51F5F">
                <w:pPr>
                  <w:jc w:val="center"/>
                </w:pPr>
                <w:r>
                  <w:rPr>
                    <w:rFonts w:hint="eastAsia"/>
                  </w:rPr>
                  <w:t>30.00</w:t>
                </w:r>
              </w:p>
            </w:tc>
          </w:tr>
          <w:tr w:rsidR="00156DD6">
            <w:trPr>
              <w:trHeight w:val="397"/>
            </w:trPr>
            <w:tc>
              <w:tcPr>
                <w:tcW w:w="1363" w:type="pct"/>
                <w:vAlign w:val="center"/>
              </w:tcPr>
              <w:p w:rsidR="00156DD6" w:rsidRDefault="00D51F5F">
                <w:pPr>
                  <w:jc w:val="both"/>
                </w:pPr>
                <w:r>
                  <w:rPr>
                    <w:rFonts w:hint="eastAsia"/>
                  </w:rPr>
                  <w:t>4-5</w:t>
                </w:r>
                <w:r>
                  <w:rPr>
                    <w:rFonts w:hint="eastAsia"/>
                  </w:rPr>
                  <w:t>年</w:t>
                </w:r>
              </w:p>
            </w:tc>
            <w:tc>
              <w:tcPr>
                <w:tcW w:w="1768" w:type="pct"/>
                <w:vAlign w:val="center"/>
              </w:tcPr>
              <w:p w:rsidR="00156DD6" w:rsidRDefault="00D51F5F">
                <w:pPr>
                  <w:jc w:val="center"/>
                </w:pPr>
                <w:r>
                  <w:rPr>
                    <w:rFonts w:hint="eastAsia"/>
                  </w:rPr>
                  <w:t>50.00</w:t>
                </w:r>
              </w:p>
            </w:tc>
            <w:tc>
              <w:tcPr>
                <w:tcW w:w="1870" w:type="pct"/>
                <w:vAlign w:val="center"/>
              </w:tcPr>
              <w:p w:rsidR="00156DD6" w:rsidRDefault="00D51F5F">
                <w:pPr>
                  <w:jc w:val="center"/>
                </w:pPr>
                <w:r>
                  <w:rPr>
                    <w:rFonts w:hint="eastAsia"/>
                  </w:rPr>
                  <w:t>50.00</w:t>
                </w:r>
              </w:p>
            </w:tc>
          </w:tr>
          <w:tr w:rsidR="00156DD6">
            <w:trPr>
              <w:trHeight w:val="397"/>
            </w:trPr>
            <w:tc>
              <w:tcPr>
                <w:tcW w:w="1363" w:type="pct"/>
                <w:vAlign w:val="center"/>
              </w:tcPr>
              <w:p w:rsidR="00156DD6" w:rsidRDefault="00D51F5F">
                <w:pPr>
                  <w:jc w:val="both"/>
                </w:pPr>
                <w:r>
                  <w:rPr>
                    <w:rFonts w:hint="eastAsia"/>
                  </w:rPr>
                  <w:t>5</w:t>
                </w:r>
                <w:r>
                  <w:rPr>
                    <w:rFonts w:hint="eastAsia"/>
                  </w:rPr>
                  <w:t>年以上</w:t>
                </w:r>
              </w:p>
            </w:tc>
            <w:tc>
              <w:tcPr>
                <w:tcW w:w="1768" w:type="pct"/>
                <w:vAlign w:val="center"/>
              </w:tcPr>
              <w:p w:rsidR="00156DD6" w:rsidRDefault="00D51F5F">
                <w:pPr>
                  <w:jc w:val="center"/>
                </w:pPr>
                <w:r>
                  <w:rPr>
                    <w:rFonts w:hint="eastAsia"/>
                  </w:rPr>
                  <w:t>100.00</w:t>
                </w:r>
              </w:p>
            </w:tc>
            <w:tc>
              <w:tcPr>
                <w:tcW w:w="1870" w:type="pct"/>
                <w:vAlign w:val="center"/>
              </w:tcPr>
              <w:p w:rsidR="00156DD6" w:rsidRDefault="00D51F5F">
                <w:pPr>
                  <w:jc w:val="center"/>
                </w:pPr>
                <w:r>
                  <w:rPr>
                    <w:rFonts w:hint="eastAsia"/>
                  </w:rPr>
                  <w:t>100.00</w:t>
                </w:r>
              </w:p>
            </w:tc>
          </w:tr>
        </w:tbl>
        <w:p w:rsidR="00156DD6" w:rsidRDefault="00D51F5F">
          <w:pPr>
            <w:spacing w:line="360" w:lineRule="exact"/>
            <w:ind w:firstLineChars="200" w:firstLine="420"/>
            <w:rPr>
              <w:color w:val="000000" w:themeColor="text1"/>
            </w:rPr>
          </w:pPr>
          <w:r>
            <w:rPr>
              <w:rFonts w:hint="eastAsia"/>
              <w:color w:val="000000" w:themeColor="text1"/>
            </w:rPr>
            <w:t>应收账款</w:t>
          </w:r>
          <w:r>
            <w:rPr>
              <w:rFonts w:hint="eastAsia"/>
              <w:color w:val="000000" w:themeColor="text1"/>
            </w:rPr>
            <w:t>/</w:t>
          </w:r>
          <w:r>
            <w:rPr>
              <w:rFonts w:hint="eastAsia"/>
              <w:color w:val="000000" w:themeColor="text1"/>
            </w:rPr>
            <w:t>其他应收款的账龄自初始确认日起算。</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）按单项计提预期信用损失的应收款项和合同资产的认定标准</w:t>
          </w:r>
        </w:p>
        <w:p w:rsidR="00156DD6" w:rsidRDefault="00D51F5F">
          <w:pPr>
            <w:spacing w:line="360" w:lineRule="exact"/>
            <w:ind w:firstLineChars="200" w:firstLine="420"/>
            <w:rPr>
              <w:color w:val="000000" w:themeColor="text1"/>
            </w:rPr>
          </w:pPr>
          <w:r>
            <w:rPr>
              <w:rFonts w:hint="eastAsia"/>
              <w:color w:val="000000" w:themeColor="text1"/>
            </w:rPr>
            <w:t>对信用风险与组合信用风险显著不同的应收款项和合同资产，公司按单项计提预期信用损失。</w:t>
          </w:r>
        </w:p>
      </w:sdtContent>
    </w:sdt>
    <w:p w:rsidR="00156DD6" w:rsidRDefault="00D51F5F">
      <w:pPr>
        <w:pStyle w:val="TOC6"/>
        <w:numPr>
          <w:ilvl w:val="0"/>
          <w:numId w:val="36"/>
        </w:numPr>
        <w:rPr>
          <w:rFonts w:ascii="宋体" w:hAnsi="宋体"/>
          <w:color w:val="000000" w:themeColor="text1"/>
          <w:sz w:val="21"/>
          <w:szCs w:val="21"/>
        </w:rPr>
      </w:pPr>
      <w:bookmarkStart w:id="180" w:name="_Hlk533667757"/>
      <w:bookmarkStart w:id="181" w:name="_Hlk167809825"/>
      <w:r>
        <w:rPr>
          <w:rFonts w:ascii="宋体" w:hAnsi="宋体"/>
          <w:color w:val="000000" w:themeColor="text1"/>
          <w:sz w:val="21"/>
          <w:szCs w:val="21"/>
        </w:rPr>
        <w:t>应收票据</w:t>
      </w:r>
    </w:p>
    <w:sdt>
      <w:sdtPr>
        <w:rPr>
          <w:color w:val="000000" w:themeColor="text1"/>
        </w:rPr>
        <w:alias w:val="是否适用：应收票据_重要会计政策和估计[双击切换]"/>
        <w:tag w:val="_GBC_aefda35d1a7148f0844e33d721703cda"/>
        <w:id w:val="-77146643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End w:id="180"/>
    <w:p w:rsidR="00156DD6" w:rsidRDefault="00D51F5F">
      <w:pPr>
        <w:rPr>
          <w:rFonts w:cs="Times New Roman"/>
          <w:b/>
          <w:color w:val="000000" w:themeColor="text1"/>
          <w:kern w:val="2"/>
        </w:rPr>
      </w:pPr>
      <w:r>
        <w:rPr>
          <w:rFonts w:cs="Times New Roman"/>
          <w:b/>
          <w:color w:val="000000" w:themeColor="text1"/>
          <w:kern w:val="2"/>
        </w:rPr>
        <w:t>按照信用风险特征组合计提坏账准备的组合类别及确定依据</w:t>
      </w:r>
    </w:p>
    <w:sdt>
      <w:sdtPr>
        <w:rPr>
          <w:color w:val="000000" w:themeColor="text1"/>
        </w:rPr>
        <w:alias w:val="是否适用：应收票据按照信用风险特征组合计提坏账准备的组合类别及确定依据[双击切换]"/>
        <w:tag w:val="_GBC_6949617b516947f48c32672b1d486a5b"/>
        <w:id w:val="-15607543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应收票据按照信用风险特征组合计提坏账准备的组合类别及确定依据"/>
        <w:tag w:val="_GBC_1062e1c58d3c4ef4bca492c1e513cad2"/>
        <w:id w:val="94987913"/>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rPr>
          <w:rFonts w:cs="Times New Roman"/>
          <w:b/>
          <w:color w:val="000000" w:themeColor="text1"/>
          <w:kern w:val="2"/>
        </w:rPr>
      </w:pPr>
      <w:r>
        <w:rPr>
          <w:rFonts w:cs="Times New Roman"/>
          <w:b/>
          <w:color w:val="000000" w:themeColor="text1"/>
          <w:kern w:val="2"/>
        </w:rPr>
        <w:t>基于账龄确认信用风险特征组合的账龄计算方法</w:t>
      </w:r>
    </w:p>
    <w:sdt>
      <w:sdtPr>
        <w:rPr>
          <w:color w:val="000000" w:themeColor="text1"/>
        </w:rPr>
        <w:alias w:val="是否适用：应收票据基于账龄确认信用风险特征组合的账龄计算方法[双击切换]"/>
        <w:tag w:val="_GBC_65e77abc757c44a39f32a7fae1f5da22"/>
        <w:id w:val="-7721431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应收票据基于账龄确认信用风险特征组合的账龄计算方法"/>
        <w:tag w:val="_GBC_394187d2c39247acae82ce34a8553271"/>
        <w:id w:val="-182434726"/>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rPr>
          <w:rFonts w:cs="Times New Roman"/>
          <w:b/>
          <w:color w:val="000000" w:themeColor="text1"/>
          <w:kern w:val="2"/>
        </w:rPr>
      </w:pPr>
      <w:r>
        <w:rPr>
          <w:rFonts w:cs="Times New Roman"/>
          <w:b/>
          <w:color w:val="000000" w:themeColor="text1"/>
          <w:kern w:val="2"/>
        </w:rPr>
        <w:t>按照单项计提坏账准备的单项计提判断标准</w:t>
      </w:r>
    </w:p>
    <w:sdt>
      <w:sdtPr>
        <w:rPr>
          <w:color w:val="000000" w:themeColor="text1"/>
        </w:rPr>
        <w:alias w:val="是否适用：应收票据按照单项计提坏账准备的单项计提判断标准[双击切换]"/>
        <w:tag w:val="_GBC_1bf4baad09e74a3fb93e3d4c5a63530e"/>
        <w:id w:val="-191824457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w:instrText>
          </w:r>
          <w:r>
            <w:rPr>
              <w:color w:val="000000" w:themeColor="text1"/>
            </w:rPr>
            <w:instrText>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应收票据按照单项计提坏账准备的单项计提判断标准"/>
        <w:tag w:val="_GBC_bda178db73f64a379756cf6dbe566e83"/>
        <w:id w:val="-1137176009"/>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pStyle w:val="TOC6"/>
        <w:numPr>
          <w:ilvl w:val="0"/>
          <w:numId w:val="36"/>
        </w:numPr>
        <w:rPr>
          <w:rFonts w:ascii="宋体" w:hAnsi="宋体"/>
          <w:color w:val="000000" w:themeColor="text1"/>
          <w:sz w:val="21"/>
          <w:szCs w:val="21"/>
        </w:rPr>
      </w:pPr>
      <w:bookmarkStart w:id="182" w:name="_Hlk533667783"/>
      <w:bookmarkStart w:id="183" w:name="_Hlk152690378"/>
      <w:r>
        <w:rPr>
          <w:rFonts w:ascii="宋体" w:hAnsi="宋体"/>
          <w:color w:val="000000" w:themeColor="text1"/>
          <w:sz w:val="21"/>
          <w:szCs w:val="21"/>
        </w:rPr>
        <w:t>应收账款</w:t>
      </w:r>
    </w:p>
    <w:sdt>
      <w:sdtPr>
        <w:rPr>
          <w:rFonts w:hint="eastAsia"/>
          <w:color w:val="000000" w:themeColor="text1"/>
        </w:rPr>
        <w:alias w:val="是否适用：应收账款_重要会计政策和估计[双击切换]"/>
        <w:tag w:val="_GBC_9bb0ad4fd90e4860a048c5c1b42cdc17"/>
        <w:id w:val="18078579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End w:id="182"/>
    <w:bookmarkEnd w:id="183"/>
    <w:p w:rsidR="00156DD6" w:rsidRDefault="00D51F5F">
      <w:pPr>
        <w:rPr>
          <w:rFonts w:cs="Times New Roman"/>
          <w:b/>
          <w:color w:val="000000" w:themeColor="text1"/>
          <w:kern w:val="2"/>
        </w:rPr>
      </w:pPr>
      <w:r>
        <w:rPr>
          <w:rFonts w:cs="Times New Roman"/>
          <w:b/>
          <w:color w:val="000000" w:themeColor="text1"/>
          <w:kern w:val="2"/>
        </w:rPr>
        <w:t>按照信用风险特征组合计提坏账准备的组合类别及确定依据</w:t>
      </w:r>
    </w:p>
    <w:sdt>
      <w:sdtPr>
        <w:rPr>
          <w:color w:val="000000" w:themeColor="text1"/>
        </w:rPr>
        <w:alias w:val="是否适用：应收账款按照信用风险特征组合计提坏账准备的组合类别及确定依据[双击切换]"/>
        <w:tag w:val="_GBC_e449a3926afc4ff1a9407716d384d444"/>
        <w:id w:val="-207518582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应收账款按照信用风险特征组合计提坏账准备的组合类别及确定依据"/>
        <w:tag w:val="_GBC_16b22a4b7b8c483dac42f07fc6ac4bc2"/>
        <w:id w:val="-1882621511"/>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rPr>
          <w:rFonts w:cs="Times New Roman"/>
          <w:b/>
          <w:color w:val="000000" w:themeColor="text1"/>
          <w:kern w:val="2"/>
        </w:rPr>
      </w:pPr>
      <w:r>
        <w:rPr>
          <w:rFonts w:cs="Times New Roman"/>
          <w:b/>
          <w:color w:val="000000" w:themeColor="text1"/>
          <w:kern w:val="2"/>
        </w:rPr>
        <w:t>基于账龄确认信用风险特征组合的账龄计算方法</w:t>
      </w:r>
    </w:p>
    <w:sdt>
      <w:sdtPr>
        <w:rPr>
          <w:color w:val="000000" w:themeColor="text1"/>
        </w:rPr>
        <w:alias w:val="是否适用：应收账款基于账龄确认信用风险特征组合的账龄计算方法[双击切换]"/>
        <w:tag w:val="_GBC_a30f82acbfab40128924b158366b4a73"/>
        <w:id w:val="34583733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应收账款基于账龄确认信用风险特征组合的账龄计算方法"/>
        <w:tag w:val="_GBC_b5bf8a2c04eb4b5b905005b0fbc7b697"/>
        <w:id w:val="1869874627"/>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rPr>
          <w:rFonts w:cs="Times New Roman"/>
          <w:b/>
          <w:color w:val="000000" w:themeColor="text1"/>
          <w:kern w:val="2"/>
        </w:rPr>
      </w:pPr>
      <w:r>
        <w:rPr>
          <w:rFonts w:cs="Times New Roman"/>
          <w:b/>
          <w:color w:val="000000" w:themeColor="text1"/>
          <w:kern w:val="2"/>
        </w:rPr>
        <w:t>按照单项计提坏账准备的认定单项计提判断标准</w:t>
      </w:r>
    </w:p>
    <w:sdt>
      <w:sdtPr>
        <w:rPr>
          <w:color w:val="000000" w:themeColor="text1"/>
        </w:rPr>
        <w:alias w:val="是否适用：应收账款按照单项计提坏账准备的单项计提判断标准[双击切换]"/>
        <w:tag w:val="_GBC_ee9e87b79c8a492885f71b93a5fcd48d"/>
        <w:id w:val="152660567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应收账款按照单项计提坏账准备的单项计提判断标准"/>
        <w:tag w:val="_GBC_b895356990fa48cc8b1ad33cc5cda698"/>
        <w:id w:val="-1975433407"/>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pStyle w:val="TOC6"/>
        <w:numPr>
          <w:ilvl w:val="0"/>
          <w:numId w:val="36"/>
        </w:numPr>
        <w:rPr>
          <w:rFonts w:ascii="宋体" w:hAnsi="宋体"/>
          <w:color w:val="000000" w:themeColor="text1"/>
          <w:sz w:val="21"/>
          <w:szCs w:val="21"/>
        </w:rPr>
      </w:pPr>
      <w:bookmarkStart w:id="184" w:name="_Hlk24102310"/>
      <w:bookmarkStart w:id="185" w:name="_Hlk152690443"/>
      <w:r>
        <w:rPr>
          <w:rFonts w:ascii="宋体" w:hAnsi="宋体"/>
          <w:color w:val="000000" w:themeColor="text1"/>
          <w:sz w:val="21"/>
          <w:szCs w:val="21"/>
        </w:rPr>
        <w:t>应收款项融资</w:t>
      </w:r>
    </w:p>
    <w:sdt>
      <w:sdtPr>
        <w:rPr>
          <w:color w:val="000000" w:themeColor="text1"/>
        </w:rPr>
        <w:alias w:val="是否适用：应收款项融资_重要会计政策和估计[双击切换]"/>
        <w:tag w:val="_GBC_47906a8d31c54a72891112f417e1058d"/>
        <w:id w:val="-85618856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End w:id="184"/>
    <w:bookmarkEnd w:id="185"/>
    <w:p w:rsidR="00156DD6" w:rsidRDefault="00D51F5F">
      <w:pPr>
        <w:rPr>
          <w:rFonts w:cs="Times New Roman"/>
          <w:b/>
          <w:color w:val="000000" w:themeColor="text1"/>
          <w:kern w:val="2"/>
        </w:rPr>
      </w:pPr>
      <w:r>
        <w:rPr>
          <w:rFonts w:cs="Times New Roman"/>
          <w:b/>
          <w:color w:val="000000" w:themeColor="text1"/>
          <w:kern w:val="2"/>
        </w:rPr>
        <w:t>按照信用风险特征组合计提坏账准备的组合类别及确定依据</w:t>
      </w:r>
    </w:p>
    <w:sdt>
      <w:sdtPr>
        <w:rPr>
          <w:color w:val="000000" w:themeColor="text1"/>
        </w:rPr>
        <w:alias w:val="是否适用：应收款项融资按照信用风险特征组合计提坏账准备的组合类别及确定依据[双击切换]"/>
        <w:tag w:val="_GBC_991c72bbcc9e4545985776851a67e9f5"/>
        <w:id w:val="-57520128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应收款项融资按照信用风险特征组合计提坏账准备的组合类别及确定依据"/>
        <w:tag w:val="_GBC_e001404223de4b32980aa3a5b54f2b74"/>
        <w:id w:val="-1195220870"/>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rPr>
          <w:rFonts w:cs="Times New Roman"/>
          <w:b/>
          <w:color w:val="000000" w:themeColor="text1"/>
          <w:kern w:val="2"/>
        </w:rPr>
      </w:pPr>
      <w:r>
        <w:rPr>
          <w:rFonts w:cs="Times New Roman"/>
          <w:b/>
          <w:color w:val="000000" w:themeColor="text1"/>
          <w:kern w:val="2"/>
        </w:rPr>
        <w:t>基于账龄确认信用风险特征组合的账龄计算方法</w:t>
      </w:r>
    </w:p>
    <w:sdt>
      <w:sdtPr>
        <w:rPr>
          <w:color w:val="000000" w:themeColor="text1"/>
        </w:rPr>
        <w:alias w:val="是否适用：应收款项融资基于账龄确认信用风险特征组合的账龄计算方法[双击切换]"/>
        <w:tag w:val="_GBC_ed4ac302bc6f4dee85e2b543d38e4b3e"/>
        <w:id w:val="-204944982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应收款项融资基于账龄确认信用风险特征组合的账龄计算方法"/>
        <w:tag w:val="_GBC_dd9635a615ab425aaaec1feb5c3c6f6b"/>
        <w:id w:val="620120689"/>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rPr>
          <w:rFonts w:cs="Times New Roman"/>
          <w:b/>
          <w:color w:val="000000" w:themeColor="text1"/>
          <w:kern w:val="2"/>
        </w:rPr>
      </w:pPr>
      <w:r>
        <w:rPr>
          <w:rFonts w:cs="Times New Roman"/>
          <w:b/>
          <w:color w:val="000000" w:themeColor="text1"/>
          <w:kern w:val="2"/>
        </w:rPr>
        <w:t>按照单项计提坏账准备的单项计提判断标准</w:t>
      </w:r>
    </w:p>
    <w:sdt>
      <w:sdtPr>
        <w:rPr>
          <w:color w:val="000000" w:themeColor="text1"/>
        </w:rPr>
        <w:alias w:val="是否适用：应收款项融资按照单项计提坏账准备的单项计提判断标准[双击切换]"/>
        <w:tag w:val="_GBC_da1ff8ccd2084f059e028af496d67278"/>
        <w:id w:val="43163646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应收款项融资按照单项计提坏账准备的单项计提判断标准"/>
        <w:tag w:val="_GBC_6b04e4650f0645ff867d0c4ec58b44d2"/>
        <w:id w:val="-2036111273"/>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pStyle w:val="TOC6"/>
        <w:numPr>
          <w:ilvl w:val="0"/>
          <w:numId w:val="36"/>
        </w:numPr>
        <w:rPr>
          <w:rFonts w:ascii="宋体" w:hAnsi="宋体"/>
          <w:color w:val="000000" w:themeColor="text1"/>
          <w:sz w:val="21"/>
          <w:szCs w:val="21"/>
        </w:rPr>
      </w:pPr>
      <w:bookmarkStart w:id="186" w:name="_Hlk533667836"/>
      <w:r>
        <w:rPr>
          <w:rFonts w:ascii="宋体" w:hAnsi="宋体"/>
          <w:color w:val="000000" w:themeColor="text1"/>
          <w:sz w:val="21"/>
          <w:szCs w:val="21"/>
        </w:rPr>
        <w:lastRenderedPageBreak/>
        <w:t>其他应收款</w:t>
      </w:r>
    </w:p>
    <w:sdt>
      <w:sdtPr>
        <w:rPr>
          <w:rFonts w:hint="eastAsia"/>
          <w:color w:val="000000" w:themeColor="text1"/>
        </w:rPr>
        <w:alias w:val="是否适用：其他应收款_重要会计政策和估计[双击切换]"/>
        <w:tag w:val="_GBC_dfe58b09048a4951b32b48ce6a3930aa"/>
        <w:id w:val="95869080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End w:id="186"/>
    <w:p w:rsidR="00156DD6" w:rsidRDefault="00D51F5F">
      <w:pPr>
        <w:rPr>
          <w:rFonts w:cs="Times New Roman"/>
          <w:b/>
          <w:color w:val="000000" w:themeColor="text1"/>
          <w:kern w:val="2"/>
        </w:rPr>
      </w:pPr>
      <w:r>
        <w:rPr>
          <w:rFonts w:cs="Times New Roman"/>
          <w:b/>
          <w:color w:val="000000" w:themeColor="text1"/>
          <w:kern w:val="2"/>
        </w:rPr>
        <w:t>按照信用风险特征组合计提坏账准备的组合类别及确定依据</w:t>
      </w:r>
    </w:p>
    <w:sdt>
      <w:sdtPr>
        <w:rPr>
          <w:color w:val="000000" w:themeColor="text1"/>
        </w:rPr>
        <w:alias w:val="是否适用：其他应收款按照信用风险特征组合计提坏账准备的组合类别及确定依据[双击切换]"/>
        <w:tag w:val="_GBC_9e16f620387d402e9e85b4fe910b3b32"/>
        <w:id w:val="32293413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其他应收款按照信用风险特征组合计提坏账准备的组合类别及确定依据"/>
        <w:tag w:val="_GBC_09d041e587b1414ca6dcd8a2b8f31b9f"/>
        <w:id w:val="-1323737873"/>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rPr>
          <w:rFonts w:cs="Times New Roman"/>
          <w:b/>
          <w:color w:val="000000" w:themeColor="text1"/>
          <w:kern w:val="2"/>
        </w:rPr>
      </w:pPr>
      <w:r>
        <w:rPr>
          <w:rFonts w:cs="Times New Roman"/>
          <w:b/>
          <w:color w:val="000000" w:themeColor="text1"/>
          <w:kern w:val="2"/>
        </w:rPr>
        <w:t>基于账龄确认信用风险特征组合的账龄计算方法</w:t>
      </w:r>
    </w:p>
    <w:sdt>
      <w:sdtPr>
        <w:rPr>
          <w:color w:val="000000" w:themeColor="text1"/>
        </w:rPr>
        <w:alias w:val="是否适用：其他应收款基于账龄确认信用风险特征组合的账龄计算方法[双击切换]"/>
        <w:tag w:val="_GBC_9dc6468b16fc492b8e1d15acd1f8b57f"/>
        <w:id w:val="-163101072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其他应收款基于账龄确认信用风险特征组合的账龄计算方法"/>
        <w:tag w:val="_GBC_46c06c8585504e508591bc85e38076b2"/>
        <w:id w:val="-911462406"/>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rPr>
          <w:rFonts w:cs="Times New Roman"/>
          <w:b/>
          <w:color w:val="000000" w:themeColor="text1"/>
          <w:kern w:val="2"/>
        </w:rPr>
      </w:pPr>
      <w:r>
        <w:rPr>
          <w:rFonts w:cs="Times New Roman"/>
          <w:b/>
          <w:color w:val="000000" w:themeColor="text1"/>
          <w:kern w:val="2"/>
        </w:rPr>
        <w:t>按照单项计提坏账准备的单项计提判断标准</w:t>
      </w:r>
    </w:p>
    <w:sdt>
      <w:sdtPr>
        <w:rPr>
          <w:color w:val="000000" w:themeColor="text1"/>
        </w:rPr>
        <w:alias w:val="是否适用：其他应收款按照单项计提坏账准备的单项计提判断标准[双击切换]"/>
        <w:tag w:val="_GBC_43f3d12bb3b0461b9d295770acd831d1"/>
        <w:id w:val="-91239458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其他应收款按照单项计提坏账准备的单项计提判断标准"/>
        <w:tag w:val="_GBC_68249e7c8a0845c297b91eadc4fe5514"/>
        <w:id w:val="-141968179"/>
        <w:placeholder>
          <w:docPart w:val="GBC22222222222222222222222222222"/>
        </w:placeholder>
      </w:sdtPr>
      <w:sdtEndPr/>
      <w:sdtContent>
        <w:p w:rsidR="00156DD6" w:rsidRDefault="00D51F5F">
          <w:pPr>
            <w:rPr>
              <w:color w:val="000000" w:themeColor="text1"/>
            </w:rPr>
          </w:pPr>
          <w:r>
            <w:rPr>
              <w:rFonts w:hint="eastAsia"/>
              <w:color w:val="000000" w:themeColor="text1"/>
            </w:rPr>
            <w:t>详见“第八节</w:t>
          </w:r>
          <w:r>
            <w:rPr>
              <w:rFonts w:hint="eastAsia"/>
              <w:color w:val="000000" w:themeColor="text1"/>
            </w:rPr>
            <w:t>.</w:t>
          </w:r>
          <w:r>
            <w:rPr>
              <w:rFonts w:hint="eastAsia"/>
              <w:color w:val="000000" w:themeColor="text1"/>
            </w:rPr>
            <w:t>五、重要会计政策及会计估计</w:t>
          </w:r>
          <w:r>
            <w:rPr>
              <w:rFonts w:hint="eastAsia"/>
              <w:color w:val="000000" w:themeColor="text1"/>
            </w:rPr>
            <w:t>.11</w:t>
          </w:r>
          <w:r>
            <w:rPr>
              <w:rFonts w:hint="eastAsia"/>
              <w:color w:val="000000" w:themeColor="text1"/>
            </w:rPr>
            <w:t>、金融工具”。</w:t>
          </w:r>
        </w:p>
      </w:sdtContent>
    </w:sdt>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存货</w:t>
      </w:r>
    </w:p>
    <w:sdt>
      <w:sdtPr>
        <w:rPr>
          <w:rFonts w:hint="eastAsia"/>
          <w:color w:val="000000" w:themeColor="text1"/>
        </w:rPr>
        <w:alias w:val="是否适用：存货_重要会计政策和估计[双击切换]"/>
        <w:tag w:val="_GBC_517cddca0e1f4d4bb5ef2c4a3d049269"/>
        <w:id w:val="193770039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rPr>
          <w:rFonts w:cs="Times New Roman"/>
          <w:b/>
          <w:color w:val="000000" w:themeColor="text1"/>
          <w:kern w:val="2"/>
        </w:rPr>
      </w:pPr>
      <w:bookmarkStart w:id="187" w:name="_Hlk152678121"/>
      <w:r>
        <w:rPr>
          <w:rFonts w:cs="Times New Roman"/>
          <w:b/>
          <w:color w:val="000000" w:themeColor="text1"/>
          <w:kern w:val="2"/>
        </w:rPr>
        <w:t>存货</w:t>
      </w:r>
      <w:r>
        <w:rPr>
          <w:rFonts w:cs="Times New Roman" w:hint="eastAsia"/>
          <w:b/>
          <w:color w:val="000000" w:themeColor="text1"/>
          <w:kern w:val="2"/>
        </w:rPr>
        <w:t>类别、发出计价方法、盘存制度、低值易耗品和包装物的摊销方法</w:t>
      </w:r>
    </w:p>
    <w:bookmarkEnd w:id="187" w:displacedByCustomXml="next"/>
    <w:sdt>
      <w:sdtPr>
        <w:rPr>
          <w:color w:val="000000" w:themeColor="text1"/>
        </w:rPr>
        <w:alias w:val="是否适用：存货类别、发出计价方法、盘存制度、低值易耗品和包装物的摊销方法[双击切换]"/>
        <w:tag w:val="_GBC_a0dd59db9daa43019390412c5246a774"/>
        <w:id w:val="-138409144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存货类别、发出计价方法、盘存制度、低值易耗品和包装物的摊销方法"/>
        <w:tag w:val="_GBC_4c0ac6dfbfb04e56bc0dd3a35b636c52"/>
        <w:id w:val="-973603340"/>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）存货的分类</w:t>
          </w:r>
        </w:p>
        <w:p w:rsidR="00156DD6" w:rsidRDefault="00D51F5F">
          <w:pPr>
            <w:spacing w:line="360" w:lineRule="exact"/>
            <w:ind w:firstLineChars="200" w:firstLine="420"/>
            <w:rPr>
              <w:color w:val="000000" w:themeColor="text1"/>
            </w:rPr>
          </w:pPr>
          <w:r>
            <w:rPr>
              <w:rFonts w:hint="eastAsia"/>
              <w:color w:val="000000" w:themeColor="text1"/>
            </w:rPr>
            <w:t>存货包括在日常活动中持有以备出售的产成品或商品、处在生产过程中的在产品、在生产过程或提供劳务过程中耗用的材料和物料等。主要包括原材料、委托加工材料、在产品、产成品（库存商品）、发出商品等。</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）发出存货的计价方法</w:t>
          </w:r>
        </w:p>
        <w:p w:rsidR="00156DD6" w:rsidRDefault="00D51F5F">
          <w:pPr>
            <w:spacing w:line="360" w:lineRule="exact"/>
            <w:ind w:firstLineChars="200" w:firstLine="420"/>
            <w:rPr>
              <w:color w:val="000000" w:themeColor="text1"/>
            </w:rPr>
          </w:pPr>
          <w:r>
            <w:rPr>
              <w:rFonts w:hint="eastAsia"/>
              <w:color w:val="000000" w:themeColor="text1"/>
            </w:rPr>
            <w:t>发出存货采用月末一次加权平均法。</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）存货的盘存制度</w:t>
          </w:r>
        </w:p>
        <w:p w:rsidR="00156DD6" w:rsidRDefault="00D51F5F">
          <w:pPr>
            <w:spacing w:line="360" w:lineRule="exact"/>
            <w:ind w:firstLineChars="200" w:firstLine="420"/>
            <w:rPr>
              <w:color w:val="000000" w:themeColor="text1"/>
            </w:rPr>
          </w:pPr>
          <w:r>
            <w:rPr>
              <w:rFonts w:hint="eastAsia"/>
              <w:color w:val="000000" w:themeColor="text1"/>
            </w:rPr>
            <w:t>存货的盘存制度为永续盘存制。</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）低值易耗品和包装物的摊销方</w:t>
          </w:r>
          <w:r>
            <w:rPr>
              <w:rFonts w:hint="eastAsia"/>
              <w:color w:val="000000" w:themeColor="text1"/>
            </w:rPr>
            <w:t>法</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）低值易耗品</w:t>
          </w:r>
        </w:p>
        <w:p w:rsidR="00156DD6" w:rsidRDefault="00D51F5F">
          <w:pPr>
            <w:spacing w:line="360" w:lineRule="exact"/>
            <w:ind w:firstLineChars="200" w:firstLine="420"/>
            <w:rPr>
              <w:color w:val="000000" w:themeColor="text1"/>
            </w:rPr>
          </w:pPr>
          <w:r>
            <w:rPr>
              <w:rFonts w:hint="eastAsia"/>
              <w:color w:val="000000" w:themeColor="text1"/>
            </w:rPr>
            <w:t>按照一次转销法进行摊销。</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）包装物</w:t>
          </w:r>
        </w:p>
        <w:p w:rsidR="00156DD6" w:rsidRDefault="00D51F5F">
          <w:pPr>
            <w:spacing w:line="360" w:lineRule="exact"/>
            <w:ind w:firstLineChars="200" w:firstLine="420"/>
            <w:rPr>
              <w:color w:val="000000" w:themeColor="text1"/>
            </w:rPr>
          </w:pPr>
          <w:r>
            <w:rPr>
              <w:rFonts w:hint="eastAsia"/>
              <w:color w:val="000000" w:themeColor="text1"/>
            </w:rPr>
            <w:t>按照一次转销法进行摊销。</w:t>
          </w:r>
        </w:p>
      </w:sdtContent>
    </w:sdt>
    <w:p w:rsidR="00156DD6" w:rsidRDefault="00D51F5F">
      <w:pPr>
        <w:rPr>
          <w:rFonts w:cs="Times New Roman"/>
          <w:b/>
          <w:color w:val="000000" w:themeColor="text1"/>
          <w:kern w:val="2"/>
        </w:rPr>
      </w:pPr>
      <w:r>
        <w:rPr>
          <w:rFonts w:cs="Times New Roman"/>
          <w:b/>
          <w:color w:val="000000" w:themeColor="text1"/>
          <w:kern w:val="2"/>
        </w:rPr>
        <w:t>存货跌价准备的确认标准和计提方法</w:t>
      </w:r>
    </w:p>
    <w:sdt>
      <w:sdtPr>
        <w:rPr>
          <w:color w:val="000000" w:themeColor="text1"/>
        </w:rPr>
        <w:alias w:val="是否适用：存货跌价准备的确认标准和计提方法[双击切换]"/>
        <w:tag w:val="_GBC_193ccfcb63424273902a6a08c94807b7"/>
        <w:id w:val="-22746053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存货跌价准备的确认标准和计提方法"/>
        <w:tag w:val="_GBC_d61a6b98d0f44b4a8162d7dd318ee8d8"/>
        <w:id w:val="-873612929"/>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资产负债表日，存货采用成本与可变现净值孰低计量，按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w:t>
          </w:r>
          <w:r>
            <w:rPr>
              <w:rFonts w:hint="eastAsia"/>
              <w:color w:val="000000" w:themeColor="text1"/>
            </w:rPr>
            <w:t>额。</w:t>
          </w:r>
        </w:p>
      </w:sdtContent>
    </w:sdt>
    <w:p w:rsidR="00156DD6" w:rsidRDefault="00D51F5F">
      <w:pPr>
        <w:rPr>
          <w:rFonts w:cs="Times New Roman"/>
          <w:b/>
          <w:color w:val="000000" w:themeColor="text1"/>
          <w:kern w:val="2"/>
        </w:rPr>
      </w:pPr>
      <w:r>
        <w:rPr>
          <w:rFonts w:cs="Times New Roman"/>
          <w:b/>
          <w:color w:val="000000" w:themeColor="text1"/>
          <w:kern w:val="2"/>
        </w:rPr>
        <w:t>按照组合计提存货跌价准备的组合类别及确定依据</w:t>
      </w:r>
      <w:r>
        <w:rPr>
          <w:rFonts w:cs="Times New Roman" w:hint="eastAsia"/>
          <w:b/>
          <w:color w:val="000000" w:themeColor="text1"/>
          <w:kern w:val="2"/>
        </w:rPr>
        <w:t>、</w:t>
      </w:r>
      <w:r>
        <w:rPr>
          <w:rFonts w:hint="eastAsia"/>
          <w:b/>
          <w:color w:val="000000" w:themeColor="text1"/>
        </w:rPr>
        <w:t>不同类别存货可变现净值的确定依据</w:t>
      </w:r>
    </w:p>
    <w:sdt>
      <w:sdtPr>
        <w:rPr>
          <w:color w:val="000000" w:themeColor="text1"/>
        </w:rPr>
        <w:alias w:val="是否适用：按照组合计提存货跌价准备的组合类别及确定依据、不同类别存货可变现净值的确定依据[双击切换]"/>
        <w:tag w:val="_GBC_6fb7683a95e64eb590d6d510a9774226"/>
        <w:id w:val="-179620388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cs="Times New Roman"/>
          <w:b/>
          <w:color w:val="000000" w:themeColor="text1"/>
          <w:kern w:val="2"/>
        </w:rPr>
      </w:pPr>
      <w:r>
        <w:rPr>
          <w:rFonts w:cs="Times New Roman"/>
          <w:b/>
          <w:color w:val="000000" w:themeColor="text1"/>
          <w:kern w:val="2"/>
        </w:rPr>
        <w:t>基于库龄确认存货可变现净值的各库龄组合可变现净值的计算方法和确定依据</w:t>
      </w:r>
    </w:p>
    <w:sdt>
      <w:sdtPr>
        <w:rPr>
          <w:color w:val="000000" w:themeColor="text1"/>
        </w:rPr>
        <w:alias w:val="是否适用：基于库龄确认存货可变现净值的各库龄组合可变现净值的计算方法和确定依据[双击切换]"/>
        <w:tag w:val="_GBC_16ecfef990ce404c873906cd3cd4dea4"/>
        <w:id w:val="103484795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36"/>
        </w:numPr>
        <w:rPr>
          <w:rFonts w:ascii="宋体" w:hAnsi="宋体"/>
          <w:color w:val="000000" w:themeColor="text1"/>
          <w:sz w:val="21"/>
          <w:szCs w:val="21"/>
        </w:rPr>
      </w:pPr>
      <w:bookmarkStart w:id="188" w:name="_Hlk533667851"/>
      <w:r>
        <w:rPr>
          <w:rFonts w:ascii="宋体" w:hAnsi="宋体"/>
          <w:color w:val="000000" w:themeColor="text1"/>
          <w:sz w:val="21"/>
          <w:szCs w:val="21"/>
        </w:rPr>
        <w:t>合同资产</w:t>
      </w:r>
    </w:p>
    <w:sdt>
      <w:sdtPr>
        <w:rPr>
          <w:rFonts w:hint="eastAsia"/>
          <w:color w:val="000000" w:themeColor="text1"/>
        </w:rPr>
        <w:alias w:val="是否适用：合同资产_重要会计政策和估计[双击切换]"/>
        <w:tag w:val="_GBC_2975adaf2d6646238ccae8f732c465f0"/>
        <w:id w:val="171198705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188"/>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lastRenderedPageBreak/>
        <w:t>持有待售的非流动资产或处置组</w:t>
      </w:r>
    </w:p>
    <w:bookmarkStart w:id="189" w:name="_Hlk533151067" w:displacedByCustomXml="next"/>
    <w:sdt>
      <w:sdtPr>
        <w:rPr>
          <w:color w:val="000000" w:themeColor="text1"/>
        </w:rPr>
        <w:alias w:val="是否适用：持有待售的非流动资产或处置组[双击切换]"/>
        <w:tag w:val="_GBC_f1f73a9983444ce2a24c3a748aa6178f"/>
        <w:id w:val="-211458354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189"/>
    <w:p w:rsidR="00156DD6" w:rsidRDefault="00D51F5F">
      <w:pPr>
        <w:rPr>
          <w:rFonts w:cs="Times New Roman"/>
          <w:b/>
          <w:color w:val="000000" w:themeColor="text1"/>
          <w:kern w:val="2"/>
        </w:rPr>
      </w:pPr>
      <w:r>
        <w:rPr>
          <w:rFonts w:cs="Times New Roman" w:hint="eastAsia"/>
          <w:b/>
          <w:color w:val="000000" w:themeColor="text1"/>
          <w:kern w:val="2"/>
        </w:rPr>
        <w:t>划分为持有待售的非流动资产或处置组的确认标准和会计处理方法</w:t>
      </w:r>
    </w:p>
    <w:sdt>
      <w:sdtPr>
        <w:rPr>
          <w:color w:val="000000" w:themeColor="text1"/>
        </w:rPr>
        <w:alias w:val="是否适用：划分为持有待售的非流动资产或处置组的确认标准和会计处理方法[双击切换]"/>
        <w:tag w:val="_GBC_6c531b0531914ce08b0f9e9ff03b4e9c"/>
        <w:id w:val="104086919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w:instrText>
          </w:r>
          <w:r>
            <w:rPr>
              <w:rFonts w:hint="eastAsia"/>
              <w:color w:val="000000" w:themeColor="text1"/>
            </w:rPr>
            <w:instrText xml:space="preserve">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cs="Times New Roman"/>
          <w:b/>
          <w:color w:val="000000" w:themeColor="text1"/>
          <w:kern w:val="2"/>
        </w:rPr>
      </w:pPr>
      <w:r>
        <w:rPr>
          <w:rFonts w:cs="Times New Roman"/>
          <w:b/>
          <w:color w:val="000000" w:themeColor="text1"/>
          <w:kern w:val="2"/>
        </w:rPr>
        <w:t>终止经营的认定标准和列报方法</w:t>
      </w:r>
    </w:p>
    <w:sdt>
      <w:sdtPr>
        <w:rPr>
          <w:color w:val="000000" w:themeColor="text1"/>
        </w:rPr>
        <w:alias w:val="是否适用：终止经营的认定标准和列报方法[双击切换]"/>
        <w:tag w:val="_GBC_4c502276dc0f4c08a09a2a83a4203533"/>
        <w:id w:val="5721759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181"/>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长期股权投资</w:t>
      </w:r>
    </w:p>
    <w:sdt>
      <w:sdtPr>
        <w:rPr>
          <w:color w:val="000000" w:themeColor="text1"/>
        </w:rPr>
        <w:alias w:val="是否适用：长期股权投资_重要会计政策和估计[双击切换]"/>
        <w:tag w:val="_GBC_a2b657853ac547afaaad118dec96d0e1"/>
        <w:id w:val="22812054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长期股权投资的核算方法"/>
        <w:tag w:val="_GBC_3e77074cd50946b1bccdff9bc1c9556f"/>
        <w:id w:val="881369717"/>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）共同控制、重大影响的判断</w:t>
          </w:r>
        </w:p>
        <w:p w:rsidR="00156DD6" w:rsidRDefault="00D51F5F">
          <w:pPr>
            <w:spacing w:line="360" w:lineRule="exact"/>
            <w:ind w:firstLineChars="200" w:firstLine="420"/>
            <w:rPr>
              <w:color w:val="000000" w:themeColor="text1"/>
            </w:rPr>
          </w:pPr>
          <w:r>
            <w:rPr>
              <w:rFonts w:hint="eastAsia"/>
              <w:color w:val="000000" w:themeColor="text1"/>
            </w:rPr>
            <w:t>按照相关约定对某项安排存在共有的控制，并且该安排的相关活动必须经过共享控制权的参与方一致同意后才能决策，认定为共同控制。对被投资单位的财务和经营政策有参与决策的权力，但并不能够控制或者与其他方一起共同控制这些政策的制定，认定为重大影响。</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）投资成本的确定</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同一控制下的企业合并形成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合并对价的账面价值</w:t>
          </w:r>
          <w:r>
            <w:rPr>
              <w:rFonts w:hint="eastAsia"/>
              <w:color w:val="000000" w:themeColor="text1"/>
            </w:rPr>
            <w:t>或发行股份的面值总额之间的差额调整资本公积；资本公积不足冲减的，调整留存收益。</w:t>
          </w:r>
        </w:p>
        <w:p w:rsidR="00156DD6" w:rsidRDefault="00D51F5F">
          <w:pPr>
            <w:spacing w:line="360" w:lineRule="exact"/>
            <w:ind w:firstLineChars="200" w:firstLine="420"/>
            <w:rPr>
              <w:color w:val="000000" w:themeColor="text1"/>
            </w:rPr>
          </w:pPr>
          <w:r>
            <w:rPr>
              <w:rFonts w:hint="eastAsia"/>
              <w:color w:val="000000" w:themeColor="text1"/>
            </w:rPr>
            <w:t>公司通过多次交易分步实现同一控制下企业合并形成的长期股权投资，判断是否属于“一揽子交易”。属于“一揽子交易”的，把各项交易作为一项取得控制权的交易进行会计处理。不属于“一揽子交易”的，在合并日，根据合并后应享有被合并方净资产在最终控制方合并财务报表中的账面价值的份额确定初始投资成本。合并日长期股权投资的初始投资成本，与达到合并前的长期股权投资账面价值加上合并日进一步取得股份新支付对价的账面价值之和的差额，调整资本公积；资本公积不足冲减的，调整留存收益。</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）非同一控制下的企业合并形成的，在购买日按照支付的合</w:t>
          </w:r>
          <w:r>
            <w:rPr>
              <w:rFonts w:hint="eastAsia"/>
              <w:color w:val="000000" w:themeColor="text1"/>
            </w:rPr>
            <w:t>并对价的公允价值作为其初始投资成本。</w:t>
          </w:r>
        </w:p>
        <w:p w:rsidR="00156DD6" w:rsidRDefault="00D51F5F">
          <w:pPr>
            <w:spacing w:line="360" w:lineRule="exact"/>
            <w:ind w:firstLineChars="200" w:firstLine="420"/>
            <w:rPr>
              <w:color w:val="000000" w:themeColor="text1"/>
            </w:rPr>
          </w:pPr>
          <w:r>
            <w:rPr>
              <w:rFonts w:hint="eastAsia"/>
              <w:color w:val="000000" w:themeColor="text1"/>
            </w:rPr>
            <w:t>公司通过多次交易分步实现非同一控制下企业合并形成的长期股权投资，区分个别财务报表和合并财务报表进行相关会计处理：</w:t>
          </w:r>
        </w:p>
        <w:p w:rsidR="00156DD6" w:rsidRDefault="00D51F5F">
          <w:pPr>
            <w:spacing w:line="360" w:lineRule="exact"/>
            <w:ind w:firstLineChars="200" w:firstLine="420"/>
            <w:rPr>
              <w:color w:val="000000" w:themeColor="text1"/>
            </w:rPr>
          </w:pPr>
          <w:r>
            <w:rPr>
              <w:rFonts w:hint="eastAsia"/>
              <w:color w:val="000000" w:themeColor="text1"/>
            </w:rPr>
            <w:t>①在个别财务报表中，按照原持有的股权投资的账面价值加上新增投资成本之和，作为改按成本法核算的初始投资成本。</w:t>
          </w:r>
        </w:p>
        <w:p w:rsidR="00156DD6" w:rsidRDefault="00D51F5F">
          <w:pPr>
            <w:spacing w:line="360" w:lineRule="exact"/>
            <w:ind w:firstLineChars="200" w:firstLine="420"/>
            <w:rPr>
              <w:color w:val="000000" w:themeColor="text1"/>
            </w:rPr>
          </w:pPr>
          <w:r>
            <w:rPr>
              <w:rFonts w:hint="eastAsia"/>
              <w:color w:val="000000" w:themeColor="text1"/>
            </w:rPr>
            <w:t>②在合并财务报表中，判断是否属于“一揽子交易”。属于“一揽子交易”的，把各项交易作为一项取得控制权的交易进行会计处理。不属于“一揽子交易”的，对于购买日之前持有的被购买方的股权，按照该股权在购买日的公允价值进行重新计量，公允价值与其账面价值的差额计入当</w:t>
          </w:r>
          <w:r>
            <w:rPr>
              <w:rFonts w:hint="eastAsia"/>
              <w:color w:val="000000" w:themeColor="text1"/>
            </w:rPr>
            <w:t>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除企业合并形成以外的：以支付现金取得的，按照实际支付的购买价款作为其初始投资成本；以发行权益性证券取得的，按照发行权益性证券的公允价值作为其初始投资成本；以债务重组方式取得的，按《企业会计准则第</w:t>
          </w:r>
          <w:r>
            <w:rPr>
              <w:rFonts w:hint="eastAsia"/>
              <w:color w:val="000000" w:themeColor="text1"/>
            </w:rPr>
            <w:t>12</w:t>
          </w:r>
          <w:r>
            <w:rPr>
              <w:rFonts w:hint="eastAsia"/>
              <w:color w:val="000000" w:themeColor="text1"/>
            </w:rPr>
            <w:t>号——债务重组》确定其初始投资成本；以非货币性资产交换取得的，按《企业会计准则第</w:t>
          </w:r>
          <w:r>
            <w:rPr>
              <w:rFonts w:hint="eastAsia"/>
              <w:color w:val="000000" w:themeColor="text1"/>
            </w:rPr>
            <w:t>7</w:t>
          </w:r>
          <w:r>
            <w:rPr>
              <w:rFonts w:hint="eastAsia"/>
              <w:color w:val="000000" w:themeColor="text1"/>
            </w:rPr>
            <w:t>号——非货币性资产交换</w:t>
          </w:r>
          <w:r>
            <w:rPr>
              <w:rFonts w:hint="eastAsia"/>
              <w:color w:val="000000" w:themeColor="text1"/>
            </w:rPr>
            <w:t>》确定其初始投资成本。</w:t>
          </w:r>
        </w:p>
        <w:p w:rsidR="00156DD6" w:rsidRDefault="00D51F5F">
          <w:pPr>
            <w:spacing w:line="360" w:lineRule="exact"/>
            <w:ind w:firstLineChars="200" w:firstLine="420"/>
            <w:rPr>
              <w:color w:val="000000" w:themeColor="text1"/>
            </w:rPr>
          </w:pPr>
          <w:r>
            <w:rPr>
              <w:rFonts w:hint="eastAsia"/>
              <w:color w:val="000000" w:themeColor="text1"/>
            </w:rPr>
            <w:lastRenderedPageBreak/>
            <w:t>（</w:t>
          </w:r>
          <w:r>
            <w:rPr>
              <w:rFonts w:hint="eastAsia"/>
              <w:color w:val="000000" w:themeColor="text1"/>
            </w:rPr>
            <w:t>3</w:t>
          </w:r>
          <w:r>
            <w:rPr>
              <w:rFonts w:hint="eastAsia"/>
              <w:color w:val="000000" w:themeColor="text1"/>
            </w:rPr>
            <w:t>）后续计量及损益确认方法</w:t>
          </w:r>
        </w:p>
        <w:p w:rsidR="00156DD6" w:rsidRDefault="00D51F5F">
          <w:pPr>
            <w:spacing w:line="360" w:lineRule="exact"/>
            <w:ind w:firstLineChars="200" w:firstLine="420"/>
            <w:rPr>
              <w:color w:val="000000" w:themeColor="text1"/>
            </w:rPr>
          </w:pPr>
          <w:r>
            <w:rPr>
              <w:rFonts w:hint="eastAsia"/>
              <w:color w:val="000000" w:themeColor="text1"/>
            </w:rPr>
            <w:t>对被投资单位实施控制的长期股权投资采用成本法核算；对联营企业和合营企业的长期股权投资，采用权益法核算。</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）通过多次交易分步处置对子公司投资至丧失控制权的处理方法</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）是否属于“一揽子交易”的判断原则</w:t>
          </w:r>
        </w:p>
        <w:p w:rsidR="00156DD6" w:rsidRDefault="00D51F5F">
          <w:pPr>
            <w:spacing w:line="360" w:lineRule="exact"/>
            <w:ind w:firstLineChars="200" w:firstLine="420"/>
            <w:rPr>
              <w:color w:val="000000" w:themeColor="text1"/>
            </w:rPr>
          </w:pPr>
          <w:r>
            <w:rPr>
              <w:rFonts w:hint="eastAsia"/>
              <w:color w:val="000000" w:themeColor="text1"/>
            </w:rPr>
            <w:t>通过多次交易分步处置对子公司股权投资直至丧失控制权的，公司结合分步交易的各个步骤的交易协议条款、分别取得的处置对价、出售股权的对象、处置方式、处置时点等信息来判断分步交易是否属于“一揽子交易”。各项交易的条款、条件以及经济影响符合以下一种或多种情况，通常</w:t>
          </w:r>
          <w:r>
            <w:rPr>
              <w:rFonts w:hint="eastAsia"/>
              <w:color w:val="000000" w:themeColor="text1"/>
            </w:rPr>
            <w:t>表明多次交易事项属于“一揽子交易”：</w:t>
          </w:r>
        </w:p>
        <w:p w:rsidR="00156DD6" w:rsidRDefault="00D51F5F">
          <w:pPr>
            <w:spacing w:line="360" w:lineRule="exact"/>
            <w:ind w:firstLineChars="200" w:firstLine="420"/>
            <w:rPr>
              <w:color w:val="000000" w:themeColor="text1"/>
            </w:rPr>
          </w:pPr>
          <w:r>
            <w:rPr>
              <w:rFonts w:hint="eastAsia"/>
              <w:color w:val="000000" w:themeColor="text1"/>
            </w:rPr>
            <w:t>①这些交易是同时或者在考虑了彼此影响的情况下订立的；</w:t>
          </w:r>
        </w:p>
        <w:p w:rsidR="00156DD6" w:rsidRDefault="00D51F5F">
          <w:pPr>
            <w:spacing w:line="360" w:lineRule="exact"/>
            <w:ind w:firstLineChars="200" w:firstLine="420"/>
            <w:rPr>
              <w:color w:val="000000" w:themeColor="text1"/>
            </w:rPr>
          </w:pPr>
          <w:r>
            <w:rPr>
              <w:rFonts w:hint="eastAsia"/>
              <w:color w:val="000000" w:themeColor="text1"/>
            </w:rPr>
            <w:t>②这些交易整体才能达成一项完整的商业结果；</w:t>
          </w:r>
        </w:p>
        <w:p w:rsidR="00156DD6" w:rsidRDefault="00D51F5F">
          <w:pPr>
            <w:spacing w:line="360" w:lineRule="exact"/>
            <w:ind w:firstLineChars="200" w:firstLine="420"/>
            <w:rPr>
              <w:color w:val="000000" w:themeColor="text1"/>
            </w:rPr>
          </w:pPr>
          <w:r>
            <w:rPr>
              <w:rFonts w:hint="eastAsia"/>
              <w:color w:val="000000" w:themeColor="text1"/>
            </w:rPr>
            <w:t>③一项交易的发生取决于其他至少一项交易的发生；</w:t>
          </w:r>
        </w:p>
        <w:p w:rsidR="00156DD6" w:rsidRDefault="00D51F5F">
          <w:pPr>
            <w:spacing w:line="360" w:lineRule="exact"/>
            <w:ind w:firstLineChars="200" w:firstLine="420"/>
            <w:rPr>
              <w:color w:val="000000" w:themeColor="text1"/>
            </w:rPr>
          </w:pPr>
          <w:r>
            <w:rPr>
              <w:rFonts w:hint="eastAsia"/>
              <w:color w:val="000000" w:themeColor="text1"/>
            </w:rPr>
            <w:t>④一项交易单独看是不经济的，但是和其他交易一并考虑时是经济的。</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）不属于“一揽子交易”的会计处理</w:t>
          </w:r>
        </w:p>
        <w:p w:rsidR="00156DD6" w:rsidRDefault="00D51F5F">
          <w:pPr>
            <w:spacing w:line="360" w:lineRule="exact"/>
            <w:ind w:firstLineChars="200" w:firstLine="420"/>
            <w:rPr>
              <w:color w:val="000000" w:themeColor="text1"/>
            </w:rPr>
          </w:pPr>
          <w:r>
            <w:rPr>
              <w:rFonts w:hint="eastAsia"/>
              <w:color w:val="000000" w:themeColor="text1"/>
            </w:rPr>
            <w:t>①个别财务报表</w:t>
          </w:r>
        </w:p>
        <w:p w:rsidR="00156DD6" w:rsidRDefault="00D51F5F">
          <w:pPr>
            <w:spacing w:line="360" w:lineRule="exact"/>
            <w:ind w:firstLineChars="200" w:firstLine="420"/>
            <w:rPr>
              <w:color w:val="000000" w:themeColor="text1"/>
            </w:rPr>
          </w:pPr>
          <w:r>
            <w:rPr>
              <w:rFonts w:hint="eastAsia"/>
              <w:color w:val="000000" w:themeColor="text1"/>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按照《企业会计准则第</w:t>
          </w:r>
          <w:r>
            <w:rPr>
              <w:rFonts w:hint="eastAsia"/>
              <w:color w:val="000000" w:themeColor="text1"/>
            </w:rPr>
            <w:t>22</w:t>
          </w:r>
          <w:r>
            <w:rPr>
              <w:rFonts w:hint="eastAsia"/>
              <w:color w:val="000000" w:themeColor="text1"/>
            </w:rPr>
            <w:t>号——金融工具确认和计量》的相关规定进行核算。</w:t>
          </w:r>
        </w:p>
        <w:p w:rsidR="00156DD6" w:rsidRDefault="00D51F5F">
          <w:pPr>
            <w:spacing w:line="360" w:lineRule="exact"/>
            <w:ind w:firstLineChars="200" w:firstLine="420"/>
            <w:rPr>
              <w:color w:val="000000" w:themeColor="text1"/>
            </w:rPr>
          </w:pPr>
          <w:r>
            <w:rPr>
              <w:rFonts w:hint="eastAsia"/>
              <w:color w:val="000000" w:themeColor="text1"/>
            </w:rPr>
            <w:t>②合并财务报表</w:t>
          </w:r>
        </w:p>
        <w:p w:rsidR="00156DD6" w:rsidRDefault="00D51F5F">
          <w:pPr>
            <w:spacing w:line="360" w:lineRule="exact"/>
            <w:ind w:firstLineChars="200" w:firstLine="420"/>
            <w:rPr>
              <w:color w:val="000000" w:themeColor="text1"/>
            </w:rPr>
          </w:pPr>
          <w:r>
            <w:rPr>
              <w:rFonts w:hint="eastAsia"/>
              <w:color w:val="000000" w:themeColor="text1"/>
            </w:rPr>
            <w:t>在丧失控制权之前，处置价款与处置长期股权投资相对应享有子公司自购买日或合并日开始持续计算的净资产份额之间的差额，调整资本公积（资本溢价），资本溢价不足冲减的，冲减留存收益。</w:t>
          </w:r>
        </w:p>
        <w:p w:rsidR="00156DD6" w:rsidRDefault="00D51F5F">
          <w:pPr>
            <w:spacing w:line="360" w:lineRule="exact"/>
            <w:ind w:firstLineChars="200" w:firstLine="420"/>
            <w:rPr>
              <w:color w:val="000000" w:themeColor="text1"/>
            </w:rPr>
          </w:pPr>
          <w:r>
            <w:rPr>
              <w:rFonts w:hint="eastAsia"/>
              <w:color w:val="000000" w:themeColor="text1"/>
            </w:rPr>
            <w:t>丧失对原子公司控制权时，对于剩余股权，按照其在丧</w:t>
          </w:r>
          <w:r>
            <w:rPr>
              <w:rFonts w:hint="eastAsia"/>
              <w:color w:val="000000" w:themeColor="text1"/>
            </w:rPr>
            <w:t>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应当在丧失控制权时转为当期投资收益。</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）属于“一揽子交易”的会计处理</w:t>
          </w:r>
        </w:p>
        <w:p w:rsidR="00156DD6" w:rsidRDefault="00D51F5F">
          <w:pPr>
            <w:spacing w:line="360" w:lineRule="exact"/>
            <w:ind w:firstLineChars="200" w:firstLine="420"/>
            <w:rPr>
              <w:color w:val="000000" w:themeColor="text1"/>
            </w:rPr>
          </w:pPr>
          <w:r>
            <w:rPr>
              <w:rFonts w:hint="eastAsia"/>
              <w:color w:val="000000" w:themeColor="text1"/>
            </w:rPr>
            <w:t>①个别财务报表</w:t>
          </w:r>
        </w:p>
        <w:p w:rsidR="00156DD6" w:rsidRDefault="00D51F5F">
          <w:pPr>
            <w:spacing w:line="360" w:lineRule="exact"/>
            <w:ind w:firstLineChars="200" w:firstLine="420"/>
            <w:rPr>
              <w:color w:val="000000" w:themeColor="text1"/>
            </w:rPr>
          </w:pPr>
          <w:r>
            <w:rPr>
              <w:rFonts w:hint="eastAsia"/>
              <w:color w:val="000000" w:themeColor="text1"/>
            </w:rPr>
            <w:t>将各项交易作为一项处置子公司并丧失控制权的交易进行会计处理。但是，在丧失控制权之前每一次处置价款与处置投资对应的长期股权投资账面价值之间的差额，在个别财务报表中确认为其他综</w:t>
          </w:r>
          <w:r>
            <w:rPr>
              <w:rFonts w:hint="eastAsia"/>
              <w:color w:val="000000" w:themeColor="text1"/>
            </w:rPr>
            <w:t>合收益，在丧失控制权时一并转入丧失控制权当期的损益。</w:t>
          </w:r>
        </w:p>
        <w:p w:rsidR="00156DD6" w:rsidRDefault="00D51F5F">
          <w:pPr>
            <w:spacing w:line="360" w:lineRule="exact"/>
            <w:ind w:firstLineChars="200" w:firstLine="420"/>
            <w:rPr>
              <w:color w:val="000000" w:themeColor="text1"/>
            </w:rPr>
          </w:pPr>
          <w:r>
            <w:rPr>
              <w:rFonts w:hint="eastAsia"/>
              <w:color w:val="000000" w:themeColor="text1"/>
            </w:rPr>
            <w:t>②合并财务报表</w:t>
          </w:r>
        </w:p>
        <w:p w:rsidR="00156DD6" w:rsidRDefault="00D51F5F">
          <w:pPr>
            <w:spacing w:line="360" w:lineRule="exact"/>
            <w:ind w:firstLineChars="200" w:firstLine="420"/>
            <w:rPr>
              <w:color w:val="000000" w:themeColor="text1"/>
            </w:rPr>
          </w:pPr>
          <w:r>
            <w:rPr>
              <w:rFonts w:hint="eastAsia"/>
              <w:color w:val="000000" w:themeColor="text1"/>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p w:rsidR="00156DD6" w:rsidRDefault="00156DD6">
      <w:pPr>
        <w:rPr>
          <w:color w:val="000000" w:themeColor="text1"/>
        </w:rPr>
      </w:pPr>
    </w:p>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lastRenderedPageBreak/>
        <w:t>投资性房地产</w:t>
      </w:r>
    </w:p>
    <w:p w:rsidR="00156DD6" w:rsidRDefault="00D51F5F">
      <w:pPr>
        <w:rPr>
          <w:color w:val="000000" w:themeColor="text1"/>
        </w:rPr>
      </w:pPr>
      <w:r>
        <w:rPr>
          <w:rFonts w:hint="eastAsia"/>
          <w:color w:val="000000" w:themeColor="text1"/>
        </w:rPr>
        <w:t>不</w:t>
      </w:r>
      <w:sdt>
        <w:sdtPr>
          <w:tag w:val="_PLD_2184b7576e914eab9a60f92a290f95d2"/>
          <w:id w:val="-1012220892"/>
          <w:placeholder>
            <w:docPart w:val="GBC22222222222222222222222222222"/>
          </w:placeholder>
        </w:sdtPr>
        <w:sdtEndPr/>
        <w:sdtContent>
          <w:r>
            <w:rPr>
              <w:rFonts w:hint="eastAsia"/>
              <w:color w:val="000000" w:themeColor="text1"/>
            </w:rPr>
            <w:t>适</w:t>
          </w:r>
        </w:sdtContent>
      </w:sdt>
      <w:r>
        <w:rPr>
          <w:rFonts w:hint="eastAsia"/>
          <w:color w:val="000000" w:themeColor="text1"/>
        </w:rPr>
        <w:t>用</w:t>
      </w:r>
    </w:p>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固定资产</w:t>
      </w:r>
    </w:p>
    <w:p w:rsidR="00156DD6" w:rsidRDefault="00D51F5F">
      <w:pPr>
        <w:pStyle w:val="Style47"/>
        <w:numPr>
          <w:ilvl w:val="0"/>
          <w:numId w:val="37"/>
        </w:numPr>
        <w:rPr>
          <w:rFonts w:ascii="宋体" w:hAnsi="宋体"/>
          <w:color w:val="000000" w:themeColor="text1"/>
          <w:sz w:val="21"/>
          <w:szCs w:val="21"/>
        </w:rPr>
      </w:pPr>
      <w:r>
        <w:rPr>
          <w:rFonts w:ascii="宋体" w:hAnsi="宋体" w:hint="eastAsia"/>
          <w:color w:val="000000" w:themeColor="text1"/>
          <w:sz w:val="21"/>
          <w:szCs w:val="21"/>
        </w:rPr>
        <w:t>确认条件</w:t>
      </w:r>
    </w:p>
    <w:sdt>
      <w:sdtPr>
        <w:rPr>
          <w:color w:val="000000" w:themeColor="text1"/>
        </w:rPr>
        <w:alias w:val="是否适用：固定资产确认条件[双击切换]"/>
        <w:tag w:val="_GBC_45cce032cd1f43bfad18a80dd94e9cc4"/>
        <w:id w:val="50525354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固定资产确认条件"/>
        <w:tag w:val="_GBC_3044d53470b143fa9477fa34b85d4ec5"/>
        <w:id w:val="-1316714456"/>
        <w:placeholder>
          <w:docPart w:val="GBC22222222222222222222222222222"/>
        </w:placeholder>
      </w:sdtPr>
      <w:sdtEndPr>
        <w:rPr>
          <w:b/>
        </w:rPr>
      </w:sdtEndPr>
      <w:sdtContent>
        <w:p w:rsidR="00156DD6" w:rsidRDefault="00D51F5F">
          <w:pPr>
            <w:spacing w:line="360" w:lineRule="exact"/>
            <w:ind w:firstLineChars="200" w:firstLine="420"/>
            <w:rPr>
              <w:b/>
              <w:color w:val="000000" w:themeColor="text1"/>
            </w:rPr>
          </w:pPr>
          <w:r>
            <w:rPr>
              <w:rFonts w:hint="eastAsia"/>
              <w:color w:val="000000" w:themeColor="text1"/>
            </w:rPr>
            <w:t>固定资产是指为生产商品、提供劳务、出租或经营管理而持有的，使用年限超过一个会计年度的有形资产。固定资产在同时满足经济利益很可能流入、成本能够可靠计量时予以确认。</w:t>
          </w:r>
        </w:p>
      </w:sdtContent>
    </w:sdt>
    <w:p w:rsidR="00156DD6" w:rsidRDefault="00D51F5F">
      <w:pPr>
        <w:pStyle w:val="Style47"/>
        <w:numPr>
          <w:ilvl w:val="0"/>
          <w:numId w:val="37"/>
        </w:numPr>
        <w:rPr>
          <w:rFonts w:ascii="宋体" w:hAnsi="宋体"/>
          <w:color w:val="000000" w:themeColor="text1"/>
          <w:sz w:val="21"/>
          <w:szCs w:val="21"/>
        </w:rPr>
      </w:pPr>
      <w:r>
        <w:rPr>
          <w:rFonts w:ascii="宋体" w:hAnsi="宋体" w:hint="eastAsia"/>
          <w:color w:val="000000" w:themeColor="text1"/>
          <w:sz w:val="21"/>
          <w:szCs w:val="21"/>
        </w:rPr>
        <w:t>折旧方法</w:t>
      </w:r>
    </w:p>
    <w:sdt>
      <w:sdtPr>
        <w:rPr>
          <w:color w:val="000000" w:themeColor="text1"/>
        </w:rPr>
        <w:alias w:val="是否适用：固定资产折旧方法[双击切换]"/>
        <w:tag w:val="_GBC_c221ef38ff6a4242aab725946697311c"/>
        <w:id w:val="-9432963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156DD6">
        <w:trPr>
          <w:trHeight w:val="397"/>
        </w:trPr>
        <w:sdt>
          <w:sdtPr>
            <w:tag w:val="_PLD_d39db65ac15c4d7583d7fe75cb893517"/>
            <w:id w:val="-1822029126"/>
          </w:sdtPr>
          <w:sdtEndPr/>
          <w:sdtContent>
            <w:tc>
              <w:tcPr>
                <w:tcW w:w="949" w:type="pct"/>
                <w:vAlign w:val="center"/>
              </w:tcPr>
              <w:p w:rsidR="00156DD6" w:rsidRDefault="00D51F5F">
                <w:pPr>
                  <w:jc w:val="center"/>
                  <w:rPr>
                    <w:color w:val="000000" w:themeColor="text1"/>
                  </w:rPr>
                </w:pPr>
                <w:r>
                  <w:rPr>
                    <w:color w:val="000000" w:themeColor="text1"/>
                  </w:rPr>
                  <w:t>类别</w:t>
                </w:r>
              </w:p>
            </w:tc>
          </w:sdtContent>
        </w:sdt>
        <w:sdt>
          <w:sdtPr>
            <w:tag w:val="_PLD_1b5147121b9948e5a115c7a4d6c95995"/>
            <w:id w:val="-742408837"/>
          </w:sdtPr>
          <w:sdtEndPr/>
          <w:sdtContent>
            <w:tc>
              <w:tcPr>
                <w:tcW w:w="1012" w:type="pct"/>
                <w:vAlign w:val="center"/>
              </w:tcPr>
              <w:p w:rsidR="00156DD6" w:rsidRDefault="00D51F5F">
                <w:pPr>
                  <w:jc w:val="center"/>
                  <w:rPr>
                    <w:color w:val="000000" w:themeColor="text1"/>
                  </w:rPr>
                </w:pPr>
                <w:r>
                  <w:rPr>
                    <w:rFonts w:hint="eastAsia"/>
                    <w:color w:val="000000" w:themeColor="text1"/>
                  </w:rPr>
                  <w:t>折旧方法</w:t>
                </w:r>
              </w:p>
            </w:tc>
          </w:sdtContent>
        </w:sdt>
        <w:sdt>
          <w:sdtPr>
            <w:tag w:val="_PLD_65441224aa3f4fd3be4ca0650b16b1aa"/>
            <w:id w:val="-2138330494"/>
          </w:sdtPr>
          <w:sdtEndPr/>
          <w:sdtContent>
            <w:tc>
              <w:tcPr>
                <w:tcW w:w="1013" w:type="pct"/>
                <w:vAlign w:val="center"/>
              </w:tcPr>
              <w:p w:rsidR="00156DD6" w:rsidRDefault="00D51F5F">
                <w:pPr>
                  <w:jc w:val="center"/>
                  <w:rPr>
                    <w:color w:val="000000" w:themeColor="text1"/>
                  </w:rPr>
                </w:pPr>
                <w:r>
                  <w:rPr>
                    <w:color w:val="000000" w:themeColor="text1"/>
                  </w:rPr>
                  <w:t>折旧年限（年）</w:t>
                </w:r>
              </w:p>
            </w:tc>
          </w:sdtContent>
        </w:sdt>
        <w:sdt>
          <w:sdtPr>
            <w:tag w:val="_PLD_1c82a37539a842289bf80f2937f33bee"/>
            <w:id w:val="-1422556663"/>
          </w:sdtPr>
          <w:sdtEndPr/>
          <w:sdtContent>
            <w:tc>
              <w:tcPr>
                <w:tcW w:w="1013" w:type="pct"/>
                <w:vAlign w:val="center"/>
              </w:tcPr>
              <w:p w:rsidR="00156DD6" w:rsidRDefault="00D51F5F">
                <w:pPr>
                  <w:jc w:val="center"/>
                  <w:rPr>
                    <w:color w:val="000000" w:themeColor="text1"/>
                  </w:rPr>
                </w:pPr>
                <w:r>
                  <w:rPr>
                    <w:color w:val="000000" w:themeColor="text1"/>
                  </w:rPr>
                  <w:t>残值率</w:t>
                </w:r>
              </w:p>
            </w:tc>
          </w:sdtContent>
        </w:sdt>
        <w:sdt>
          <w:sdtPr>
            <w:tag w:val="_PLD_a67e8338c181496fa22b9944b63ec82c"/>
            <w:id w:val="-319577075"/>
          </w:sdtPr>
          <w:sdtEndPr/>
          <w:sdtContent>
            <w:tc>
              <w:tcPr>
                <w:tcW w:w="1013" w:type="pct"/>
                <w:vAlign w:val="center"/>
              </w:tcPr>
              <w:p w:rsidR="00156DD6" w:rsidRDefault="00D51F5F">
                <w:pPr>
                  <w:jc w:val="center"/>
                  <w:rPr>
                    <w:color w:val="000000" w:themeColor="text1"/>
                  </w:rPr>
                </w:pPr>
                <w:r>
                  <w:rPr>
                    <w:color w:val="000000" w:themeColor="text1"/>
                  </w:rPr>
                  <w:t>年折旧率</w:t>
                </w:r>
              </w:p>
            </w:tc>
          </w:sdtContent>
        </w:sdt>
      </w:tr>
      <w:tr w:rsidR="00156DD6">
        <w:trPr>
          <w:trHeight w:val="397"/>
        </w:trPr>
        <w:tc>
          <w:tcPr>
            <w:tcW w:w="949" w:type="pct"/>
            <w:vAlign w:val="center"/>
          </w:tcPr>
          <w:p w:rsidR="00156DD6" w:rsidRDefault="00D51F5F">
            <w:pPr>
              <w:jc w:val="center"/>
            </w:pPr>
            <w:r>
              <w:t>房屋及建筑物</w:t>
            </w:r>
          </w:p>
        </w:tc>
        <w:tc>
          <w:tcPr>
            <w:tcW w:w="1012" w:type="pct"/>
            <w:vAlign w:val="center"/>
          </w:tcPr>
          <w:p w:rsidR="00156DD6" w:rsidRDefault="00D51F5F">
            <w:pPr>
              <w:jc w:val="center"/>
            </w:pPr>
            <w:r>
              <w:t>年限平均法</w:t>
            </w:r>
          </w:p>
        </w:tc>
        <w:tc>
          <w:tcPr>
            <w:tcW w:w="1013" w:type="pct"/>
            <w:vAlign w:val="center"/>
          </w:tcPr>
          <w:p w:rsidR="00156DD6" w:rsidRDefault="00D51F5F">
            <w:pPr>
              <w:jc w:val="center"/>
            </w:pPr>
            <w:r>
              <w:t>10-20</w:t>
            </w:r>
          </w:p>
        </w:tc>
        <w:tc>
          <w:tcPr>
            <w:tcW w:w="1013" w:type="pct"/>
            <w:vAlign w:val="center"/>
          </w:tcPr>
          <w:p w:rsidR="00156DD6" w:rsidRDefault="00D51F5F">
            <w:pPr>
              <w:jc w:val="center"/>
            </w:pPr>
            <w:r>
              <w:t>5.00</w:t>
            </w:r>
          </w:p>
        </w:tc>
        <w:tc>
          <w:tcPr>
            <w:tcW w:w="1013" w:type="pct"/>
            <w:vAlign w:val="center"/>
          </w:tcPr>
          <w:p w:rsidR="00156DD6" w:rsidRDefault="00D51F5F">
            <w:pPr>
              <w:jc w:val="center"/>
            </w:pPr>
            <w:r>
              <w:t>4.95-9.50</w:t>
            </w:r>
          </w:p>
        </w:tc>
      </w:tr>
      <w:tr w:rsidR="00156DD6">
        <w:trPr>
          <w:trHeight w:val="397"/>
        </w:trPr>
        <w:tc>
          <w:tcPr>
            <w:tcW w:w="949" w:type="pct"/>
            <w:vAlign w:val="center"/>
          </w:tcPr>
          <w:p w:rsidR="00156DD6" w:rsidRDefault="00D51F5F">
            <w:pPr>
              <w:jc w:val="center"/>
            </w:pPr>
            <w:r>
              <w:t>机器设备</w:t>
            </w:r>
          </w:p>
        </w:tc>
        <w:tc>
          <w:tcPr>
            <w:tcW w:w="1012" w:type="pct"/>
            <w:vAlign w:val="center"/>
          </w:tcPr>
          <w:p w:rsidR="00156DD6" w:rsidRDefault="00D51F5F">
            <w:pPr>
              <w:jc w:val="center"/>
            </w:pPr>
            <w:r>
              <w:t>年限平均法</w:t>
            </w:r>
          </w:p>
        </w:tc>
        <w:tc>
          <w:tcPr>
            <w:tcW w:w="1013" w:type="pct"/>
            <w:vAlign w:val="center"/>
          </w:tcPr>
          <w:p w:rsidR="00156DD6" w:rsidRDefault="00D51F5F">
            <w:pPr>
              <w:jc w:val="center"/>
            </w:pPr>
            <w:r>
              <w:t>5-10</w:t>
            </w:r>
          </w:p>
        </w:tc>
        <w:tc>
          <w:tcPr>
            <w:tcW w:w="1013" w:type="pct"/>
            <w:vAlign w:val="center"/>
          </w:tcPr>
          <w:p w:rsidR="00156DD6" w:rsidRDefault="00D51F5F">
            <w:pPr>
              <w:jc w:val="center"/>
            </w:pPr>
            <w:r>
              <w:t>5.00</w:t>
            </w:r>
          </w:p>
        </w:tc>
        <w:tc>
          <w:tcPr>
            <w:tcW w:w="1013" w:type="pct"/>
            <w:vAlign w:val="center"/>
          </w:tcPr>
          <w:p w:rsidR="00156DD6" w:rsidRDefault="00D51F5F">
            <w:pPr>
              <w:jc w:val="center"/>
            </w:pPr>
            <w:r>
              <w:t>9.50-19.00</w:t>
            </w:r>
          </w:p>
        </w:tc>
      </w:tr>
      <w:tr w:rsidR="00156DD6">
        <w:trPr>
          <w:trHeight w:val="397"/>
        </w:trPr>
        <w:tc>
          <w:tcPr>
            <w:tcW w:w="949" w:type="pct"/>
            <w:vAlign w:val="center"/>
          </w:tcPr>
          <w:p w:rsidR="00156DD6" w:rsidRDefault="00D51F5F">
            <w:pPr>
              <w:jc w:val="center"/>
            </w:pPr>
            <w:r>
              <w:t>电子设备及办公设备</w:t>
            </w:r>
          </w:p>
        </w:tc>
        <w:tc>
          <w:tcPr>
            <w:tcW w:w="1012" w:type="pct"/>
            <w:vAlign w:val="center"/>
          </w:tcPr>
          <w:p w:rsidR="00156DD6" w:rsidRDefault="00D51F5F">
            <w:pPr>
              <w:jc w:val="center"/>
            </w:pPr>
            <w:r>
              <w:t>年限平均法</w:t>
            </w:r>
          </w:p>
        </w:tc>
        <w:tc>
          <w:tcPr>
            <w:tcW w:w="1013" w:type="pct"/>
            <w:vAlign w:val="center"/>
          </w:tcPr>
          <w:p w:rsidR="00156DD6" w:rsidRDefault="00D51F5F">
            <w:pPr>
              <w:jc w:val="center"/>
            </w:pPr>
            <w:r>
              <w:t>3-10</w:t>
            </w:r>
          </w:p>
        </w:tc>
        <w:tc>
          <w:tcPr>
            <w:tcW w:w="1013" w:type="pct"/>
            <w:vAlign w:val="center"/>
          </w:tcPr>
          <w:p w:rsidR="00156DD6" w:rsidRDefault="00D51F5F">
            <w:pPr>
              <w:jc w:val="center"/>
            </w:pPr>
            <w:r>
              <w:t>5.00</w:t>
            </w:r>
          </w:p>
        </w:tc>
        <w:tc>
          <w:tcPr>
            <w:tcW w:w="1013" w:type="pct"/>
            <w:vAlign w:val="center"/>
          </w:tcPr>
          <w:p w:rsidR="00156DD6" w:rsidRDefault="00D51F5F">
            <w:pPr>
              <w:jc w:val="center"/>
            </w:pPr>
            <w:r>
              <w:t>9.50-31.67</w:t>
            </w:r>
          </w:p>
        </w:tc>
      </w:tr>
      <w:tr w:rsidR="00156DD6">
        <w:trPr>
          <w:trHeight w:val="397"/>
        </w:trPr>
        <w:tc>
          <w:tcPr>
            <w:tcW w:w="949" w:type="pct"/>
            <w:vAlign w:val="center"/>
          </w:tcPr>
          <w:p w:rsidR="00156DD6" w:rsidRDefault="00D51F5F">
            <w:pPr>
              <w:jc w:val="center"/>
            </w:pPr>
            <w:r>
              <w:t>运输工具</w:t>
            </w:r>
          </w:p>
        </w:tc>
        <w:tc>
          <w:tcPr>
            <w:tcW w:w="1012" w:type="pct"/>
            <w:vAlign w:val="center"/>
          </w:tcPr>
          <w:p w:rsidR="00156DD6" w:rsidRDefault="00D51F5F">
            <w:pPr>
              <w:jc w:val="center"/>
            </w:pPr>
            <w:r>
              <w:t>年限平均法</w:t>
            </w:r>
          </w:p>
        </w:tc>
        <w:tc>
          <w:tcPr>
            <w:tcW w:w="1013" w:type="pct"/>
            <w:vAlign w:val="center"/>
          </w:tcPr>
          <w:p w:rsidR="00156DD6" w:rsidRDefault="00D51F5F">
            <w:pPr>
              <w:jc w:val="center"/>
            </w:pPr>
            <w:r>
              <w:t>4-10</w:t>
            </w:r>
          </w:p>
        </w:tc>
        <w:tc>
          <w:tcPr>
            <w:tcW w:w="1013" w:type="pct"/>
            <w:vAlign w:val="center"/>
          </w:tcPr>
          <w:p w:rsidR="00156DD6" w:rsidRDefault="00D51F5F">
            <w:pPr>
              <w:jc w:val="center"/>
            </w:pPr>
            <w:r>
              <w:t>5.00</w:t>
            </w:r>
          </w:p>
        </w:tc>
        <w:tc>
          <w:tcPr>
            <w:tcW w:w="1013" w:type="pct"/>
            <w:vAlign w:val="center"/>
          </w:tcPr>
          <w:p w:rsidR="00156DD6" w:rsidRDefault="00D51F5F">
            <w:pPr>
              <w:jc w:val="center"/>
            </w:pPr>
            <w:r>
              <w:t>9.50-23.75</w:t>
            </w:r>
          </w:p>
        </w:tc>
      </w:tr>
    </w:tbl>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在建工程</w:t>
      </w:r>
    </w:p>
    <w:p w:rsidR="00156DD6" w:rsidRDefault="00D51F5F">
      <w:pPr>
        <w:rPr>
          <w:color w:val="000000" w:themeColor="text1"/>
        </w:rPr>
      </w:pPr>
      <w:sdt>
        <w:sdtPr>
          <w:rPr>
            <w:rFonts w:hint="eastAsia"/>
            <w:color w:val="000000" w:themeColor="text1"/>
          </w:rPr>
          <w:alias w:val="是否适用：在建工程_重要会计政策和估计[双击切换]"/>
          <w:tag w:val="_GBC_d9803b41f65e4a7fbebb412a259d9bf9"/>
          <w:id w:val="-557011724"/>
          <w:placeholder>
            <w:docPart w:val="GBC22222222222222222222222222222"/>
          </w:placeholder>
        </w:sdtPr>
        <w:sdtEndPr/>
        <w:sdtContent>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sdt>
      <w:sdtPr>
        <w:rPr>
          <w:rFonts w:hint="eastAsia"/>
          <w:color w:val="000000" w:themeColor="text1"/>
        </w:rPr>
        <w:alias w:val="在建工程核算方法"/>
        <w:tag w:val="_GBC_ed79f983df814c58add61776fe84c76e"/>
        <w:id w:val="1712909829"/>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）在建工程同时满足经济利益很可能流入、成本能够可靠计量则予以确认。在建工程按建造该项资产达到预定可使用状态前所发生的实际成本计量。</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4553"/>
          </w:tblGrid>
          <w:tr w:rsidR="00156DD6">
            <w:trPr>
              <w:trHeight w:val="397"/>
            </w:trPr>
            <w:tc>
              <w:tcPr>
                <w:tcW w:w="2420" w:type="pct"/>
                <w:vAlign w:val="center"/>
              </w:tcPr>
              <w:p w:rsidR="00156DD6" w:rsidRDefault="00D51F5F">
                <w:pPr>
                  <w:jc w:val="center"/>
                </w:pPr>
                <w:bookmarkStart w:id="190" w:name="_Hlk202428991"/>
                <w:r>
                  <w:t>类别</w:t>
                </w:r>
              </w:p>
            </w:tc>
            <w:tc>
              <w:tcPr>
                <w:tcW w:w="2580" w:type="pct"/>
                <w:vAlign w:val="center"/>
              </w:tcPr>
              <w:p w:rsidR="00156DD6" w:rsidRDefault="00D51F5F">
                <w:pPr>
                  <w:jc w:val="center"/>
                </w:pPr>
                <w:r>
                  <w:rPr>
                    <w:rFonts w:hint="eastAsia"/>
                  </w:rPr>
                  <w:t>在建工程结转为固定资产的标准和时点</w:t>
                </w:r>
              </w:p>
            </w:tc>
          </w:tr>
          <w:tr w:rsidR="00156DD6">
            <w:trPr>
              <w:trHeight w:val="397"/>
            </w:trPr>
            <w:tc>
              <w:tcPr>
                <w:tcW w:w="2420" w:type="pct"/>
                <w:vAlign w:val="center"/>
              </w:tcPr>
              <w:p w:rsidR="00156DD6" w:rsidRDefault="00D51F5F">
                <w:pPr>
                  <w:jc w:val="both"/>
                </w:pPr>
                <w:r>
                  <w:rPr>
                    <w:rFonts w:hint="eastAsia"/>
                  </w:rPr>
                  <w:t>房屋及建筑物</w:t>
                </w:r>
              </w:p>
            </w:tc>
            <w:tc>
              <w:tcPr>
                <w:tcW w:w="2580" w:type="pct"/>
                <w:vAlign w:val="center"/>
              </w:tcPr>
              <w:p w:rsidR="00156DD6" w:rsidRDefault="00D51F5F">
                <w:pPr>
                  <w:jc w:val="both"/>
                </w:pPr>
                <w:r>
                  <w:rPr>
                    <w:rFonts w:hint="eastAsia"/>
                  </w:rPr>
                  <w:t>主体建设工程及配套工程已实质完工、达到预定设计要求并经验收</w:t>
                </w:r>
              </w:p>
            </w:tc>
          </w:tr>
          <w:tr w:rsidR="00156DD6">
            <w:trPr>
              <w:trHeight w:val="397"/>
            </w:trPr>
            <w:tc>
              <w:tcPr>
                <w:tcW w:w="2420" w:type="pct"/>
                <w:vAlign w:val="center"/>
              </w:tcPr>
              <w:p w:rsidR="00156DD6" w:rsidRDefault="00D51F5F">
                <w:pPr>
                  <w:jc w:val="both"/>
                </w:pPr>
                <w:r>
                  <w:rPr>
                    <w:rFonts w:hint="eastAsia"/>
                  </w:rPr>
                  <w:t>机器设备</w:t>
                </w:r>
              </w:p>
            </w:tc>
            <w:tc>
              <w:tcPr>
                <w:tcW w:w="2580" w:type="pct"/>
                <w:vAlign w:val="center"/>
              </w:tcPr>
              <w:p w:rsidR="00156DD6" w:rsidRDefault="00D51F5F">
                <w:pPr>
                  <w:jc w:val="both"/>
                </w:pPr>
                <w:r>
                  <w:rPr>
                    <w:rFonts w:hint="eastAsia"/>
                  </w:rPr>
                  <w:t>安装调试后达到设计要求或合同规定的标准</w:t>
                </w:r>
              </w:p>
            </w:tc>
          </w:tr>
          <w:tr w:rsidR="00156DD6">
            <w:trPr>
              <w:trHeight w:val="397"/>
            </w:trPr>
            <w:tc>
              <w:tcPr>
                <w:tcW w:w="2420" w:type="pct"/>
                <w:vAlign w:val="center"/>
              </w:tcPr>
              <w:p w:rsidR="00156DD6" w:rsidRDefault="00D51F5F">
                <w:pPr>
                  <w:jc w:val="both"/>
                </w:pPr>
                <w:r>
                  <w:rPr>
                    <w:rFonts w:hint="eastAsia"/>
                  </w:rPr>
                  <w:t>电子设备及办公设备</w:t>
                </w:r>
              </w:p>
            </w:tc>
            <w:tc>
              <w:tcPr>
                <w:tcW w:w="2580" w:type="pct"/>
                <w:vAlign w:val="center"/>
              </w:tcPr>
              <w:p w:rsidR="00156DD6" w:rsidRDefault="00D51F5F">
                <w:pPr>
                  <w:jc w:val="both"/>
                </w:pPr>
                <w:r>
                  <w:rPr>
                    <w:rFonts w:hint="eastAsia"/>
                  </w:rPr>
                  <w:t>安装调试后达到设计要求或合同规定的标准</w:t>
                </w:r>
              </w:p>
            </w:tc>
          </w:tr>
        </w:tbl>
        <w:p w:rsidR="00156DD6" w:rsidRDefault="00D51F5F">
          <w:pPr>
            <w:rPr>
              <w:color w:val="000000" w:themeColor="text1"/>
            </w:rPr>
          </w:pPr>
        </w:p>
      </w:sdtContent>
    </w:sdt>
    <w:bookmarkEnd w:id="190"/>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借款费用</w:t>
      </w:r>
    </w:p>
    <w:sdt>
      <w:sdtPr>
        <w:rPr>
          <w:rFonts w:hint="eastAsia"/>
          <w:color w:val="000000" w:themeColor="text1"/>
        </w:rPr>
        <w:alias w:val="是否适用：借款费用_重要会计政策和估计[双击切换]"/>
        <w:tag w:val="_GBC_3f3db73e5cb247009b3840143b5e6627"/>
        <w:id w:val="-17158114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借款费用的会计处理方法"/>
        <w:tag w:val="_GBC_2101c32d32c64f39a8b8fcd2b72dbb0a"/>
        <w:id w:val="1983343942"/>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）借款费用资本化的确认原则</w:t>
          </w:r>
        </w:p>
        <w:p w:rsidR="00156DD6" w:rsidRDefault="00D51F5F">
          <w:pPr>
            <w:spacing w:line="360" w:lineRule="exact"/>
            <w:ind w:firstLineChars="200" w:firstLine="420"/>
            <w:rPr>
              <w:color w:val="000000" w:themeColor="text1"/>
            </w:rPr>
          </w:pPr>
          <w:r>
            <w:rPr>
              <w:rFonts w:hint="eastAsia"/>
              <w:color w:val="000000" w:themeColor="text1"/>
            </w:rPr>
            <w:t>公司发生的借款费用，可直接归属于符合资本化条件的资产的购建或者生产的，予以资本化，计入相关资产成本；其他借款费用，在发生时确认为费用，计入当期损益。</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）借款费用资本化期间</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）当借款费用同时满足下列条件时，开始资本化：资产支出已经发生；借款费用已经发生；为使资产达到预定可使用或可销售状态所必要的购建或者生产活动已经开始。</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）若符合资本化条件的资产在购建或者生产过程中发生非正常中断，并且中断时间连续超过</w:t>
          </w:r>
          <w:r>
            <w:rPr>
              <w:rFonts w:hint="eastAsia"/>
              <w:color w:val="000000" w:themeColor="text1"/>
            </w:rPr>
            <w:t>3</w:t>
          </w:r>
          <w:r>
            <w:rPr>
              <w:rFonts w:hint="eastAsia"/>
              <w:color w:val="000000" w:themeColor="text1"/>
            </w:rPr>
            <w:t>个月，暂停借款费用的资本化；中断期间发生的借款费用确认为当期费用，直至资产的购建或者生产活动重新开始。</w:t>
          </w:r>
        </w:p>
        <w:p w:rsidR="00156DD6" w:rsidRDefault="00D51F5F">
          <w:pPr>
            <w:spacing w:line="360" w:lineRule="exact"/>
            <w:ind w:firstLineChars="200" w:firstLine="420"/>
            <w:rPr>
              <w:color w:val="000000" w:themeColor="text1"/>
            </w:rPr>
          </w:pPr>
          <w:r>
            <w:rPr>
              <w:rFonts w:hint="eastAsia"/>
              <w:color w:val="000000" w:themeColor="text1"/>
            </w:rPr>
            <w:lastRenderedPageBreak/>
            <w:t>3</w:t>
          </w:r>
          <w:r>
            <w:rPr>
              <w:rFonts w:hint="eastAsia"/>
              <w:color w:val="000000" w:themeColor="text1"/>
            </w:rPr>
            <w:t>）当所购建或者生产符合资本化条件的资产达到预定可使用或可销售状态时，借款费用停止资本化。</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）借款费用资本化率以及资本化金额</w:t>
          </w:r>
        </w:p>
        <w:p w:rsidR="00156DD6" w:rsidRDefault="00D51F5F">
          <w:pPr>
            <w:spacing w:line="360" w:lineRule="exact"/>
            <w:ind w:firstLineChars="200" w:firstLine="420"/>
            <w:rPr>
              <w:color w:val="000000" w:themeColor="text1"/>
            </w:rPr>
          </w:pPr>
          <w:r>
            <w:rPr>
              <w:rFonts w:hint="eastAsia"/>
              <w:color w:val="000000" w:themeColor="text1"/>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生物资产</w:t>
      </w:r>
    </w:p>
    <w:sdt>
      <w:sdtPr>
        <w:rPr>
          <w:rFonts w:hint="eastAsia"/>
          <w:color w:val="000000" w:themeColor="text1"/>
        </w:rPr>
        <w:alias w:val="是否适用：生物资产_重要会计政策和估计[双击切换]"/>
        <w:tag w:val="_GBC_3c525bb9dd0340978b83e74317a40315"/>
        <w:id w:val="193994669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w:instrText>
          </w:r>
          <w:r>
            <w:rPr>
              <w:rFonts w:hint="eastAsia"/>
              <w:color w:val="000000" w:themeColor="text1"/>
            </w:rPr>
            <w:instrText xml:space="preserve">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油气资产</w:t>
      </w:r>
    </w:p>
    <w:sdt>
      <w:sdtPr>
        <w:rPr>
          <w:rFonts w:hint="eastAsia"/>
          <w:color w:val="000000" w:themeColor="text1"/>
        </w:rPr>
        <w:alias w:val="是否适用：油气资产_重要会计政策和估计[双击切换]"/>
        <w:tag w:val="_GBC_60d99a70431c4b868b6e953077cbfe88"/>
        <w:id w:val="93224361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36"/>
        </w:numPr>
        <w:rPr>
          <w:rFonts w:ascii="宋体" w:hAnsi="宋体"/>
          <w:color w:val="000000" w:themeColor="text1"/>
          <w:sz w:val="21"/>
          <w:szCs w:val="21"/>
        </w:rPr>
      </w:pPr>
      <w:bookmarkStart w:id="191" w:name="_Hlk169007443"/>
      <w:r>
        <w:rPr>
          <w:rFonts w:ascii="宋体" w:hAnsi="宋体"/>
          <w:color w:val="000000" w:themeColor="text1"/>
          <w:sz w:val="21"/>
          <w:szCs w:val="21"/>
        </w:rPr>
        <w:t>无形资产</w:t>
      </w:r>
    </w:p>
    <w:p w:rsidR="00156DD6" w:rsidRDefault="00D51F5F">
      <w:pPr>
        <w:pStyle w:val="Style47"/>
        <w:numPr>
          <w:ilvl w:val="3"/>
          <w:numId w:val="38"/>
        </w:numPr>
        <w:tabs>
          <w:tab w:val="left" w:pos="448"/>
        </w:tabs>
        <w:rPr>
          <w:rFonts w:ascii="宋体" w:hAnsi="宋体"/>
          <w:color w:val="000000" w:themeColor="text1"/>
          <w:sz w:val="21"/>
          <w:szCs w:val="21"/>
        </w:rPr>
      </w:pPr>
      <w:r>
        <w:rPr>
          <w:rFonts w:ascii="宋体" w:hAnsi="宋体" w:hint="eastAsia"/>
          <w:color w:val="000000" w:themeColor="text1"/>
          <w:sz w:val="21"/>
          <w:szCs w:val="21"/>
        </w:rPr>
        <w:t>使用寿命及其确定依据、估计情况、摊销方法</w:t>
      </w:r>
      <w:r>
        <w:rPr>
          <w:rStyle w:val="Style62"/>
          <w:rFonts w:hint="eastAsia"/>
          <w:color w:val="000000" w:themeColor="text1"/>
        </w:rPr>
        <w:t>或复核程序</w:t>
      </w:r>
    </w:p>
    <w:sdt>
      <w:sdtPr>
        <w:rPr>
          <w:rFonts w:hint="eastAsia"/>
          <w:color w:val="000000" w:themeColor="text1"/>
        </w:rPr>
        <w:alias w:val="是否适用：无形资产计价方法、使用寿命、减值测试[双击切换]"/>
        <w:tag w:val="_GBC_a82698fb1ffd4e75b46a9c35938b4cf4"/>
        <w:id w:val="-84762728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无形资产计价方法、使用寿命、减值测试"/>
        <w:tag w:val="_GBC_a9e64b18f452482eb6674ec605618dcc"/>
        <w:id w:val="2043940737"/>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无形资产包括土地使用权、软件、专利权及非专利技术等，按成本进行初始计量。</w:t>
          </w:r>
        </w:p>
        <w:p w:rsidR="00156DD6" w:rsidRDefault="00D51F5F">
          <w:pPr>
            <w:spacing w:line="360" w:lineRule="exact"/>
            <w:ind w:firstLineChars="200" w:firstLine="420"/>
            <w:rPr>
              <w:color w:val="000000" w:themeColor="text1"/>
            </w:rPr>
          </w:pPr>
          <w:r>
            <w:rPr>
              <w:rFonts w:hint="eastAsia"/>
              <w:color w:val="000000" w:themeColor="text1"/>
            </w:rPr>
            <w:t>使用寿命有限的无形资产，在使用寿命内按照与该项无形资产有关的经济利益的预期实现方式系统合理地摊销，无法可靠确定预期实现方式的，采用直线法摊销。具体如下：</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678"/>
            <w:gridCol w:w="2165"/>
          </w:tblGrid>
          <w:tr w:rsidR="00156DD6">
            <w:trPr>
              <w:trHeight w:val="397"/>
            </w:trPr>
            <w:tc>
              <w:tcPr>
                <w:tcW w:w="1122" w:type="pct"/>
                <w:vAlign w:val="center"/>
              </w:tcPr>
              <w:p w:rsidR="00156DD6" w:rsidRDefault="00D51F5F">
                <w:pPr>
                  <w:jc w:val="center"/>
                </w:pPr>
                <w:r>
                  <w:rPr>
                    <w:rFonts w:hint="eastAsia"/>
                  </w:rPr>
                  <w:t>项目</w:t>
                </w:r>
              </w:p>
            </w:tc>
            <w:tc>
              <w:tcPr>
                <w:tcW w:w="2651" w:type="pct"/>
                <w:vAlign w:val="center"/>
              </w:tcPr>
              <w:p w:rsidR="00156DD6" w:rsidRDefault="00D51F5F">
                <w:pPr>
                  <w:jc w:val="center"/>
                </w:pPr>
                <w:r>
                  <w:rPr>
                    <w:rFonts w:hint="eastAsia"/>
                  </w:rPr>
                  <w:t>使用寿命及其确定依据</w:t>
                </w:r>
              </w:p>
            </w:tc>
            <w:tc>
              <w:tcPr>
                <w:tcW w:w="1227" w:type="pct"/>
                <w:vAlign w:val="center"/>
              </w:tcPr>
              <w:p w:rsidR="00156DD6" w:rsidRDefault="00D51F5F">
                <w:pPr>
                  <w:jc w:val="center"/>
                </w:pPr>
                <w:r>
                  <w:rPr>
                    <w:rFonts w:hint="eastAsia"/>
                  </w:rPr>
                  <w:t>摊销方法</w:t>
                </w:r>
              </w:p>
            </w:tc>
          </w:tr>
          <w:tr w:rsidR="00156DD6">
            <w:trPr>
              <w:trHeight w:val="397"/>
            </w:trPr>
            <w:tc>
              <w:tcPr>
                <w:tcW w:w="1122" w:type="pct"/>
                <w:vAlign w:val="center"/>
              </w:tcPr>
              <w:p w:rsidR="00156DD6" w:rsidRDefault="00D51F5F">
                <w:pPr>
                  <w:jc w:val="both"/>
                </w:pPr>
                <w:r>
                  <w:rPr>
                    <w:rFonts w:hint="eastAsia"/>
                  </w:rPr>
                  <w:t>土地使用权</w:t>
                </w:r>
              </w:p>
            </w:tc>
            <w:tc>
              <w:tcPr>
                <w:tcW w:w="2651" w:type="pct"/>
                <w:vAlign w:val="center"/>
              </w:tcPr>
              <w:p w:rsidR="00156DD6" w:rsidRDefault="00D51F5F">
                <w:pPr>
                  <w:jc w:val="both"/>
                </w:pPr>
                <w:r>
                  <w:rPr>
                    <w:rFonts w:hint="eastAsia"/>
                  </w:rPr>
                  <w:t>按产权登记期限确定使用寿命为</w:t>
                </w:r>
                <w:r>
                  <w:rPr>
                    <w:rFonts w:hint="eastAsia"/>
                  </w:rPr>
                  <w:t>50</w:t>
                </w:r>
                <w:r>
                  <w:rPr>
                    <w:rFonts w:hint="eastAsia"/>
                  </w:rPr>
                  <w:t>年</w:t>
                </w:r>
              </w:p>
            </w:tc>
            <w:tc>
              <w:tcPr>
                <w:tcW w:w="1227" w:type="pct"/>
                <w:vAlign w:val="center"/>
              </w:tcPr>
              <w:p w:rsidR="00156DD6" w:rsidRDefault="00D51F5F">
                <w:pPr>
                  <w:jc w:val="center"/>
                </w:pPr>
                <w:r>
                  <w:rPr>
                    <w:rFonts w:hint="eastAsia"/>
                  </w:rPr>
                  <w:t>直线法</w:t>
                </w:r>
              </w:p>
            </w:tc>
          </w:tr>
          <w:tr w:rsidR="00156DD6">
            <w:trPr>
              <w:trHeight w:val="397"/>
            </w:trPr>
            <w:tc>
              <w:tcPr>
                <w:tcW w:w="1122" w:type="pct"/>
                <w:vAlign w:val="center"/>
              </w:tcPr>
              <w:p w:rsidR="00156DD6" w:rsidRDefault="00D51F5F">
                <w:pPr>
                  <w:jc w:val="both"/>
                </w:pPr>
                <w:r>
                  <w:rPr>
                    <w:rFonts w:hint="eastAsia"/>
                  </w:rPr>
                  <w:t>软件</w:t>
                </w:r>
              </w:p>
            </w:tc>
            <w:tc>
              <w:tcPr>
                <w:tcW w:w="2651" w:type="pct"/>
                <w:vAlign w:val="center"/>
              </w:tcPr>
              <w:p w:rsidR="00156DD6" w:rsidRDefault="00D51F5F">
                <w:pPr>
                  <w:jc w:val="both"/>
                </w:pPr>
                <w:r>
                  <w:rPr>
                    <w:rFonts w:hint="eastAsia"/>
                  </w:rPr>
                  <w:t>按预期受益期限确定使用寿命为</w:t>
                </w:r>
                <w:r>
                  <w:rPr>
                    <w:rFonts w:hint="eastAsia"/>
                  </w:rPr>
                  <w:t>3-10</w:t>
                </w:r>
                <w:r>
                  <w:rPr>
                    <w:rFonts w:hint="eastAsia"/>
                  </w:rPr>
                  <w:t>年</w:t>
                </w:r>
              </w:p>
            </w:tc>
            <w:tc>
              <w:tcPr>
                <w:tcW w:w="1227" w:type="pct"/>
                <w:vAlign w:val="center"/>
              </w:tcPr>
              <w:p w:rsidR="00156DD6" w:rsidRDefault="00D51F5F">
                <w:pPr>
                  <w:jc w:val="center"/>
                </w:pPr>
                <w:r>
                  <w:rPr>
                    <w:rFonts w:hint="eastAsia"/>
                  </w:rPr>
                  <w:t>直线法</w:t>
                </w:r>
              </w:p>
            </w:tc>
          </w:tr>
          <w:tr w:rsidR="00156DD6">
            <w:trPr>
              <w:trHeight w:val="397"/>
            </w:trPr>
            <w:tc>
              <w:tcPr>
                <w:tcW w:w="1122" w:type="pct"/>
                <w:vAlign w:val="center"/>
              </w:tcPr>
              <w:p w:rsidR="00156DD6" w:rsidRDefault="00D51F5F">
                <w:pPr>
                  <w:jc w:val="both"/>
                </w:pPr>
                <w:r>
                  <w:rPr>
                    <w:rFonts w:hint="eastAsia"/>
                  </w:rPr>
                  <w:t>专利权</w:t>
                </w:r>
              </w:p>
            </w:tc>
            <w:tc>
              <w:tcPr>
                <w:tcW w:w="2651" w:type="pct"/>
                <w:vAlign w:val="center"/>
              </w:tcPr>
              <w:p w:rsidR="00156DD6" w:rsidRDefault="00D51F5F">
                <w:pPr>
                  <w:jc w:val="both"/>
                </w:pPr>
                <w:r>
                  <w:rPr>
                    <w:rFonts w:hint="eastAsia"/>
                  </w:rPr>
                  <w:t>按预期受益期限确定使用寿命为</w:t>
                </w:r>
                <w:r>
                  <w:rPr>
                    <w:rFonts w:hint="eastAsia"/>
                  </w:rPr>
                  <w:t>3-10</w:t>
                </w:r>
                <w:r>
                  <w:rPr>
                    <w:rFonts w:hint="eastAsia"/>
                  </w:rPr>
                  <w:t>年</w:t>
                </w:r>
              </w:p>
            </w:tc>
            <w:tc>
              <w:tcPr>
                <w:tcW w:w="1227" w:type="pct"/>
                <w:vAlign w:val="center"/>
              </w:tcPr>
              <w:p w:rsidR="00156DD6" w:rsidRDefault="00D51F5F">
                <w:pPr>
                  <w:jc w:val="center"/>
                </w:pPr>
                <w:r>
                  <w:rPr>
                    <w:rFonts w:hint="eastAsia"/>
                  </w:rPr>
                  <w:t>直线法</w:t>
                </w:r>
              </w:p>
            </w:tc>
          </w:tr>
        </w:tbl>
        <w:p w:rsidR="00156DD6" w:rsidRDefault="00D51F5F">
          <w:pPr>
            <w:rPr>
              <w:color w:val="000000" w:themeColor="text1"/>
            </w:rPr>
          </w:pPr>
        </w:p>
      </w:sdtContent>
    </w:sdt>
    <w:p w:rsidR="00156DD6" w:rsidRDefault="00D51F5F">
      <w:pPr>
        <w:pStyle w:val="Style47"/>
        <w:numPr>
          <w:ilvl w:val="3"/>
          <w:numId w:val="38"/>
        </w:numPr>
        <w:tabs>
          <w:tab w:val="left" w:pos="448"/>
        </w:tabs>
        <w:rPr>
          <w:rFonts w:ascii="宋体" w:hAnsi="宋体"/>
          <w:color w:val="000000" w:themeColor="text1"/>
          <w:sz w:val="21"/>
          <w:szCs w:val="21"/>
        </w:rPr>
      </w:pPr>
      <w:r>
        <w:rPr>
          <w:rFonts w:ascii="宋体" w:hAnsi="宋体" w:hint="eastAsia"/>
          <w:color w:val="000000" w:themeColor="text1"/>
          <w:sz w:val="21"/>
          <w:szCs w:val="21"/>
        </w:rPr>
        <w:t>研发支出的归集范围及相关会计处理方法</w:t>
      </w:r>
    </w:p>
    <w:sdt>
      <w:sdtPr>
        <w:rPr>
          <w:rFonts w:hint="eastAsia"/>
          <w:color w:val="000000" w:themeColor="text1"/>
        </w:rPr>
        <w:alias w:val="是否适用：无形资产内部研究开发支出会计政策[双击切换]"/>
        <w:tag w:val="_GBC_c3cef4c9f19749b8a53b7f49d3b7bac3"/>
        <w:id w:val="47697197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无形资产内部研究、开发支出会计政策"/>
        <w:tag w:val="_GBC_af7b1338d88344dfb8cd34ed66bfe672"/>
        <w:id w:val="1759481257"/>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）职工薪酬</w:t>
          </w:r>
        </w:p>
        <w:p w:rsidR="00156DD6" w:rsidRDefault="00D51F5F">
          <w:pPr>
            <w:spacing w:line="360" w:lineRule="exact"/>
            <w:ind w:firstLineChars="200" w:firstLine="420"/>
            <w:rPr>
              <w:color w:val="000000" w:themeColor="text1"/>
            </w:rPr>
          </w:pPr>
          <w:r>
            <w:rPr>
              <w:rFonts w:hint="eastAsia"/>
              <w:color w:val="000000" w:themeColor="text1"/>
            </w:rPr>
            <w:t>职工薪酬包括公司研发人员的工资薪金、基本养老保险费、基本医疗保险费、失业保险费、工伤保险费、生育保险费和住房公积金。</w:t>
          </w:r>
        </w:p>
        <w:p w:rsidR="00156DD6" w:rsidRDefault="00D51F5F">
          <w:pPr>
            <w:spacing w:line="360" w:lineRule="exact"/>
            <w:ind w:firstLineChars="200" w:firstLine="420"/>
            <w:rPr>
              <w:color w:val="000000" w:themeColor="text1"/>
            </w:rPr>
          </w:pPr>
          <w:r>
            <w:rPr>
              <w:rFonts w:hint="eastAsia"/>
              <w:color w:val="000000" w:themeColor="text1"/>
            </w:rPr>
            <w:t>研发人员同时服务于多个研究开发项目的，人工费用的确认依据公司管理部门提供的各研究开发项目研发人员的工时记录，在不同研究开发项目间按比例分配。</w:t>
          </w:r>
        </w:p>
        <w:p w:rsidR="00156DD6" w:rsidRDefault="00D51F5F">
          <w:pPr>
            <w:spacing w:line="360" w:lineRule="exact"/>
            <w:ind w:firstLineChars="200" w:firstLine="420"/>
            <w:rPr>
              <w:color w:val="000000" w:themeColor="text1"/>
            </w:rPr>
          </w:pPr>
          <w:r>
            <w:rPr>
              <w:rFonts w:hint="eastAsia"/>
              <w:color w:val="000000" w:themeColor="text1"/>
            </w:rPr>
            <w:t>直接从事研发活动的人员同时从事非研发活动的，公司根据研发人员在不同岗位的工时记录，将其实际发生的人员人工费用，按实际工时占比等合理方法在研发费用和生产经营费用间分配。</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）直接投入费用</w:t>
          </w:r>
        </w:p>
        <w:p w:rsidR="00156DD6" w:rsidRDefault="00D51F5F">
          <w:pPr>
            <w:spacing w:line="360" w:lineRule="exact"/>
            <w:ind w:firstLineChars="200" w:firstLine="420"/>
            <w:rPr>
              <w:color w:val="000000" w:themeColor="text1"/>
            </w:rPr>
          </w:pPr>
          <w:r>
            <w:rPr>
              <w:rFonts w:hint="eastAsia"/>
              <w:color w:val="000000" w:themeColor="text1"/>
            </w:rPr>
            <w:t>直接投入费用是指公司为实施研究开发活动而实际发生的相关支出。包括：直接消耗的材料、燃料和动力费用；用于产品试制的模具、样机购置费、试制产品的检验费；用于研究开发活动的仪器、设备的运行维护、调整、检验、检测、维修等费用。</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）折旧费用</w:t>
          </w:r>
        </w:p>
        <w:p w:rsidR="00156DD6" w:rsidRDefault="00D51F5F">
          <w:pPr>
            <w:spacing w:line="360" w:lineRule="exact"/>
            <w:ind w:firstLineChars="200" w:firstLine="420"/>
            <w:rPr>
              <w:color w:val="000000" w:themeColor="text1"/>
            </w:rPr>
          </w:pPr>
          <w:r>
            <w:rPr>
              <w:rFonts w:hint="eastAsia"/>
              <w:color w:val="000000" w:themeColor="text1"/>
            </w:rPr>
            <w:lastRenderedPageBreak/>
            <w:t>折旧费用是指用于研究开发活动的仪器、设备和在用建筑物的折旧费。</w:t>
          </w:r>
        </w:p>
        <w:p w:rsidR="00156DD6" w:rsidRDefault="00D51F5F">
          <w:pPr>
            <w:spacing w:line="360" w:lineRule="exact"/>
            <w:ind w:firstLineChars="200" w:firstLine="420"/>
            <w:rPr>
              <w:color w:val="000000" w:themeColor="text1"/>
            </w:rPr>
          </w:pPr>
          <w:r>
            <w:rPr>
              <w:rFonts w:hint="eastAsia"/>
              <w:color w:val="000000" w:themeColor="text1"/>
            </w:rPr>
            <w:t>用于研发活动的仪器、设备及在</w:t>
          </w:r>
          <w:r>
            <w:rPr>
              <w:rFonts w:hint="eastAsia"/>
              <w:color w:val="000000" w:themeColor="text1"/>
            </w:rPr>
            <w:t>用建筑物，同时又用于非研发活动的，对该类仪器、设备、在用建筑物使用情况做必要记录，并将其实际发生的折旧费，采用合理方法在研发费用和生产经营费用间分配。</w:t>
          </w:r>
        </w:p>
        <w:p w:rsidR="00156DD6" w:rsidRDefault="00D51F5F">
          <w:pPr>
            <w:spacing w:line="360" w:lineRule="exact"/>
            <w:ind w:firstLineChars="200" w:firstLine="420"/>
            <w:rPr>
              <w:color w:val="000000" w:themeColor="text1"/>
            </w:rPr>
          </w:pPr>
          <w:r>
            <w:rPr>
              <w:rFonts w:hint="eastAsia"/>
              <w:color w:val="000000" w:themeColor="text1"/>
            </w:rPr>
            <w:t>4</w:t>
          </w:r>
          <w:r>
            <w:rPr>
              <w:rFonts w:hint="eastAsia"/>
              <w:color w:val="000000" w:themeColor="text1"/>
            </w:rPr>
            <w:t>）委托外部研究开发费用</w:t>
          </w:r>
        </w:p>
        <w:p w:rsidR="00156DD6" w:rsidRDefault="00D51F5F">
          <w:pPr>
            <w:spacing w:line="360" w:lineRule="exact"/>
            <w:ind w:firstLineChars="200" w:firstLine="420"/>
            <w:rPr>
              <w:color w:val="000000" w:themeColor="text1"/>
            </w:rPr>
          </w:pPr>
          <w:r>
            <w:rPr>
              <w:rFonts w:hint="eastAsia"/>
              <w:color w:val="000000" w:themeColor="text1"/>
            </w:rPr>
            <w:t>委托外部研究开发费用是指公司委托其他机构或个人进行研究开发活动所发生的费用。</w:t>
          </w:r>
        </w:p>
        <w:p w:rsidR="00156DD6" w:rsidRDefault="00D51F5F">
          <w:pPr>
            <w:spacing w:line="360" w:lineRule="exact"/>
            <w:ind w:firstLineChars="200" w:firstLine="420"/>
            <w:rPr>
              <w:color w:val="000000" w:themeColor="text1"/>
            </w:rPr>
          </w:pPr>
          <w:r>
            <w:rPr>
              <w:rFonts w:hint="eastAsia"/>
              <w:color w:val="000000" w:themeColor="text1"/>
            </w:rPr>
            <w:t>5</w:t>
          </w:r>
          <w:r>
            <w:rPr>
              <w:rFonts w:hint="eastAsia"/>
              <w:color w:val="000000" w:themeColor="text1"/>
            </w:rPr>
            <w:t>）其他费用</w:t>
          </w:r>
        </w:p>
        <w:p w:rsidR="00156DD6" w:rsidRDefault="00D51F5F">
          <w:pPr>
            <w:spacing w:line="360" w:lineRule="exact"/>
            <w:ind w:firstLineChars="200" w:firstLine="420"/>
            <w:rPr>
              <w:color w:val="000000" w:themeColor="text1"/>
            </w:rPr>
          </w:pPr>
          <w:r>
            <w:rPr>
              <w:rFonts w:hint="eastAsia"/>
              <w:color w:val="000000" w:themeColor="text1"/>
            </w:rPr>
            <w:t>其他费用是指上述费用之外与研究开发活动直接相关的其他费用，包括技术专家咨询费、知识产权的申请费、注册费、会议费、差旅费、通讯费等。</w:t>
          </w:r>
        </w:p>
        <w:p w:rsidR="00156DD6" w:rsidRDefault="00D51F5F">
          <w:pPr>
            <w:spacing w:line="360" w:lineRule="exact"/>
            <w:ind w:firstLineChars="200" w:firstLine="420"/>
            <w:rPr>
              <w:color w:val="000000" w:themeColor="text1"/>
            </w:rPr>
          </w:pPr>
          <w:r>
            <w:rPr>
              <w:rFonts w:hint="eastAsia"/>
              <w:color w:val="000000" w:themeColor="text1"/>
            </w:rPr>
            <w:t>内部研究开发项目研究阶段的支出，于发生时计入当期损益。内部研究开发项目开发阶段的支出，同时满足下列条件的，确认</w:t>
          </w:r>
          <w:r>
            <w:rPr>
              <w:rFonts w:hint="eastAsia"/>
              <w:color w:val="000000" w:themeColor="text1"/>
            </w:rPr>
            <w:t>为无形资产：</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）完成该无形资产以使其能够使用或出售在技术上具有可行性；</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）具有完成该无形资产并使用或出售的意图；</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）无形资产产生经济利益的方式，包括能够证明运用该无形资产生产的产品存在市场或无形资产自身存在市场，无形资产将在内部使用的，能证明其有用性；</w:t>
          </w:r>
        </w:p>
        <w:p w:rsidR="00156DD6" w:rsidRDefault="00D51F5F">
          <w:pPr>
            <w:spacing w:line="360" w:lineRule="exact"/>
            <w:ind w:firstLineChars="200" w:firstLine="420"/>
            <w:rPr>
              <w:color w:val="000000" w:themeColor="text1"/>
            </w:rPr>
          </w:pPr>
          <w:r>
            <w:rPr>
              <w:rFonts w:hint="eastAsia"/>
              <w:color w:val="000000" w:themeColor="text1"/>
            </w:rPr>
            <w:t>4</w:t>
          </w:r>
          <w:r>
            <w:rPr>
              <w:rFonts w:hint="eastAsia"/>
              <w:color w:val="000000" w:themeColor="text1"/>
            </w:rPr>
            <w:t>）有足够的技术、财务资源和其他资源支持，以完成该无形资产的开发，并有能力使用或出售该无形资产；</w:t>
          </w:r>
        </w:p>
        <w:p w:rsidR="00156DD6" w:rsidRDefault="00D51F5F">
          <w:pPr>
            <w:spacing w:line="360" w:lineRule="exact"/>
            <w:ind w:firstLineChars="200" w:firstLine="420"/>
            <w:rPr>
              <w:color w:val="000000" w:themeColor="text1"/>
            </w:rPr>
          </w:pPr>
          <w:r>
            <w:rPr>
              <w:rFonts w:hint="eastAsia"/>
              <w:color w:val="000000" w:themeColor="text1"/>
            </w:rPr>
            <w:t>5</w:t>
          </w:r>
          <w:r>
            <w:rPr>
              <w:rFonts w:hint="eastAsia"/>
              <w:color w:val="000000" w:themeColor="text1"/>
            </w:rPr>
            <w:t>）归属于该无形资产开发阶段的支出能够可靠地计量。</w:t>
          </w:r>
        </w:p>
      </w:sdtContent>
    </w:sdt>
    <w:p w:rsidR="00156DD6" w:rsidRDefault="00D51F5F">
      <w:pPr>
        <w:pStyle w:val="TOC6"/>
        <w:numPr>
          <w:ilvl w:val="0"/>
          <w:numId w:val="36"/>
        </w:numPr>
        <w:rPr>
          <w:rFonts w:ascii="宋体" w:hAnsi="宋体"/>
          <w:color w:val="000000" w:themeColor="text1"/>
          <w:sz w:val="21"/>
          <w:szCs w:val="21"/>
        </w:rPr>
      </w:pPr>
      <w:bookmarkStart w:id="192" w:name="_Hlk44405424"/>
      <w:bookmarkEnd w:id="191"/>
      <w:r>
        <w:rPr>
          <w:rFonts w:ascii="宋体" w:hAnsi="宋体"/>
          <w:color w:val="000000" w:themeColor="text1"/>
          <w:sz w:val="21"/>
          <w:szCs w:val="21"/>
        </w:rPr>
        <w:t>长期资产减值</w:t>
      </w:r>
    </w:p>
    <w:sdt>
      <w:sdtPr>
        <w:rPr>
          <w:rFonts w:hint="eastAsia"/>
          <w:color w:val="000000" w:themeColor="text1"/>
        </w:rPr>
        <w:alias w:val="是否适用：长期资产减值_重要会计政策和估计[双击切换]"/>
        <w:tag w:val="_GBC_d0feb744f96144ffa5335cd194c6cdf9"/>
        <w:id w:val="-58876916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非金融长期资产减值测试方法及会计处理方法"/>
        <w:tag w:val="_GBC_e8cb396d7101453b9e9cd1bc11b8633e"/>
        <w:id w:val="-250514495"/>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对长期股权投资、固定资产、在建工程、使用权资产、使用寿命有限的无形资产等长期资产，在资产负债表日有迹象表明发生减值的，估计其可收回金额。对因企业合并所形成的商誉和使用寿命不确定的无形资产，无论是否存在减值迹象，每年都进行减值测试。商誉结合与其相关的资产组或者资产组组合进行减值测试。</w:t>
          </w:r>
        </w:p>
        <w:p w:rsidR="00156DD6" w:rsidRDefault="00D51F5F">
          <w:pPr>
            <w:spacing w:line="360" w:lineRule="exact"/>
            <w:ind w:firstLineChars="200" w:firstLine="420"/>
            <w:rPr>
              <w:color w:val="000000" w:themeColor="text1"/>
            </w:rPr>
          </w:pPr>
          <w:r>
            <w:rPr>
              <w:rFonts w:hint="eastAsia"/>
              <w:color w:val="000000" w:themeColor="text1"/>
            </w:rPr>
            <w:t>若上述长期资产的可收回金额低于其账面价值的，按其差额确认资产减值准备并计入当期损益。</w:t>
          </w:r>
        </w:p>
      </w:sdtContent>
    </w:sdt>
    <w:p w:rsidR="00156DD6" w:rsidRDefault="00D51F5F">
      <w:pPr>
        <w:pStyle w:val="TOC6"/>
        <w:numPr>
          <w:ilvl w:val="0"/>
          <w:numId w:val="36"/>
        </w:numPr>
        <w:rPr>
          <w:rFonts w:ascii="宋体" w:hAnsi="宋体"/>
          <w:color w:val="000000" w:themeColor="text1"/>
          <w:sz w:val="21"/>
          <w:szCs w:val="21"/>
        </w:rPr>
      </w:pPr>
      <w:bookmarkStart w:id="193" w:name="_Hlk44405475"/>
      <w:bookmarkEnd w:id="192"/>
      <w:r>
        <w:rPr>
          <w:rFonts w:ascii="宋体" w:hAnsi="宋体"/>
          <w:color w:val="000000" w:themeColor="text1"/>
          <w:sz w:val="21"/>
          <w:szCs w:val="21"/>
        </w:rPr>
        <w:t>长期待摊费用</w:t>
      </w:r>
    </w:p>
    <w:sdt>
      <w:sdtPr>
        <w:rPr>
          <w:rFonts w:hint="eastAsia"/>
          <w:color w:val="000000" w:themeColor="text1"/>
        </w:rPr>
        <w:alias w:val="是否适用：长期待摊费用_重要会计政策和估计[双击切换]"/>
        <w:tag w:val="_GBC_75739ccc62204f0490525060b33e330f"/>
        <w:id w:val="-8593080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w:instrText>
          </w:r>
          <w:r>
            <w:rPr>
              <w:rFonts w:hint="eastAsia"/>
              <w:color w:val="000000" w:themeColor="text1"/>
            </w:rPr>
            <w:instrText xml:space="preserve">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开办费、长期待摊费用摊销方法"/>
        <w:tag w:val="_GBC_e4e695ce4aea4c878acb6f8ad7190139"/>
        <w:id w:val="622651849"/>
        <w:placeholder>
          <w:docPart w:val="GBC22222222222222222222222222222"/>
        </w:placeholder>
      </w:sdtPr>
      <w:sdtEndPr/>
      <w:sdtContent>
        <w:p w:rsidR="00156DD6" w:rsidRDefault="00D51F5F">
          <w:pPr>
            <w:spacing w:line="360" w:lineRule="exact"/>
            <w:ind w:firstLineChars="200" w:firstLine="420"/>
            <w:rPr>
              <w:rFonts w:cs="Times New Roman"/>
              <w:color w:val="000000" w:themeColor="text1"/>
              <w:kern w:val="2"/>
            </w:rPr>
          </w:pPr>
          <w:r>
            <w:rPr>
              <w:rFonts w:hint="eastAsia"/>
              <w:color w:val="000000" w:themeColor="text1"/>
            </w:rPr>
            <w:t>长期待摊费用核算已经支出，摊销期限在</w:t>
          </w:r>
          <w:r>
            <w:rPr>
              <w:rFonts w:hint="eastAsia"/>
              <w:color w:val="000000" w:themeColor="text1"/>
            </w:rPr>
            <w:t>1</w:t>
          </w:r>
          <w:r>
            <w:rPr>
              <w:rFonts w:hint="eastAsia"/>
              <w:color w:val="000000" w:themeColor="text1"/>
            </w:rPr>
            <w:t>年以上（不含</w:t>
          </w:r>
          <w:r>
            <w:rPr>
              <w:rFonts w:hint="eastAsia"/>
              <w:color w:val="000000" w:themeColor="text1"/>
            </w:rPr>
            <w:t>1</w:t>
          </w:r>
          <w:r>
            <w:rPr>
              <w:rFonts w:hint="eastAsia"/>
              <w:color w:val="000000" w:themeColor="text1"/>
            </w:rPr>
            <w:t>年）的各项费用。长期待摊费用按实际发生额入账，在受益期或规定的期限内分期平均摊销。如果长期待摊的费用项目不能使以后会计期间受益则将尚未摊销的该项目的摊余价值全部转入当期损益。</w:t>
          </w:r>
        </w:p>
      </w:sdtContent>
    </w:sdt>
    <w:p w:rsidR="00156DD6" w:rsidRDefault="00D51F5F">
      <w:pPr>
        <w:pStyle w:val="TOC6"/>
        <w:numPr>
          <w:ilvl w:val="0"/>
          <w:numId w:val="36"/>
        </w:numPr>
        <w:rPr>
          <w:rFonts w:ascii="宋体" w:hAnsi="宋体"/>
          <w:color w:val="000000" w:themeColor="text1"/>
          <w:sz w:val="21"/>
          <w:szCs w:val="21"/>
        </w:rPr>
      </w:pPr>
      <w:bookmarkStart w:id="194" w:name="_Hlk10465482"/>
      <w:bookmarkEnd w:id="193"/>
      <w:r>
        <w:rPr>
          <w:rFonts w:ascii="宋体" w:hAnsi="宋体"/>
          <w:color w:val="000000" w:themeColor="text1"/>
          <w:sz w:val="21"/>
          <w:szCs w:val="21"/>
        </w:rPr>
        <w:t>合同负债</w:t>
      </w:r>
    </w:p>
    <w:sdt>
      <w:sdtPr>
        <w:rPr>
          <w:color w:val="000000" w:themeColor="text1"/>
        </w:rPr>
        <w:alias w:val="是否适用：合同负债的确定方法、摊销方法和减值测试方法[双击切换]"/>
        <w:tag w:val="_GBC_f210968f2ea04a338a3253827b172c25"/>
        <w:id w:val="105758953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rPr>
          <w:color w:val="000000" w:themeColor="text1"/>
        </w:rPr>
      </w:pPr>
      <w:sdt>
        <w:sdtPr>
          <w:rPr>
            <w:color w:val="000000" w:themeColor="text1"/>
          </w:rPr>
          <w:alias w:val="合同负债的确定方法、摊销方法和减值测试方法"/>
          <w:tag w:val="_GBC_adbfb902bae348178906cb42c1932267"/>
          <w:id w:val="-1801832798"/>
          <w:placeholder>
            <w:docPart w:val="GBC22222222222222222222222222222"/>
          </w:placeholder>
        </w:sdtPr>
        <w:sdtEndPr/>
        <w:sdtContent>
          <w:r>
            <w:rPr>
              <w:rFonts w:hint="eastAsia"/>
              <w:color w:val="000000" w:themeColor="text1"/>
            </w:rPr>
            <w:t>公司将已收或应收客户对价而应向客户转让商品的义务作为合同负债列示。</w:t>
          </w:r>
        </w:sdtContent>
      </w:sdt>
    </w:p>
    <w:bookmarkEnd w:id="194"/>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职工薪酬</w:t>
      </w:r>
    </w:p>
    <w:p w:rsidR="00156DD6" w:rsidRDefault="00D51F5F">
      <w:pPr>
        <w:pStyle w:val="Style47"/>
        <w:numPr>
          <w:ilvl w:val="0"/>
          <w:numId w:val="39"/>
        </w:numPr>
        <w:rPr>
          <w:rFonts w:ascii="宋体" w:hAnsi="宋体"/>
          <w:color w:val="000000" w:themeColor="text1"/>
          <w:sz w:val="21"/>
          <w:szCs w:val="21"/>
        </w:rPr>
      </w:pPr>
      <w:r>
        <w:rPr>
          <w:rFonts w:ascii="宋体" w:hAnsi="宋体" w:hint="eastAsia"/>
          <w:color w:val="000000" w:themeColor="text1"/>
          <w:sz w:val="21"/>
          <w:szCs w:val="21"/>
        </w:rPr>
        <w:t>短期薪酬的会计处理方法</w:t>
      </w:r>
    </w:p>
    <w:sdt>
      <w:sdtPr>
        <w:rPr>
          <w:color w:val="000000" w:themeColor="text1"/>
        </w:rPr>
        <w:alias w:val="是否适用：短期薪酬的会计处理方法[双击切换]"/>
        <w:tag w:val="_GBC_eefed2a465e349b6a35598930bd9541d"/>
        <w:id w:val="117399693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短期薪酬的会计处理方法"/>
        <w:tag w:val="_GBC_8fdf44b194ac45fb945d36b9896df796"/>
        <w:id w:val="-1027860537"/>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在职工为公司提供服务的会计期间，将实际发生的短期薪酬确认为负债，并计入当期损益或相关资产成本。</w:t>
          </w:r>
        </w:p>
      </w:sdtContent>
    </w:sdt>
    <w:p w:rsidR="00156DD6" w:rsidRDefault="00D51F5F">
      <w:pPr>
        <w:pStyle w:val="Style47"/>
        <w:numPr>
          <w:ilvl w:val="0"/>
          <w:numId w:val="39"/>
        </w:numPr>
        <w:rPr>
          <w:rFonts w:ascii="宋体" w:hAnsi="宋体"/>
          <w:color w:val="000000" w:themeColor="text1"/>
          <w:sz w:val="21"/>
          <w:szCs w:val="21"/>
        </w:rPr>
      </w:pPr>
      <w:r>
        <w:rPr>
          <w:rFonts w:ascii="宋体" w:hAnsi="宋体" w:hint="eastAsia"/>
          <w:color w:val="000000" w:themeColor="text1"/>
          <w:sz w:val="21"/>
          <w:szCs w:val="21"/>
        </w:rPr>
        <w:lastRenderedPageBreak/>
        <w:t>离职后福利的会计处理方法</w:t>
      </w:r>
    </w:p>
    <w:sdt>
      <w:sdtPr>
        <w:rPr>
          <w:rFonts w:hint="eastAsia"/>
          <w:color w:val="000000" w:themeColor="text1"/>
        </w:rPr>
        <w:alias w:val="是否适用：离职后福利的会计处理方法[双击切换]"/>
        <w:tag w:val="_GBC_35bbae299fda438d9e595058bbecbcdc"/>
        <w:id w:val="202606105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离职后福利的会计处理方法"/>
        <w:tag w:val="_GBC_3b0bafa6ef784ba99c829e2f60cf828e"/>
        <w:id w:val="-865974987"/>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离职后福利分为设定提存计划和设定受益计划。</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）在职工为公司提供服务的会计期间，根据设定提存计划计算的应缴存金额确认为负债，并计入当期损益或相关资产成本。</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）对设定受益计划的会计处理通常包括下列步骤：</w:t>
          </w:r>
        </w:p>
        <w:p w:rsidR="00156DD6" w:rsidRDefault="00D51F5F">
          <w:pPr>
            <w:spacing w:line="360" w:lineRule="exact"/>
            <w:ind w:firstLineChars="200" w:firstLine="420"/>
            <w:rPr>
              <w:color w:val="000000" w:themeColor="text1"/>
            </w:rPr>
          </w:pPr>
          <w:r>
            <w:rPr>
              <w:rFonts w:hint="eastAsia"/>
              <w:color w:val="000000" w:themeColor="text1"/>
            </w:rPr>
            <w:t>①根据预期累计福利单位法，采用无偏且相互一致的精算假设对有关人口统计变量和财务变量等作出估计，计量设定受益计划所产生的义务，并确定相关义务的所属期间。同时，对设定受益计划所产生的义务予以折现，以确定设定受益计划义务的现值和当</w:t>
          </w:r>
          <w:r>
            <w:rPr>
              <w:rFonts w:hint="eastAsia"/>
              <w:color w:val="000000" w:themeColor="text1"/>
            </w:rPr>
            <w:t>期服务成本；</w:t>
          </w:r>
        </w:p>
        <w:p w:rsidR="00156DD6" w:rsidRDefault="00D51F5F">
          <w:pPr>
            <w:spacing w:line="360" w:lineRule="exact"/>
            <w:ind w:firstLineChars="200" w:firstLine="420"/>
            <w:rPr>
              <w:color w:val="000000" w:themeColor="text1"/>
            </w:rPr>
          </w:pPr>
          <w:r>
            <w:rPr>
              <w:rFonts w:hint="eastAsia"/>
              <w:color w:val="000000" w:themeColor="text1"/>
            </w:rPr>
            <w:t>②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益计划净资产；</w:t>
          </w:r>
        </w:p>
        <w:p w:rsidR="00156DD6" w:rsidRDefault="00D51F5F">
          <w:pPr>
            <w:spacing w:line="360" w:lineRule="exact"/>
            <w:ind w:firstLineChars="200" w:firstLine="420"/>
            <w:rPr>
              <w:color w:val="000000" w:themeColor="text1"/>
            </w:rPr>
          </w:pPr>
          <w:r>
            <w:rPr>
              <w:rFonts w:hint="eastAsia"/>
              <w:color w:val="000000" w:themeColor="text1"/>
            </w:rPr>
            <w:t>③期末，将设定受益计划产生的职工薪酬成本确认为服务成本、设定受益计划净负债或净资产的利息净额以及重新计量设定受益计划净负债或净资产所产生的变动等三部分，其中服务成本和设定受益计划净负债或净资产的利息净额计入当期损益或相关资产成本，重新计量设定受益计划净负债或净资产所产生的变</w:t>
          </w:r>
          <w:r>
            <w:rPr>
              <w:rFonts w:hint="eastAsia"/>
              <w:color w:val="000000" w:themeColor="text1"/>
            </w:rPr>
            <w:t>动计入其他综合收益，并且在后续会计期间不允许转回至损益，但可以在权益范围内转移这些在其他综合收益确认的金额。</w:t>
          </w:r>
        </w:p>
      </w:sdtContent>
    </w:sdt>
    <w:p w:rsidR="00156DD6" w:rsidRDefault="00D51F5F">
      <w:pPr>
        <w:pStyle w:val="Style47"/>
        <w:numPr>
          <w:ilvl w:val="0"/>
          <w:numId w:val="39"/>
        </w:numPr>
        <w:rPr>
          <w:rFonts w:ascii="宋体" w:hAnsi="宋体"/>
          <w:color w:val="000000" w:themeColor="text1"/>
          <w:sz w:val="21"/>
          <w:szCs w:val="21"/>
        </w:rPr>
      </w:pPr>
      <w:r>
        <w:rPr>
          <w:rFonts w:ascii="宋体" w:hAnsi="宋体" w:hint="eastAsia"/>
          <w:color w:val="000000" w:themeColor="text1"/>
          <w:sz w:val="21"/>
          <w:szCs w:val="21"/>
        </w:rPr>
        <w:t>辞退福利的会计处理方法</w:t>
      </w:r>
    </w:p>
    <w:sdt>
      <w:sdtPr>
        <w:rPr>
          <w:rFonts w:hint="eastAsia"/>
          <w:color w:val="000000" w:themeColor="text1"/>
        </w:rPr>
        <w:alias w:val="是否适用：辞退福利的会计处理方法[双击切换]"/>
        <w:tag w:val="_GBC_b6be1c30b6144d54b0e20b3cb9d3a691"/>
        <w:id w:val="126325646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辞退福利的会计处理方法"/>
        <w:tag w:val="_GBC_a93705fb60b24bceb25c88a68ed87432"/>
        <w:id w:val="2113464869"/>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向职工提供的辞退福利，在下列两者孰早日确认辞退福利产生的职工薪酬负债，并计入当期损益：</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）公司不能单方面撤回因解除劳动关系计划或裁减建议所提供的辞退福利时；</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）公司确认与涉及支付辞退福利的重组相关的成本或费用时。</w:t>
          </w:r>
        </w:p>
      </w:sdtContent>
    </w:sdt>
    <w:p w:rsidR="00156DD6" w:rsidRDefault="00D51F5F">
      <w:pPr>
        <w:pStyle w:val="Style47"/>
        <w:numPr>
          <w:ilvl w:val="0"/>
          <w:numId w:val="39"/>
        </w:numPr>
        <w:rPr>
          <w:rFonts w:ascii="宋体" w:hAnsi="宋体"/>
          <w:color w:val="000000" w:themeColor="text1"/>
          <w:sz w:val="21"/>
          <w:szCs w:val="21"/>
        </w:rPr>
      </w:pPr>
      <w:r>
        <w:rPr>
          <w:rFonts w:ascii="宋体" w:hAnsi="宋体" w:hint="eastAsia"/>
          <w:color w:val="000000" w:themeColor="text1"/>
          <w:sz w:val="21"/>
          <w:szCs w:val="21"/>
        </w:rPr>
        <w:t>其他长期职工福利的会计处理方法</w:t>
      </w:r>
    </w:p>
    <w:sdt>
      <w:sdtPr>
        <w:rPr>
          <w:rFonts w:hint="eastAsia"/>
          <w:color w:val="000000" w:themeColor="text1"/>
        </w:rPr>
        <w:alias w:val="是否适用：其他长期职工福利的会计处理方法[双击切换]"/>
        <w:tag w:val="_GBC_6650f3bc6a474b318e05b9d60314cb7f"/>
        <w:id w:val="-25829764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其他长期职工福利的会计处理方法"/>
        <w:tag w:val="_GBC_0e549e9400284de7b64ddf6ecc255dea"/>
        <w:id w:val="-1215044089"/>
        <w:placeholder>
          <w:docPart w:val="GBC22222222222222222222222222222"/>
        </w:placeholder>
      </w:sdtPr>
      <w:sdtEndPr/>
      <w:sdtContent>
        <w:p w:rsidR="00156DD6" w:rsidRDefault="00D51F5F">
          <w:pPr>
            <w:spacing w:line="360" w:lineRule="exact"/>
            <w:ind w:firstLineChars="200" w:firstLine="420"/>
            <w:rPr>
              <w:rFonts w:cs="Times New Roman"/>
              <w:color w:val="000000" w:themeColor="text1"/>
            </w:rPr>
          </w:pPr>
          <w:r>
            <w:rPr>
              <w:rFonts w:hint="eastAsia"/>
              <w:color w:val="000000" w:themeColor="text1"/>
            </w:rPr>
            <w:t>向职工提供的其他长期福利，符合设定提存计划条件的，按照设定提存计划的有关规定进行会计处理；除此之外的其他长期福利，按照设定受益计划的有关规定进行会计处理，为简化相关会计处理，将其产生的职工薪酬成本确认为服务成本、其他长期职工福利净负债或净资产的利息净额以及重</w:t>
          </w:r>
          <w:r>
            <w:rPr>
              <w:rFonts w:hint="eastAsia"/>
              <w:color w:val="000000" w:themeColor="text1"/>
            </w:rPr>
            <w:t>新计量其他长期职工福利净负债或净资产所产生的变动等组成项目的总净额计入当期损益或相关资产成本。</w:t>
          </w:r>
        </w:p>
      </w:sdtContent>
    </w:sdt>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预计负债</w:t>
      </w:r>
    </w:p>
    <w:sdt>
      <w:sdtPr>
        <w:rPr>
          <w:rFonts w:hint="eastAsia"/>
          <w:color w:val="000000" w:themeColor="text1"/>
        </w:rPr>
        <w:alias w:val="是否适用：预计负债_重要会计政策和估计[双击切换]"/>
        <w:tag w:val="_GBC_60f7f598e5d5458986c0f06775dc38fd"/>
        <w:id w:val="29033748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预计负债的核算方法"/>
        <w:tag w:val="_GBC_d6934772e41e485d9e00e349486f9d7e"/>
        <w:id w:val="2078390773"/>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因对外提供担保、诉讼事项、产品质量保证、亏损合同等或有事项形成的义务成为公司承担的现时义务，履行该义务很可能导致经济利益流出公司，且该义务的金额能够可靠的计量时，公司将该项义务确认为预计负债。</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）公司按照履行相关现时义务所需支出的最佳估计数对预计负债进行初始计量，并在资产负债表日对预计负债的账面价值进行复核。</w:t>
          </w:r>
        </w:p>
      </w:sdtContent>
    </w:sdt>
    <w:p w:rsidR="00156DD6" w:rsidRDefault="00156DD6">
      <w:pPr>
        <w:rPr>
          <w:color w:val="000000" w:themeColor="text1"/>
        </w:rPr>
      </w:pPr>
    </w:p>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lastRenderedPageBreak/>
        <w:t>股份支付</w:t>
      </w:r>
    </w:p>
    <w:sdt>
      <w:sdtPr>
        <w:rPr>
          <w:rFonts w:hint="eastAsia"/>
          <w:color w:val="000000" w:themeColor="text1"/>
        </w:rPr>
        <w:alias w:val="是否适用：股份支付_重要会计政策和估计[双击切换]"/>
        <w:tag w:val="_GBC_cfe00a6b35f24950855f2412f34bcf7a"/>
        <w:id w:val="137134322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股份支付的核算方法"/>
        <w:tag w:val="_GBC_99e197c555ed4cf8aa00bbd5da2fe98b"/>
        <w:id w:val="1220562899"/>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）股份支付的种类</w:t>
          </w:r>
        </w:p>
        <w:p w:rsidR="00156DD6" w:rsidRDefault="00D51F5F">
          <w:pPr>
            <w:spacing w:line="360" w:lineRule="exact"/>
            <w:ind w:firstLineChars="200" w:firstLine="420"/>
            <w:rPr>
              <w:color w:val="000000" w:themeColor="text1"/>
            </w:rPr>
          </w:pPr>
          <w:r>
            <w:rPr>
              <w:rFonts w:hint="eastAsia"/>
              <w:color w:val="000000" w:themeColor="text1"/>
            </w:rPr>
            <w:t>包括以权益结算的股份支付和以现金结算的股份支付。</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）实施、修改、终止股份支付计划的相关会计处理</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）以权益结算的股份支付</w:t>
          </w:r>
        </w:p>
        <w:p w:rsidR="00156DD6" w:rsidRDefault="00D51F5F">
          <w:pPr>
            <w:spacing w:line="360" w:lineRule="exact"/>
            <w:ind w:firstLineChars="200" w:firstLine="420"/>
            <w:rPr>
              <w:color w:val="000000" w:themeColor="text1"/>
            </w:rPr>
          </w:pPr>
          <w:r>
            <w:rPr>
              <w:rFonts w:hint="eastAsia"/>
              <w:color w:val="000000" w:themeColor="text1"/>
            </w:rP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rsidR="00156DD6" w:rsidRDefault="00D51F5F">
          <w:pPr>
            <w:spacing w:line="360" w:lineRule="exact"/>
            <w:ind w:firstLineChars="200" w:firstLine="420"/>
            <w:rPr>
              <w:color w:val="000000" w:themeColor="text1"/>
            </w:rPr>
          </w:pPr>
          <w:r>
            <w:rPr>
              <w:rFonts w:hint="eastAsia"/>
              <w:color w:val="000000" w:themeColor="text1"/>
            </w:rPr>
            <w:t>换取其他方服务的权益结算的股份支付，如果其他方服务的公允价值能够可靠计量的，按照其他方服务在取得日的公允价值计量；如果其他方服务的公允价值不能可靠计量，但</w:t>
          </w:r>
          <w:r>
            <w:rPr>
              <w:rFonts w:hint="eastAsia"/>
              <w:color w:val="000000" w:themeColor="text1"/>
            </w:rPr>
            <w:t>权益工具的公允价值能够可靠计量的，按照权益工具在服务取得日的公允价值计量，计入相关成本或费用，相应增加所有者权益。</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）以现金结算的股份支付</w:t>
          </w:r>
        </w:p>
        <w:p w:rsidR="00156DD6" w:rsidRDefault="00D51F5F">
          <w:pPr>
            <w:spacing w:line="360" w:lineRule="exact"/>
            <w:ind w:firstLineChars="200" w:firstLine="420"/>
            <w:rPr>
              <w:color w:val="000000" w:themeColor="text1"/>
            </w:rPr>
          </w:pPr>
          <w:r>
            <w:rPr>
              <w:rFonts w:hint="eastAsia"/>
              <w:color w:val="000000" w:themeColor="text1"/>
            </w:rPr>
            <w:t>授予后立即可行权的换取职工服务的以现金结算的股份支付，在授予日按公司承担负债的公允价值计入相关成本或费用，相应增加负债。完成等待期内的服务或达到规定业绩条件才可行权的换取职工服务的以现金结算的股份支付，在等待期内的每个资产负债表日，以对可行权情况的最佳估计为基础，按公司承担负债的公允价值，将当期取得的服务计入相关成本或费用和相应的负债。</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）修改、终止股份支付计划</w:t>
          </w:r>
        </w:p>
        <w:p w:rsidR="00156DD6" w:rsidRDefault="00D51F5F">
          <w:pPr>
            <w:spacing w:line="360" w:lineRule="exact"/>
            <w:ind w:firstLineChars="200" w:firstLine="420"/>
            <w:rPr>
              <w:color w:val="000000" w:themeColor="text1"/>
            </w:rPr>
          </w:pPr>
          <w:r>
            <w:rPr>
              <w:rFonts w:hint="eastAsia"/>
              <w:color w:val="000000" w:themeColor="text1"/>
            </w:rPr>
            <w:t>如果修改增加了所授予的权益工具的公允价值，公司按照权益工具公允价值的增加相应地确认取得服务的增加；如果修改增加了所授予的权益工具的数量，公司将增加的权益工具的公允价值相应地确认为取得服务的增加；如果公司按照有利于职工的方式修改可行权条件，公司在处理可行权条件时，考虑修改后的可行权条件。</w:t>
          </w:r>
        </w:p>
        <w:p w:rsidR="00156DD6" w:rsidRDefault="00D51F5F">
          <w:pPr>
            <w:spacing w:line="360" w:lineRule="exact"/>
            <w:ind w:firstLineChars="200" w:firstLine="420"/>
            <w:rPr>
              <w:color w:val="000000" w:themeColor="text1"/>
            </w:rPr>
          </w:pPr>
          <w:r>
            <w:rPr>
              <w:rFonts w:hint="eastAsia"/>
              <w:color w:val="000000" w:themeColor="text1"/>
            </w:rPr>
            <w:t>如果修改减少了授予的权益工具的公允价值，公司继续以权益工具在授予日的公允价值为基础，确认取得服务的金额，而不考虑权益工具公允价值的减少；如果修改减少了授予的权益工具的数量，公司将减少部分作为已授予的权益工具的取消来进行处理；</w:t>
          </w:r>
          <w:r>
            <w:rPr>
              <w:rFonts w:hint="eastAsia"/>
              <w:color w:val="000000" w:themeColor="text1"/>
            </w:rPr>
            <w:t>如果以不利于职工的方式修改了可行权条件，在处理可行权条件时，不考虑修改后的可行权条件。</w:t>
          </w:r>
        </w:p>
        <w:p w:rsidR="00156DD6" w:rsidRDefault="00D51F5F">
          <w:pPr>
            <w:spacing w:line="360" w:lineRule="exact"/>
            <w:ind w:firstLineChars="200" w:firstLine="420"/>
            <w:rPr>
              <w:color w:val="000000" w:themeColor="text1"/>
            </w:rPr>
          </w:pPr>
          <w:r>
            <w:rPr>
              <w:rFonts w:hint="eastAsia"/>
              <w:color w:val="000000" w:themeColor="text1"/>
            </w:rPr>
            <w:t>如果公司在等待期内取消了所授予的权益工具或结算了所授予的权益工具（因未满足可行权条件而被取消的除外），则将取消或结算作为加速可行权处理，立即确认原本在剩余等待期内确认的金额。</w:t>
          </w:r>
        </w:p>
      </w:sdtContent>
    </w:sdt>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优先股、永续债等其他金融工具</w:t>
      </w:r>
    </w:p>
    <w:sdt>
      <w:sdtPr>
        <w:rPr>
          <w:rFonts w:hint="eastAsia"/>
          <w:color w:val="000000" w:themeColor="text1"/>
        </w:rPr>
        <w:alias w:val="是否适用：优先股、永续债等其他金融工具[双击切换]"/>
        <w:tag w:val="_GBC_34eb80e2168144958293aa1351780303"/>
        <w:id w:val="-127456008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36"/>
        </w:numPr>
        <w:rPr>
          <w:rFonts w:ascii="宋体" w:hAnsi="宋体"/>
          <w:color w:val="000000" w:themeColor="text1"/>
          <w:sz w:val="21"/>
          <w:szCs w:val="21"/>
        </w:rPr>
      </w:pPr>
      <w:bookmarkStart w:id="195" w:name="_Hlk10465559"/>
      <w:r>
        <w:rPr>
          <w:rFonts w:ascii="宋体" w:hAnsi="宋体"/>
          <w:color w:val="000000" w:themeColor="text1"/>
          <w:sz w:val="21"/>
          <w:szCs w:val="21"/>
        </w:rPr>
        <w:t>收入</w:t>
      </w:r>
    </w:p>
    <w:p w:rsidR="00156DD6" w:rsidRDefault="00D51F5F">
      <w:pPr>
        <w:pStyle w:val="Style47"/>
        <w:numPr>
          <w:ilvl w:val="3"/>
          <w:numId w:val="40"/>
        </w:numPr>
        <w:ind w:left="426" w:hanging="426"/>
        <w:rPr>
          <w:rFonts w:ascii="宋体" w:hAnsi="宋体"/>
          <w:color w:val="000000" w:themeColor="text1"/>
          <w:sz w:val="21"/>
          <w:szCs w:val="21"/>
        </w:rPr>
      </w:pPr>
      <w:r>
        <w:rPr>
          <w:rFonts w:ascii="宋体" w:hAnsi="宋体" w:hint="eastAsia"/>
          <w:color w:val="000000" w:themeColor="text1"/>
          <w:sz w:val="21"/>
          <w:szCs w:val="21"/>
        </w:rPr>
        <w:t>按照业务类型披露收入确认和计量所采用的会计政策</w:t>
      </w:r>
    </w:p>
    <w:sdt>
      <w:sdtPr>
        <w:rPr>
          <w:color w:val="000000" w:themeColor="text1"/>
        </w:rPr>
        <w:alias w:val="是否适用：收入确认和计量所采用的会计政策[双击切换]"/>
        <w:tag w:val="_GBC_b6eb71cc057645f3b05fb68d8273c681"/>
        <w:id w:val="3191597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收入确认和计量所采用的会计政策"/>
        <w:tag w:val="_GBC_c9c2b3029c08405387c460d2d7eacc7d"/>
        <w:id w:val="1169830331"/>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本公司的收入主要来源于：销售输配电及控制设备，销售取向硅钢。</w:t>
          </w:r>
        </w:p>
        <w:p w:rsidR="00156DD6" w:rsidRDefault="00D51F5F">
          <w:pPr>
            <w:spacing w:line="360" w:lineRule="exact"/>
            <w:ind w:firstLineChars="200" w:firstLine="420"/>
            <w:rPr>
              <w:color w:val="000000" w:themeColor="text1"/>
            </w:rPr>
          </w:pPr>
          <w:r>
            <w:rPr>
              <w:rFonts w:hint="eastAsia"/>
              <w:color w:val="000000" w:themeColor="text1"/>
            </w:rPr>
            <w:lastRenderedPageBreak/>
            <w:t>（</w:t>
          </w:r>
          <w:r>
            <w:rPr>
              <w:rFonts w:hint="eastAsia"/>
              <w:color w:val="000000" w:themeColor="text1"/>
            </w:rPr>
            <w:t>1</w:t>
          </w:r>
          <w:r>
            <w:rPr>
              <w:rFonts w:hint="eastAsia"/>
              <w:color w:val="000000" w:themeColor="text1"/>
            </w:rPr>
            <w:t>）收入确认原则</w:t>
          </w:r>
        </w:p>
        <w:p w:rsidR="00156DD6" w:rsidRDefault="00D51F5F">
          <w:pPr>
            <w:spacing w:line="360" w:lineRule="exact"/>
            <w:ind w:firstLineChars="200" w:firstLine="420"/>
            <w:rPr>
              <w:color w:val="000000" w:themeColor="text1"/>
            </w:rPr>
          </w:pPr>
          <w:r>
            <w:rPr>
              <w:rFonts w:hint="eastAsia"/>
              <w:color w:val="000000" w:themeColor="text1"/>
            </w:rPr>
            <w:t>于合同开始日，公司对合同进行评估，识别合同所包含的各单项履约义务，并确定各单项履约义务是在某一时段内履行，还是在某一时点履行。</w:t>
          </w:r>
        </w:p>
        <w:p w:rsidR="00156DD6" w:rsidRDefault="00D51F5F">
          <w:pPr>
            <w:spacing w:line="360" w:lineRule="exact"/>
            <w:ind w:firstLineChars="200" w:firstLine="420"/>
            <w:rPr>
              <w:color w:val="000000" w:themeColor="text1"/>
            </w:rPr>
          </w:pPr>
          <w:r>
            <w:rPr>
              <w:rFonts w:hint="eastAsia"/>
              <w:color w:val="000000" w:themeColor="text1"/>
            </w:rPr>
            <w:t>满足下列条件之一时，属于在某一时段内履行履约义务，否则，属于在某一时点履行履约义务：</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）客户在公司履约的同时即取得并消耗公司履约所带来的经济利益；</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）客户能够控制公司履约过程中在建商品；</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）公司履约过程中所产出的商品具有不可替代用途，且公司在整个合同期间内有权就累计至今已完成的履约部分收取款项。</w:t>
          </w:r>
        </w:p>
        <w:p w:rsidR="00156DD6" w:rsidRDefault="00D51F5F">
          <w:pPr>
            <w:spacing w:line="360" w:lineRule="exact"/>
            <w:ind w:firstLineChars="200" w:firstLine="420"/>
            <w:rPr>
              <w:color w:val="000000" w:themeColor="text1"/>
            </w:rPr>
          </w:pPr>
          <w:r>
            <w:rPr>
              <w:rFonts w:hint="eastAsia"/>
              <w:color w:val="000000" w:themeColor="text1"/>
            </w:rPr>
            <w:t>对于在某一时段内履行的履约义务，公司在该段时间内按照履约进度确认收入。履约进度不能合理确定时，已经发生的成本预计能够得到补偿的，按照已经发生的成本金额确认收入，直到履约进度能够合理确定为止。</w:t>
          </w:r>
        </w:p>
        <w:p w:rsidR="00156DD6" w:rsidRDefault="00D51F5F">
          <w:pPr>
            <w:spacing w:line="360" w:lineRule="exact"/>
            <w:ind w:firstLineChars="200" w:firstLine="420"/>
            <w:rPr>
              <w:color w:val="000000" w:themeColor="text1"/>
            </w:rPr>
          </w:pPr>
          <w:r>
            <w:rPr>
              <w:rFonts w:hint="eastAsia"/>
              <w:color w:val="000000" w:themeColor="text1"/>
            </w:rPr>
            <w:t>对于在某一时点履行的履约义务，在客户取得相关商品或服务控制权时点确认收入。在判断客户是否已取得商品控制权时，公司考虑下列迹象：</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）公司就该商品享有现时收款权利，即客户就该商品负有现时付款义务；</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）公司已将该商品的法定所有权转移给客户，即客户已拥有该商品的法定所有权；</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）公司已将该商品实物转移给客户，即客户已实物占有该商品；</w:t>
          </w:r>
        </w:p>
        <w:p w:rsidR="00156DD6" w:rsidRDefault="00D51F5F">
          <w:pPr>
            <w:spacing w:line="360" w:lineRule="exact"/>
            <w:ind w:firstLineChars="200" w:firstLine="420"/>
            <w:rPr>
              <w:color w:val="000000" w:themeColor="text1"/>
            </w:rPr>
          </w:pPr>
          <w:r>
            <w:rPr>
              <w:rFonts w:hint="eastAsia"/>
              <w:color w:val="000000" w:themeColor="text1"/>
            </w:rPr>
            <w:t>4</w:t>
          </w:r>
          <w:r>
            <w:rPr>
              <w:rFonts w:hint="eastAsia"/>
              <w:color w:val="000000" w:themeColor="text1"/>
            </w:rPr>
            <w:t>）公司已将该商品所有权上的主要风险和报酬转移给客户，即客户已取得该商品所有权上的主要风险和报酬；</w:t>
          </w:r>
        </w:p>
        <w:p w:rsidR="00156DD6" w:rsidRDefault="00D51F5F">
          <w:pPr>
            <w:spacing w:line="360" w:lineRule="exact"/>
            <w:ind w:firstLineChars="200" w:firstLine="420"/>
            <w:rPr>
              <w:color w:val="000000" w:themeColor="text1"/>
            </w:rPr>
          </w:pPr>
          <w:r>
            <w:rPr>
              <w:rFonts w:hint="eastAsia"/>
              <w:color w:val="000000" w:themeColor="text1"/>
            </w:rPr>
            <w:t>5</w:t>
          </w:r>
          <w:r>
            <w:rPr>
              <w:rFonts w:hint="eastAsia"/>
              <w:color w:val="000000" w:themeColor="text1"/>
            </w:rPr>
            <w:t>）客户已接受该商品；</w:t>
          </w:r>
        </w:p>
        <w:p w:rsidR="00156DD6" w:rsidRDefault="00D51F5F">
          <w:pPr>
            <w:spacing w:line="360" w:lineRule="exact"/>
            <w:ind w:firstLineChars="200" w:firstLine="420"/>
            <w:rPr>
              <w:color w:val="000000" w:themeColor="text1"/>
            </w:rPr>
          </w:pPr>
          <w:r>
            <w:rPr>
              <w:rFonts w:hint="eastAsia"/>
              <w:color w:val="000000" w:themeColor="text1"/>
            </w:rPr>
            <w:t>6</w:t>
          </w:r>
          <w:r>
            <w:rPr>
              <w:rFonts w:hint="eastAsia"/>
              <w:color w:val="000000" w:themeColor="text1"/>
            </w:rPr>
            <w:t>）其他表明客户已取得商品控制权的迹象。</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）收入计量</w:t>
          </w:r>
          <w:r>
            <w:rPr>
              <w:rFonts w:hint="eastAsia"/>
              <w:color w:val="000000" w:themeColor="text1"/>
            </w:rPr>
            <w:t>原则</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）公司按照分摊至各单项履约义务的交易价格计量收入。交易价格是公司因向客户转让商品或服务而预期有权收取的对价金额，不包括代第三方收取的款项以及预期将退还给客户的款项。</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）合同中存在可变对价的，公司按照期望值或最可能发生金额确定可变对价的最佳估计数，但包含可变对价的交易价格，不超过在相关不确定性消除时累计已确认收入极可能不会发生重大转回的金额。</w:t>
          </w:r>
        </w:p>
        <w:p w:rsidR="00156DD6" w:rsidRDefault="00D51F5F">
          <w:pPr>
            <w:spacing w:line="360" w:lineRule="exact"/>
            <w:ind w:firstLineChars="200" w:firstLine="420"/>
            <w:rPr>
              <w:color w:val="000000" w:themeColor="text1"/>
            </w:rPr>
          </w:pPr>
          <w:r>
            <w:rPr>
              <w:rFonts w:hint="eastAsia"/>
              <w:color w:val="000000" w:themeColor="text1"/>
            </w:rPr>
            <w:t>3</w:t>
          </w:r>
          <w:r>
            <w:rPr>
              <w:rFonts w:hint="eastAsia"/>
              <w:color w:val="000000" w:themeColor="text1"/>
            </w:rPr>
            <w:t>）合同中存在重大融资成分的，公司按照假定客户在取得商品或服务控制权时即以现金支付的应付金额确定交易价格。该交易价格与合同对价之间的差额，在合同期间内采用实际</w:t>
          </w:r>
          <w:r>
            <w:rPr>
              <w:rFonts w:hint="eastAsia"/>
              <w:color w:val="000000" w:themeColor="text1"/>
            </w:rPr>
            <w:t>利率法摊销。</w:t>
          </w:r>
        </w:p>
        <w:p w:rsidR="00156DD6" w:rsidRDefault="00D51F5F">
          <w:pPr>
            <w:spacing w:line="360" w:lineRule="exact"/>
            <w:ind w:firstLineChars="200" w:firstLine="420"/>
            <w:rPr>
              <w:color w:val="000000" w:themeColor="text1"/>
            </w:rPr>
          </w:pPr>
          <w:r>
            <w:rPr>
              <w:rFonts w:hint="eastAsia"/>
              <w:color w:val="000000" w:themeColor="text1"/>
            </w:rPr>
            <w:t>4</w:t>
          </w:r>
          <w:r>
            <w:rPr>
              <w:rFonts w:hint="eastAsia"/>
              <w:color w:val="000000" w:themeColor="text1"/>
            </w:rPr>
            <w:t>）合同中包含两项或多项履约义务的，公司于合同开始日，按照各单项履约义务所承诺商品的单独售价的相对比例，将交易价格分摊至各单项履约义务。</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）收入确认的具体方法</w:t>
          </w:r>
        </w:p>
        <w:p w:rsidR="00156DD6" w:rsidRDefault="00D51F5F">
          <w:pPr>
            <w:spacing w:line="360" w:lineRule="exact"/>
            <w:ind w:firstLineChars="200" w:firstLine="420"/>
            <w:rPr>
              <w:color w:val="000000" w:themeColor="text1"/>
            </w:rPr>
          </w:pPr>
          <w:r>
            <w:rPr>
              <w:rFonts w:hint="eastAsia"/>
              <w:color w:val="000000" w:themeColor="text1"/>
            </w:rPr>
            <w:t>本公司主要销售输配电及控制设备和取向硅钢，属于在某一时点履约合同，产品销售收入具体确认方法如下：</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）境内商品销售收入</w:t>
          </w:r>
        </w:p>
        <w:p w:rsidR="00156DD6" w:rsidRDefault="00D51F5F">
          <w:pPr>
            <w:spacing w:line="360" w:lineRule="exact"/>
            <w:ind w:firstLineChars="200" w:firstLine="420"/>
            <w:rPr>
              <w:color w:val="000000" w:themeColor="text1"/>
            </w:rPr>
          </w:pPr>
          <w:r>
            <w:rPr>
              <w:rFonts w:hint="eastAsia"/>
              <w:color w:val="000000" w:themeColor="text1"/>
            </w:rPr>
            <w:lastRenderedPageBreak/>
            <w:t>公司根据合同约定或订单要求将产品交付给购货方，并获得购货方验收确认后，已将商品的控制权转移给购货方时确认收入。</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）境外商品销售收入</w:t>
          </w:r>
        </w:p>
        <w:p w:rsidR="00156DD6" w:rsidRDefault="00D51F5F">
          <w:pPr>
            <w:spacing w:line="360" w:lineRule="exact"/>
            <w:ind w:firstLineChars="200" w:firstLine="420"/>
            <w:rPr>
              <w:color w:val="000000" w:themeColor="text1"/>
            </w:rPr>
          </w:pPr>
          <w:r>
            <w:rPr>
              <w:rFonts w:hint="eastAsia"/>
              <w:color w:val="000000" w:themeColor="text1"/>
            </w:rPr>
            <w:t>公司在将货物交付承运方并完成报关出口时，按照出口报关单出口日期作为控制权转移的时</w:t>
          </w:r>
          <w:r>
            <w:rPr>
              <w:rFonts w:hint="eastAsia"/>
              <w:color w:val="000000" w:themeColor="text1"/>
            </w:rPr>
            <w:t>点，确认销售收入。</w:t>
          </w:r>
        </w:p>
      </w:sdtContent>
    </w:sdt>
    <w:p w:rsidR="00156DD6" w:rsidRDefault="00D51F5F">
      <w:pPr>
        <w:pStyle w:val="Style47"/>
        <w:numPr>
          <w:ilvl w:val="3"/>
          <w:numId w:val="40"/>
        </w:numPr>
        <w:ind w:left="426" w:hanging="426"/>
        <w:rPr>
          <w:rFonts w:ascii="宋体" w:hAnsi="宋体"/>
          <w:color w:val="000000" w:themeColor="text1"/>
          <w:sz w:val="21"/>
          <w:szCs w:val="21"/>
        </w:rPr>
      </w:pPr>
      <w:bookmarkStart w:id="196" w:name="_Hlk10465594"/>
      <w:bookmarkEnd w:id="195"/>
      <w:r>
        <w:rPr>
          <w:rFonts w:ascii="宋体" w:hAnsi="宋体" w:hint="eastAsia"/>
          <w:color w:val="000000" w:themeColor="text1"/>
          <w:sz w:val="21"/>
          <w:szCs w:val="21"/>
        </w:rPr>
        <w:t>同类业务采用不同经营模式涉及不同收入确认方式及计量方法</w:t>
      </w:r>
    </w:p>
    <w:sdt>
      <w:sdtPr>
        <w:rPr>
          <w:color w:val="000000" w:themeColor="text1"/>
        </w:rPr>
        <w:alias w:val="是否适用：同类业务采用不同经营模式导致收入确认会计政策存在差异的情况[双击切换]"/>
        <w:tag w:val="_GBC_f4f4337356c44180a833322bec4248a8"/>
        <w:id w:val="89185331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36"/>
        </w:numPr>
        <w:rPr>
          <w:rFonts w:ascii="宋体" w:hAnsi="宋体"/>
          <w:color w:val="000000" w:themeColor="text1"/>
          <w:sz w:val="21"/>
          <w:szCs w:val="21"/>
        </w:rPr>
      </w:pPr>
      <w:bookmarkStart w:id="197" w:name="_Hlk10465679"/>
      <w:bookmarkEnd w:id="196"/>
      <w:r>
        <w:rPr>
          <w:rFonts w:ascii="宋体" w:hAnsi="宋体"/>
          <w:color w:val="000000" w:themeColor="text1"/>
          <w:sz w:val="21"/>
          <w:szCs w:val="21"/>
        </w:rPr>
        <w:t>合同成本</w:t>
      </w:r>
    </w:p>
    <w:sdt>
      <w:sdtPr>
        <w:rPr>
          <w:color w:val="000000" w:themeColor="text1"/>
        </w:rPr>
        <w:alias w:val="是否适用：合同成本_重要会计政策和估计[双击切换]"/>
        <w:tag w:val="_GBC_d7752b20e4914f04bf87bad019929fe8"/>
        <w:id w:val="-14936800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36"/>
        </w:numPr>
        <w:rPr>
          <w:rFonts w:ascii="宋体" w:hAnsi="宋体"/>
          <w:color w:val="000000" w:themeColor="text1"/>
          <w:sz w:val="21"/>
          <w:szCs w:val="21"/>
        </w:rPr>
      </w:pPr>
      <w:bookmarkStart w:id="198" w:name="_Hlk10465775"/>
      <w:bookmarkEnd w:id="197"/>
      <w:r>
        <w:rPr>
          <w:rFonts w:ascii="宋体" w:hAnsi="宋体"/>
          <w:color w:val="000000" w:themeColor="text1"/>
          <w:sz w:val="21"/>
          <w:szCs w:val="21"/>
        </w:rPr>
        <w:t>政府补助</w:t>
      </w:r>
    </w:p>
    <w:sdt>
      <w:sdtPr>
        <w:rPr>
          <w:color w:val="000000" w:themeColor="text1"/>
        </w:rPr>
        <w:alias w:val="是否适用：政府补助_重要会计政策和估计[双击切换]"/>
        <w:tag w:val="_GBC_09d5ec3540ea4d9a8e10c93326c490a0"/>
        <w:id w:val="13145299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政府补助_重要会计政策和估计"/>
        <w:tag w:val="_GBC_f313a7b8b81b4ed0845a3af1ac57e5e8"/>
        <w:id w:val="-2072949184"/>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）政府补助在同时满足下列条件时予以确认：</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）公司能够满足政府补助所附的条件；</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）公司能够收到政府补助。</w:t>
          </w:r>
        </w:p>
        <w:p w:rsidR="00156DD6" w:rsidRDefault="00D51F5F">
          <w:pPr>
            <w:spacing w:line="360" w:lineRule="exact"/>
            <w:ind w:firstLineChars="200" w:firstLine="420"/>
            <w:rPr>
              <w:color w:val="000000" w:themeColor="text1"/>
            </w:rPr>
          </w:pPr>
          <w:r>
            <w:rPr>
              <w:rFonts w:hint="eastAsia"/>
              <w:color w:val="000000" w:themeColor="text1"/>
            </w:rPr>
            <w:t>政府补助为货币性资产的，按照收到或应收的金额计量。政府补助为非货币性资产的，按照公允价值计量；公允价值不能可靠取得的，按照名义金额计量。</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）与资产相关的政府补助判断依据及会计处理方法</w:t>
          </w:r>
        </w:p>
        <w:p w:rsidR="00156DD6" w:rsidRDefault="00D51F5F">
          <w:pPr>
            <w:spacing w:line="360" w:lineRule="exact"/>
            <w:ind w:firstLineChars="200" w:firstLine="420"/>
            <w:rPr>
              <w:color w:val="000000" w:themeColor="text1"/>
            </w:rPr>
          </w:pPr>
          <w:r>
            <w:rPr>
              <w:rFonts w:hint="eastAsia"/>
              <w:color w:val="000000" w:themeColor="text1"/>
            </w:rPr>
            <w:t>政府文件规定用于购建或以其他方式形成长期资产的政府补助划分为与资产相关的政府补助。政府文件不明确的，以取得该补助必须具备的基本条件为基础进行判断，以购建或其他方式形成长期资产为基本条件的作为与资产相关的政府补助。与资产相关的政府补助，冲减相关资产的账面价值或确认为递延收益。与资产相关的政府补助确认为递延收益的，在相关资产使用寿命内按照合理、系统的方法分期计入损益。按照名义金额计量的政府补助，直接计入当期损益。相关资产在使用寿命结束前被出售、转让、报废或发生毁损的，将尚未分配的相关递延收益余额转入资产处置当期</w:t>
          </w:r>
          <w:r>
            <w:rPr>
              <w:rFonts w:hint="eastAsia"/>
              <w:color w:val="000000" w:themeColor="text1"/>
            </w:rPr>
            <w:t>的损益。</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）与收益相关的政府补助判断依据及会计处理方法</w:t>
          </w:r>
        </w:p>
        <w:p w:rsidR="00156DD6" w:rsidRDefault="00D51F5F">
          <w:pPr>
            <w:spacing w:line="360" w:lineRule="exact"/>
            <w:ind w:firstLineChars="200" w:firstLine="420"/>
            <w:rPr>
              <w:color w:val="000000" w:themeColor="text1"/>
            </w:rPr>
          </w:pPr>
          <w:r>
            <w:rPr>
              <w:rFonts w:hint="eastAsia"/>
              <w:color w:val="000000" w:themeColor="text1"/>
            </w:rPr>
            <w:t>除与资产相关的政府补助之外的政府补助划分为与收益相关的政府补助。对于同时包含与资产相关部分和与收益相关部分的政府补助，难以区分与资产相关或与收益相关的，整体归类为与收益相关的政府补助。与收益相关的政府补助，用于补偿以后期间的相关成本费用或损失的，确认为递延收益，在确认相关成本费用或损失的期间，计入当期损益或冲减相关成本；用于补偿已发生的相关成本费用或损失的，直接计入当期损益或冲减相关成本。</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）与公司日常经营活动相关的政府补助，按照经济业务实质，</w:t>
          </w:r>
          <w:r>
            <w:rPr>
              <w:rFonts w:hint="eastAsia"/>
              <w:color w:val="000000" w:themeColor="text1"/>
            </w:rPr>
            <w:t>计入其他收益或冲减相关成本费用。与公司日常活动无关的政府补助，计入营业外收支。</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）政策性优惠贷款贴息的会计处理方法</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）财政将贴息资金拨付给贷款银行，由贷款银行以政策性优惠利率向公司提供贷款的，以实际收到的借款金额作为借款的入账价值，按照借款本金和该政策性优惠利率计算相关借款费用。</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）财政将贴息资金直接拨付给公司的，将对应的贴息冲减相关借款费用。</w:t>
          </w:r>
        </w:p>
      </w:sdtContent>
    </w:sdt>
    <w:bookmarkEnd w:id="198"/>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递延所得税资产</w:t>
      </w:r>
      <w:r>
        <w:rPr>
          <w:rFonts w:ascii="宋体" w:hAnsi="宋体"/>
          <w:color w:val="000000" w:themeColor="text1"/>
          <w:sz w:val="21"/>
          <w:szCs w:val="21"/>
        </w:rPr>
        <w:t>/</w:t>
      </w:r>
      <w:r>
        <w:rPr>
          <w:rFonts w:ascii="宋体" w:hAnsi="宋体"/>
          <w:color w:val="000000" w:themeColor="text1"/>
          <w:sz w:val="21"/>
          <w:szCs w:val="21"/>
        </w:rPr>
        <w:t>递延所得税负债</w:t>
      </w:r>
    </w:p>
    <w:sdt>
      <w:sdtPr>
        <w:rPr>
          <w:rFonts w:hint="eastAsia"/>
          <w:color w:val="000000" w:themeColor="text1"/>
        </w:rPr>
        <w:alias w:val="是否适用：所得税的会计处理方法[双击切换]"/>
        <w:tag w:val="_GBC_3e4bb828d17944599248216201e65683"/>
        <w:id w:val="13780456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w:instrText>
          </w:r>
          <w:r>
            <w:rPr>
              <w:color w:val="000000" w:themeColor="text1"/>
            </w:rPr>
            <w:instrText>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所得税的会计处理方法"/>
        <w:tag w:val="_GBC_545dd84ed2b9458fa5e2b87aa1e1cc1c"/>
        <w:id w:val="31237643"/>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）公司当期所得税和递延所得税作为所得税费用或收益计入当期损益，但不包括下列情况产生的所得税：企业合并；直接在所有者权益中确认的交易或者事项。</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）同时满足下列条件时，公司将递延所得税资产及递延所得税负债以抵销后的净额列示：</w:t>
          </w:r>
        </w:p>
        <w:p w:rsidR="00156DD6" w:rsidRDefault="00D51F5F">
          <w:pPr>
            <w:spacing w:line="360" w:lineRule="exact"/>
            <w:ind w:firstLineChars="200" w:firstLine="420"/>
            <w:rPr>
              <w:color w:val="000000" w:themeColor="text1"/>
            </w:rPr>
          </w:pPr>
          <w:r>
            <w:rPr>
              <w:rFonts w:hint="eastAsia"/>
              <w:color w:val="000000" w:themeColor="text1"/>
            </w:rPr>
            <w:t>1</w:t>
          </w:r>
          <w:r>
            <w:rPr>
              <w:rFonts w:hint="eastAsia"/>
              <w:color w:val="000000" w:themeColor="text1"/>
            </w:rPr>
            <w:t>）拥有以净额结算当期所得税资产及当期所得税负债的法定权利；</w:t>
          </w:r>
        </w:p>
        <w:p w:rsidR="00156DD6" w:rsidRDefault="00D51F5F">
          <w:pPr>
            <w:spacing w:line="360" w:lineRule="exact"/>
            <w:ind w:firstLineChars="200" w:firstLine="420"/>
            <w:rPr>
              <w:color w:val="000000" w:themeColor="text1"/>
            </w:rPr>
          </w:pPr>
          <w:r>
            <w:rPr>
              <w:rFonts w:hint="eastAsia"/>
              <w:color w:val="000000" w:themeColor="text1"/>
            </w:rPr>
            <w:t>2</w:t>
          </w:r>
          <w:r>
            <w:rPr>
              <w:rFonts w:hint="eastAsia"/>
              <w:color w:val="000000" w:themeColor="text1"/>
            </w:rPr>
            <w:t>）递</w:t>
          </w:r>
          <w:r>
            <w:rPr>
              <w:rFonts w:hint="eastAsia"/>
              <w:color w:val="000000" w:themeColor="text1"/>
            </w:rPr>
            <w:t>延所得税资产和递延所得税负债是与同一税收征管部门对同一纳税主体征收的所得税相关或者对不同的纳税主体相关，但在未来每一具有重要性的递延所得税资产和递延所得税负债转回的期间内，涉及的纳税主体意图以净额结算当期所得税资产及当期所得税负债或是同时取得资产、清偿债务。</w:t>
          </w:r>
        </w:p>
      </w:sdtContent>
    </w:sdt>
    <w:p w:rsidR="00156DD6" w:rsidRDefault="00D51F5F">
      <w:pPr>
        <w:pStyle w:val="TOC6"/>
        <w:numPr>
          <w:ilvl w:val="0"/>
          <w:numId w:val="36"/>
        </w:numPr>
        <w:rPr>
          <w:rFonts w:ascii="宋体" w:hAnsi="宋体"/>
          <w:color w:val="000000" w:themeColor="text1"/>
          <w:sz w:val="21"/>
          <w:szCs w:val="21"/>
        </w:rPr>
      </w:pPr>
      <w:bookmarkStart w:id="199" w:name="_Hlk167884177"/>
      <w:bookmarkStart w:id="200" w:name="_Hlk169007779"/>
      <w:r>
        <w:rPr>
          <w:rFonts w:ascii="宋体" w:hAnsi="宋体"/>
          <w:color w:val="000000" w:themeColor="text1"/>
          <w:sz w:val="21"/>
          <w:szCs w:val="21"/>
        </w:rPr>
        <w:t>租赁</w:t>
      </w:r>
    </w:p>
    <w:sdt>
      <w:sdtPr>
        <w:rPr>
          <w:color w:val="000000" w:themeColor="text1"/>
        </w:rPr>
        <w:alias w:val="是否适用：租赁_重要会计政策和估计[双击切换]"/>
        <w:tag w:val="_GBC_7f954ee357264e2c946d2c530d8787c5"/>
        <w:id w:val="121084956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rPr>
          <w:rFonts w:ascii="Calibri" w:hAnsi="Calibri" w:cs="Times New Roman"/>
          <w:b/>
          <w:color w:val="000000" w:themeColor="text1"/>
          <w:kern w:val="2"/>
        </w:rPr>
      </w:pPr>
      <w:r>
        <w:rPr>
          <w:rFonts w:ascii="Calibri" w:hAnsi="Calibri" w:cs="Times New Roman"/>
          <w:b/>
          <w:color w:val="000000" w:themeColor="text1"/>
          <w:kern w:val="2"/>
        </w:rPr>
        <w:t>作为承租方对短期租赁和低价值资产租赁进行简化处理的判断依据和会计处理方法</w:t>
      </w:r>
    </w:p>
    <w:sdt>
      <w:sdtPr>
        <w:rPr>
          <w:color w:val="000000" w:themeColor="text1"/>
        </w:rPr>
        <w:alias w:val="是否适用：作为承租方对短期租赁和低价值资产租赁进行简化处理的判断依据和会计处理方法[双击切换]"/>
        <w:tag w:val="_GBC_7bcaad3acb7c40ecbe59ad19b127555f"/>
        <w:id w:val="-199917232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作为承租方对短期租赁和低价值资产租赁进行简化处理的判断依据和会计处理方法"/>
        <w:tag w:val="_GBC_83c59a0eb4ac4ef2afb783bc5dd4efb6"/>
        <w:id w:val="772899647"/>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在租赁期开始日，公司将租赁期不超过</w:t>
          </w:r>
          <w:r>
            <w:rPr>
              <w:rFonts w:hint="eastAsia"/>
              <w:color w:val="000000" w:themeColor="text1"/>
            </w:rPr>
            <w:t>12</w:t>
          </w:r>
          <w:r>
            <w:rPr>
              <w:rFonts w:hint="eastAsia"/>
              <w:color w:val="000000" w:themeColor="text1"/>
            </w:rPr>
            <w:t>个月，且不包含购买选择权的租赁认定为短期租赁；将单项租赁资产为全新资产时价值较低的租赁认定为低价值资产租赁。公司转租或预期转租租赁资产的，原租赁不认定为低价值资产租赁。</w:t>
          </w:r>
        </w:p>
        <w:p w:rsidR="00156DD6" w:rsidRDefault="00D51F5F">
          <w:pPr>
            <w:spacing w:line="360" w:lineRule="exact"/>
            <w:ind w:firstLineChars="200" w:firstLine="420"/>
            <w:rPr>
              <w:color w:val="000000" w:themeColor="text1"/>
            </w:rPr>
          </w:pPr>
          <w:r>
            <w:rPr>
              <w:rFonts w:hint="eastAsia"/>
              <w:color w:val="000000" w:themeColor="text1"/>
            </w:rPr>
            <w:t>对于所有短期租赁和低价值资产租赁，公司在租赁期内各个期间按照直线法将租赁付款额计入相关资产成本或当期损益。</w:t>
          </w:r>
        </w:p>
        <w:p w:rsidR="00156DD6" w:rsidRDefault="00D51F5F">
          <w:pPr>
            <w:spacing w:line="360" w:lineRule="exact"/>
            <w:ind w:firstLineChars="200" w:firstLine="420"/>
            <w:rPr>
              <w:color w:val="000000" w:themeColor="text1"/>
            </w:rPr>
          </w:pPr>
          <w:r>
            <w:rPr>
              <w:rFonts w:hint="eastAsia"/>
              <w:color w:val="000000" w:themeColor="text1"/>
            </w:rPr>
            <w:t>除上述采用简化处理的短期租赁和低价值</w:t>
          </w:r>
          <w:r>
            <w:rPr>
              <w:rFonts w:hint="eastAsia"/>
              <w:color w:val="000000" w:themeColor="text1"/>
            </w:rPr>
            <w:t>资产租赁外，在租赁期开始日，公司对租赁确认使用权资产和租赁负债。</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）使用权资产</w:t>
          </w:r>
        </w:p>
        <w:p w:rsidR="00156DD6" w:rsidRDefault="00D51F5F">
          <w:pPr>
            <w:spacing w:line="360" w:lineRule="exact"/>
            <w:ind w:firstLineChars="200" w:firstLine="420"/>
            <w:rPr>
              <w:color w:val="000000" w:themeColor="text1"/>
            </w:rPr>
          </w:pPr>
          <w:r>
            <w:rPr>
              <w:rFonts w:hint="eastAsia"/>
              <w:color w:val="000000" w:themeColor="text1"/>
            </w:rPr>
            <w:t>使用权资产按照成本进行初始计量，该成本包括：</w:t>
          </w:r>
          <w:r>
            <w:rPr>
              <w:rFonts w:hint="eastAsia"/>
              <w:color w:val="000000" w:themeColor="text1"/>
            </w:rPr>
            <w:t>1</w:t>
          </w:r>
          <w:r>
            <w:rPr>
              <w:rFonts w:hint="eastAsia"/>
              <w:color w:val="000000" w:themeColor="text1"/>
            </w:rPr>
            <w:t>）租赁负债的初始计量金额；</w:t>
          </w:r>
          <w:r>
            <w:rPr>
              <w:rFonts w:hint="eastAsia"/>
              <w:color w:val="000000" w:themeColor="text1"/>
            </w:rPr>
            <w:t>2</w:t>
          </w:r>
          <w:r>
            <w:rPr>
              <w:rFonts w:hint="eastAsia"/>
              <w:color w:val="000000" w:themeColor="text1"/>
            </w:rPr>
            <w:t>）在租赁期开始日或之前支付的租赁付款额，存在租赁激励的，扣除已享受的租赁激励相关金额；</w:t>
          </w:r>
          <w:r>
            <w:rPr>
              <w:rFonts w:hint="eastAsia"/>
              <w:color w:val="000000" w:themeColor="text1"/>
            </w:rPr>
            <w:t>3</w:t>
          </w:r>
          <w:r>
            <w:rPr>
              <w:rFonts w:hint="eastAsia"/>
              <w:color w:val="000000" w:themeColor="text1"/>
            </w:rPr>
            <w:t>）承租人发生的初始直接费用；</w:t>
          </w:r>
          <w:r>
            <w:rPr>
              <w:rFonts w:hint="eastAsia"/>
              <w:color w:val="000000" w:themeColor="text1"/>
            </w:rPr>
            <w:t>4</w:t>
          </w:r>
          <w:r>
            <w:rPr>
              <w:rFonts w:hint="eastAsia"/>
              <w:color w:val="000000" w:themeColor="text1"/>
            </w:rPr>
            <w:t>）承租人为拆卸及移除租赁资产、复原租赁资产所在场地或将租赁资产恢复至租赁条款约定状态预计将发生的成本。</w:t>
          </w:r>
        </w:p>
        <w:p w:rsidR="00156DD6" w:rsidRDefault="00D51F5F">
          <w:pPr>
            <w:spacing w:line="360" w:lineRule="exact"/>
            <w:ind w:firstLineChars="200" w:firstLine="420"/>
            <w:rPr>
              <w:color w:val="000000" w:themeColor="text1"/>
            </w:rPr>
          </w:pPr>
          <w:r>
            <w:rPr>
              <w:rFonts w:hint="eastAsia"/>
              <w:color w:val="000000" w:themeColor="text1"/>
            </w:rPr>
            <w:t>公司按照直线法对使用权资产计提折旧。能够合理确定租赁期届满时取得租赁资产所有权的，公司在租赁资产剩余使用寿命内计提折旧。无法合理确定租赁期届满时能够取得租赁资产所有权的，公司在租赁期与租赁资产剩余使用寿命两者孰短的期间内计提折旧。</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）租赁负债</w:t>
          </w:r>
        </w:p>
        <w:p w:rsidR="00156DD6" w:rsidRDefault="00D51F5F">
          <w:pPr>
            <w:spacing w:line="360" w:lineRule="exact"/>
            <w:ind w:firstLineChars="200" w:firstLine="420"/>
            <w:rPr>
              <w:color w:val="000000" w:themeColor="text1"/>
            </w:rPr>
          </w:pPr>
          <w:r>
            <w:rPr>
              <w:rFonts w:hint="eastAsia"/>
              <w:color w:val="000000" w:themeColor="text1"/>
            </w:rPr>
            <w:lastRenderedPageBreak/>
            <w:t>在租赁期开始日，公司将尚未支付的租赁付款额的现值确认为租赁负债。计算租赁付款额现值时采用租赁内含利率作为折现率，无法确定租赁内含利率的，采用公司增量借款利率作为折现率。租赁付款额与其现值之间的差额作为未确认融资费用，在租赁期各个期间内按照确认租赁付款额现值的折现率</w:t>
          </w:r>
          <w:r>
            <w:rPr>
              <w:rFonts w:hint="eastAsia"/>
              <w:color w:val="000000" w:themeColor="text1"/>
            </w:rPr>
            <w:t>确认利息费用，并计入当期损益。未纳入租赁负债计量的可变租赁付款额于实际发生时计入当期损益。</w:t>
          </w:r>
        </w:p>
        <w:p w:rsidR="00156DD6" w:rsidRDefault="00D51F5F">
          <w:pPr>
            <w:spacing w:line="360" w:lineRule="exact"/>
            <w:ind w:firstLineChars="200" w:firstLine="420"/>
            <w:rPr>
              <w:color w:val="000000" w:themeColor="text1"/>
            </w:rPr>
          </w:pPr>
          <w:r>
            <w:rPr>
              <w:rFonts w:hint="eastAsia"/>
              <w:color w:val="000000" w:themeColor="text1"/>
            </w:rPr>
            <w:t>租赁期开始日后，当实质固定付款额发生变动、担保余值预计的应付金额发生变化、用于确定租赁付款额的指数或比率发生变动、购买选择权、续租选择权或终止选择权的评估结果或实际行权情况发生变化时，公司按照变动后的租赁付款额的现值重新计量租赁负债，并相应调整使用权资产的账面价值，如使用权资产账面价值已调减至零，但租赁负债仍需进一步调减的，将剩余金额计入当期损益。</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）售后回租</w:t>
          </w:r>
        </w:p>
        <w:p w:rsidR="00156DD6" w:rsidRDefault="00D51F5F">
          <w:pPr>
            <w:spacing w:line="360" w:lineRule="exact"/>
            <w:ind w:firstLineChars="200" w:firstLine="420"/>
            <w:rPr>
              <w:color w:val="000000" w:themeColor="text1"/>
            </w:rPr>
          </w:pPr>
          <w:r>
            <w:rPr>
              <w:rFonts w:hint="eastAsia"/>
              <w:color w:val="000000" w:themeColor="text1"/>
            </w:rPr>
            <w:t>公司按照《企业会计准则第</w:t>
          </w:r>
          <w:r>
            <w:rPr>
              <w:rFonts w:hint="eastAsia"/>
              <w:color w:val="000000" w:themeColor="text1"/>
            </w:rPr>
            <w:t>14</w:t>
          </w:r>
          <w:r>
            <w:rPr>
              <w:rFonts w:hint="eastAsia"/>
              <w:color w:val="000000" w:themeColor="text1"/>
            </w:rPr>
            <w:t>号——收入》的规定，评估</w:t>
          </w:r>
          <w:r>
            <w:rPr>
              <w:rFonts w:hint="eastAsia"/>
              <w:color w:val="000000" w:themeColor="text1"/>
            </w:rPr>
            <w:t>确定售后租回交易中的资产转让是否属于销售。</w:t>
          </w:r>
        </w:p>
        <w:p w:rsidR="00156DD6" w:rsidRDefault="00D51F5F">
          <w:pPr>
            <w:spacing w:line="360" w:lineRule="exact"/>
            <w:ind w:firstLineChars="200" w:firstLine="420"/>
            <w:rPr>
              <w:color w:val="000000" w:themeColor="text1"/>
            </w:rPr>
          </w:pPr>
          <w:r>
            <w:rPr>
              <w:rFonts w:hint="eastAsia"/>
              <w:color w:val="000000" w:themeColor="text1"/>
            </w:rPr>
            <w:t>售后租回交易中的资产转让属于销售的，公司按原资产账面价值中与租回获得的使用权有关的部分，计量售后租回所形成的使用权资产，并仅就转让至出租人的权利确认相关利得或损失。</w:t>
          </w:r>
        </w:p>
        <w:p w:rsidR="00156DD6" w:rsidRDefault="00D51F5F">
          <w:pPr>
            <w:spacing w:line="360" w:lineRule="exact"/>
            <w:ind w:firstLineChars="200" w:firstLine="420"/>
            <w:rPr>
              <w:color w:val="000000" w:themeColor="text1"/>
            </w:rPr>
          </w:pPr>
          <w:r>
            <w:rPr>
              <w:rFonts w:hint="eastAsia"/>
              <w:color w:val="000000" w:themeColor="text1"/>
            </w:rPr>
            <w:t>售后租回交易中的资产转让不属于销售的，公司继续确认被转让资产，同时确认一项与转让收入等额的金融负债，并按照《企业会计准则第</w:t>
          </w:r>
          <w:r>
            <w:rPr>
              <w:rFonts w:hint="eastAsia"/>
              <w:color w:val="000000" w:themeColor="text1"/>
            </w:rPr>
            <w:t>22</w:t>
          </w:r>
          <w:r>
            <w:rPr>
              <w:rFonts w:hint="eastAsia"/>
              <w:color w:val="000000" w:themeColor="text1"/>
            </w:rPr>
            <w:t>号——金融工具确认和计量》对该金融负债进行会计处理。</w:t>
          </w:r>
        </w:p>
      </w:sdtContent>
    </w:sdt>
    <w:p w:rsidR="00156DD6" w:rsidRDefault="00D51F5F">
      <w:pPr>
        <w:rPr>
          <w:rFonts w:ascii="Calibri" w:hAnsi="Calibri" w:cs="Times New Roman"/>
          <w:b/>
          <w:color w:val="000000" w:themeColor="text1"/>
          <w:kern w:val="2"/>
        </w:rPr>
      </w:pPr>
      <w:r>
        <w:rPr>
          <w:rFonts w:ascii="Calibri" w:hAnsi="Calibri" w:cs="Times New Roman"/>
          <w:b/>
          <w:color w:val="000000" w:themeColor="text1"/>
          <w:kern w:val="2"/>
        </w:rPr>
        <w:t>作为出租方的租赁分类标准和会计处理方法</w:t>
      </w:r>
    </w:p>
    <w:sdt>
      <w:sdtPr>
        <w:rPr>
          <w:color w:val="000000" w:themeColor="text1"/>
        </w:rPr>
        <w:alias w:val="是否适用：作为出租方的租赁分类标准和会计处理方法[双击切换]"/>
        <w:tag w:val="_GBC_5f67d3c5f08047cab6976824f73e97e9"/>
        <w:id w:val="158541850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作为出租方的租赁分类标准和会计处理方法"/>
        <w:tag w:val="_GBC_32ac25e0a5c442ef8da612bad391098d"/>
        <w:id w:val="-240096731"/>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在租赁开始日，公司将实质上转移了与租赁资产所有权有关的几乎全部风险和报酬的租赁划分为融资租赁，除此之外的均为经营租赁。</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）经营租赁</w:t>
          </w:r>
        </w:p>
        <w:p w:rsidR="00156DD6" w:rsidRDefault="00D51F5F">
          <w:pPr>
            <w:spacing w:line="360" w:lineRule="exact"/>
            <w:ind w:firstLineChars="200" w:firstLine="420"/>
            <w:rPr>
              <w:color w:val="000000" w:themeColor="text1"/>
            </w:rPr>
          </w:pPr>
          <w:r>
            <w:rPr>
              <w:rFonts w:hint="eastAsia"/>
              <w:color w:val="000000" w:themeColor="text1"/>
            </w:rPr>
            <w:t>公司在租赁期内各个期间按照直线法将租赁收款额确认为租金收入，发生的初始直接费用予以资本化并按照与租金收入确认相同的基础进行分摊，分期计入当期损益。公司取得的与经营租赁有关的未计入租赁收款额的可变租赁付款额在实际发生时计入当期损益。</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）融资租赁</w:t>
          </w:r>
        </w:p>
        <w:p w:rsidR="00156DD6" w:rsidRDefault="00D51F5F">
          <w:pPr>
            <w:spacing w:line="360" w:lineRule="exact"/>
            <w:ind w:firstLineChars="200" w:firstLine="420"/>
            <w:rPr>
              <w:color w:val="000000" w:themeColor="text1"/>
            </w:rPr>
          </w:pPr>
          <w:r>
            <w:rPr>
              <w:rFonts w:hint="eastAsia"/>
              <w:color w:val="000000" w:themeColor="text1"/>
            </w:rPr>
            <w:t>在租赁期开始日，公司按照租赁投资净额（未担保</w:t>
          </w:r>
          <w:r>
            <w:rPr>
              <w:rFonts w:hint="eastAsia"/>
              <w:color w:val="000000" w:themeColor="text1"/>
            </w:rPr>
            <w:t>余值和租赁期开始日尚未收到的租赁收款额按照租赁内含利率折现的现值之和）确认应收融资租赁款，并终止确认融资租赁资产。在租赁期的各个期间，公司按照租赁内含利率计算并确认利息收入。</w:t>
          </w:r>
        </w:p>
        <w:p w:rsidR="00156DD6" w:rsidRDefault="00D51F5F">
          <w:pPr>
            <w:spacing w:line="360" w:lineRule="exact"/>
            <w:ind w:firstLineChars="200" w:firstLine="420"/>
            <w:rPr>
              <w:color w:val="000000" w:themeColor="text1"/>
            </w:rPr>
          </w:pPr>
          <w:r>
            <w:rPr>
              <w:rFonts w:hint="eastAsia"/>
              <w:color w:val="000000" w:themeColor="text1"/>
            </w:rPr>
            <w:t>公司取得的未纳入租赁投资净额计量的可变租赁付款额在实际发生时计入当期损益。</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）售后回租</w:t>
          </w:r>
        </w:p>
        <w:p w:rsidR="00156DD6" w:rsidRDefault="00D51F5F">
          <w:pPr>
            <w:spacing w:line="360" w:lineRule="exact"/>
            <w:ind w:firstLineChars="200" w:firstLine="420"/>
            <w:rPr>
              <w:color w:val="000000" w:themeColor="text1"/>
            </w:rPr>
          </w:pPr>
          <w:r>
            <w:rPr>
              <w:rFonts w:hint="eastAsia"/>
              <w:color w:val="000000" w:themeColor="text1"/>
            </w:rPr>
            <w:t>公司按照《企业会计准则第</w:t>
          </w:r>
          <w:r>
            <w:rPr>
              <w:rFonts w:hint="eastAsia"/>
              <w:color w:val="000000" w:themeColor="text1"/>
            </w:rPr>
            <w:t>14</w:t>
          </w:r>
          <w:r>
            <w:rPr>
              <w:rFonts w:hint="eastAsia"/>
              <w:color w:val="000000" w:themeColor="text1"/>
            </w:rPr>
            <w:t>号——收入》的规定，评估确定售后租回交易中的资产转让是否属于销售。</w:t>
          </w:r>
        </w:p>
        <w:p w:rsidR="00156DD6" w:rsidRDefault="00D51F5F">
          <w:pPr>
            <w:spacing w:line="360" w:lineRule="exact"/>
            <w:ind w:firstLineChars="200" w:firstLine="420"/>
            <w:rPr>
              <w:color w:val="000000" w:themeColor="text1"/>
            </w:rPr>
          </w:pPr>
          <w:r>
            <w:rPr>
              <w:rFonts w:hint="eastAsia"/>
              <w:color w:val="000000" w:themeColor="text1"/>
            </w:rPr>
            <w:t>售后租回交易中的资产转让属于销售的，公司根据其他适用的企业会计准则对资产购买进行会计处理，并根据《企业会计准则第</w:t>
          </w:r>
          <w:r>
            <w:rPr>
              <w:rFonts w:hint="eastAsia"/>
              <w:color w:val="000000" w:themeColor="text1"/>
            </w:rPr>
            <w:t>21</w:t>
          </w:r>
          <w:r>
            <w:rPr>
              <w:rFonts w:hint="eastAsia"/>
              <w:color w:val="000000" w:themeColor="text1"/>
            </w:rPr>
            <w:t>号——租赁》对资产出租进行会计处</w:t>
          </w:r>
          <w:r>
            <w:rPr>
              <w:rFonts w:hint="eastAsia"/>
              <w:color w:val="000000" w:themeColor="text1"/>
            </w:rPr>
            <w:t>理。</w:t>
          </w:r>
        </w:p>
        <w:p w:rsidR="00156DD6" w:rsidRDefault="00D51F5F">
          <w:pPr>
            <w:spacing w:line="360" w:lineRule="exact"/>
            <w:ind w:firstLineChars="200" w:firstLine="420"/>
            <w:rPr>
              <w:color w:val="000000" w:themeColor="text1"/>
            </w:rPr>
          </w:pPr>
          <w:r>
            <w:rPr>
              <w:rFonts w:hint="eastAsia"/>
              <w:color w:val="000000" w:themeColor="text1"/>
            </w:rPr>
            <w:t>售后租回交易中的资产转让不属于销售的，公司不确认被转让资产，但确认一项与转让收入等额的金融资产，并按照《企业会计准则第</w:t>
          </w:r>
          <w:r>
            <w:rPr>
              <w:rFonts w:hint="eastAsia"/>
              <w:color w:val="000000" w:themeColor="text1"/>
            </w:rPr>
            <w:t>22</w:t>
          </w:r>
          <w:r>
            <w:rPr>
              <w:rFonts w:hint="eastAsia"/>
              <w:color w:val="000000" w:themeColor="text1"/>
            </w:rPr>
            <w:t>号——金融工具确认和计量》对该金融资产进行会计处理。</w:t>
          </w:r>
        </w:p>
      </w:sdtContent>
    </w:sdt>
    <w:bookmarkEnd w:id="199"/>
    <w:bookmarkEnd w:id="200"/>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lastRenderedPageBreak/>
        <w:t>其他重要的会计政策和会计估计</w:t>
      </w:r>
    </w:p>
    <w:sdt>
      <w:sdtPr>
        <w:rPr>
          <w:color w:val="000000" w:themeColor="text1"/>
        </w:rPr>
        <w:alias w:val="是否适用：其他重要的会计政策和会计估计[双击切换]"/>
        <w:tag w:val="_GBC_b4281f4538de4623a036697d3903e1f8"/>
        <w:id w:val="19389371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其他主要会计政策会计估计和会计报表的编制方法"/>
        <w:tag w:val="_GBC_5cf318d9d3d148c4af010cce77bc955d"/>
        <w:id w:val="1478032"/>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）安全生产费</w:t>
          </w:r>
        </w:p>
        <w:p w:rsidR="00156DD6" w:rsidRDefault="00D51F5F">
          <w:pPr>
            <w:spacing w:line="360" w:lineRule="exact"/>
            <w:ind w:firstLineChars="200" w:firstLine="420"/>
            <w:rPr>
              <w:color w:val="000000" w:themeColor="text1"/>
            </w:rPr>
          </w:pPr>
          <w:r>
            <w:rPr>
              <w:rFonts w:hint="eastAsia"/>
              <w:color w:val="000000" w:themeColor="text1"/>
            </w:rPr>
            <w:t>公司按照财政部、应急部发布的《企业安全生产费用提取和使用管理办法》（财资〔</w:t>
          </w:r>
          <w:r>
            <w:rPr>
              <w:rFonts w:hint="eastAsia"/>
              <w:color w:val="000000" w:themeColor="text1"/>
            </w:rPr>
            <w:t>2022</w:t>
          </w:r>
          <w:r>
            <w:rPr>
              <w:rFonts w:hint="eastAsia"/>
              <w:color w:val="000000" w:themeColor="text1"/>
            </w:rPr>
            <w:t>〕</w:t>
          </w:r>
          <w:r>
            <w:rPr>
              <w:rFonts w:hint="eastAsia"/>
              <w:color w:val="000000" w:themeColor="text1"/>
            </w:rPr>
            <w:t>136</w:t>
          </w:r>
          <w:r>
            <w:rPr>
              <w:rFonts w:hint="eastAsia"/>
              <w:color w:val="000000" w:themeColor="text1"/>
            </w:rPr>
            <w:t>号）的规定提取的安全生产费，</w:t>
          </w:r>
          <w:r>
            <w:rPr>
              <w:rFonts w:hint="eastAsia"/>
              <w:color w:val="000000" w:themeColor="text1"/>
            </w:rPr>
            <w:t>计入相关产品的成本或当期损益，同时记入“专项储备”科目。使用提取的安全生产费时，属于费用性支出的，直接冲减专项储备。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）部分长期资产减值</w:t>
          </w:r>
        </w:p>
        <w:p w:rsidR="00156DD6" w:rsidRDefault="00D51F5F">
          <w:pPr>
            <w:spacing w:line="360" w:lineRule="exact"/>
            <w:ind w:firstLineChars="200" w:firstLine="420"/>
            <w:rPr>
              <w:color w:val="000000" w:themeColor="text1"/>
            </w:rPr>
          </w:pPr>
          <w:r>
            <w:rPr>
              <w:rFonts w:hint="eastAsia"/>
              <w:color w:val="000000" w:themeColor="text1"/>
            </w:rPr>
            <w:t>对长期股权投资、固定资产、在建工程、使用权资产、使用寿命有限的无形资产等长期资产，在资产负债表日有迹象表明发生减值的，估计其可收回金额。对因企业合并所形成的商誉和使用寿命不确定的无形资产，无论是否存在减值迹象，每年都进行减值测试。商誉结合与其相关的资产组或者资产组组合进行减值测试。</w:t>
          </w:r>
        </w:p>
        <w:p w:rsidR="00156DD6" w:rsidRDefault="00D51F5F">
          <w:pPr>
            <w:spacing w:line="360" w:lineRule="exact"/>
            <w:ind w:firstLineChars="200" w:firstLine="420"/>
            <w:rPr>
              <w:color w:val="000000" w:themeColor="text1"/>
            </w:rPr>
          </w:pPr>
          <w:r>
            <w:rPr>
              <w:rFonts w:hint="eastAsia"/>
              <w:color w:val="000000" w:themeColor="text1"/>
            </w:rPr>
            <w:t>若上述长期资产的可收回金额低于其账面价值的，按其差额确认资产减值准备并计入当期损益。</w:t>
          </w:r>
        </w:p>
      </w:sdtContent>
    </w:sdt>
    <w:p w:rsidR="00156DD6" w:rsidRDefault="00D51F5F">
      <w:pPr>
        <w:pStyle w:val="TOC6"/>
        <w:numPr>
          <w:ilvl w:val="0"/>
          <w:numId w:val="36"/>
        </w:numPr>
        <w:rPr>
          <w:rFonts w:ascii="宋体" w:hAnsi="宋体"/>
          <w:color w:val="000000" w:themeColor="text1"/>
          <w:sz w:val="21"/>
          <w:szCs w:val="21"/>
        </w:rPr>
      </w:pPr>
      <w:r>
        <w:rPr>
          <w:rFonts w:ascii="宋体" w:hAnsi="宋体"/>
          <w:color w:val="000000" w:themeColor="text1"/>
          <w:sz w:val="21"/>
          <w:szCs w:val="21"/>
        </w:rPr>
        <w:t>重要会计政策和会计估计的变更</w:t>
      </w:r>
    </w:p>
    <w:p w:rsidR="00156DD6" w:rsidRDefault="00D51F5F">
      <w:pPr>
        <w:pStyle w:val="Style47"/>
        <w:numPr>
          <w:ilvl w:val="3"/>
          <w:numId w:val="41"/>
        </w:numPr>
        <w:ind w:left="426" w:hanging="426"/>
        <w:rPr>
          <w:rFonts w:ascii="宋体" w:hAnsi="宋体"/>
          <w:color w:val="000000" w:themeColor="text1"/>
          <w:sz w:val="21"/>
          <w:szCs w:val="21"/>
        </w:rPr>
      </w:pPr>
      <w:bookmarkStart w:id="201" w:name="_Hlk169007887"/>
      <w:r>
        <w:rPr>
          <w:rFonts w:ascii="宋体" w:hAnsi="宋体" w:hint="eastAsia"/>
          <w:color w:val="000000" w:themeColor="text1"/>
          <w:sz w:val="21"/>
          <w:szCs w:val="21"/>
        </w:rPr>
        <w:t>重要</w:t>
      </w:r>
      <w:r>
        <w:rPr>
          <w:rFonts w:ascii="宋体" w:hAnsi="宋体"/>
          <w:color w:val="000000" w:themeColor="text1"/>
          <w:sz w:val="21"/>
          <w:szCs w:val="21"/>
        </w:rPr>
        <w:t>会计政策变更</w:t>
      </w:r>
    </w:p>
    <w:sdt>
      <w:sdtPr>
        <w:rPr>
          <w:color w:val="000000" w:themeColor="text1"/>
        </w:rPr>
        <w:alias w:val="是否适用：重要会计政策变更[双击切换]"/>
        <w:tag w:val="_GBC_f1ebc580f60c4d30a80747190ffbec4f"/>
        <w:id w:val="761956156"/>
        <w:placeholder>
          <w:docPart w:val="GBC22222222222222222222222222222"/>
        </w:placeholder>
      </w:sdtPr>
      <w:sdtEndPr/>
      <w:sdtContent>
        <w:p w:rsidR="00156DD6" w:rsidRDefault="00D51F5F">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w:instrText>
          </w:r>
          <w:r>
            <w:rPr>
              <w:rFonts w:hint="eastAsia"/>
              <w:color w:val="000000" w:themeColor="text1"/>
            </w:rPr>
            <w:instrText xml:space="preserve">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41"/>
        </w:numPr>
        <w:ind w:left="426" w:hanging="426"/>
        <w:rPr>
          <w:rFonts w:ascii="宋体" w:hAnsi="宋体"/>
          <w:color w:val="000000" w:themeColor="text1"/>
          <w:sz w:val="21"/>
          <w:szCs w:val="21"/>
        </w:rPr>
      </w:pPr>
      <w:r>
        <w:rPr>
          <w:rFonts w:ascii="宋体" w:hAnsi="宋体" w:hint="eastAsia"/>
          <w:color w:val="000000" w:themeColor="text1"/>
          <w:sz w:val="21"/>
          <w:szCs w:val="21"/>
        </w:rPr>
        <w:t>重要会计估计变更</w:t>
      </w:r>
    </w:p>
    <w:sdt>
      <w:sdtPr>
        <w:rPr>
          <w:color w:val="000000" w:themeColor="text1"/>
        </w:rPr>
        <w:alias w:val="是否适用：重要会计估计变更[双击切换]"/>
        <w:tag w:val="_GBC_902f08bd36774074945386d2d1f9b67d"/>
        <w:id w:val="-1405296058"/>
        <w:placeholder>
          <w:docPart w:val="GBC22222222222222222222222222222"/>
        </w:placeholder>
      </w:sdtPr>
      <w:sdtEndPr/>
      <w:sdtContent>
        <w:p w:rsidR="00156DD6" w:rsidRDefault="00D51F5F">
          <w:pPr>
            <w:rPr>
              <w:rFonts w:cs="Times New Roman"/>
              <w:color w:val="000000" w:themeColor="text1"/>
              <w:kern w:val="2"/>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41"/>
        </w:numPr>
        <w:ind w:left="426" w:hanging="426"/>
        <w:rPr>
          <w:rFonts w:ascii="宋体" w:hAnsi="宋体"/>
          <w:color w:val="000000" w:themeColor="text1"/>
          <w:sz w:val="21"/>
          <w:szCs w:val="21"/>
        </w:rPr>
      </w:pPr>
      <w:bookmarkStart w:id="202" w:name="_Hlk10465969"/>
      <w:bookmarkStart w:id="203" w:name="_Hlk167884427"/>
      <w:bookmarkStart w:id="204" w:name="_Hlk24100246"/>
      <w:bookmarkStart w:id="205" w:name="_Hlk137050657"/>
      <w:bookmarkEnd w:id="201"/>
      <w:bookmarkEnd w:id="202"/>
      <w:bookmarkEnd w:id="203"/>
      <w:r>
        <w:rPr>
          <w:rFonts w:ascii="宋体" w:hAnsi="宋体" w:hint="eastAsia"/>
          <w:color w:val="000000" w:themeColor="text1"/>
          <w:sz w:val="21"/>
          <w:szCs w:val="21"/>
        </w:rPr>
        <w:t>2025</w:t>
      </w:r>
      <w:r>
        <w:rPr>
          <w:rFonts w:ascii="宋体" w:hAnsi="宋体" w:hint="eastAsia"/>
          <w:color w:val="000000" w:themeColor="text1"/>
          <w:sz w:val="21"/>
          <w:szCs w:val="21"/>
        </w:rPr>
        <w:t>年起首次执行新会计准则或准则解释等涉及调整首次执行当年年初的财务报表</w:t>
      </w:r>
    </w:p>
    <w:sdt>
      <w:sdtPr>
        <w:rPr>
          <w:rFonts w:hint="eastAsia"/>
          <w:color w:val="000000" w:themeColor="text1"/>
        </w:rPr>
        <w:alias w:val="是否适用：首次执行新金融工具准则或新收入准则调整首次执行当年年初财务报表相关项目情况[双击切换]"/>
        <w:tag w:val="_GBC_8608c1ec447d48978e05546e78cb2ffc"/>
        <w:id w:val="-25953245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36"/>
        </w:numPr>
        <w:rPr>
          <w:rFonts w:ascii="宋体" w:hAnsi="宋体"/>
          <w:color w:val="000000" w:themeColor="text1"/>
          <w:sz w:val="21"/>
          <w:szCs w:val="21"/>
        </w:rPr>
      </w:pPr>
      <w:bookmarkStart w:id="206" w:name="_Hlk137051084"/>
      <w:bookmarkStart w:id="207" w:name="_Hlk24100423"/>
      <w:bookmarkEnd w:id="204"/>
      <w:bookmarkEnd w:id="205"/>
      <w:bookmarkEnd w:id="206"/>
      <w:bookmarkEnd w:id="207"/>
      <w:r>
        <w:rPr>
          <w:rFonts w:ascii="宋体" w:hAnsi="宋体"/>
          <w:color w:val="000000" w:themeColor="text1"/>
          <w:sz w:val="21"/>
          <w:szCs w:val="21"/>
        </w:rPr>
        <w:t>其他</w:t>
      </w:r>
    </w:p>
    <w:sdt>
      <w:sdtPr>
        <w:rPr>
          <w:rFonts w:hint="eastAsia"/>
          <w:color w:val="000000" w:themeColor="text1"/>
        </w:rPr>
        <w:alias w:val="是否适用：公司主要会计政策、会计估计和前期差错的其他说明[双击切换]"/>
        <w:tag w:val="_GBC_6deb29735f384e0d9a2b017d4265a493"/>
        <w:id w:val="-8261330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税项</w:t>
      </w:r>
    </w:p>
    <w:p w:rsidR="00156DD6" w:rsidRDefault="00D51F5F">
      <w:pPr>
        <w:pStyle w:val="TOC6"/>
        <w:numPr>
          <w:ilvl w:val="0"/>
          <w:numId w:val="42"/>
        </w:numPr>
        <w:tabs>
          <w:tab w:val="left" w:pos="546"/>
        </w:tabs>
        <w:rPr>
          <w:rFonts w:ascii="宋体" w:hAnsi="宋体"/>
          <w:color w:val="000000" w:themeColor="text1"/>
          <w:sz w:val="21"/>
          <w:szCs w:val="21"/>
        </w:rPr>
      </w:pPr>
      <w:r>
        <w:rPr>
          <w:rFonts w:ascii="宋体" w:hAnsi="宋体"/>
          <w:color w:val="000000" w:themeColor="text1"/>
          <w:sz w:val="21"/>
          <w:szCs w:val="21"/>
        </w:rPr>
        <w:t>主要税种及税率</w:t>
      </w:r>
    </w:p>
    <w:p w:rsidR="00156DD6" w:rsidRDefault="00D51F5F">
      <w:pPr>
        <w:rPr>
          <w:color w:val="000000" w:themeColor="text1"/>
        </w:rPr>
      </w:pPr>
      <w:r>
        <w:rPr>
          <w:rFonts w:hint="eastAsia"/>
          <w:color w:val="000000" w:themeColor="text1"/>
        </w:rPr>
        <w:t>主要税种及税率情况</w:t>
      </w:r>
    </w:p>
    <w:sdt>
      <w:sdtPr>
        <w:rPr>
          <w:color w:val="000000" w:themeColor="text1"/>
        </w:rPr>
        <w:alias w:val="是否适用：主要税种及税率情况 [双击切换]"/>
        <w:tag w:val="_GBC_fd47fa4fd9aa499c8903795268a25582"/>
        <w:id w:val="-52925279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8"/>
        <w:gridCol w:w="1599"/>
      </w:tblGrid>
      <w:tr w:rsidR="00156DD6">
        <w:trPr>
          <w:trHeight w:val="397"/>
        </w:trPr>
        <w:sdt>
          <w:sdtPr>
            <w:tag w:val="_PLD_e7d49d0412b143bf84fec865b918065a"/>
            <w:id w:val="-535046686"/>
          </w:sdtPr>
          <w:sdtEndPr/>
          <w:sdtContent>
            <w:tc>
              <w:tcPr>
                <w:tcW w:w="961" w:type="pct"/>
                <w:vAlign w:val="center"/>
              </w:tcPr>
              <w:p w:rsidR="00156DD6" w:rsidRDefault="00D51F5F">
                <w:pPr>
                  <w:jc w:val="center"/>
                  <w:rPr>
                    <w:color w:val="000000" w:themeColor="text1"/>
                  </w:rPr>
                </w:pPr>
                <w:r>
                  <w:rPr>
                    <w:color w:val="000000" w:themeColor="text1"/>
                  </w:rPr>
                  <w:t>税种</w:t>
                </w:r>
              </w:p>
            </w:tc>
          </w:sdtContent>
        </w:sdt>
        <w:sdt>
          <w:sdtPr>
            <w:tag w:val="_PLD_e42202809983483baa812ed26e1b27a2"/>
            <w:id w:val="-1621911597"/>
          </w:sdtPr>
          <w:sdtEndPr/>
          <w:sdtContent>
            <w:tc>
              <w:tcPr>
                <w:tcW w:w="3133" w:type="pct"/>
                <w:vAlign w:val="center"/>
              </w:tcPr>
              <w:p w:rsidR="00156DD6" w:rsidRDefault="00D51F5F">
                <w:pPr>
                  <w:jc w:val="center"/>
                  <w:rPr>
                    <w:color w:val="000000" w:themeColor="text1"/>
                  </w:rPr>
                </w:pPr>
                <w:r>
                  <w:rPr>
                    <w:color w:val="000000" w:themeColor="text1"/>
                  </w:rPr>
                  <w:t>计税依据</w:t>
                </w:r>
              </w:p>
            </w:tc>
          </w:sdtContent>
        </w:sdt>
        <w:sdt>
          <w:sdtPr>
            <w:tag w:val="_PLD_0cebc7a4c62844c6b35146cd64cd4277"/>
            <w:id w:val="-880703059"/>
          </w:sdtPr>
          <w:sdtEndPr/>
          <w:sdtContent>
            <w:tc>
              <w:tcPr>
                <w:tcW w:w="906" w:type="pct"/>
                <w:vAlign w:val="center"/>
              </w:tcPr>
              <w:p w:rsidR="00156DD6" w:rsidRDefault="00D51F5F">
                <w:pPr>
                  <w:jc w:val="center"/>
                  <w:rPr>
                    <w:color w:val="000000" w:themeColor="text1"/>
                  </w:rPr>
                </w:pPr>
                <w:r>
                  <w:rPr>
                    <w:color w:val="000000" w:themeColor="text1"/>
                  </w:rPr>
                  <w:t>税率</w:t>
                </w:r>
              </w:p>
            </w:tc>
          </w:sdtContent>
        </w:sdt>
      </w:tr>
      <w:tr w:rsidR="00156DD6">
        <w:trPr>
          <w:trHeight w:val="397"/>
        </w:trPr>
        <w:tc>
          <w:tcPr>
            <w:tcW w:w="961" w:type="pct"/>
            <w:vAlign w:val="center"/>
          </w:tcPr>
          <w:p w:rsidR="00156DD6" w:rsidRDefault="00D51F5F">
            <w:pPr>
              <w:jc w:val="center"/>
            </w:pPr>
            <w:r>
              <w:t>增值税</w:t>
            </w:r>
          </w:p>
        </w:tc>
        <w:tc>
          <w:tcPr>
            <w:tcW w:w="3133" w:type="pct"/>
            <w:vAlign w:val="center"/>
          </w:tcPr>
          <w:p w:rsidR="00156DD6" w:rsidRDefault="00D51F5F">
            <w:pPr>
              <w:jc w:val="both"/>
            </w:pPr>
            <w:r>
              <w:t>以按税法规定计算的销售货物和应税劳务收入为基础计算销项税额，扣除当期允许抵扣的进项税额后，差额部分为应交增值税</w:t>
            </w:r>
          </w:p>
        </w:tc>
        <w:tc>
          <w:tcPr>
            <w:tcW w:w="906" w:type="pct"/>
            <w:vAlign w:val="center"/>
          </w:tcPr>
          <w:p w:rsidR="00156DD6" w:rsidRDefault="00D51F5F">
            <w:pPr>
              <w:jc w:val="center"/>
            </w:pPr>
            <w:r>
              <w:t>13%</w:t>
            </w:r>
            <w:r>
              <w:t>、</w:t>
            </w:r>
            <w:r>
              <w:t>9%</w:t>
            </w:r>
            <w:r>
              <w:t>、</w:t>
            </w:r>
            <w:r>
              <w:t>6%</w:t>
            </w:r>
          </w:p>
        </w:tc>
      </w:tr>
      <w:tr w:rsidR="00156DD6">
        <w:trPr>
          <w:trHeight w:val="397"/>
        </w:trPr>
        <w:tc>
          <w:tcPr>
            <w:tcW w:w="961" w:type="pct"/>
            <w:vAlign w:val="center"/>
          </w:tcPr>
          <w:p w:rsidR="00156DD6" w:rsidRDefault="00D51F5F">
            <w:pPr>
              <w:jc w:val="center"/>
            </w:pPr>
            <w:r>
              <w:t>城市维护建设税</w:t>
            </w:r>
          </w:p>
        </w:tc>
        <w:tc>
          <w:tcPr>
            <w:tcW w:w="3133" w:type="pct"/>
            <w:vAlign w:val="center"/>
          </w:tcPr>
          <w:p w:rsidR="00156DD6" w:rsidRDefault="00D51F5F">
            <w:pPr>
              <w:jc w:val="both"/>
            </w:pPr>
            <w:r>
              <w:t>实际缴纳的流转税税额</w:t>
            </w:r>
          </w:p>
        </w:tc>
        <w:tc>
          <w:tcPr>
            <w:tcW w:w="906" w:type="pct"/>
            <w:vAlign w:val="center"/>
          </w:tcPr>
          <w:p w:rsidR="00156DD6" w:rsidRDefault="00D51F5F">
            <w:pPr>
              <w:jc w:val="center"/>
            </w:pPr>
            <w:r>
              <w:t>7%</w:t>
            </w:r>
          </w:p>
        </w:tc>
      </w:tr>
      <w:tr w:rsidR="00156DD6">
        <w:trPr>
          <w:trHeight w:val="397"/>
        </w:trPr>
        <w:tc>
          <w:tcPr>
            <w:tcW w:w="961" w:type="pct"/>
            <w:vAlign w:val="center"/>
          </w:tcPr>
          <w:p w:rsidR="00156DD6" w:rsidRDefault="00D51F5F">
            <w:pPr>
              <w:jc w:val="center"/>
            </w:pPr>
            <w:r>
              <w:t>教育费附加</w:t>
            </w:r>
          </w:p>
        </w:tc>
        <w:tc>
          <w:tcPr>
            <w:tcW w:w="3133" w:type="pct"/>
            <w:vAlign w:val="center"/>
          </w:tcPr>
          <w:p w:rsidR="00156DD6" w:rsidRDefault="00D51F5F">
            <w:pPr>
              <w:jc w:val="both"/>
            </w:pPr>
            <w:r>
              <w:t>实际缴纳的流转税税额</w:t>
            </w:r>
          </w:p>
        </w:tc>
        <w:tc>
          <w:tcPr>
            <w:tcW w:w="906" w:type="pct"/>
            <w:vAlign w:val="center"/>
          </w:tcPr>
          <w:p w:rsidR="00156DD6" w:rsidRDefault="00D51F5F">
            <w:pPr>
              <w:jc w:val="center"/>
            </w:pPr>
            <w:r>
              <w:t>3%</w:t>
            </w:r>
          </w:p>
        </w:tc>
      </w:tr>
      <w:tr w:rsidR="00156DD6">
        <w:trPr>
          <w:trHeight w:val="397"/>
        </w:trPr>
        <w:tc>
          <w:tcPr>
            <w:tcW w:w="961" w:type="pct"/>
            <w:vAlign w:val="center"/>
          </w:tcPr>
          <w:p w:rsidR="00156DD6" w:rsidRDefault="00D51F5F">
            <w:pPr>
              <w:jc w:val="center"/>
            </w:pPr>
            <w:r>
              <w:t>地方教育附加</w:t>
            </w:r>
          </w:p>
        </w:tc>
        <w:tc>
          <w:tcPr>
            <w:tcW w:w="3133" w:type="pct"/>
            <w:vAlign w:val="center"/>
          </w:tcPr>
          <w:p w:rsidR="00156DD6" w:rsidRDefault="00D51F5F">
            <w:pPr>
              <w:jc w:val="both"/>
            </w:pPr>
            <w:r>
              <w:t>实际缴纳的流转税税额</w:t>
            </w:r>
          </w:p>
        </w:tc>
        <w:tc>
          <w:tcPr>
            <w:tcW w:w="906" w:type="pct"/>
            <w:vAlign w:val="center"/>
          </w:tcPr>
          <w:p w:rsidR="00156DD6" w:rsidRDefault="00D51F5F">
            <w:pPr>
              <w:jc w:val="center"/>
            </w:pPr>
            <w:r>
              <w:t>2%</w:t>
            </w:r>
          </w:p>
        </w:tc>
      </w:tr>
      <w:tr w:rsidR="00156DD6">
        <w:trPr>
          <w:trHeight w:val="397"/>
        </w:trPr>
        <w:tc>
          <w:tcPr>
            <w:tcW w:w="961" w:type="pct"/>
            <w:vAlign w:val="center"/>
          </w:tcPr>
          <w:p w:rsidR="00156DD6" w:rsidRDefault="00D51F5F">
            <w:pPr>
              <w:jc w:val="center"/>
            </w:pPr>
            <w:r>
              <w:t>企业所得税</w:t>
            </w:r>
          </w:p>
        </w:tc>
        <w:tc>
          <w:tcPr>
            <w:tcW w:w="3133" w:type="pct"/>
            <w:vAlign w:val="center"/>
          </w:tcPr>
          <w:p w:rsidR="00156DD6" w:rsidRDefault="00D51F5F">
            <w:pPr>
              <w:jc w:val="both"/>
            </w:pPr>
            <w:r>
              <w:t>应纳税所得额</w:t>
            </w:r>
          </w:p>
        </w:tc>
        <w:tc>
          <w:tcPr>
            <w:tcW w:w="906" w:type="pct"/>
            <w:vAlign w:val="center"/>
          </w:tcPr>
          <w:p w:rsidR="00156DD6" w:rsidRDefault="00D51F5F">
            <w:pPr>
              <w:jc w:val="center"/>
            </w:pPr>
            <w:r>
              <w:t>15%</w:t>
            </w:r>
            <w:r>
              <w:t>、</w:t>
            </w:r>
            <w:r>
              <w:t>25%</w:t>
            </w:r>
          </w:p>
        </w:tc>
      </w:tr>
      <w:tr w:rsidR="00156DD6">
        <w:trPr>
          <w:trHeight w:val="397"/>
        </w:trPr>
        <w:tc>
          <w:tcPr>
            <w:tcW w:w="961" w:type="pct"/>
            <w:vAlign w:val="center"/>
          </w:tcPr>
          <w:p w:rsidR="00156DD6" w:rsidRDefault="00D51F5F">
            <w:pPr>
              <w:jc w:val="center"/>
            </w:pPr>
            <w:r>
              <w:t>房产税</w:t>
            </w:r>
          </w:p>
        </w:tc>
        <w:tc>
          <w:tcPr>
            <w:tcW w:w="3133" w:type="pct"/>
            <w:vAlign w:val="center"/>
          </w:tcPr>
          <w:p w:rsidR="00156DD6" w:rsidRDefault="00D51F5F">
            <w:pPr>
              <w:jc w:val="both"/>
            </w:pPr>
            <w:r>
              <w:t>从价计征的，按房产原值一次减除</w:t>
            </w:r>
            <w:r>
              <w:t>30%</w:t>
            </w:r>
            <w:r>
              <w:t>后余值的</w:t>
            </w:r>
            <w:r>
              <w:t>1.2%</w:t>
            </w:r>
            <w:r>
              <w:t>计缴；从租计征的，按租金收入的</w:t>
            </w:r>
            <w:r>
              <w:t>12%</w:t>
            </w:r>
            <w:r>
              <w:t>计缴</w:t>
            </w:r>
          </w:p>
        </w:tc>
        <w:tc>
          <w:tcPr>
            <w:tcW w:w="906" w:type="pct"/>
            <w:vAlign w:val="center"/>
          </w:tcPr>
          <w:p w:rsidR="00156DD6" w:rsidRDefault="00D51F5F">
            <w:pPr>
              <w:jc w:val="center"/>
            </w:pPr>
            <w:r>
              <w:t>1.2%</w:t>
            </w:r>
            <w:r>
              <w:t>、</w:t>
            </w:r>
            <w:r>
              <w:t>12%</w:t>
            </w:r>
          </w:p>
        </w:tc>
      </w:tr>
    </w:tbl>
    <w:p w:rsidR="00156DD6" w:rsidRDefault="00D51F5F">
      <w:pPr>
        <w:rPr>
          <w:color w:val="000000" w:themeColor="text1"/>
        </w:rPr>
      </w:pPr>
      <w:r>
        <w:rPr>
          <w:rFonts w:hint="eastAsia"/>
          <w:color w:val="000000" w:themeColor="text1"/>
        </w:rPr>
        <w:t>存在不同企业所得税税率纳税主体的，披露情况说明</w:t>
      </w:r>
    </w:p>
    <w:sdt>
      <w:sdtPr>
        <w:rPr>
          <w:color w:val="000000" w:themeColor="text1"/>
        </w:rPr>
        <w:alias w:val="是否适用：存在不同企业所得税税率纳税主体的，披露情况说明[双击切换]"/>
        <w:tag w:val="_GBC_848dc0d1182048ccb5485f3b0d7d1d70"/>
        <w:id w:val="32919108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Style52"/>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87"/>
        <w:gridCol w:w="4336"/>
      </w:tblGrid>
      <w:tr w:rsidR="00156DD6">
        <w:sdt>
          <w:sdtPr>
            <w:tag w:val="_PLD_440a50b0d3fa4b22b061006e717665d8"/>
            <w:id w:val="1603374674"/>
          </w:sdtPr>
          <w:sdtEndPr/>
          <w:sdtContent>
            <w:tc>
              <w:tcPr>
                <w:tcW w:w="2543" w:type="pct"/>
                <w:tcBorders>
                  <w:bottom w:val="single" w:sz="4" w:space="0" w:color="auto"/>
                </w:tcBorders>
                <w:vAlign w:val="center"/>
              </w:tcPr>
              <w:p w:rsidR="00156DD6" w:rsidRDefault="00D51F5F">
                <w:pPr>
                  <w:jc w:val="center"/>
                  <w:rPr>
                    <w:color w:val="000000" w:themeColor="text1"/>
                  </w:rPr>
                </w:pPr>
                <w:r>
                  <w:rPr>
                    <w:rFonts w:hint="eastAsia"/>
                    <w:color w:val="000000" w:themeColor="text1"/>
                  </w:rPr>
                  <w:t>纳税主体名称</w:t>
                </w:r>
              </w:p>
            </w:tc>
          </w:sdtContent>
        </w:sdt>
        <w:sdt>
          <w:sdtPr>
            <w:tag w:val="_PLD_5c2541995bc04204a53104c1e5a4c9da"/>
            <w:id w:val="1069922725"/>
          </w:sdtPr>
          <w:sdtEndPr/>
          <w:sdtContent>
            <w:tc>
              <w:tcPr>
                <w:tcW w:w="2457" w:type="pct"/>
                <w:tcBorders>
                  <w:bottom w:val="single" w:sz="4" w:space="0" w:color="auto"/>
                </w:tcBorders>
                <w:vAlign w:val="center"/>
              </w:tcPr>
              <w:p w:rsidR="00156DD6" w:rsidRDefault="00D51F5F">
                <w:pPr>
                  <w:jc w:val="center"/>
                  <w:rPr>
                    <w:color w:val="000000" w:themeColor="text1"/>
                  </w:rPr>
                </w:pPr>
                <w:r>
                  <w:rPr>
                    <w:rFonts w:hint="eastAsia"/>
                    <w:color w:val="000000" w:themeColor="text1"/>
                  </w:rPr>
                  <w:t>所得税税率（</w:t>
                </w:r>
                <w:r>
                  <w:rPr>
                    <w:rFonts w:hint="eastAsia"/>
                    <w:color w:val="000000" w:themeColor="text1"/>
                  </w:rPr>
                  <w:t>%</w:t>
                </w:r>
                <w:r>
                  <w:rPr>
                    <w:rFonts w:hint="eastAsia"/>
                    <w:color w:val="000000" w:themeColor="text1"/>
                  </w:rPr>
                  <w:t>）</w:t>
                </w:r>
              </w:p>
            </w:tc>
          </w:sdtContent>
        </w:sdt>
      </w:tr>
      <w:tr w:rsidR="00156DD6">
        <w:tc>
          <w:tcPr>
            <w:tcW w:w="2543" w:type="pct"/>
            <w:tcBorders>
              <w:top w:val="single" w:sz="4" w:space="0" w:color="auto"/>
              <w:bottom w:val="single" w:sz="4" w:space="0" w:color="auto"/>
              <w:right w:val="single" w:sz="4" w:space="0" w:color="auto"/>
            </w:tcBorders>
            <w:vAlign w:val="center"/>
          </w:tcPr>
          <w:p w:rsidR="00156DD6" w:rsidRDefault="00D51F5F">
            <w:pPr>
              <w:pStyle w:val="Style43"/>
              <w:rPr>
                <w:sz w:val="21"/>
                <w:szCs w:val="21"/>
              </w:rPr>
            </w:pPr>
            <w:r>
              <w:rPr>
                <w:sz w:val="21"/>
                <w:szCs w:val="21"/>
              </w:rPr>
              <w:t>重庆望变电气（集团）股份有限公司</w:t>
            </w:r>
          </w:p>
        </w:tc>
        <w:tc>
          <w:tcPr>
            <w:tcW w:w="2457" w:type="pct"/>
            <w:tcBorders>
              <w:top w:val="single" w:sz="4" w:space="0" w:color="auto"/>
              <w:left w:val="single" w:sz="4" w:space="0" w:color="auto"/>
              <w:bottom w:val="single" w:sz="4" w:space="0" w:color="auto"/>
            </w:tcBorders>
          </w:tcPr>
          <w:p w:rsidR="00156DD6" w:rsidRDefault="00D51F5F">
            <w:pPr>
              <w:jc w:val="right"/>
            </w:pPr>
            <w:r>
              <w:t>15</w:t>
            </w:r>
          </w:p>
        </w:tc>
      </w:tr>
      <w:tr w:rsidR="00156DD6">
        <w:tc>
          <w:tcPr>
            <w:tcW w:w="2543" w:type="pct"/>
            <w:tcBorders>
              <w:top w:val="single" w:sz="4" w:space="0" w:color="auto"/>
              <w:bottom w:val="single" w:sz="4" w:space="0" w:color="auto"/>
              <w:right w:val="single" w:sz="4" w:space="0" w:color="auto"/>
            </w:tcBorders>
            <w:vAlign w:val="center"/>
          </w:tcPr>
          <w:p w:rsidR="00156DD6" w:rsidRDefault="00D51F5F">
            <w:pPr>
              <w:pStyle w:val="Style43"/>
              <w:rPr>
                <w:sz w:val="21"/>
                <w:szCs w:val="21"/>
              </w:rPr>
            </w:pPr>
            <w:r>
              <w:rPr>
                <w:sz w:val="21"/>
                <w:szCs w:val="21"/>
              </w:rPr>
              <w:t>重庆惠泽电器有限公司</w:t>
            </w:r>
          </w:p>
        </w:tc>
        <w:tc>
          <w:tcPr>
            <w:tcW w:w="2457" w:type="pct"/>
            <w:tcBorders>
              <w:top w:val="single" w:sz="4" w:space="0" w:color="auto"/>
              <w:left w:val="single" w:sz="4" w:space="0" w:color="auto"/>
              <w:bottom w:val="single" w:sz="4" w:space="0" w:color="auto"/>
            </w:tcBorders>
          </w:tcPr>
          <w:p w:rsidR="00156DD6" w:rsidRDefault="00D51F5F">
            <w:pPr>
              <w:jc w:val="right"/>
            </w:pPr>
            <w:r>
              <w:t>25</w:t>
            </w:r>
          </w:p>
        </w:tc>
      </w:tr>
      <w:tr w:rsidR="00156DD6">
        <w:tc>
          <w:tcPr>
            <w:tcW w:w="2543" w:type="pct"/>
            <w:tcBorders>
              <w:top w:val="single" w:sz="4" w:space="0" w:color="auto"/>
              <w:bottom w:val="single" w:sz="4" w:space="0" w:color="auto"/>
              <w:right w:val="single" w:sz="4" w:space="0" w:color="auto"/>
            </w:tcBorders>
            <w:vAlign w:val="center"/>
          </w:tcPr>
          <w:p w:rsidR="00156DD6" w:rsidRDefault="00D51F5F">
            <w:pPr>
              <w:pStyle w:val="Style43"/>
              <w:rPr>
                <w:sz w:val="21"/>
                <w:szCs w:val="21"/>
              </w:rPr>
            </w:pPr>
            <w:r>
              <w:rPr>
                <w:sz w:val="21"/>
                <w:szCs w:val="21"/>
              </w:rPr>
              <w:t>黔南望江变压器有限公司</w:t>
            </w:r>
          </w:p>
        </w:tc>
        <w:tc>
          <w:tcPr>
            <w:tcW w:w="2457" w:type="pct"/>
            <w:tcBorders>
              <w:top w:val="single" w:sz="4" w:space="0" w:color="auto"/>
              <w:left w:val="single" w:sz="4" w:space="0" w:color="auto"/>
              <w:bottom w:val="single" w:sz="4" w:space="0" w:color="auto"/>
            </w:tcBorders>
          </w:tcPr>
          <w:p w:rsidR="00156DD6" w:rsidRDefault="00D51F5F">
            <w:pPr>
              <w:jc w:val="right"/>
            </w:pPr>
            <w:r>
              <w:t>15</w:t>
            </w:r>
          </w:p>
        </w:tc>
      </w:tr>
      <w:tr w:rsidR="00156DD6">
        <w:tc>
          <w:tcPr>
            <w:tcW w:w="2543" w:type="pct"/>
            <w:tcBorders>
              <w:top w:val="single" w:sz="4" w:space="0" w:color="auto"/>
              <w:bottom w:val="single" w:sz="4" w:space="0" w:color="auto"/>
              <w:right w:val="single" w:sz="4" w:space="0" w:color="auto"/>
            </w:tcBorders>
            <w:vAlign w:val="center"/>
          </w:tcPr>
          <w:p w:rsidR="00156DD6" w:rsidRDefault="00D51F5F">
            <w:pPr>
              <w:pStyle w:val="Style43"/>
              <w:rPr>
                <w:sz w:val="21"/>
                <w:szCs w:val="21"/>
              </w:rPr>
            </w:pPr>
            <w:r>
              <w:rPr>
                <w:sz w:val="21"/>
                <w:szCs w:val="21"/>
              </w:rPr>
              <w:t>云南变压器电气股份有限公司</w:t>
            </w:r>
          </w:p>
        </w:tc>
        <w:tc>
          <w:tcPr>
            <w:tcW w:w="2457" w:type="pct"/>
            <w:tcBorders>
              <w:top w:val="single" w:sz="4" w:space="0" w:color="auto"/>
              <w:left w:val="single" w:sz="4" w:space="0" w:color="auto"/>
              <w:bottom w:val="single" w:sz="4" w:space="0" w:color="auto"/>
            </w:tcBorders>
          </w:tcPr>
          <w:p w:rsidR="00156DD6" w:rsidRDefault="00D51F5F">
            <w:pPr>
              <w:jc w:val="right"/>
            </w:pPr>
            <w:r>
              <w:t>15</w:t>
            </w:r>
          </w:p>
        </w:tc>
      </w:tr>
      <w:tr w:rsidR="00156DD6">
        <w:tc>
          <w:tcPr>
            <w:tcW w:w="2543" w:type="pct"/>
            <w:tcBorders>
              <w:top w:val="single" w:sz="4" w:space="0" w:color="auto"/>
              <w:bottom w:val="single" w:sz="4" w:space="0" w:color="auto"/>
              <w:right w:val="single" w:sz="4" w:space="0" w:color="auto"/>
            </w:tcBorders>
            <w:vAlign w:val="center"/>
          </w:tcPr>
          <w:p w:rsidR="00156DD6" w:rsidRDefault="00D51F5F">
            <w:pPr>
              <w:pStyle w:val="Style43"/>
              <w:rPr>
                <w:sz w:val="21"/>
                <w:szCs w:val="21"/>
              </w:rPr>
            </w:pPr>
            <w:r>
              <w:rPr>
                <w:rFonts w:hint="eastAsia"/>
                <w:sz w:val="21"/>
                <w:szCs w:val="21"/>
              </w:rPr>
              <w:t>沈阳望泽电气有限公司</w:t>
            </w:r>
          </w:p>
        </w:tc>
        <w:tc>
          <w:tcPr>
            <w:tcW w:w="2457" w:type="pct"/>
            <w:tcBorders>
              <w:top w:val="single" w:sz="4" w:space="0" w:color="auto"/>
              <w:left w:val="single" w:sz="4" w:space="0" w:color="auto"/>
              <w:bottom w:val="single" w:sz="4" w:space="0" w:color="auto"/>
            </w:tcBorders>
          </w:tcPr>
          <w:p w:rsidR="00156DD6" w:rsidRDefault="00D51F5F">
            <w:pPr>
              <w:jc w:val="right"/>
            </w:pPr>
            <w:r>
              <w:rPr>
                <w:rFonts w:hint="eastAsia"/>
              </w:rPr>
              <w:t>20</w:t>
            </w:r>
          </w:p>
        </w:tc>
      </w:tr>
      <w:tr w:rsidR="00156DD6">
        <w:tc>
          <w:tcPr>
            <w:tcW w:w="2543" w:type="pct"/>
            <w:tcBorders>
              <w:top w:val="single" w:sz="4" w:space="0" w:color="auto"/>
              <w:bottom w:val="single" w:sz="4" w:space="0" w:color="auto"/>
              <w:right w:val="single" w:sz="4" w:space="0" w:color="auto"/>
            </w:tcBorders>
            <w:vAlign w:val="center"/>
          </w:tcPr>
          <w:p w:rsidR="00156DD6" w:rsidRDefault="00D51F5F">
            <w:pPr>
              <w:pStyle w:val="Style43"/>
              <w:rPr>
                <w:sz w:val="21"/>
                <w:szCs w:val="21"/>
              </w:rPr>
            </w:pPr>
            <w:bookmarkStart w:id="208" w:name="OLE_LINK125"/>
            <w:r>
              <w:rPr>
                <w:rFonts w:hint="eastAsia"/>
                <w:sz w:val="21"/>
                <w:szCs w:val="21"/>
              </w:rPr>
              <w:t>上海渝申望变新能源科技有限公司</w:t>
            </w:r>
            <w:bookmarkEnd w:id="208"/>
          </w:p>
        </w:tc>
        <w:tc>
          <w:tcPr>
            <w:tcW w:w="2457" w:type="pct"/>
            <w:tcBorders>
              <w:top w:val="single" w:sz="4" w:space="0" w:color="auto"/>
              <w:left w:val="single" w:sz="4" w:space="0" w:color="auto"/>
              <w:bottom w:val="single" w:sz="4" w:space="0" w:color="auto"/>
            </w:tcBorders>
          </w:tcPr>
          <w:p w:rsidR="00156DD6" w:rsidRDefault="00D51F5F">
            <w:pPr>
              <w:jc w:val="right"/>
            </w:pPr>
            <w:r>
              <w:rPr>
                <w:rFonts w:hint="eastAsia"/>
              </w:rPr>
              <w:t>20</w:t>
            </w:r>
          </w:p>
        </w:tc>
      </w:tr>
    </w:tbl>
    <w:p w:rsidR="00156DD6" w:rsidRDefault="00D51F5F">
      <w:pPr>
        <w:pStyle w:val="TOC6"/>
        <w:numPr>
          <w:ilvl w:val="0"/>
          <w:numId w:val="42"/>
        </w:numPr>
        <w:tabs>
          <w:tab w:val="left" w:pos="546"/>
        </w:tabs>
        <w:rPr>
          <w:rFonts w:ascii="宋体" w:hAnsi="宋体"/>
          <w:color w:val="000000" w:themeColor="text1"/>
          <w:sz w:val="21"/>
          <w:szCs w:val="21"/>
        </w:rPr>
      </w:pPr>
      <w:r>
        <w:rPr>
          <w:rFonts w:ascii="宋体" w:hAnsi="宋体"/>
          <w:color w:val="000000" w:themeColor="text1"/>
          <w:sz w:val="21"/>
          <w:szCs w:val="21"/>
        </w:rPr>
        <w:t>税收优惠</w:t>
      </w:r>
    </w:p>
    <w:sdt>
      <w:sdtPr>
        <w:rPr>
          <w:rFonts w:hint="eastAsia"/>
          <w:color w:val="000000" w:themeColor="text1"/>
        </w:rPr>
        <w:alias w:val="是否适用：税收优惠[双击切换]"/>
        <w:tag w:val="_GBC_f8eb23e7a2e74e448e4eb46519d87bd6"/>
        <w:id w:val="150069565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Start w:id="209" w:name="OLE_LINK126" w:displacedByCustomXml="next"/>
    <w:sdt>
      <w:sdtPr>
        <w:rPr>
          <w:rFonts w:hint="eastAsia"/>
          <w:color w:val="000000" w:themeColor="text1"/>
        </w:rPr>
        <w:alias w:val="优惠税赋及批文"/>
        <w:tag w:val="_GBC_3bbdacdaa3ba421fb8a81b9bda047bb4"/>
        <w:id w:val="1058673261"/>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）根据《财政部、国家税务总局、国家发展改革委关于延续西部大开发企业所得税政策的公告》（</w:t>
          </w:r>
          <w:r>
            <w:rPr>
              <w:rFonts w:hint="eastAsia"/>
              <w:color w:val="000000" w:themeColor="text1"/>
            </w:rPr>
            <w:t>2020</w:t>
          </w:r>
          <w:r>
            <w:rPr>
              <w:rFonts w:hint="eastAsia"/>
              <w:color w:val="000000" w:themeColor="text1"/>
            </w:rPr>
            <w:t>年第</w:t>
          </w:r>
          <w:r>
            <w:rPr>
              <w:rFonts w:hint="eastAsia"/>
              <w:color w:val="000000" w:themeColor="text1"/>
            </w:rPr>
            <w:t>23</w:t>
          </w:r>
          <w:r>
            <w:rPr>
              <w:rFonts w:hint="eastAsia"/>
              <w:color w:val="000000" w:themeColor="text1"/>
            </w:rPr>
            <w:t>号），自</w:t>
          </w:r>
          <w:r>
            <w:rPr>
              <w:rFonts w:hint="eastAsia"/>
              <w:color w:val="000000" w:themeColor="text1"/>
            </w:rPr>
            <w:t>2021</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日至</w:t>
          </w:r>
          <w:r>
            <w:rPr>
              <w:rFonts w:hint="eastAsia"/>
              <w:color w:val="000000" w:themeColor="text1"/>
            </w:rPr>
            <w:t>2030</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日，设立在西部地区的鼓励类产业企业可享受减按</w:t>
          </w:r>
          <w:r>
            <w:rPr>
              <w:rFonts w:hint="eastAsia"/>
              <w:color w:val="000000" w:themeColor="text1"/>
            </w:rPr>
            <w:t>15%</w:t>
          </w:r>
          <w:r>
            <w:rPr>
              <w:rFonts w:hint="eastAsia"/>
              <w:color w:val="000000" w:themeColor="text1"/>
            </w:rPr>
            <w:t>的税率缴纳企业所得税。目前重庆望变电气（集团）股份有限公司、黔南望江变压器有限公司、云南变压器电气股份有限公司享受西部大开发所得税优惠政策，报告期内所得税减按</w:t>
          </w:r>
          <w:r>
            <w:rPr>
              <w:rFonts w:hint="eastAsia"/>
              <w:color w:val="000000" w:themeColor="text1"/>
            </w:rPr>
            <w:t>15%</w:t>
          </w:r>
          <w:r>
            <w:rPr>
              <w:rFonts w:hint="eastAsia"/>
              <w:color w:val="000000" w:themeColor="text1"/>
            </w:rPr>
            <w:t>税率征税。</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）根据《财政部</w:t>
          </w:r>
          <w:r>
            <w:rPr>
              <w:rFonts w:hint="eastAsia"/>
              <w:color w:val="000000" w:themeColor="text1"/>
            </w:rPr>
            <w:t xml:space="preserve"> </w:t>
          </w:r>
          <w:r>
            <w:rPr>
              <w:rFonts w:hint="eastAsia"/>
              <w:color w:val="000000" w:themeColor="text1"/>
            </w:rPr>
            <w:t>税务总局关于进一步支持小微企</w:t>
          </w:r>
          <w:r>
            <w:rPr>
              <w:rFonts w:hint="eastAsia"/>
              <w:color w:val="000000" w:themeColor="text1"/>
            </w:rPr>
            <w:t>业和个体工商户发展有关税费政策的公告》（财政部</w:t>
          </w:r>
          <w:r>
            <w:rPr>
              <w:rFonts w:hint="eastAsia"/>
              <w:color w:val="000000" w:themeColor="text1"/>
            </w:rPr>
            <w:t xml:space="preserve"> </w:t>
          </w:r>
          <w:r>
            <w:rPr>
              <w:rFonts w:hint="eastAsia"/>
              <w:color w:val="000000" w:themeColor="text1"/>
            </w:rPr>
            <w:t>税务总局公告</w:t>
          </w:r>
          <w:r>
            <w:rPr>
              <w:rFonts w:hint="eastAsia"/>
              <w:color w:val="000000" w:themeColor="text1"/>
            </w:rPr>
            <w:t>2023</w:t>
          </w:r>
          <w:r>
            <w:rPr>
              <w:rFonts w:hint="eastAsia"/>
              <w:color w:val="000000" w:themeColor="text1"/>
            </w:rPr>
            <w:t>年第</w:t>
          </w:r>
          <w:r>
            <w:rPr>
              <w:rFonts w:hint="eastAsia"/>
              <w:color w:val="000000" w:themeColor="text1"/>
            </w:rPr>
            <w:t>12</w:t>
          </w:r>
          <w:r>
            <w:rPr>
              <w:rFonts w:hint="eastAsia"/>
              <w:color w:val="000000" w:themeColor="text1"/>
            </w:rPr>
            <w:t>号）规定，自</w:t>
          </w:r>
          <w:r>
            <w:rPr>
              <w:rFonts w:hint="eastAsia"/>
              <w:color w:val="000000" w:themeColor="text1"/>
            </w:rPr>
            <w:t>2023</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日至</w:t>
          </w:r>
          <w:r>
            <w:rPr>
              <w:rFonts w:hint="eastAsia"/>
              <w:color w:val="000000" w:themeColor="text1"/>
            </w:rPr>
            <w:t>2027</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日，对小型微利企业减按</w:t>
          </w:r>
          <w:r>
            <w:rPr>
              <w:rFonts w:hint="eastAsia"/>
              <w:color w:val="000000" w:themeColor="text1"/>
            </w:rPr>
            <w:t>25%</w:t>
          </w:r>
          <w:r>
            <w:rPr>
              <w:rFonts w:hint="eastAsia"/>
              <w:color w:val="000000" w:themeColor="text1"/>
            </w:rPr>
            <w:t>计算应纳税所得额，按</w:t>
          </w:r>
          <w:r>
            <w:rPr>
              <w:rFonts w:hint="eastAsia"/>
              <w:color w:val="000000" w:themeColor="text1"/>
            </w:rPr>
            <w:t>20%</w:t>
          </w:r>
          <w:r>
            <w:rPr>
              <w:rFonts w:hint="eastAsia"/>
              <w:color w:val="000000" w:themeColor="text1"/>
            </w:rPr>
            <w:t>的税率缴纳企业所得税。沈阳望泽电气有限公司、上海渝申望变新能源科技有限公司为小型微利企业，适用小微企业普惠性税收减免政策。</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）根据《财政部、税务总局关于进一步完善税前加计扣除政策的公告（</w:t>
          </w:r>
          <w:r>
            <w:rPr>
              <w:rFonts w:hint="eastAsia"/>
              <w:color w:val="000000" w:themeColor="text1"/>
            </w:rPr>
            <w:t>2023</w:t>
          </w:r>
          <w:r>
            <w:rPr>
              <w:rFonts w:hint="eastAsia"/>
              <w:color w:val="000000" w:themeColor="text1"/>
            </w:rPr>
            <w:t>年第</w:t>
          </w:r>
          <w:r>
            <w:rPr>
              <w:rFonts w:hint="eastAsia"/>
              <w:color w:val="000000" w:themeColor="text1"/>
            </w:rPr>
            <w:t>7</w:t>
          </w:r>
          <w:r>
            <w:rPr>
              <w:rFonts w:hint="eastAsia"/>
              <w:color w:val="000000" w:themeColor="text1"/>
            </w:rPr>
            <w:t>号）规定，自</w:t>
          </w:r>
          <w:r>
            <w:rPr>
              <w:rFonts w:hint="eastAsia"/>
              <w:color w:val="000000" w:themeColor="text1"/>
            </w:rPr>
            <w:t>2023</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日起，公司开展研发活动中实际发生的研发费用，未形成无形资产计入当期损益的，在按规定据实扣除的基础上</w:t>
          </w:r>
          <w:r>
            <w:rPr>
              <w:rFonts w:hint="eastAsia"/>
              <w:color w:val="000000" w:themeColor="text1"/>
            </w:rPr>
            <w:t>，再按照实际发生额的</w:t>
          </w:r>
          <w:r>
            <w:rPr>
              <w:rFonts w:hint="eastAsia"/>
              <w:color w:val="000000" w:themeColor="text1"/>
            </w:rPr>
            <w:t>100%</w:t>
          </w:r>
          <w:r>
            <w:rPr>
              <w:rFonts w:hint="eastAsia"/>
              <w:color w:val="000000" w:themeColor="text1"/>
            </w:rPr>
            <w:t>在税前加计扣除；形成无形资产的，自</w:t>
          </w:r>
          <w:r>
            <w:rPr>
              <w:rFonts w:hint="eastAsia"/>
              <w:color w:val="000000" w:themeColor="text1"/>
            </w:rPr>
            <w:t>2023</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日起，按照无形资产成本的</w:t>
          </w:r>
          <w:r>
            <w:rPr>
              <w:rFonts w:hint="eastAsia"/>
              <w:color w:val="000000" w:themeColor="text1"/>
            </w:rPr>
            <w:t>200%</w:t>
          </w:r>
          <w:r>
            <w:rPr>
              <w:rFonts w:hint="eastAsia"/>
              <w:color w:val="000000" w:themeColor="text1"/>
            </w:rPr>
            <w:t>在税前摊销。</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）根据《财政部税务总局关于设备、器具扣除有关企业所得税政策的公告》（财政部税务总局公告</w:t>
          </w:r>
          <w:r>
            <w:rPr>
              <w:rFonts w:hint="eastAsia"/>
              <w:color w:val="000000" w:themeColor="text1"/>
            </w:rPr>
            <w:t>2023</w:t>
          </w:r>
          <w:r>
            <w:rPr>
              <w:rFonts w:hint="eastAsia"/>
              <w:color w:val="000000" w:themeColor="text1"/>
            </w:rPr>
            <w:t>年第</w:t>
          </w:r>
          <w:r>
            <w:rPr>
              <w:rFonts w:hint="eastAsia"/>
              <w:color w:val="000000" w:themeColor="text1"/>
            </w:rPr>
            <w:t>37</w:t>
          </w:r>
          <w:r>
            <w:rPr>
              <w:rFonts w:hint="eastAsia"/>
              <w:color w:val="000000" w:themeColor="text1"/>
            </w:rPr>
            <w:t>号）规定，公司在</w:t>
          </w:r>
          <w:r>
            <w:rPr>
              <w:rFonts w:hint="eastAsia"/>
              <w:color w:val="000000" w:themeColor="text1"/>
            </w:rPr>
            <w:t>2024</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日至</w:t>
          </w:r>
          <w:r>
            <w:rPr>
              <w:rFonts w:hint="eastAsia"/>
              <w:color w:val="000000" w:themeColor="text1"/>
            </w:rPr>
            <w:t>2027</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日期间新购进的设备、器具，单位价值不超过</w:t>
          </w:r>
          <w:r>
            <w:rPr>
              <w:rFonts w:hint="eastAsia"/>
              <w:color w:val="000000" w:themeColor="text1"/>
            </w:rPr>
            <w:t>500</w:t>
          </w:r>
          <w:r>
            <w:rPr>
              <w:rFonts w:hint="eastAsia"/>
              <w:color w:val="000000" w:themeColor="text1"/>
            </w:rPr>
            <w:t>万元的，允许一次性计入当期成本费用在计算应纳税所得额时扣除，不再分年度计算折旧。</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）根据《财政部、税务总局关于先进制造企业增值税加计抵减政策的公告》（公告</w:t>
          </w:r>
          <w:r>
            <w:rPr>
              <w:rFonts w:hint="eastAsia"/>
              <w:color w:val="000000" w:themeColor="text1"/>
            </w:rPr>
            <w:t>2023</w:t>
          </w:r>
          <w:r>
            <w:rPr>
              <w:rFonts w:hint="eastAsia"/>
              <w:color w:val="000000" w:themeColor="text1"/>
            </w:rPr>
            <w:t>年第</w:t>
          </w:r>
          <w:r>
            <w:rPr>
              <w:rFonts w:hint="eastAsia"/>
              <w:color w:val="000000" w:themeColor="text1"/>
            </w:rPr>
            <w:t>43</w:t>
          </w:r>
          <w:r>
            <w:rPr>
              <w:rFonts w:hint="eastAsia"/>
              <w:color w:val="000000" w:themeColor="text1"/>
            </w:rPr>
            <w:t>号）规</w:t>
          </w:r>
          <w:r>
            <w:rPr>
              <w:rFonts w:hint="eastAsia"/>
              <w:color w:val="000000" w:themeColor="text1"/>
            </w:rPr>
            <w:t>定，自</w:t>
          </w:r>
          <w:r>
            <w:rPr>
              <w:rFonts w:hint="eastAsia"/>
              <w:color w:val="000000" w:themeColor="text1"/>
            </w:rPr>
            <w:t>2023</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日至</w:t>
          </w:r>
          <w:r>
            <w:rPr>
              <w:rFonts w:hint="eastAsia"/>
              <w:color w:val="000000" w:themeColor="text1"/>
            </w:rPr>
            <w:t>2027</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日，允许先进制造企业按照当期可抵扣进项税额加计</w:t>
          </w:r>
          <w:r>
            <w:rPr>
              <w:rFonts w:hint="eastAsia"/>
              <w:color w:val="000000" w:themeColor="text1"/>
            </w:rPr>
            <w:t>5%</w:t>
          </w:r>
          <w:r>
            <w:rPr>
              <w:rFonts w:hint="eastAsia"/>
              <w:color w:val="000000" w:themeColor="text1"/>
            </w:rPr>
            <w:t>抵减应纳增值税税额。上述先进制造企业是指高新技术企业中的制造业一般纳税人，高新技术企业是指按照《科技部、财政部、国家税务总局关于修订印发〈高新技术企业认定管理办法〉的通知》</w:t>
          </w:r>
          <w:r>
            <w:rPr>
              <w:rFonts w:hint="eastAsia"/>
              <w:color w:val="000000" w:themeColor="text1"/>
            </w:rPr>
            <w:t>(</w:t>
          </w:r>
          <w:r>
            <w:rPr>
              <w:rFonts w:hint="eastAsia"/>
              <w:color w:val="000000" w:themeColor="text1"/>
            </w:rPr>
            <w:t>国科发火〔</w:t>
          </w:r>
          <w:r>
            <w:rPr>
              <w:rFonts w:hint="eastAsia"/>
              <w:color w:val="000000" w:themeColor="text1"/>
            </w:rPr>
            <w:t>2016</w:t>
          </w:r>
          <w:r>
            <w:rPr>
              <w:rFonts w:hint="eastAsia"/>
              <w:color w:val="000000" w:themeColor="text1"/>
            </w:rPr>
            <w:t>〕</w:t>
          </w:r>
          <w:r>
            <w:rPr>
              <w:rFonts w:hint="eastAsia"/>
              <w:color w:val="000000" w:themeColor="text1"/>
            </w:rPr>
            <w:t>32</w:t>
          </w:r>
          <w:r>
            <w:rPr>
              <w:rFonts w:hint="eastAsia"/>
              <w:color w:val="000000" w:themeColor="text1"/>
            </w:rPr>
            <w:t>号</w:t>
          </w:r>
          <w:r>
            <w:rPr>
              <w:rFonts w:hint="eastAsia"/>
              <w:color w:val="000000" w:themeColor="text1"/>
            </w:rPr>
            <w:t>)</w:t>
          </w:r>
          <w:r>
            <w:rPr>
              <w:rFonts w:hint="eastAsia"/>
              <w:color w:val="000000" w:themeColor="text1"/>
            </w:rPr>
            <w:t>规定认定的高新技术企业。先进制造业企业具体名单，由各省、自治区、直辖市、计划单列市工业和信息化部门会同同级科技、财政、税务部门确定。根据相关规定，本公司按照当期可抵扣进项税额加计</w:t>
          </w:r>
          <w:r>
            <w:rPr>
              <w:rFonts w:hint="eastAsia"/>
              <w:color w:val="000000" w:themeColor="text1"/>
            </w:rPr>
            <w:t>5%</w:t>
          </w:r>
          <w:r>
            <w:rPr>
              <w:rFonts w:hint="eastAsia"/>
              <w:color w:val="000000" w:themeColor="text1"/>
            </w:rPr>
            <w:t>抵减应纳增值税税额。</w:t>
          </w:r>
        </w:p>
      </w:sdtContent>
    </w:sdt>
    <w:bookmarkEnd w:id="209"/>
    <w:p w:rsidR="00156DD6" w:rsidRDefault="00D51F5F">
      <w:pPr>
        <w:pStyle w:val="TOC6"/>
        <w:numPr>
          <w:ilvl w:val="0"/>
          <w:numId w:val="42"/>
        </w:numPr>
        <w:tabs>
          <w:tab w:val="left" w:pos="546"/>
        </w:tabs>
        <w:rPr>
          <w:rFonts w:ascii="宋体" w:hAnsi="宋体"/>
          <w:color w:val="000000" w:themeColor="text1"/>
          <w:sz w:val="21"/>
          <w:szCs w:val="21"/>
        </w:rPr>
      </w:pPr>
      <w:r>
        <w:rPr>
          <w:rFonts w:ascii="宋体" w:hAnsi="宋体"/>
          <w:color w:val="000000" w:themeColor="text1"/>
          <w:sz w:val="21"/>
          <w:szCs w:val="21"/>
        </w:rPr>
        <w:t>其他</w:t>
      </w:r>
    </w:p>
    <w:sdt>
      <w:sdtPr>
        <w:rPr>
          <w:rFonts w:hint="eastAsia"/>
          <w:color w:val="000000" w:themeColor="text1"/>
        </w:rPr>
        <w:alias w:val="是否适用：税项说明[双击切换]"/>
        <w:tag w:val="_GBC_566ef0a7141a4b2ca002ad8d0663c462"/>
        <w:id w:val="104487294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合并财务报表项目注释</w:t>
      </w:r>
    </w:p>
    <w:p w:rsidR="00156DD6" w:rsidRDefault="00D51F5F">
      <w:pPr>
        <w:pStyle w:val="TOC6"/>
        <w:numPr>
          <w:ilvl w:val="0"/>
          <w:numId w:val="43"/>
        </w:numPr>
        <w:rPr>
          <w:color w:val="000000" w:themeColor="text1"/>
          <w:sz w:val="21"/>
          <w:szCs w:val="21"/>
        </w:rPr>
      </w:pPr>
      <w:bookmarkStart w:id="210" w:name="_Hlk167884561"/>
      <w:r>
        <w:rPr>
          <w:color w:val="000000" w:themeColor="text1"/>
          <w:sz w:val="21"/>
          <w:szCs w:val="21"/>
        </w:rPr>
        <w:t>货币资金</w:t>
      </w:r>
    </w:p>
    <w:sdt>
      <w:sdtPr>
        <w:rPr>
          <w:rFonts w:hint="eastAsia"/>
          <w:color w:val="000000" w:themeColor="text1"/>
        </w:rPr>
        <w:alias w:val="是否适用：货币资金[双击切换]"/>
        <w:tag w:val="_GBC_5f3519836df54c60a57659bf8a9d755e"/>
        <w:id w:val="-364142435"/>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货币资金"/>
          <w:tag w:val="_GBC_fbefd7cb6bcc4b278e8eafe562f64817"/>
          <w:id w:val="1663670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货币资金"/>
          <w:tag w:val="_GBC_c76577cdfdc64a9abb84903fd74497a4"/>
          <w:id w:val="12529323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16"/>
        <w:gridCol w:w="3291"/>
        <w:gridCol w:w="3316"/>
      </w:tblGrid>
      <w:tr w:rsidR="00156DD6">
        <w:trPr>
          <w:cantSplit/>
        </w:trPr>
        <w:sdt>
          <w:sdtPr>
            <w:tag w:val="_PLD_c298b96ff42b4ec08ce0bc2e7ff09d9d"/>
            <w:id w:val="1752462720"/>
          </w:sdtPr>
          <w:sdtEndPr/>
          <w:sdtContent>
            <w:tc>
              <w:tcPr>
                <w:tcW w:w="1256"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410d387a5f404c958f8ba18c816ca023"/>
            <w:id w:val="-66185083"/>
          </w:sdtPr>
          <w:sdtEndPr/>
          <w:sdtContent>
            <w:tc>
              <w:tcPr>
                <w:tcW w:w="1865"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04102c94e9134fa683ae3d0eac53465c"/>
            <w:id w:val="11351506"/>
          </w:sdtPr>
          <w:sdtEndPr/>
          <w:sdtContent>
            <w:tc>
              <w:tcPr>
                <w:tcW w:w="1879"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156DD6">
        <w:trPr>
          <w:cantSplit/>
        </w:trPr>
        <w:tc>
          <w:tcPr>
            <w:tcW w:w="1256" w:type="pct"/>
          </w:tcPr>
          <w:p w:rsidR="00156DD6" w:rsidRDefault="00D51F5F">
            <w:pPr>
              <w:autoSpaceDE w:val="0"/>
              <w:autoSpaceDN w:val="0"/>
              <w:adjustRightInd w:val="0"/>
              <w:snapToGrid w:val="0"/>
              <w:spacing w:line="240" w:lineRule="atLeast"/>
              <w:rPr>
                <w:color w:val="000000" w:themeColor="text1"/>
              </w:rPr>
            </w:pPr>
            <w:r>
              <w:rPr>
                <w:rFonts w:hint="eastAsia"/>
                <w:color w:val="000000" w:themeColor="text1"/>
              </w:rPr>
              <w:t>库存现金</w:t>
            </w:r>
          </w:p>
        </w:tc>
        <w:tc>
          <w:tcPr>
            <w:tcW w:w="1865" w:type="pct"/>
          </w:tcPr>
          <w:p w:rsidR="00156DD6" w:rsidRDefault="00D51F5F">
            <w:pPr>
              <w:autoSpaceDE w:val="0"/>
              <w:autoSpaceDN w:val="0"/>
              <w:adjustRightInd w:val="0"/>
              <w:snapToGrid w:val="0"/>
              <w:spacing w:line="240" w:lineRule="atLeast"/>
              <w:jc w:val="right"/>
            </w:pPr>
            <w:r>
              <w:rPr>
                <w:rFonts w:hint="eastAsia"/>
              </w:rPr>
              <w:t xml:space="preserve"> 111,778.50 </w:t>
            </w:r>
          </w:p>
        </w:tc>
        <w:tc>
          <w:tcPr>
            <w:tcW w:w="1879" w:type="pct"/>
            <w:vAlign w:val="center"/>
          </w:tcPr>
          <w:p w:rsidR="00156DD6" w:rsidRDefault="00D51F5F">
            <w:pPr>
              <w:autoSpaceDE w:val="0"/>
              <w:autoSpaceDN w:val="0"/>
              <w:adjustRightInd w:val="0"/>
              <w:snapToGrid w:val="0"/>
              <w:spacing w:line="240" w:lineRule="atLeast"/>
              <w:jc w:val="right"/>
            </w:pPr>
            <w:r>
              <w:t xml:space="preserve"> 33,414.30 </w:t>
            </w:r>
          </w:p>
        </w:tc>
      </w:tr>
      <w:tr w:rsidR="00156DD6">
        <w:trPr>
          <w:cantSplit/>
        </w:trPr>
        <w:tc>
          <w:tcPr>
            <w:tcW w:w="1256" w:type="pct"/>
          </w:tcPr>
          <w:p w:rsidR="00156DD6" w:rsidRDefault="00D51F5F">
            <w:pPr>
              <w:autoSpaceDE w:val="0"/>
              <w:autoSpaceDN w:val="0"/>
              <w:adjustRightInd w:val="0"/>
              <w:snapToGrid w:val="0"/>
              <w:spacing w:line="240" w:lineRule="atLeast"/>
              <w:rPr>
                <w:color w:val="000000" w:themeColor="text1"/>
              </w:rPr>
            </w:pPr>
            <w:r>
              <w:rPr>
                <w:rFonts w:hint="eastAsia"/>
                <w:color w:val="000000" w:themeColor="text1"/>
              </w:rPr>
              <w:t>银行存款</w:t>
            </w:r>
          </w:p>
        </w:tc>
        <w:tc>
          <w:tcPr>
            <w:tcW w:w="1865" w:type="pct"/>
          </w:tcPr>
          <w:p w:rsidR="00156DD6" w:rsidRDefault="00D51F5F">
            <w:pPr>
              <w:autoSpaceDE w:val="0"/>
              <w:autoSpaceDN w:val="0"/>
              <w:adjustRightInd w:val="0"/>
              <w:snapToGrid w:val="0"/>
              <w:spacing w:line="240" w:lineRule="atLeast"/>
              <w:jc w:val="right"/>
            </w:pPr>
            <w:r>
              <w:rPr>
                <w:rFonts w:hint="eastAsia"/>
              </w:rPr>
              <w:t xml:space="preserve"> 1,057,699,253.09 </w:t>
            </w:r>
          </w:p>
        </w:tc>
        <w:tc>
          <w:tcPr>
            <w:tcW w:w="1879" w:type="pct"/>
            <w:vAlign w:val="center"/>
          </w:tcPr>
          <w:p w:rsidR="00156DD6" w:rsidRDefault="00D51F5F">
            <w:pPr>
              <w:autoSpaceDE w:val="0"/>
              <w:autoSpaceDN w:val="0"/>
              <w:adjustRightInd w:val="0"/>
              <w:snapToGrid w:val="0"/>
              <w:spacing w:line="240" w:lineRule="atLeast"/>
              <w:jc w:val="right"/>
            </w:pPr>
            <w:r>
              <w:t xml:space="preserve"> 1,000,304,848.39 </w:t>
            </w:r>
          </w:p>
        </w:tc>
      </w:tr>
      <w:tr w:rsidR="00156DD6">
        <w:trPr>
          <w:cantSplit/>
        </w:trPr>
        <w:tc>
          <w:tcPr>
            <w:tcW w:w="1256" w:type="pct"/>
          </w:tcPr>
          <w:p w:rsidR="00156DD6" w:rsidRDefault="00D51F5F">
            <w:pPr>
              <w:autoSpaceDE w:val="0"/>
              <w:autoSpaceDN w:val="0"/>
              <w:adjustRightInd w:val="0"/>
              <w:snapToGrid w:val="0"/>
              <w:spacing w:line="240" w:lineRule="atLeast"/>
              <w:rPr>
                <w:color w:val="000000" w:themeColor="text1"/>
              </w:rPr>
            </w:pPr>
            <w:r>
              <w:rPr>
                <w:rFonts w:hint="eastAsia"/>
                <w:color w:val="000000" w:themeColor="text1"/>
              </w:rPr>
              <w:t>其他货币资金</w:t>
            </w:r>
          </w:p>
        </w:tc>
        <w:tc>
          <w:tcPr>
            <w:tcW w:w="1865" w:type="pct"/>
          </w:tcPr>
          <w:p w:rsidR="00156DD6" w:rsidRDefault="00D51F5F">
            <w:pPr>
              <w:autoSpaceDE w:val="0"/>
              <w:autoSpaceDN w:val="0"/>
              <w:adjustRightInd w:val="0"/>
              <w:snapToGrid w:val="0"/>
              <w:spacing w:line="240" w:lineRule="atLeast"/>
              <w:jc w:val="right"/>
            </w:pPr>
            <w:r>
              <w:rPr>
                <w:rFonts w:hint="eastAsia"/>
              </w:rPr>
              <w:t xml:space="preserve"> 175,011,378.15 </w:t>
            </w:r>
          </w:p>
        </w:tc>
        <w:tc>
          <w:tcPr>
            <w:tcW w:w="1879" w:type="pct"/>
            <w:vAlign w:val="center"/>
          </w:tcPr>
          <w:p w:rsidR="00156DD6" w:rsidRDefault="00D51F5F">
            <w:pPr>
              <w:autoSpaceDE w:val="0"/>
              <w:autoSpaceDN w:val="0"/>
              <w:adjustRightInd w:val="0"/>
              <w:snapToGrid w:val="0"/>
              <w:spacing w:line="240" w:lineRule="atLeast"/>
              <w:jc w:val="right"/>
            </w:pPr>
            <w:r>
              <w:t xml:space="preserve"> 154,935,789.74 </w:t>
            </w:r>
          </w:p>
        </w:tc>
      </w:tr>
      <w:tr w:rsidR="00156DD6">
        <w:trPr>
          <w:cantSplit/>
        </w:trPr>
        <w:tc>
          <w:tcPr>
            <w:tcW w:w="1256" w:type="pct"/>
            <w:vAlign w:val="center"/>
          </w:tcPr>
          <w:p w:rsidR="00156DD6" w:rsidRDefault="00D51F5F">
            <w:pPr>
              <w:autoSpaceDE w:val="0"/>
              <w:autoSpaceDN w:val="0"/>
              <w:adjustRightInd w:val="0"/>
              <w:snapToGrid w:val="0"/>
              <w:spacing w:line="240" w:lineRule="atLeast"/>
              <w:rPr>
                <w:color w:val="000000" w:themeColor="text1"/>
              </w:rPr>
            </w:pPr>
            <w:r>
              <w:rPr>
                <w:rFonts w:hint="eastAsia"/>
                <w:color w:val="000000" w:themeColor="text1"/>
              </w:rPr>
              <w:t>合计</w:t>
            </w:r>
          </w:p>
        </w:tc>
        <w:tc>
          <w:tcPr>
            <w:tcW w:w="1865" w:type="pct"/>
          </w:tcPr>
          <w:p w:rsidR="00156DD6" w:rsidRDefault="00D51F5F">
            <w:pPr>
              <w:autoSpaceDE w:val="0"/>
              <w:autoSpaceDN w:val="0"/>
              <w:adjustRightInd w:val="0"/>
              <w:snapToGrid w:val="0"/>
              <w:spacing w:line="240" w:lineRule="atLeast"/>
              <w:jc w:val="right"/>
            </w:pPr>
            <w:r>
              <w:rPr>
                <w:rFonts w:hint="eastAsia"/>
              </w:rPr>
              <w:t xml:space="preserve"> 1,232,822,409.74 </w:t>
            </w:r>
          </w:p>
        </w:tc>
        <w:tc>
          <w:tcPr>
            <w:tcW w:w="1879" w:type="pct"/>
            <w:vAlign w:val="center"/>
          </w:tcPr>
          <w:p w:rsidR="00156DD6" w:rsidRDefault="00D51F5F">
            <w:pPr>
              <w:autoSpaceDE w:val="0"/>
              <w:autoSpaceDN w:val="0"/>
              <w:adjustRightInd w:val="0"/>
              <w:snapToGrid w:val="0"/>
              <w:spacing w:line="240" w:lineRule="atLeast"/>
              <w:jc w:val="right"/>
            </w:pPr>
            <w:r>
              <w:t xml:space="preserve"> 1,155,274,052.43 </w:t>
            </w:r>
          </w:p>
        </w:tc>
      </w:tr>
    </w:tbl>
    <w:p w:rsidR="00156DD6" w:rsidRDefault="00D51F5F">
      <w:pPr>
        <w:rPr>
          <w:color w:val="000000" w:themeColor="text1"/>
        </w:rPr>
      </w:pPr>
      <w:r>
        <w:rPr>
          <w:rFonts w:hint="eastAsia"/>
          <w:color w:val="000000" w:themeColor="text1"/>
        </w:rPr>
        <w:t>其他说明</w:t>
      </w:r>
    </w:p>
    <w:p w:rsidR="00156DD6" w:rsidRDefault="00D51F5F">
      <w:pPr>
        <w:rPr>
          <w:color w:val="000000" w:themeColor="text1"/>
        </w:rPr>
      </w:pPr>
      <w:sdt>
        <w:sdtPr>
          <w:rPr>
            <w:color w:val="000000" w:themeColor="text1"/>
          </w:rPr>
          <w:alias w:val="货币资金的说明"/>
          <w:tag w:val="_GBC_2938fcf8616141aca7cb2bc277476b5d"/>
          <w:id w:val="164217001"/>
          <w:placeholder>
            <w:docPart w:val="GBC22222222222222222222222222222"/>
          </w:placeholder>
        </w:sdtPr>
        <w:sdtEndPr/>
        <w:sdtContent>
          <w:r>
            <w:rPr>
              <w:rFonts w:hint="eastAsia"/>
              <w:color w:val="000000" w:themeColor="text1"/>
            </w:rPr>
            <w:t>无</w:t>
          </w:r>
        </w:sdtContent>
      </w:sdt>
    </w:p>
    <w:p w:rsidR="00156DD6" w:rsidRDefault="00D51F5F">
      <w:pPr>
        <w:pStyle w:val="TOC6"/>
        <w:numPr>
          <w:ilvl w:val="0"/>
          <w:numId w:val="43"/>
        </w:numPr>
        <w:rPr>
          <w:color w:val="000000" w:themeColor="text1"/>
          <w:sz w:val="21"/>
          <w:szCs w:val="21"/>
        </w:rPr>
      </w:pPr>
      <w:bookmarkStart w:id="211" w:name="_Hlk167884670"/>
      <w:bookmarkEnd w:id="210"/>
      <w:r>
        <w:rPr>
          <w:color w:val="000000" w:themeColor="text1"/>
          <w:sz w:val="21"/>
          <w:szCs w:val="21"/>
        </w:rPr>
        <w:t>交易性金融资产</w:t>
      </w:r>
    </w:p>
    <w:sdt>
      <w:sdtPr>
        <w:rPr>
          <w:color w:val="000000" w:themeColor="text1"/>
        </w:rPr>
        <w:alias w:val="是否适用：交易性金融资产[双击切换]"/>
        <w:tag w:val="_GBC_814e9c37d6a143e79b3faaee7ef0a917"/>
        <w:id w:val="-206193507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ind w:left="420" w:right="44"/>
        <w:jc w:val="right"/>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单位：</w:t>
      </w:r>
      <w:sdt>
        <w:sdtPr>
          <w:rPr>
            <w:rFonts w:hint="eastAsia"/>
            <w:color w:val="000000" w:themeColor="text1"/>
          </w:rPr>
          <w:alias w:val="单位：财务附注：交易性金融资产"/>
          <w:tag w:val="_GBC_0b6d7aa5ef9b4e3f96bbacf50472e8a9"/>
          <w:id w:val="-17545052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交易性金融资产"/>
          <w:tag w:val="_GBC_c0e55c4dc6c240cbb4249fb399e1f183"/>
          <w:id w:val="-14367528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17"/>
        <w:gridCol w:w="2035"/>
        <w:gridCol w:w="2033"/>
      </w:tblGrid>
      <w:tr w:rsidR="00156DD6">
        <w:sdt>
          <w:sdtPr>
            <w:tag w:val="_PLD_3bfc974108f748739d6b36c0d00be15d"/>
            <w:id w:val="1462610651"/>
          </w:sdtPr>
          <w:sdtEndPr/>
          <w:sdtContent>
            <w:tc>
              <w:tcPr>
                <w:tcW w:w="1552" w:type="pct"/>
                <w:vAlign w:val="center"/>
              </w:tcPr>
              <w:p w:rsidR="00156DD6" w:rsidRDefault="00D51F5F">
                <w:pPr>
                  <w:jc w:val="center"/>
                  <w:rPr>
                    <w:color w:val="000000" w:themeColor="text1"/>
                  </w:rPr>
                </w:pPr>
                <w:r>
                  <w:rPr>
                    <w:rFonts w:hint="eastAsia"/>
                    <w:color w:val="000000" w:themeColor="text1"/>
                  </w:rPr>
                  <w:t>项目</w:t>
                </w:r>
              </w:p>
            </w:tc>
          </w:sdtContent>
        </w:sdt>
        <w:sdt>
          <w:sdtPr>
            <w:tag w:val="_PLD_4ab18d4bde12445fb3b33042ee039a79"/>
            <w:id w:val="1095314"/>
          </w:sdtPr>
          <w:sdtEndPr/>
          <w:sdtContent>
            <w:tc>
              <w:tcPr>
                <w:tcW w:w="1143"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ba01bb51e04644ee9a12073e90767e0a"/>
            <w:id w:val="1431929820"/>
          </w:sdtPr>
          <w:sdtEndPr/>
          <w:sdtContent>
            <w:tc>
              <w:tcPr>
                <w:tcW w:w="1153"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c>
          <w:tcPr>
            <w:tcW w:w="1152" w:type="pct"/>
          </w:tcPr>
          <w:sdt>
            <w:sdtPr>
              <w:tag w:val="_PLD_5ca45b30c40c4d908efaf8db8546b8af"/>
              <w:id w:val="-511997854"/>
            </w:sdtPr>
            <w:sdtEndPr/>
            <w:sdtContent>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指定理由和依据</w:t>
                </w:r>
              </w:p>
            </w:sdtContent>
          </w:sdt>
        </w:tc>
      </w:tr>
      <w:tr w:rsidR="00156DD6">
        <w:tc>
          <w:tcPr>
            <w:tcW w:w="1552" w:type="pct"/>
          </w:tcPr>
          <w:p w:rsidR="00156DD6" w:rsidRDefault="00D51F5F">
            <w:pPr>
              <w:autoSpaceDE w:val="0"/>
              <w:autoSpaceDN w:val="0"/>
              <w:adjustRightInd w:val="0"/>
              <w:rPr>
                <w:color w:val="000000" w:themeColor="text1"/>
              </w:rPr>
            </w:pPr>
            <w:r>
              <w:rPr>
                <w:rFonts w:hint="eastAsia"/>
                <w:color w:val="000000" w:themeColor="text1"/>
              </w:rPr>
              <w:t>以公允价值计量且其变动计入当期损益的金融资产</w:t>
            </w:r>
          </w:p>
        </w:tc>
        <w:tc>
          <w:tcPr>
            <w:tcW w:w="1143" w:type="pct"/>
            <w:vAlign w:val="center"/>
          </w:tcPr>
          <w:p w:rsidR="00156DD6" w:rsidRDefault="00156DD6">
            <w:pPr>
              <w:jc w:val="right"/>
            </w:pPr>
          </w:p>
        </w:tc>
        <w:tc>
          <w:tcPr>
            <w:tcW w:w="1153" w:type="pct"/>
            <w:vAlign w:val="center"/>
          </w:tcPr>
          <w:p w:rsidR="00156DD6" w:rsidRDefault="00D51F5F">
            <w:pPr>
              <w:jc w:val="right"/>
            </w:pPr>
            <w:r>
              <w:t>25,058,819.44</w:t>
            </w:r>
          </w:p>
        </w:tc>
        <w:tc>
          <w:tcPr>
            <w:tcW w:w="1152" w:type="pct"/>
            <w:vAlign w:val="center"/>
          </w:tcPr>
          <w:p w:rsidR="00156DD6" w:rsidRDefault="00D51F5F">
            <w:pPr>
              <w:jc w:val="right"/>
              <w:rPr>
                <w:color w:val="000000" w:themeColor="text1"/>
              </w:rPr>
            </w:pPr>
            <w:r>
              <w:rPr>
                <w:rFonts w:hint="eastAsia"/>
                <w:color w:val="000000" w:themeColor="text1"/>
              </w:rPr>
              <w:t>/</w:t>
            </w:r>
          </w:p>
        </w:tc>
      </w:tr>
      <w:tr w:rsidR="00156DD6">
        <w:sdt>
          <w:sdtPr>
            <w:tag w:val="_PLD_ced5983f34d54e1499a5d77f9b552502"/>
            <w:id w:val="1859229692"/>
          </w:sdtPr>
          <w:sdtEndPr/>
          <w:sdtContent>
            <w:tc>
              <w:tcPr>
                <w:tcW w:w="5000" w:type="pct"/>
                <w:gridSpan w:val="4"/>
              </w:tcPr>
              <w:p w:rsidR="00156DD6" w:rsidRDefault="00D51F5F">
                <w:pPr>
                  <w:rPr>
                    <w:color w:val="000000" w:themeColor="text1"/>
                  </w:rPr>
                </w:pPr>
                <w:r>
                  <w:rPr>
                    <w:rFonts w:hint="eastAsia"/>
                    <w:color w:val="000000" w:themeColor="text1"/>
                  </w:rPr>
                  <w:t>其中：</w:t>
                </w:r>
              </w:p>
            </w:tc>
          </w:sdtContent>
        </w:sdt>
      </w:tr>
      <w:tr w:rsidR="00156DD6">
        <w:tc>
          <w:tcPr>
            <w:tcW w:w="1552" w:type="pct"/>
          </w:tcPr>
          <w:p w:rsidR="00156DD6" w:rsidRDefault="00D51F5F">
            <w:pPr>
              <w:autoSpaceDE w:val="0"/>
              <w:autoSpaceDN w:val="0"/>
              <w:adjustRightInd w:val="0"/>
              <w:ind w:firstLineChars="270" w:firstLine="567"/>
            </w:pPr>
            <w:r>
              <w:rPr>
                <w:rFonts w:hint="eastAsia"/>
              </w:rPr>
              <w:t>结构性存款</w:t>
            </w:r>
          </w:p>
        </w:tc>
        <w:tc>
          <w:tcPr>
            <w:tcW w:w="1143" w:type="pct"/>
            <w:vAlign w:val="center"/>
          </w:tcPr>
          <w:p w:rsidR="00156DD6" w:rsidRDefault="00156DD6">
            <w:pPr>
              <w:jc w:val="right"/>
            </w:pPr>
          </w:p>
        </w:tc>
        <w:tc>
          <w:tcPr>
            <w:tcW w:w="1153" w:type="pct"/>
            <w:vAlign w:val="center"/>
          </w:tcPr>
          <w:p w:rsidR="00156DD6" w:rsidRDefault="00D51F5F">
            <w:pPr>
              <w:jc w:val="right"/>
            </w:pPr>
            <w:r>
              <w:t>25,058,819.44</w:t>
            </w:r>
          </w:p>
        </w:tc>
        <w:tc>
          <w:tcPr>
            <w:tcW w:w="1152" w:type="pct"/>
            <w:vAlign w:val="center"/>
          </w:tcPr>
          <w:p w:rsidR="00156DD6" w:rsidRDefault="00D51F5F">
            <w:pPr>
              <w:jc w:val="right"/>
              <w:rPr>
                <w:color w:val="000000" w:themeColor="text1"/>
              </w:rPr>
            </w:pPr>
            <w:r>
              <w:rPr>
                <w:rFonts w:hint="eastAsia"/>
                <w:color w:val="000000" w:themeColor="text1"/>
              </w:rPr>
              <w:t>/</w:t>
            </w:r>
          </w:p>
        </w:tc>
      </w:tr>
      <w:tr w:rsidR="00156DD6">
        <w:tc>
          <w:tcPr>
            <w:tcW w:w="1552" w:type="pct"/>
          </w:tcPr>
          <w:p w:rsidR="00156DD6" w:rsidRDefault="00D51F5F">
            <w:pPr>
              <w:autoSpaceDE w:val="0"/>
              <w:autoSpaceDN w:val="0"/>
              <w:adjustRightInd w:val="0"/>
              <w:rPr>
                <w:color w:val="000000" w:themeColor="text1"/>
              </w:rPr>
            </w:pPr>
            <w:r>
              <w:rPr>
                <w:rFonts w:hint="eastAsia"/>
                <w:color w:val="000000" w:themeColor="text1"/>
              </w:rPr>
              <w:t>指定以公允价值计量且其变动计入当期损益的金融资产</w:t>
            </w:r>
          </w:p>
        </w:tc>
        <w:tc>
          <w:tcPr>
            <w:tcW w:w="1143" w:type="pct"/>
            <w:vAlign w:val="center"/>
          </w:tcPr>
          <w:p w:rsidR="00156DD6" w:rsidRDefault="00156DD6">
            <w:pPr>
              <w:jc w:val="right"/>
            </w:pPr>
          </w:p>
        </w:tc>
        <w:tc>
          <w:tcPr>
            <w:tcW w:w="1153" w:type="pct"/>
            <w:vAlign w:val="center"/>
          </w:tcPr>
          <w:p w:rsidR="00156DD6" w:rsidRDefault="00156DD6">
            <w:pPr>
              <w:jc w:val="right"/>
            </w:pPr>
          </w:p>
        </w:tc>
        <w:tc>
          <w:tcPr>
            <w:tcW w:w="1152" w:type="pct"/>
            <w:vAlign w:val="center"/>
          </w:tcPr>
          <w:p w:rsidR="00156DD6" w:rsidRDefault="00156DD6">
            <w:pPr>
              <w:jc w:val="right"/>
            </w:pPr>
          </w:p>
        </w:tc>
      </w:tr>
      <w:tr w:rsidR="00156DD6">
        <w:sdt>
          <w:sdtPr>
            <w:tag w:val="_PLD_3494731f242245d8b85bfafbbb60e61d"/>
            <w:id w:val="106473289"/>
          </w:sdtPr>
          <w:sdtEndPr/>
          <w:sdtContent>
            <w:tc>
              <w:tcPr>
                <w:tcW w:w="5000" w:type="pct"/>
                <w:gridSpan w:val="4"/>
              </w:tcPr>
              <w:p w:rsidR="00156DD6" w:rsidRDefault="00D51F5F">
                <w:pPr>
                  <w:rPr>
                    <w:color w:val="000000" w:themeColor="text1"/>
                  </w:rPr>
                </w:pPr>
                <w:r>
                  <w:rPr>
                    <w:rFonts w:hint="eastAsia"/>
                    <w:color w:val="000000" w:themeColor="text1"/>
                  </w:rPr>
                  <w:t>其中：</w:t>
                </w:r>
              </w:p>
            </w:tc>
          </w:sdtContent>
        </w:sdt>
      </w:tr>
      <w:tr w:rsidR="00156DD6">
        <w:tc>
          <w:tcPr>
            <w:tcW w:w="1552" w:type="pct"/>
            <w:vAlign w:val="center"/>
          </w:tcPr>
          <w:p w:rsidR="00156DD6" w:rsidRDefault="00D51F5F">
            <w:pPr>
              <w:jc w:val="center"/>
              <w:rPr>
                <w:color w:val="000000" w:themeColor="text1"/>
              </w:rPr>
            </w:pPr>
            <w:r>
              <w:rPr>
                <w:rFonts w:hint="eastAsia"/>
                <w:color w:val="000000" w:themeColor="text1"/>
              </w:rPr>
              <w:t>合计</w:t>
            </w:r>
          </w:p>
        </w:tc>
        <w:tc>
          <w:tcPr>
            <w:tcW w:w="1143" w:type="pct"/>
            <w:vAlign w:val="center"/>
          </w:tcPr>
          <w:p w:rsidR="00156DD6" w:rsidRDefault="00156DD6">
            <w:pPr>
              <w:jc w:val="right"/>
            </w:pPr>
          </w:p>
        </w:tc>
        <w:tc>
          <w:tcPr>
            <w:tcW w:w="1153" w:type="pct"/>
            <w:vAlign w:val="center"/>
          </w:tcPr>
          <w:p w:rsidR="00156DD6" w:rsidRDefault="00D51F5F">
            <w:pPr>
              <w:jc w:val="right"/>
            </w:pPr>
            <w:r>
              <w:t>25,058,819.44</w:t>
            </w:r>
          </w:p>
        </w:tc>
        <w:tc>
          <w:tcPr>
            <w:tcW w:w="1152" w:type="pct"/>
            <w:vAlign w:val="center"/>
          </w:tcPr>
          <w:p w:rsidR="00156DD6" w:rsidRDefault="00D51F5F">
            <w:pPr>
              <w:jc w:val="right"/>
              <w:rPr>
                <w:color w:val="000000" w:themeColor="text1"/>
              </w:rPr>
            </w:pPr>
            <w:r>
              <w:rPr>
                <w:rFonts w:hint="eastAsia"/>
                <w:color w:val="000000" w:themeColor="text1"/>
              </w:rPr>
              <w:t>/</w:t>
            </w:r>
          </w:p>
        </w:tc>
      </w:tr>
    </w:tbl>
    <w:p w:rsidR="00156DD6" w:rsidRDefault="00D51F5F">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是否适用：交易性金融资产的说明[双击切换]"/>
        <w:tag w:val="_GBC_ef40892aa2074eaea951740a9358033e"/>
        <w:id w:val="2560346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11"/>
    <w:p w:rsidR="00156DD6" w:rsidRDefault="00D51F5F">
      <w:pPr>
        <w:pStyle w:val="TOC6"/>
        <w:numPr>
          <w:ilvl w:val="0"/>
          <w:numId w:val="43"/>
        </w:numPr>
        <w:rPr>
          <w:color w:val="000000" w:themeColor="text1"/>
          <w:sz w:val="21"/>
          <w:szCs w:val="21"/>
        </w:rPr>
      </w:pPr>
      <w:r>
        <w:rPr>
          <w:color w:val="000000" w:themeColor="text1"/>
          <w:sz w:val="21"/>
          <w:szCs w:val="21"/>
        </w:rPr>
        <w:t>衍生金融资产</w:t>
      </w:r>
    </w:p>
    <w:sdt>
      <w:sdtPr>
        <w:rPr>
          <w:color w:val="000000" w:themeColor="text1"/>
        </w:rPr>
        <w:alias w:val="是否适用：衍生金融资产[双击切换]"/>
        <w:tag w:val="_GBC_7f1559f8ac9a442b81c5479563d9e8bb"/>
        <w:id w:val="45013326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snapToGrid w:val="0"/>
        <w:spacing w:line="240" w:lineRule="atLeast"/>
        <w:ind w:rightChars="12" w:right="25"/>
        <w:rPr>
          <w:color w:val="000000" w:themeColor="text1"/>
        </w:rPr>
        <w:sectPr w:rsidR="00156DD6">
          <w:pgSz w:w="11906" w:h="16838"/>
          <w:pgMar w:top="1525" w:right="1276" w:bottom="1440" w:left="1797" w:header="856" w:footer="992" w:gutter="0"/>
          <w:cols w:space="425"/>
          <w:docGrid w:linePitch="312"/>
        </w:sectPr>
      </w:pPr>
    </w:p>
    <w:p w:rsidR="00156DD6" w:rsidRDefault="00D51F5F">
      <w:pPr>
        <w:pStyle w:val="TOC6"/>
        <w:numPr>
          <w:ilvl w:val="0"/>
          <w:numId w:val="43"/>
        </w:numPr>
        <w:rPr>
          <w:color w:val="000000" w:themeColor="text1"/>
          <w:sz w:val="21"/>
          <w:szCs w:val="21"/>
        </w:rPr>
      </w:pPr>
      <w:r>
        <w:rPr>
          <w:color w:val="000000" w:themeColor="text1"/>
          <w:sz w:val="21"/>
          <w:szCs w:val="21"/>
        </w:rPr>
        <w:lastRenderedPageBreak/>
        <w:t>应收票据</w:t>
      </w:r>
    </w:p>
    <w:p w:rsidR="00156DD6" w:rsidRDefault="00D51F5F">
      <w:pPr>
        <w:pStyle w:val="Style47"/>
        <w:numPr>
          <w:ilvl w:val="3"/>
          <w:numId w:val="44"/>
        </w:numPr>
        <w:rPr>
          <w:rFonts w:ascii="宋体" w:hAnsi="宋体"/>
          <w:color w:val="000000" w:themeColor="text1"/>
          <w:sz w:val="21"/>
          <w:szCs w:val="21"/>
        </w:rPr>
      </w:pPr>
      <w:r>
        <w:rPr>
          <w:rFonts w:ascii="宋体" w:hAnsi="宋体" w:hint="eastAsia"/>
          <w:color w:val="000000" w:themeColor="text1"/>
          <w:sz w:val="21"/>
          <w:szCs w:val="21"/>
        </w:rPr>
        <w:t>应收票据分类列示</w:t>
      </w:r>
    </w:p>
    <w:sdt>
      <w:sdtPr>
        <w:rPr>
          <w:color w:val="000000" w:themeColor="text1"/>
        </w:rPr>
        <w:alias w:val="是否适用：应收票据分类列示[双击切换]"/>
        <w:tag w:val="_GBC_3c32a2809ab3476a93b88a8155fb0be8"/>
        <w:id w:val="-13144886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应收票据分类"/>
          <w:tag w:val="_GBC_21d6ba5a9ccb41d7aee707ba343741db"/>
          <w:id w:val="7958100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收票据分类"/>
          <w:tag w:val="_GBC_08bc82a26735413f8516c3d080579822"/>
          <w:id w:val="-18456162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621"/>
        <w:gridCol w:w="4905"/>
        <w:gridCol w:w="4512"/>
      </w:tblGrid>
      <w:tr w:rsidR="00156DD6">
        <w:trPr>
          <w:cantSplit/>
        </w:trPr>
        <w:sdt>
          <w:sdtPr>
            <w:tag w:val="_PLD_a48e9b652e5b48b08b05dc5f5dba5744"/>
            <w:id w:val="-573052846"/>
          </w:sdtPr>
          <w:sdtEndPr/>
          <w:sdtContent>
            <w:tc>
              <w:tcPr>
                <w:tcW w:w="1646"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6664062fcf84681af8b24fee4722ae5"/>
            <w:id w:val="-138341807"/>
          </w:sdtPr>
          <w:sdtEndPr/>
          <w:sdtContent>
            <w:tc>
              <w:tcPr>
                <w:tcW w:w="1747"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7d93c99ec70e48ac985c37b2b3046178"/>
            <w:id w:val="279378447"/>
          </w:sdtPr>
          <w:sdtEndPr/>
          <w:sdtContent>
            <w:tc>
              <w:tcPr>
                <w:tcW w:w="1607"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156DD6">
        <w:trPr>
          <w:cantSplit/>
        </w:trPr>
        <w:tc>
          <w:tcPr>
            <w:tcW w:w="1646" w:type="pct"/>
          </w:tcPr>
          <w:p w:rsidR="00156DD6" w:rsidRDefault="00D51F5F">
            <w:pPr>
              <w:autoSpaceDE w:val="0"/>
              <w:autoSpaceDN w:val="0"/>
              <w:adjustRightInd w:val="0"/>
              <w:snapToGrid w:val="0"/>
              <w:spacing w:line="240" w:lineRule="atLeast"/>
              <w:rPr>
                <w:color w:val="000000" w:themeColor="text1"/>
              </w:rPr>
            </w:pPr>
            <w:r>
              <w:rPr>
                <w:rFonts w:hint="eastAsia"/>
                <w:color w:val="000000" w:themeColor="text1"/>
              </w:rPr>
              <w:t>银行承兑票据</w:t>
            </w:r>
          </w:p>
        </w:tc>
        <w:tc>
          <w:tcPr>
            <w:tcW w:w="1747" w:type="pct"/>
          </w:tcPr>
          <w:p w:rsidR="00156DD6" w:rsidRDefault="00D51F5F">
            <w:pPr>
              <w:ind w:right="13"/>
              <w:jc w:val="right"/>
            </w:pPr>
            <w:r>
              <w:rPr>
                <w:rFonts w:hint="eastAsia"/>
              </w:rPr>
              <w:t xml:space="preserve"> 208,313,977.73 </w:t>
            </w:r>
          </w:p>
        </w:tc>
        <w:tc>
          <w:tcPr>
            <w:tcW w:w="1607" w:type="pct"/>
          </w:tcPr>
          <w:p w:rsidR="00156DD6" w:rsidRDefault="00D51F5F">
            <w:pPr>
              <w:ind w:right="13"/>
              <w:jc w:val="right"/>
            </w:pPr>
            <w:r>
              <w:t xml:space="preserve"> 201,855,536.64 </w:t>
            </w:r>
          </w:p>
        </w:tc>
      </w:tr>
      <w:tr w:rsidR="00156DD6">
        <w:trPr>
          <w:cantSplit/>
        </w:trPr>
        <w:tc>
          <w:tcPr>
            <w:tcW w:w="1646" w:type="pct"/>
          </w:tcPr>
          <w:p w:rsidR="00156DD6" w:rsidRDefault="00D51F5F">
            <w:pPr>
              <w:autoSpaceDE w:val="0"/>
              <w:autoSpaceDN w:val="0"/>
              <w:adjustRightInd w:val="0"/>
              <w:snapToGrid w:val="0"/>
              <w:spacing w:line="240" w:lineRule="atLeast"/>
              <w:rPr>
                <w:color w:val="000000" w:themeColor="text1"/>
              </w:rPr>
            </w:pPr>
            <w:r>
              <w:rPr>
                <w:rFonts w:hint="eastAsia"/>
                <w:color w:val="000000" w:themeColor="text1"/>
              </w:rPr>
              <w:t>商业承兑票据</w:t>
            </w:r>
          </w:p>
        </w:tc>
        <w:tc>
          <w:tcPr>
            <w:tcW w:w="1747" w:type="pct"/>
          </w:tcPr>
          <w:p w:rsidR="00156DD6" w:rsidRDefault="00D51F5F">
            <w:pPr>
              <w:ind w:right="13"/>
              <w:jc w:val="right"/>
            </w:pPr>
            <w:r>
              <w:rPr>
                <w:rFonts w:hint="eastAsia"/>
              </w:rPr>
              <w:t xml:space="preserve"> 18,444,675.13 </w:t>
            </w:r>
          </w:p>
        </w:tc>
        <w:tc>
          <w:tcPr>
            <w:tcW w:w="1607" w:type="pct"/>
          </w:tcPr>
          <w:p w:rsidR="00156DD6" w:rsidRDefault="00D51F5F">
            <w:pPr>
              <w:ind w:right="13"/>
              <w:jc w:val="right"/>
            </w:pPr>
            <w:r>
              <w:t xml:space="preserve"> 22,907,364.22 </w:t>
            </w:r>
          </w:p>
        </w:tc>
      </w:tr>
      <w:tr w:rsidR="00156DD6">
        <w:trPr>
          <w:cantSplit/>
        </w:trPr>
        <w:tc>
          <w:tcPr>
            <w:tcW w:w="1646"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747" w:type="pct"/>
          </w:tcPr>
          <w:p w:rsidR="00156DD6" w:rsidRDefault="00D51F5F">
            <w:pPr>
              <w:jc w:val="right"/>
            </w:pPr>
            <w:r>
              <w:rPr>
                <w:rFonts w:hint="eastAsia"/>
              </w:rPr>
              <w:t xml:space="preserve"> 226,758,652.86 </w:t>
            </w:r>
          </w:p>
        </w:tc>
        <w:tc>
          <w:tcPr>
            <w:tcW w:w="1607" w:type="pct"/>
          </w:tcPr>
          <w:p w:rsidR="00156DD6" w:rsidRDefault="00D51F5F">
            <w:pPr>
              <w:autoSpaceDE w:val="0"/>
              <w:autoSpaceDN w:val="0"/>
              <w:adjustRightInd w:val="0"/>
              <w:jc w:val="right"/>
            </w:pPr>
            <w:r>
              <w:t xml:space="preserve"> 224,762,900.86 </w:t>
            </w:r>
          </w:p>
        </w:tc>
      </w:tr>
    </w:tbl>
    <w:p w:rsidR="00156DD6" w:rsidRDefault="00D51F5F">
      <w:pPr>
        <w:pStyle w:val="Style47"/>
        <w:numPr>
          <w:ilvl w:val="3"/>
          <w:numId w:val="44"/>
        </w:numPr>
        <w:rPr>
          <w:rFonts w:ascii="宋体" w:hAnsi="宋体"/>
          <w:color w:val="000000" w:themeColor="text1"/>
          <w:sz w:val="21"/>
          <w:szCs w:val="21"/>
        </w:rPr>
      </w:pPr>
      <w:r>
        <w:rPr>
          <w:rFonts w:ascii="宋体" w:hAnsi="宋体" w:hint="eastAsia"/>
          <w:color w:val="000000" w:themeColor="text1"/>
          <w:sz w:val="21"/>
          <w:szCs w:val="21"/>
        </w:rPr>
        <w:t>期末公司已质押的应收票据</w:t>
      </w:r>
    </w:p>
    <w:sdt>
      <w:sdtPr>
        <w:rPr>
          <w:color w:val="000000" w:themeColor="text1"/>
        </w:rPr>
        <w:alias w:val="是否适用：期末公司已质押的应收票据[双击切换]"/>
        <w:tag w:val="_GBC_3440ef2908e64e51a440106bfa389257"/>
        <w:id w:val="-18891040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44"/>
        </w:numPr>
        <w:rPr>
          <w:rFonts w:ascii="宋体" w:hAnsi="宋体"/>
          <w:color w:val="000000" w:themeColor="text1"/>
          <w:sz w:val="21"/>
          <w:szCs w:val="21"/>
        </w:rPr>
      </w:pPr>
      <w:r>
        <w:rPr>
          <w:rFonts w:ascii="宋体" w:hAnsi="宋体" w:hint="eastAsia"/>
          <w:color w:val="000000" w:themeColor="text1"/>
          <w:sz w:val="21"/>
          <w:szCs w:val="21"/>
        </w:rPr>
        <w:t>期末公司已背书或贴现且在资产负债表日尚未到期的应收票据</w:t>
      </w:r>
    </w:p>
    <w:sdt>
      <w:sdtPr>
        <w:rPr>
          <w:color w:val="000000" w:themeColor="text1"/>
        </w:rPr>
        <w:alias w:val="是否适用：期末公司已背书或贴现且在资产负债表日尚未到期的应收票据[双击切换]"/>
        <w:tag w:val="_GBC_d04f4c30d18f498d986ce6c934ec761c"/>
        <w:id w:val="96754853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期末公司已背书或贴现且在资产负债表日尚未到期的应收票据"/>
          <w:tag w:val="_GBC_1a006471fd2344fca1e27a6484895b0f"/>
          <w:id w:val="15064838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期末公司已背书或贴现且在资产负债表日尚未到期的应收票据"/>
          <w:tag w:val="_GBC_394a26f35e05433d88a516241a51f5ba"/>
          <w:id w:val="-20380403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4672"/>
        <w:gridCol w:w="4783"/>
      </w:tblGrid>
      <w:tr w:rsidR="00156DD6">
        <w:sdt>
          <w:sdtPr>
            <w:tag w:val="_PLD_7f8eb653a3a24ed29cc795bb9a08fb8e"/>
            <w:id w:val="-1402974118"/>
          </w:sdtPr>
          <w:sdtEndPr/>
          <w:sdtContent>
            <w:tc>
              <w:tcPr>
                <w:tcW w:w="1590" w:type="pct"/>
                <w:vAlign w:val="center"/>
              </w:tcPr>
              <w:p w:rsidR="00156DD6" w:rsidRDefault="00D51F5F">
                <w:pPr>
                  <w:jc w:val="center"/>
                  <w:rPr>
                    <w:color w:val="000000" w:themeColor="text1"/>
                  </w:rPr>
                </w:pPr>
                <w:r>
                  <w:rPr>
                    <w:rFonts w:hint="eastAsia"/>
                    <w:color w:val="000000" w:themeColor="text1"/>
                  </w:rPr>
                  <w:t>项目</w:t>
                </w:r>
              </w:p>
            </w:tc>
          </w:sdtContent>
        </w:sdt>
        <w:sdt>
          <w:sdtPr>
            <w:tag w:val="_PLD_96af9fcfe145402ea8d401a1f6c0d081"/>
            <w:id w:val="-519005320"/>
          </w:sdtPr>
          <w:sdtEndPr/>
          <w:sdtContent>
            <w:tc>
              <w:tcPr>
                <w:tcW w:w="1685" w:type="pct"/>
                <w:vAlign w:val="center"/>
              </w:tcPr>
              <w:p w:rsidR="00156DD6" w:rsidRDefault="00D51F5F">
                <w:pPr>
                  <w:jc w:val="center"/>
                  <w:rPr>
                    <w:color w:val="000000" w:themeColor="text1"/>
                  </w:rPr>
                </w:pPr>
                <w:r>
                  <w:rPr>
                    <w:rFonts w:hint="eastAsia"/>
                    <w:color w:val="000000" w:themeColor="text1"/>
                  </w:rPr>
                  <w:t>期末终止确认金额</w:t>
                </w:r>
              </w:p>
            </w:tc>
          </w:sdtContent>
        </w:sdt>
        <w:sdt>
          <w:sdtPr>
            <w:tag w:val="_PLD_2efea7e570304a7e9fb54f87b3247807"/>
            <w:id w:val="-1190129297"/>
          </w:sdtPr>
          <w:sdtEndPr/>
          <w:sdtContent>
            <w:tc>
              <w:tcPr>
                <w:tcW w:w="1725" w:type="pct"/>
                <w:vAlign w:val="center"/>
              </w:tcPr>
              <w:p w:rsidR="00156DD6" w:rsidRDefault="00D51F5F">
                <w:pPr>
                  <w:jc w:val="center"/>
                  <w:rPr>
                    <w:color w:val="000000" w:themeColor="text1"/>
                  </w:rPr>
                </w:pPr>
                <w:r>
                  <w:rPr>
                    <w:rFonts w:hint="eastAsia"/>
                    <w:color w:val="000000" w:themeColor="text1"/>
                  </w:rPr>
                  <w:t>期末未终止确认金额</w:t>
                </w:r>
              </w:p>
            </w:tc>
          </w:sdtContent>
        </w:sdt>
      </w:tr>
      <w:tr w:rsidR="00156DD6">
        <w:tc>
          <w:tcPr>
            <w:tcW w:w="1590" w:type="pct"/>
          </w:tcPr>
          <w:p w:rsidR="00156DD6" w:rsidRDefault="00D51F5F">
            <w:pPr>
              <w:rPr>
                <w:color w:val="000000" w:themeColor="text1"/>
              </w:rPr>
            </w:pPr>
            <w:r>
              <w:rPr>
                <w:rFonts w:hint="eastAsia"/>
                <w:color w:val="000000" w:themeColor="text1"/>
              </w:rPr>
              <w:t>银行承兑票据</w:t>
            </w:r>
          </w:p>
        </w:tc>
        <w:tc>
          <w:tcPr>
            <w:tcW w:w="1685" w:type="pct"/>
          </w:tcPr>
          <w:p w:rsidR="00156DD6" w:rsidRDefault="00156DD6">
            <w:pPr>
              <w:jc w:val="right"/>
            </w:pPr>
          </w:p>
        </w:tc>
        <w:tc>
          <w:tcPr>
            <w:tcW w:w="1725" w:type="pct"/>
          </w:tcPr>
          <w:p w:rsidR="00156DD6" w:rsidRDefault="00D51F5F">
            <w:pPr>
              <w:jc w:val="right"/>
            </w:pPr>
            <w:r>
              <w:t xml:space="preserve"> 210,818,798.51 </w:t>
            </w:r>
          </w:p>
        </w:tc>
      </w:tr>
      <w:tr w:rsidR="00156DD6">
        <w:tc>
          <w:tcPr>
            <w:tcW w:w="1590" w:type="pct"/>
          </w:tcPr>
          <w:p w:rsidR="00156DD6" w:rsidRDefault="00D51F5F">
            <w:pPr>
              <w:rPr>
                <w:color w:val="000000" w:themeColor="text1"/>
              </w:rPr>
            </w:pPr>
            <w:r>
              <w:rPr>
                <w:rFonts w:hint="eastAsia"/>
                <w:color w:val="000000" w:themeColor="text1"/>
              </w:rPr>
              <w:t>商业承兑票据</w:t>
            </w:r>
          </w:p>
        </w:tc>
        <w:tc>
          <w:tcPr>
            <w:tcW w:w="1685" w:type="pct"/>
          </w:tcPr>
          <w:p w:rsidR="00156DD6" w:rsidRDefault="00156DD6">
            <w:pPr>
              <w:jc w:val="right"/>
            </w:pPr>
          </w:p>
        </w:tc>
        <w:tc>
          <w:tcPr>
            <w:tcW w:w="1725" w:type="pct"/>
          </w:tcPr>
          <w:p w:rsidR="00156DD6" w:rsidRDefault="00D51F5F">
            <w:pPr>
              <w:jc w:val="right"/>
            </w:pPr>
            <w:r>
              <w:t xml:space="preserve"> 17,213,162.26 </w:t>
            </w:r>
          </w:p>
        </w:tc>
      </w:tr>
      <w:tr w:rsidR="00156DD6">
        <w:tc>
          <w:tcPr>
            <w:tcW w:w="1590" w:type="pct"/>
            <w:vAlign w:val="center"/>
          </w:tcPr>
          <w:p w:rsidR="00156DD6" w:rsidRDefault="00D51F5F">
            <w:pPr>
              <w:jc w:val="center"/>
              <w:rPr>
                <w:color w:val="000000" w:themeColor="text1"/>
              </w:rPr>
            </w:pPr>
            <w:r>
              <w:rPr>
                <w:rFonts w:hint="eastAsia"/>
                <w:color w:val="000000" w:themeColor="text1"/>
              </w:rPr>
              <w:t>合计</w:t>
            </w:r>
          </w:p>
        </w:tc>
        <w:tc>
          <w:tcPr>
            <w:tcW w:w="1685" w:type="pct"/>
          </w:tcPr>
          <w:p w:rsidR="00156DD6" w:rsidRDefault="00156DD6">
            <w:pPr>
              <w:jc w:val="right"/>
            </w:pPr>
          </w:p>
        </w:tc>
        <w:tc>
          <w:tcPr>
            <w:tcW w:w="1725" w:type="pct"/>
          </w:tcPr>
          <w:p w:rsidR="00156DD6" w:rsidRDefault="00D51F5F">
            <w:pPr>
              <w:jc w:val="right"/>
            </w:pPr>
            <w:r>
              <w:t xml:space="preserve"> 228,031,960.77 </w:t>
            </w:r>
          </w:p>
        </w:tc>
      </w:tr>
    </w:tbl>
    <w:p w:rsidR="00156DD6" w:rsidRDefault="00D51F5F">
      <w:pPr>
        <w:pStyle w:val="Style47"/>
        <w:numPr>
          <w:ilvl w:val="3"/>
          <w:numId w:val="44"/>
        </w:numPr>
        <w:rPr>
          <w:rFonts w:ascii="宋体" w:hAnsi="宋体"/>
          <w:color w:val="000000" w:themeColor="text1"/>
          <w:sz w:val="21"/>
          <w:szCs w:val="21"/>
        </w:rPr>
      </w:pPr>
      <w:bookmarkStart w:id="212" w:name="_Hlk10466572"/>
      <w:r>
        <w:rPr>
          <w:rFonts w:ascii="宋体" w:hAnsi="宋体" w:hint="eastAsia"/>
          <w:color w:val="000000" w:themeColor="text1"/>
          <w:sz w:val="21"/>
          <w:szCs w:val="21"/>
        </w:rPr>
        <w:t>按坏账计提方法分类披露</w:t>
      </w:r>
    </w:p>
    <w:sdt>
      <w:sdtPr>
        <w:rPr>
          <w:color w:val="000000" w:themeColor="text1"/>
        </w:rPr>
        <w:alias w:val="是否适用：应收票据按坏账计提方法分类披露[双击切换]"/>
        <w:tag w:val="_GBC_064ae6cf552d47d6abf4ad2b5c55d254"/>
        <w:id w:val="548338665"/>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autoSpaceDE w:val="0"/>
        <w:autoSpaceDN w:val="0"/>
        <w:adjustRightInd w:val="0"/>
        <w:ind w:left="425" w:right="10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应收票据按坏账计提方法分类披露"/>
          <w:tag w:val="_GBC_1ddd4d416c8341618d49da8050568b3a"/>
          <w:id w:val="20584345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应收票据按坏账计提方法分类披露"/>
          <w:tag w:val="_GBC_ee21347c53de4655b7421f9707c0f27c"/>
          <w:id w:val="-6356321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754"/>
        <w:gridCol w:w="1532"/>
        <w:gridCol w:w="750"/>
        <w:gridCol w:w="1427"/>
        <w:gridCol w:w="784"/>
        <w:gridCol w:w="1532"/>
        <w:gridCol w:w="1532"/>
        <w:gridCol w:w="785"/>
        <w:gridCol w:w="1428"/>
        <w:gridCol w:w="807"/>
        <w:gridCol w:w="1532"/>
      </w:tblGrid>
      <w:tr w:rsidR="00156DD6">
        <w:trPr>
          <w:cantSplit/>
          <w:trHeight w:val="259"/>
        </w:trPr>
        <w:bookmarkStart w:id="213" w:name="_Hlk533511527" w:displacedByCustomXml="next"/>
        <w:sdt>
          <w:sdtPr>
            <w:tag w:val="_PLD_b41ab991b5cb44b284803f0e13680cca"/>
            <w:id w:val="-114523956"/>
          </w:sdtPr>
          <w:sdtEndPr/>
          <w:sdtContent>
            <w:tc>
              <w:tcPr>
                <w:tcW w:w="633"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类别</w:t>
                </w:r>
              </w:p>
            </w:tc>
          </w:sdtContent>
        </w:sdt>
        <w:sdt>
          <w:sdtPr>
            <w:tag w:val="_PLD_4250aa21af14465089e9a64950228223"/>
            <w:id w:val="1958761655"/>
          </w:sdtPr>
          <w:sdtEndPr/>
          <w:sdtContent>
            <w:tc>
              <w:tcPr>
                <w:tcW w:w="2173"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efdd4dc84ac74beda0c7ce9ee8ac707c"/>
            <w:id w:val="1000468759"/>
          </w:sdtPr>
          <w:sdtEndPr/>
          <w:sdtContent>
            <w:tc>
              <w:tcPr>
                <w:tcW w:w="2194"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156DD6">
        <w:trPr>
          <w:cantSplit/>
          <w:trHeight w:val="227"/>
        </w:trPr>
        <w:tc>
          <w:tcPr>
            <w:tcW w:w="633" w:type="pct"/>
            <w:vMerge/>
            <w:tcBorders>
              <w:left w:val="single" w:sz="4" w:space="0" w:color="auto"/>
              <w:right w:val="single" w:sz="4" w:space="0" w:color="auto"/>
            </w:tcBorders>
            <w:vAlign w:val="center"/>
          </w:tcPr>
          <w:p w:rsidR="00156DD6" w:rsidRDefault="00156DD6">
            <w:pPr>
              <w:rPr>
                <w:color w:val="000000" w:themeColor="text1"/>
              </w:rPr>
            </w:pPr>
          </w:p>
        </w:tc>
        <w:sdt>
          <w:sdtPr>
            <w:tag w:val="_PLD_4d31e977a3b64420aab06ccefa58a768"/>
            <w:id w:val="1930237690"/>
          </w:sdtPr>
          <w:sdtEndPr/>
          <w:sdtContent>
            <w:tc>
              <w:tcPr>
                <w:tcW w:w="823"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ce16034971f3433baf795de55c0fcc02"/>
            <w:id w:val="-1124531460"/>
          </w:sdtPr>
          <w:sdtEndPr/>
          <w:sdtContent>
            <w:tc>
              <w:tcPr>
                <w:tcW w:w="797"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13676246dce14cd09ca054f6ed8baa70"/>
            <w:id w:val="-655068210"/>
          </w:sdtPr>
          <w:sdtEndPr/>
          <w:sdtContent>
            <w:tc>
              <w:tcPr>
                <w:tcW w:w="553"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账面价值</w:t>
                </w:r>
              </w:p>
            </w:tc>
          </w:sdtContent>
        </w:sdt>
        <w:sdt>
          <w:sdtPr>
            <w:tag w:val="_PLD_3f5cbfe2ccd14f7a9fa6413579511d78"/>
            <w:id w:val="-68892705"/>
          </w:sdtPr>
          <w:sdtEndPr/>
          <w:sdtContent>
            <w:tc>
              <w:tcPr>
                <w:tcW w:w="836"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063250a22f93425b948b3ffb834d8c5a"/>
            <w:id w:val="353156258"/>
          </w:sdtPr>
          <w:sdtEndPr/>
          <w:sdtContent>
            <w:tc>
              <w:tcPr>
                <w:tcW w:w="806"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9932dde99a63463ab11a246a2b6129c8"/>
            <w:id w:val="-30186399"/>
          </w:sdtPr>
          <w:sdtEndPr/>
          <w:sdtContent>
            <w:tc>
              <w:tcPr>
                <w:tcW w:w="553"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账面价值</w:t>
                </w:r>
              </w:p>
            </w:tc>
          </w:sdtContent>
        </w:sdt>
      </w:tr>
      <w:tr w:rsidR="00156DD6">
        <w:trPr>
          <w:cantSplit/>
          <w:trHeight w:val="375"/>
        </w:trPr>
        <w:tc>
          <w:tcPr>
            <w:tcW w:w="633" w:type="pct"/>
            <w:vMerge/>
            <w:tcBorders>
              <w:left w:val="single" w:sz="4" w:space="0" w:color="auto"/>
              <w:bottom w:val="single" w:sz="4" w:space="0" w:color="auto"/>
              <w:right w:val="single" w:sz="4" w:space="0" w:color="auto"/>
            </w:tcBorders>
            <w:vAlign w:val="center"/>
          </w:tcPr>
          <w:p w:rsidR="00156DD6" w:rsidRDefault="00156DD6">
            <w:pPr>
              <w:rPr>
                <w:color w:val="000000" w:themeColor="text1"/>
              </w:rPr>
            </w:pPr>
          </w:p>
        </w:tc>
        <w:sdt>
          <w:sdtPr>
            <w:tag w:val="_PLD_c0290ae623e744d38ca9b437c3a7f380"/>
            <w:id w:val="733432289"/>
          </w:sdtPr>
          <w:sdtEndPr/>
          <w:sdtContent>
            <w:tc>
              <w:tcPr>
                <w:tcW w:w="553"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193b3b07b4e0498485bc12534ae975ec"/>
            <w:id w:val="-1955388203"/>
          </w:sdtPr>
          <w:sdtEndPr/>
          <w:sdtContent>
            <w:tc>
              <w:tcPr>
                <w:tcW w:w="271"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sdt>
          <w:sdtPr>
            <w:tag w:val="_PLD_1f47ced2bea143d39f38cb11c0113cf4"/>
            <w:id w:val="1294801511"/>
          </w:sdtPr>
          <w:sdtEndPr/>
          <w:sdtContent>
            <w:tc>
              <w:tcPr>
                <w:tcW w:w="515"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a23086fe0481444ab724c5dec4a5f19d"/>
            <w:id w:val="597759071"/>
          </w:sdtPr>
          <w:sdtEndPr/>
          <w:sdtContent>
            <w:tc>
              <w:tcPr>
                <w:tcW w:w="283"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计提比例</w:t>
                </w:r>
                <w:r>
                  <w:rPr>
                    <w:color w:val="000000" w:themeColor="text1"/>
                  </w:rPr>
                  <w:t>(%)</w:t>
                </w:r>
              </w:p>
            </w:tc>
          </w:sdtContent>
        </w:sdt>
        <w:tc>
          <w:tcPr>
            <w:tcW w:w="553" w:type="pct"/>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sdt>
          <w:sdtPr>
            <w:tag w:val="_PLD_0ebe7a6ebddd49acb12d2e49fbaeb5ef"/>
            <w:id w:val="-693773228"/>
          </w:sdtPr>
          <w:sdtEndPr/>
          <w:sdtContent>
            <w:tc>
              <w:tcPr>
                <w:tcW w:w="553"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f3083b688a88491aaa0236072ce160b8"/>
            <w:id w:val="-565875882"/>
          </w:sdtPr>
          <w:sdtEndPr/>
          <w:sdtContent>
            <w:tc>
              <w:tcPr>
                <w:tcW w:w="283"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sdt>
          <w:sdtPr>
            <w:tag w:val="_PLD_1cdb2a199b6d43678bae639c01b9d9cb"/>
            <w:id w:val="405964638"/>
          </w:sdtPr>
          <w:sdtEndPr/>
          <w:sdtContent>
            <w:tc>
              <w:tcPr>
                <w:tcW w:w="515"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ad76cc2b302a460a8cbeb5e98be19160"/>
            <w:id w:val="-2032860060"/>
          </w:sdtPr>
          <w:sdtEndPr/>
          <w:sdtContent>
            <w:tc>
              <w:tcPr>
                <w:tcW w:w="291"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计提比例</w:t>
                </w:r>
                <w:r>
                  <w:rPr>
                    <w:color w:val="000000" w:themeColor="text1"/>
                  </w:rPr>
                  <w:t>(%)</w:t>
                </w:r>
              </w:p>
            </w:tc>
          </w:sdtContent>
        </w:sdt>
        <w:tc>
          <w:tcPr>
            <w:tcW w:w="553"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tr>
      <w:tr w:rsidR="00156DD6">
        <w:trPr>
          <w:cantSplit/>
        </w:trPr>
        <w:tc>
          <w:tcPr>
            <w:tcW w:w="633"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按单项计提坏账准备</w:t>
            </w:r>
          </w:p>
        </w:tc>
        <w:tc>
          <w:tcPr>
            <w:tcW w:w="55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71"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1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8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5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5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8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1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91"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53"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rPr>
          <w:cantSplit/>
        </w:trPr>
        <w:sdt>
          <w:sdtPr>
            <w:tag w:val="_PLD_2a6d1b30f65e462ebca8043195ba30aa"/>
            <w:id w:val="-861657864"/>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其中：</w:t>
                </w:r>
              </w:p>
            </w:tc>
          </w:sdtContent>
        </w:sdt>
      </w:tr>
      <w:tr w:rsidR="00156DD6">
        <w:trPr>
          <w:cantSplit/>
        </w:trPr>
        <w:tc>
          <w:tcPr>
            <w:tcW w:w="633"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按组合计提坏账准备</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239,291,366.68 </w:t>
            </w:r>
          </w:p>
        </w:tc>
        <w:tc>
          <w:tcPr>
            <w:tcW w:w="27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100.00 </w:t>
            </w:r>
          </w:p>
        </w:tc>
        <w:tc>
          <w:tcPr>
            <w:tcW w:w="51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12,532,713.82 </w:t>
            </w:r>
          </w:p>
        </w:tc>
        <w:tc>
          <w:tcPr>
            <w:tcW w:w="28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5.24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226,758,652.86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240,601,884.15 </w:t>
            </w:r>
          </w:p>
        </w:tc>
        <w:tc>
          <w:tcPr>
            <w:tcW w:w="28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100.00 </w:t>
            </w:r>
          </w:p>
        </w:tc>
        <w:tc>
          <w:tcPr>
            <w:tcW w:w="51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15,838,983.29 </w:t>
            </w:r>
          </w:p>
        </w:tc>
        <w:tc>
          <w:tcPr>
            <w:tcW w:w="29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6.58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224,762,900.86 </w:t>
            </w:r>
          </w:p>
        </w:tc>
      </w:tr>
      <w:tr w:rsidR="00156DD6">
        <w:trPr>
          <w:cantSplit/>
        </w:trPr>
        <w:sdt>
          <w:sdtPr>
            <w:tag w:val="_PLD_6921e0fe3b3b446d887af92fc2bcab4d"/>
            <w:id w:val="-1900124398"/>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其中：</w:t>
                </w:r>
              </w:p>
            </w:tc>
          </w:sdtContent>
        </w:sdt>
      </w:tr>
      <w:tr w:rsidR="00156DD6">
        <w:trPr>
          <w:cantSplit/>
        </w:trPr>
        <w:sdt>
          <w:sdtPr>
            <w:rPr>
              <w:color w:val="000000" w:themeColor="text1"/>
            </w:rPr>
            <w:alias w:val="按组合计提坏账准备的应收票据明细-类别"/>
            <w:tag w:val="_GBC_6d9e7457cc694a73a262b35683b9ab0e"/>
            <w:id w:val="1779293538"/>
          </w:sdtPr>
          <w:sdtEndPr/>
          <w:sdtContent>
            <w:tc>
              <w:tcPr>
                <w:tcW w:w="633"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账龄组合</w:t>
                </w:r>
                <w:r>
                  <w:rPr>
                    <w:rFonts w:hint="eastAsia"/>
                    <w:color w:val="000000" w:themeColor="text1"/>
                  </w:rPr>
                  <w:t>-</w:t>
                </w:r>
                <w:r>
                  <w:rPr>
                    <w:rFonts w:hint="eastAsia"/>
                    <w:color w:val="000000" w:themeColor="text1"/>
                  </w:rPr>
                  <w:t>银行承兑汇票</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219,504,634.49 </w:t>
            </w:r>
          </w:p>
        </w:tc>
        <w:tc>
          <w:tcPr>
            <w:tcW w:w="27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91.73 </w:t>
            </w:r>
          </w:p>
        </w:tc>
        <w:tc>
          <w:tcPr>
            <w:tcW w:w="51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11,190,656.76 </w:t>
            </w:r>
          </w:p>
        </w:tc>
        <w:tc>
          <w:tcPr>
            <w:tcW w:w="28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5.10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208,313,977.73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213,108,598.85 </w:t>
            </w:r>
          </w:p>
        </w:tc>
        <w:tc>
          <w:tcPr>
            <w:tcW w:w="28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88.57 </w:t>
            </w:r>
          </w:p>
        </w:tc>
        <w:tc>
          <w:tcPr>
            <w:tcW w:w="51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11,253,062.21</w:t>
            </w:r>
          </w:p>
        </w:tc>
        <w:tc>
          <w:tcPr>
            <w:tcW w:w="29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5.28</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201,855,536.64</w:t>
            </w:r>
          </w:p>
        </w:tc>
      </w:tr>
      <w:tr w:rsidR="00156DD6">
        <w:trPr>
          <w:cantSplit/>
        </w:trPr>
        <w:sdt>
          <w:sdtPr>
            <w:rPr>
              <w:color w:val="000000" w:themeColor="text1"/>
            </w:rPr>
            <w:alias w:val="按组合计提坏账准备的应收票据明细-类别"/>
            <w:tag w:val="_GBC_6d9e7457cc694a73a262b35683b9ab0e"/>
            <w:id w:val="1533845681"/>
          </w:sdtPr>
          <w:sdtEndPr/>
          <w:sdtContent>
            <w:tc>
              <w:tcPr>
                <w:tcW w:w="633"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账龄组合</w:t>
                </w:r>
                <w:r>
                  <w:rPr>
                    <w:rFonts w:hint="eastAsia"/>
                    <w:color w:val="000000" w:themeColor="text1"/>
                  </w:rPr>
                  <w:t>-</w:t>
                </w:r>
                <w:r>
                  <w:rPr>
                    <w:rFonts w:hint="eastAsia"/>
                    <w:color w:val="000000" w:themeColor="text1"/>
                  </w:rPr>
                  <w:t>商业承兑汇票</w:t>
                </w:r>
              </w:p>
            </w:tc>
          </w:sdtContent>
        </w:sdt>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19,786,732.19 </w:t>
            </w:r>
          </w:p>
        </w:tc>
        <w:tc>
          <w:tcPr>
            <w:tcW w:w="27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8.27 </w:t>
            </w:r>
          </w:p>
        </w:tc>
        <w:tc>
          <w:tcPr>
            <w:tcW w:w="51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1,342,057.06 </w:t>
            </w:r>
          </w:p>
        </w:tc>
        <w:tc>
          <w:tcPr>
            <w:tcW w:w="28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6.78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18,444,675.13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27,493,285.30 </w:t>
            </w:r>
          </w:p>
        </w:tc>
        <w:tc>
          <w:tcPr>
            <w:tcW w:w="28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11.43</w:t>
            </w:r>
          </w:p>
        </w:tc>
        <w:tc>
          <w:tcPr>
            <w:tcW w:w="51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4,585,921.08</w:t>
            </w:r>
          </w:p>
        </w:tc>
        <w:tc>
          <w:tcPr>
            <w:tcW w:w="29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16.68</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22,907,364.22</w:t>
            </w:r>
          </w:p>
        </w:tc>
      </w:tr>
      <w:tr w:rsidR="00156DD6">
        <w:trPr>
          <w:cantSplit/>
        </w:trPr>
        <w:tc>
          <w:tcPr>
            <w:tcW w:w="63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合计</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239,291,366.68</w:t>
            </w:r>
          </w:p>
        </w:tc>
        <w:tc>
          <w:tcPr>
            <w:tcW w:w="27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rPr>
                <w:rFonts w:hint="eastAsia"/>
              </w:rPr>
              <w:t xml:space="preserve">100.00 </w:t>
            </w:r>
          </w:p>
        </w:tc>
        <w:tc>
          <w:tcPr>
            <w:tcW w:w="51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12,532,713.82 </w:t>
            </w:r>
          </w:p>
        </w:tc>
        <w:tc>
          <w:tcPr>
            <w:tcW w:w="28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rPr>
                <w:rFonts w:hint="eastAsia"/>
              </w:rPr>
              <w:t xml:space="preserve"> 5.24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226,758,652.86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240,601,884.15</w:t>
            </w:r>
          </w:p>
        </w:tc>
        <w:tc>
          <w:tcPr>
            <w:tcW w:w="28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rPr>
                <w:rFonts w:hint="eastAsia"/>
              </w:rPr>
              <w:t xml:space="preserve">100.00 </w:t>
            </w:r>
          </w:p>
        </w:tc>
        <w:tc>
          <w:tcPr>
            <w:tcW w:w="51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15,838,983.29</w:t>
            </w:r>
          </w:p>
        </w:tc>
        <w:tc>
          <w:tcPr>
            <w:tcW w:w="29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rPr>
                <w:rFonts w:hint="eastAsia"/>
              </w:rPr>
              <w:t>6.58</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224,762,900.86</w:t>
            </w:r>
          </w:p>
        </w:tc>
      </w:tr>
    </w:tbl>
    <w:p w:rsidR="00156DD6" w:rsidRDefault="00D51F5F">
      <w:pPr>
        <w:rPr>
          <w:color w:val="000000" w:themeColor="text1"/>
        </w:rPr>
      </w:pPr>
      <w:bookmarkStart w:id="214" w:name="_Hlk10466593"/>
      <w:bookmarkStart w:id="215" w:name="_Hlk10466603"/>
      <w:bookmarkEnd w:id="212"/>
      <w:bookmarkEnd w:id="213"/>
      <w:r>
        <w:rPr>
          <w:rFonts w:hint="eastAsia"/>
          <w:color w:val="000000" w:themeColor="text1"/>
        </w:rPr>
        <w:t>按单项计提坏账准备：</w:t>
      </w:r>
      <w:bookmarkEnd w:id="214"/>
    </w:p>
    <w:sdt>
      <w:sdtPr>
        <w:rPr>
          <w:rFonts w:hint="eastAsia"/>
          <w:color w:val="000000" w:themeColor="text1"/>
        </w:rPr>
        <w:alias w:val="是否适用：按单项计提坏账准备的应收票据详细情况[双击切换]"/>
        <w:tag w:val="_GBC_90335c20d2434e43b63dbeddbebca5f6"/>
        <w:id w:val="-9156096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cstheme="minorBidi"/>
          <w:color w:val="000000" w:themeColor="text1"/>
          <w:szCs w:val="22"/>
        </w:rPr>
      </w:pPr>
      <w:bookmarkStart w:id="216" w:name="_Hlk533597423"/>
      <w:bookmarkStart w:id="217" w:name="_Hlk10466625"/>
      <w:bookmarkStart w:id="218" w:name="_Hlk10466636"/>
      <w:bookmarkEnd w:id="215"/>
      <w:bookmarkEnd w:id="216"/>
      <w:r>
        <w:rPr>
          <w:rFonts w:cstheme="minorBidi" w:hint="eastAsia"/>
          <w:color w:val="000000" w:themeColor="text1"/>
          <w:szCs w:val="22"/>
        </w:rPr>
        <w:t>按组合计提坏账准备：</w:t>
      </w:r>
      <w:bookmarkEnd w:id="217"/>
    </w:p>
    <w:sdt>
      <w:sdtPr>
        <w:rPr>
          <w:rFonts w:cstheme="minorBidi" w:hint="eastAsia"/>
          <w:color w:val="000000" w:themeColor="text1"/>
          <w:szCs w:val="22"/>
        </w:rPr>
        <w:alias w:val="是否适用：按组合计提坏账准备的应收票据详细情况[双击切换]"/>
        <w:tag w:val="_GBC_2b00fe7228b14b11bdb374e735777f02"/>
        <w:id w:val="-240566441"/>
        <w:lock w:val="contentLocked"/>
        <w:placeholder>
          <w:docPart w:val="GBC22222222222222222222222222222"/>
        </w:placeholder>
      </w:sdtPr>
      <w:sdtEndPr/>
      <w:sdtContent>
        <w:p w:rsidR="00156DD6" w:rsidRDefault="00D51F5F">
          <w:pPr>
            <w:rPr>
              <w:rFonts w:cstheme="minorBidi"/>
              <w:color w:val="000000" w:themeColor="text1"/>
              <w:szCs w:val="22"/>
            </w:rPr>
          </w:pPr>
          <w:r>
            <w:rPr>
              <w:rFonts w:cstheme="minorBidi"/>
              <w:color w:val="000000" w:themeColor="text1"/>
              <w:szCs w:val="22"/>
            </w:rPr>
            <w:fldChar w:fldCharType="begin"/>
          </w:r>
          <w:r>
            <w:rPr>
              <w:rFonts w:cstheme="minorBidi"/>
              <w:color w:val="000000" w:themeColor="text1"/>
              <w:szCs w:val="22"/>
            </w:rPr>
            <w:instrText xml:space="preserve"> </w:instrText>
          </w:r>
          <w:r>
            <w:rPr>
              <w:rFonts w:cstheme="minorBidi" w:hint="eastAsia"/>
              <w:color w:val="000000" w:themeColor="text1"/>
              <w:szCs w:val="22"/>
            </w:rPr>
            <w:instrText xml:space="preserve">MACROBUTTON  SnrToggleCheckbox </w:instrText>
          </w:r>
          <w:r>
            <w:rPr>
              <w:rFonts w:cstheme="minorBidi" w:hint="eastAsia"/>
              <w:color w:val="000000" w:themeColor="text1"/>
              <w:szCs w:val="22"/>
            </w:rPr>
            <w:instrText>√适用</w:instrText>
          </w:r>
          <w:r>
            <w:rPr>
              <w:rFonts w:cstheme="minorBidi"/>
              <w:color w:val="000000" w:themeColor="text1"/>
              <w:szCs w:val="22"/>
            </w:rPr>
            <w:instrText xml:space="preserve">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w:instrText>
          </w:r>
          <w:r>
            <w:rPr>
              <w:rFonts w:cstheme="minorBidi"/>
              <w:color w:val="000000" w:themeColor="text1"/>
              <w:szCs w:val="22"/>
            </w:rPr>
            <w:instrText>不适用</w:instrText>
          </w:r>
          <w:r>
            <w:rPr>
              <w:rFonts w:cstheme="minorBidi"/>
              <w:color w:val="000000" w:themeColor="text1"/>
              <w:szCs w:val="22"/>
            </w:rPr>
            <w:instrText xml:space="preserve"> </w:instrText>
          </w:r>
          <w:r>
            <w:rPr>
              <w:rFonts w:cstheme="minorBidi"/>
              <w:color w:val="000000" w:themeColor="text1"/>
              <w:szCs w:val="22"/>
            </w:rPr>
            <w:fldChar w:fldCharType="end"/>
          </w:r>
        </w:p>
      </w:sdtContent>
    </w:sdt>
    <w:p w:rsidR="00156DD6" w:rsidRDefault="00D51F5F">
      <w:pPr>
        <w:rPr>
          <w:rFonts w:cstheme="minorBidi"/>
          <w:color w:val="000000" w:themeColor="text1"/>
          <w:szCs w:val="22"/>
        </w:rPr>
      </w:pPr>
      <w:bookmarkStart w:id="219" w:name="_Hlk533601037"/>
      <w:r>
        <w:rPr>
          <w:rFonts w:hint="eastAsia"/>
          <w:color w:val="000000" w:themeColor="text1"/>
        </w:rPr>
        <w:t>组合计提项目</w:t>
      </w:r>
      <w:r>
        <w:rPr>
          <w:rFonts w:cstheme="minorBidi" w:hint="eastAsia"/>
          <w:color w:val="000000" w:themeColor="text1"/>
          <w:szCs w:val="22"/>
        </w:rPr>
        <w:t>：</w:t>
      </w:r>
      <w:sdt>
        <w:sdtPr>
          <w:rPr>
            <w:rFonts w:cstheme="minorBidi" w:hint="eastAsia"/>
            <w:color w:val="000000" w:themeColor="text1"/>
            <w:szCs w:val="22"/>
          </w:rPr>
          <w:alias w:val="按组合计提坏账准备的应收票据明细-类别"/>
          <w:tag w:val="_GBC_3ab101eae3824734a1fbf3c7c224edc3"/>
          <w:id w:val="866340620"/>
          <w:placeholder>
            <w:docPart w:val="GBC22222222222222222222222222222"/>
          </w:placeholder>
          <w:comboBox>
            <w:listItem w:displayText="账龄组合-商业承兑汇票" w:value="账龄组合-商业承兑汇票"/>
            <w:listItem w:displayText="账龄组合-银行承兑汇票" w:value="账龄组合-银行承兑汇票"/>
          </w:comboBox>
        </w:sdtPr>
        <w:sdtEndPr/>
        <w:sdtContent>
          <w:r>
            <w:rPr>
              <w:rFonts w:cstheme="minorBidi" w:hint="eastAsia"/>
              <w:color w:val="000000" w:themeColor="text1"/>
              <w:szCs w:val="22"/>
            </w:rPr>
            <w:t>银行承兑汇票组合、商业承兑汇票组合</w:t>
          </w:r>
        </w:sdtContent>
      </w:sdt>
    </w:p>
    <w:p w:rsidR="00156DD6" w:rsidRDefault="00D51F5F">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组合计提坏账准备的应收票据详细情况"/>
          <w:tag w:val="_GBC_5f3250f84084490c95753d0a165a807b"/>
          <w:id w:val="-8583513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按组合计提坏账准备的应收票据详细情况"/>
          <w:tag w:val="_GBC_8b6ba2153795407e8dbbd199bda78b09"/>
          <w:id w:val="6781600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156DD6">
        <w:sdt>
          <w:sdtPr>
            <w:tag w:val="_PLD_5376290ef0b041e8bbd7b943461b0a9f"/>
            <w:id w:val="-1101796192"/>
          </w:sdtPr>
          <w:sdtEndPr/>
          <w:sdtContent>
            <w:tc>
              <w:tcPr>
                <w:tcW w:w="1158" w:type="pct"/>
                <w:vMerge w:val="restart"/>
                <w:vAlign w:val="center"/>
              </w:tcPr>
              <w:p w:rsidR="00156DD6" w:rsidRDefault="00D51F5F">
                <w:pPr>
                  <w:jc w:val="center"/>
                  <w:rPr>
                    <w:color w:val="000000" w:themeColor="text1"/>
                  </w:rPr>
                </w:pPr>
                <w:r>
                  <w:rPr>
                    <w:rFonts w:hint="eastAsia"/>
                    <w:color w:val="000000" w:themeColor="text1"/>
                  </w:rPr>
                  <w:t>名称</w:t>
                </w:r>
              </w:p>
            </w:tc>
          </w:sdtContent>
        </w:sdt>
        <w:sdt>
          <w:sdtPr>
            <w:tag w:val="_PLD_cb2e8486740a451fbac357ed56dfdf09"/>
            <w:id w:val="757874466"/>
          </w:sdtPr>
          <w:sdtEndPr/>
          <w:sdtContent>
            <w:tc>
              <w:tcPr>
                <w:tcW w:w="3842" w:type="pct"/>
                <w:gridSpan w:val="3"/>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1158" w:type="pct"/>
            <w:vMerge/>
          </w:tcPr>
          <w:p w:rsidR="00156DD6" w:rsidRDefault="00156DD6">
            <w:pPr>
              <w:jc w:val="center"/>
              <w:rPr>
                <w:color w:val="000000" w:themeColor="text1"/>
              </w:rPr>
            </w:pPr>
          </w:p>
        </w:tc>
        <w:sdt>
          <w:sdtPr>
            <w:tag w:val="_PLD_e58334d5cfd94eb3a57462d770bebef2"/>
            <w:id w:val="1471177234"/>
          </w:sdtPr>
          <w:sdtEndPr/>
          <w:sdtContent>
            <w:tc>
              <w:tcPr>
                <w:tcW w:w="1276" w:type="pct"/>
                <w:vAlign w:val="center"/>
              </w:tcPr>
              <w:p w:rsidR="00156DD6" w:rsidRDefault="00D51F5F">
                <w:pPr>
                  <w:jc w:val="center"/>
                  <w:rPr>
                    <w:color w:val="000000" w:themeColor="text1"/>
                  </w:rPr>
                </w:pPr>
                <w:r>
                  <w:rPr>
                    <w:rFonts w:hint="eastAsia"/>
                    <w:color w:val="000000" w:themeColor="text1"/>
                  </w:rPr>
                  <w:t>账面余额</w:t>
                </w:r>
              </w:p>
            </w:tc>
          </w:sdtContent>
        </w:sdt>
        <w:sdt>
          <w:sdtPr>
            <w:tag w:val="_PLD_bdeedca9dff44f0386291c89e9b9d89b"/>
            <w:id w:val="-1313176133"/>
          </w:sdtPr>
          <w:sdtEndPr/>
          <w:sdtContent>
            <w:tc>
              <w:tcPr>
                <w:tcW w:w="1299" w:type="pct"/>
                <w:vAlign w:val="center"/>
              </w:tcPr>
              <w:p w:rsidR="00156DD6" w:rsidRDefault="00D51F5F">
                <w:pPr>
                  <w:jc w:val="center"/>
                  <w:rPr>
                    <w:color w:val="000000" w:themeColor="text1"/>
                  </w:rPr>
                </w:pPr>
                <w:r>
                  <w:rPr>
                    <w:rFonts w:hint="eastAsia"/>
                    <w:color w:val="000000" w:themeColor="text1"/>
                  </w:rPr>
                  <w:t>坏账准备</w:t>
                </w:r>
              </w:p>
            </w:tc>
          </w:sdtContent>
        </w:sdt>
        <w:sdt>
          <w:sdtPr>
            <w:tag w:val="_PLD_f6f1b7e04e5d43bda3afea1cf431ea55"/>
            <w:id w:val="-1123843458"/>
          </w:sdtPr>
          <w:sdtEndPr/>
          <w:sdtContent>
            <w:tc>
              <w:tcPr>
                <w:tcW w:w="1267" w:type="pct"/>
                <w:vAlign w:val="center"/>
              </w:tcPr>
              <w:p w:rsidR="00156DD6" w:rsidRDefault="00D51F5F">
                <w:pPr>
                  <w:jc w:val="center"/>
                  <w:rPr>
                    <w:color w:val="000000" w:themeColor="text1"/>
                  </w:rPr>
                </w:pPr>
                <w:r>
                  <w:rPr>
                    <w:color w:val="000000" w:themeColor="text1"/>
                  </w:rPr>
                  <w:t>计提比例</w:t>
                </w:r>
                <w:r>
                  <w:rPr>
                    <w:rFonts w:hint="eastAsia"/>
                    <w:color w:val="000000" w:themeColor="text1"/>
                  </w:rPr>
                  <w:t>（</w:t>
                </w:r>
                <w:r>
                  <w:rPr>
                    <w:rFonts w:hint="eastAsia"/>
                    <w:color w:val="000000" w:themeColor="text1"/>
                  </w:rPr>
                  <w:t>%</w:t>
                </w:r>
                <w:r>
                  <w:rPr>
                    <w:rFonts w:hint="eastAsia"/>
                    <w:color w:val="000000" w:themeColor="text1"/>
                  </w:rPr>
                  <w:t>）</w:t>
                </w:r>
              </w:p>
            </w:tc>
          </w:sdtContent>
        </w:sdt>
      </w:tr>
      <w:tr w:rsidR="00156DD6">
        <w:tc>
          <w:tcPr>
            <w:tcW w:w="1158" w:type="pct"/>
          </w:tcPr>
          <w:p w:rsidR="00156DD6" w:rsidRDefault="00D51F5F">
            <w:pPr>
              <w:pStyle w:val="Style43"/>
            </w:pPr>
            <w:r>
              <w:t>银行承兑汇票组合</w:t>
            </w:r>
          </w:p>
        </w:tc>
        <w:tc>
          <w:tcPr>
            <w:tcW w:w="1276" w:type="pct"/>
          </w:tcPr>
          <w:p w:rsidR="00156DD6" w:rsidRDefault="00D51F5F">
            <w:pPr>
              <w:jc w:val="right"/>
            </w:pPr>
            <w:r>
              <w:rPr>
                <w:rFonts w:hint="eastAsia"/>
              </w:rPr>
              <w:t xml:space="preserve"> 219,504,634.49 </w:t>
            </w:r>
          </w:p>
        </w:tc>
        <w:tc>
          <w:tcPr>
            <w:tcW w:w="1299" w:type="pct"/>
          </w:tcPr>
          <w:p w:rsidR="00156DD6" w:rsidRDefault="00D51F5F">
            <w:pPr>
              <w:jc w:val="right"/>
            </w:pPr>
            <w:r>
              <w:rPr>
                <w:rFonts w:hint="eastAsia"/>
              </w:rPr>
              <w:t xml:space="preserve"> 11,190,656.76 </w:t>
            </w:r>
          </w:p>
        </w:tc>
        <w:tc>
          <w:tcPr>
            <w:tcW w:w="1267" w:type="pct"/>
          </w:tcPr>
          <w:p w:rsidR="00156DD6" w:rsidRDefault="00D51F5F">
            <w:pPr>
              <w:jc w:val="right"/>
            </w:pPr>
            <w:r>
              <w:rPr>
                <w:rFonts w:hint="eastAsia"/>
              </w:rPr>
              <w:t xml:space="preserve"> 5.10 </w:t>
            </w:r>
          </w:p>
        </w:tc>
      </w:tr>
      <w:tr w:rsidR="00156DD6">
        <w:tc>
          <w:tcPr>
            <w:tcW w:w="1158" w:type="pct"/>
          </w:tcPr>
          <w:p w:rsidR="00156DD6" w:rsidRDefault="00D51F5F">
            <w:pPr>
              <w:pStyle w:val="Style43"/>
            </w:pPr>
            <w:r>
              <w:t>商业承兑汇票组合</w:t>
            </w:r>
          </w:p>
        </w:tc>
        <w:tc>
          <w:tcPr>
            <w:tcW w:w="1276" w:type="pct"/>
          </w:tcPr>
          <w:p w:rsidR="00156DD6" w:rsidRDefault="00D51F5F">
            <w:pPr>
              <w:jc w:val="right"/>
            </w:pPr>
            <w:r>
              <w:rPr>
                <w:rFonts w:hint="eastAsia"/>
              </w:rPr>
              <w:t xml:space="preserve"> 19,786,732.19 </w:t>
            </w:r>
          </w:p>
        </w:tc>
        <w:tc>
          <w:tcPr>
            <w:tcW w:w="1299" w:type="pct"/>
          </w:tcPr>
          <w:p w:rsidR="00156DD6" w:rsidRDefault="00D51F5F">
            <w:pPr>
              <w:jc w:val="right"/>
            </w:pPr>
            <w:r>
              <w:rPr>
                <w:rFonts w:hint="eastAsia"/>
              </w:rPr>
              <w:t xml:space="preserve"> 1,342,057.06 </w:t>
            </w:r>
          </w:p>
        </w:tc>
        <w:tc>
          <w:tcPr>
            <w:tcW w:w="1267" w:type="pct"/>
          </w:tcPr>
          <w:p w:rsidR="00156DD6" w:rsidRDefault="00D51F5F">
            <w:pPr>
              <w:jc w:val="right"/>
            </w:pPr>
            <w:r>
              <w:rPr>
                <w:rFonts w:hint="eastAsia"/>
              </w:rPr>
              <w:t xml:space="preserve"> 6.78 </w:t>
            </w:r>
          </w:p>
        </w:tc>
      </w:tr>
      <w:tr w:rsidR="00156DD6">
        <w:tc>
          <w:tcPr>
            <w:tcW w:w="1158" w:type="pct"/>
            <w:vAlign w:val="center"/>
          </w:tcPr>
          <w:p w:rsidR="00156DD6" w:rsidRDefault="00D51F5F">
            <w:pPr>
              <w:jc w:val="center"/>
              <w:rPr>
                <w:color w:val="000000" w:themeColor="text1"/>
              </w:rPr>
            </w:pPr>
            <w:r>
              <w:rPr>
                <w:rFonts w:hint="eastAsia"/>
                <w:color w:val="000000" w:themeColor="text1"/>
              </w:rPr>
              <w:t>合计</w:t>
            </w:r>
          </w:p>
        </w:tc>
        <w:tc>
          <w:tcPr>
            <w:tcW w:w="1276" w:type="pct"/>
          </w:tcPr>
          <w:p w:rsidR="00156DD6" w:rsidRDefault="00D51F5F">
            <w:pPr>
              <w:jc w:val="right"/>
            </w:pPr>
            <w:r>
              <w:rPr>
                <w:rFonts w:hint="eastAsia"/>
              </w:rPr>
              <w:t xml:space="preserve"> 239,291,366.68 </w:t>
            </w:r>
          </w:p>
        </w:tc>
        <w:tc>
          <w:tcPr>
            <w:tcW w:w="1299" w:type="pct"/>
          </w:tcPr>
          <w:p w:rsidR="00156DD6" w:rsidRDefault="00D51F5F">
            <w:pPr>
              <w:jc w:val="right"/>
            </w:pPr>
            <w:r>
              <w:rPr>
                <w:rFonts w:hint="eastAsia"/>
              </w:rPr>
              <w:t xml:space="preserve"> 12,532,713.82 </w:t>
            </w:r>
          </w:p>
        </w:tc>
        <w:tc>
          <w:tcPr>
            <w:tcW w:w="1267" w:type="pct"/>
          </w:tcPr>
          <w:p w:rsidR="00156DD6" w:rsidRDefault="00D51F5F">
            <w:pPr>
              <w:jc w:val="right"/>
            </w:pPr>
            <w:r>
              <w:rPr>
                <w:rFonts w:hint="eastAsia"/>
              </w:rPr>
              <w:t xml:space="preserve"> 5.24 </w:t>
            </w:r>
          </w:p>
        </w:tc>
      </w:tr>
    </w:tbl>
    <w:p w:rsidR="00156DD6" w:rsidRDefault="00D51F5F">
      <w:pPr>
        <w:rPr>
          <w:color w:val="000000" w:themeColor="text1"/>
        </w:rPr>
      </w:pPr>
      <w:r>
        <w:rPr>
          <w:rFonts w:hint="eastAsia"/>
          <w:color w:val="000000" w:themeColor="text1"/>
        </w:rPr>
        <w:t>按组合计提坏账准备的说明</w:t>
      </w:r>
    </w:p>
    <w:sdt>
      <w:sdtPr>
        <w:rPr>
          <w:color w:val="000000" w:themeColor="text1"/>
        </w:rPr>
        <w:alias w:val="是否适用：按组合计提坏账准备的应收票据确认标准[双击切换]"/>
        <w:tag w:val="_GBC_ceeb8d4dc9cb454fae5b8d4178caf8a1"/>
        <w:id w:val="177790167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cstheme="minorBidi"/>
          <w:color w:val="000000" w:themeColor="text1"/>
          <w:szCs w:val="22"/>
        </w:rPr>
      </w:pPr>
      <w:bookmarkStart w:id="220" w:name="_Hlk153356892"/>
      <w:bookmarkStart w:id="221" w:name="_Hlk167884917"/>
      <w:bookmarkEnd w:id="218"/>
      <w:bookmarkEnd w:id="219"/>
      <w:r>
        <w:rPr>
          <w:rFonts w:cstheme="minorBidi" w:hint="eastAsia"/>
          <w:color w:val="000000" w:themeColor="text1"/>
          <w:szCs w:val="22"/>
        </w:rPr>
        <w:t>按预期信用损失一般模型计提坏账准备</w:t>
      </w:r>
    </w:p>
    <w:sdt>
      <w:sdtPr>
        <w:rPr>
          <w:rFonts w:cstheme="minorBidi"/>
          <w:color w:val="000000" w:themeColor="text1"/>
          <w:szCs w:val="22"/>
        </w:rPr>
        <w:alias w:val="是否适用：按预期信用损失一般模型计提坏账准备[双击切换]"/>
        <w:tag w:val="_GBC_843d776745f34ed8a0f1956fcb3af042"/>
        <w:id w:val="1472325373"/>
        <w:placeholder>
          <w:docPart w:val="GBC22222222222222222222222222222"/>
        </w:placeholder>
      </w:sdtPr>
      <w:sdtEndPr/>
      <w:sdtContent>
        <w:p w:rsidR="00156DD6" w:rsidRDefault="00D51F5F">
          <w:pPr>
            <w:rPr>
              <w:rFonts w:cstheme="minorBidi"/>
              <w:color w:val="000000" w:themeColor="text1"/>
              <w:szCs w:val="22"/>
            </w:rPr>
          </w:pPr>
          <w:r>
            <w:rPr>
              <w:rFonts w:cstheme="minorBidi"/>
              <w:color w:val="000000" w:themeColor="text1"/>
              <w:szCs w:val="22"/>
            </w:rPr>
            <w:fldChar w:fldCharType="begin"/>
          </w:r>
          <w:r>
            <w:rPr>
              <w:rFonts w:cstheme="minorBidi" w:hint="eastAsia"/>
              <w:color w:val="000000" w:themeColor="text1"/>
              <w:szCs w:val="22"/>
            </w:rPr>
            <w:instrText xml:space="preserve"> MACROBUTTON  SnrToggleCheckbox </w:instrText>
          </w:r>
          <w:r>
            <w:rPr>
              <w:rFonts w:cstheme="minorBidi" w:hint="eastAsia"/>
              <w:color w:val="000000" w:themeColor="text1"/>
              <w:szCs w:val="22"/>
            </w:rPr>
            <w:instrText>□适用</w:instrText>
          </w:r>
          <w:r>
            <w:rPr>
              <w:rFonts w:cstheme="minorBidi" w:hint="eastAsia"/>
              <w:color w:val="000000" w:themeColor="text1"/>
              <w:szCs w:val="22"/>
            </w:rPr>
            <w:instrText xml:space="preserve">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hint="eastAsia"/>
              <w:color w:val="000000" w:themeColor="text1"/>
              <w:szCs w:val="22"/>
            </w:rPr>
            <w:instrText xml:space="preserve"> MACROBUTTON  SnrToggleCheckbox </w:instrText>
          </w:r>
          <w:r>
            <w:rPr>
              <w:rFonts w:cstheme="minorBidi" w:hint="eastAsia"/>
              <w:color w:val="000000" w:themeColor="text1"/>
              <w:szCs w:val="22"/>
            </w:rPr>
            <w:instrText>√不适用</w:instrText>
          </w:r>
          <w:r>
            <w:rPr>
              <w:rFonts w:cstheme="minorBidi" w:hint="eastAsia"/>
              <w:color w:val="000000" w:themeColor="text1"/>
              <w:szCs w:val="22"/>
            </w:rPr>
            <w:instrText xml:space="preserve"> </w:instrText>
          </w:r>
          <w:r>
            <w:rPr>
              <w:rFonts w:cstheme="minorBidi"/>
              <w:color w:val="000000" w:themeColor="text1"/>
              <w:szCs w:val="22"/>
            </w:rPr>
            <w:fldChar w:fldCharType="end"/>
          </w:r>
        </w:p>
      </w:sdtContent>
    </w:sdt>
    <w:p w:rsidR="00156DD6" w:rsidRDefault="00D51F5F">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各阶段划分依据和坏账准备计提比例"/>
        <w:tag w:val="_GBC_0c92b3ffc361499bb76814db60f3df97"/>
        <w:id w:val="-580439156"/>
        <w:placeholder>
          <w:docPart w:val="GBC22222222222222222222222222222"/>
        </w:placeholder>
      </w:sdtPr>
      <w:sdtEndPr/>
      <w:sdtContent>
        <w:p w:rsidR="00156DD6" w:rsidRDefault="00D51F5F">
          <w:pPr>
            <w:rPr>
              <w:rFonts w:cs="Times New Roman"/>
              <w:color w:val="000000" w:themeColor="text1"/>
              <w:szCs w:val="22"/>
            </w:rPr>
          </w:pPr>
          <w:r>
            <w:rPr>
              <w:rFonts w:cs="Times New Roman" w:hint="eastAsia"/>
              <w:color w:val="000000" w:themeColor="text1"/>
              <w:szCs w:val="22"/>
            </w:rPr>
            <w:t>无</w:t>
          </w:r>
        </w:p>
      </w:sdtContent>
    </w:sdt>
    <w:p w:rsidR="00156DD6" w:rsidRDefault="00D51F5F">
      <w:pPr>
        <w:pStyle w:val="Style100"/>
        <w:rPr>
          <w:color w:val="000000" w:themeColor="text1"/>
        </w:rPr>
      </w:pPr>
      <w:r>
        <w:rPr>
          <w:rFonts w:hint="eastAsia"/>
          <w:color w:val="000000" w:themeColor="text1"/>
        </w:rPr>
        <w:t>对本期发生损失准备变动的应收票据账面余额显著变动的情况说明：</w:t>
      </w:r>
    </w:p>
    <w:sdt>
      <w:sdtPr>
        <w:rPr>
          <w:color w:val="000000" w:themeColor="text1"/>
        </w:rPr>
        <w:alias w:val="是否适用：对本期发生损失准备变动的账面余额显著变动的情况说明[双击切换]"/>
        <w:tag w:val="_GBC_58cb241b61cd42d1a0d769cec83b1516"/>
        <w:id w:val="-503981324"/>
        <w:placeholder>
          <w:docPart w:val="GBC22222222222222222222222222222"/>
        </w:placeholder>
      </w:sdtPr>
      <w:sdtEndPr/>
      <w:sdtContent>
        <w:p w:rsidR="00156DD6" w:rsidRDefault="00D51F5F">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44"/>
        </w:numPr>
        <w:rPr>
          <w:rFonts w:ascii="宋体" w:hAnsi="宋体"/>
          <w:color w:val="000000" w:themeColor="text1"/>
          <w:sz w:val="21"/>
          <w:szCs w:val="21"/>
        </w:rPr>
      </w:pPr>
      <w:bookmarkStart w:id="222" w:name="_Hlk167885031"/>
      <w:bookmarkStart w:id="223" w:name="_Hlk532980547"/>
      <w:bookmarkStart w:id="224" w:name="_Hlk154148795"/>
      <w:bookmarkEnd w:id="220"/>
      <w:bookmarkEnd w:id="221"/>
      <w:r>
        <w:rPr>
          <w:rFonts w:ascii="宋体" w:hAnsi="宋体" w:hint="eastAsia"/>
          <w:color w:val="000000" w:themeColor="text1"/>
          <w:sz w:val="21"/>
          <w:szCs w:val="21"/>
        </w:rPr>
        <w:t>坏账准备的情况</w:t>
      </w:r>
    </w:p>
    <w:sdt>
      <w:sdtPr>
        <w:rPr>
          <w:color w:val="000000" w:themeColor="text1"/>
        </w:rPr>
        <w:alias w:val="是否适用：应收票据坏账准备情况[双击切换]"/>
        <w:tag w:val="_GBC_168f3e2065e34239828a1cf025c3d9ad"/>
        <w:id w:val="107030938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snapToGrid w:val="0"/>
        <w:spacing w:line="240" w:lineRule="atLeast"/>
        <w:ind w:left="425"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应收票据坏账准备情况"/>
          <w:tag w:val="_GBC_d3a8b55f4d3d46338dc8615962682b22"/>
          <w:id w:val="-7901243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应收票据坏账准备情况"/>
          <w:tag w:val="_GBC_f03e183b4ddf4c9ebe18b9e75a7c77f3"/>
          <w:id w:val="-2813509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Style52"/>
        <w:tblW w:w="522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43"/>
        <w:gridCol w:w="1954"/>
        <w:gridCol w:w="1954"/>
        <w:gridCol w:w="2171"/>
        <w:gridCol w:w="2379"/>
        <w:gridCol w:w="1736"/>
        <w:gridCol w:w="1953"/>
      </w:tblGrid>
      <w:tr w:rsidR="00156DD6">
        <w:sdt>
          <w:sdtPr>
            <w:tag w:val="_PLD_d91070330c034808b2168b8b81919a89"/>
            <w:id w:val="1648401407"/>
          </w:sdtPr>
          <w:sdtEndPr/>
          <w:sdtContent>
            <w:tc>
              <w:tcPr>
                <w:tcW w:w="808" w:type="pct"/>
                <w:vMerge w:val="restart"/>
                <w:shd w:val="clear" w:color="auto" w:fill="FFFFFF"/>
                <w:vAlign w:val="center"/>
              </w:tcPr>
              <w:p w:rsidR="00156DD6" w:rsidRDefault="00D51F5F">
                <w:pPr>
                  <w:widowControl w:val="0"/>
                  <w:jc w:val="center"/>
                  <w:rPr>
                    <w:color w:val="000000" w:themeColor="text1"/>
                  </w:rPr>
                </w:pPr>
                <w:r>
                  <w:rPr>
                    <w:color w:val="000000" w:themeColor="text1"/>
                  </w:rPr>
                  <w:t>类别</w:t>
                </w:r>
              </w:p>
            </w:tc>
          </w:sdtContent>
        </w:sdt>
        <w:sdt>
          <w:sdtPr>
            <w:tag w:val="_PLD_60ccbd20c2d8456995a587f893de4932"/>
            <w:id w:val="-186369223"/>
          </w:sdtPr>
          <w:sdtEndPr/>
          <w:sdtContent>
            <w:tc>
              <w:tcPr>
                <w:tcW w:w="674" w:type="pct"/>
                <w:vMerge w:val="restart"/>
                <w:shd w:val="clear" w:color="auto" w:fill="FFFFFF"/>
                <w:vAlign w:val="center"/>
              </w:tcPr>
              <w:p w:rsidR="00156DD6" w:rsidRDefault="00D51F5F">
                <w:pPr>
                  <w:widowControl w:val="0"/>
                  <w:jc w:val="center"/>
                  <w:rPr>
                    <w:color w:val="000000" w:themeColor="text1"/>
                  </w:rPr>
                </w:pPr>
                <w:r>
                  <w:rPr>
                    <w:color w:val="000000" w:themeColor="text1"/>
                  </w:rPr>
                  <w:t>期初余额</w:t>
                </w:r>
              </w:p>
            </w:tc>
          </w:sdtContent>
        </w:sdt>
        <w:sdt>
          <w:sdtPr>
            <w:tag w:val="_PLD_742c587d8e0148bf971392aa01bf66de"/>
            <w:id w:val="1442798862"/>
          </w:sdtPr>
          <w:sdtEndPr/>
          <w:sdtContent>
            <w:tc>
              <w:tcPr>
                <w:tcW w:w="2843" w:type="pct"/>
                <w:gridSpan w:val="4"/>
                <w:shd w:val="clear" w:color="auto" w:fill="FFFFFF"/>
                <w:vAlign w:val="center"/>
              </w:tcPr>
              <w:p w:rsidR="00156DD6" w:rsidRDefault="00D51F5F">
                <w:pPr>
                  <w:widowControl w:val="0"/>
                  <w:jc w:val="center"/>
                  <w:rPr>
                    <w:color w:val="000000" w:themeColor="text1"/>
                  </w:rPr>
                </w:pPr>
                <w:r>
                  <w:rPr>
                    <w:rFonts w:hint="eastAsia"/>
                    <w:color w:val="000000" w:themeColor="text1"/>
                  </w:rPr>
                  <w:t>本期变动</w:t>
                </w:r>
                <w:r>
                  <w:rPr>
                    <w:color w:val="000000" w:themeColor="text1"/>
                  </w:rPr>
                  <w:t>金额</w:t>
                </w:r>
              </w:p>
            </w:tc>
          </w:sdtContent>
        </w:sdt>
        <w:sdt>
          <w:sdtPr>
            <w:tag w:val="_PLD_e573bb55483f4ff8b7343b703edf5fab"/>
            <w:id w:val="860402321"/>
          </w:sdtPr>
          <w:sdtEndPr/>
          <w:sdtContent>
            <w:tc>
              <w:tcPr>
                <w:tcW w:w="674" w:type="pct"/>
                <w:vMerge w:val="restart"/>
                <w:shd w:val="clear" w:color="auto" w:fill="FFFFFF"/>
                <w:vAlign w:val="center"/>
              </w:tcPr>
              <w:p w:rsidR="00156DD6" w:rsidRDefault="00D51F5F">
                <w:pPr>
                  <w:widowControl w:val="0"/>
                  <w:jc w:val="center"/>
                  <w:rPr>
                    <w:color w:val="000000" w:themeColor="text1"/>
                  </w:rPr>
                </w:pPr>
                <w:r>
                  <w:rPr>
                    <w:color w:val="000000" w:themeColor="text1"/>
                  </w:rPr>
                  <w:t>期末余额</w:t>
                </w:r>
              </w:p>
            </w:tc>
          </w:sdtContent>
        </w:sdt>
      </w:tr>
      <w:tr w:rsidR="00156DD6">
        <w:tc>
          <w:tcPr>
            <w:tcW w:w="808" w:type="pct"/>
            <w:vMerge/>
            <w:shd w:val="clear" w:color="auto" w:fill="FFFFFF"/>
          </w:tcPr>
          <w:p w:rsidR="00156DD6" w:rsidRDefault="00156DD6">
            <w:pPr>
              <w:widowControl w:val="0"/>
              <w:jc w:val="center"/>
              <w:rPr>
                <w:color w:val="000000" w:themeColor="text1"/>
              </w:rPr>
            </w:pPr>
          </w:p>
        </w:tc>
        <w:tc>
          <w:tcPr>
            <w:tcW w:w="674" w:type="pct"/>
            <w:vMerge/>
            <w:shd w:val="clear" w:color="auto" w:fill="FFFFFF"/>
          </w:tcPr>
          <w:p w:rsidR="00156DD6" w:rsidRDefault="00156DD6">
            <w:pPr>
              <w:widowControl w:val="0"/>
              <w:jc w:val="right"/>
              <w:rPr>
                <w:color w:val="000000" w:themeColor="text1"/>
              </w:rPr>
            </w:pPr>
          </w:p>
        </w:tc>
        <w:sdt>
          <w:sdtPr>
            <w:tag w:val="_PLD_77edaeb5d0ba4895bf03260caf79609a"/>
            <w:id w:val="-1200318524"/>
          </w:sdtPr>
          <w:sdtEndPr/>
          <w:sdtContent>
            <w:tc>
              <w:tcPr>
                <w:tcW w:w="674" w:type="pct"/>
                <w:shd w:val="clear" w:color="auto" w:fill="FFFFFF"/>
                <w:vAlign w:val="center"/>
              </w:tcPr>
              <w:p w:rsidR="00156DD6" w:rsidRDefault="00D51F5F">
                <w:pPr>
                  <w:widowControl w:val="0"/>
                  <w:jc w:val="center"/>
                  <w:rPr>
                    <w:color w:val="000000" w:themeColor="text1"/>
                  </w:rPr>
                </w:pPr>
                <w:r>
                  <w:rPr>
                    <w:color w:val="000000" w:themeColor="text1"/>
                  </w:rPr>
                  <w:t>计提</w:t>
                </w:r>
              </w:p>
            </w:tc>
          </w:sdtContent>
        </w:sdt>
        <w:sdt>
          <w:sdtPr>
            <w:tag w:val="_PLD_07e66fa953b04e198132856ff978b12d"/>
            <w:id w:val="-1406216568"/>
          </w:sdtPr>
          <w:sdtEndPr/>
          <w:sdtContent>
            <w:tc>
              <w:tcPr>
                <w:tcW w:w="749" w:type="pct"/>
                <w:shd w:val="clear" w:color="auto" w:fill="FFFFFF"/>
                <w:vAlign w:val="center"/>
              </w:tcPr>
              <w:p w:rsidR="00156DD6" w:rsidRDefault="00D51F5F">
                <w:pPr>
                  <w:widowControl w:val="0"/>
                  <w:jc w:val="center"/>
                  <w:rPr>
                    <w:color w:val="000000" w:themeColor="text1"/>
                  </w:rPr>
                </w:pPr>
                <w:r>
                  <w:rPr>
                    <w:rFonts w:hint="eastAsia"/>
                    <w:color w:val="000000" w:themeColor="text1"/>
                  </w:rPr>
                  <w:t>收回或转回</w:t>
                </w:r>
              </w:p>
            </w:tc>
          </w:sdtContent>
        </w:sdt>
        <w:tc>
          <w:tcPr>
            <w:tcW w:w="821" w:type="pct"/>
            <w:shd w:val="clear" w:color="auto" w:fill="FFFFFF"/>
            <w:vAlign w:val="center"/>
          </w:tcPr>
          <w:sdt>
            <w:sdtPr>
              <w:tag w:val="_PLD_659150d8a45b4fe4aa5b1a76230550df"/>
              <w:id w:val="-2022004788"/>
            </w:sdtPr>
            <w:sdtEndPr/>
            <w:sdtContent>
              <w:p w:rsidR="00156DD6" w:rsidRDefault="00D51F5F">
                <w:pPr>
                  <w:widowControl w:val="0"/>
                  <w:jc w:val="center"/>
                  <w:rPr>
                    <w:color w:val="000000" w:themeColor="text1"/>
                  </w:rPr>
                </w:pPr>
                <w:r>
                  <w:rPr>
                    <w:rFonts w:hint="eastAsia"/>
                    <w:color w:val="000000" w:themeColor="text1"/>
                  </w:rPr>
                  <w:t>转销或核销</w:t>
                </w:r>
              </w:p>
            </w:sdtContent>
          </w:sdt>
        </w:tc>
        <w:tc>
          <w:tcPr>
            <w:tcW w:w="599" w:type="pct"/>
            <w:shd w:val="clear" w:color="auto" w:fill="FFFFFF"/>
            <w:vAlign w:val="center"/>
          </w:tcPr>
          <w:sdt>
            <w:sdtPr>
              <w:tag w:val="_PLD_b2f39b7c7250417f9d0d6e05c18ae503"/>
              <w:id w:val="-1443305324"/>
            </w:sdtPr>
            <w:sdtEndPr/>
            <w:sdtContent>
              <w:p w:rsidR="00156DD6" w:rsidRDefault="00D51F5F">
                <w:pPr>
                  <w:widowControl w:val="0"/>
                  <w:jc w:val="center"/>
                  <w:rPr>
                    <w:color w:val="000000" w:themeColor="text1"/>
                  </w:rPr>
                </w:pPr>
                <w:r>
                  <w:rPr>
                    <w:rFonts w:hint="eastAsia"/>
                    <w:color w:val="000000" w:themeColor="text1"/>
                  </w:rPr>
                  <w:t>其他变动</w:t>
                </w:r>
              </w:p>
            </w:sdtContent>
          </w:sdt>
        </w:tc>
        <w:tc>
          <w:tcPr>
            <w:tcW w:w="674" w:type="pct"/>
            <w:vMerge/>
            <w:shd w:val="clear" w:color="auto" w:fill="FFFFFF"/>
          </w:tcPr>
          <w:p w:rsidR="00156DD6" w:rsidRDefault="00156DD6">
            <w:pPr>
              <w:widowControl w:val="0"/>
              <w:jc w:val="right"/>
              <w:rPr>
                <w:color w:val="000000" w:themeColor="text1"/>
              </w:rPr>
            </w:pPr>
          </w:p>
        </w:tc>
      </w:tr>
      <w:tr w:rsidR="00156DD6">
        <w:tc>
          <w:tcPr>
            <w:tcW w:w="808" w:type="pct"/>
          </w:tcPr>
          <w:p w:rsidR="00156DD6" w:rsidRDefault="00D51F5F">
            <w:pPr>
              <w:widowControl w:val="0"/>
            </w:pPr>
            <w:r>
              <w:rPr>
                <w:rFonts w:hint="eastAsia"/>
              </w:rPr>
              <w:lastRenderedPageBreak/>
              <w:t>按组合计提预期信用损失的应收票据</w:t>
            </w:r>
          </w:p>
        </w:tc>
        <w:tc>
          <w:tcPr>
            <w:tcW w:w="674" w:type="pct"/>
            <w:vAlign w:val="center"/>
          </w:tcPr>
          <w:p w:rsidR="00156DD6" w:rsidRDefault="00D51F5F">
            <w:pPr>
              <w:widowControl w:val="0"/>
              <w:jc w:val="right"/>
            </w:pPr>
            <w:r>
              <w:t>15,838,983.29</w:t>
            </w:r>
          </w:p>
        </w:tc>
        <w:tc>
          <w:tcPr>
            <w:tcW w:w="674" w:type="pct"/>
            <w:vAlign w:val="center"/>
          </w:tcPr>
          <w:p w:rsidR="00156DD6" w:rsidRDefault="00D51F5F">
            <w:pPr>
              <w:widowControl w:val="0"/>
              <w:jc w:val="right"/>
            </w:pPr>
            <w:r>
              <w:t xml:space="preserve"> -3,306,269.47 </w:t>
            </w:r>
          </w:p>
        </w:tc>
        <w:tc>
          <w:tcPr>
            <w:tcW w:w="749" w:type="pct"/>
          </w:tcPr>
          <w:p w:rsidR="00156DD6" w:rsidRDefault="00156DD6">
            <w:pPr>
              <w:widowControl w:val="0"/>
              <w:jc w:val="right"/>
            </w:pPr>
          </w:p>
        </w:tc>
        <w:tc>
          <w:tcPr>
            <w:tcW w:w="821" w:type="pct"/>
          </w:tcPr>
          <w:p w:rsidR="00156DD6" w:rsidRDefault="00156DD6">
            <w:pPr>
              <w:widowControl w:val="0"/>
              <w:jc w:val="right"/>
            </w:pPr>
          </w:p>
        </w:tc>
        <w:tc>
          <w:tcPr>
            <w:tcW w:w="599" w:type="pct"/>
          </w:tcPr>
          <w:p w:rsidR="00156DD6" w:rsidRDefault="00156DD6">
            <w:pPr>
              <w:widowControl w:val="0"/>
              <w:jc w:val="right"/>
            </w:pPr>
          </w:p>
        </w:tc>
        <w:tc>
          <w:tcPr>
            <w:tcW w:w="674" w:type="pct"/>
            <w:vAlign w:val="center"/>
          </w:tcPr>
          <w:p w:rsidR="00156DD6" w:rsidRDefault="00D51F5F">
            <w:pPr>
              <w:widowControl w:val="0"/>
              <w:jc w:val="right"/>
            </w:pPr>
            <w:r>
              <w:t>12,532,713.82</w:t>
            </w:r>
          </w:p>
        </w:tc>
      </w:tr>
      <w:tr w:rsidR="00156DD6">
        <w:tc>
          <w:tcPr>
            <w:tcW w:w="808" w:type="pct"/>
          </w:tcPr>
          <w:p w:rsidR="00156DD6" w:rsidRDefault="00D51F5F">
            <w:pPr>
              <w:widowControl w:val="0"/>
              <w:jc w:val="center"/>
              <w:rPr>
                <w:color w:val="000000" w:themeColor="text1"/>
              </w:rPr>
            </w:pPr>
            <w:r>
              <w:rPr>
                <w:rFonts w:hint="eastAsia"/>
                <w:color w:val="000000" w:themeColor="text1"/>
              </w:rPr>
              <w:t>合计</w:t>
            </w:r>
          </w:p>
        </w:tc>
        <w:tc>
          <w:tcPr>
            <w:tcW w:w="674" w:type="pct"/>
            <w:vAlign w:val="center"/>
          </w:tcPr>
          <w:p w:rsidR="00156DD6" w:rsidRDefault="00D51F5F">
            <w:pPr>
              <w:widowControl w:val="0"/>
              <w:jc w:val="right"/>
            </w:pPr>
            <w:r>
              <w:t>15,838,983.29</w:t>
            </w:r>
          </w:p>
        </w:tc>
        <w:tc>
          <w:tcPr>
            <w:tcW w:w="674" w:type="pct"/>
            <w:vAlign w:val="center"/>
          </w:tcPr>
          <w:p w:rsidR="00156DD6" w:rsidRDefault="00D51F5F">
            <w:pPr>
              <w:widowControl w:val="0"/>
              <w:jc w:val="right"/>
            </w:pPr>
            <w:r>
              <w:t xml:space="preserve"> -3,306,269.47 </w:t>
            </w:r>
          </w:p>
        </w:tc>
        <w:tc>
          <w:tcPr>
            <w:tcW w:w="749" w:type="pct"/>
          </w:tcPr>
          <w:p w:rsidR="00156DD6" w:rsidRDefault="00156DD6">
            <w:pPr>
              <w:widowControl w:val="0"/>
              <w:jc w:val="right"/>
            </w:pPr>
          </w:p>
        </w:tc>
        <w:tc>
          <w:tcPr>
            <w:tcW w:w="821" w:type="pct"/>
          </w:tcPr>
          <w:p w:rsidR="00156DD6" w:rsidRDefault="00156DD6">
            <w:pPr>
              <w:widowControl w:val="0"/>
              <w:jc w:val="right"/>
            </w:pPr>
          </w:p>
        </w:tc>
        <w:tc>
          <w:tcPr>
            <w:tcW w:w="599" w:type="pct"/>
          </w:tcPr>
          <w:p w:rsidR="00156DD6" w:rsidRDefault="00156DD6">
            <w:pPr>
              <w:widowControl w:val="0"/>
              <w:jc w:val="right"/>
            </w:pPr>
          </w:p>
        </w:tc>
        <w:tc>
          <w:tcPr>
            <w:tcW w:w="674" w:type="pct"/>
            <w:vAlign w:val="center"/>
          </w:tcPr>
          <w:p w:rsidR="00156DD6" w:rsidRDefault="00D51F5F">
            <w:pPr>
              <w:widowControl w:val="0"/>
              <w:jc w:val="right"/>
            </w:pPr>
            <w:r>
              <w:t xml:space="preserve"> 12,532,713.82 </w:t>
            </w:r>
          </w:p>
        </w:tc>
      </w:tr>
    </w:tbl>
    <w:p w:rsidR="00156DD6" w:rsidRDefault="00D51F5F">
      <w:pPr>
        <w:rPr>
          <w:color w:val="000000" w:themeColor="text1"/>
        </w:rPr>
      </w:pPr>
      <w:r>
        <w:rPr>
          <w:rFonts w:hint="eastAsia"/>
          <w:color w:val="000000" w:themeColor="text1"/>
        </w:rPr>
        <w:t>其中本期坏账准备收回或转回金额重要的：</w:t>
      </w:r>
    </w:p>
    <w:sdt>
      <w:sdtPr>
        <w:rPr>
          <w:rFonts w:hint="eastAsia"/>
          <w:color w:val="000000" w:themeColor="text1"/>
        </w:rPr>
        <w:alias w:val="是否适用：应收票据本期坏账准备收回或转回金额重要的[双击切换]"/>
        <w:tag w:val="_GBC_ebd5833e36984f6f9c7dc0fec90cccc0"/>
        <w:id w:val="-52254990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rFonts w:cstheme="minorBidi"/>
          <w:color w:val="000000" w:themeColor="text1"/>
          <w:szCs w:val="22"/>
        </w:rPr>
        <w:alias w:val="应收票据坏账准备的其他说明"/>
        <w:tag w:val="_GBC_06a2eec03f574dd1baa82ec8987eaf65"/>
        <w:id w:val="702059344"/>
        <w:placeholder>
          <w:docPart w:val="GBC22222222222222222222222222222"/>
        </w:placeholder>
      </w:sdtPr>
      <w:sdtEndPr>
        <w:rPr>
          <w:rFonts w:asciiTheme="minorHAnsi" w:hAnsiTheme="minorHAnsi"/>
        </w:rPr>
      </w:sdtEndPr>
      <w:sdtContent>
        <w:p w:rsidR="00156DD6" w:rsidRDefault="00D51F5F">
          <w:pPr>
            <w:rPr>
              <w:rFonts w:asciiTheme="minorHAnsi" w:hAnsiTheme="minorHAnsi" w:cstheme="minorBidi"/>
              <w:color w:val="000000" w:themeColor="text1"/>
              <w:szCs w:val="22"/>
            </w:rPr>
          </w:pPr>
          <w:r>
            <w:rPr>
              <w:rFonts w:cstheme="minorBidi" w:hint="eastAsia"/>
              <w:color w:val="000000" w:themeColor="text1"/>
              <w:szCs w:val="22"/>
            </w:rPr>
            <w:t>无</w:t>
          </w:r>
        </w:p>
      </w:sdtContent>
    </w:sdt>
    <w:p w:rsidR="00156DD6" w:rsidRDefault="00D51F5F">
      <w:pPr>
        <w:pStyle w:val="Style47"/>
        <w:numPr>
          <w:ilvl w:val="3"/>
          <w:numId w:val="44"/>
        </w:numPr>
        <w:rPr>
          <w:rFonts w:ascii="宋体" w:hAnsi="宋体"/>
          <w:color w:val="000000" w:themeColor="text1"/>
          <w:sz w:val="21"/>
          <w:szCs w:val="21"/>
        </w:rPr>
      </w:pPr>
      <w:bookmarkStart w:id="225" w:name="_Hlk10466841"/>
      <w:bookmarkStart w:id="226" w:name="_Hlk10466853"/>
      <w:bookmarkEnd w:id="222"/>
      <w:bookmarkEnd w:id="223"/>
      <w:bookmarkEnd w:id="224"/>
      <w:r>
        <w:rPr>
          <w:rFonts w:ascii="宋体" w:hAnsi="宋体" w:hint="eastAsia"/>
          <w:color w:val="000000" w:themeColor="text1"/>
          <w:sz w:val="21"/>
          <w:szCs w:val="21"/>
        </w:rPr>
        <w:t>本期实际核销的应收票据情况</w:t>
      </w:r>
      <w:bookmarkEnd w:id="225"/>
    </w:p>
    <w:sdt>
      <w:sdtPr>
        <w:rPr>
          <w:color w:val="000000" w:themeColor="text1"/>
        </w:rPr>
        <w:alias w:val="是否适用：实际核销的应收票据[双击切换]"/>
        <w:tag w:val="_GBC_d0dcbb36ec68469bb29eac25b4a7af19"/>
        <w:id w:val="-81663658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其中重要的应收票据核销情况：</w:t>
      </w:r>
    </w:p>
    <w:sdt>
      <w:sdtPr>
        <w:rPr>
          <w:color w:val="000000" w:themeColor="text1"/>
        </w:rPr>
        <w:alias w:val="是否适用：重要的应收票据核销[双击切换]"/>
        <w:tag w:val="_GBC_e2717d0c54ea4f5eb5b1671a3c798609"/>
        <w:id w:val="-183359437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应收票据核销说明：</w:t>
      </w:r>
    </w:p>
    <w:sdt>
      <w:sdtPr>
        <w:rPr>
          <w:rFonts w:cstheme="minorBidi"/>
          <w:color w:val="000000" w:themeColor="text1"/>
        </w:rPr>
        <w:alias w:val="是否适用：应收票据核销说明[双击切换]"/>
        <w:tag w:val="_GBC_60d1268fdde049f1971e1a68d97580f2"/>
        <w:id w:val="-1415692770"/>
        <w:placeholder>
          <w:docPart w:val="GBC22222222222222222222222222222"/>
        </w:placeholder>
      </w:sdtPr>
      <w:sdtEndPr/>
      <w:sdtContent>
        <w:p w:rsidR="00156DD6" w:rsidRDefault="00D51F5F">
          <w:pPr>
            <w:rPr>
              <w:rFonts w:cstheme="minorBidi"/>
              <w:color w:val="000000" w:themeColor="text1"/>
            </w:rPr>
          </w:pP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□适用</w:instrText>
          </w:r>
          <w:r>
            <w:rPr>
              <w:rFonts w:cstheme="minorBidi" w:hint="eastAsia"/>
              <w:color w:val="000000" w:themeColor="text1"/>
            </w:rPr>
            <w:instrText xml:space="preserve"> </w:instrText>
          </w:r>
          <w:r>
            <w:rPr>
              <w:rFonts w:cstheme="minorBidi"/>
              <w:color w:val="000000" w:themeColor="text1"/>
            </w:rPr>
            <w:fldChar w:fldCharType="end"/>
          </w: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√不适用</w:instrText>
          </w:r>
          <w:r>
            <w:rPr>
              <w:rFonts w:cstheme="minorBidi" w:hint="eastAsia"/>
              <w:color w:val="000000" w:themeColor="text1"/>
            </w:rPr>
            <w:instrText xml:space="preserve"> </w:instrText>
          </w:r>
          <w:r>
            <w:rPr>
              <w:rFonts w:cstheme="minorBidi"/>
              <w:color w:val="000000" w:themeColor="text1"/>
            </w:rPr>
            <w:fldChar w:fldCharType="end"/>
          </w:r>
        </w:p>
      </w:sdtContent>
    </w:sdt>
    <w:bookmarkEnd w:id="226"/>
    <w:p w:rsidR="00156DD6" w:rsidRDefault="00D51F5F">
      <w:pPr>
        <w:rPr>
          <w:color w:val="000000" w:themeColor="text1"/>
        </w:rPr>
      </w:pPr>
      <w:r>
        <w:rPr>
          <w:rFonts w:hint="eastAsia"/>
          <w:color w:val="000000" w:themeColor="text1"/>
        </w:rPr>
        <w:t>其他说明：</w:t>
      </w:r>
    </w:p>
    <w:sdt>
      <w:sdtPr>
        <w:rPr>
          <w:color w:val="000000" w:themeColor="text1"/>
        </w:rPr>
        <w:alias w:val="是否适用：应收票据的说明[双击切换]"/>
        <w:tag w:val="_GBC_704e24e70b65463883e10335ce93a1ac"/>
        <w:id w:val="136147483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43"/>
        </w:numPr>
        <w:rPr>
          <w:color w:val="000000" w:themeColor="text1"/>
          <w:sz w:val="21"/>
          <w:szCs w:val="21"/>
        </w:rPr>
      </w:pPr>
      <w:r>
        <w:rPr>
          <w:color w:val="000000" w:themeColor="text1"/>
          <w:sz w:val="21"/>
          <w:szCs w:val="21"/>
        </w:rPr>
        <w:t>应收账款</w:t>
      </w:r>
    </w:p>
    <w:p w:rsidR="00156DD6" w:rsidRDefault="00D51F5F">
      <w:pPr>
        <w:pStyle w:val="Style47"/>
        <w:numPr>
          <w:ilvl w:val="3"/>
          <w:numId w:val="45"/>
        </w:numPr>
        <w:ind w:left="426" w:hanging="426"/>
        <w:rPr>
          <w:color w:val="000000" w:themeColor="text1"/>
          <w:sz w:val="21"/>
          <w:szCs w:val="21"/>
        </w:rPr>
      </w:pPr>
      <w:bookmarkStart w:id="227" w:name="_Hlk167885161"/>
      <w:r>
        <w:rPr>
          <w:rFonts w:hint="eastAsia"/>
          <w:color w:val="000000" w:themeColor="text1"/>
          <w:sz w:val="21"/>
          <w:szCs w:val="21"/>
        </w:rPr>
        <w:t>按账龄披露</w:t>
      </w:r>
    </w:p>
    <w:sdt>
      <w:sdtPr>
        <w:rPr>
          <w:rFonts w:hint="eastAsia"/>
          <w:color w:val="000000" w:themeColor="text1"/>
        </w:rPr>
        <w:alias w:val="是否适用：组合中，按账龄分析法计提坏账准备的应收账款[双击切换]"/>
        <w:tag w:val="_GBC_0cb5a49c5db74995bd3018603d9e51bd"/>
        <w:id w:val="-98770616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单项金额不重大但按信用风险特征组合后该组合的风险较大的应收账款"/>
          <w:tag w:val="_GBC_265ded289d9549b48b782b655857ce0f"/>
          <w:id w:val="-19922480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单项金额不重大但按信用风险特征组合后该组合的风险较大的应收账款"/>
          <w:tag w:val="_GBC_180ea8d33f6444f78eff9694acd980ae"/>
          <w:id w:val="9386410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675"/>
        <w:gridCol w:w="4675"/>
      </w:tblGrid>
      <w:tr w:rsidR="00156DD6">
        <w:trPr>
          <w:cantSplit/>
        </w:trPr>
        <w:sdt>
          <w:sdtPr>
            <w:tag w:val="_PLD_213499a1ef1849a6bacc47a55e2a94f7"/>
            <w:id w:val="-1717811673"/>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账龄</w:t>
                </w:r>
              </w:p>
            </w:tc>
          </w:sdtContent>
        </w:sdt>
        <w:sdt>
          <w:sdtPr>
            <w:tag w:val="_PLD_80e3ddf3d703438d9bc59aba1626c89f"/>
            <w:id w:val="-1742005222"/>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期末账面余额</w:t>
                </w:r>
              </w:p>
            </w:tc>
          </w:sdtContent>
        </w:sdt>
        <w:sdt>
          <w:sdtPr>
            <w:tag w:val="_PLD_4acf836dd5254d2ba9d541e7076daad6"/>
            <w:id w:val="1812200750"/>
          </w:sdtPr>
          <w:sdtEndPr/>
          <w:sdtContent>
            <w:tc>
              <w:tcPr>
                <w:tcW w:w="1686"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期初账面余额</w:t>
                </w:r>
              </w:p>
            </w:tc>
          </w:sdtContent>
        </w:sdt>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1</w:t>
            </w:r>
            <w:r>
              <w:rPr>
                <w:rFonts w:hint="eastAsia"/>
                <w:color w:val="000000" w:themeColor="text1"/>
              </w:rPr>
              <w:t>年以内（含</w:t>
            </w:r>
            <w:r>
              <w:rPr>
                <w:rFonts w:hint="eastAsia"/>
                <w:color w:val="000000" w:themeColor="text1"/>
              </w:rPr>
              <w:t>1</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1,384,083,816.59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1,228,516,599.32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1</w:t>
            </w:r>
            <w:r>
              <w:rPr>
                <w:rFonts w:hint="eastAsia"/>
                <w:color w:val="000000" w:themeColor="text1"/>
              </w:rPr>
              <w:t>至</w:t>
            </w:r>
            <w:r>
              <w:rPr>
                <w:rFonts w:hint="eastAsia"/>
                <w:color w:val="000000" w:themeColor="text1"/>
              </w:rPr>
              <w:t>2</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348,109,613.56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417,650,362.85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2</w:t>
            </w:r>
            <w:r>
              <w:rPr>
                <w:rFonts w:hint="eastAsia"/>
                <w:color w:val="000000" w:themeColor="text1"/>
              </w:rPr>
              <w:t>至</w:t>
            </w:r>
            <w:r>
              <w:rPr>
                <w:rFonts w:hint="eastAsia"/>
                <w:color w:val="000000" w:themeColor="text1"/>
              </w:rPr>
              <w:t>3</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124,452,080.33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86,557,273.43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3</w:t>
            </w:r>
            <w:r>
              <w:rPr>
                <w:rFonts w:hint="eastAsia"/>
                <w:color w:val="000000" w:themeColor="text1"/>
              </w:rPr>
              <w:t>至</w:t>
            </w:r>
            <w:r>
              <w:rPr>
                <w:rFonts w:hint="eastAsia"/>
                <w:color w:val="000000" w:themeColor="text1"/>
              </w:rPr>
              <w:t>4</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43,138,407.64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34,224,261.76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4</w:t>
            </w:r>
            <w:r>
              <w:rPr>
                <w:rFonts w:hint="eastAsia"/>
                <w:color w:val="000000" w:themeColor="text1"/>
              </w:rPr>
              <w:t>至</w:t>
            </w:r>
            <w:r>
              <w:rPr>
                <w:rFonts w:hint="eastAsia"/>
                <w:color w:val="000000" w:themeColor="text1"/>
              </w:rPr>
              <w:t>5</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20,707,486.57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24,730,525.72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5</w:t>
            </w:r>
            <w:r>
              <w:rPr>
                <w:rFonts w:hint="eastAsia"/>
                <w:color w:val="000000" w:themeColor="text1"/>
              </w:rPr>
              <w:t>年以上</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32,571,390.66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33,955,885.29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1,953,062,795.35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1,825,634,908.37 </w:t>
            </w:r>
          </w:p>
        </w:tc>
      </w:tr>
    </w:tbl>
    <w:p w:rsidR="00156DD6" w:rsidRDefault="00D51F5F">
      <w:pPr>
        <w:pStyle w:val="Style47"/>
        <w:numPr>
          <w:ilvl w:val="3"/>
          <w:numId w:val="45"/>
        </w:numPr>
        <w:ind w:left="426" w:hanging="426"/>
        <w:rPr>
          <w:color w:val="000000" w:themeColor="text1"/>
          <w:sz w:val="21"/>
          <w:szCs w:val="32"/>
        </w:rPr>
      </w:pPr>
      <w:bookmarkStart w:id="228" w:name="_Hlk10467162"/>
      <w:bookmarkEnd w:id="227"/>
      <w:r>
        <w:rPr>
          <w:rFonts w:hint="eastAsia"/>
          <w:color w:val="000000" w:themeColor="text1"/>
          <w:sz w:val="21"/>
          <w:szCs w:val="32"/>
        </w:rPr>
        <w:t>按坏账计提方法分类披露</w:t>
      </w:r>
    </w:p>
    <w:sdt>
      <w:sdtPr>
        <w:rPr>
          <w:color w:val="000000" w:themeColor="text1"/>
        </w:rPr>
        <w:alias w:val="是否适用：应收账款分类披露[双击切换]"/>
        <w:tag w:val="_GBC_fc55e6778e08412caa3e7b9e7a1a0f85"/>
        <w:id w:val="1338270712"/>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autoSpaceDE w:val="0"/>
        <w:autoSpaceDN w:val="0"/>
        <w:adjustRightInd w:val="0"/>
        <w:ind w:left="425" w:right="105" w:firstLineChars="0" w:firstLine="0"/>
        <w:jc w:val="right"/>
        <w:rPr>
          <w:rFonts w:ascii="宋体" w:hAnsi="宋体"/>
          <w:color w:val="000000" w:themeColor="text1"/>
          <w:szCs w:val="21"/>
        </w:rPr>
      </w:pPr>
      <w:r>
        <w:rPr>
          <w:rFonts w:ascii="宋体" w:hAnsi="宋体" w:hint="eastAsia"/>
          <w:color w:val="000000" w:themeColor="text1"/>
          <w:szCs w:val="21"/>
        </w:rPr>
        <w:lastRenderedPageBreak/>
        <w:t>单位：</w:t>
      </w:r>
      <w:sdt>
        <w:sdtPr>
          <w:rPr>
            <w:rFonts w:ascii="宋体" w:hAnsi="宋体" w:hint="eastAsia"/>
            <w:color w:val="000000" w:themeColor="text1"/>
            <w:szCs w:val="21"/>
          </w:rPr>
          <w:alias w:val="单位：财务附注：应收账款按种类披露"/>
          <w:tag w:val="_GBC_13874a7a2d5642bc9d06df2e53ad133f"/>
          <w:id w:val="-20413484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财务附注：应收账款按种类披露"/>
          <w:tag w:val="_GBC_a7c9ba83409d4f5ebb3a7b0903842485"/>
          <w:id w:val="-8633547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272"/>
        <w:gridCol w:w="1742"/>
        <w:gridCol w:w="692"/>
        <w:gridCol w:w="1532"/>
        <w:gridCol w:w="587"/>
        <w:gridCol w:w="1742"/>
        <w:gridCol w:w="1742"/>
        <w:gridCol w:w="692"/>
        <w:gridCol w:w="1532"/>
        <w:gridCol w:w="588"/>
        <w:gridCol w:w="1742"/>
      </w:tblGrid>
      <w:tr w:rsidR="00156DD6">
        <w:trPr>
          <w:cantSplit/>
          <w:trHeight w:val="259"/>
        </w:trPr>
        <w:sdt>
          <w:sdtPr>
            <w:tag w:val="_PLD_a2143754c0e847e9a8bbb40d4548066c"/>
            <w:id w:val="764500778"/>
          </w:sdtPr>
          <w:sdtEndPr/>
          <w:sdtContent>
            <w:tc>
              <w:tcPr>
                <w:tcW w:w="459"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类别</w:t>
                </w:r>
              </w:p>
            </w:tc>
          </w:sdtContent>
        </w:sdt>
        <w:sdt>
          <w:sdtPr>
            <w:tag w:val="_PLD_25d42b68a0be4b6c9079bb6f0b9688f1"/>
            <w:id w:val="-1254199766"/>
          </w:sdtPr>
          <w:sdtEndPr/>
          <w:sdtContent>
            <w:tc>
              <w:tcPr>
                <w:tcW w:w="2270"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7ebf4817a5864c42bb0897c8ddd0cd9c"/>
            <w:id w:val="-1890800303"/>
          </w:sdtPr>
          <w:sdtEndPr/>
          <w:sdtContent>
            <w:tc>
              <w:tcPr>
                <w:tcW w:w="2271"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156DD6">
        <w:trPr>
          <w:cantSplit/>
          <w:trHeight w:val="227"/>
        </w:trPr>
        <w:tc>
          <w:tcPr>
            <w:tcW w:w="459" w:type="pct"/>
            <w:vMerge/>
            <w:tcBorders>
              <w:left w:val="single" w:sz="4" w:space="0" w:color="auto"/>
              <w:right w:val="single" w:sz="4" w:space="0" w:color="auto"/>
            </w:tcBorders>
            <w:vAlign w:val="center"/>
          </w:tcPr>
          <w:p w:rsidR="00156DD6" w:rsidRDefault="00156DD6">
            <w:pPr>
              <w:rPr>
                <w:color w:val="000000" w:themeColor="text1"/>
              </w:rPr>
            </w:pPr>
          </w:p>
        </w:tc>
        <w:sdt>
          <w:sdtPr>
            <w:tag w:val="_PLD_fd64cffe158d4ef48a5ff569de778464"/>
            <w:id w:val="1883440672"/>
          </w:sdtPr>
          <w:sdtEndPr/>
          <w:sdtContent>
            <w:tc>
              <w:tcPr>
                <w:tcW w:w="878"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f0f4adcb95c44cfa884ef7d853d6b134"/>
            <w:id w:val="1360705408"/>
          </w:sdtPr>
          <w:sdtEndPr/>
          <w:sdtContent>
            <w:tc>
              <w:tcPr>
                <w:tcW w:w="764"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4c122527ed0743b8905d9f19514f4328"/>
            <w:id w:val="73858594"/>
          </w:sdtPr>
          <w:sdtEndPr/>
          <w:sdtContent>
            <w:tc>
              <w:tcPr>
                <w:tcW w:w="628"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w:t>
                </w:r>
              </w:p>
              <w:p w:rsidR="00156DD6" w:rsidRDefault="00D51F5F">
                <w:pPr>
                  <w:jc w:val="center"/>
                  <w:rPr>
                    <w:color w:val="000000" w:themeColor="text1"/>
                  </w:rPr>
                </w:pPr>
                <w:r>
                  <w:rPr>
                    <w:rFonts w:hint="eastAsia"/>
                    <w:color w:val="000000" w:themeColor="text1"/>
                  </w:rPr>
                  <w:t>价值</w:t>
                </w:r>
              </w:p>
            </w:tc>
          </w:sdtContent>
        </w:sdt>
        <w:sdt>
          <w:sdtPr>
            <w:tag w:val="_PLD_fa758d9eb4ae426faef8e328262241b4"/>
            <w:id w:val="-931739158"/>
          </w:sdtPr>
          <w:sdtEndPr/>
          <w:sdtContent>
            <w:tc>
              <w:tcPr>
                <w:tcW w:w="878"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58080bac137d4831ab65bc2f8ca82429"/>
            <w:id w:val="-1884249054"/>
          </w:sdtPr>
          <w:sdtEndPr/>
          <w:sdtContent>
            <w:tc>
              <w:tcPr>
                <w:tcW w:w="765"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c015e43e7b384b6ab9bf259155579fa4"/>
            <w:id w:val="172154829"/>
          </w:sdtPr>
          <w:sdtEndPr/>
          <w:sdtContent>
            <w:tc>
              <w:tcPr>
                <w:tcW w:w="628"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w:t>
                </w:r>
              </w:p>
              <w:p w:rsidR="00156DD6" w:rsidRDefault="00D51F5F">
                <w:pPr>
                  <w:jc w:val="center"/>
                  <w:rPr>
                    <w:color w:val="000000" w:themeColor="text1"/>
                  </w:rPr>
                </w:pPr>
                <w:r>
                  <w:rPr>
                    <w:rFonts w:hint="eastAsia"/>
                    <w:color w:val="000000" w:themeColor="text1"/>
                  </w:rPr>
                  <w:t>价值</w:t>
                </w:r>
              </w:p>
            </w:tc>
          </w:sdtContent>
        </w:sdt>
      </w:tr>
      <w:tr w:rsidR="00156DD6">
        <w:trPr>
          <w:cantSplit/>
          <w:trHeight w:val="375"/>
        </w:trPr>
        <w:tc>
          <w:tcPr>
            <w:tcW w:w="459" w:type="pct"/>
            <w:vMerge/>
            <w:tcBorders>
              <w:left w:val="single" w:sz="4" w:space="0" w:color="auto"/>
              <w:bottom w:val="single" w:sz="4" w:space="0" w:color="auto"/>
              <w:right w:val="single" w:sz="4" w:space="0" w:color="auto"/>
            </w:tcBorders>
            <w:vAlign w:val="center"/>
          </w:tcPr>
          <w:p w:rsidR="00156DD6" w:rsidRDefault="00156DD6">
            <w:pPr>
              <w:rPr>
                <w:color w:val="000000" w:themeColor="text1"/>
              </w:rPr>
            </w:pPr>
          </w:p>
        </w:tc>
        <w:sdt>
          <w:sdtPr>
            <w:tag w:val="_PLD_2a622138bde346ccae812608989b472d"/>
            <w:id w:val="386232354"/>
          </w:sdtPr>
          <w:sdtEndPr/>
          <w:sdtContent>
            <w:tc>
              <w:tcPr>
                <w:tcW w:w="628"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abd0e3a320c240aeb85b1414af26aa00"/>
            <w:id w:val="733588345"/>
          </w:sdtPr>
          <w:sdtEndPr/>
          <w:sdtContent>
            <w:tc>
              <w:tcPr>
                <w:tcW w:w="250"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sdt>
          <w:sdtPr>
            <w:tag w:val="_PLD_d60468b4e5934fb9af3ebf3b3ca06a6b"/>
            <w:id w:val="-1265376812"/>
          </w:sdtPr>
          <w:sdtEndPr/>
          <w:sdtContent>
            <w:tc>
              <w:tcPr>
                <w:tcW w:w="553"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743ca215156149608b4d9149bc142cc3"/>
            <w:id w:val="-493335784"/>
          </w:sdtPr>
          <w:sdtEndPr/>
          <w:sdtContent>
            <w:tc>
              <w:tcPr>
                <w:tcW w:w="212"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计提比例</w:t>
                </w:r>
                <w:r>
                  <w:rPr>
                    <w:color w:val="000000" w:themeColor="text1"/>
                  </w:rPr>
                  <w:t>(%)</w:t>
                </w:r>
              </w:p>
            </w:tc>
          </w:sdtContent>
        </w:sdt>
        <w:tc>
          <w:tcPr>
            <w:tcW w:w="628" w:type="pct"/>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sdt>
          <w:sdtPr>
            <w:tag w:val="_PLD_88061469e7574f3d93ff9dc8f7c03e2d"/>
            <w:id w:val="665912073"/>
          </w:sdtPr>
          <w:sdtEndPr/>
          <w:sdtContent>
            <w:tc>
              <w:tcPr>
                <w:tcW w:w="628"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c2b4bd19b5284f3481bdd6a3becafce0"/>
            <w:id w:val="-1043285472"/>
          </w:sdtPr>
          <w:sdtEndPr/>
          <w:sdtContent>
            <w:tc>
              <w:tcPr>
                <w:tcW w:w="250"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sdt>
          <w:sdtPr>
            <w:tag w:val="_PLD_c6874c65e4ac43019002d5903e4b46d6"/>
            <w:id w:val="-1215881197"/>
          </w:sdtPr>
          <w:sdtEndPr/>
          <w:sdtContent>
            <w:tc>
              <w:tcPr>
                <w:tcW w:w="553"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0596fb5f4bb147b48d9ab2f32535e71f"/>
            <w:id w:val="-784726477"/>
          </w:sdtPr>
          <w:sdtEndPr/>
          <w:sdtContent>
            <w:tc>
              <w:tcPr>
                <w:tcW w:w="212"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计提比例</w:t>
                </w:r>
                <w:r>
                  <w:rPr>
                    <w:color w:val="000000" w:themeColor="text1"/>
                  </w:rPr>
                  <w:t>(%)</w:t>
                </w:r>
              </w:p>
            </w:tc>
          </w:sdtContent>
        </w:sdt>
        <w:tc>
          <w:tcPr>
            <w:tcW w:w="628"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tr>
      <w:tr w:rsidR="00156DD6">
        <w:trPr>
          <w:cantSplit/>
        </w:trPr>
        <w:tc>
          <w:tcPr>
            <w:tcW w:w="459"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按单项计提坏账准备</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39,233,786.66 </w:t>
            </w:r>
          </w:p>
        </w:tc>
        <w:tc>
          <w:tcPr>
            <w:tcW w:w="25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2.01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30,677,429.21 </w:t>
            </w:r>
          </w:p>
        </w:tc>
        <w:tc>
          <w:tcPr>
            <w:tcW w:w="2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78.19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8,556,357.45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39,221,299.65 </w:t>
            </w:r>
          </w:p>
        </w:tc>
        <w:tc>
          <w:tcPr>
            <w:tcW w:w="25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2.15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29,124,723.07 </w:t>
            </w:r>
          </w:p>
        </w:tc>
        <w:tc>
          <w:tcPr>
            <w:tcW w:w="2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74.26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10,096,576.58 </w:t>
            </w:r>
          </w:p>
        </w:tc>
      </w:tr>
      <w:tr w:rsidR="00156DD6">
        <w:trPr>
          <w:cantSplit/>
        </w:trPr>
        <w:sdt>
          <w:sdtPr>
            <w:tag w:val="_PLD_a3793487a0154f9a85b0e94e01b6ddbe"/>
            <w:id w:val="646714458"/>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其中：</w:t>
                </w:r>
              </w:p>
            </w:tc>
          </w:sdtContent>
        </w:sdt>
      </w:tr>
      <w:tr w:rsidR="00156DD6">
        <w:trPr>
          <w:cantSplit/>
        </w:trPr>
        <w:tc>
          <w:tcPr>
            <w:tcW w:w="459"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按组合计提坏账准备</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1,913,829,008.69 </w:t>
            </w:r>
          </w:p>
        </w:tc>
        <w:tc>
          <w:tcPr>
            <w:tcW w:w="25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97.99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160,232,737.13 </w:t>
            </w:r>
          </w:p>
        </w:tc>
        <w:tc>
          <w:tcPr>
            <w:tcW w:w="2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8.37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1,753,596,271.56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1,786,413,608.72 </w:t>
            </w:r>
          </w:p>
        </w:tc>
        <w:tc>
          <w:tcPr>
            <w:tcW w:w="25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97.85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154,494,941.81 </w:t>
            </w:r>
          </w:p>
        </w:tc>
        <w:tc>
          <w:tcPr>
            <w:tcW w:w="2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8.65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1,631,918,666.91 </w:t>
            </w:r>
          </w:p>
        </w:tc>
      </w:tr>
      <w:tr w:rsidR="00156DD6">
        <w:trPr>
          <w:cantSplit/>
        </w:trPr>
        <w:sdt>
          <w:sdtPr>
            <w:tag w:val="_PLD_55a01fc28b044e40bd4e4399252665c0"/>
            <w:id w:val="241536314"/>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其中：</w:t>
                </w:r>
              </w:p>
            </w:tc>
          </w:sdtContent>
        </w:sdt>
      </w:tr>
      <w:tr w:rsidR="00156DD6">
        <w:trPr>
          <w:cantSplit/>
        </w:trPr>
        <w:sdt>
          <w:sdtPr>
            <w:rPr>
              <w:color w:val="000000" w:themeColor="text1"/>
            </w:rPr>
            <w:alias w:val="按组合计提坏账准备的应收账款明细-组合名称"/>
            <w:tag w:val="_GBC_c5f1817705f34c9782f585b3ed10e2db"/>
            <w:id w:val="937955175"/>
          </w:sdtPr>
          <w:sdtEndPr/>
          <w:sdtContent>
            <w:tc>
              <w:tcPr>
                <w:tcW w:w="459"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账龄组合</w:t>
                </w:r>
              </w:p>
            </w:tc>
          </w:sdtContent>
        </w:sdt>
        <w:tc>
          <w:tcPr>
            <w:tcW w:w="62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1,913,829,008.69 </w:t>
            </w:r>
          </w:p>
        </w:tc>
        <w:tc>
          <w:tcPr>
            <w:tcW w:w="250"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97.99 </w:t>
            </w:r>
          </w:p>
        </w:tc>
        <w:tc>
          <w:tcPr>
            <w:tcW w:w="55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160,232,737.13 </w:t>
            </w:r>
          </w:p>
        </w:tc>
        <w:tc>
          <w:tcPr>
            <w:tcW w:w="21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8.37 </w:t>
            </w:r>
          </w:p>
        </w:tc>
        <w:tc>
          <w:tcPr>
            <w:tcW w:w="62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1,753,596,271.56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1,786,413,608.72 </w:t>
            </w:r>
          </w:p>
        </w:tc>
        <w:tc>
          <w:tcPr>
            <w:tcW w:w="25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97.85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154,494,941.81 </w:t>
            </w:r>
          </w:p>
        </w:tc>
        <w:tc>
          <w:tcPr>
            <w:tcW w:w="2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8.65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1,631,918,666.91 </w:t>
            </w:r>
          </w:p>
        </w:tc>
      </w:tr>
      <w:tr w:rsidR="00156DD6">
        <w:trPr>
          <w:cantSplit/>
        </w:trPr>
        <w:tc>
          <w:tcPr>
            <w:tcW w:w="459"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合计</w:t>
            </w:r>
          </w:p>
        </w:tc>
        <w:tc>
          <w:tcPr>
            <w:tcW w:w="62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1,953,062,795.35 </w:t>
            </w:r>
          </w:p>
        </w:tc>
        <w:tc>
          <w:tcPr>
            <w:tcW w:w="250"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100.00 </w:t>
            </w:r>
          </w:p>
        </w:tc>
        <w:tc>
          <w:tcPr>
            <w:tcW w:w="55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190,910,166.34</w:t>
            </w:r>
          </w:p>
        </w:tc>
        <w:tc>
          <w:tcPr>
            <w:tcW w:w="212"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9.77 </w:t>
            </w:r>
          </w:p>
        </w:tc>
        <w:tc>
          <w:tcPr>
            <w:tcW w:w="62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1,762,152,629.01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1,825,634,908.37</w:t>
            </w:r>
          </w:p>
        </w:tc>
        <w:tc>
          <w:tcPr>
            <w:tcW w:w="25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rPr>
                <w:rFonts w:hint="eastAsia"/>
              </w:rPr>
              <w:t xml:space="preserve">100.00 </w:t>
            </w:r>
          </w:p>
        </w:tc>
        <w:tc>
          <w:tcPr>
            <w:tcW w:w="55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183,619,664.88</w:t>
            </w:r>
          </w:p>
        </w:tc>
        <w:tc>
          <w:tcPr>
            <w:tcW w:w="2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rPr>
                <w:rFonts w:hint="eastAsia"/>
              </w:rPr>
              <w:t xml:space="preserve">10.06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1,642,015,243.49 </w:t>
            </w:r>
          </w:p>
        </w:tc>
      </w:tr>
    </w:tbl>
    <w:p w:rsidR="00156DD6" w:rsidRDefault="00D51F5F">
      <w:pPr>
        <w:rPr>
          <w:color w:val="000000" w:themeColor="text1"/>
        </w:rPr>
      </w:pPr>
      <w:bookmarkStart w:id="229" w:name="_Hlk10467187"/>
      <w:bookmarkStart w:id="230" w:name="_Hlk10467200"/>
      <w:bookmarkEnd w:id="228"/>
      <w:r>
        <w:rPr>
          <w:rFonts w:hint="eastAsia"/>
          <w:color w:val="000000" w:themeColor="text1"/>
        </w:rPr>
        <w:t>按单项计提坏账准备：</w:t>
      </w:r>
      <w:bookmarkEnd w:id="229"/>
    </w:p>
    <w:sdt>
      <w:sdtPr>
        <w:rPr>
          <w:rFonts w:hint="eastAsia"/>
          <w:color w:val="000000" w:themeColor="text1"/>
        </w:rPr>
        <w:alias w:val="是否适用：按单项计提坏账准备的应收账款详细情况[双击切换]"/>
        <w:tag w:val="_GBC_e07c01cfb2fe4b05a2bb603b7f914946"/>
        <w:id w:val="99538638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231" w:name="_Hlk10467225"/>
      <w:bookmarkEnd w:id="230"/>
      <w:r>
        <w:rPr>
          <w:rFonts w:hint="eastAsia"/>
          <w:color w:val="000000" w:themeColor="text1"/>
        </w:rPr>
        <w:t>按组合计提坏账准备：</w:t>
      </w:r>
    </w:p>
    <w:sdt>
      <w:sdtPr>
        <w:rPr>
          <w:rFonts w:hint="eastAsia"/>
          <w:color w:val="000000" w:themeColor="text1"/>
        </w:rPr>
        <w:alias w:val="是否适用：按组合计提坏账准备的应收账款详细情况[双击切换]"/>
        <w:tag w:val="_GBC_47a07baa9a4f4c5ea6de193ae7b87e74"/>
        <w:id w:val="-1629238119"/>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232" w:name="_Hlk533607573"/>
      <w:r>
        <w:rPr>
          <w:rFonts w:hint="eastAsia"/>
          <w:color w:val="000000" w:themeColor="text1"/>
        </w:rPr>
        <w:t>组合计提项目：</w:t>
      </w:r>
      <w:sdt>
        <w:sdtPr>
          <w:rPr>
            <w:rFonts w:hint="eastAsia"/>
            <w:color w:val="000000" w:themeColor="text1"/>
          </w:rPr>
          <w:alias w:val="按组合计提坏账准备的应收账款明细-组合名称"/>
          <w:tag w:val="_GBC_fec033684b6e412cabcd0e0ea1c6cb96"/>
          <w:id w:val="-2109034589"/>
          <w:comboBox>
            <w:listItem w:displayText="账龄组合" w:value="账龄组合"/>
          </w:comboBox>
        </w:sdtPr>
        <w:sdtEndPr/>
        <w:sdtContent>
          <w:r>
            <w:rPr>
              <w:rFonts w:hint="eastAsia"/>
              <w:color w:val="000000" w:themeColor="text1"/>
            </w:rPr>
            <w:t>账龄组合</w:t>
          </w:r>
        </w:sdtContent>
      </w:sdt>
    </w:p>
    <w:p w:rsidR="00156DD6" w:rsidRDefault="00D51F5F">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组合计提坏账准备的应收账款详细情况"/>
          <w:tag w:val="_GBC_ccac8c131a6748e699800a5f25e5efcf"/>
          <w:id w:val="1523047678"/>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按组合计提坏账准备的应收账款详细情况"/>
          <w:tag w:val="_GBC_f0296899749441bf8c33f5882df60a71"/>
          <w:id w:val="163591703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156DD6">
        <w:sdt>
          <w:sdtPr>
            <w:tag w:val="_PLD_331ca2a43a5247699c45fd6309aee7fd"/>
            <w:id w:val="-1224205411"/>
          </w:sdtPr>
          <w:sdtEndPr/>
          <w:sdtContent>
            <w:tc>
              <w:tcPr>
                <w:tcW w:w="1158" w:type="pct"/>
                <w:vMerge w:val="restart"/>
                <w:vAlign w:val="center"/>
              </w:tcPr>
              <w:p w:rsidR="00156DD6" w:rsidRDefault="00D51F5F">
                <w:pPr>
                  <w:jc w:val="center"/>
                  <w:rPr>
                    <w:color w:val="000000" w:themeColor="text1"/>
                  </w:rPr>
                </w:pPr>
                <w:r>
                  <w:rPr>
                    <w:rFonts w:hint="eastAsia"/>
                    <w:color w:val="000000" w:themeColor="text1"/>
                  </w:rPr>
                  <w:t>名称</w:t>
                </w:r>
              </w:p>
            </w:tc>
          </w:sdtContent>
        </w:sdt>
        <w:sdt>
          <w:sdtPr>
            <w:tag w:val="_PLD_271f4f470bff48e385b1a5d9080fde35"/>
            <w:id w:val="-1385639333"/>
          </w:sdtPr>
          <w:sdtEndPr/>
          <w:sdtContent>
            <w:tc>
              <w:tcPr>
                <w:tcW w:w="3842" w:type="pct"/>
                <w:gridSpan w:val="3"/>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1158" w:type="pct"/>
            <w:vMerge/>
          </w:tcPr>
          <w:p w:rsidR="00156DD6" w:rsidRDefault="00156DD6">
            <w:pPr>
              <w:jc w:val="center"/>
              <w:rPr>
                <w:color w:val="000000" w:themeColor="text1"/>
              </w:rPr>
            </w:pPr>
          </w:p>
        </w:tc>
        <w:sdt>
          <w:sdtPr>
            <w:tag w:val="_PLD_e1c956de9b3b4544a5d0584eaaf6aea2"/>
            <w:id w:val="1315677932"/>
          </w:sdtPr>
          <w:sdtEndPr/>
          <w:sdtContent>
            <w:tc>
              <w:tcPr>
                <w:tcW w:w="1276" w:type="pct"/>
                <w:vAlign w:val="center"/>
              </w:tcPr>
              <w:p w:rsidR="00156DD6" w:rsidRDefault="00D51F5F">
                <w:pPr>
                  <w:jc w:val="center"/>
                  <w:rPr>
                    <w:color w:val="000000" w:themeColor="text1"/>
                  </w:rPr>
                </w:pPr>
                <w:r>
                  <w:rPr>
                    <w:rFonts w:hint="eastAsia"/>
                    <w:color w:val="000000" w:themeColor="text1"/>
                  </w:rPr>
                  <w:t>账面余额</w:t>
                </w:r>
              </w:p>
            </w:tc>
          </w:sdtContent>
        </w:sdt>
        <w:sdt>
          <w:sdtPr>
            <w:tag w:val="_PLD_0098acb8b7f640f29f65a14017e23f02"/>
            <w:id w:val="1519811952"/>
          </w:sdtPr>
          <w:sdtEndPr/>
          <w:sdtContent>
            <w:tc>
              <w:tcPr>
                <w:tcW w:w="1299" w:type="pct"/>
                <w:vAlign w:val="center"/>
              </w:tcPr>
              <w:p w:rsidR="00156DD6" w:rsidRDefault="00D51F5F">
                <w:pPr>
                  <w:jc w:val="center"/>
                  <w:rPr>
                    <w:color w:val="000000" w:themeColor="text1"/>
                  </w:rPr>
                </w:pPr>
                <w:r>
                  <w:rPr>
                    <w:rFonts w:hint="eastAsia"/>
                    <w:color w:val="000000" w:themeColor="text1"/>
                  </w:rPr>
                  <w:t>坏账准备</w:t>
                </w:r>
              </w:p>
            </w:tc>
          </w:sdtContent>
        </w:sdt>
        <w:sdt>
          <w:sdtPr>
            <w:tag w:val="_PLD_290bbc3bde3c43c487996752ceb95160"/>
            <w:id w:val="-2031176127"/>
          </w:sdtPr>
          <w:sdtEndPr/>
          <w:sdtContent>
            <w:tc>
              <w:tcPr>
                <w:tcW w:w="1267" w:type="pct"/>
                <w:vAlign w:val="center"/>
              </w:tcPr>
              <w:p w:rsidR="00156DD6" w:rsidRDefault="00D51F5F">
                <w:pPr>
                  <w:jc w:val="center"/>
                  <w:rPr>
                    <w:color w:val="000000" w:themeColor="text1"/>
                  </w:rPr>
                </w:pPr>
                <w:r>
                  <w:rPr>
                    <w:color w:val="000000" w:themeColor="text1"/>
                  </w:rPr>
                  <w:t>计提比例</w:t>
                </w:r>
                <w:r>
                  <w:rPr>
                    <w:rFonts w:hint="eastAsia"/>
                    <w:color w:val="000000" w:themeColor="text1"/>
                  </w:rPr>
                  <w:t>（</w:t>
                </w:r>
                <w:r>
                  <w:rPr>
                    <w:rFonts w:hint="eastAsia"/>
                    <w:color w:val="000000" w:themeColor="text1"/>
                  </w:rPr>
                  <w:t>%</w:t>
                </w:r>
                <w:r>
                  <w:rPr>
                    <w:rFonts w:hint="eastAsia"/>
                    <w:color w:val="000000" w:themeColor="text1"/>
                  </w:rPr>
                  <w:t>）</w:t>
                </w:r>
              </w:p>
            </w:tc>
          </w:sdtContent>
        </w:sdt>
      </w:tr>
      <w:tr w:rsidR="00156DD6">
        <w:tc>
          <w:tcPr>
            <w:tcW w:w="1158" w:type="pct"/>
          </w:tcPr>
          <w:p w:rsidR="00156DD6" w:rsidRDefault="00D51F5F">
            <w:pPr>
              <w:pStyle w:val="Style43"/>
            </w:pPr>
            <w:r>
              <w:t>1</w:t>
            </w:r>
            <w:r>
              <w:t>年以内</w:t>
            </w:r>
          </w:p>
        </w:tc>
        <w:tc>
          <w:tcPr>
            <w:tcW w:w="1276" w:type="pct"/>
          </w:tcPr>
          <w:p w:rsidR="00156DD6" w:rsidRDefault="00D51F5F">
            <w:pPr>
              <w:jc w:val="right"/>
            </w:pPr>
            <w:r>
              <w:rPr>
                <w:rFonts w:hint="eastAsia"/>
              </w:rPr>
              <w:t xml:space="preserve"> 1,384,080,666.58 </w:t>
            </w:r>
          </w:p>
        </w:tc>
        <w:tc>
          <w:tcPr>
            <w:tcW w:w="1299" w:type="pct"/>
          </w:tcPr>
          <w:p w:rsidR="00156DD6" w:rsidRDefault="00D51F5F">
            <w:pPr>
              <w:jc w:val="right"/>
            </w:pPr>
            <w:r>
              <w:rPr>
                <w:rFonts w:hint="eastAsia"/>
              </w:rPr>
              <w:t xml:space="preserve"> 69,204,033.34 </w:t>
            </w:r>
          </w:p>
        </w:tc>
        <w:tc>
          <w:tcPr>
            <w:tcW w:w="1267" w:type="pct"/>
          </w:tcPr>
          <w:p w:rsidR="00156DD6" w:rsidRDefault="00D51F5F">
            <w:pPr>
              <w:jc w:val="right"/>
            </w:pPr>
            <w:r>
              <w:rPr>
                <w:rFonts w:hint="eastAsia"/>
              </w:rPr>
              <w:t xml:space="preserve"> 5.00 </w:t>
            </w:r>
          </w:p>
        </w:tc>
      </w:tr>
      <w:tr w:rsidR="00156DD6">
        <w:tc>
          <w:tcPr>
            <w:tcW w:w="1158" w:type="pct"/>
          </w:tcPr>
          <w:p w:rsidR="00156DD6" w:rsidRDefault="00D51F5F">
            <w:pPr>
              <w:pStyle w:val="Style43"/>
            </w:pPr>
            <w:r>
              <w:t>1-2</w:t>
            </w:r>
            <w:r>
              <w:t>年</w:t>
            </w:r>
          </w:p>
        </w:tc>
        <w:tc>
          <w:tcPr>
            <w:tcW w:w="1276" w:type="pct"/>
          </w:tcPr>
          <w:p w:rsidR="00156DD6" w:rsidRDefault="00D51F5F">
            <w:pPr>
              <w:jc w:val="right"/>
            </w:pPr>
            <w:r>
              <w:rPr>
                <w:rFonts w:hint="eastAsia"/>
              </w:rPr>
              <w:t xml:space="preserve"> 345,235,473.20 </w:t>
            </w:r>
          </w:p>
        </w:tc>
        <w:tc>
          <w:tcPr>
            <w:tcW w:w="1299" w:type="pct"/>
          </w:tcPr>
          <w:p w:rsidR="00156DD6" w:rsidRDefault="00D51F5F">
            <w:pPr>
              <w:jc w:val="right"/>
            </w:pPr>
            <w:r>
              <w:rPr>
                <w:rFonts w:hint="eastAsia"/>
              </w:rPr>
              <w:t xml:space="preserve"> 34,523,547.32 </w:t>
            </w:r>
          </w:p>
        </w:tc>
        <w:tc>
          <w:tcPr>
            <w:tcW w:w="1267" w:type="pct"/>
          </w:tcPr>
          <w:p w:rsidR="00156DD6" w:rsidRDefault="00D51F5F">
            <w:pPr>
              <w:jc w:val="right"/>
            </w:pPr>
            <w:r>
              <w:rPr>
                <w:rFonts w:hint="eastAsia"/>
              </w:rPr>
              <w:t xml:space="preserve"> 10.00 </w:t>
            </w:r>
          </w:p>
        </w:tc>
      </w:tr>
      <w:tr w:rsidR="00156DD6">
        <w:tc>
          <w:tcPr>
            <w:tcW w:w="1158" w:type="pct"/>
          </w:tcPr>
          <w:p w:rsidR="00156DD6" w:rsidRDefault="00D51F5F">
            <w:pPr>
              <w:pStyle w:val="Style43"/>
            </w:pPr>
            <w:r>
              <w:t>2-3</w:t>
            </w:r>
            <w:r>
              <w:t>年</w:t>
            </w:r>
          </w:p>
        </w:tc>
        <w:tc>
          <w:tcPr>
            <w:tcW w:w="1276" w:type="pct"/>
          </w:tcPr>
          <w:p w:rsidR="00156DD6" w:rsidRDefault="00D51F5F">
            <w:pPr>
              <w:jc w:val="right"/>
            </w:pPr>
            <w:r>
              <w:rPr>
                <w:rFonts w:hint="eastAsia"/>
              </w:rPr>
              <w:t xml:space="preserve"> 118,159,191.33 </w:t>
            </w:r>
          </w:p>
        </w:tc>
        <w:tc>
          <w:tcPr>
            <w:tcW w:w="1299" w:type="pct"/>
          </w:tcPr>
          <w:p w:rsidR="00156DD6" w:rsidRDefault="00D51F5F">
            <w:pPr>
              <w:jc w:val="right"/>
            </w:pPr>
            <w:r>
              <w:rPr>
                <w:rFonts w:hint="eastAsia"/>
              </w:rPr>
              <w:t xml:space="preserve"> 23,631,838.27 </w:t>
            </w:r>
          </w:p>
        </w:tc>
        <w:tc>
          <w:tcPr>
            <w:tcW w:w="1267" w:type="pct"/>
          </w:tcPr>
          <w:p w:rsidR="00156DD6" w:rsidRDefault="00D51F5F">
            <w:pPr>
              <w:jc w:val="right"/>
            </w:pPr>
            <w:r>
              <w:rPr>
                <w:rFonts w:hint="eastAsia"/>
              </w:rPr>
              <w:t xml:space="preserve"> 20.00 </w:t>
            </w:r>
          </w:p>
        </w:tc>
      </w:tr>
      <w:tr w:rsidR="00156DD6">
        <w:tc>
          <w:tcPr>
            <w:tcW w:w="1158" w:type="pct"/>
          </w:tcPr>
          <w:p w:rsidR="00156DD6" w:rsidRDefault="00D51F5F">
            <w:pPr>
              <w:pStyle w:val="Style43"/>
            </w:pPr>
            <w:r>
              <w:t>3-4</w:t>
            </w:r>
            <w:r>
              <w:t>年</w:t>
            </w:r>
          </w:p>
        </w:tc>
        <w:tc>
          <w:tcPr>
            <w:tcW w:w="1276" w:type="pct"/>
          </w:tcPr>
          <w:p w:rsidR="00156DD6" w:rsidRDefault="00D51F5F">
            <w:pPr>
              <w:jc w:val="right"/>
            </w:pPr>
            <w:r>
              <w:rPr>
                <w:rFonts w:hint="eastAsia"/>
              </w:rPr>
              <w:t xml:space="preserve"> 38,380,249.55 </w:t>
            </w:r>
          </w:p>
        </w:tc>
        <w:tc>
          <w:tcPr>
            <w:tcW w:w="1299" w:type="pct"/>
          </w:tcPr>
          <w:p w:rsidR="00156DD6" w:rsidRDefault="00D51F5F">
            <w:pPr>
              <w:jc w:val="right"/>
            </w:pPr>
            <w:r>
              <w:rPr>
                <w:rFonts w:hint="eastAsia"/>
              </w:rPr>
              <w:t xml:space="preserve"> 11,514,074.87 </w:t>
            </w:r>
          </w:p>
        </w:tc>
        <w:tc>
          <w:tcPr>
            <w:tcW w:w="1267" w:type="pct"/>
          </w:tcPr>
          <w:p w:rsidR="00156DD6" w:rsidRDefault="00D51F5F">
            <w:pPr>
              <w:jc w:val="right"/>
            </w:pPr>
            <w:r>
              <w:rPr>
                <w:rFonts w:hint="eastAsia"/>
              </w:rPr>
              <w:t xml:space="preserve"> 30.00 </w:t>
            </w:r>
          </w:p>
        </w:tc>
      </w:tr>
      <w:tr w:rsidR="00156DD6">
        <w:tc>
          <w:tcPr>
            <w:tcW w:w="1158" w:type="pct"/>
          </w:tcPr>
          <w:p w:rsidR="00156DD6" w:rsidRDefault="00D51F5F">
            <w:pPr>
              <w:pStyle w:val="Style43"/>
            </w:pPr>
            <w:r>
              <w:t>4-5</w:t>
            </w:r>
            <w:r>
              <w:t>年</w:t>
            </w:r>
          </w:p>
        </w:tc>
        <w:tc>
          <w:tcPr>
            <w:tcW w:w="1276" w:type="pct"/>
          </w:tcPr>
          <w:p w:rsidR="00156DD6" w:rsidRDefault="00D51F5F">
            <w:pPr>
              <w:jc w:val="right"/>
            </w:pPr>
            <w:r>
              <w:rPr>
                <w:rFonts w:hint="eastAsia"/>
              </w:rPr>
              <w:t xml:space="preserve"> 13,228,369.40 </w:t>
            </w:r>
          </w:p>
        </w:tc>
        <w:tc>
          <w:tcPr>
            <w:tcW w:w="1299" w:type="pct"/>
          </w:tcPr>
          <w:p w:rsidR="00156DD6" w:rsidRDefault="00D51F5F">
            <w:pPr>
              <w:jc w:val="right"/>
            </w:pPr>
            <w:r>
              <w:rPr>
                <w:rFonts w:hint="eastAsia"/>
              </w:rPr>
              <w:t xml:space="preserve"> 6,614,184.70 </w:t>
            </w:r>
          </w:p>
        </w:tc>
        <w:tc>
          <w:tcPr>
            <w:tcW w:w="1267" w:type="pct"/>
          </w:tcPr>
          <w:p w:rsidR="00156DD6" w:rsidRDefault="00D51F5F">
            <w:pPr>
              <w:jc w:val="right"/>
            </w:pPr>
            <w:r>
              <w:rPr>
                <w:rFonts w:hint="eastAsia"/>
              </w:rPr>
              <w:t xml:space="preserve"> 50.00 </w:t>
            </w:r>
          </w:p>
        </w:tc>
      </w:tr>
      <w:tr w:rsidR="00156DD6">
        <w:tc>
          <w:tcPr>
            <w:tcW w:w="1158" w:type="pct"/>
          </w:tcPr>
          <w:p w:rsidR="00156DD6" w:rsidRDefault="00D51F5F">
            <w:pPr>
              <w:pStyle w:val="Style43"/>
            </w:pPr>
            <w:r>
              <w:t>5</w:t>
            </w:r>
            <w:r>
              <w:t>年以上</w:t>
            </w:r>
          </w:p>
        </w:tc>
        <w:tc>
          <w:tcPr>
            <w:tcW w:w="1276" w:type="pct"/>
          </w:tcPr>
          <w:p w:rsidR="00156DD6" w:rsidRDefault="00D51F5F">
            <w:pPr>
              <w:jc w:val="right"/>
            </w:pPr>
            <w:r>
              <w:rPr>
                <w:rFonts w:hint="eastAsia"/>
              </w:rPr>
              <w:t xml:space="preserve"> 14,745,058.63 </w:t>
            </w:r>
          </w:p>
        </w:tc>
        <w:tc>
          <w:tcPr>
            <w:tcW w:w="1299" w:type="pct"/>
          </w:tcPr>
          <w:p w:rsidR="00156DD6" w:rsidRDefault="00D51F5F">
            <w:pPr>
              <w:jc w:val="right"/>
            </w:pPr>
            <w:r>
              <w:rPr>
                <w:rFonts w:hint="eastAsia"/>
              </w:rPr>
              <w:t xml:space="preserve"> 14,745,058.63 </w:t>
            </w:r>
          </w:p>
        </w:tc>
        <w:tc>
          <w:tcPr>
            <w:tcW w:w="1267" w:type="pct"/>
          </w:tcPr>
          <w:p w:rsidR="00156DD6" w:rsidRDefault="00D51F5F">
            <w:pPr>
              <w:jc w:val="right"/>
            </w:pPr>
            <w:r>
              <w:rPr>
                <w:rFonts w:hint="eastAsia"/>
              </w:rPr>
              <w:t xml:space="preserve"> 100.00 </w:t>
            </w:r>
          </w:p>
        </w:tc>
      </w:tr>
      <w:tr w:rsidR="00156DD6">
        <w:tc>
          <w:tcPr>
            <w:tcW w:w="1158" w:type="pct"/>
            <w:vAlign w:val="center"/>
          </w:tcPr>
          <w:p w:rsidR="00156DD6" w:rsidRDefault="00D51F5F">
            <w:pPr>
              <w:jc w:val="center"/>
              <w:rPr>
                <w:color w:val="000000" w:themeColor="text1"/>
              </w:rPr>
            </w:pPr>
            <w:r>
              <w:rPr>
                <w:rFonts w:hint="eastAsia"/>
                <w:color w:val="000000" w:themeColor="text1"/>
              </w:rPr>
              <w:t>合计</w:t>
            </w:r>
          </w:p>
        </w:tc>
        <w:tc>
          <w:tcPr>
            <w:tcW w:w="1276" w:type="pct"/>
          </w:tcPr>
          <w:p w:rsidR="00156DD6" w:rsidRDefault="00D51F5F">
            <w:pPr>
              <w:jc w:val="right"/>
            </w:pPr>
            <w:r>
              <w:rPr>
                <w:rFonts w:hint="eastAsia"/>
              </w:rPr>
              <w:t xml:space="preserve"> 1,913,829,008.69 </w:t>
            </w:r>
          </w:p>
        </w:tc>
        <w:tc>
          <w:tcPr>
            <w:tcW w:w="1299" w:type="pct"/>
          </w:tcPr>
          <w:p w:rsidR="00156DD6" w:rsidRDefault="00D51F5F">
            <w:pPr>
              <w:jc w:val="right"/>
            </w:pPr>
            <w:r>
              <w:rPr>
                <w:rFonts w:hint="eastAsia"/>
              </w:rPr>
              <w:t xml:space="preserve"> 160,232,737.13 </w:t>
            </w:r>
          </w:p>
        </w:tc>
        <w:tc>
          <w:tcPr>
            <w:tcW w:w="1267" w:type="pct"/>
          </w:tcPr>
          <w:p w:rsidR="00156DD6" w:rsidRDefault="00D51F5F">
            <w:pPr>
              <w:jc w:val="right"/>
            </w:pPr>
            <w:r>
              <w:rPr>
                <w:rFonts w:hint="eastAsia"/>
              </w:rPr>
              <w:t xml:space="preserve"> 8.37 </w:t>
            </w:r>
          </w:p>
        </w:tc>
      </w:tr>
    </w:tbl>
    <w:p w:rsidR="00156DD6" w:rsidRDefault="00D51F5F">
      <w:pPr>
        <w:rPr>
          <w:color w:val="000000" w:themeColor="text1"/>
        </w:rPr>
      </w:pPr>
      <w:r>
        <w:rPr>
          <w:rFonts w:hint="eastAsia"/>
          <w:color w:val="000000" w:themeColor="text1"/>
        </w:rPr>
        <w:t>按组合计提坏账准备的说明：</w:t>
      </w:r>
    </w:p>
    <w:sdt>
      <w:sdtPr>
        <w:rPr>
          <w:color w:val="000000" w:themeColor="text1"/>
          <w:sz w:val="21"/>
          <w:szCs w:val="21"/>
        </w:rPr>
        <w:alias w:val="是否适用：按组合计提坏账准备的应收账款确认标准[双击切换]"/>
        <w:tag w:val="_GBC_8361cfeb973b4073b7fdbd49a393b38c"/>
        <w:id w:val="1137223601"/>
      </w:sdtPr>
      <w:sdtEndPr/>
      <w:sdtContent>
        <w:p w:rsidR="00156DD6" w:rsidRDefault="00D51F5F">
          <w:pPr>
            <w:pStyle w:val="Style43"/>
            <w:rPr>
              <w:sz w:val="21"/>
              <w:szCs w:val="21"/>
            </w:rPr>
          </w:pPr>
          <w:r>
            <w:rPr>
              <w:rFonts w:ascii="宋体" w:hAnsi="宋体"/>
              <w:color w:val="000000" w:themeColor="text1"/>
              <w:sz w:val="21"/>
              <w:szCs w:val="21"/>
            </w:rPr>
            <w:fldChar w:fldCharType="begin"/>
          </w:r>
          <w:r>
            <w:rPr>
              <w:rFonts w:ascii="宋体" w:hAnsi="宋体" w:hint="eastAsia"/>
              <w:color w:val="000000" w:themeColor="text1"/>
              <w:sz w:val="21"/>
              <w:szCs w:val="21"/>
            </w:rPr>
            <w:instrText xml:space="preserve"> MACROBUTTON  SnrToggleCheckbox </w:instrText>
          </w:r>
          <w:r>
            <w:rPr>
              <w:rFonts w:ascii="宋体" w:hAnsi="宋体" w:hint="eastAsia"/>
              <w:color w:val="000000" w:themeColor="text1"/>
              <w:sz w:val="21"/>
              <w:szCs w:val="21"/>
            </w:rPr>
            <w:instrText>□适用</w:instrText>
          </w:r>
          <w:r>
            <w:rPr>
              <w:rFonts w:ascii="宋体" w:hAnsi="宋体" w:hint="eastAsia"/>
              <w:color w:val="000000" w:themeColor="text1"/>
              <w:sz w:val="21"/>
              <w:szCs w:val="21"/>
            </w:rPr>
            <w:instrText xml:space="preserve"> </w:instrText>
          </w:r>
          <w:r>
            <w:rPr>
              <w:rFonts w:ascii="宋体" w:hAnsi="宋体"/>
              <w:color w:val="000000" w:themeColor="text1"/>
              <w:sz w:val="21"/>
              <w:szCs w:val="21"/>
            </w:rPr>
            <w:fldChar w:fldCharType="end"/>
          </w:r>
          <w:r>
            <w:rPr>
              <w:rFonts w:ascii="宋体" w:hAnsi="宋体"/>
              <w:color w:val="000000" w:themeColor="text1"/>
              <w:sz w:val="21"/>
              <w:szCs w:val="21"/>
            </w:rPr>
            <w:fldChar w:fldCharType="begin"/>
          </w:r>
          <w:r>
            <w:rPr>
              <w:rFonts w:ascii="宋体" w:hAnsi="宋体" w:hint="eastAsia"/>
              <w:color w:val="000000" w:themeColor="text1"/>
              <w:sz w:val="21"/>
              <w:szCs w:val="21"/>
            </w:rPr>
            <w:instrText xml:space="preserve"> MACROBUTTON  SnrToggleCheckbox </w:instrText>
          </w:r>
          <w:r>
            <w:rPr>
              <w:rFonts w:ascii="宋体" w:hAnsi="宋体" w:hint="eastAsia"/>
              <w:color w:val="000000" w:themeColor="text1"/>
              <w:sz w:val="21"/>
              <w:szCs w:val="21"/>
            </w:rPr>
            <w:instrText>√不适用</w:instrText>
          </w:r>
          <w:r>
            <w:rPr>
              <w:rFonts w:ascii="宋体" w:hAnsi="宋体" w:hint="eastAsia"/>
              <w:color w:val="000000" w:themeColor="text1"/>
              <w:sz w:val="21"/>
              <w:szCs w:val="21"/>
            </w:rPr>
            <w:instrText xml:space="preserve"> </w:instrText>
          </w:r>
          <w:r>
            <w:rPr>
              <w:rFonts w:ascii="宋体" w:hAnsi="宋体"/>
              <w:color w:val="000000" w:themeColor="text1"/>
              <w:sz w:val="21"/>
              <w:szCs w:val="21"/>
            </w:rPr>
            <w:fldChar w:fldCharType="end"/>
          </w:r>
        </w:p>
      </w:sdtContent>
    </w:sdt>
    <w:p w:rsidR="00156DD6" w:rsidRDefault="00D51F5F">
      <w:pPr>
        <w:rPr>
          <w:rFonts w:cstheme="minorBidi"/>
          <w:color w:val="000000" w:themeColor="text1"/>
        </w:rPr>
      </w:pPr>
      <w:bookmarkStart w:id="233" w:name="_Hlk154134618"/>
      <w:bookmarkStart w:id="234" w:name="_Hlk167885281"/>
      <w:bookmarkStart w:id="235" w:name="_Hlk153357523"/>
      <w:bookmarkEnd w:id="231"/>
      <w:bookmarkEnd w:id="232"/>
      <w:r>
        <w:rPr>
          <w:rFonts w:cstheme="minorBidi" w:hint="eastAsia"/>
          <w:color w:val="000000" w:themeColor="text1"/>
        </w:rPr>
        <w:lastRenderedPageBreak/>
        <w:t>按预期信用损失一般模型计提坏账准备</w:t>
      </w:r>
    </w:p>
    <w:sdt>
      <w:sdtPr>
        <w:rPr>
          <w:rFonts w:cstheme="minorBidi"/>
          <w:color w:val="000000" w:themeColor="text1"/>
        </w:rPr>
        <w:alias w:val="是否适用：按预期信用损失一般模型计提坏账准备[双击切换]"/>
        <w:tag w:val="_GBC_1d19b1b69e8344f18b14e15d329edea7"/>
        <w:id w:val="-1519541844"/>
        <w:placeholder>
          <w:docPart w:val="GBC22222222222222222222222222222"/>
        </w:placeholder>
      </w:sdtPr>
      <w:sdtEndPr/>
      <w:sdtContent>
        <w:p w:rsidR="00156DD6" w:rsidRDefault="00D51F5F">
          <w:pPr>
            <w:rPr>
              <w:rFonts w:cstheme="minorBidi"/>
              <w:color w:val="000000" w:themeColor="text1"/>
            </w:rPr>
          </w:pP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□适用</w:instrText>
          </w:r>
          <w:r>
            <w:rPr>
              <w:rFonts w:cstheme="minorBidi" w:hint="eastAsia"/>
              <w:color w:val="000000" w:themeColor="text1"/>
            </w:rPr>
            <w:instrText xml:space="preserve"> </w:instrText>
          </w:r>
          <w:r>
            <w:rPr>
              <w:rFonts w:cstheme="minorBidi"/>
              <w:color w:val="000000" w:themeColor="text1"/>
            </w:rPr>
            <w:fldChar w:fldCharType="end"/>
          </w: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√不适用</w:instrText>
          </w:r>
          <w:r>
            <w:rPr>
              <w:rFonts w:cstheme="minorBidi" w:hint="eastAsia"/>
              <w:color w:val="000000" w:themeColor="text1"/>
            </w:rPr>
            <w:instrText xml:space="preserve"> </w:instrText>
          </w:r>
          <w:r>
            <w:rPr>
              <w:rFonts w:cstheme="minorBidi"/>
              <w:color w:val="000000" w:themeColor="text1"/>
            </w:rPr>
            <w:fldChar w:fldCharType="end"/>
          </w:r>
        </w:p>
      </w:sdtContent>
    </w:sdt>
    <w:p w:rsidR="00156DD6" w:rsidRDefault="00D51F5F">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rPr>
        <w:alias w:val="各阶段划分依据和坏账准备计提比例"/>
        <w:tag w:val="_GBC_d8e8411c0a8c4c56aa732db88b5aee2e"/>
        <w:id w:val="-1799059556"/>
        <w:placeholder>
          <w:docPart w:val="GBC22222222222222222222222222222"/>
        </w:placeholder>
      </w:sdtPr>
      <w:sdtEndPr/>
      <w:sdtContent>
        <w:p w:rsidR="00156DD6" w:rsidRDefault="00D51F5F">
          <w:pPr>
            <w:rPr>
              <w:rFonts w:cs="Times New Roman"/>
              <w:color w:val="000000" w:themeColor="text1"/>
            </w:rPr>
          </w:pPr>
          <w:r>
            <w:rPr>
              <w:rFonts w:cs="Times New Roman" w:hint="eastAsia"/>
              <w:color w:val="000000" w:themeColor="text1"/>
            </w:rPr>
            <w:t>无</w:t>
          </w:r>
        </w:p>
      </w:sdtContent>
    </w:sdt>
    <w:p w:rsidR="00156DD6" w:rsidRDefault="00D51F5F">
      <w:pPr>
        <w:pStyle w:val="Style100"/>
        <w:rPr>
          <w:color w:val="000000" w:themeColor="text1"/>
          <w:sz w:val="21"/>
          <w:szCs w:val="21"/>
        </w:rPr>
      </w:pPr>
      <w:r>
        <w:rPr>
          <w:rFonts w:hint="eastAsia"/>
          <w:color w:val="000000" w:themeColor="text1"/>
          <w:sz w:val="21"/>
          <w:szCs w:val="21"/>
        </w:rPr>
        <w:t>对本期发生损失准备变动的应收账款账面余额显著变动的情况说明：</w:t>
      </w:r>
    </w:p>
    <w:sdt>
      <w:sdtPr>
        <w:rPr>
          <w:color w:val="000000" w:themeColor="text1"/>
        </w:rPr>
        <w:alias w:val="是否适用：对本期发生损失准备变动的账面余额显著变动的情况说明[双击切换]"/>
        <w:tag w:val="_GBC_69f0a67a74b04da0bfa388cc3243da42"/>
        <w:id w:val="-1151599374"/>
        <w:placeholder>
          <w:docPart w:val="GBC22222222222222222222222222222"/>
        </w:placeholder>
      </w:sdtPr>
      <w:sdtEndPr/>
      <w:sdtContent>
        <w:p w:rsidR="00156DD6" w:rsidRDefault="00D51F5F">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45"/>
        </w:numPr>
        <w:ind w:left="426" w:hanging="426"/>
        <w:rPr>
          <w:color w:val="000000" w:themeColor="text1"/>
          <w:sz w:val="21"/>
          <w:szCs w:val="21"/>
        </w:rPr>
      </w:pPr>
      <w:bookmarkStart w:id="236" w:name="_Hlk10467433"/>
      <w:bookmarkEnd w:id="233"/>
      <w:bookmarkEnd w:id="234"/>
      <w:bookmarkEnd w:id="235"/>
      <w:r>
        <w:rPr>
          <w:rFonts w:hint="eastAsia"/>
          <w:color w:val="000000" w:themeColor="text1"/>
          <w:sz w:val="21"/>
          <w:szCs w:val="21"/>
        </w:rPr>
        <w:t>坏账准备的情况</w:t>
      </w:r>
    </w:p>
    <w:sdt>
      <w:sdtPr>
        <w:rPr>
          <w:color w:val="000000" w:themeColor="text1"/>
        </w:rPr>
        <w:alias w:val="是否适用：应收账款坏账准备[双击切换]"/>
        <w:tag w:val="_GBC_fb482eb90dbc45c4a6420c45e8a46012"/>
        <w:id w:val="126418071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snapToGrid w:val="0"/>
        <w:spacing w:line="240" w:lineRule="atLeast"/>
        <w:ind w:left="42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应收账款坏账准备"/>
          <w:tag w:val="_GBC_f681542ff42f497c9ed44328f301413f"/>
          <w:id w:val="-20677103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应收账款坏账准备"/>
          <w:tag w:val="_GBC_79f82daaad1749fbb117cea0941b8667"/>
          <w:id w:val="-13655146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9"/>
        <w:gridCol w:w="1906"/>
        <w:gridCol w:w="2069"/>
        <w:gridCol w:w="1905"/>
        <w:gridCol w:w="1910"/>
        <w:gridCol w:w="1905"/>
        <w:gridCol w:w="1899"/>
      </w:tblGrid>
      <w:tr w:rsidR="00156DD6">
        <w:bookmarkEnd w:id="236" w:displacedByCustomXml="next"/>
        <w:bookmarkStart w:id="237" w:name="_Hlk167885446" w:displacedByCustomXml="next"/>
        <w:sdt>
          <w:sdtPr>
            <w:tag w:val="_PLD_82b0419f5c784cbe8b363ff715cfd4eb"/>
            <w:id w:val="-285199134"/>
          </w:sdtPr>
          <w:sdtEndPr/>
          <w:sdtContent>
            <w:tc>
              <w:tcPr>
                <w:tcW w:w="818" w:type="pct"/>
                <w:vMerge w:val="restart"/>
                <w:shd w:val="clear" w:color="auto" w:fill="FFFFFF"/>
                <w:vAlign w:val="center"/>
              </w:tcPr>
              <w:p w:rsidR="00156DD6" w:rsidRDefault="00D51F5F">
                <w:pPr>
                  <w:jc w:val="center"/>
                  <w:rPr>
                    <w:color w:val="000000" w:themeColor="text1"/>
                  </w:rPr>
                </w:pPr>
                <w:r>
                  <w:rPr>
                    <w:color w:val="000000" w:themeColor="text1"/>
                  </w:rPr>
                  <w:t>类别</w:t>
                </w:r>
              </w:p>
            </w:tc>
          </w:sdtContent>
        </w:sdt>
        <w:sdt>
          <w:sdtPr>
            <w:tag w:val="_PLD_6cba2c33cb334541980e3e13a6ee357d"/>
            <w:id w:val="406578525"/>
          </w:sdtPr>
          <w:sdtEndPr/>
          <w:sdtContent>
            <w:tc>
              <w:tcPr>
                <w:tcW w:w="687" w:type="pct"/>
                <w:vMerge w:val="restart"/>
                <w:shd w:val="clear" w:color="auto" w:fill="FFFFFF"/>
                <w:vAlign w:val="center"/>
              </w:tcPr>
              <w:p w:rsidR="00156DD6" w:rsidRDefault="00D51F5F">
                <w:pPr>
                  <w:jc w:val="center"/>
                  <w:rPr>
                    <w:color w:val="000000" w:themeColor="text1"/>
                  </w:rPr>
                </w:pPr>
                <w:r>
                  <w:rPr>
                    <w:color w:val="000000" w:themeColor="text1"/>
                  </w:rPr>
                  <w:t>期初余额</w:t>
                </w:r>
              </w:p>
            </w:tc>
          </w:sdtContent>
        </w:sdt>
        <w:sdt>
          <w:sdtPr>
            <w:tag w:val="_PLD_ec3d2e2cde2a4ba29c966861f9ca39c7"/>
            <w:id w:val="-1963257604"/>
          </w:sdtPr>
          <w:sdtEndPr/>
          <w:sdtContent>
            <w:tc>
              <w:tcPr>
                <w:tcW w:w="2809" w:type="pct"/>
                <w:gridSpan w:val="4"/>
                <w:shd w:val="clear" w:color="auto" w:fill="FFFFFF"/>
                <w:vAlign w:val="center"/>
              </w:tcPr>
              <w:p w:rsidR="00156DD6" w:rsidRDefault="00D51F5F">
                <w:pPr>
                  <w:jc w:val="center"/>
                  <w:rPr>
                    <w:color w:val="000000" w:themeColor="text1"/>
                  </w:rPr>
                </w:pPr>
                <w:r>
                  <w:rPr>
                    <w:rFonts w:hint="eastAsia"/>
                    <w:color w:val="000000" w:themeColor="text1"/>
                  </w:rPr>
                  <w:t>本期变动</w:t>
                </w:r>
                <w:r>
                  <w:rPr>
                    <w:color w:val="000000" w:themeColor="text1"/>
                  </w:rPr>
                  <w:t>金额</w:t>
                </w:r>
              </w:p>
            </w:tc>
          </w:sdtContent>
        </w:sdt>
        <w:sdt>
          <w:sdtPr>
            <w:tag w:val="_PLD_9c167d6d72f94e22aecc39ba0e735a78"/>
            <w:id w:val="-521551899"/>
          </w:sdtPr>
          <w:sdtEndPr/>
          <w:sdtContent>
            <w:tc>
              <w:tcPr>
                <w:tcW w:w="685" w:type="pct"/>
                <w:vMerge w:val="restart"/>
                <w:shd w:val="clear" w:color="auto" w:fill="FFFFFF"/>
                <w:vAlign w:val="center"/>
              </w:tcPr>
              <w:p w:rsidR="00156DD6" w:rsidRDefault="00D51F5F">
                <w:pPr>
                  <w:jc w:val="center"/>
                  <w:rPr>
                    <w:color w:val="000000" w:themeColor="text1"/>
                  </w:rPr>
                </w:pPr>
                <w:r>
                  <w:rPr>
                    <w:color w:val="000000" w:themeColor="text1"/>
                  </w:rPr>
                  <w:t>期末余额</w:t>
                </w:r>
              </w:p>
            </w:tc>
          </w:sdtContent>
        </w:sdt>
      </w:tr>
      <w:tr w:rsidR="00156DD6">
        <w:tc>
          <w:tcPr>
            <w:tcW w:w="818" w:type="pct"/>
            <w:vMerge/>
            <w:shd w:val="clear" w:color="auto" w:fill="FFFFFF"/>
          </w:tcPr>
          <w:p w:rsidR="00156DD6" w:rsidRDefault="00156DD6">
            <w:pPr>
              <w:jc w:val="center"/>
              <w:rPr>
                <w:color w:val="000000" w:themeColor="text1"/>
              </w:rPr>
            </w:pPr>
          </w:p>
        </w:tc>
        <w:tc>
          <w:tcPr>
            <w:tcW w:w="687" w:type="pct"/>
            <w:vMerge/>
            <w:shd w:val="clear" w:color="auto" w:fill="FFFFFF"/>
          </w:tcPr>
          <w:p w:rsidR="00156DD6" w:rsidRDefault="00156DD6">
            <w:pPr>
              <w:jc w:val="center"/>
              <w:rPr>
                <w:color w:val="000000" w:themeColor="text1"/>
              </w:rPr>
            </w:pPr>
          </w:p>
        </w:tc>
        <w:sdt>
          <w:sdtPr>
            <w:tag w:val="_PLD_6cba23a5661e46c88bed469159b39a72"/>
            <w:id w:val="171611794"/>
          </w:sdtPr>
          <w:sdtEndPr/>
          <w:sdtContent>
            <w:tc>
              <w:tcPr>
                <w:tcW w:w="746" w:type="pct"/>
                <w:shd w:val="clear" w:color="auto" w:fill="FFFFFF"/>
                <w:vAlign w:val="center"/>
              </w:tcPr>
              <w:p w:rsidR="00156DD6" w:rsidRDefault="00D51F5F">
                <w:pPr>
                  <w:jc w:val="center"/>
                  <w:rPr>
                    <w:color w:val="000000" w:themeColor="text1"/>
                  </w:rPr>
                </w:pPr>
                <w:r>
                  <w:rPr>
                    <w:color w:val="000000" w:themeColor="text1"/>
                  </w:rPr>
                  <w:t>计提</w:t>
                </w:r>
              </w:p>
            </w:tc>
          </w:sdtContent>
        </w:sdt>
        <w:sdt>
          <w:sdtPr>
            <w:tag w:val="_PLD_eaa82901608843c6947a0e537e8e0700"/>
            <w:id w:val="-1399507341"/>
          </w:sdtPr>
          <w:sdtEndPr/>
          <w:sdtContent>
            <w:tc>
              <w:tcPr>
                <w:tcW w:w="687" w:type="pct"/>
                <w:shd w:val="clear" w:color="auto" w:fill="FFFFFF"/>
                <w:vAlign w:val="center"/>
              </w:tcPr>
              <w:p w:rsidR="00156DD6" w:rsidRDefault="00D51F5F">
                <w:pPr>
                  <w:jc w:val="center"/>
                  <w:rPr>
                    <w:color w:val="000000" w:themeColor="text1"/>
                  </w:rPr>
                </w:pPr>
                <w:r>
                  <w:rPr>
                    <w:rFonts w:hint="eastAsia"/>
                    <w:color w:val="000000" w:themeColor="text1"/>
                  </w:rPr>
                  <w:t>收回或转回</w:t>
                </w:r>
              </w:p>
            </w:tc>
          </w:sdtContent>
        </w:sdt>
        <w:tc>
          <w:tcPr>
            <w:tcW w:w="689" w:type="pct"/>
            <w:shd w:val="clear" w:color="auto" w:fill="FFFFFF"/>
            <w:vAlign w:val="center"/>
          </w:tcPr>
          <w:sdt>
            <w:sdtPr>
              <w:tag w:val="_PLD_4232da6e7f4d498bb5fd03aa253dd7d4"/>
              <w:id w:val="818848751"/>
            </w:sdtPr>
            <w:sdtEndPr/>
            <w:sdtContent>
              <w:p w:rsidR="00156DD6" w:rsidRDefault="00D51F5F">
                <w:pPr>
                  <w:jc w:val="center"/>
                  <w:rPr>
                    <w:color w:val="000000" w:themeColor="text1"/>
                  </w:rPr>
                </w:pPr>
                <w:r>
                  <w:rPr>
                    <w:rFonts w:hint="eastAsia"/>
                    <w:color w:val="000000" w:themeColor="text1"/>
                  </w:rPr>
                  <w:t>转销或核销</w:t>
                </w:r>
              </w:p>
            </w:sdtContent>
          </w:sdt>
        </w:tc>
        <w:tc>
          <w:tcPr>
            <w:tcW w:w="687" w:type="pct"/>
            <w:shd w:val="clear" w:color="auto" w:fill="FFFFFF"/>
            <w:vAlign w:val="center"/>
          </w:tcPr>
          <w:sdt>
            <w:sdtPr>
              <w:tag w:val="_PLD_6a40df7ca60f4ded8af3453519948166"/>
              <w:id w:val="1950586036"/>
            </w:sdtPr>
            <w:sdtEndPr/>
            <w:sdtContent>
              <w:p w:rsidR="00156DD6" w:rsidRDefault="00D51F5F">
                <w:pPr>
                  <w:jc w:val="center"/>
                  <w:rPr>
                    <w:color w:val="000000" w:themeColor="text1"/>
                  </w:rPr>
                </w:pPr>
                <w:r>
                  <w:rPr>
                    <w:rFonts w:hint="eastAsia"/>
                    <w:color w:val="000000" w:themeColor="text1"/>
                  </w:rPr>
                  <w:t>其他变动</w:t>
                </w:r>
              </w:p>
            </w:sdtContent>
          </w:sdt>
        </w:tc>
        <w:tc>
          <w:tcPr>
            <w:tcW w:w="685" w:type="pct"/>
            <w:vMerge/>
            <w:shd w:val="clear" w:color="auto" w:fill="FFFFFF"/>
          </w:tcPr>
          <w:p w:rsidR="00156DD6" w:rsidRDefault="00156DD6">
            <w:pPr>
              <w:jc w:val="right"/>
              <w:rPr>
                <w:color w:val="000000" w:themeColor="text1"/>
              </w:rPr>
            </w:pPr>
          </w:p>
        </w:tc>
      </w:tr>
      <w:tr w:rsidR="00156DD6">
        <w:tc>
          <w:tcPr>
            <w:tcW w:w="818" w:type="pct"/>
          </w:tcPr>
          <w:p w:rsidR="00156DD6" w:rsidRDefault="00D51F5F">
            <w:pPr>
              <w:pStyle w:val="Style43"/>
            </w:pPr>
            <w:r>
              <w:t>按单项计提坏账准备</w:t>
            </w:r>
          </w:p>
        </w:tc>
        <w:tc>
          <w:tcPr>
            <w:tcW w:w="687" w:type="pct"/>
            <w:vAlign w:val="center"/>
          </w:tcPr>
          <w:p w:rsidR="00156DD6" w:rsidRDefault="00D51F5F">
            <w:pPr>
              <w:jc w:val="right"/>
            </w:pPr>
            <w:r>
              <w:t>29,124,723.07</w:t>
            </w:r>
          </w:p>
        </w:tc>
        <w:tc>
          <w:tcPr>
            <w:tcW w:w="746" w:type="pct"/>
          </w:tcPr>
          <w:p w:rsidR="00156DD6" w:rsidRDefault="00D51F5F">
            <w:pPr>
              <w:jc w:val="right"/>
            </w:pPr>
            <w:r>
              <w:rPr>
                <w:rFonts w:hint="eastAsia"/>
              </w:rPr>
              <w:t xml:space="preserve"> 1,702,331.54 </w:t>
            </w:r>
          </w:p>
        </w:tc>
        <w:tc>
          <w:tcPr>
            <w:tcW w:w="687" w:type="pct"/>
          </w:tcPr>
          <w:p w:rsidR="00156DD6" w:rsidRDefault="00D51F5F">
            <w:pPr>
              <w:jc w:val="right"/>
            </w:pPr>
            <w:r>
              <w:rPr>
                <w:rFonts w:hint="eastAsia"/>
              </w:rPr>
              <w:t xml:space="preserve"> 149,625.40 </w:t>
            </w:r>
          </w:p>
        </w:tc>
        <w:tc>
          <w:tcPr>
            <w:tcW w:w="689" w:type="pct"/>
          </w:tcPr>
          <w:p w:rsidR="00156DD6" w:rsidRDefault="00156DD6">
            <w:pPr>
              <w:jc w:val="right"/>
            </w:pPr>
          </w:p>
        </w:tc>
        <w:tc>
          <w:tcPr>
            <w:tcW w:w="687" w:type="pct"/>
          </w:tcPr>
          <w:p w:rsidR="00156DD6" w:rsidRDefault="00156DD6">
            <w:pPr>
              <w:jc w:val="right"/>
            </w:pPr>
          </w:p>
        </w:tc>
        <w:tc>
          <w:tcPr>
            <w:tcW w:w="685" w:type="pct"/>
          </w:tcPr>
          <w:p w:rsidR="00156DD6" w:rsidRDefault="00D51F5F">
            <w:pPr>
              <w:jc w:val="right"/>
            </w:pPr>
            <w:r>
              <w:rPr>
                <w:rFonts w:hint="eastAsia"/>
              </w:rPr>
              <w:t xml:space="preserve"> 30,677,429.21 </w:t>
            </w:r>
          </w:p>
        </w:tc>
      </w:tr>
      <w:tr w:rsidR="00156DD6">
        <w:tc>
          <w:tcPr>
            <w:tcW w:w="818" w:type="pct"/>
          </w:tcPr>
          <w:p w:rsidR="00156DD6" w:rsidRDefault="00D51F5F">
            <w:pPr>
              <w:pStyle w:val="Style43"/>
            </w:pPr>
            <w:r>
              <w:t>按组合计提坏账准备</w:t>
            </w:r>
          </w:p>
        </w:tc>
        <w:tc>
          <w:tcPr>
            <w:tcW w:w="687" w:type="pct"/>
            <w:vAlign w:val="center"/>
          </w:tcPr>
          <w:p w:rsidR="00156DD6" w:rsidRDefault="00D51F5F">
            <w:pPr>
              <w:jc w:val="right"/>
            </w:pPr>
            <w:r>
              <w:t>154,494,941.81</w:t>
            </w:r>
          </w:p>
        </w:tc>
        <w:tc>
          <w:tcPr>
            <w:tcW w:w="746" w:type="pct"/>
          </w:tcPr>
          <w:p w:rsidR="00156DD6" w:rsidRDefault="00D51F5F">
            <w:pPr>
              <w:jc w:val="right"/>
            </w:pPr>
            <w:r>
              <w:rPr>
                <w:rFonts w:hint="eastAsia"/>
              </w:rPr>
              <w:t xml:space="preserve"> 5,737,795.32 </w:t>
            </w:r>
          </w:p>
        </w:tc>
        <w:tc>
          <w:tcPr>
            <w:tcW w:w="687" w:type="pct"/>
          </w:tcPr>
          <w:p w:rsidR="00156DD6" w:rsidRDefault="00156DD6">
            <w:pPr>
              <w:jc w:val="right"/>
            </w:pPr>
          </w:p>
        </w:tc>
        <w:tc>
          <w:tcPr>
            <w:tcW w:w="689" w:type="pct"/>
          </w:tcPr>
          <w:p w:rsidR="00156DD6" w:rsidRDefault="00156DD6">
            <w:pPr>
              <w:jc w:val="right"/>
            </w:pPr>
          </w:p>
        </w:tc>
        <w:tc>
          <w:tcPr>
            <w:tcW w:w="687" w:type="pct"/>
          </w:tcPr>
          <w:p w:rsidR="00156DD6" w:rsidRDefault="00156DD6">
            <w:pPr>
              <w:jc w:val="right"/>
            </w:pPr>
          </w:p>
        </w:tc>
        <w:tc>
          <w:tcPr>
            <w:tcW w:w="685" w:type="pct"/>
          </w:tcPr>
          <w:p w:rsidR="00156DD6" w:rsidRDefault="00D51F5F">
            <w:pPr>
              <w:jc w:val="right"/>
            </w:pPr>
            <w:r>
              <w:rPr>
                <w:rFonts w:hint="eastAsia"/>
              </w:rPr>
              <w:t xml:space="preserve"> 160,232,737.13 </w:t>
            </w:r>
          </w:p>
        </w:tc>
      </w:tr>
      <w:tr w:rsidR="00156DD6">
        <w:tc>
          <w:tcPr>
            <w:tcW w:w="818" w:type="pct"/>
          </w:tcPr>
          <w:p w:rsidR="00156DD6" w:rsidRDefault="00D51F5F">
            <w:pPr>
              <w:jc w:val="center"/>
              <w:rPr>
                <w:color w:val="000000" w:themeColor="text1"/>
              </w:rPr>
            </w:pPr>
            <w:r>
              <w:rPr>
                <w:rFonts w:hint="eastAsia"/>
                <w:color w:val="000000" w:themeColor="text1"/>
              </w:rPr>
              <w:t>合计</w:t>
            </w:r>
          </w:p>
        </w:tc>
        <w:tc>
          <w:tcPr>
            <w:tcW w:w="687" w:type="pct"/>
            <w:vAlign w:val="center"/>
          </w:tcPr>
          <w:p w:rsidR="00156DD6" w:rsidRDefault="00D51F5F">
            <w:pPr>
              <w:jc w:val="right"/>
            </w:pPr>
            <w:r>
              <w:t>183,619,664.88</w:t>
            </w:r>
          </w:p>
        </w:tc>
        <w:tc>
          <w:tcPr>
            <w:tcW w:w="746" w:type="pct"/>
          </w:tcPr>
          <w:p w:rsidR="00156DD6" w:rsidRDefault="00D51F5F">
            <w:pPr>
              <w:jc w:val="right"/>
            </w:pPr>
            <w:r>
              <w:rPr>
                <w:rFonts w:hint="eastAsia"/>
              </w:rPr>
              <w:t xml:space="preserve"> 7,440,126.86 </w:t>
            </w:r>
          </w:p>
        </w:tc>
        <w:tc>
          <w:tcPr>
            <w:tcW w:w="687" w:type="pct"/>
          </w:tcPr>
          <w:p w:rsidR="00156DD6" w:rsidRDefault="00D51F5F">
            <w:pPr>
              <w:jc w:val="right"/>
            </w:pPr>
            <w:r>
              <w:rPr>
                <w:rFonts w:hint="eastAsia"/>
              </w:rPr>
              <w:t xml:space="preserve"> 149,625.40 </w:t>
            </w:r>
          </w:p>
        </w:tc>
        <w:tc>
          <w:tcPr>
            <w:tcW w:w="689" w:type="pct"/>
          </w:tcPr>
          <w:p w:rsidR="00156DD6" w:rsidRDefault="00156DD6">
            <w:pPr>
              <w:jc w:val="right"/>
            </w:pPr>
          </w:p>
        </w:tc>
        <w:tc>
          <w:tcPr>
            <w:tcW w:w="687" w:type="pct"/>
          </w:tcPr>
          <w:p w:rsidR="00156DD6" w:rsidRDefault="00156DD6">
            <w:pPr>
              <w:jc w:val="right"/>
            </w:pPr>
          </w:p>
        </w:tc>
        <w:tc>
          <w:tcPr>
            <w:tcW w:w="685" w:type="pct"/>
          </w:tcPr>
          <w:p w:rsidR="00156DD6" w:rsidRDefault="00D51F5F">
            <w:pPr>
              <w:jc w:val="right"/>
            </w:pPr>
            <w:r>
              <w:rPr>
                <w:rFonts w:hint="eastAsia"/>
              </w:rPr>
              <w:t xml:space="preserve"> 190,910,166.34 </w:t>
            </w:r>
          </w:p>
        </w:tc>
      </w:tr>
    </w:tbl>
    <w:p w:rsidR="00156DD6" w:rsidRDefault="00D51F5F">
      <w:pPr>
        <w:rPr>
          <w:color w:val="000000" w:themeColor="text1"/>
        </w:rPr>
      </w:pPr>
      <w:r>
        <w:rPr>
          <w:rFonts w:hint="eastAsia"/>
          <w:color w:val="000000" w:themeColor="text1"/>
        </w:rPr>
        <w:t>其中本期坏账准备收回或转回金额重要的：</w:t>
      </w:r>
    </w:p>
    <w:sdt>
      <w:sdtPr>
        <w:rPr>
          <w:color w:val="000000" w:themeColor="text1"/>
        </w:rPr>
        <w:alias w:val="是否适用：其中本期坏账准备收回或转回金额重要的[双击切换]"/>
        <w:tag w:val="_GBC_782db13fff094d37b8b99f81224cac44"/>
        <w:id w:val="40766119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D51F5F">
      <w:pPr>
        <w:rPr>
          <w:color w:val="000000" w:themeColor="text1"/>
        </w:rPr>
      </w:pPr>
      <w:r>
        <w:rPr>
          <w:rFonts w:hint="eastAsia"/>
          <w:color w:val="000000" w:themeColor="text1"/>
        </w:rPr>
        <w:t>其他说明：</w:t>
      </w:r>
    </w:p>
    <w:sdt>
      <w:sdtPr>
        <w:rPr>
          <w:color w:val="000000" w:themeColor="text1"/>
        </w:rPr>
        <w:alias w:val="应收账款坏账准备情况的说明"/>
        <w:tag w:val="_GBC_112ac8bd16914f4682cf1367c6702f93"/>
        <w:id w:val="496778862"/>
        <w:placeholder>
          <w:docPart w:val="GBC22222222222222222222222222222"/>
        </w:placeholder>
      </w:sdtPr>
      <w:sdtEndPr/>
      <w:sdtContent>
        <w:p w:rsidR="00156DD6" w:rsidRDefault="00D51F5F">
          <w:pPr>
            <w:ind w:rightChars="20" w:right="42"/>
            <w:rPr>
              <w:color w:val="000000" w:themeColor="text1"/>
            </w:rPr>
          </w:pPr>
          <w:r>
            <w:rPr>
              <w:rFonts w:hint="eastAsia"/>
              <w:color w:val="000000" w:themeColor="text1"/>
            </w:rPr>
            <w:t>无</w:t>
          </w:r>
        </w:p>
      </w:sdtContent>
    </w:sdt>
    <w:bookmarkEnd w:id="237"/>
    <w:p w:rsidR="00156DD6" w:rsidRDefault="00D51F5F">
      <w:pPr>
        <w:pStyle w:val="Style47"/>
        <w:numPr>
          <w:ilvl w:val="3"/>
          <w:numId w:val="45"/>
        </w:numPr>
        <w:ind w:left="426" w:hanging="426"/>
        <w:rPr>
          <w:color w:val="000000" w:themeColor="text1"/>
          <w:sz w:val="21"/>
          <w:szCs w:val="21"/>
        </w:rPr>
      </w:pPr>
      <w:r>
        <w:rPr>
          <w:rFonts w:hint="eastAsia"/>
          <w:color w:val="000000" w:themeColor="text1"/>
          <w:sz w:val="21"/>
          <w:szCs w:val="21"/>
        </w:rPr>
        <w:t>本期实际核销的应收账款情况</w:t>
      </w:r>
    </w:p>
    <w:sdt>
      <w:sdtPr>
        <w:rPr>
          <w:color w:val="000000" w:themeColor="text1"/>
        </w:rPr>
        <w:alias w:val="是否适用：本期实际核销的应收账款情况[双击切换]"/>
        <w:tag w:val="_GBC_240341a3455747bb87ecabf420d94ec5"/>
        <w:id w:val="172718288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其中重要的应收账款核销情况</w:t>
      </w:r>
    </w:p>
    <w:sdt>
      <w:sdtPr>
        <w:rPr>
          <w:color w:val="000000" w:themeColor="text1"/>
        </w:rPr>
        <w:alias w:val="是否适用：其中重要的应收账款核销情况[双击切换]"/>
        <w:tag w:val="_GBC_8a44f02ff52343a08b5e1e48c8b2cb3d"/>
        <w:id w:val="12828389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应收账款核销说明：</w:t>
      </w:r>
    </w:p>
    <w:sdt>
      <w:sdtPr>
        <w:rPr>
          <w:color w:val="000000" w:themeColor="text1"/>
        </w:rPr>
        <w:alias w:val="是否适用：应收账款核销说明[双击切换]"/>
        <w:tag w:val="_GBC_69824b683b7348d5abc31b2f2e813757"/>
        <w:id w:val="601845194"/>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45"/>
        </w:numPr>
        <w:ind w:left="426" w:hanging="426"/>
        <w:rPr>
          <w:color w:val="000000" w:themeColor="text1"/>
          <w:sz w:val="21"/>
          <w:szCs w:val="21"/>
        </w:rPr>
      </w:pPr>
      <w:bookmarkStart w:id="238" w:name="_Hlk167885578"/>
      <w:r>
        <w:rPr>
          <w:rFonts w:hint="eastAsia"/>
          <w:color w:val="000000" w:themeColor="text1"/>
          <w:sz w:val="21"/>
          <w:szCs w:val="21"/>
        </w:rPr>
        <w:t>按欠款方归集的期末余额前五名的应收账款和合同资产情况</w:t>
      </w:r>
    </w:p>
    <w:sdt>
      <w:sdtPr>
        <w:rPr>
          <w:rFonts w:hint="eastAsia"/>
          <w:color w:val="000000" w:themeColor="text1"/>
        </w:rPr>
        <w:alias w:val="是否适用：按欠款方归集的期末余额前五名的应收账款情况[双击切换]"/>
        <w:tag w:val="_GBC_23de179fe67e4dae836713363b228dc1"/>
        <w:id w:val="652574582"/>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snapToGrid w:val="0"/>
        <w:spacing w:line="240" w:lineRule="atLeast"/>
        <w:jc w:val="right"/>
        <w:rPr>
          <w:color w:val="000000" w:themeColor="text1"/>
        </w:rPr>
      </w:pPr>
      <w:r>
        <w:rPr>
          <w:rFonts w:hint="eastAsia"/>
          <w:color w:val="000000" w:themeColor="text1"/>
        </w:rPr>
        <w:t>单位：</w:t>
      </w:r>
      <w:sdt>
        <w:sdtPr>
          <w:rPr>
            <w:color w:val="000000" w:themeColor="text1"/>
          </w:rPr>
          <w:alias w:val="单位：财务附注：应收账款前五名欠款情况"/>
          <w:tag w:val="_GBC_7b83c21a9ac04b3f9556af0eefbf91af"/>
          <w:id w:val="91405518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收账款前五名欠款情况"/>
          <w:tag w:val="_GBC_aeac0acd27084bbe8582a2bdb9097b96"/>
          <w:id w:val="6684448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2"/>
        <w:gridCol w:w="2312"/>
        <w:gridCol w:w="2310"/>
        <w:gridCol w:w="2310"/>
        <w:gridCol w:w="2307"/>
      </w:tblGrid>
      <w:tr w:rsidR="00156DD6">
        <w:trPr>
          <w:cantSplit/>
        </w:trPr>
        <w:sdt>
          <w:sdtPr>
            <w:tag w:val="_PLD_f9c6798381a549c8be592d88dde64345"/>
            <w:id w:val="-501435939"/>
          </w:sdtPr>
          <w:sdtEndPr/>
          <w:sdtContent>
            <w:tc>
              <w:tcPr>
                <w:tcW w:w="834" w:type="pct"/>
                <w:vAlign w:val="center"/>
              </w:tcPr>
              <w:p w:rsidR="00156DD6" w:rsidRDefault="00D51F5F">
                <w:pPr>
                  <w:ind w:right="105"/>
                  <w:jc w:val="center"/>
                  <w:rPr>
                    <w:color w:val="000000" w:themeColor="text1"/>
                  </w:rPr>
                </w:pPr>
                <w:r>
                  <w:rPr>
                    <w:rFonts w:hint="eastAsia"/>
                    <w:color w:val="000000" w:themeColor="text1"/>
                  </w:rPr>
                  <w:t>单位名称</w:t>
                </w:r>
              </w:p>
            </w:tc>
          </w:sdtContent>
        </w:sdt>
        <w:sdt>
          <w:sdtPr>
            <w:tag w:val="_PLD_cb3675ff5adc4fc5a9134c43edda944a"/>
            <w:id w:val="-684438498"/>
          </w:sdtPr>
          <w:sdtEndPr/>
          <w:sdtContent>
            <w:tc>
              <w:tcPr>
                <w:tcW w:w="834" w:type="pct"/>
                <w:vAlign w:val="center"/>
              </w:tcPr>
              <w:p w:rsidR="00156DD6" w:rsidRDefault="00D51F5F">
                <w:pPr>
                  <w:ind w:right="73"/>
                  <w:jc w:val="center"/>
                  <w:rPr>
                    <w:color w:val="000000" w:themeColor="text1"/>
                  </w:rPr>
                </w:pPr>
                <w:r>
                  <w:rPr>
                    <w:rFonts w:hint="eastAsia"/>
                    <w:color w:val="000000" w:themeColor="text1"/>
                  </w:rPr>
                  <w:t>应收账款期末余额</w:t>
                </w:r>
              </w:p>
            </w:tc>
          </w:sdtContent>
        </w:sdt>
        <w:sdt>
          <w:sdtPr>
            <w:tag w:val="_PLD_ef22e7c0e8d749caad8859816f6d3d6d"/>
            <w:id w:val="2017274329"/>
          </w:sdtPr>
          <w:sdtEndPr/>
          <w:sdtContent>
            <w:tc>
              <w:tcPr>
                <w:tcW w:w="834" w:type="pct"/>
                <w:vAlign w:val="center"/>
              </w:tcPr>
              <w:p w:rsidR="00156DD6" w:rsidRDefault="00D51F5F">
                <w:pPr>
                  <w:jc w:val="center"/>
                  <w:rPr>
                    <w:color w:val="000000" w:themeColor="text1"/>
                  </w:rPr>
                </w:pPr>
                <w:r>
                  <w:rPr>
                    <w:rFonts w:hint="eastAsia"/>
                    <w:color w:val="000000" w:themeColor="text1"/>
                  </w:rPr>
                  <w:t>合同资产期末余额</w:t>
                </w:r>
              </w:p>
            </w:tc>
          </w:sdtContent>
        </w:sdt>
        <w:sdt>
          <w:sdtPr>
            <w:tag w:val="_PLD_d4247a30e2224be4b066f9eb3e8b3980"/>
            <w:id w:val="-902670855"/>
          </w:sdtPr>
          <w:sdtEndPr/>
          <w:sdtContent>
            <w:tc>
              <w:tcPr>
                <w:tcW w:w="833" w:type="pct"/>
                <w:vAlign w:val="center"/>
              </w:tcPr>
              <w:p w:rsidR="00156DD6" w:rsidRDefault="00D51F5F">
                <w:pPr>
                  <w:jc w:val="center"/>
                  <w:rPr>
                    <w:color w:val="000000" w:themeColor="text1"/>
                  </w:rPr>
                </w:pPr>
                <w:r>
                  <w:rPr>
                    <w:rFonts w:hint="eastAsia"/>
                    <w:color w:val="000000" w:themeColor="text1"/>
                  </w:rPr>
                  <w:t>应收账款和合同资产期末余额</w:t>
                </w:r>
              </w:p>
            </w:tc>
          </w:sdtContent>
        </w:sdt>
        <w:sdt>
          <w:sdtPr>
            <w:tag w:val="_PLD_973a396aab204cf2abdf2f7f405b9071"/>
            <w:id w:val="-1710563525"/>
          </w:sdtPr>
          <w:sdtEndPr/>
          <w:sdtContent>
            <w:tc>
              <w:tcPr>
                <w:tcW w:w="833" w:type="pct"/>
                <w:vAlign w:val="center"/>
              </w:tcPr>
              <w:p w:rsidR="00156DD6" w:rsidRDefault="00D51F5F">
                <w:pPr>
                  <w:jc w:val="center"/>
                  <w:rPr>
                    <w:color w:val="000000" w:themeColor="text1"/>
                  </w:rPr>
                </w:pPr>
                <w:r>
                  <w:rPr>
                    <w:rFonts w:hint="eastAsia"/>
                    <w:color w:val="000000" w:themeColor="text1"/>
                  </w:rPr>
                  <w:t>占应收账款和合同资产期末余额合计数的比例（</w:t>
                </w:r>
                <w:r>
                  <w:rPr>
                    <w:rFonts w:hint="eastAsia"/>
                    <w:color w:val="000000" w:themeColor="text1"/>
                  </w:rPr>
                  <w:t>%</w:t>
                </w:r>
                <w:r>
                  <w:rPr>
                    <w:rFonts w:hint="eastAsia"/>
                    <w:color w:val="000000" w:themeColor="text1"/>
                  </w:rPr>
                  <w:t>）</w:t>
                </w:r>
              </w:p>
            </w:tc>
          </w:sdtContent>
        </w:sdt>
        <w:sdt>
          <w:sdtPr>
            <w:tag w:val="_PLD_839fe6b484114addbcaeef57270c8a21"/>
            <w:id w:val="1365938867"/>
          </w:sdtPr>
          <w:sdtEndPr/>
          <w:sdtContent>
            <w:tc>
              <w:tcPr>
                <w:tcW w:w="832" w:type="pct"/>
                <w:vAlign w:val="center"/>
              </w:tcPr>
              <w:p w:rsidR="00156DD6" w:rsidRDefault="00D51F5F">
                <w:pPr>
                  <w:jc w:val="center"/>
                  <w:rPr>
                    <w:color w:val="000000" w:themeColor="text1"/>
                  </w:rPr>
                </w:pPr>
                <w:r>
                  <w:rPr>
                    <w:rFonts w:hint="eastAsia"/>
                    <w:color w:val="000000" w:themeColor="text1"/>
                  </w:rPr>
                  <w:t>坏账准备期末余额</w:t>
                </w:r>
              </w:p>
            </w:tc>
          </w:sdtContent>
        </w:sdt>
      </w:tr>
      <w:tr w:rsidR="00156DD6">
        <w:trPr>
          <w:cantSplit/>
        </w:trPr>
        <w:tc>
          <w:tcPr>
            <w:tcW w:w="834" w:type="pct"/>
          </w:tcPr>
          <w:p w:rsidR="00156DD6" w:rsidRDefault="00D51F5F">
            <w:pPr>
              <w:ind w:right="105"/>
            </w:pPr>
            <w:r>
              <w:rPr>
                <w:rFonts w:hint="eastAsia"/>
              </w:rPr>
              <w:t>客户</w:t>
            </w:r>
            <w:r>
              <w:rPr>
                <w:rFonts w:hint="eastAsia"/>
              </w:rPr>
              <w:t>1</w:t>
            </w:r>
          </w:p>
        </w:tc>
        <w:tc>
          <w:tcPr>
            <w:tcW w:w="834" w:type="pct"/>
            <w:vAlign w:val="center"/>
          </w:tcPr>
          <w:p w:rsidR="00156DD6" w:rsidRDefault="00D51F5F">
            <w:pPr>
              <w:ind w:right="73"/>
              <w:jc w:val="right"/>
            </w:pPr>
            <w:r>
              <w:rPr>
                <w:rFonts w:hint="eastAsia"/>
              </w:rPr>
              <w:t xml:space="preserve"> 87,856,241.64 </w:t>
            </w:r>
          </w:p>
        </w:tc>
        <w:tc>
          <w:tcPr>
            <w:tcW w:w="834" w:type="pct"/>
            <w:vAlign w:val="center"/>
          </w:tcPr>
          <w:p w:rsidR="00156DD6" w:rsidRDefault="00156DD6">
            <w:pPr>
              <w:jc w:val="right"/>
            </w:pPr>
          </w:p>
        </w:tc>
        <w:tc>
          <w:tcPr>
            <w:tcW w:w="833" w:type="pct"/>
            <w:vAlign w:val="center"/>
          </w:tcPr>
          <w:p w:rsidR="00156DD6" w:rsidRDefault="00D51F5F">
            <w:pPr>
              <w:jc w:val="right"/>
            </w:pPr>
            <w:r>
              <w:rPr>
                <w:rFonts w:hint="eastAsia"/>
              </w:rPr>
              <w:t>87,856,241.64</w:t>
            </w:r>
          </w:p>
        </w:tc>
        <w:tc>
          <w:tcPr>
            <w:tcW w:w="833" w:type="pct"/>
            <w:vAlign w:val="center"/>
          </w:tcPr>
          <w:p w:rsidR="00156DD6" w:rsidRDefault="00D51F5F">
            <w:pPr>
              <w:jc w:val="right"/>
            </w:pPr>
            <w:r>
              <w:rPr>
                <w:rFonts w:hint="eastAsia"/>
              </w:rPr>
              <w:t>4.50</w:t>
            </w:r>
          </w:p>
        </w:tc>
        <w:tc>
          <w:tcPr>
            <w:tcW w:w="832" w:type="pct"/>
            <w:vAlign w:val="center"/>
          </w:tcPr>
          <w:p w:rsidR="00156DD6" w:rsidRDefault="00D51F5F">
            <w:pPr>
              <w:jc w:val="right"/>
            </w:pPr>
            <w:r>
              <w:rPr>
                <w:rFonts w:hint="eastAsia"/>
              </w:rPr>
              <w:t>7,258,288.47</w:t>
            </w:r>
          </w:p>
        </w:tc>
      </w:tr>
      <w:tr w:rsidR="00156DD6">
        <w:trPr>
          <w:cantSplit/>
        </w:trPr>
        <w:tc>
          <w:tcPr>
            <w:tcW w:w="834" w:type="pct"/>
          </w:tcPr>
          <w:p w:rsidR="00156DD6" w:rsidRDefault="00D51F5F">
            <w:pPr>
              <w:ind w:right="105"/>
            </w:pPr>
            <w:r>
              <w:rPr>
                <w:rFonts w:hint="eastAsia"/>
              </w:rPr>
              <w:t>客户</w:t>
            </w:r>
            <w:r>
              <w:rPr>
                <w:rFonts w:hint="eastAsia"/>
              </w:rPr>
              <w:t>2</w:t>
            </w:r>
          </w:p>
        </w:tc>
        <w:tc>
          <w:tcPr>
            <w:tcW w:w="834" w:type="pct"/>
            <w:vAlign w:val="center"/>
          </w:tcPr>
          <w:p w:rsidR="00156DD6" w:rsidRDefault="00D51F5F">
            <w:pPr>
              <w:ind w:right="73"/>
              <w:jc w:val="right"/>
            </w:pPr>
            <w:r>
              <w:rPr>
                <w:rFonts w:hint="eastAsia"/>
              </w:rPr>
              <w:t xml:space="preserve"> 36,550,000.00 </w:t>
            </w:r>
          </w:p>
        </w:tc>
        <w:tc>
          <w:tcPr>
            <w:tcW w:w="834" w:type="pct"/>
            <w:vAlign w:val="center"/>
          </w:tcPr>
          <w:p w:rsidR="00156DD6" w:rsidRDefault="00156DD6">
            <w:pPr>
              <w:jc w:val="right"/>
            </w:pPr>
          </w:p>
        </w:tc>
        <w:tc>
          <w:tcPr>
            <w:tcW w:w="833" w:type="pct"/>
            <w:vAlign w:val="center"/>
          </w:tcPr>
          <w:p w:rsidR="00156DD6" w:rsidRDefault="00D51F5F">
            <w:pPr>
              <w:jc w:val="right"/>
            </w:pPr>
            <w:r>
              <w:rPr>
                <w:rFonts w:hint="eastAsia"/>
              </w:rPr>
              <w:t>36,550,000.00</w:t>
            </w:r>
          </w:p>
        </w:tc>
        <w:tc>
          <w:tcPr>
            <w:tcW w:w="833" w:type="pct"/>
            <w:vAlign w:val="center"/>
          </w:tcPr>
          <w:p w:rsidR="00156DD6" w:rsidRDefault="00D51F5F">
            <w:pPr>
              <w:jc w:val="right"/>
            </w:pPr>
            <w:r>
              <w:rPr>
                <w:rFonts w:hint="eastAsia"/>
              </w:rPr>
              <w:t>1.87</w:t>
            </w:r>
          </w:p>
        </w:tc>
        <w:tc>
          <w:tcPr>
            <w:tcW w:w="832" w:type="pct"/>
            <w:vAlign w:val="center"/>
          </w:tcPr>
          <w:p w:rsidR="00156DD6" w:rsidRDefault="00D51F5F">
            <w:pPr>
              <w:jc w:val="right"/>
            </w:pPr>
            <w:r>
              <w:rPr>
                <w:rFonts w:hint="eastAsia"/>
              </w:rPr>
              <w:t>2,396,887.50</w:t>
            </w:r>
          </w:p>
        </w:tc>
      </w:tr>
      <w:tr w:rsidR="00156DD6">
        <w:trPr>
          <w:cantSplit/>
        </w:trPr>
        <w:tc>
          <w:tcPr>
            <w:tcW w:w="834" w:type="pct"/>
          </w:tcPr>
          <w:p w:rsidR="00156DD6" w:rsidRDefault="00D51F5F">
            <w:pPr>
              <w:ind w:right="105"/>
            </w:pPr>
            <w:r>
              <w:rPr>
                <w:rFonts w:hint="eastAsia"/>
              </w:rPr>
              <w:t>客户</w:t>
            </w:r>
            <w:r>
              <w:rPr>
                <w:rFonts w:hint="eastAsia"/>
              </w:rPr>
              <w:t>3</w:t>
            </w:r>
          </w:p>
        </w:tc>
        <w:tc>
          <w:tcPr>
            <w:tcW w:w="834" w:type="pct"/>
            <w:vAlign w:val="center"/>
          </w:tcPr>
          <w:p w:rsidR="00156DD6" w:rsidRDefault="00D51F5F">
            <w:pPr>
              <w:ind w:right="73"/>
              <w:jc w:val="right"/>
            </w:pPr>
            <w:r>
              <w:rPr>
                <w:rFonts w:hint="eastAsia"/>
              </w:rPr>
              <w:t xml:space="preserve"> 35,872,000.00 </w:t>
            </w:r>
          </w:p>
        </w:tc>
        <w:tc>
          <w:tcPr>
            <w:tcW w:w="834" w:type="pct"/>
            <w:vAlign w:val="center"/>
          </w:tcPr>
          <w:p w:rsidR="00156DD6" w:rsidRDefault="00156DD6">
            <w:pPr>
              <w:jc w:val="right"/>
            </w:pPr>
          </w:p>
        </w:tc>
        <w:tc>
          <w:tcPr>
            <w:tcW w:w="833" w:type="pct"/>
            <w:vAlign w:val="center"/>
          </w:tcPr>
          <w:p w:rsidR="00156DD6" w:rsidRDefault="00D51F5F">
            <w:pPr>
              <w:jc w:val="right"/>
            </w:pPr>
            <w:r>
              <w:rPr>
                <w:rFonts w:hint="eastAsia"/>
              </w:rPr>
              <w:t>35,872,000.00</w:t>
            </w:r>
          </w:p>
        </w:tc>
        <w:tc>
          <w:tcPr>
            <w:tcW w:w="833" w:type="pct"/>
            <w:vAlign w:val="center"/>
          </w:tcPr>
          <w:p w:rsidR="00156DD6" w:rsidRDefault="00D51F5F">
            <w:pPr>
              <w:jc w:val="right"/>
            </w:pPr>
            <w:r>
              <w:rPr>
                <w:rFonts w:hint="eastAsia"/>
              </w:rPr>
              <w:t>1.84</w:t>
            </w:r>
          </w:p>
        </w:tc>
        <w:tc>
          <w:tcPr>
            <w:tcW w:w="832" w:type="pct"/>
            <w:vAlign w:val="center"/>
          </w:tcPr>
          <w:p w:rsidR="00156DD6" w:rsidRDefault="00D51F5F">
            <w:pPr>
              <w:jc w:val="right"/>
            </w:pPr>
            <w:r>
              <w:rPr>
                <w:rFonts w:hint="eastAsia"/>
              </w:rPr>
              <w:t>1,793,600.00</w:t>
            </w:r>
          </w:p>
        </w:tc>
      </w:tr>
      <w:tr w:rsidR="00156DD6">
        <w:trPr>
          <w:cantSplit/>
        </w:trPr>
        <w:tc>
          <w:tcPr>
            <w:tcW w:w="834" w:type="pct"/>
          </w:tcPr>
          <w:p w:rsidR="00156DD6" w:rsidRDefault="00D51F5F">
            <w:pPr>
              <w:ind w:right="105"/>
            </w:pPr>
            <w:r>
              <w:rPr>
                <w:rFonts w:hint="eastAsia"/>
              </w:rPr>
              <w:t>客户</w:t>
            </w:r>
            <w:r>
              <w:rPr>
                <w:rFonts w:hint="eastAsia"/>
              </w:rPr>
              <w:t>4</w:t>
            </w:r>
          </w:p>
        </w:tc>
        <w:tc>
          <w:tcPr>
            <w:tcW w:w="834" w:type="pct"/>
            <w:vAlign w:val="center"/>
          </w:tcPr>
          <w:p w:rsidR="00156DD6" w:rsidRDefault="00D51F5F">
            <w:pPr>
              <w:ind w:right="73"/>
              <w:jc w:val="right"/>
            </w:pPr>
            <w:r>
              <w:rPr>
                <w:rFonts w:hint="eastAsia"/>
              </w:rPr>
              <w:t xml:space="preserve"> 24,272,269.20 </w:t>
            </w:r>
          </w:p>
        </w:tc>
        <w:tc>
          <w:tcPr>
            <w:tcW w:w="834" w:type="pct"/>
            <w:vAlign w:val="center"/>
          </w:tcPr>
          <w:p w:rsidR="00156DD6" w:rsidRDefault="00156DD6">
            <w:pPr>
              <w:jc w:val="right"/>
            </w:pPr>
          </w:p>
        </w:tc>
        <w:tc>
          <w:tcPr>
            <w:tcW w:w="833" w:type="pct"/>
            <w:vAlign w:val="center"/>
          </w:tcPr>
          <w:p w:rsidR="00156DD6" w:rsidRDefault="00D51F5F">
            <w:pPr>
              <w:jc w:val="right"/>
            </w:pPr>
            <w:r>
              <w:rPr>
                <w:rFonts w:hint="eastAsia"/>
              </w:rPr>
              <w:t>24,272,269.20</w:t>
            </w:r>
          </w:p>
        </w:tc>
        <w:tc>
          <w:tcPr>
            <w:tcW w:w="833" w:type="pct"/>
            <w:vAlign w:val="center"/>
          </w:tcPr>
          <w:p w:rsidR="00156DD6" w:rsidRDefault="00D51F5F">
            <w:pPr>
              <w:jc w:val="right"/>
            </w:pPr>
            <w:r>
              <w:rPr>
                <w:rFonts w:hint="eastAsia"/>
              </w:rPr>
              <w:t>1.24</w:t>
            </w:r>
          </w:p>
        </w:tc>
        <w:tc>
          <w:tcPr>
            <w:tcW w:w="832" w:type="pct"/>
            <w:vAlign w:val="center"/>
          </w:tcPr>
          <w:p w:rsidR="00156DD6" w:rsidRDefault="00D51F5F">
            <w:pPr>
              <w:jc w:val="right"/>
            </w:pPr>
            <w:r>
              <w:rPr>
                <w:rFonts w:hint="eastAsia"/>
              </w:rPr>
              <w:t>2,199,218.32</w:t>
            </w:r>
          </w:p>
        </w:tc>
      </w:tr>
      <w:tr w:rsidR="00156DD6">
        <w:trPr>
          <w:cantSplit/>
        </w:trPr>
        <w:tc>
          <w:tcPr>
            <w:tcW w:w="834" w:type="pct"/>
          </w:tcPr>
          <w:p w:rsidR="00156DD6" w:rsidRDefault="00D51F5F">
            <w:pPr>
              <w:ind w:right="105"/>
            </w:pPr>
            <w:r>
              <w:rPr>
                <w:rFonts w:hint="eastAsia"/>
              </w:rPr>
              <w:t>客户</w:t>
            </w:r>
            <w:r>
              <w:rPr>
                <w:rFonts w:hint="eastAsia"/>
              </w:rPr>
              <w:t>5</w:t>
            </w:r>
          </w:p>
        </w:tc>
        <w:tc>
          <w:tcPr>
            <w:tcW w:w="834" w:type="pct"/>
            <w:vAlign w:val="center"/>
          </w:tcPr>
          <w:p w:rsidR="00156DD6" w:rsidRDefault="00D51F5F">
            <w:pPr>
              <w:ind w:right="73"/>
              <w:jc w:val="right"/>
            </w:pPr>
            <w:r>
              <w:rPr>
                <w:rFonts w:hint="eastAsia"/>
              </w:rPr>
              <w:t xml:space="preserve"> 21,666,858.41 </w:t>
            </w:r>
          </w:p>
        </w:tc>
        <w:tc>
          <w:tcPr>
            <w:tcW w:w="834" w:type="pct"/>
            <w:vAlign w:val="center"/>
          </w:tcPr>
          <w:p w:rsidR="00156DD6" w:rsidRDefault="00156DD6">
            <w:pPr>
              <w:jc w:val="right"/>
            </w:pPr>
          </w:p>
        </w:tc>
        <w:tc>
          <w:tcPr>
            <w:tcW w:w="833" w:type="pct"/>
            <w:vAlign w:val="center"/>
          </w:tcPr>
          <w:p w:rsidR="00156DD6" w:rsidRDefault="00D51F5F">
            <w:pPr>
              <w:jc w:val="right"/>
            </w:pPr>
            <w:r>
              <w:rPr>
                <w:rFonts w:hint="eastAsia"/>
              </w:rPr>
              <w:t>21,666,858.41</w:t>
            </w:r>
          </w:p>
        </w:tc>
        <w:tc>
          <w:tcPr>
            <w:tcW w:w="833" w:type="pct"/>
            <w:vAlign w:val="center"/>
          </w:tcPr>
          <w:p w:rsidR="00156DD6" w:rsidRDefault="00D51F5F">
            <w:pPr>
              <w:jc w:val="right"/>
            </w:pPr>
            <w:r>
              <w:rPr>
                <w:rFonts w:hint="eastAsia"/>
              </w:rPr>
              <w:t>1.11</w:t>
            </w:r>
          </w:p>
        </w:tc>
        <w:tc>
          <w:tcPr>
            <w:tcW w:w="832" w:type="pct"/>
            <w:vAlign w:val="center"/>
          </w:tcPr>
          <w:p w:rsidR="00156DD6" w:rsidRDefault="00D51F5F">
            <w:pPr>
              <w:jc w:val="right"/>
            </w:pPr>
            <w:r>
              <w:rPr>
                <w:rFonts w:hint="eastAsia"/>
              </w:rPr>
              <w:t>1,083,342.92</w:t>
            </w:r>
          </w:p>
        </w:tc>
      </w:tr>
      <w:tr w:rsidR="00156DD6">
        <w:trPr>
          <w:cantSplit/>
        </w:trPr>
        <w:tc>
          <w:tcPr>
            <w:tcW w:w="834" w:type="pct"/>
          </w:tcPr>
          <w:p w:rsidR="00156DD6" w:rsidRDefault="00D51F5F">
            <w:pPr>
              <w:ind w:right="105"/>
              <w:jc w:val="center"/>
              <w:rPr>
                <w:color w:val="000000" w:themeColor="text1"/>
              </w:rPr>
            </w:pPr>
            <w:r>
              <w:rPr>
                <w:rFonts w:hint="eastAsia"/>
              </w:rPr>
              <w:t>合计</w:t>
            </w:r>
          </w:p>
        </w:tc>
        <w:tc>
          <w:tcPr>
            <w:tcW w:w="834" w:type="pct"/>
            <w:vAlign w:val="center"/>
          </w:tcPr>
          <w:p w:rsidR="00156DD6" w:rsidRDefault="00D51F5F">
            <w:pPr>
              <w:ind w:right="73"/>
              <w:jc w:val="right"/>
            </w:pPr>
            <w:r>
              <w:rPr>
                <w:rFonts w:hint="eastAsia"/>
              </w:rPr>
              <w:t xml:space="preserve"> 206,217,369.25 </w:t>
            </w:r>
          </w:p>
        </w:tc>
        <w:tc>
          <w:tcPr>
            <w:tcW w:w="834" w:type="pct"/>
            <w:vAlign w:val="center"/>
          </w:tcPr>
          <w:p w:rsidR="00156DD6" w:rsidRDefault="00156DD6">
            <w:pPr>
              <w:jc w:val="right"/>
            </w:pPr>
          </w:p>
        </w:tc>
        <w:tc>
          <w:tcPr>
            <w:tcW w:w="833" w:type="pct"/>
            <w:vAlign w:val="center"/>
          </w:tcPr>
          <w:p w:rsidR="00156DD6" w:rsidRDefault="00D51F5F">
            <w:pPr>
              <w:jc w:val="right"/>
            </w:pPr>
            <w:r>
              <w:rPr>
                <w:rFonts w:hint="eastAsia"/>
              </w:rPr>
              <w:t>206,217,369.25</w:t>
            </w:r>
          </w:p>
        </w:tc>
        <w:tc>
          <w:tcPr>
            <w:tcW w:w="833" w:type="pct"/>
            <w:vAlign w:val="center"/>
          </w:tcPr>
          <w:p w:rsidR="00156DD6" w:rsidRDefault="00D51F5F">
            <w:pPr>
              <w:jc w:val="right"/>
            </w:pPr>
            <w:r>
              <w:rPr>
                <w:rFonts w:hint="eastAsia"/>
              </w:rPr>
              <w:t>10.56</w:t>
            </w:r>
          </w:p>
        </w:tc>
        <w:tc>
          <w:tcPr>
            <w:tcW w:w="832" w:type="pct"/>
            <w:vAlign w:val="center"/>
          </w:tcPr>
          <w:p w:rsidR="00156DD6" w:rsidRDefault="00D51F5F">
            <w:pPr>
              <w:jc w:val="right"/>
            </w:pPr>
            <w:r>
              <w:rPr>
                <w:rFonts w:hint="eastAsia"/>
              </w:rPr>
              <w:t>14,731,337.21</w:t>
            </w:r>
          </w:p>
        </w:tc>
      </w:tr>
    </w:tbl>
    <w:p w:rsidR="00156DD6" w:rsidRDefault="00D51F5F">
      <w:pPr>
        <w:snapToGrid w:val="0"/>
        <w:spacing w:line="240" w:lineRule="atLeast"/>
        <w:rPr>
          <w:color w:val="000000" w:themeColor="text1"/>
        </w:rPr>
      </w:pPr>
      <w:r>
        <w:rPr>
          <w:rFonts w:hint="eastAsia"/>
          <w:color w:val="000000" w:themeColor="text1"/>
        </w:rPr>
        <w:t>其他说明</w:t>
      </w:r>
    </w:p>
    <w:sdt>
      <w:sdtPr>
        <w:rPr>
          <w:color w:val="000000" w:themeColor="text1"/>
        </w:rPr>
        <w:alias w:val="按欠款方归集的期末余额前五名的应收账款情况的说明"/>
        <w:tag w:val="_GBC_5c27d22f220747b1ae5c245364a28655"/>
        <w:id w:val="1016666098"/>
        <w:placeholder>
          <w:docPart w:val="GBC22222222222222222222222222222"/>
        </w:placeholder>
      </w:sdtPr>
      <w:sdtEndPr/>
      <w:sdtContent>
        <w:p w:rsidR="00156DD6" w:rsidRDefault="00D51F5F">
          <w:pPr>
            <w:snapToGrid w:val="0"/>
            <w:spacing w:line="240" w:lineRule="atLeast"/>
            <w:rPr>
              <w:color w:val="000000" w:themeColor="text1"/>
            </w:rPr>
          </w:pPr>
          <w:r>
            <w:rPr>
              <w:rFonts w:hint="eastAsia"/>
              <w:color w:val="000000" w:themeColor="text1"/>
            </w:rPr>
            <w:t>无</w:t>
          </w:r>
        </w:p>
      </w:sdtContent>
    </w:sdt>
    <w:bookmarkEnd w:id="238"/>
    <w:p w:rsidR="00156DD6" w:rsidRDefault="00D51F5F">
      <w:pPr>
        <w:snapToGrid w:val="0"/>
        <w:spacing w:line="240" w:lineRule="atLeast"/>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应收账款其他说明[双击切换]"/>
        <w:tag w:val="_GBC_c06434ba43c5400a80d620a65b730fd9"/>
        <w:id w:val="-78912923"/>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rPr>
          <w:color w:val="000000" w:themeColor="text1"/>
        </w:rPr>
        <w:sectPr w:rsidR="00156DD6">
          <w:pgSz w:w="16838" w:h="11906" w:orient="landscape"/>
          <w:pgMar w:top="1797" w:right="1525" w:bottom="1276" w:left="1440" w:header="856" w:footer="992" w:gutter="0"/>
          <w:cols w:space="425"/>
          <w:docGrid w:linePitch="312"/>
        </w:sectPr>
      </w:pPr>
    </w:p>
    <w:p w:rsidR="00156DD6" w:rsidRDefault="00D51F5F">
      <w:pPr>
        <w:pStyle w:val="TOC6"/>
        <w:numPr>
          <w:ilvl w:val="0"/>
          <w:numId w:val="43"/>
        </w:numPr>
        <w:rPr>
          <w:color w:val="000000" w:themeColor="text1"/>
          <w:sz w:val="21"/>
          <w:szCs w:val="21"/>
        </w:rPr>
      </w:pPr>
      <w:bookmarkStart w:id="239" w:name="_Hlk10470760"/>
      <w:r>
        <w:rPr>
          <w:color w:val="000000" w:themeColor="text1"/>
          <w:sz w:val="21"/>
          <w:szCs w:val="21"/>
        </w:rPr>
        <w:lastRenderedPageBreak/>
        <w:t>合同资产</w:t>
      </w:r>
    </w:p>
    <w:p w:rsidR="00156DD6" w:rsidRDefault="00D51F5F">
      <w:pPr>
        <w:pStyle w:val="Style47"/>
        <w:numPr>
          <w:ilvl w:val="3"/>
          <w:numId w:val="46"/>
        </w:numPr>
        <w:ind w:left="426" w:hanging="426"/>
        <w:rPr>
          <w:rFonts w:ascii="宋体" w:hAnsi="宋体"/>
          <w:color w:val="000000" w:themeColor="text1"/>
          <w:sz w:val="21"/>
          <w:szCs w:val="21"/>
        </w:rPr>
      </w:pPr>
      <w:r>
        <w:rPr>
          <w:rFonts w:ascii="宋体" w:hAnsi="宋体" w:hint="eastAsia"/>
          <w:color w:val="000000" w:themeColor="text1"/>
          <w:sz w:val="21"/>
          <w:szCs w:val="21"/>
        </w:rPr>
        <w:t>合同资产情况</w:t>
      </w:r>
    </w:p>
    <w:sdt>
      <w:sdtPr>
        <w:rPr>
          <w:color w:val="000000" w:themeColor="text1"/>
        </w:rPr>
        <w:alias w:val="是否适用：合同资产情况[双击切换]"/>
        <w:tag w:val="_GBC_d77156d135184e21a21238cac863494c"/>
        <w:id w:val="-136127243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46"/>
        </w:numPr>
        <w:ind w:left="426" w:hanging="426"/>
        <w:rPr>
          <w:rFonts w:ascii="宋体" w:hAnsi="宋体"/>
          <w:color w:val="000000" w:themeColor="text1"/>
          <w:sz w:val="21"/>
          <w:szCs w:val="21"/>
        </w:rPr>
      </w:pPr>
      <w:bookmarkStart w:id="240" w:name="_Hlk10470932"/>
      <w:bookmarkStart w:id="241" w:name="_Hlk10470942"/>
      <w:bookmarkEnd w:id="239"/>
      <w:r>
        <w:rPr>
          <w:rFonts w:ascii="宋体" w:hAnsi="宋体" w:hint="eastAsia"/>
          <w:color w:val="000000" w:themeColor="text1"/>
          <w:sz w:val="21"/>
          <w:szCs w:val="21"/>
        </w:rPr>
        <w:t>报告期内账面价值发生重大变动的金额和原因</w:t>
      </w:r>
      <w:bookmarkEnd w:id="240"/>
    </w:p>
    <w:sdt>
      <w:sdtPr>
        <w:rPr>
          <w:color w:val="000000" w:themeColor="text1"/>
        </w:rPr>
        <w:alias w:val="是否适用：合同资产账面价值发生重大变动[双击切换]"/>
        <w:tag w:val="_GBC_4cdeacc1c4f24682b8d7fe35b510e9c1"/>
        <w:id w:val="-95547881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46"/>
        </w:numPr>
        <w:ind w:left="426" w:hanging="426"/>
        <w:rPr>
          <w:rFonts w:ascii="宋体" w:hAnsi="宋体"/>
          <w:color w:val="000000" w:themeColor="text1"/>
          <w:sz w:val="21"/>
          <w:szCs w:val="21"/>
        </w:rPr>
      </w:pPr>
      <w:bookmarkStart w:id="242" w:name="_Hlk153378989"/>
      <w:bookmarkStart w:id="243" w:name="_Hlk167887721"/>
      <w:bookmarkEnd w:id="241"/>
      <w:r>
        <w:rPr>
          <w:rFonts w:ascii="宋体" w:hAnsi="宋体" w:hint="eastAsia"/>
          <w:color w:val="000000" w:themeColor="text1"/>
          <w:sz w:val="21"/>
          <w:szCs w:val="21"/>
        </w:rPr>
        <w:t>按坏账计提方法分类披露</w:t>
      </w:r>
    </w:p>
    <w:sdt>
      <w:sdtPr>
        <w:rPr>
          <w:color w:val="000000" w:themeColor="text1"/>
        </w:rPr>
        <w:alias w:val="是否适用：按坏账计提方法分类披露[双击切换]"/>
        <w:tag w:val="_GBC_2da6ba8f38a7432c80d6aa0ccacbb195"/>
        <w:id w:val="-158336603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c0b8b61f599949688a3e43c3f6163421"/>
        <w:id w:val="66482607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027a4c6e526b4492855a75bfb12d58be"/>
        <w:id w:val="54981145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ascii="Calibri" w:hAnsi="Calibri" w:cs="Times New Roman"/>
          <w:color w:val="000000" w:themeColor="text1"/>
        </w:rPr>
      </w:pPr>
      <w:r>
        <w:rPr>
          <w:rFonts w:ascii="Calibri" w:hAnsi="Calibri" w:cs="Times New Roman" w:hint="eastAsia"/>
          <w:color w:val="000000" w:themeColor="text1"/>
        </w:rPr>
        <w:t>按组合计提坏账准备：</w:t>
      </w:r>
    </w:p>
    <w:sdt>
      <w:sdtPr>
        <w:rPr>
          <w:rFonts w:ascii="Calibri" w:hAnsi="Calibri" w:cs="Times New Roman"/>
          <w:color w:val="000000" w:themeColor="text1"/>
        </w:rPr>
        <w:alias w:val="是否适用：按组合计提坏账准备的详细情况[双击切换]"/>
        <w:tag w:val="_GBC_059f7dfd74cd41d4b2b8918cfc3d067f"/>
        <w:id w:val="871036324"/>
        <w:placeholder>
          <w:docPart w:val="GBC22222222222222222222222222222"/>
        </w:placeholder>
      </w:sdtPr>
      <w:sdtEndPr/>
      <w:sdtContent>
        <w:p w:rsidR="00156DD6" w:rsidRDefault="00D51F5F">
          <w:pPr>
            <w:rPr>
              <w:color w:val="000000" w:themeColor="text1"/>
            </w:rPr>
          </w:pP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□适用</w:instrText>
          </w:r>
          <w:r>
            <w:rPr>
              <w:rFonts w:cs="Times New Roman" w:hint="eastAsia"/>
              <w:color w:val="000000" w:themeColor="text1"/>
            </w:rPr>
            <w:instrText xml:space="preserve"> </w:instrText>
          </w:r>
          <w:r>
            <w:rPr>
              <w:rFonts w:cs="Times New Roman"/>
              <w:color w:val="000000" w:themeColor="text1"/>
            </w:rPr>
            <w:fldChar w:fldCharType="end"/>
          </w: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√不适用</w:instrText>
          </w:r>
          <w:r>
            <w:rPr>
              <w:rFonts w:cs="Times New Roman" w:hint="eastAsia"/>
              <w:color w:val="000000" w:themeColor="text1"/>
            </w:rPr>
            <w:instrText xml:space="preserve"> </w:instrText>
          </w:r>
          <w:r>
            <w:rPr>
              <w:rFonts w:cs="Times New Roman"/>
              <w:color w:val="000000" w:themeColor="text1"/>
            </w:rPr>
            <w:fldChar w:fldCharType="end"/>
          </w:r>
        </w:p>
      </w:sdtContent>
    </w:sdt>
    <w:p w:rsidR="00156DD6" w:rsidRDefault="00D51F5F">
      <w:pPr>
        <w:rPr>
          <w:rFonts w:cstheme="minorBidi"/>
          <w:color w:val="000000" w:themeColor="text1"/>
        </w:rPr>
      </w:pPr>
      <w:bookmarkStart w:id="244" w:name="_Hlk154135145"/>
      <w:bookmarkStart w:id="245" w:name="_Hlk153379126"/>
      <w:bookmarkEnd w:id="242"/>
      <w:r>
        <w:rPr>
          <w:rFonts w:cstheme="minorBidi" w:hint="eastAsia"/>
          <w:color w:val="000000" w:themeColor="text1"/>
        </w:rPr>
        <w:t>按预期信用损失一般模型计提坏账准备</w:t>
      </w:r>
    </w:p>
    <w:sdt>
      <w:sdtPr>
        <w:rPr>
          <w:rFonts w:cstheme="minorBidi"/>
          <w:color w:val="000000" w:themeColor="text1"/>
        </w:rPr>
        <w:alias w:val="是否适用：按预期信用损失一般模型计提坏账准备[双击切换]"/>
        <w:tag w:val="_GBC_9ccc97f60d514bd1ad20e654db46063f"/>
        <w:id w:val="-125635793"/>
        <w:placeholder>
          <w:docPart w:val="GBC22222222222222222222222222222"/>
        </w:placeholder>
      </w:sdtPr>
      <w:sdtEndPr/>
      <w:sdtContent>
        <w:p w:rsidR="00156DD6" w:rsidRDefault="00D51F5F">
          <w:pPr>
            <w:rPr>
              <w:rFonts w:cstheme="minorBidi"/>
              <w:color w:val="000000" w:themeColor="text1"/>
            </w:rPr>
          </w:pP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□适用</w:instrText>
          </w:r>
          <w:r>
            <w:rPr>
              <w:rFonts w:cstheme="minorBidi" w:hint="eastAsia"/>
              <w:color w:val="000000" w:themeColor="text1"/>
            </w:rPr>
            <w:instrText xml:space="preserve"> </w:instrText>
          </w:r>
          <w:r>
            <w:rPr>
              <w:rFonts w:cstheme="minorBidi"/>
              <w:color w:val="000000" w:themeColor="text1"/>
            </w:rPr>
            <w:fldChar w:fldCharType="end"/>
          </w: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√不适用</w:instrText>
          </w:r>
          <w:r>
            <w:rPr>
              <w:rFonts w:cstheme="minorBidi" w:hint="eastAsia"/>
              <w:color w:val="000000" w:themeColor="text1"/>
            </w:rPr>
            <w:instrText xml:space="preserve"> </w:instrText>
          </w:r>
          <w:r>
            <w:rPr>
              <w:rFonts w:cstheme="minorBidi"/>
              <w:color w:val="000000" w:themeColor="text1"/>
            </w:rPr>
            <w:fldChar w:fldCharType="end"/>
          </w:r>
        </w:p>
      </w:sdtContent>
    </w:sdt>
    <w:p w:rsidR="00156DD6" w:rsidRDefault="00D51F5F">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rPr>
        <w:alias w:val="各阶段划分依据和坏账准备计提比例"/>
        <w:tag w:val="_GBC_27f65e0b0d264d76ba6ef36044133df3"/>
        <w:id w:val="-1227301822"/>
        <w:placeholder>
          <w:docPart w:val="GBC22222222222222222222222222222"/>
        </w:placeholder>
      </w:sdtPr>
      <w:sdtEndPr/>
      <w:sdtContent>
        <w:p w:rsidR="00156DD6" w:rsidRDefault="00D51F5F">
          <w:pPr>
            <w:rPr>
              <w:rFonts w:cs="Times New Roman"/>
              <w:color w:val="000000" w:themeColor="text1"/>
            </w:rPr>
          </w:pPr>
          <w:r>
            <w:rPr>
              <w:rFonts w:cs="Times New Roman" w:hint="eastAsia"/>
              <w:color w:val="000000" w:themeColor="text1"/>
            </w:rPr>
            <w:t>无</w:t>
          </w:r>
        </w:p>
      </w:sdtContent>
    </w:sdt>
    <w:p w:rsidR="00156DD6" w:rsidRDefault="00D51F5F">
      <w:pPr>
        <w:pStyle w:val="Style100"/>
        <w:rPr>
          <w:color w:val="000000" w:themeColor="text1"/>
          <w:sz w:val="21"/>
          <w:szCs w:val="21"/>
        </w:rPr>
      </w:pPr>
      <w:r>
        <w:rPr>
          <w:rFonts w:hint="eastAsia"/>
          <w:color w:val="000000" w:themeColor="text1"/>
          <w:sz w:val="21"/>
          <w:szCs w:val="21"/>
        </w:rPr>
        <w:t>对本期发生损失准备变动的合同资产账面余额显著变动的情况说明：</w:t>
      </w:r>
    </w:p>
    <w:sdt>
      <w:sdtPr>
        <w:rPr>
          <w:color w:val="000000" w:themeColor="text1"/>
        </w:rPr>
        <w:alias w:val="是否适用：对本期发生损失准备变动的账面余额显著变动的情况说明[双击切换]"/>
        <w:tag w:val="_GBC_52ea8710f03d45c5bdb89559e11daa51"/>
        <w:id w:val="671306452"/>
        <w:placeholder>
          <w:docPart w:val="GBC22222222222222222222222222222"/>
        </w:placeholder>
      </w:sdtPr>
      <w:sdtEndPr/>
      <w:sdtContent>
        <w:p w:rsidR="00156DD6" w:rsidRDefault="00D51F5F">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46"/>
        </w:numPr>
        <w:ind w:left="426" w:hanging="426"/>
        <w:rPr>
          <w:rFonts w:ascii="宋体" w:hAnsi="宋体"/>
          <w:color w:val="000000" w:themeColor="text1"/>
          <w:sz w:val="21"/>
          <w:szCs w:val="21"/>
        </w:rPr>
      </w:pPr>
      <w:bookmarkStart w:id="246" w:name="_Hlk10470956"/>
      <w:bookmarkStart w:id="247" w:name="_Hlk10470966"/>
      <w:bookmarkEnd w:id="243"/>
      <w:bookmarkEnd w:id="244"/>
      <w:bookmarkEnd w:id="245"/>
      <w:r>
        <w:rPr>
          <w:rFonts w:ascii="宋体" w:hAnsi="宋体" w:hint="eastAsia"/>
          <w:color w:val="000000" w:themeColor="text1"/>
          <w:sz w:val="21"/>
          <w:szCs w:val="21"/>
        </w:rPr>
        <w:t>本期合同资产计提坏账准备情况</w:t>
      </w:r>
      <w:bookmarkEnd w:id="246"/>
    </w:p>
    <w:sdt>
      <w:sdtPr>
        <w:rPr>
          <w:color w:val="000000" w:themeColor="text1"/>
        </w:rPr>
        <w:alias w:val="是否适用：合同资产减值准备[双击切换]"/>
        <w:tag w:val="_GBC_47f239b7a5d442b0a0a358017de09567"/>
        <w:id w:val="-188527136"/>
        <w:placeholder>
          <w:docPart w:val="GBC22222222222222222222222222222"/>
        </w:placeholder>
      </w:sdtPr>
      <w:sdtEndPr/>
      <w:sdtContent>
        <w:p w:rsidR="00156DD6" w:rsidRDefault="00D51F5F">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248" w:name="_Hlk167888739"/>
      <w:bookmarkEnd w:id="247"/>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5a496695d0eb4d6eaee4f7f7f7615f95"/>
        <w:id w:val="-51269427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坏账准备情况的说明"/>
        <w:tag w:val="_GBC_1e07c21bc8844634b0354dd2ff775cf3"/>
        <w:id w:val="-1238247374"/>
        <w:placeholder>
          <w:docPart w:val="GBC22222222222222222222222222222"/>
        </w:placeholder>
      </w:sdtPr>
      <w:sdtEndPr/>
      <w:sdtContent>
        <w:p w:rsidR="00156DD6" w:rsidRDefault="00D51F5F">
          <w:pPr>
            <w:ind w:rightChars="20" w:right="42"/>
            <w:rPr>
              <w:color w:val="000000" w:themeColor="text1"/>
            </w:rPr>
          </w:pPr>
          <w:r>
            <w:rPr>
              <w:rFonts w:hint="eastAsia"/>
              <w:color w:val="000000" w:themeColor="text1"/>
            </w:rPr>
            <w:t>无</w:t>
          </w:r>
        </w:p>
      </w:sdtContent>
    </w:sdt>
    <w:p w:rsidR="00156DD6" w:rsidRDefault="00D51F5F">
      <w:pPr>
        <w:pStyle w:val="Style47"/>
        <w:numPr>
          <w:ilvl w:val="3"/>
          <w:numId w:val="46"/>
        </w:numPr>
        <w:ind w:left="426" w:hanging="426"/>
        <w:rPr>
          <w:rFonts w:ascii="宋体" w:hAnsi="宋体"/>
          <w:color w:val="000000" w:themeColor="text1"/>
          <w:sz w:val="21"/>
          <w:szCs w:val="21"/>
        </w:rPr>
      </w:pPr>
      <w:bookmarkStart w:id="249" w:name="_Hlk167888904"/>
      <w:bookmarkStart w:id="250" w:name="_Hlk153379426"/>
      <w:bookmarkEnd w:id="248"/>
      <w:r>
        <w:rPr>
          <w:rFonts w:ascii="宋体" w:hAnsi="宋体" w:hint="eastAsia"/>
          <w:color w:val="000000" w:themeColor="text1"/>
          <w:sz w:val="21"/>
          <w:szCs w:val="21"/>
        </w:rPr>
        <w:t>本期实际核销的合同资产情况</w:t>
      </w:r>
    </w:p>
    <w:sdt>
      <w:sdtPr>
        <w:rPr>
          <w:color w:val="000000" w:themeColor="text1"/>
        </w:rPr>
        <w:alias w:val="是否适用：实际核销的情况[双击切换]"/>
        <w:tag w:val="_GBC_a2fe224348004dacb76f7686b01b39be"/>
        <w:id w:val="170528385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其中重要的合同资产核销情况</w:t>
      </w:r>
    </w:p>
    <w:sdt>
      <w:sdtPr>
        <w:rPr>
          <w:rFonts w:hint="eastAsia"/>
          <w:color w:val="000000" w:themeColor="text1"/>
        </w:rPr>
        <w:alias w:val="是否适用：重要的核销情况[双击切换]"/>
        <w:tag w:val="_GBC_6bcd1c712b36426ab4d08b134810344a"/>
        <w:id w:val="125587228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合同资产核销说明：</w:t>
      </w:r>
    </w:p>
    <w:sdt>
      <w:sdtPr>
        <w:rPr>
          <w:color w:val="000000" w:themeColor="text1"/>
        </w:rPr>
        <w:alias w:val="是否适用：核销说明[双击切换]"/>
        <w:tag w:val="_GBC_63a73902686f443c9c4dcd3cd18e6da4"/>
        <w:id w:val="1305119009"/>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251" w:name="_Hlk10471002"/>
      <w:bookmarkStart w:id="252" w:name="_Hlk10471011"/>
      <w:bookmarkEnd w:id="249"/>
      <w:bookmarkEnd w:id="250"/>
      <w:r>
        <w:rPr>
          <w:rFonts w:hint="eastAsia"/>
          <w:color w:val="000000" w:themeColor="text1"/>
        </w:rPr>
        <w:t>其他说明：</w:t>
      </w:r>
      <w:bookmarkEnd w:id="251"/>
    </w:p>
    <w:sdt>
      <w:sdtPr>
        <w:rPr>
          <w:color w:val="000000" w:themeColor="text1"/>
        </w:rPr>
        <w:alias w:val="是否适用：合同资产其他说明[双击切换]"/>
        <w:tag w:val="_GBC_06cd3c0f93454d76bd0c7e20322e8a49"/>
        <w:id w:val="48913564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52"/>
    <w:p w:rsidR="00156DD6" w:rsidRDefault="00156DD6">
      <w:pPr>
        <w:rPr>
          <w:color w:val="000000" w:themeColor="text1"/>
        </w:rPr>
        <w:sectPr w:rsidR="00156DD6">
          <w:pgSz w:w="11906" w:h="16838"/>
          <w:pgMar w:top="1525" w:right="1276" w:bottom="1440" w:left="1797" w:header="856" w:footer="992" w:gutter="0"/>
          <w:cols w:space="425"/>
          <w:docGrid w:linePitch="312"/>
        </w:sectPr>
      </w:pPr>
    </w:p>
    <w:p w:rsidR="00156DD6" w:rsidRDefault="00D51F5F">
      <w:pPr>
        <w:pStyle w:val="TOC6"/>
        <w:numPr>
          <w:ilvl w:val="0"/>
          <w:numId w:val="43"/>
        </w:numPr>
        <w:rPr>
          <w:color w:val="000000" w:themeColor="text1"/>
          <w:sz w:val="21"/>
          <w:szCs w:val="22"/>
        </w:rPr>
      </w:pPr>
      <w:bookmarkStart w:id="253" w:name="_Hlk24102175"/>
      <w:bookmarkStart w:id="254" w:name="_Hlk167889313"/>
      <w:r>
        <w:rPr>
          <w:color w:val="000000" w:themeColor="text1"/>
          <w:sz w:val="21"/>
          <w:szCs w:val="22"/>
        </w:rPr>
        <w:lastRenderedPageBreak/>
        <w:t>应收款项融资</w:t>
      </w:r>
    </w:p>
    <w:p w:rsidR="00156DD6" w:rsidRDefault="00D51F5F">
      <w:pPr>
        <w:pStyle w:val="Style47"/>
        <w:numPr>
          <w:ilvl w:val="0"/>
          <w:numId w:val="47"/>
        </w:numPr>
        <w:tabs>
          <w:tab w:val="left" w:pos="360"/>
        </w:tabs>
        <w:ind w:left="0" w:firstLine="0"/>
        <w:rPr>
          <w:color w:val="000000" w:themeColor="text1"/>
          <w:sz w:val="21"/>
          <w:szCs w:val="32"/>
        </w:rPr>
      </w:pPr>
      <w:r>
        <w:rPr>
          <w:rFonts w:hint="eastAsia"/>
          <w:color w:val="000000" w:themeColor="text1"/>
          <w:sz w:val="21"/>
          <w:szCs w:val="32"/>
        </w:rPr>
        <w:t>应收款项融资分类列示</w:t>
      </w:r>
    </w:p>
    <w:sdt>
      <w:sdtPr>
        <w:rPr>
          <w:color w:val="000000" w:themeColor="text1"/>
        </w:rPr>
        <w:alias w:val="是否适用：应收款项融资[双击切换]"/>
        <w:tag w:val="_GBC_ef490af2ae9646548061648e78d3873a"/>
        <w:id w:val="-178564444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ind w:left="420" w:right="-98"/>
        <w:jc w:val="right"/>
        <w:rPr>
          <w:color w:val="000000" w:themeColor="text1"/>
        </w:rPr>
      </w:pPr>
      <w:r>
        <w:rPr>
          <w:rFonts w:hint="eastAsia"/>
          <w:color w:val="000000" w:themeColor="text1"/>
        </w:rPr>
        <w:t>单位：</w:t>
      </w:r>
      <w:sdt>
        <w:sdtPr>
          <w:rPr>
            <w:rFonts w:hint="eastAsia"/>
            <w:color w:val="000000" w:themeColor="text1"/>
          </w:rPr>
          <w:alias w:val="单位：应收款项融资"/>
          <w:tag w:val="_GBC_7cda8ff350bd4c7eba83f28198343ec1"/>
          <w:id w:val="-30099813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应收款项融资"/>
          <w:tag w:val="_GBC_a63c9a5583bd46debcf8ddc8f5c8b5c5"/>
          <w:id w:val="13435901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439"/>
        <w:gridCol w:w="4453"/>
      </w:tblGrid>
      <w:tr w:rsidR="00156DD6">
        <w:bookmarkStart w:id="255" w:name="_Hlk12969247" w:displacedByCustomXml="next"/>
        <w:bookmarkStart w:id="256" w:name="_Hlk13057555" w:displacedByCustomXml="next"/>
        <w:sdt>
          <w:sdtPr>
            <w:tag w:val="_PLD_17a5cb5b46ad4341aab7ca7400bbb71f"/>
            <w:id w:val="-953328275"/>
          </w:sdtPr>
          <w:sdtEndPr/>
          <w:sdtContent>
            <w:tc>
              <w:tcPr>
                <w:tcW w:w="1793" w:type="pct"/>
                <w:vAlign w:val="center"/>
              </w:tcPr>
              <w:p w:rsidR="00156DD6" w:rsidRDefault="00D51F5F">
                <w:pPr>
                  <w:jc w:val="center"/>
                  <w:rPr>
                    <w:color w:val="000000" w:themeColor="text1"/>
                  </w:rPr>
                </w:pPr>
                <w:r>
                  <w:rPr>
                    <w:rFonts w:hint="eastAsia"/>
                    <w:color w:val="000000" w:themeColor="text1"/>
                  </w:rPr>
                  <w:t>项目</w:t>
                </w:r>
              </w:p>
            </w:tc>
          </w:sdtContent>
        </w:sdt>
        <w:sdt>
          <w:sdtPr>
            <w:tag w:val="_PLD_22382bb64684420586d7f6150fc2ba41"/>
            <w:id w:val="1876891938"/>
          </w:sdtPr>
          <w:sdtEndPr/>
          <w:sdtContent>
            <w:tc>
              <w:tcPr>
                <w:tcW w:w="1601"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ea864dd29d6649ad84845cfd97103d69"/>
            <w:id w:val="-1959248620"/>
          </w:sdtPr>
          <w:sdtEndPr/>
          <w:sdtContent>
            <w:tc>
              <w:tcPr>
                <w:tcW w:w="1606"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156DD6">
        <w:tc>
          <w:tcPr>
            <w:tcW w:w="1793" w:type="pct"/>
          </w:tcPr>
          <w:p w:rsidR="00156DD6" w:rsidRDefault="00D51F5F">
            <w:pPr>
              <w:pStyle w:val="Style43"/>
              <w:rPr>
                <w:rFonts w:ascii="宋体" w:hAnsi="宋体" w:cs="宋体"/>
                <w:bCs/>
                <w:color w:val="000000" w:themeColor="text1"/>
                <w:sz w:val="21"/>
                <w:szCs w:val="21"/>
              </w:rPr>
            </w:pPr>
            <w:r>
              <w:rPr>
                <w:rFonts w:ascii="宋体" w:hAnsi="宋体" w:cs="宋体"/>
                <w:bCs/>
                <w:color w:val="000000" w:themeColor="text1"/>
                <w:sz w:val="21"/>
                <w:szCs w:val="21"/>
              </w:rPr>
              <w:t>银行承兑汇票</w:t>
            </w:r>
          </w:p>
        </w:tc>
        <w:tc>
          <w:tcPr>
            <w:tcW w:w="1601" w:type="pct"/>
          </w:tcPr>
          <w:p w:rsidR="00156DD6" w:rsidRDefault="00D51F5F">
            <w:pPr>
              <w:jc w:val="right"/>
            </w:pPr>
            <w:r>
              <w:t xml:space="preserve"> 30,928,889.71 </w:t>
            </w:r>
          </w:p>
        </w:tc>
        <w:tc>
          <w:tcPr>
            <w:tcW w:w="1606" w:type="pct"/>
          </w:tcPr>
          <w:p w:rsidR="00156DD6" w:rsidRDefault="00D51F5F">
            <w:pPr>
              <w:jc w:val="right"/>
            </w:pPr>
            <w:r>
              <w:t xml:space="preserve"> 12,330,215.20 </w:t>
            </w:r>
          </w:p>
        </w:tc>
      </w:tr>
      <w:tr w:rsidR="00156DD6">
        <w:tc>
          <w:tcPr>
            <w:tcW w:w="1793" w:type="pct"/>
          </w:tcPr>
          <w:p w:rsidR="00156DD6" w:rsidRDefault="00D51F5F">
            <w:pPr>
              <w:autoSpaceDE w:val="0"/>
              <w:autoSpaceDN w:val="0"/>
              <w:adjustRightInd w:val="0"/>
              <w:rPr>
                <w:color w:val="000000" w:themeColor="text1"/>
              </w:rPr>
            </w:pPr>
            <w:bookmarkStart w:id="257" w:name="OLE_LINK48"/>
            <w:r>
              <w:rPr>
                <w:rFonts w:hint="eastAsia"/>
                <w:color w:val="000000" w:themeColor="text1"/>
              </w:rPr>
              <w:t>供应链金融电子债权凭证</w:t>
            </w:r>
            <w:bookmarkEnd w:id="257"/>
          </w:p>
        </w:tc>
        <w:tc>
          <w:tcPr>
            <w:tcW w:w="1601" w:type="pct"/>
          </w:tcPr>
          <w:p w:rsidR="00156DD6" w:rsidRDefault="00D51F5F">
            <w:pPr>
              <w:jc w:val="right"/>
            </w:pPr>
            <w:r>
              <w:t xml:space="preserve"> 3,254,946.46 </w:t>
            </w:r>
          </w:p>
        </w:tc>
        <w:tc>
          <w:tcPr>
            <w:tcW w:w="1606" w:type="pct"/>
          </w:tcPr>
          <w:p w:rsidR="00156DD6" w:rsidRDefault="00D51F5F">
            <w:pPr>
              <w:jc w:val="right"/>
            </w:pPr>
            <w:r>
              <w:t xml:space="preserve"> 2,664,955.55 </w:t>
            </w:r>
          </w:p>
        </w:tc>
      </w:tr>
      <w:tr w:rsidR="00156DD6">
        <w:tc>
          <w:tcPr>
            <w:tcW w:w="1793" w:type="pct"/>
            <w:vAlign w:val="center"/>
          </w:tcPr>
          <w:p w:rsidR="00156DD6" w:rsidRDefault="00D51F5F">
            <w:pPr>
              <w:jc w:val="center"/>
              <w:rPr>
                <w:color w:val="000000" w:themeColor="text1"/>
              </w:rPr>
            </w:pPr>
            <w:r>
              <w:rPr>
                <w:rFonts w:hint="eastAsia"/>
                <w:color w:val="000000" w:themeColor="text1"/>
              </w:rPr>
              <w:t>合计</w:t>
            </w:r>
          </w:p>
        </w:tc>
        <w:tc>
          <w:tcPr>
            <w:tcW w:w="1601" w:type="pct"/>
          </w:tcPr>
          <w:p w:rsidR="00156DD6" w:rsidRDefault="00D51F5F">
            <w:pPr>
              <w:jc w:val="right"/>
            </w:pPr>
            <w:r>
              <w:t xml:space="preserve"> 34,183,836.17 </w:t>
            </w:r>
          </w:p>
        </w:tc>
        <w:tc>
          <w:tcPr>
            <w:tcW w:w="1606" w:type="pct"/>
          </w:tcPr>
          <w:p w:rsidR="00156DD6" w:rsidRDefault="00D51F5F">
            <w:pPr>
              <w:jc w:val="right"/>
            </w:pPr>
            <w:r>
              <w:t xml:space="preserve"> 14,995,170.75 </w:t>
            </w:r>
          </w:p>
        </w:tc>
      </w:tr>
    </w:tbl>
    <w:p w:rsidR="00156DD6" w:rsidRDefault="00D51F5F">
      <w:pPr>
        <w:pStyle w:val="Style47"/>
        <w:numPr>
          <w:ilvl w:val="0"/>
          <w:numId w:val="47"/>
        </w:numPr>
        <w:tabs>
          <w:tab w:val="left" w:pos="360"/>
        </w:tabs>
        <w:ind w:left="0" w:firstLine="0"/>
        <w:rPr>
          <w:color w:val="000000" w:themeColor="text1"/>
          <w:sz w:val="21"/>
          <w:szCs w:val="32"/>
        </w:rPr>
      </w:pPr>
      <w:r>
        <w:rPr>
          <w:rFonts w:hint="eastAsia"/>
          <w:color w:val="000000" w:themeColor="text1"/>
          <w:sz w:val="21"/>
          <w:szCs w:val="32"/>
        </w:rPr>
        <w:t>期末公司已质押的应收款项融资</w:t>
      </w:r>
    </w:p>
    <w:sdt>
      <w:sdtPr>
        <w:rPr>
          <w:color w:val="000000" w:themeColor="text1"/>
          <w:sz w:val="22"/>
          <w:szCs w:val="22"/>
        </w:rPr>
        <w:alias w:val="是否适用：期末公司已质押的应收款项融资[双击切换]"/>
        <w:tag w:val="_GBC_be6effae9a0c46449ee5beec6506abc0"/>
        <w:id w:val="-2074497048"/>
        <w:placeholder>
          <w:docPart w:val="GBC22222222222222222222222222222"/>
        </w:placeholder>
      </w:sdtPr>
      <w:sdtEndPr/>
      <w:sdtContent>
        <w:p w:rsidR="00156DD6" w:rsidRDefault="00D51F5F">
          <w:pPr>
            <w:rPr>
              <w:color w:val="000000" w:themeColor="text1"/>
              <w:sz w:val="22"/>
              <w:szCs w:val="22"/>
            </w:rPr>
          </w:pPr>
          <w:r>
            <w:rPr>
              <w:color w:val="000000" w:themeColor="text1"/>
              <w:sz w:val="22"/>
              <w:szCs w:val="22"/>
            </w:rPr>
            <w:fldChar w:fldCharType="begin"/>
          </w:r>
          <w:r>
            <w:rPr>
              <w:rFonts w:hint="eastAsia"/>
              <w:color w:val="000000" w:themeColor="text1"/>
              <w:sz w:val="22"/>
              <w:szCs w:val="22"/>
            </w:rPr>
            <w:instrText xml:space="preserve"> MACROBUTTON  SnrToggleCheckbox </w:instrText>
          </w:r>
          <w:r>
            <w:rPr>
              <w:rFonts w:hint="eastAsia"/>
              <w:color w:val="000000" w:themeColor="text1"/>
              <w:sz w:val="22"/>
              <w:szCs w:val="22"/>
            </w:rPr>
            <w:instrText>□适用</w:instrText>
          </w:r>
          <w:r>
            <w:rPr>
              <w:rFonts w:hint="eastAsia"/>
              <w:color w:val="000000" w:themeColor="text1"/>
              <w:sz w:val="22"/>
              <w:szCs w:val="22"/>
            </w:rPr>
            <w:instrText xml:space="preserve"> </w:instrText>
          </w:r>
          <w:r>
            <w:rPr>
              <w:color w:val="000000" w:themeColor="text1"/>
              <w:sz w:val="22"/>
              <w:szCs w:val="22"/>
            </w:rPr>
            <w:fldChar w:fldCharType="end"/>
          </w:r>
          <w:r>
            <w:rPr>
              <w:color w:val="000000" w:themeColor="text1"/>
              <w:sz w:val="22"/>
              <w:szCs w:val="22"/>
            </w:rPr>
            <w:fldChar w:fldCharType="begin"/>
          </w:r>
          <w:r>
            <w:rPr>
              <w:rFonts w:hint="eastAsia"/>
              <w:color w:val="000000" w:themeColor="text1"/>
              <w:sz w:val="22"/>
              <w:szCs w:val="22"/>
            </w:rPr>
            <w:instrText xml:space="preserve"> MACROBUTTON  SnrToggleCheckbox </w:instrText>
          </w:r>
          <w:r>
            <w:rPr>
              <w:rFonts w:hint="eastAsia"/>
              <w:color w:val="000000" w:themeColor="text1"/>
              <w:sz w:val="22"/>
              <w:szCs w:val="22"/>
            </w:rPr>
            <w:instrText>√不适用</w:instrText>
          </w:r>
          <w:r>
            <w:rPr>
              <w:rFonts w:hint="eastAsia"/>
              <w:color w:val="000000" w:themeColor="text1"/>
              <w:sz w:val="22"/>
              <w:szCs w:val="22"/>
            </w:rPr>
            <w:instrText xml:space="preserve"> </w:instrText>
          </w:r>
          <w:r>
            <w:rPr>
              <w:color w:val="000000" w:themeColor="text1"/>
              <w:sz w:val="22"/>
              <w:szCs w:val="22"/>
            </w:rPr>
            <w:fldChar w:fldCharType="end"/>
          </w:r>
        </w:p>
      </w:sdtContent>
    </w:sdt>
    <w:p w:rsidR="00156DD6" w:rsidRDefault="00D51F5F">
      <w:pPr>
        <w:pStyle w:val="Style47"/>
        <w:numPr>
          <w:ilvl w:val="0"/>
          <w:numId w:val="47"/>
        </w:numPr>
        <w:tabs>
          <w:tab w:val="left" w:pos="360"/>
        </w:tabs>
        <w:ind w:left="0" w:firstLine="0"/>
        <w:rPr>
          <w:color w:val="000000" w:themeColor="text1"/>
          <w:sz w:val="21"/>
          <w:szCs w:val="32"/>
        </w:rPr>
      </w:pPr>
      <w:r>
        <w:rPr>
          <w:rFonts w:hint="eastAsia"/>
          <w:color w:val="000000" w:themeColor="text1"/>
          <w:sz w:val="21"/>
          <w:szCs w:val="32"/>
        </w:rPr>
        <w:t>期末公司已背书或贴现且在资产负债表日尚未到期的应收款项融资</w:t>
      </w:r>
    </w:p>
    <w:sdt>
      <w:sdtPr>
        <w:rPr>
          <w:color w:val="000000" w:themeColor="text1"/>
          <w:sz w:val="22"/>
          <w:szCs w:val="22"/>
        </w:rPr>
        <w:alias w:val="是否适用：期末公司已背书或贴现且在资产负债表日尚未到期的应收款项融资[双击切换]"/>
        <w:tag w:val="_GBC_5aba7034811c436e8fdb090306fae25a"/>
        <w:id w:val="-1448389278"/>
        <w:placeholder>
          <w:docPart w:val="GBC22222222222222222222222222222"/>
        </w:placeholder>
      </w:sdtPr>
      <w:sdtEndPr/>
      <w:sdtContent>
        <w:p w:rsidR="00156DD6" w:rsidRDefault="00D51F5F">
          <w:pPr>
            <w:rPr>
              <w:color w:val="000000" w:themeColor="text1"/>
              <w:sz w:val="22"/>
              <w:szCs w:val="22"/>
            </w:rPr>
          </w:pPr>
          <w:r>
            <w:rPr>
              <w:color w:val="000000" w:themeColor="text1"/>
              <w:sz w:val="22"/>
              <w:szCs w:val="22"/>
            </w:rPr>
            <w:fldChar w:fldCharType="begin"/>
          </w:r>
          <w:r>
            <w:rPr>
              <w:color w:val="000000" w:themeColor="text1"/>
              <w:sz w:val="22"/>
              <w:szCs w:val="22"/>
            </w:rPr>
            <w:instrText xml:space="preserve"> MACROBUTTON  SnrToggleCheckbox √</w:instrText>
          </w:r>
          <w:r>
            <w:rPr>
              <w:color w:val="000000" w:themeColor="text1"/>
              <w:sz w:val="22"/>
              <w:szCs w:val="22"/>
            </w:rPr>
            <w:instrText>适用</w:instrText>
          </w:r>
          <w:r>
            <w:rPr>
              <w:color w:val="000000" w:themeColor="text1"/>
              <w:sz w:val="22"/>
              <w:szCs w:val="22"/>
            </w:rPr>
            <w:instrText xml:space="preserve"> </w:instrText>
          </w:r>
          <w:r>
            <w:rPr>
              <w:color w:val="000000" w:themeColor="text1"/>
              <w:sz w:val="22"/>
              <w:szCs w:val="22"/>
            </w:rPr>
            <w:fldChar w:fldCharType="end"/>
          </w:r>
          <w:r>
            <w:rPr>
              <w:color w:val="000000" w:themeColor="text1"/>
              <w:sz w:val="22"/>
              <w:szCs w:val="22"/>
            </w:rPr>
            <w:fldChar w:fldCharType="begin"/>
          </w:r>
          <w:r>
            <w:rPr>
              <w:color w:val="000000" w:themeColor="text1"/>
              <w:sz w:val="22"/>
              <w:szCs w:val="22"/>
            </w:rPr>
            <w:instrText xml:space="preserve"> MACROBUTTON  SnrToggleCheckbox □</w:instrText>
          </w:r>
          <w:r>
            <w:rPr>
              <w:color w:val="000000" w:themeColor="text1"/>
              <w:sz w:val="22"/>
              <w:szCs w:val="22"/>
            </w:rPr>
            <w:instrText>不适用</w:instrText>
          </w:r>
          <w:r>
            <w:rPr>
              <w:color w:val="000000" w:themeColor="text1"/>
              <w:sz w:val="22"/>
              <w:szCs w:val="22"/>
            </w:rPr>
            <w:instrText xml:space="preserve"> </w:instrText>
          </w:r>
          <w:r>
            <w:rPr>
              <w:color w:val="000000" w:themeColor="text1"/>
              <w:sz w:val="22"/>
              <w:szCs w:val="22"/>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期末公司已背书或贴现且在资产负债表日尚未到期的应收款项融资"/>
          <w:tag w:val="_GBC_5629d3c7de2b430d964f79cd2922bbdd"/>
          <w:id w:val="-24272069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期末公司已背书或贴现且在资产负债表日尚未到期的应收款项融资"/>
          <w:tag w:val="_GBC_842647628955436292dcb5dbd82fc82a"/>
          <w:id w:val="-10320320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4672"/>
        <w:gridCol w:w="4783"/>
      </w:tblGrid>
      <w:tr w:rsidR="00156DD6">
        <w:sdt>
          <w:sdtPr>
            <w:tag w:val="_PLD_61ee0c7055824e0a8c4e9342c43c1998"/>
            <w:id w:val="404888925"/>
          </w:sdtPr>
          <w:sdtEndPr/>
          <w:sdtContent>
            <w:tc>
              <w:tcPr>
                <w:tcW w:w="1590" w:type="pct"/>
                <w:vAlign w:val="center"/>
              </w:tcPr>
              <w:p w:rsidR="00156DD6" w:rsidRDefault="00D51F5F">
                <w:pPr>
                  <w:jc w:val="center"/>
                  <w:rPr>
                    <w:color w:val="000000" w:themeColor="text1"/>
                  </w:rPr>
                </w:pPr>
                <w:r>
                  <w:rPr>
                    <w:rFonts w:hint="eastAsia"/>
                    <w:color w:val="000000" w:themeColor="text1"/>
                  </w:rPr>
                  <w:t>项目</w:t>
                </w:r>
              </w:p>
            </w:tc>
          </w:sdtContent>
        </w:sdt>
        <w:sdt>
          <w:sdtPr>
            <w:tag w:val="_PLD_ee215b5b595d4f9087594da41584b53d"/>
            <w:id w:val="-979923457"/>
          </w:sdtPr>
          <w:sdtEndPr/>
          <w:sdtContent>
            <w:tc>
              <w:tcPr>
                <w:tcW w:w="1685" w:type="pct"/>
                <w:vAlign w:val="center"/>
              </w:tcPr>
              <w:p w:rsidR="00156DD6" w:rsidRDefault="00D51F5F">
                <w:pPr>
                  <w:jc w:val="center"/>
                  <w:rPr>
                    <w:color w:val="000000" w:themeColor="text1"/>
                  </w:rPr>
                </w:pPr>
                <w:r>
                  <w:rPr>
                    <w:rFonts w:hint="eastAsia"/>
                    <w:color w:val="000000" w:themeColor="text1"/>
                  </w:rPr>
                  <w:t>期末终止确认金额</w:t>
                </w:r>
              </w:p>
            </w:tc>
          </w:sdtContent>
        </w:sdt>
        <w:sdt>
          <w:sdtPr>
            <w:tag w:val="_PLD_a58273833d134754b8f63be5a98d3b7b"/>
            <w:id w:val="-851802914"/>
          </w:sdtPr>
          <w:sdtEndPr/>
          <w:sdtContent>
            <w:tc>
              <w:tcPr>
                <w:tcW w:w="1725" w:type="pct"/>
                <w:vAlign w:val="center"/>
              </w:tcPr>
              <w:p w:rsidR="00156DD6" w:rsidRDefault="00D51F5F">
                <w:pPr>
                  <w:jc w:val="center"/>
                  <w:rPr>
                    <w:color w:val="000000" w:themeColor="text1"/>
                  </w:rPr>
                </w:pPr>
                <w:r>
                  <w:rPr>
                    <w:rFonts w:hint="eastAsia"/>
                    <w:color w:val="000000" w:themeColor="text1"/>
                  </w:rPr>
                  <w:t>期末未终止确认金额</w:t>
                </w:r>
              </w:p>
            </w:tc>
          </w:sdtContent>
        </w:sdt>
      </w:tr>
      <w:tr w:rsidR="00156DD6">
        <w:tc>
          <w:tcPr>
            <w:tcW w:w="1590" w:type="pct"/>
          </w:tcPr>
          <w:p w:rsidR="00156DD6" w:rsidRDefault="00D51F5F">
            <w:pPr>
              <w:pStyle w:val="Style43"/>
              <w:rPr>
                <w:rFonts w:ascii="宋体" w:hAnsi="宋体" w:cs="宋体"/>
                <w:bCs/>
                <w:color w:val="000000" w:themeColor="text1"/>
                <w:sz w:val="21"/>
                <w:szCs w:val="21"/>
              </w:rPr>
            </w:pPr>
            <w:r>
              <w:rPr>
                <w:rFonts w:ascii="宋体" w:hAnsi="宋体" w:cs="宋体"/>
                <w:bCs/>
                <w:color w:val="000000" w:themeColor="text1"/>
                <w:sz w:val="21"/>
                <w:szCs w:val="21"/>
              </w:rPr>
              <w:t>银行承兑汇票</w:t>
            </w:r>
          </w:p>
        </w:tc>
        <w:tc>
          <w:tcPr>
            <w:tcW w:w="1685" w:type="pct"/>
          </w:tcPr>
          <w:p w:rsidR="00156DD6" w:rsidRDefault="00D51F5F">
            <w:pPr>
              <w:jc w:val="right"/>
            </w:pPr>
            <w:r>
              <w:t xml:space="preserve"> 266,918,520.74 </w:t>
            </w:r>
          </w:p>
        </w:tc>
        <w:tc>
          <w:tcPr>
            <w:tcW w:w="1725" w:type="pct"/>
          </w:tcPr>
          <w:p w:rsidR="00156DD6" w:rsidRDefault="00156DD6">
            <w:pPr>
              <w:jc w:val="right"/>
            </w:pPr>
          </w:p>
        </w:tc>
      </w:tr>
      <w:tr w:rsidR="00156DD6">
        <w:tc>
          <w:tcPr>
            <w:tcW w:w="1590" w:type="pct"/>
          </w:tcPr>
          <w:p w:rsidR="00156DD6" w:rsidRDefault="00D51F5F">
            <w:pPr>
              <w:pStyle w:val="Style43"/>
              <w:rPr>
                <w:rFonts w:ascii="宋体" w:hAnsi="宋体" w:cs="宋体"/>
                <w:bCs/>
                <w:color w:val="000000" w:themeColor="text1"/>
                <w:sz w:val="21"/>
                <w:szCs w:val="21"/>
              </w:rPr>
            </w:pPr>
            <w:r>
              <w:rPr>
                <w:rFonts w:ascii="宋体" w:hAnsi="宋体" w:cs="宋体" w:hint="eastAsia"/>
                <w:bCs/>
                <w:color w:val="000000" w:themeColor="text1"/>
                <w:sz w:val="21"/>
                <w:szCs w:val="21"/>
              </w:rPr>
              <w:t>供应链金融电子债权凭证</w:t>
            </w:r>
          </w:p>
        </w:tc>
        <w:tc>
          <w:tcPr>
            <w:tcW w:w="1685" w:type="pct"/>
          </w:tcPr>
          <w:p w:rsidR="00156DD6" w:rsidRDefault="00D51F5F">
            <w:pPr>
              <w:jc w:val="right"/>
            </w:pPr>
            <w:r>
              <w:t xml:space="preserve"> 15,021,932.08 </w:t>
            </w:r>
          </w:p>
        </w:tc>
        <w:tc>
          <w:tcPr>
            <w:tcW w:w="1725" w:type="pct"/>
          </w:tcPr>
          <w:p w:rsidR="00156DD6" w:rsidRDefault="00156DD6">
            <w:pPr>
              <w:jc w:val="right"/>
            </w:pPr>
          </w:p>
        </w:tc>
      </w:tr>
      <w:tr w:rsidR="00156DD6">
        <w:tc>
          <w:tcPr>
            <w:tcW w:w="1590" w:type="pct"/>
            <w:vAlign w:val="center"/>
          </w:tcPr>
          <w:p w:rsidR="00156DD6" w:rsidRDefault="00D51F5F">
            <w:pPr>
              <w:jc w:val="center"/>
              <w:rPr>
                <w:color w:val="000000" w:themeColor="text1"/>
              </w:rPr>
            </w:pPr>
            <w:r>
              <w:rPr>
                <w:rFonts w:hint="eastAsia"/>
                <w:color w:val="000000" w:themeColor="text1"/>
              </w:rPr>
              <w:t>合计</w:t>
            </w:r>
          </w:p>
        </w:tc>
        <w:tc>
          <w:tcPr>
            <w:tcW w:w="1685" w:type="pct"/>
          </w:tcPr>
          <w:p w:rsidR="00156DD6" w:rsidRDefault="00D51F5F">
            <w:pPr>
              <w:jc w:val="right"/>
            </w:pPr>
            <w:r>
              <w:t xml:space="preserve"> 281,940,452.82 </w:t>
            </w:r>
          </w:p>
        </w:tc>
        <w:tc>
          <w:tcPr>
            <w:tcW w:w="1725" w:type="pct"/>
          </w:tcPr>
          <w:p w:rsidR="00156DD6" w:rsidRDefault="00156DD6">
            <w:pPr>
              <w:jc w:val="right"/>
            </w:pPr>
          </w:p>
        </w:tc>
      </w:tr>
    </w:tbl>
    <w:p w:rsidR="00156DD6" w:rsidRDefault="00D51F5F">
      <w:pPr>
        <w:pStyle w:val="Style47"/>
        <w:numPr>
          <w:ilvl w:val="0"/>
          <w:numId w:val="47"/>
        </w:numPr>
        <w:tabs>
          <w:tab w:val="left" w:pos="360"/>
        </w:tabs>
        <w:ind w:left="0" w:firstLine="0"/>
        <w:rPr>
          <w:color w:val="000000" w:themeColor="text1"/>
          <w:sz w:val="21"/>
          <w:szCs w:val="32"/>
        </w:rPr>
      </w:pPr>
      <w:r>
        <w:rPr>
          <w:rFonts w:hint="eastAsia"/>
          <w:color w:val="000000" w:themeColor="text1"/>
          <w:sz w:val="21"/>
          <w:szCs w:val="32"/>
        </w:rPr>
        <w:t>按坏账计提方法分类披露</w:t>
      </w:r>
    </w:p>
    <w:sdt>
      <w:sdtPr>
        <w:rPr>
          <w:color w:val="000000" w:themeColor="text1"/>
        </w:rPr>
        <w:alias w:val="是否适用：按坏账计提方法分类披露[双击切换]"/>
        <w:tag w:val="_GBC_405ca68f760443499c1bd1a1fa1e9e7d"/>
        <w:id w:val="-180105749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autoSpaceDE w:val="0"/>
        <w:autoSpaceDN w:val="0"/>
        <w:adjustRightInd w:val="0"/>
        <w:ind w:left="425" w:right="105"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按坏账计提方法分类披露"/>
          <w:tag w:val="_GBC_9f69d0c8249e4b2c8278a4e70e780347"/>
          <w:id w:val="-79027796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按坏账计提方法分类披露"/>
          <w:tag w:val="_GBC_fe7cf8f65c4a417fa30d2a0b1bda0867"/>
          <w:id w:val="-1405021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581"/>
        <w:gridCol w:w="846"/>
        <w:gridCol w:w="1266"/>
        <w:gridCol w:w="828"/>
        <w:gridCol w:w="1581"/>
        <w:gridCol w:w="1581"/>
        <w:gridCol w:w="846"/>
        <w:gridCol w:w="1266"/>
        <w:gridCol w:w="664"/>
        <w:gridCol w:w="1581"/>
      </w:tblGrid>
      <w:tr w:rsidR="00156DD6">
        <w:trPr>
          <w:cantSplit/>
          <w:trHeight w:val="259"/>
        </w:trPr>
        <w:sdt>
          <w:sdtPr>
            <w:tag w:val="_PLD_afc6122750c74a4a8117ff067542864d"/>
            <w:id w:val="1903478866"/>
          </w:sdtPr>
          <w:sdtEndPr/>
          <w:sdtContent>
            <w:tc>
              <w:tcPr>
                <w:tcW w:w="718"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类别</w:t>
                </w:r>
              </w:p>
            </w:tc>
          </w:sdtContent>
        </w:sdt>
        <w:sdt>
          <w:sdtPr>
            <w:tag w:val="_PLD_8d348d82b79742e3a1beed09474847b8"/>
            <w:id w:val="1669143690"/>
          </w:sdtPr>
          <w:sdtEndPr/>
          <w:sdtContent>
            <w:tc>
              <w:tcPr>
                <w:tcW w:w="2171"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5a7985e7bb214c1382175298b409ab82"/>
            <w:id w:val="835113702"/>
          </w:sdtPr>
          <w:sdtEndPr/>
          <w:sdtContent>
            <w:tc>
              <w:tcPr>
                <w:tcW w:w="2112"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156DD6">
        <w:trPr>
          <w:cantSplit/>
          <w:trHeight w:val="227"/>
        </w:trPr>
        <w:tc>
          <w:tcPr>
            <w:tcW w:w="718" w:type="pct"/>
            <w:vMerge/>
            <w:tcBorders>
              <w:left w:val="single" w:sz="4" w:space="0" w:color="auto"/>
              <w:right w:val="single" w:sz="4" w:space="0" w:color="auto"/>
            </w:tcBorders>
            <w:vAlign w:val="center"/>
          </w:tcPr>
          <w:p w:rsidR="00156DD6" w:rsidRDefault="00156DD6">
            <w:pPr>
              <w:rPr>
                <w:color w:val="000000" w:themeColor="text1"/>
              </w:rPr>
            </w:pPr>
          </w:p>
        </w:tc>
        <w:sdt>
          <w:sdtPr>
            <w:tag w:val="_PLD_33957afafd6e4c78935ecdc01c6fd4a3"/>
            <w:id w:val="642770390"/>
          </w:sdtPr>
          <w:sdtEndPr/>
          <w:sdtContent>
            <w:tc>
              <w:tcPr>
                <w:tcW w:w="870"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02b8d4e96b1e4b86b23c730ac1de8231"/>
            <w:id w:val="-1194688498"/>
          </w:sdtPr>
          <w:sdtEndPr/>
          <w:sdtContent>
            <w:tc>
              <w:tcPr>
                <w:tcW w:w="786"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4c4d5f8d41874515a185b16534d14f49"/>
            <w:id w:val="-382797973"/>
          </w:sdtPr>
          <w:sdtEndPr/>
          <w:sdtContent>
            <w:tc>
              <w:tcPr>
                <w:tcW w:w="514"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w:t>
                </w:r>
              </w:p>
              <w:p w:rsidR="00156DD6" w:rsidRDefault="00D51F5F">
                <w:pPr>
                  <w:jc w:val="center"/>
                  <w:rPr>
                    <w:color w:val="000000" w:themeColor="text1"/>
                  </w:rPr>
                </w:pPr>
                <w:r>
                  <w:rPr>
                    <w:rFonts w:hint="eastAsia"/>
                    <w:color w:val="000000" w:themeColor="text1"/>
                  </w:rPr>
                  <w:t>价值</w:t>
                </w:r>
              </w:p>
            </w:tc>
          </w:sdtContent>
        </w:sdt>
        <w:sdt>
          <w:sdtPr>
            <w:tag w:val="_PLD_3ec60523afa948cba0ceb8404106dbc7"/>
            <w:id w:val="671846062"/>
          </w:sdtPr>
          <w:sdtEndPr/>
          <w:sdtContent>
            <w:tc>
              <w:tcPr>
                <w:tcW w:w="845"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730fcc4fa8de48cfa2ce9d1237a39e4b"/>
            <w:id w:val="366568319"/>
          </w:sdtPr>
          <w:sdtEndPr/>
          <w:sdtContent>
            <w:tc>
              <w:tcPr>
                <w:tcW w:w="753"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c09c2414dd8946b58d2ac98b4f54fcba"/>
            <w:id w:val="1546260916"/>
          </w:sdtPr>
          <w:sdtEndPr/>
          <w:sdtContent>
            <w:tc>
              <w:tcPr>
                <w:tcW w:w="514"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w:t>
                </w:r>
              </w:p>
              <w:p w:rsidR="00156DD6" w:rsidRDefault="00D51F5F">
                <w:pPr>
                  <w:jc w:val="center"/>
                  <w:rPr>
                    <w:color w:val="000000" w:themeColor="text1"/>
                  </w:rPr>
                </w:pPr>
                <w:r>
                  <w:rPr>
                    <w:rFonts w:hint="eastAsia"/>
                    <w:color w:val="000000" w:themeColor="text1"/>
                  </w:rPr>
                  <w:t>价值</w:t>
                </w:r>
              </w:p>
            </w:tc>
          </w:sdtContent>
        </w:sdt>
      </w:tr>
      <w:tr w:rsidR="00156DD6">
        <w:trPr>
          <w:cantSplit/>
          <w:trHeight w:val="375"/>
        </w:trPr>
        <w:tc>
          <w:tcPr>
            <w:tcW w:w="718" w:type="pct"/>
            <w:vMerge/>
            <w:tcBorders>
              <w:left w:val="single" w:sz="4" w:space="0" w:color="auto"/>
              <w:bottom w:val="single" w:sz="4" w:space="0" w:color="auto"/>
              <w:right w:val="single" w:sz="4" w:space="0" w:color="auto"/>
            </w:tcBorders>
            <w:vAlign w:val="center"/>
          </w:tcPr>
          <w:p w:rsidR="00156DD6" w:rsidRDefault="00156DD6">
            <w:pPr>
              <w:rPr>
                <w:color w:val="000000" w:themeColor="text1"/>
              </w:rPr>
            </w:pPr>
          </w:p>
        </w:tc>
        <w:sdt>
          <w:sdtPr>
            <w:tag w:val="_PLD_cf02385b9edd4f9092c58b53397050ca"/>
            <w:id w:val="1743062906"/>
          </w:sdtPr>
          <w:sdtEndPr/>
          <w:sdtContent>
            <w:tc>
              <w:tcPr>
                <w:tcW w:w="514"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69e455e411e4404d95e7d6ca4ad66fc0"/>
            <w:id w:val="700136414"/>
          </w:sdtPr>
          <w:sdtEndPr/>
          <w:sdtContent>
            <w:tc>
              <w:tcPr>
                <w:tcW w:w="357"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sdt>
          <w:sdtPr>
            <w:tag w:val="_PLD_9c94fe32a1b24e3696cf5acf8740e42d"/>
            <w:id w:val="-12148932"/>
          </w:sdtPr>
          <w:sdtEndPr/>
          <w:sdtContent>
            <w:tc>
              <w:tcPr>
                <w:tcW w:w="419"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b8b01992765645ed98274f40b2920d16"/>
            <w:id w:val="793643834"/>
          </w:sdtPr>
          <w:sdtEndPr/>
          <w:sdtContent>
            <w:tc>
              <w:tcPr>
                <w:tcW w:w="368"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计提比例</w:t>
                </w:r>
                <w:r>
                  <w:rPr>
                    <w:color w:val="000000" w:themeColor="text1"/>
                  </w:rPr>
                  <w:t>(%)</w:t>
                </w:r>
              </w:p>
            </w:tc>
          </w:sdtContent>
        </w:sdt>
        <w:tc>
          <w:tcPr>
            <w:tcW w:w="514" w:type="pct"/>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sdt>
          <w:sdtPr>
            <w:tag w:val="_PLD_2780b50fec7f4a369e2e2c5559b5df81"/>
            <w:id w:val="-399214827"/>
          </w:sdtPr>
          <w:sdtEndPr/>
          <w:sdtContent>
            <w:tc>
              <w:tcPr>
                <w:tcW w:w="514"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1d1994b5339b478e89c5a437bc3cdacc"/>
            <w:id w:val="-1036040368"/>
          </w:sdtPr>
          <w:sdtEndPr/>
          <w:sdtContent>
            <w:tc>
              <w:tcPr>
                <w:tcW w:w="331"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sdt>
          <w:sdtPr>
            <w:tag w:val="_PLD_c75ffe4e6f2f483ba18a1afb2bfc443c"/>
            <w:id w:val="557207760"/>
          </w:sdtPr>
          <w:sdtEndPr/>
          <w:sdtContent>
            <w:tc>
              <w:tcPr>
                <w:tcW w:w="419"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91788d5458b04774af651219e9dcc425"/>
            <w:id w:val="-1859270654"/>
          </w:sdtPr>
          <w:sdtEndPr/>
          <w:sdtContent>
            <w:tc>
              <w:tcPr>
                <w:tcW w:w="334"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计提比例</w:t>
                </w:r>
                <w:r>
                  <w:rPr>
                    <w:color w:val="000000" w:themeColor="text1"/>
                  </w:rPr>
                  <w:t>(%)</w:t>
                </w:r>
              </w:p>
            </w:tc>
          </w:sdtContent>
        </w:sdt>
        <w:tc>
          <w:tcPr>
            <w:tcW w:w="514"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tr>
      <w:tr w:rsidR="00156DD6">
        <w:trPr>
          <w:cantSplit/>
        </w:trPr>
        <w:tc>
          <w:tcPr>
            <w:tcW w:w="71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按单项计提坏账准备</w:t>
            </w:r>
          </w:p>
        </w:tc>
        <w:tc>
          <w:tcPr>
            <w:tcW w:w="514"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5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419" w:type="pct"/>
            <w:tcBorders>
              <w:top w:val="single" w:sz="4" w:space="0" w:color="auto"/>
              <w:left w:val="single" w:sz="4" w:space="0" w:color="auto"/>
              <w:bottom w:val="single" w:sz="4" w:space="0" w:color="auto"/>
              <w:right w:val="single" w:sz="4" w:space="0" w:color="auto"/>
            </w:tcBorders>
          </w:tcPr>
          <w:p w:rsidR="00156DD6" w:rsidRDefault="00156DD6">
            <w:pPr>
              <w:pStyle w:val="Style43"/>
            </w:pPr>
          </w:p>
        </w:tc>
        <w:tc>
          <w:tcPr>
            <w:tcW w:w="368"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14"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14"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31"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419"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34"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14"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rPr>
          <w:cantSplit/>
        </w:trPr>
        <w:tc>
          <w:tcPr>
            <w:tcW w:w="5000" w:type="pct"/>
            <w:gridSpan w:val="11"/>
            <w:tcBorders>
              <w:top w:val="single" w:sz="4" w:space="0" w:color="auto"/>
              <w:left w:val="single" w:sz="4" w:space="0" w:color="auto"/>
              <w:bottom w:val="single" w:sz="4" w:space="0" w:color="auto"/>
              <w:right w:val="single" w:sz="4" w:space="0" w:color="auto"/>
            </w:tcBorders>
          </w:tcPr>
          <w:sdt>
            <w:sdtPr>
              <w:tag w:val="_PLD_002d76a794bc48ae9520df0feebbb6ac"/>
              <w:id w:val="1289167610"/>
            </w:sdtPr>
            <w:sdtEndPr/>
            <w:sdtContent>
              <w:p w:rsidR="00156DD6" w:rsidRDefault="00D51F5F">
                <w:pPr>
                  <w:rPr>
                    <w:color w:val="000000" w:themeColor="text1"/>
                  </w:rPr>
                </w:pPr>
                <w:r>
                  <w:rPr>
                    <w:rFonts w:hint="eastAsia"/>
                    <w:color w:val="000000" w:themeColor="text1"/>
                  </w:rPr>
                  <w:t>其中：</w:t>
                </w:r>
              </w:p>
            </w:sdtContent>
          </w:sdt>
        </w:tc>
      </w:tr>
      <w:tr w:rsidR="00156DD6">
        <w:trPr>
          <w:cantSplit/>
        </w:trPr>
        <w:tc>
          <w:tcPr>
            <w:tcW w:w="71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lastRenderedPageBreak/>
              <w:t>按组合计提坏账准备</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34,430,396.16 </w:t>
            </w:r>
          </w:p>
        </w:tc>
        <w:tc>
          <w:tcPr>
            <w:tcW w:w="35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100.00 </w:t>
            </w:r>
          </w:p>
        </w:tc>
        <w:tc>
          <w:tcPr>
            <w:tcW w:w="41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246,559.99 </w:t>
            </w:r>
          </w:p>
        </w:tc>
        <w:tc>
          <w:tcPr>
            <w:tcW w:w="36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0.72 </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34,183,836.17</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15,196,573.60</w:t>
            </w:r>
          </w:p>
        </w:tc>
        <w:tc>
          <w:tcPr>
            <w:tcW w:w="33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100.00</w:t>
            </w:r>
          </w:p>
        </w:tc>
        <w:tc>
          <w:tcPr>
            <w:tcW w:w="41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201,402.85</w:t>
            </w:r>
          </w:p>
        </w:tc>
        <w:tc>
          <w:tcPr>
            <w:tcW w:w="33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1.33</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14,995,170.75</w:t>
            </w:r>
          </w:p>
        </w:tc>
      </w:tr>
      <w:tr w:rsidR="00156DD6">
        <w:trPr>
          <w:cantSplit/>
        </w:trPr>
        <w:tc>
          <w:tcPr>
            <w:tcW w:w="5000" w:type="pct"/>
            <w:gridSpan w:val="11"/>
            <w:tcBorders>
              <w:top w:val="single" w:sz="4" w:space="0" w:color="auto"/>
              <w:left w:val="single" w:sz="4" w:space="0" w:color="auto"/>
              <w:bottom w:val="single" w:sz="4" w:space="0" w:color="auto"/>
              <w:right w:val="single" w:sz="4" w:space="0" w:color="auto"/>
            </w:tcBorders>
          </w:tcPr>
          <w:sdt>
            <w:sdtPr>
              <w:tag w:val="_PLD_99254941c87b4aef96d5280757eecac3"/>
              <w:id w:val="354317495"/>
            </w:sdtPr>
            <w:sdtEndPr/>
            <w:sdtContent>
              <w:p w:rsidR="00156DD6" w:rsidRDefault="00D51F5F">
                <w:pPr>
                  <w:rPr>
                    <w:color w:val="000000" w:themeColor="text1"/>
                  </w:rPr>
                </w:pPr>
                <w:r>
                  <w:rPr>
                    <w:rFonts w:hint="eastAsia"/>
                    <w:color w:val="000000" w:themeColor="text1"/>
                  </w:rPr>
                  <w:t>其中：</w:t>
                </w:r>
              </w:p>
            </w:sdtContent>
          </w:sdt>
        </w:tc>
      </w:tr>
      <w:tr w:rsidR="00156DD6">
        <w:trPr>
          <w:cantSplit/>
        </w:trPr>
        <w:sdt>
          <w:sdtPr>
            <w:rPr>
              <w:color w:val="000000" w:themeColor="text1"/>
            </w:rPr>
            <w:alias w:val="按组合计提坏账准备的明细-类别"/>
            <w:tag w:val="_GBC_e4caba41e5e342bb871455bd3a15bb2f"/>
            <w:id w:val="-592091287"/>
          </w:sdtPr>
          <w:sdtEndPr/>
          <w:sdtContent>
            <w:tc>
              <w:tcPr>
                <w:tcW w:w="718"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银行承兑汇票</w:t>
                </w:r>
              </w:p>
            </w:tc>
          </w:sdtContent>
        </w:sdt>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30,928,889.71 </w:t>
            </w:r>
          </w:p>
        </w:tc>
        <w:tc>
          <w:tcPr>
            <w:tcW w:w="35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89.83 </w:t>
            </w:r>
          </w:p>
        </w:tc>
        <w:tc>
          <w:tcPr>
            <w:tcW w:w="41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368"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30,928,889.71 </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12,330,215.20</w:t>
            </w:r>
          </w:p>
        </w:tc>
        <w:tc>
          <w:tcPr>
            <w:tcW w:w="33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81.14</w:t>
            </w:r>
          </w:p>
        </w:tc>
        <w:tc>
          <w:tcPr>
            <w:tcW w:w="41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334"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12,330,215.20</w:t>
            </w:r>
          </w:p>
        </w:tc>
      </w:tr>
      <w:tr w:rsidR="00156DD6">
        <w:trPr>
          <w:cantSplit/>
        </w:trPr>
        <w:sdt>
          <w:sdtPr>
            <w:rPr>
              <w:color w:val="000000" w:themeColor="text1"/>
            </w:rPr>
            <w:alias w:val="按组合计提坏账准备的明细-类别"/>
            <w:tag w:val="_GBC_e4caba41e5e342bb871455bd3a15bb2f"/>
            <w:id w:val="-2087910711"/>
          </w:sdtPr>
          <w:sdtEndPr/>
          <w:sdtContent>
            <w:tc>
              <w:tcPr>
                <w:tcW w:w="718"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供应链金融电子债权凭证</w:t>
                </w:r>
              </w:p>
            </w:tc>
          </w:sdtContent>
        </w:sdt>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3,501,506.45 </w:t>
            </w:r>
          </w:p>
        </w:tc>
        <w:tc>
          <w:tcPr>
            <w:tcW w:w="35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10.17 </w:t>
            </w:r>
          </w:p>
        </w:tc>
        <w:tc>
          <w:tcPr>
            <w:tcW w:w="41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246,559.99 </w:t>
            </w:r>
          </w:p>
        </w:tc>
        <w:tc>
          <w:tcPr>
            <w:tcW w:w="36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7.04 </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3,254,946.46 </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2,866,358.40</w:t>
            </w:r>
          </w:p>
        </w:tc>
        <w:tc>
          <w:tcPr>
            <w:tcW w:w="33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18.86</w:t>
            </w:r>
          </w:p>
        </w:tc>
        <w:tc>
          <w:tcPr>
            <w:tcW w:w="41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201,402.85</w:t>
            </w:r>
          </w:p>
        </w:tc>
        <w:tc>
          <w:tcPr>
            <w:tcW w:w="33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7.03</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2,664,955.55</w:t>
            </w:r>
          </w:p>
        </w:tc>
      </w:tr>
      <w:tr w:rsidR="00156DD6">
        <w:trPr>
          <w:cantSplit/>
        </w:trPr>
        <w:tc>
          <w:tcPr>
            <w:tcW w:w="71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合计</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34,430,396.16 </w:t>
            </w:r>
          </w:p>
        </w:tc>
        <w:tc>
          <w:tcPr>
            <w:tcW w:w="35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t xml:space="preserve">100.00 </w:t>
            </w:r>
          </w:p>
        </w:tc>
        <w:tc>
          <w:tcPr>
            <w:tcW w:w="41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246,559.99 </w:t>
            </w:r>
          </w:p>
        </w:tc>
        <w:tc>
          <w:tcPr>
            <w:tcW w:w="36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t xml:space="preserve"> 0.72 </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34,183,836.17 </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15,196,573.60</w:t>
            </w:r>
          </w:p>
        </w:tc>
        <w:tc>
          <w:tcPr>
            <w:tcW w:w="33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t>100.00</w:t>
            </w:r>
          </w:p>
        </w:tc>
        <w:tc>
          <w:tcPr>
            <w:tcW w:w="41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201,402.85</w:t>
            </w:r>
          </w:p>
        </w:tc>
        <w:tc>
          <w:tcPr>
            <w:tcW w:w="33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t>1.33</w:t>
            </w:r>
          </w:p>
        </w:tc>
        <w:tc>
          <w:tcPr>
            <w:tcW w:w="51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14,995,170.75</w:t>
            </w:r>
          </w:p>
        </w:tc>
      </w:tr>
    </w:tbl>
    <w:p w:rsidR="00156DD6" w:rsidRDefault="00D51F5F">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70906d84159d4210b15e17fb2293500d"/>
        <w:id w:val="37928878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f71cdd4ebdc046418cd6f9214346df97"/>
        <w:id w:val="-176606757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ascii="Calibri" w:hAnsi="Calibri" w:cs="Times New Roman"/>
          <w:color w:val="000000" w:themeColor="text1"/>
          <w:szCs w:val="22"/>
        </w:rPr>
      </w:pPr>
      <w:r>
        <w:rPr>
          <w:rFonts w:ascii="Calibri" w:hAnsi="Calibri" w:cs="Times New Roman" w:hint="eastAsia"/>
          <w:color w:val="000000" w:themeColor="text1"/>
          <w:szCs w:val="22"/>
        </w:rPr>
        <w:t>按组合计提坏账准备：</w:t>
      </w:r>
    </w:p>
    <w:sdt>
      <w:sdtPr>
        <w:rPr>
          <w:rFonts w:ascii="Calibri" w:hAnsi="Calibri" w:cs="Times New Roman"/>
          <w:color w:val="000000" w:themeColor="text1"/>
          <w:szCs w:val="22"/>
        </w:rPr>
        <w:alias w:val="是否适用：按组合计提坏账准备的详细情况[双击切换]"/>
        <w:tag w:val="_GBC_02191f78423f4f4ca97cd31179bf21d5"/>
        <w:id w:val="400721856"/>
        <w:lock w:val="contentLocked"/>
        <w:placeholder>
          <w:docPart w:val="GBC22222222222222222222222222222"/>
        </w:placeholder>
      </w:sdtPr>
      <w:sdtEndPr/>
      <w:sdtContent>
        <w:p w:rsidR="00156DD6" w:rsidRDefault="00D51F5F">
          <w:pPr>
            <w:rPr>
              <w:rFonts w:ascii="Calibri" w:hAnsi="Calibri" w:cs="Times New Roman"/>
              <w:color w:val="000000" w:themeColor="text1"/>
              <w:szCs w:val="22"/>
            </w:rPr>
          </w:pPr>
          <w:r>
            <w:rPr>
              <w:rFonts w:cs="Times New Roman"/>
              <w:color w:val="000000" w:themeColor="text1"/>
              <w:szCs w:val="22"/>
            </w:rPr>
            <w:fldChar w:fldCharType="begin"/>
          </w:r>
          <w:r>
            <w:rPr>
              <w:rFonts w:cs="Times New Roman"/>
              <w:color w:val="000000" w:themeColor="text1"/>
              <w:szCs w:val="22"/>
            </w:rPr>
            <w:instrText xml:space="preserve"> MACROBUTTON  SnrToggleCheckbox √</w:instrText>
          </w:r>
          <w:r>
            <w:rPr>
              <w:rFonts w:cs="Times New Roman"/>
              <w:color w:val="000000" w:themeColor="text1"/>
              <w:szCs w:val="22"/>
            </w:rPr>
            <w:instrText>适用</w:instrText>
          </w:r>
          <w:r>
            <w:rPr>
              <w:rFonts w:cs="Times New Roman"/>
              <w:color w:val="000000" w:themeColor="text1"/>
              <w:szCs w:val="22"/>
            </w:rPr>
            <w:instrText xml:space="preserve">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color w:val="000000" w:themeColor="text1"/>
              <w:szCs w:val="22"/>
            </w:rPr>
            <w:instrText xml:space="preserve"> MACROBUTTON  SnrToggleCheckbox □</w:instrText>
          </w:r>
          <w:r>
            <w:rPr>
              <w:rFonts w:cs="Times New Roman"/>
              <w:color w:val="000000" w:themeColor="text1"/>
              <w:szCs w:val="22"/>
            </w:rPr>
            <w:instrText>不适用</w:instrText>
          </w:r>
          <w:r>
            <w:rPr>
              <w:rFonts w:cs="Times New Roman"/>
              <w:color w:val="000000" w:themeColor="text1"/>
              <w:szCs w:val="22"/>
            </w:rPr>
            <w:instrText xml:space="preserve"> </w:instrText>
          </w:r>
          <w:r>
            <w:rPr>
              <w:rFonts w:cs="Times New Roman"/>
              <w:color w:val="000000" w:themeColor="text1"/>
              <w:szCs w:val="22"/>
            </w:rPr>
            <w:fldChar w:fldCharType="end"/>
          </w:r>
        </w:p>
      </w:sdtContent>
    </w:sdt>
    <w:p w:rsidR="00156DD6" w:rsidRDefault="00D51F5F">
      <w:pPr>
        <w:rPr>
          <w:rFonts w:ascii="Calibri" w:hAnsi="Calibri" w:cs="Times New Roman"/>
          <w:color w:val="000000" w:themeColor="text1"/>
          <w:szCs w:val="22"/>
        </w:rPr>
      </w:pPr>
      <w:r>
        <w:rPr>
          <w:rFonts w:hint="eastAsia"/>
          <w:color w:val="000000" w:themeColor="text1"/>
        </w:rPr>
        <w:t>组合计提项目</w:t>
      </w:r>
      <w:r>
        <w:rPr>
          <w:rFonts w:ascii="Calibri" w:hAnsi="Calibri" w:cs="Times New Roman" w:hint="eastAsia"/>
          <w:color w:val="000000" w:themeColor="text1"/>
          <w:szCs w:val="22"/>
        </w:rPr>
        <w:t>：</w:t>
      </w:r>
      <w:sdt>
        <w:sdtPr>
          <w:rPr>
            <w:rFonts w:hint="eastAsia"/>
            <w:color w:val="000000" w:themeColor="text1"/>
          </w:rPr>
          <w:alias w:val="按组合计提坏账准备的明细-类别"/>
          <w:tag w:val="_GBC_598cd6118928494496c5466b6c35d92f"/>
          <w:id w:val="569466411"/>
          <w:placeholder>
            <w:docPart w:val="GBC22222222222222222222222222222"/>
          </w:placeholder>
          <w:comboBox>
            <w:listItem w:displayText="供应链金融电子债权凭证" w:value="供应链金融电子债权凭证"/>
            <w:listItem w:displayText="银行承兑汇票" w:value="银行承兑汇票"/>
          </w:comboBox>
        </w:sdtPr>
        <w:sdtEndPr/>
        <w:sdtContent>
          <w:r>
            <w:rPr>
              <w:rFonts w:hint="eastAsia"/>
              <w:color w:val="000000" w:themeColor="text1"/>
            </w:rPr>
            <w:t>银行承兑汇票组合、供应链金融电子债权凭证组合</w:t>
          </w:r>
        </w:sdtContent>
      </w:sdt>
    </w:p>
    <w:p w:rsidR="00156DD6" w:rsidRDefault="00D51F5F">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组合计提坏账准备的详细名称"/>
          <w:tag w:val="_GBC_c00af189ef0f4ce390f3a585228bcce1"/>
          <w:id w:val="-46374153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按组合计提坏账准备的详细名称"/>
          <w:tag w:val="_GBC_b1b76cd7d41e45d1ad9b3fec05025621"/>
          <w:id w:val="-10523132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r>
        <w:rPr>
          <w:color w:val="000000" w:themeColor="text1"/>
        </w:rPr>
        <w:t xml:space="preserve"> </w:t>
      </w:r>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156DD6">
        <w:sdt>
          <w:sdtPr>
            <w:tag w:val="_PLD_56eabaf873fa4c159a85e48001393d30"/>
            <w:id w:val="1956826933"/>
          </w:sdtPr>
          <w:sdtEndPr/>
          <w:sdtContent>
            <w:tc>
              <w:tcPr>
                <w:tcW w:w="1158" w:type="pct"/>
                <w:vMerge w:val="restart"/>
                <w:vAlign w:val="center"/>
              </w:tcPr>
              <w:p w:rsidR="00156DD6" w:rsidRDefault="00D51F5F">
                <w:pPr>
                  <w:jc w:val="center"/>
                  <w:rPr>
                    <w:color w:val="000000" w:themeColor="text1"/>
                  </w:rPr>
                </w:pPr>
                <w:r>
                  <w:rPr>
                    <w:rFonts w:hint="eastAsia"/>
                    <w:color w:val="000000" w:themeColor="text1"/>
                  </w:rPr>
                  <w:t>名称</w:t>
                </w:r>
              </w:p>
            </w:tc>
          </w:sdtContent>
        </w:sdt>
        <w:sdt>
          <w:sdtPr>
            <w:tag w:val="_PLD_f85ecb3059a1497990b8f0d5c01b3d6a"/>
            <w:id w:val="-1677269643"/>
          </w:sdtPr>
          <w:sdtEndPr/>
          <w:sdtContent>
            <w:tc>
              <w:tcPr>
                <w:tcW w:w="3842" w:type="pct"/>
                <w:gridSpan w:val="3"/>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1158" w:type="pct"/>
            <w:vMerge/>
          </w:tcPr>
          <w:p w:rsidR="00156DD6" w:rsidRDefault="00156DD6">
            <w:pPr>
              <w:jc w:val="center"/>
              <w:rPr>
                <w:color w:val="000000" w:themeColor="text1"/>
              </w:rPr>
            </w:pPr>
          </w:p>
        </w:tc>
        <w:sdt>
          <w:sdtPr>
            <w:tag w:val="_PLD_b1230d3f7ca543f5b9651da474e07b85"/>
            <w:id w:val="661820275"/>
          </w:sdtPr>
          <w:sdtEndPr/>
          <w:sdtContent>
            <w:tc>
              <w:tcPr>
                <w:tcW w:w="1276" w:type="pct"/>
                <w:vAlign w:val="center"/>
              </w:tcPr>
              <w:p w:rsidR="00156DD6" w:rsidRDefault="00D51F5F">
                <w:pPr>
                  <w:jc w:val="center"/>
                  <w:rPr>
                    <w:color w:val="000000" w:themeColor="text1"/>
                  </w:rPr>
                </w:pPr>
                <w:r>
                  <w:rPr>
                    <w:rFonts w:hint="eastAsia"/>
                    <w:color w:val="000000" w:themeColor="text1"/>
                  </w:rPr>
                  <w:t>账面余额</w:t>
                </w:r>
              </w:p>
            </w:tc>
          </w:sdtContent>
        </w:sdt>
        <w:sdt>
          <w:sdtPr>
            <w:tag w:val="_PLD_454915d62090417eadfa941b4e119439"/>
            <w:id w:val="354556007"/>
          </w:sdtPr>
          <w:sdtEndPr/>
          <w:sdtContent>
            <w:tc>
              <w:tcPr>
                <w:tcW w:w="1299" w:type="pct"/>
                <w:vAlign w:val="center"/>
              </w:tcPr>
              <w:p w:rsidR="00156DD6" w:rsidRDefault="00D51F5F">
                <w:pPr>
                  <w:jc w:val="center"/>
                  <w:rPr>
                    <w:color w:val="000000" w:themeColor="text1"/>
                  </w:rPr>
                </w:pPr>
                <w:r>
                  <w:rPr>
                    <w:rFonts w:hint="eastAsia"/>
                    <w:color w:val="000000" w:themeColor="text1"/>
                  </w:rPr>
                  <w:t>坏账准备</w:t>
                </w:r>
              </w:p>
            </w:tc>
          </w:sdtContent>
        </w:sdt>
        <w:sdt>
          <w:sdtPr>
            <w:tag w:val="_PLD_78ce0134255d44aca7a2a314b10b2f3f"/>
            <w:id w:val="1669138701"/>
          </w:sdtPr>
          <w:sdtEndPr>
            <w:rPr>
              <w:rFonts w:hint="eastAsia"/>
            </w:rPr>
          </w:sdtEndPr>
          <w:sdtContent>
            <w:tc>
              <w:tcPr>
                <w:tcW w:w="1267" w:type="pct"/>
                <w:vAlign w:val="center"/>
              </w:tcPr>
              <w:p w:rsidR="00156DD6" w:rsidRDefault="00D51F5F">
                <w:pPr>
                  <w:jc w:val="center"/>
                  <w:rPr>
                    <w:color w:val="000000" w:themeColor="text1"/>
                  </w:rPr>
                </w:pPr>
                <w:r>
                  <w:rPr>
                    <w:color w:val="000000" w:themeColor="text1"/>
                  </w:rPr>
                  <w:t>计提比例</w:t>
                </w:r>
                <w:r>
                  <w:rPr>
                    <w:rFonts w:hint="eastAsia"/>
                    <w:color w:val="000000" w:themeColor="text1"/>
                  </w:rPr>
                  <w:t>（</w:t>
                </w:r>
                <w:r>
                  <w:rPr>
                    <w:rFonts w:hint="eastAsia"/>
                    <w:color w:val="000000" w:themeColor="text1"/>
                  </w:rPr>
                  <w:t>%</w:t>
                </w:r>
                <w:r>
                  <w:rPr>
                    <w:rFonts w:hint="eastAsia"/>
                    <w:color w:val="000000" w:themeColor="text1"/>
                  </w:rPr>
                  <w:t>）</w:t>
                </w:r>
              </w:p>
            </w:tc>
          </w:sdtContent>
        </w:sdt>
      </w:tr>
      <w:tr w:rsidR="00156DD6">
        <w:tc>
          <w:tcPr>
            <w:tcW w:w="1158" w:type="pct"/>
          </w:tcPr>
          <w:p w:rsidR="00156DD6" w:rsidRDefault="00D51F5F">
            <w:pPr>
              <w:pStyle w:val="Style43"/>
              <w:rPr>
                <w:rFonts w:ascii="宋体" w:hAnsi="宋体" w:cs="宋体"/>
                <w:bCs/>
                <w:color w:val="000000" w:themeColor="text1"/>
                <w:sz w:val="21"/>
                <w:szCs w:val="21"/>
              </w:rPr>
            </w:pPr>
            <w:r>
              <w:rPr>
                <w:rFonts w:ascii="宋体" w:hAnsi="宋体" w:cs="宋体"/>
                <w:bCs/>
                <w:color w:val="000000" w:themeColor="text1"/>
                <w:sz w:val="21"/>
                <w:szCs w:val="21"/>
              </w:rPr>
              <w:t>银行承兑汇票组合</w:t>
            </w:r>
          </w:p>
        </w:tc>
        <w:tc>
          <w:tcPr>
            <w:tcW w:w="1276" w:type="pct"/>
            <w:vAlign w:val="center"/>
          </w:tcPr>
          <w:p w:rsidR="00156DD6" w:rsidRDefault="00D51F5F">
            <w:pPr>
              <w:jc w:val="right"/>
            </w:pPr>
            <w:r>
              <w:t xml:space="preserve"> 30,928,889.71 </w:t>
            </w:r>
          </w:p>
        </w:tc>
        <w:tc>
          <w:tcPr>
            <w:tcW w:w="1299" w:type="pct"/>
            <w:vAlign w:val="center"/>
          </w:tcPr>
          <w:p w:rsidR="00156DD6" w:rsidRDefault="00156DD6">
            <w:pPr>
              <w:jc w:val="right"/>
            </w:pPr>
          </w:p>
        </w:tc>
        <w:tc>
          <w:tcPr>
            <w:tcW w:w="1267" w:type="pct"/>
            <w:vAlign w:val="center"/>
          </w:tcPr>
          <w:p w:rsidR="00156DD6" w:rsidRDefault="00D51F5F">
            <w:pPr>
              <w:jc w:val="right"/>
            </w:pPr>
            <w:r>
              <w:t xml:space="preserve">   </w:t>
            </w:r>
          </w:p>
        </w:tc>
      </w:tr>
      <w:tr w:rsidR="00156DD6">
        <w:tc>
          <w:tcPr>
            <w:tcW w:w="1158" w:type="pct"/>
          </w:tcPr>
          <w:p w:rsidR="00156DD6" w:rsidRDefault="00D51F5F">
            <w:pPr>
              <w:pStyle w:val="Style43"/>
              <w:rPr>
                <w:rFonts w:ascii="宋体" w:hAnsi="宋体" w:cs="宋体"/>
                <w:bCs/>
                <w:color w:val="000000" w:themeColor="text1"/>
                <w:sz w:val="21"/>
                <w:szCs w:val="21"/>
              </w:rPr>
            </w:pPr>
            <w:r>
              <w:rPr>
                <w:rFonts w:ascii="宋体" w:hAnsi="宋体" w:cs="宋体" w:hint="eastAsia"/>
                <w:bCs/>
                <w:color w:val="000000" w:themeColor="text1"/>
                <w:sz w:val="21"/>
                <w:szCs w:val="21"/>
              </w:rPr>
              <w:t>供应链金融电子债权凭证</w:t>
            </w:r>
            <w:r>
              <w:rPr>
                <w:rFonts w:ascii="宋体" w:hAnsi="宋体" w:cs="宋体"/>
                <w:bCs/>
                <w:color w:val="000000" w:themeColor="text1"/>
                <w:sz w:val="21"/>
                <w:szCs w:val="21"/>
              </w:rPr>
              <w:t>组合</w:t>
            </w:r>
          </w:p>
        </w:tc>
        <w:tc>
          <w:tcPr>
            <w:tcW w:w="1276" w:type="pct"/>
            <w:vAlign w:val="center"/>
          </w:tcPr>
          <w:p w:rsidR="00156DD6" w:rsidRDefault="00D51F5F">
            <w:pPr>
              <w:jc w:val="right"/>
            </w:pPr>
            <w:r>
              <w:t xml:space="preserve"> 3,501,506.45 </w:t>
            </w:r>
          </w:p>
        </w:tc>
        <w:tc>
          <w:tcPr>
            <w:tcW w:w="1299" w:type="pct"/>
            <w:vAlign w:val="center"/>
          </w:tcPr>
          <w:p w:rsidR="00156DD6" w:rsidRDefault="00D51F5F">
            <w:pPr>
              <w:jc w:val="right"/>
            </w:pPr>
            <w:r>
              <w:t xml:space="preserve"> 246,559.99 </w:t>
            </w:r>
          </w:p>
        </w:tc>
        <w:tc>
          <w:tcPr>
            <w:tcW w:w="1267" w:type="pct"/>
            <w:vAlign w:val="center"/>
          </w:tcPr>
          <w:p w:rsidR="00156DD6" w:rsidRDefault="00D51F5F">
            <w:pPr>
              <w:jc w:val="right"/>
            </w:pPr>
            <w:r>
              <w:t xml:space="preserve"> 7.04 </w:t>
            </w:r>
          </w:p>
        </w:tc>
      </w:tr>
      <w:tr w:rsidR="00156DD6">
        <w:tc>
          <w:tcPr>
            <w:tcW w:w="1158" w:type="pct"/>
            <w:vAlign w:val="center"/>
          </w:tcPr>
          <w:p w:rsidR="00156DD6" w:rsidRDefault="00D51F5F">
            <w:pPr>
              <w:jc w:val="center"/>
              <w:rPr>
                <w:color w:val="000000" w:themeColor="text1"/>
              </w:rPr>
            </w:pPr>
            <w:r>
              <w:rPr>
                <w:rFonts w:hint="eastAsia"/>
                <w:color w:val="000000" w:themeColor="text1"/>
              </w:rPr>
              <w:t>合计</w:t>
            </w:r>
          </w:p>
        </w:tc>
        <w:tc>
          <w:tcPr>
            <w:tcW w:w="1276" w:type="pct"/>
            <w:vAlign w:val="center"/>
          </w:tcPr>
          <w:p w:rsidR="00156DD6" w:rsidRDefault="00D51F5F">
            <w:pPr>
              <w:jc w:val="right"/>
            </w:pPr>
            <w:r>
              <w:t xml:space="preserve"> 34,430,396.16 </w:t>
            </w:r>
          </w:p>
        </w:tc>
        <w:tc>
          <w:tcPr>
            <w:tcW w:w="1299" w:type="pct"/>
            <w:vAlign w:val="center"/>
          </w:tcPr>
          <w:p w:rsidR="00156DD6" w:rsidRDefault="00D51F5F">
            <w:pPr>
              <w:jc w:val="right"/>
            </w:pPr>
            <w:r>
              <w:t xml:space="preserve"> 246,559.99 </w:t>
            </w:r>
          </w:p>
        </w:tc>
        <w:tc>
          <w:tcPr>
            <w:tcW w:w="1267" w:type="pct"/>
            <w:vAlign w:val="center"/>
          </w:tcPr>
          <w:p w:rsidR="00156DD6" w:rsidRDefault="00D51F5F">
            <w:pPr>
              <w:jc w:val="right"/>
            </w:pPr>
            <w:r>
              <w:t xml:space="preserve"> 0.72 </w:t>
            </w:r>
          </w:p>
        </w:tc>
      </w:tr>
    </w:tbl>
    <w:p w:rsidR="00156DD6" w:rsidRDefault="00D51F5F">
      <w:pPr>
        <w:rPr>
          <w:color w:val="000000" w:themeColor="text1"/>
        </w:rPr>
      </w:pPr>
      <w:r>
        <w:rPr>
          <w:rFonts w:hint="eastAsia"/>
          <w:color w:val="000000" w:themeColor="text1"/>
        </w:rPr>
        <w:t>按组合计提坏账准备的说明</w:t>
      </w:r>
    </w:p>
    <w:sdt>
      <w:sdtPr>
        <w:rPr>
          <w:color w:val="000000" w:themeColor="text1"/>
        </w:rPr>
        <w:alias w:val="是否适用：按组合计提坏账准备的的说明[双击切换]"/>
        <w:tag w:val="_GBC_3b35e5a7dadd47138921433236c760e9"/>
        <w:id w:val="196538944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cstheme="minorBidi"/>
          <w:color w:val="000000" w:themeColor="text1"/>
        </w:rPr>
      </w:pPr>
      <w:bookmarkStart w:id="258" w:name="_Hlk153372713"/>
      <w:bookmarkStart w:id="259" w:name="_Hlk154134692"/>
      <w:r>
        <w:rPr>
          <w:rFonts w:cstheme="minorBidi" w:hint="eastAsia"/>
          <w:color w:val="000000" w:themeColor="text1"/>
        </w:rPr>
        <w:t>按预期信用损失一般模型计提坏账准备</w:t>
      </w:r>
    </w:p>
    <w:sdt>
      <w:sdtPr>
        <w:rPr>
          <w:rFonts w:cstheme="minorBidi"/>
          <w:color w:val="000000" w:themeColor="text1"/>
        </w:rPr>
        <w:alias w:val="是否适用：按预期信用损失一般模型计提坏账准备[双击切换]"/>
        <w:tag w:val="_GBC_205986a144f344f78129e3fba39b34ca"/>
        <w:id w:val="-1923558384"/>
        <w:placeholder>
          <w:docPart w:val="GBC22222222222222222222222222222"/>
        </w:placeholder>
      </w:sdtPr>
      <w:sdtEndPr/>
      <w:sdtContent>
        <w:p w:rsidR="00156DD6" w:rsidRDefault="00D51F5F">
          <w:pPr>
            <w:rPr>
              <w:rFonts w:cstheme="minorBidi"/>
              <w:color w:val="000000" w:themeColor="text1"/>
            </w:rPr>
          </w:pP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□适用</w:instrText>
          </w:r>
          <w:r>
            <w:rPr>
              <w:rFonts w:cstheme="minorBidi" w:hint="eastAsia"/>
              <w:color w:val="000000" w:themeColor="text1"/>
            </w:rPr>
            <w:instrText xml:space="preserve"> </w:instrText>
          </w:r>
          <w:r>
            <w:rPr>
              <w:rFonts w:cstheme="minorBidi"/>
              <w:color w:val="000000" w:themeColor="text1"/>
            </w:rPr>
            <w:fldChar w:fldCharType="end"/>
          </w: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√不适用</w:instrText>
          </w:r>
          <w:r>
            <w:rPr>
              <w:rFonts w:cstheme="minorBidi" w:hint="eastAsia"/>
              <w:color w:val="000000" w:themeColor="text1"/>
            </w:rPr>
            <w:instrText xml:space="preserve"> </w:instrText>
          </w:r>
          <w:r>
            <w:rPr>
              <w:rFonts w:cstheme="minorBidi"/>
              <w:color w:val="000000" w:themeColor="text1"/>
            </w:rPr>
            <w:fldChar w:fldCharType="end"/>
          </w:r>
        </w:p>
      </w:sdtContent>
    </w:sdt>
    <w:p w:rsidR="00156DD6" w:rsidRDefault="00D51F5F">
      <w:pPr>
        <w:autoSpaceDE w:val="0"/>
        <w:autoSpaceDN w:val="0"/>
        <w:adjustRightInd w:val="0"/>
        <w:ind w:rightChars="50" w:right="105"/>
        <w:rPr>
          <w:color w:val="000000" w:themeColor="text1"/>
        </w:rPr>
      </w:pPr>
      <w:r>
        <w:rPr>
          <w:rFonts w:hint="eastAsia"/>
          <w:color w:val="000000" w:themeColor="text1"/>
        </w:rPr>
        <w:t>各阶段划分依据和坏账准备计提比例</w:t>
      </w:r>
    </w:p>
    <w:p w:rsidR="00156DD6" w:rsidRDefault="00D51F5F">
      <w:pPr>
        <w:rPr>
          <w:rFonts w:cs="Times New Roman"/>
          <w:color w:val="000000" w:themeColor="text1"/>
        </w:rPr>
      </w:pPr>
      <w:r>
        <w:rPr>
          <w:rFonts w:cs="Times New Roman" w:hint="eastAsia"/>
          <w:color w:val="000000" w:themeColor="text1"/>
        </w:rPr>
        <w:t>无</w:t>
      </w:r>
    </w:p>
    <w:p w:rsidR="00156DD6" w:rsidRDefault="00D51F5F">
      <w:pPr>
        <w:pStyle w:val="Style100"/>
        <w:rPr>
          <w:color w:val="000000" w:themeColor="text1"/>
          <w:sz w:val="21"/>
          <w:szCs w:val="21"/>
        </w:rPr>
      </w:pPr>
      <w:r>
        <w:rPr>
          <w:rFonts w:hint="eastAsia"/>
          <w:color w:val="000000" w:themeColor="text1"/>
          <w:sz w:val="21"/>
          <w:szCs w:val="21"/>
        </w:rPr>
        <w:t>对本期发生损失准备变动的应收款项融资账面余额显著变动的情况说明：</w:t>
      </w:r>
    </w:p>
    <w:sdt>
      <w:sdtPr>
        <w:rPr>
          <w:color w:val="000000" w:themeColor="text1"/>
        </w:rPr>
        <w:alias w:val="是否适用：对本期发生损失准备变动的账面余额显著变动的情况说明[双击切换]"/>
        <w:tag w:val="_GBC_ae382171e73840ef92b5fb34fa844e9f"/>
        <w:id w:val="-602955392"/>
        <w:placeholder>
          <w:docPart w:val="GBC22222222222222222222222222222"/>
        </w:placeholder>
      </w:sdtPr>
      <w:sdtEndPr/>
      <w:sdtContent>
        <w:p w:rsidR="00156DD6" w:rsidRDefault="00D51F5F">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58"/>
    <w:bookmarkEnd w:id="259"/>
    <w:p w:rsidR="00156DD6" w:rsidRDefault="00D51F5F">
      <w:pPr>
        <w:pStyle w:val="Style47"/>
        <w:numPr>
          <w:ilvl w:val="0"/>
          <w:numId w:val="47"/>
        </w:numPr>
        <w:tabs>
          <w:tab w:val="left" w:pos="360"/>
        </w:tabs>
        <w:ind w:left="0" w:firstLine="0"/>
        <w:rPr>
          <w:color w:val="000000" w:themeColor="text1"/>
          <w:sz w:val="21"/>
          <w:szCs w:val="32"/>
        </w:rPr>
      </w:pPr>
      <w:r>
        <w:rPr>
          <w:rFonts w:hint="eastAsia"/>
          <w:color w:val="000000" w:themeColor="text1"/>
          <w:sz w:val="21"/>
          <w:szCs w:val="32"/>
        </w:rPr>
        <w:t>坏账准备的情况</w:t>
      </w:r>
    </w:p>
    <w:sdt>
      <w:sdtPr>
        <w:rPr>
          <w:color w:val="000000" w:themeColor="text1"/>
        </w:rPr>
        <w:alias w:val="是否适用：坏账准备情况[双击切换]"/>
        <w:tag w:val="_GBC_808e84ec9b034cfdb05b2cba07546530"/>
        <w:id w:val="-49194988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snapToGrid w:val="0"/>
        <w:spacing w:line="240" w:lineRule="atLeast"/>
        <w:ind w:left="425"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坏账准备情况"/>
          <w:tag w:val="_GBC_84bfb6ea47b24edb97b66eb6e5b63748"/>
          <w:id w:val="-191461561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坏账准备情况"/>
          <w:tag w:val="_GBC_de61a6c4267f43538fa404aa6715a962"/>
          <w:id w:val="-4069114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9"/>
        <w:gridCol w:w="1906"/>
        <w:gridCol w:w="2069"/>
        <w:gridCol w:w="1905"/>
        <w:gridCol w:w="1910"/>
        <w:gridCol w:w="1905"/>
        <w:gridCol w:w="1899"/>
      </w:tblGrid>
      <w:tr w:rsidR="00156DD6">
        <w:bookmarkStart w:id="260" w:name="OLE_LINK3" w:displacedByCustomXml="next"/>
        <w:sdt>
          <w:sdtPr>
            <w:tag w:val="_PLD_edd395b8b3e845f1a313e276338c64fc"/>
            <w:id w:val="-385410139"/>
          </w:sdtPr>
          <w:sdtEndPr/>
          <w:sdtContent>
            <w:tc>
              <w:tcPr>
                <w:tcW w:w="818" w:type="pct"/>
                <w:vMerge w:val="restart"/>
                <w:shd w:val="clear" w:color="auto" w:fill="FFFFFF"/>
                <w:vAlign w:val="center"/>
              </w:tcPr>
              <w:p w:rsidR="00156DD6" w:rsidRDefault="00D51F5F">
                <w:pPr>
                  <w:widowControl w:val="0"/>
                  <w:jc w:val="center"/>
                  <w:rPr>
                    <w:color w:val="000000" w:themeColor="text1"/>
                  </w:rPr>
                </w:pPr>
                <w:r>
                  <w:rPr>
                    <w:color w:val="000000" w:themeColor="text1"/>
                  </w:rPr>
                  <w:t>类别</w:t>
                </w:r>
              </w:p>
            </w:tc>
          </w:sdtContent>
        </w:sdt>
        <w:sdt>
          <w:sdtPr>
            <w:tag w:val="_PLD_8fb8986f0f8948c88eb62e367aa7d589"/>
            <w:id w:val="-765153365"/>
          </w:sdtPr>
          <w:sdtEndPr/>
          <w:sdtContent>
            <w:tc>
              <w:tcPr>
                <w:tcW w:w="687" w:type="pct"/>
                <w:vMerge w:val="restart"/>
                <w:shd w:val="clear" w:color="auto" w:fill="FFFFFF"/>
                <w:vAlign w:val="center"/>
              </w:tcPr>
              <w:p w:rsidR="00156DD6" w:rsidRDefault="00D51F5F">
                <w:pPr>
                  <w:widowControl w:val="0"/>
                  <w:jc w:val="center"/>
                  <w:rPr>
                    <w:color w:val="000000" w:themeColor="text1"/>
                  </w:rPr>
                </w:pPr>
                <w:r>
                  <w:rPr>
                    <w:color w:val="000000" w:themeColor="text1"/>
                  </w:rPr>
                  <w:t>期初余额</w:t>
                </w:r>
              </w:p>
            </w:tc>
          </w:sdtContent>
        </w:sdt>
        <w:sdt>
          <w:sdtPr>
            <w:tag w:val="_PLD_6f7dbdca626947c79b628fe45b693422"/>
            <w:id w:val="-1522083334"/>
          </w:sdtPr>
          <w:sdtEndPr/>
          <w:sdtContent>
            <w:tc>
              <w:tcPr>
                <w:tcW w:w="2809" w:type="pct"/>
                <w:gridSpan w:val="4"/>
                <w:shd w:val="clear" w:color="auto" w:fill="FFFFFF"/>
                <w:vAlign w:val="center"/>
              </w:tcPr>
              <w:p w:rsidR="00156DD6" w:rsidRDefault="00D51F5F">
                <w:pPr>
                  <w:widowControl w:val="0"/>
                  <w:jc w:val="center"/>
                  <w:rPr>
                    <w:color w:val="000000" w:themeColor="text1"/>
                  </w:rPr>
                </w:pPr>
                <w:r>
                  <w:rPr>
                    <w:rFonts w:hint="eastAsia"/>
                    <w:color w:val="000000" w:themeColor="text1"/>
                  </w:rPr>
                  <w:t>本期变动</w:t>
                </w:r>
                <w:r>
                  <w:rPr>
                    <w:color w:val="000000" w:themeColor="text1"/>
                  </w:rPr>
                  <w:t>金额</w:t>
                </w:r>
              </w:p>
            </w:tc>
          </w:sdtContent>
        </w:sdt>
        <w:tc>
          <w:tcPr>
            <w:tcW w:w="685" w:type="pct"/>
            <w:vMerge w:val="restart"/>
            <w:shd w:val="clear" w:color="auto" w:fill="FFFFFF"/>
            <w:vAlign w:val="center"/>
          </w:tcPr>
          <w:sdt>
            <w:sdtPr>
              <w:tag w:val="_PLD_c531cf45aa6447038dbb320044841d53"/>
              <w:id w:val="-1410526355"/>
            </w:sdtPr>
            <w:sdtEndPr/>
            <w:sdtContent>
              <w:p w:rsidR="00156DD6" w:rsidRDefault="00D51F5F">
                <w:pPr>
                  <w:widowControl w:val="0"/>
                  <w:jc w:val="center"/>
                  <w:rPr>
                    <w:color w:val="000000" w:themeColor="text1"/>
                  </w:rPr>
                </w:pPr>
                <w:r>
                  <w:rPr>
                    <w:color w:val="000000" w:themeColor="text1"/>
                  </w:rPr>
                  <w:t>期末余额</w:t>
                </w:r>
              </w:p>
            </w:sdtContent>
          </w:sdt>
        </w:tc>
      </w:tr>
      <w:tr w:rsidR="00156DD6">
        <w:tc>
          <w:tcPr>
            <w:tcW w:w="818" w:type="pct"/>
            <w:vMerge/>
            <w:shd w:val="clear" w:color="auto" w:fill="FFFFFF"/>
          </w:tcPr>
          <w:p w:rsidR="00156DD6" w:rsidRDefault="00156DD6">
            <w:pPr>
              <w:widowControl w:val="0"/>
              <w:jc w:val="center"/>
              <w:rPr>
                <w:color w:val="000000" w:themeColor="text1"/>
              </w:rPr>
            </w:pPr>
          </w:p>
        </w:tc>
        <w:tc>
          <w:tcPr>
            <w:tcW w:w="687" w:type="pct"/>
            <w:vMerge/>
            <w:shd w:val="clear" w:color="auto" w:fill="FFFFFF"/>
          </w:tcPr>
          <w:p w:rsidR="00156DD6" w:rsidRDefault="00156DD6">
            <w:pPr>
              <w:widowControl w:val="0"/>
              <w:jc w:val="center"/>
              <w:rPr>
                <w:color w:val="000000" w:themeColor="text1"/>
              </w:rPr>
            </w:pPr>
          </w:p>
        </w:tc>
        <w:sdt>
          <w:sdtPr>
            <w:tag w:val="_PLD_865b3bdae8bd4443b7b4c12eb3ce1b17"/>
            <w:id w:val="-2062391253"/>
          </w:sdtPr>
          <w:sdtEndPr/>
          <w:sdtContent>
            <w:tc>
              <w:tcPr>
                <w:tcW w:w="746" w:type="pct"/>
                <w:shd w:val="clear" w:color="auto" w:fill="FFFFFF"/>
                <w:vAlign w:val="center"/>
              </w:tcPr>
              <w:p w:rsidR="00156DD6" w:rsidRDefault="00D51F5F">
                <w:pPr>
                  <w:widowControl w:val="0"/>
                  <w:jc w:val="center"/>
                  <w:rPr>
                    <w:color w:val="000000" w:themeColor="text1"/>
                  </w:rPr>
                </w:pPr>
                <w:r>
                  <w:rPr>
                    <w:color w:val="000000" w:themeColor="text1"/>
                  </w:rPr>
                  <w:t>计提</w:t>
                </w:r>
              </w:p>
            </w:tc>
          </w:sdtContent>
        </w:sdt>
        <w:sdt>
          <w:sdtPr>
            <w:tag w:val="_PLD_08f916e8d73040dca77181904184dfd3"/>
            <w:id w:val="-2081815559"/>
          </w:sdtPr>
          <w:sdtEndPr/>
          <w:sdtContent>
            <w:tc>
              <w:tcPr>
                <w:tcW w:w="687" w:type="pct"/>
                <w:shd w:val="clear" w:color="auto" w:fill="FFFFFF"/>
                <w:vAlign w:val="center"/>
              </w:tcPr>
              <w:p w:rsidR="00156DD6" w:rsidRDefault="00D51F5F">
                <w:pPr>
                  <w:widowControl w:val="0"/>
                  <w:jc w:val="center"/>
                  <w:rPr>
                    <w:color w:val="000000" w:themeColor="text1"/>
                  </w:rPr>
                </w:pPr>
                <w:r>
                  <w:rPr>
                    <w:rFonts w:hint="eastAsia"/>
                    <w:color w:val="000000" w:themeColor="text1"/>
                  </w:rPr>
                  <w:t>收回或转回</w:t>
                </w:r>
              </w:p>
            </w:tc>
          </w:sdtContent>
        </w:sdt>
        <w:sdt>
          <w:sdtPr>
            <w:tag w:val="_PLD_1a5551cddb1a46e08fe893dc39daeaba"/>
            <w:id w:val="-1585676088"/>
          </w:sdtPr>
          <w:sdtEndPr/>
          <w:sdtContent>
            <w:tc>
              <w:tcPr>
                <w:tcW w:w="689" w:type="pct"/>
                <w:shd w:val="clear" w:color="auto" w:fill="FFFFFF"/>
                <w:vAlign w:val="center"/>
              </w:tcPr>
              <w:p w:rsidR="00156DD6" w:rsidRDefault="00D51F5F">
                <w:pPr>
                  <w:widowControl w:val="0"/>
                  <w:jc w:val="center"/>
                  <w:rPr>
                    <w:color w:val="000000" w:themeColor="text1"/>
                  </w:rPr>
                </w:pPr>
                <w:r>
                  <w:rPr>
                    <w:rFonts w:hint="eastAsia"/>
                    <w:color w:val="000000" w:themeColor="text1"/>
                  </w:rPr>
                  <w:t>转销或核销</w:t>
                </w:r>
              </w:p>
            </w:tc>
          </w:sdtContent>
        </w:sdt>
        <w:sdt>
          <w:sdtPr>
            <w:tag w:val="_PLD_2a508871130d45279687a5d871df27f3"/>
            <w:id w:val="-846630409"/>
          </w:sdtPr>
          <w:sdtEndPr/>
          <w:sdtContent>
            <w:tc>
              <w:tcPr>
                <w:tcW w:w="687" w:type="pct"/>
                <w:shd w:val="clear" w:color="auto" w:fill="FFFFFF"/>
                <w:vAlign w:val="center"/>
              </w:tcPr>
              <w:p w:rsidR="00156DD6" w:rsidRDefault="00D51F5F">
                <w:pPr>
                  <w:widowControl w:val="0"/>
                  <w:jc w:val="center"/>
                  <w:rPr>
                    <w:color w:val="000000" w:themeColor="text1"/>
                  </w:rPr>
                </w:pPr>
                <w:r>
                  <w:rPr>
                    <w:rFonts w:hint="eastAsia"/>
                    <w:color w:val="000000" w:themeColor="text1"/>
                  </w:rPr>
                  <w:t>其他变动</w:t>
                </w:r>
              </w:p>
            </w:tc>
          </w:sdtContent>
        </w:sdt>
        <w:tc>
          <w:tcPr>
            <w:tcW w:w="685" w:type="pct"/>
            <w:vMerge/>
            <w:shd w:val="clear" w:color="auto" w:fill="FFFFFF"/>
          </w:tcPr>
          <w:p w:rsidR="00156DD6" w:rsidRDefault="00156DD6">
            <w:pPr>
              <w:widowControl w:val="0"/>
              <w:jc w:val="right"/>
              <w:rPr>
                <w:color w:val="000000" w:themeColor="text1"/>
              </w:rPr>
            </w:pPr>
          </w:p>
        </w:tc>
      </w:tr>
      <w:tr w:rsidR="00156DD6">
        <w:tc>
          <w:tcPr>
            <w:tcW w:w="818" w:type="pct"/>
          </w:tcPr>
          <w:p w:rsidR="00156DD6" w:rsidRDefault="00D51F5F">
            <w:pPr>
              <w:widowControl w:val="0"/>
            </w:pPr>
            <w:r>
              <w:rPr>
                <w:rFonts w:hint="eastAsia"/>
              </w:rPr>
              <w:t>按组合计提坏账准备</w:t>
            </w:r>
          </w:p>
        </w:tc>
        <w:tc>
          <w:tcPr>
            <w:tcW w:w="687" w:type="pct"/>
            <w:vAlign w:val="center"/>
          </w:tcPr>
          <w:p w:rsidR="00156DD6" w:rsidRDefault="00D51F5F">
            <w:pPr>
              <w:widowControl w:val="0"/>
              <w:jc w:val="right"/>
            </w:pPr>
            <w:r>
              <w:t>201,402.85</w:t>
            </w:r>
          </w:p>
        </w:tc>
        <w:tc>
          <w:tcPr>
            <w:tcW w:w="746" w:type="pct"/>
            <w:vAlign w:val="center"/>
          </w:tcPr>
          <w:p w:rsidR="00156DD6" w:rsidRDefault="00D51F5F">
            <w:pPr>
              <w:widowControl w:val="0"/>
              <w:jc w:val="right"/>
            </w:pPr>
            <w:r>
              <w:t>45,157.14</w:t>
            </w:r>
          </w:p>
        </w:tc>
        <w:tc>
          <w:tcPr>
            <w:tcW w:w="687" w:type="pct"/>
            <w:vAlign w:val="center"/>
          </w:tcPr>
          <w:p w:rsidR="00156DD6" w:rsidRDefault="00156DD6">
            <w:pPr>
              <w:widowControl w:val="0"/>
              <w:jc w:val="right"/>
            </w:pPr>
          </w:p>
        </w:tc>
        <w:tc>
          <w:tcPr>
            <w:tcW w:w="689" w:type="pct"/>
            <w:vAlign w:val="center"/>
          </w:tcPr>
          <w:p w:rsidR="00156DD6" w:rsidRDefault="00156DD6">
            <w:pPr>
              <w:widowControl w:val="0"/>
              <w:jc w:val="right"/>
            </w:pPr>
          </w:p>
        </w:tc>
        <w:tc>
          <w:tcPr>
            <w:tcW w:w="687" w:type="pct"/>
            <w:vAlign w:val="center"/>
          </w:tcPr>
          <w:p w:rsidR="00156DD6" w:rsidRDefault="00156DD6">
            <w:pPr>
              <w:widowControl w:val="0"/>
              <w:jc w:val="right"/>
            </w:pPr>
          </w:p>
        </w:tc>
        <w:tc>
          <w:tcPr>
            <w:tcW w:w="685" w:type="pct"/>
            <w:vAlign w:val="center"/>
          </w:tcPr>
          <w:p w:rsidR="00156DD6" w:rsidRDefault="00D51F5F">
            <w:pPr>
              <w:widowControl w:val="0"/>
              <w:jc w:val="right"/>
            </w:pPr>
            <w:r>
              <w:t>246,559.99</w:t>
            </w:r>
          </w:p>
        </w:tc>
      </w:tr>
      <w:tr w:rsidR="00156DD6">
        <w:tc>
          <w:tcPr>
            <w:tcW w:w="818" w:type="pct"/>
          </w:tcPr>
          <w:p w:rsidR="00156DD6" w:rsidRDefault="00D51F5F">
            <w:pPr>
              <w:widowControl w:val="0"/>
              <w:jc w:val="center"/>
              <w:rPr>
                <w:color w:val="000000" w:themeColor="text1"/>
              </w:rPr>
            </w:pPr>
            <w:r>
              <w:rPr>
                <w:rFonts w:hint="eastAsia"/>
                <w:color w:val="000000" w:themeColor="text1"/>
              </w:rPr>
              <w:t>合计</w:t>
            </w:r>
          </w:p>
        </w:tc>
        <w:tc>
          <w:tcPr>
            <w:tcW w:w="687" w:type="pct"/>
            <w:vAlign w:val="center"/>
          </w:tcPr>
          <w:p w:rsidR="00156DD6" w:rsidRDefault="00D51F5F">
            <w:pPr>
              <w:widowControl w:val="0"/>
              <w:jc w:val="right"/>
            </w:pPr>
            <w:r>
              <w:t>201,402.85</w:t>
            </w:r>
          </w:p>
        </w:tc>
        <w:tc>
          <w:tcPr>
            <w:tcW w:w="746" w:type="pct"/>
            <w:vAlign w:val="center"/>
          </w:tcPr>
          <w:p w:rsidR="00156DD6" w:rsidRDefault="00D51F5F">
            <w:pPr>
              <w:widowControl w:val="0"/>
              <w:jc w:val="right"/>
            </w:pPr>
            <w:r>
              <w:t>45,157.14</w:t>
            </w:r>
          </w:p>
        </w:tc>
        <w:tc>
          <w:tcPr>
            <w:tcW w:w="687" w:type="pct"/>
            <w:vAlign w:val="center"/>
          </w:tcPr>
          <w:p w:rsidR="00156DD6" w:rsidRDefault="00156DD6">
            <w:pPr>
              <w:widowControl w:val="0"/>
              <w:jc w:val="right"/>
            </w:pPr>
          </w:p>
        </w:tc>
        <w:tc>
          <w:tcPr>
            <w:tcW w:w="689" w:type="pct"/>
            <w:vAlign w:val="center"/>
          </w:tcPr>
          <w:p w:rsidR="00156DD6" w:rsidRDefault="00156DD6">
            <w:pPr>
              <w:widowControl w:val="0"/>
              <w:jc w:val="right"/>
            </w:pPr>
          </w:p>
        </w:tc>
        <w:tc>
          <w:tcPr>
            <w:tcW w:w="687" w:type="pct"/>
            <w:vAlign w:val="center"/>
          </w:tcPr>
          <w:p w:rsidR="00156DD6" w:rsidRDefault="00156DD6">
            <w:pPr>
              <w:widowControl w:val="0"/>
              <w:jc w:val="right"/>
            </w:pPr>
          </w:p>
        </w:tc>
        <w:tc>
          <w:tcPr>
            <w:tcW w:w="685" w:type="pct"/>
            <w:vAlign w:val="center"/>
          </w:tcPr>
          <w:p w:rsidR="00156DD6" w:rsidRDefault="00D51F5F">
            <w:pPr>
              <w:widowControl w:val="0"/>
              <w:jc w:val="right"/>
            </w:pPr>
            <w:r>
              <w:t>246,559.99</w:t>
            </w:r>
          </w:p>
        </w:tc>
      </w:tr>
    </w:tbl>
    <w:bookmarkEnd w:id="260"/>
    <w:p w:rsidR="00156DD6" w:rsidRDefault="00D51F5F">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382a7c63c3664661a21baa08f6ba86a8"/>
        <w:id w:val="179971649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坏账准备情况的说明"/>
        <w:tag w:val="_GBC_61ca0a7cb2a147fba52fe081c3ffe8b1"/>
        <w:id w:val="694344196"/>
        <w:placeholder>
          <w:docPart w:val="GBC22222222222222222222222222222"/>
        </w:placeholder>
      </w:sdtPr>
      <w:sdtEndPr/>
      <w:sdtContent>
        <w:p w:rsidR="00156DD6" w:rsidRDefault="00D51F5F">
          <w:pPr>
            <w:ind w:rightChars="20" w:right="42"/>
            <w:rPr>
              <w:color w:val="000000" w:themeColor="text1"/>
            </w:rPr>
          </w:pPr>
          <w:r>
            <w:rPr>
              <w:rFonts w:hint="eastAsia"/>
              <w:color w:val="000000" w:themeColor="text1"/>
            </w:rPr>
            <w:t>无</w:t>
          </w:r>
        </w:p>
      </w:sdtContent>
    </w:sdt>
    <w:p w:rsidR="00156DD6" w:rsidRDefault="00D51F5F">
      <w:pPr>
        <w:pStyle w:val="Style47"/>
        <w:numPr>
          <w:ilvl w:val="0"/>
          <w:numId w:val="47"/>
        </w:numPr>
        <w:tabs>
          <w:tab w:val="left" w:pos="360"/>
        </w:tabs>
        <w:ind w:left="0" w:firstLine="0"/>
        <w:rPr>
          <w:color w:val="000000" w:themeColor="text1"/>
          <w:sz w:val="21"/>
          <w:szCs w:val="21"/>
        </w:rPr>
      </w:pPr>
      <w:r>
        <w:rPr>
          <w:rFonts w:hint="eastAsia"/>
          <w:color w:val="000000" w:themeColor="text1"/>
          <w:sz w:val="21"/>
          <w:szCs w:val="21"/>
        </w:rPr>
        <w:t>本期实际核销的应收款项融资情况</w:t>
      </w:r>
    </w:p>
    <w:sdt>
      <w:sdtPr>
        <w:rPr>
          <w:color w:val="000000" w:themeColor="text1"/>
        </w:rPr>
        <w:alias w:val="是否适用：实际核销的情况[双击切换]"/>
        <w:tag w:val="_GBC_a2d69dfc601543db9955bbac18a0162c"/>
        <w:id w:val="59837530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其中重要的应收款项融资核销情况</w:t>
      </w:r>
    </w:p>
    <w:sdt>
      <w:sdtPr>
        <w:rPr>
          <w:rFonts w:hint="eastAsia"/>
          <w:color w:val="000000" w:themeColor="text1"/>
        </w:rPr>
        <w:alias w:val="是否适用：重要的核销情况[双击切换]"/>
        <w:tag w:val="_GBC_1b7bee0edc57444896650801ca80ffe4"/>
        <w:id w:val="68803399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488ea774dd4f4c1d882f56da574ad29c"/>
        <w:id w:val="740912537"/>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47"/>
        </w:numPr>
        <w:tabs>
          <w:tab w:val="left" w:pos="360"/>
        </w:tabs>
        <w:ind w:left="0" w:firstLine="0"/>
        <w:rPr>
          <w:color w:val="000000" w:themeColor="text1"/>
          <w:sz w:val="21"/>
          <w:szCs w:val="21"/>
        </w:rPr>
      </w:pPr>
      <w:r>
        <w:rPr>
          <w:rFonts w:hint="eastAsia"/>
          <w:color w:val="000000" w:themeColor="text1"/>
          <w:sz w:val="21"/>
          <w:szCs w:val="21"/>
        </w:rPr>
        <w:t>应收款项融资本期增减变动及公允价值变动情况：</w:t>
      </w:r>
    </w:p>
    <w:sdt>
      <w:sdtPr>
        <w:rPr>
          <w:rFonts w:hint="eastAsia"/>
          <w:color w:val="000000" w:themeColor="text1"/>
        </w:rPr>
        <w:alias w:val="是否适用：应收款项融资本期增减变动及公允价值变动情况[双击切换]"/>
        <w:tag w:val="_GBC_229d012533ea43b7b63c184aa0b161d0"/>
        <w:id w:val="-29229667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w:instrText>
          </w:r>
          <w:r>
            <w:rPr>
              <w:rFonts w:hint="eastAsia"/>
              <w:color w:val="000000" w:themeColor="text1"/>
            </w:rPr>
            <w:instrText xml:space="preserve">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53"/>
    <w:bookmarkEnd w:id="256"/>
    <w:bookmarkEnd w:id="255"/>
    <w:p w:rsidR="00156DD6" w:rsidRDefault="00D51F5F">
      <w:pPr>
        <w:pStyle w:val="Style47"/>
        <w:numPr>
          <w:ilvl w:val="0"/>
          <w:numId w:val="47"/>
        </w:numPr>
        <w:tabs>
          <w:tab w:val="left" w:pos="360"/>
        </w:tabs>
        <w:ind w:left="0" w:firstLine="0"/>
        <w:rPr>
          <w:color w:val="000000" w:themeColor="text1"/>
          <w:sz w:val="21"/>
          <w:szCs w:val="21"/>
        </w:rPr>
      </w:pPr>
      <w:r>
        <w:rPr>
          <w:rFonts w:hint="eastAsia"/>
          <w:color w:val="000000" w:themeColor="text1"/>
          <w:sz w:val="21"/>
          <w:szCs w:val="21"/>
        </w:rPr>
        <w:t>其他说明：</w:t>
      </w:r>
    </w:p>
    <w:bookmarkStart w:id="261" w:name="_Hlk13057390" w:displacedByCustomXml="next"/>
    <w:sdt>
      <w:sdtPr>
        <w:rPr>
          <w:rFonts w:hint="eastAsia"/>
          <w:color w:val="000000" w:themeColor="text1"/>
        </w:rPr>
        <w:alias w:val="是否适用：应收款项融资其他说明[双击切换]"/>
        <w:tag w:val="_GBC_f2fd5be9d56145ea8eaacde595a4b245"/>
        <w:id w:val="-67958090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61"/>
    <w:p w:rsidR="00156DD6" w:rsidRDefault="00156DD6">
      <w:pPr>
        <w:rPr>
          <w:color w:val="000000" w:themeColor="text1"/>
        </w:rPr>
        <w:sectPr w:rsidR="00156DD6">
          <w:pgSz w:w="16838" w:h="11906" w:orient="landscape"/>
          <w:pgMar w:top="1797" w:right="1525" w:bottom="1276" w:left="1440" w:header="856" w:footer="992" w:gutter="0"/>
          <w:cols w:space="425"/>
          <w:docGrid w:linePitch="312"/>
        </w:sectPr>
      </w:pPr>
    </w:p>
    <w:bookmarkEnd w:id="254"/>
    <w:p w:rsidR="00156DD6" w:rsidRDefault="00D51F5F">
      <w:pPr>
        <w:pStyle w:val="TOC6"/>
        <w:numPr>
          <w:ilvl w:val="0"/>
          <w:numId w:val="43"/>
        </w:numPr>
        <w:rPr>
          <w:color w:val="000000" w:themeColor="text1"/>
          <w:sz w:val="21"/>
          <w:szCs w:val="21"/>
        </w:rPr>
      </w:pPr>
      <w:r>
        <w:rPr>
          <w:color w:val="000000" w:themeColor="text1"/>
          <w:sz w:val="21"/>
          <w:szCs w:val="21"/>
        </w:rPr>
        <w:lastRenderedPageBreak/>
        <w:t>预付款项</w:t>
      </w:r>
    </w:p>
    <w:p w:rsidR="00156DD6" w:rsidRDefault="00D51F5F">
      <w:pPr>
        <w:pStyle w:val="Style47"/>
        <w:numPr>
          <w:ilvl w:val="0"/>
          <w:numId w:val="48"/>
        </w:numPr>
        <w:tabs>
          <w:tab w:val="left" w:pos="616"/>
        </w:tabs>
        <w:rPr>
          <w:rFonts w:ascii="宋体" w:hAnsi="宋体"/>
          <w:color w:val="000000" w:themeColor="text1"/>
          <w:sz w:val="21"/>
          <w:szCs w:val="21"/>
        </w:rPr>
      </w:pPr>
      <w:r>
        <w:rPr>
          <w:rFonts w:ascii="宋体" w:hAnsi="宋体" w:hint="eastAsia"/>
          <w:color w:val="000000" w:themeColor="text1"/>
          <w:sz w:val="21"/>
          <w:szCs w:val="21"/>
        </w:rPr>
        <w:t>预付款项按账龄列示</w:t>
      </w:r>
    </w:p>
    <w:sdt>
      <w:sdtPr>
        <w:rPr>
          <w:color w:val="000000" w:themeColor="text1"/>
        </w:rPr>
        <w:alias w:val="是否适用：预付款项按账龄列示[双击切换]"/>
        <w:tag w:val="_GBC_af3b3e24767e48f7a70a5cfa609407a2"/>
        <w:id w:val="58349668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b/>
          <w:color w:val="000000" w:themeColor="text1"/>
        </w:rPr>
      </w:pPr>
      <w:r>
        <w:rPr>
          <w:rFonts w:hint="eastAsia"/>
          <w:color w:val="000000" w:themeColor="text1"/>
        </w:rPr>
        <w:t>单位：</w:t>
      </w:r>
      <w:sdt>
        <w:sdtPr>
          <w:rPr>
            <w:rFonts w:hint="eastAsia"/>
            <w:color w:val="000000" w:themeColor="text1"/>
          </w:rPr>
          <w:alias w:val="单位：财务附注：预付账款账龄"/>
          <w:tag w:val="_GBC_9eb28bbf7d374cdf965c7e133b610fb3"/>
          <w:id w:val="2796118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预付账款账龄"/>
          <w:tag w:val="_GBC_d491347f74764df5af3312ad7a0a92e5"/>
          <w:id w:val="16407716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49"/>
        <w:gridCol w:w="1876"/>
        <w:gridCol w:w="1862"/>
        <w:gridCol w:w="1860"/>
        <w:gridCol w:w="1876"/>
      </w:tblGrid>
      <w:tr w:rsidR="00156DD6">
        <w:trPr>
          <w:cantSplit/>
          <w:trHeight w:val="237"/>
        </w:trPr>
        <w:bookmarkStart w:id="262" w:name="OLE_LINK24" w:displacedByCustomXml="next"/>
        <w:sdt>
          <w:sdtPr>
            <w:tag w:val="_PLD_159a64f22a4a4b1ab31846b4d6034c4c"/>
            <w:id w:val="-481006671"/>
          </w:sdtPr>
          <w:sdtEndPr/>
          <w:sdtContent>
            <w:tc>
              <w:tcPr>
                <w:tcW w:w="764" w:type="pct"/>
                <w:vMerge w:val="restart"/>
                <w:vAlign w:val="center"/>
              </w:tcPr>
              <w:p w:rsidR="00156DD6" w:rsidRDefault="00D51F5F">
                <w:pPr>
                  <w:jc w:val="center"/>
                  <w:rPr>
                    <w:color w:val="000000" w:themeColor="text1"/>
                  </w:rPr>
                </w:pPr>
                <w:r>
                  <w:rPr>
                    <w:rFonts w:hint="eastAsia"/>
                    <w:color w:val="000000" w:themeColor="text1"/>
                  </w:rPr>
                  <w:t>账龄</w:t>
                </w:r>
              </w:p>
            </w:tc>
          </w:sdtContent>
        </w:sdt>
        <w:sdt>
          <w:sdtPr>
            <w:tag w:val="_PLD_6ca82cba92a649d08c6ceb86dd951ef3"/>
            <w:id w:val="-806856531"/>
          </w:sdtPr>
          <w:sdtEndPr/>
          <w:sdtContent>
            <w:tc>
              <w:tcPr>
                <w:tcW w:w="2118" w:type="pct"/>
                <w:gridSpan w:val="2"/>
                <w:vAlign w:val="center"/>
              </w:tcPr>
              <w:p w:rsidR="00156DD6" w:rsidRDefault="00D51F5F">
                <w:pPr>
                  <w:jc w:val="center"/>
                  <w:rPr>
                    <w:color w:val="000000" w:themeColor="text1"/>
                  </w:rPr>
                </w:pPr>
                <w:r>
                  <w:rPr>
                    <w:rFonts w:hint="eastAsia"/>
                    <w:color w:val="000000" w:themeColor="text1"/>
                  </w:rPr>
                  <w:t>期末余额</w:t>
                </w:r>
              </w:p>
            </w:tc>
          </w:sdtContent>
        </w:sdt>
        <w:sdt>
          <w:sdtPr>
            <w:tag w:val="_PLD_365dab2f8fd246d79543ed0d2e6dcab7"/>
            <w:id w:val="1208156375"/>
          </w:sdtPr>
          <w:sdtEndPr/>
          <w:sdtContent>
            <w:tc>
              <w:tcPr>
                <w:tcW w:w="2117" w:type="pct"/>
                <w:gridSpan w:val="2"/>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764" w:type="pct"/>
            <w:vMerge/>
          </w:tcPr>
          <w:p w:rsidR="00156DD6" w:rsidRDefault="00156DD6">
            <w:pPr>
              <w:rPr>
                <w:color w:val="000000" w:themeColor="text1"/>
              </w:rPr>
            </w:pPr>
          </w:p>
        </w:tc>
        <w:sdt>
          <w:sdtPr>
            <w:tag w:val="_PLD_a9d7b721cfa446e9ae31149380da5970"/>
            <w:id w:val="-2124220097"/>
          </w:sdtPr>
          <w:sdtEndPr/>
          <w:sdtContent>
            <w:tc>
              <w:tcPr>
                <w:tcW w:w="1063" w:type="pct"/>
                <w:vAlign w:val="center"/>
              </w:tcPr>
              <w:p w:rsidR="00156DD6" w:rsidRDefault="00D51F5F">
                <w:pPr>
                  <w:jc w:val="center"/>
                  <w:rPr>
                    <w:color w:val="000000" w:themeColor="text1"/>
                  </w:rPr>
                </w:pPr>
                <w:r>
                  <w:rPr>
                    <w:rFonts w:hint="eastAsia"/>
                    <w:color w:val="000000" w:themeColor="text1"/>
                  </w:rPr>
                  <w:t>金额</w:t>
                </w:r>
              </w:p>
            </w:tc>
          </w:sdtContent>
        </w:sdt>
        <w:sdt>
          <w:sdtPr>
            <w:tag w:val="_PLD_2d8b8f523dcd4c95815b7c8fd528129d"/>
            <w:id w:val="1666983855"/>
          </w:sdtPr>
          <w:sdtEndPr/>
          <w:sdtContent>
            <w:tc>
              <w:tcPr>
                <w:tcW w:w="1055" w:type="pct"/>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sdt>
          <w:sdtPr>
            <w:tag w:val="_PLD_f01816a56b3f4ec1a7d603d3ac318eb1"/>
            <w:id w:val="-1310850436"/>
          </w:sdtPr>
          <w:sdtEndPr/>
          <w:sdtContent>
            <w:tc>
              <w:tcPr>
                <w:tcW w:w="1054" w:type="pct"/>
                <w:vAlign w:val="center"/>
              </w:tcPr>
              <w:p w:rsidR="00156DD6" w:rsidRDefault="00D51F5F">
                <w:pPr>
                  <w:jc w:val="center"/>
                  <w:rPr>
                    <w:color w:val="000000" w:themeColor="text1"/>
                  </w:rPr>
                </w:pPr>
                <w:r>
                  <w:rPr>
                    <w:rFonts w:hint="eastAsia"/>
                    <w:color w:val="000000" w:themeColor="text1"/>
                  </w:rPr>
                  <w:t>金额</w:t>
                </w:r>
              </w:p>
            </w:tc>
          </w:sdtContent>
        </w:sdt>
        <w:sdt>
          <w:sdtPr>
            <w:tag w:val="_PLD_55adcab5f9be4d24b3d0faaf5403e89a"/>
            <w:id w:val="-1675573824"/>
          </w:sdtPr>
          <w:sdtEndPr/>
          <w:sdtContent>
            <w:tc>
              <w:tcPr>
                <w:tcW w:w="1063" w:type="pct"/>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tr>
      <w:tr w:rsidR="00156DD6">
        <w:trPr>
          <w:cantSplit/>
        </w:trPr>
        <w:tc>
          <w:tcPr>
            <w:tcW w:w="764" w:type="pct"/>
          </w:tcPr>
          <w:p w:rsidR="00156DD6" w:rsidRDefault="00D51F5F">
            <w:pPr>
              <w:rPr>
                <w:color w:val="000000" w:themeColor="text1"/>
              </w:rPr>
            </w:pPr>
            <w:bookmarkStart w:id="263" w:name="_Hlk202970456"/>
            <w:r>
              <w:rPr>
                <w:rFonts w:hint="eastAsia"/>
                <w:color w:val="000000" w:themeColor="text1"/>
              </w:rPr>
              <w:t>1</w:t>
            </w:r>
            <w:r>
              <w:rPr>
                <w:rFonts w:hint="eastAsia"/>
                <w:color w:val="000000" w:themeColor="text1"/>
              </w:rPr>
              <w:t>年以内</w:t>
            </w:r>
          </w:p>
        </w:tc>
        <w:tc>
          <w:tcPr>
            <w:tcW w:w="1063" w:type="pct"/>
          </w:tcPr>
          <w:p w:rsidR="00156DD6" w:rsidRDefault="00D51F5F">
            <w:pPr>
              <w:jc w:val="right"/>
            </w:pPr>
            <w:r>
              <w:rPr>
                <w:rFonts w:hint="eastAsia"/>
              </w:rPr>
              <w:t xml:space="preserve"> 62,651,443.83 </w:t>
            </w:r>
          </w:p>
        </w:tc>
        <w:tc>
          <w:tcPr>
            <w:tcW w:w="1055" w:type="pct"/>
          </w:tcPr>
          <w:p w:rsidR="00156DD6" w:rsidRDefault="00D51F5F">
            <w:pPr>
              <w:jc w:val="right"/>
            </w:pPr>
            <w:r>
              <w:rPr>
                <w:rFonts w:hint="eastAsia"/>
              </w:rPr>
              <w:t xml:space="preserve"> 98.42 </w:t>
            </w:r>
          </w:p>
        </w:tc>
        <w:tc>
          <w:tcPr>
            <w:tcW w:w="1054" w:type="pct"/>
            <w:vAlign w:val="center"/>
          </w:tcPr>
          <w:p w:rsidR="00156DD6" w:rsidRDefault="00D51F5F">
            <w:pPr>
              <w:jc w:val="right"/>
            </w:pPr>
            <w:r>
              <w:t>79,873,625.60</w:t>
            </w:r>
          </w:p>
        </w:tc>
        <w:tc>
          <w:tcPr>
            <w:tcW w:w="1063" w:type="pct"/>
            <w:vAlign w:val="center"/>
          </w:tcPr>
          <w:p w:rsidR="00156DD6" w:rsidRDefault="00D51F5F">
            <w:pPr>
              <w:jc w:val="right"/>
            </w:pPr>
            <w:r>
              <w:t>98.90</w:t>
            </w:r>
          </w:p>
        </w:tc>
      </w:tr>
      <w:tr w:rsidR="00156DD6">
        <w:trPr>
          <w:cantSplit/>
        </w:trPr>
        <w:tc>
          <w:tcPr>
            <w:tcW w:w="764" w:type="pct"/>
          </w:tcPr>
          <w:p w:rsidR="00156DD6" w:rsidRDefault="00D51F5F">
            <w:pPr>
              <w:rPr>
                <w:color w:val="000000" w:themeColor="text1"/>
              </w:rPr>
            </w:pPr>
            <w:r>
              <w:rPr>
                <w:rFonts w:hint="eastAsia"/>
                <w:color w:val="000000" w:themeColor="text1"/>
              </w:rPr>
              <w:t>1</w:t>
            </w:r>
            <w:r>
              <w:rPr>
                <w:rFonts w:hint="eastAsia"/>
                <w:color w:val="000000" w:themeColor="text1"/>
              </w:rPr>
              <w:t>至</w:t>
            </w:r>
            <w:r>
              <w:rPr>
                <w:rFonts w:hint="eastAsia"/>
                <w:color w:val="000000" w:themeColor="text1"/>
              </w:rPr>
              <w:t>2</w:t>
            </w:r>
            <w:r>
              <w:rPr>
                <w:rFonts w:hint="eastAsia"/>
                <w:color w:val="000000" w:themeColor="text1"/>
              </w:rPr>
              <w:t>年</w:t>
            </w:r>
          </w:p>
        </w:tc>
        <w:tc>
          <w:tcPr>
            <w:tcW w:w="1063" w:type="pct"/>
          </w:tcPr>
          <w:p w:rsidR="00156DD6" w:rsidRDefault="00D51F5F">
            <w:pPr>
              <w:jc w:val="right"/>
            </w:pPr>
            <w:r>
              <w:rPr>
                <w:rFonts w:hint="eastAsia"/>
              </w:rPr>
              <w:t xml:space="preserve"> 286,974.08 </w:t>
            </w:r>
          </w:p>
        </w:tc>
        <w:tc>
          <w:tcPr>
            <w:tcW w:w="1055" w:type="pct"/>
          </w:tcPr>
          <w:p w:rsidR="00156DD6" w:rsidRDefault="00D51F5F">
            <w:pPr>
              <w:jc w:val="right"/>
            </w:pPr>
            <w:r>
              <w:rPr>
                <w:rFonts w:hint="eastAsia"/>
              </w:rPr>
              <w:t xml:space="preserve"> 0.45 </w:t>
            </w:r>
          </w:p>
        </w:tc>
        <w:tc>
          <w:tcPr>
            <w:tcW w:w="1054" w:type="pct"/>
            <w:vAlign w:val="center"/>
          </w:tcPr>
          <w:p w:rsidR="00156DD6" w:rsidRDefault="00D51F5F">
            <w:pPr>
              <w:jc w:val="right"/>
            </w:pPr>
            <w:r>
              <w:t>131,838.81</w:t>
            </w:r>
          </w:p>
        </w:tc>
        <w:tc>
          <w:tcPr>
            <w:tcW w:w="1063" w:type="pct"/>
            <w:vAlign w:val="center"/>
          </w:tcPr>
          <w:p w:rsidR="00156DD6" w:rsidRDefault="00D51F5F">
            <w:pPr>
              <w:jc w:val="right"/>
            </w:pPr>
            <w:r>
              <w:t>0.16</w:t>
            </w:r>
          </w:p>
        </w:tc>
      </w:tr>
      <w:tr w:rsidR="00156DD6">
        <w:trPr>
          <w:cantSplit/>
        </w:trPr>
        <w:tc>
          <w:tcPr>
            <w:tcW w:w="764" w:type="pct"/>
          </w:tcPr>
          <w:p w:rsidR="00156DD6" w:rsidRDefault="00D51F5F">
            <w:pPr>
              <w:rPr>
                <w:color w:val="000000" w:themeColor="text1"/>
              </w:rPr>
            </w:pPr>
            <w:r>
              <w:rPr>
                <w:rFonts w:hint="eastAsia"/>
                <w:color w:val="000000" w:themeColor="text1"/>
              </w:rPr>
              <w:t>2</w:t>
            </w:r>
            <w:r>
              <w:rPr>
                <w:rFonts w:hint="eastAsia"/>
                <w:color w:val="000000" w:themeColor="text1"/>
              </w:rPr>
              <w:t>至</w:t>
            </w:r>
            <w:r>
              <w:rPr>
                <w:rFonts w:hint="eastAsia"/>
                <w:color w:val="000000" w:themeColor="text1"/>
              </w:rPr>
              <w:t>3</w:t>
            </w:r>
            <w:r>
              <w:rPr>
                <w:rFonts w:hint="eastAsia"/>
                <w:color w:val="000000" w:themeColor="text1"/>
              </w:rPr>
              <w:t>年</w:t>
            </w:r>
          </w:p>
        </w:tc>
        <w:tc>
          <w:tcPr>
            <w:tcW w:w="1063" w:type="pct"/>
          </w:tcPr>
          <w:p w:rsidR="00156DD6" w:rsidRDefault="00D51F5F">
            <w:pPr>
              <w:jc w:val="right"/>
            </w:pPr>
            <w:r>
              <w:rPr>
                <w:rFonts w:hint="eastAsia"/>
              </w:rPr>
              <w:t xml:space="preserve"> 41,754.25 </w:t>
            </w:r>
          </w:p>
        </w:tc>
        <w:tc>
          <w:tcPr>
            <w:tcW w:w="1055" w:type="pct"/>
          </w:tcPr>
          <w:p w:rsidR="00156DD6" w:rsidRDefault="00D51F5F">
            <w:pPr>
              <w:jc w:val="right"/>
            </w:pPr>
            <w:r>
              <w:rPr>
                <w:rFonts w:hint="eastAsia"/>
              </w:rPr>
              <w:t xml:space="preserve"> 0.06 </w:t>
            </w:r>
          </w:p>
        </w:tc>
        <w:tc>
          <w:tcPr>
            <w:tcW w:w="1054" w:type="pct"/>
            <w:vAlign w:val="center"/>
          </w:tcPr>
          <w:p w:rsidR="00156DD6" w:rsidRDefault="00156DD6">
            <w:pPr>
              <w:jc w:val="right"/>
            </w:pPr>
          </w:p>
        </w:tc>
        <w:tc>
          <w:tcPr>
            <w:tcW w:w="1063" w:type="pct"/>
            <w:vAlign w:val="center"/>
          </w:tcPr>
          <w:p w:rsidR="00156DD6" w:rsidRDefault="00156DD6">
            <w:pPr>
              <w:jc w:val="right"/>
            </w:pPr>
          </w:p>
        </w:tc>
      </w:tr>
      <w:tr w:rsidR="00156DD6">
        <w:trPr>
          <w:cantSplit/>
        </w:trPr>
        <w:tc>
          <w:tcPr>
            <w:tcW w:w="764" w:type="pct"/>
          </w:tcPr>
          <w:p w:rsidR="00156DD6" w:rsidRDefault="00D51F5F">
            <w:pPr>
              <w:rPr>
                <w:color w:val="000000" w:themeColor="text1"/>
              </w:rPr>
            </w:pPr>
            <w:r>
              <w:rPr>
                <w:rFonts w:hint="eastAsia"/>
                <w:color w:val="000000" w:themeColor="text1"/>
              </w:rPr>
              <w:t>3</w:t>
            </w:r>
            <w:r>
              <w:rPr>
                <w:rFonts w:hint="eastAsia"/>
                <w:color w:val="000000" w:themeColor="text1"/>
              </w:rPr>
              <w:t>年以上</w:t>
            </w:r>
          </w:p>
        </w:tc>
        <w:tc>
          <w:tcPr>
            <w:tcW w:w="1063" w:type="pct"/>
          </w:tcPr>
          <w:p w:rsidR="00156DD6" w:rsidRDefault="00D51F5F">
            <w:pPr>
              <w:jc w:val="right"/>
            </w:pPr>
            <w:r>
              <w:rPr>
                <w:rFonts w:hint="eastAsia"/>
              </w:rPr>
              <w:t xml:space="preserve"> 679,098.81 </w:t>
            </w:r>
          </w:p>
        </w:tc>
        <w:tc>
          <w:tcPr>
            <w:tcW w:w="1055" w:type="pct"/>
          </w:tcPr>
          <w:p w:rsidR="00156DD6" w:rsidRDefault="00D51F5F">
            <w:pPr>
              <w:jc w:val="right"/>
            </w:pPr>
            <w:r>
              <w:rPr>
                <w:rFonts w:hint="eastAsia"/>
              </w:rPr>
              <w:t xml:space="preserve"> 1.07 </w:t>
            </w:r>
          </w:p>
        </w:tc>
        <w:tc>
          <w:tcPr>
            <w:tcW w:w="1054" w:type="pct"/>
            <w:vAlign w:val="center"/>
          </w:tcPr>
          <w:p w:rsidR="00156DD6" w:rsidRDefault="00D51F5F">
            <w:pPr>
              <w:jc w:val="right"/>
            </w:pPr>
            <w:r>
              <w:t>757,117.23</w:t>
            </w:r>
          </w:p>
        </w:tc>
        <w:tc>
          <w:tcPr>
            <w:tcW w:w="1063" w:type="pct"/>
            <w:vAlign w:val="center"/>
          </w:tcPr>
          <w:p w:rsidR="00156DD6" w:rsidRDefault="00D51F5F">
            <w:pPr>
              <w:jc w:val="right"/>
            </w:pPr>
            <w:r>
              <w:t>0.94</w:t>
            </w:r>
          </w:p>
        </w:tc>
      </w:tr>
      <w:tr w:rsidR="00156DD6">
        <w:trPr>
          <w:cantSplit/>
        </w:trPr>
        <w:tc>
          <w:tcPr>
            <w:tcW w:w="764" w:type="pct"/>
          </w:tcPr>
          <w:p w:rsidR="00156DD6" w:rsidRDefault="00D51F5F">
            <w:pPr>
              <w:jc w:val="center"/>
              <w:rPr>
                <w:color w:val="000000" w:themeColor="text1"/>
              </w:rPr>
            </w:pPr>
            <w:r>
              <w:rPr>
                <w:rFonts w:hint="eastAsia"/>
                <w:color w:val="000000" w:themeColor="text1"/>
              </w:rPr>
              <w:t>合计</w:t>
            </w:r>
          </w:p>
        </w:tc>
        <w:tc>
          <w:tcPr>
            <w:tcW w:w="1063" w:type="pct"/>
          </w:tcPr>
          <w:p w:rsidR="00156DD6" w:rsidRDefault="00D51F5F">
            <w:pPr>
              <w:jc w:val="right"/>
            </w:pPr>
            <w:r>
              <w:rPr>
                <w:rFonts w:hint="eastAsia"/>
              </w:rPr>
              <w:t xml:space="preserve"> 63,659,270.97 </w:t>
            </w:r>
          </w:p>
        </w:tc>
        <w:tc>
          <w:tcPr>
            <w:tcW w:w="1055" w:type="pct"/>
          </w:tcPr>
          <w:p w:rsidR="00156DD6" w:rsidRDefault="00D51F5F">
            <w:pPr>
              <w:jc w:val="right"/>
            </w:pPr>
            <w:r>
              <w:rPr>
                <w:rFonts w:hint="eastAsia"/>
              </w:rPr>
              <w:t xml:space="preserve"> 100.00 </w:t>
            </w:r>
          </w:p>
        </w:tc>
        <w:tc>
          <w:tcPr>
            <w:tcW w:w="1054" w:type="pct"/>
            <w:vAlign w:val="center"/>
          </w:tcPr>
          <w:p w:rsidR="00156DD6" w:rsidRDefault="00D51F5F">
            <w:pPr>
              <w:jc w:val="right"/>
            </w:pPr>
            <w:r>
              <w:t>80,762,581.64</w:t>
            </w:r>
          </w:p>
        </w:tc>
        <w:tc>
          <w:tcPr>
            <w:tcW w:w="1063" w:type="pct"/>
            <w:vAlign w:val="center"/>
          </w:tcPr>
          <w:p w:rsidR="00156DD6" w:rsidRDefault="00D51F5F">
            <w:pPr>
              <w:jc w:val="right"/>
            </w:pPr>
            <w:r>
              <w:t>100.00</w:t>
            </w:r>
          </w:p>
        </w:tc>
      </w:tr>
    </w:tbl>
    <w:bookmarkEnd w:id="262"/>
    <w:bookmarkEnd w:id="263"/>
    <w:p w:rsidR="00156DD6" w:rsidRDefault="00D51F5F">
      <w:pPr>
        <w:rPr>
          <w:color w:val="000000" w:themeColor="text1"/>
        </w:rPr>
      </w:pPr>
      <w:r>
        <w:rPr>
          <w:rFonts w:hint="eastAsia"/>
          <w:color w:val="000000" w:themeColor="text1"/>
        </w:rPr>
        <w:t>账龄超过</w:t>
      </w:r>
      <w:r>
        <w:rPr>
          <w:rFonts w:hint="eastAsia"/>
          <w:color w:val="000000" w:themeColor="text1"/>
        </w:rPr>
        <w:t>1</w:t>
      </w:r>
      <w:r>
        <w:rPr>
          <w:rFonts w:hint="eastAsia"/>
          <w:color w:val="000000" w:themeColor="text1"/>
        </w:rPr>
        <w:t>年且金额重要的预付款项未及时结算原因</w:t>
      </w:r>
      <w:r>
        <w:rPr>
          <w:color w:val="000000" w:themeColor="text1"/>
        </w:rPr>
        <w:t>的说明：</w:t>
      </w:r>
    </w:p>
    <w:sdt>
      <w:sdtPr>
        <w:rPr>
          <w:color w:val="000000" w:themeColor="text1"/>
        </w:rPr>
        <w:alias w:val="账龄超过1年且金额重要的预付款项未及时结算原因的说明"/>
        <w:tag w:val="_GBC_174a9654172e49e09cdbf18d854fdd51"/>
        <w:id w:val="-908449923"/>
        <w:placeholder>
          <w:docPart w:val="GBC22222222222222222222222222222"/>
        </w:placeholder>
      </w:sdtPr>
      <w:sdtEndPr/>
      <w:sdtContent>
        <w:p w:rsidR="00156DD6" w:rsidRDefault="00D51F5F">
          <w:pPr>
            <w:snapToGrid w:val="0"/>
            <w:spacing w:line="240" w:lineRule="atLeast"/>
            <w:rPr>
              <w:color w:val="000000" w:themeColor="text1"/>
            </w:rPr>
          </w:pPr>
          <w:r>
            <w:rPr>
              <w:rFonts w:hint="eastAsia"/>
              <w:color w:val="000000" w:themeColor="text1"/>
            </w:rPr>
            <w:t>无</w:t>
          </w:r>
        </w:p>
      </w:sdtContent>
    </w:sdt>
    <w:p w:rsidR="00156DD6" w:rsidRDefault="00D51F5F">
      <w:pPr>
        <w:pStyle w:val="Style47"/>
        <w:numPr>
          <w:ilvl w:val="0"/>
          <w:numId w:val="48"/>
        </w:numPr>
        <w:tabs>
          <w:tab w:val="left" w:pos="616"/>
        </w:tabs>
        <w:rPr>
          <w:rFonts w:ascii="宋体" w:hAnsi="宋体"/>
          <w:color w:val="000000" w:themeColor="text1"/>
          <w:sz w:val="21"/>
          <w:szCs w:val="21"/>
        </w:rPr>
      </w:pPr>
      <w:bookmarkStart w:id="264" w:name="_Hlk199853551"/>
      <w:r>
        <w:rPr>
          <w:rFonts w:ascii="宋体" w:hAnsi="宋体" w:hint="eastAsia"/>
          <w:color w:val="000000" w:themeColor="text1"/>
          <w:sz w:val="21"/>
          <w:szCs w:val="21"/>
        </w:rPr>
        <w:t>按预付对象归集的期末余额前五名的预付款情况</w:t>
      </w:r>
    </w:p>
    <w:sdt>
      <w:sdtPr>
        <w:rPr>
          <w:rFonts w:hint="eastAsia"/>
          <w:color w:val="000000" w:themeColor="text1"/>
        </w:rPr>
        <w:alias w:val="是否适用：按预付对象归集的期末余额前五名的预付款情况[双击切换]"/>
        <w:tag w:val="_GBC_a1864f04af6d49bdb434d74a7f29f8c3"/>
        <w:id w:val="1218320675"/>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snapToGrid w:val="0"/>
        <w:spacing w:line="240" w:lineRule="atLeast"/>
        <w:jc w:val="right"/>
      </w:pPr>
      <w:r>
        <w:rPr>
          <w:rFonts w:hint="eastAsia"/>
        </w:rPr>
        <w:t>单位：</w:t>
      </w:r>
      <w:sdt>
        <w:sdtPr>
          <w:rPr>
            <w:rFonts w:hint="eastAsia"/>
          </w:rPr>
          <w:alias w:val="单位：按预付对象归集的期末余额前五名的预付款情况"/>
          <w:tag w:val="_GBC_60474912a059478aa7a052f29a7878f6"/>
          <w:id w:val="-140421492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按预付对象归集的期末余额前五名的预付款情况"/>
          <w:tag w:val="_GBC_bd430b918c86452ca29c59c0866e9f4e"/>
          <w:id w:val="2204936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Style52"/>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477"/>
        <w:gridCol w:w="2938"/>
      </w:tblGrid>
      <w:tr w:rsidR="00156DD6">
        <w:trPr>
          <w:cantSplit/>
        </w:trPr>
        <w:sdt>
          <w:sdtPr>
            <w:tag w:val="_PLD_d1820e97fc2b412296b96c0151dea923"/>
            <w:id w:val="688265198"/>
          </w:sdtPr>
          <w:sdtEndPr/>
          <w:sdtContent>
            <w:tc>
              <w:tcPr>
                <w:tcW w:w="1927" w:type="pct"/>
                <w:vAlign w:val="center"/>
              </w:tcPr>
              <w:p w:rsidR="00156DD6" w:rsidRDefault="00D51F5F">
                <w:pPr>
                  <w:ind w:right="105"/>
                  <w:jc w:val="center"/>
                </w:pPr>
                <w:r>
                  <w:rPr>
                    <w:rFonts w:hint="eastAsia"/>
                  </w:rPr>
                  <w:t>单位名称</w:t>
                </w:r>
              </w:p>
            </w:tc>
          </w:sdtContent>
        </w:sdt>
        <w:sdt>
          <w:sdtPr>
            <w:tag w:val="_PLD_ea2392e4fefe4be5b353e22520ae4d4e"/>
            <w:id w:val="1191179085"/>
          </w:sdtPr>
          <w:sdtEndPr/>
          <w:sdtContent>
            <w:tc>
              <w:tcPr>
                <w:tcW w:w="1405" w:type="pct"/>
                <w:vAlign w:val="center"/>
              </w:tcPr>
              <w:p w:rsidR="00156DD6" w:rsidRDefault="00D51F5F">
                <w:pPr>
                  <w:ind w:right="73"/>
                  <w:jc w:val="center"/>
                </w:pPr>
                <w:r>
                  <w:rPr>
                    <w:rFonts w:hint="eastAsia"/>
                  </w:rPr>
                  <w:t>期末余额</w:t>
                </w:r>
              </w:p>
            </w:tc>
          </w:sdtContent>
        </w:sdt>
        <w:sdt>
          <w:sdtPr>
            <w:tag w:val="_PLD_0c082a2df5b041d9ab1489c29022c66c"/>
            <w:id w:val="1169140449"/>
          </w:sdtPr>
          <w:sdtEndPr/>
          <w:sdtContent>
            <w:tc>
              <w:tcPr>
                <w:tcW w:w="1667" w:type="pct"/>
                <w:vAlign w:val="center"/>
              </w:tcPr>
              <w:p w:rsidR="00156DD6" w:rsidRDefault="00D51F5F">
                <w:pPr>
                  <w:jc w:val="center"/>
                </w:pPr>
                <w:r>
                  <w:rPr>
                    <w:rFonts w:hint="eastAsia"/>
                  </w:rPr>
                  <w:t>占预付款项期末余额合计数的比例</w:t>
                </w:r>
                <w:r>
                  <w:rPr>
                    <w:rFonts w:hint="eastAsia"/>
                  </w:rPr>
                  <w:t>(</w:t>
                </w:r>
                <w:r>
                  <w:t>%)</w:t>
                </w:r>
              </w:p>
            </w:tc>
          </w:sdtContent>
        </w:sdt>
      </w:tr>
      <w:tr w:rsidR="00156DD6">
        <w:trPr>
          <w:cantSplit/>
        </w:trPr>
        <w:tc>
          <w:tcPr>
            <w:tcW w:w="1927" w:type="pct"/>
          </w:tcPr>
          <w:p w:rsidR="00156DD6" w:rsidRDefault="00D51F5F">
            <w:pPr>
              <w:ind w:right="105"/>
            </w:pPr>
            <w:r>
              <w:rPr>
                <w:rFonts w:hint="eastAsia"/>
              </w:rPr>
              <w:t>供应商</w:t>
            </w:r>
            <w:r>
              <w:rPr>
                <w:rFonts w:hint="eastAsia"/>
              </w:rPr>
              <w:t>1</w:t>
            </w:r>
          </w:p>
        </w:tc>
        <w:tc>
          <w:tcPr>
            <w:tcW w:w="1405" w:type="pct"/>
          </w:tcPr>
          <w:p w:rsidR="00156DD6" w:rsidRDefault="00D51F5F">
            <w:pPr>
              <w:ind w:right="73"/>
              <w:jc w:val="right"/>
            </w:pPr>
            <w:r>
              <w:rPr>
                <w:rFonts w:hint="eastAsia"/>
              </w:rPr>
              <w:t xml:space="preserve"> 22,804,158.52 </w:t>
            </w:r>
          </w:p>
        </w:tc>
        <w:tc>
          <w:tcPr>
            <w:tcW w:w="1667" w:type="pct"/>
          </w:tcPr>
          <w:p w:rsidR="00156DD6" w:rsidRDefault="00D51F5F">
            <w:pPr>
              <w:jc w:val="right"/>
            </w:pPr>
            <w:r>
              <w:rPr>
                <w:rFonts w:hint="eastAsia"/>
              </w:rPr>
              <w:t xml:space="preserve"> 35.82 </w:t>
            </w:r>
          </w:p>
        </w:tc>
      </w:tr>
      <w:tr w:rsidR="00156DD6">
        <w:trPr>
          <w:cantSplit/>
        </w:trPr>
        <w:tc>
          <w:tcPr>
            <w:tcW w:w="1927" w:type="pct"/>
          </w:tcPr>
          <w:p w:rsidR="00156DD6" w:rsidRDefault="00D51F5F">
            <w:pPr>
              <w:ind w:right="105"/>
            </w:pPr>
            <w:r>
              <w:rPr>
                <w:rFonts w:hint="eastAsia"/>
              </w:rPr>
              <w:t>供应商</w:t>
            </w:r>
            <w:r>
              <w:rPr>
                <w:rFonts w:hint="eastAsia"/>
              </w:rPr>
              <w:t>2</w:t>
            </w:r>
          </w:p>
        </w:tc>
        <w:tc>
          <w:tcPr>
            <w:tcW w:w="1405" w:type="pct"/>
          </w:tcPr>
          <w:p w:rsidR="00156DD6" w:rsidRDefault="00D51F5F">
            <w:pPr>
              <w:ind w:right="73"/>
              <w:jc w:val="right"/>
            </w:pPr>
            <w:r>
              <w:rPr>
                <w:rFonts w:hint="eastAsia"/>
              </w:rPr>
              <w:t xml:space="preserve"> 13,298,021.01 </w:t>
            </w:r>
          </w:p>
        </w:tc>
        <w:tc>
          <w:tcPr>
            <w:tcW w:w="1667" w:type="pct"/>
          </w:tcPr>
          <w:p w:rsidR="00156DD6" w:rsidRDefault="00D51F5F">
            <w:pPr>
              <w:jc w:val="right"/>
            </w:pPr>
            <w:r>
              <w:rPr>
                <w:rFonts w:hint="eastAsia"/>
              </w:rPr>
              <w:t xml:space="preserve"> 20.89 </w:t>
            </w:r>
          </w:p>
        </w:tc>
      </w:tr>
      <w:tr w:rsidR="00156DD6">
        <w:trPr>
          <w:cantSplit/>
        </w:trPr>
        <w:tc>
          <w:tcPr>
            <w:tcW w:w="1927" w:type="pct"/>
          </w:tcPr>
          <w:p w:rsidR="00156DD6" w:rsidRDefault="00D51F5F">
            <w:pPr>
              <w:ind w:right="105"/>
            </w:pPr>
            <w:r>
              <w:rPr>
                <w:rFonts w:hint="eastAsia"/>
              </w:rPr>
              <w:t>供应商</w:t>
            </w:r>
            <w:r>
              <w:rPr>
                <w:rFonts w:hint="eastAsia"/>
              </w:rPr>
              <w:t>3</w:t>
            </w:r>
          </w:p>
        </w:tc>
        <w:tc>
          <w:tcPr>
            <w:tcW w:w="1405" w:type="pct"/>
          </w:tcPr>
          <w:p w:rsidR="00156DD6" w:rsidRDefault="00D51F5F">
            <w:pPr>
              <w:ind w:right="73"/>
              <w:jc w:val="right"/>
            </w:pPr>
            <w:r>
              <w:rPr>
                <w:rFonts w:hint="eastAsia"/>
              </w:rPr>
              <w:t xml:space="preserve"> 9,891,086.91 </w:t>
            </w:r>
          </w:p>
        </w:tc>
        <w:tc>
          <w:tcPr>
            <w:tcW w:w="1667" w:type="pct"/>
          </w:tcPr>
          <w:p w:rsidR="00156DD6" w:rsidRDefault="00D51F5F">
            <w:pPr>
              <w:jc w:val="right"/>
            </w:pPr>
            <w:r>
              <w:rPr>
                <w:rFonts w:hint="eastAsia"/>
              </w:rPr>
              <w:t xml:space="preserve"> 15.54 </w:t>
            </w:r>
          </w:p>
        </w:tc>
      </w:tr>
      <w:tr w:rsidR="00156DD6">
        <w:trPr>
          <w:cantSplit/>
        </w:trPr>
        <w:tc>
          <w:tcPr>
            <w:tcW w:w="1927" w:type="pct"/>
          </w:tcPr>
          <w:p w:rsidR="00156DD6" w:rsidRDefault="00D51F5F">
            <w:pPr>
              <w:ind w:right="105"/>
            </w:pPr>
            <w:r>
              <w:rPr>
                <w:rFonts w:hint="eastAsia"/>
              </w:rPr>
              <w:t>供应商</w:t>
            </w:r>
            <w:r>
              <w:rPr>
                <w:rFonts w:hint="eastAsia"/>
              </w:rPr>
              <w:t>4</w:t>
            </w:r>
          </w:p>
        </w:tc>
        <w:tc>
          <w:tcPr>
            <w:tcW w:w="1405" w:type="pct"/>
          </w:tcPr>
          <w:p w:rsidR="00156DD6" w:rsidRDefault="00D51F5F">
            <w:pPr>
              <w:ind w:right="73"/>
              <w:jc w:val="right"/>
            </w:pPr>
            <w:r>
              <w:rPr>
                <w:rFonts w:hint="eastAsia"/>
              </w:rPr>
              <w:t xml:space="preserve"> 4,292,651.15 </w:t>
            </w:r>
          </w:p>
        </w:tc>
        <w:tc>
          <w:tcPr>
            <w:tcW w:w="1667" w:type="pct"/>
          </w:tcPr>
          <w:p w:rsidR="00156DD6" w:rsidRDefault="00D51F5F">
            <w:pPr>
              <w:jc w:val="right"/>
            </w:pPr>
            <w:r>
              <w:rPr>
                <w:rFonts w:hint="eastAsia"/>
              </w:rPr>
              <w:t xml:space="preserve"> 6.74 </w:t>
            </w:r>
          </w:p>
        </w:tc>
      </w:tr>
      <w:tr w:rsidR="00156DD6">
        <w:trPr>
          <w:cantSplit/>
        </w:trPr>
        <w:tc>
          <w:tcPr>
            <w:tcW w:w="1927" w:type="pct"/>
          </w:tcPr>
          <w:p w:rsidR="00156DD6" w:rsidRDefault="00D51F5F">
            <w:pPr>
              <w:ind w:right="105"/>
            </w:pPr>
            <w:r>
              <w:rPr>
                <w:rFonts w:hint="eastAsia"/>
              </w:rPr>
              <w:t>供应商</w:t>
            </w:r>
            <w:r>
              <w:rPr>
                <w:rFonts w:hint="eastAsia"/>
              </w:rPr>
              <w:t>5</w:t>
            </w:r>
          </w:p>
        </w:tc>
        <w:tc>
          <w:tcPr>
            <w:tcW w:w="1405" w:type="pct"/>
          </w:tcPr>
          <w:p w:rsidR="00156DD6" w:rsidRDefault="00D51F5F">
            <w:pPr>
              <w:ind w:right="73"/>
              <w:jc w:val="right"/>
            </w:pPr>
            <w:r>
              <w:rPr>
                <w:rFonts w:hint="eastAsia"/>
              </w:rPr>
              <w:t xml:space="preserve"> 688,773.36 </w:t>
            </w:r>
          </w:p>
        </w:tc>
        <w:tc>
          <w:tcPr>
            <w:tcW w:w="1667" w:type="pct"/>
          </w:tcPr>
          <w:p w:rsidR="00156DD6" w:rsidRDefault="00D51F5F">
            <w:pPr>
              <w:jc w:val="right"/>
            </w:pPr>
            <w:r>
              <w:rPr>
                <w:rFonts w:hint="eastAsia"/>
              </w:rPr>
              <w:t xml:space="preserve"> 1.08 </w:t>
            </w:r>
          </w:p>
        </w:tc>
      </w:tr>
      <w:tr w:rsidR="00156DD6">
        <w:trPr>
          <w:cantSplit/>
        </w:trPr>
        <w:tc>
          <w:tcPr>
            <w:tcW w:w="1927" w:type="pct"/>
          </w:tcPr>
          <w:p w:rsidR="00156DD6" w:rsidRDefault="00D51F5F">
            <w:pPr>
              <w:ind w:right="105"/>
              <w:jc w:val="center"/>
            </w:pPr>
            <w:r>
              <w:rPr>
                <w:rFonts w:hint="eastAsia"/>
              </w:rPr>
              <w:t>合计</w:t>
            </w:r>
          </w:p>
        </w:tc>
        <w:tc>
          <w:tcPr>
            <w:tcW w:w="1405" w:type="pct"/>
          </w:tcPr>
          <w:p w:rsidR="00156DD6" w:rsidRDefault="00D51F5F">
            <w:pPr>
              <w:ind w:right="73"/>
              <w:jc w:val="right"/>
            </w:pPr>
            <w:r>
              <w:rPr>
                <w:rFonts w:hint="eastAsia"/>
              </w:rPr>
              <w:t xml:space="preserve"> 50,974,690.95 </w:t>
            </w:r>
          </w:p>
        </w:tc>
        <w:tc>
          <w:tcPr>
            <w:tcW w:w="1667" w:type="pct"/>
          </w:tcPr>
          <w:p w:rsidR="00156DD6" w:rsidRDefault="00D51F5F">
            <w:pPr>
              <w:jc w:val="right"/>
            </w:pPr>
            <w:r>
              <w:rPr>
                <w:rFonts w:hint="eastAsia"/>
              </w:rPr>
              <w:t xml:space="preserve"> 80.07 </w:t>
            </w:r>
          </w:p>
        </w:tc>
      </w:tr>
    </w:tbl>
    <w:p w:rsidR="00156DD6" w:rsidRDefault="00D51F5F">
      <w:pPr>
        <w:snapToGrid w:val="0"/>
        <w:spacing w:line="240" w:lineRule="atLeast"/>
      </w:pPr>
      <w:r>
        <w:rPr>
          <w:rFonts w:hint="eastAsia"/>
        </w:rPr>
        <w:t>其他说明：</w:t>
      </w:r>
    </w:p>
    <w:sdt>
      <w:sdtPr>
        <w:rPr>
          <w:color w:val="000000" w:themeColor="text1"/>
        </w:rPr>
        <w:alias w:val="按预付对象归集的期末余额前五名的预付款情况的说明"/>
        <w:tag w:val="_GBC_e2f1aa285f174786838e4fcd54656fec"/>
        <w:id w:val="-653367786"/>
        <w:placeholder>
          <w:docPart w:val="GBC22222222222222222222222222222"/>
        </w:placeholder>
      </w:sdtPr>
      <w:sdtEndPr/>
      <w:sdtContent>
        <w:p w:rsidR="00156DD6" w:rsidRDefault="00D51F5F">
          <w:pPr>
            <w:snapToGrid w:val="0"/>
            <w:spacing w:line="240" w:lineRule="atLeast"/>
            <w:rPr>
              <w:color w:val="000000" w:themeColor="text1"/>
            </w:rPr>
          </w:pPr>
          <w:r>
            <w:rPr>
              <w:rFonts w:hint="eastAsia"/>
              <w:color w:val="000000" w:themeColor="text1"/>
            </w:rPr>
            <w:t>无</w:t>
          </w:r>
        </w:p>
      </w:sdtContent>
    </w:sdt>
    <w:bookmarkEnd w:id="264"/>
    <w:p w:rsidR="00156DD6" w:rsidRDefault="00D51F5F">
      <w:pPr>
        <w:rPr>
          <w:color w:val="000000" w:themeColor="text1"/>
        </w:rPr>
      </w:pPr>
      <w:r>
        <w:rPr>
          <w:rFonts w:hint="eastAsia"/>
          <w:color w:val="000000" w:themeColor="text1"/>
        </w:rPr>
        <w:t>其他说明</w:t>
      </w:r>
    </w:p>
    <w:sdt>
      <w:sdtPr>
        <w:rPr>
          <w:color w:val="000000" w:themeColor="text1"/>
        </w:rPr>
        <w:alias w:val="是否适用：预付帐款的说明[双击切换]"/>
        <w:tag w:val="_GBC_c712ee6483d44c77b1f563e552689c6d"/>
        <w:id w:val="-153364350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预付帐款的说明"/>
        <w:tag w:val="_GBC_9cd4dbf3da3b458c92ffc167d6c097d5"/>
        <w:id w:val="-818885306"/>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43"/>
        </w:numPr>
        <w:rPr>
          <w:color w:val="000000" w:themeColor="text1"/>
          <w:sz w:val="21"/>
          <w:szCs w:val="21"/>
        </w:rPr>
      </w:pPr>
      <w:r>
        <w:rPr>
          <w:color w:val="000000" w:themeColor="text1"/>
          <w:sz w:val="21"/>
          <w:szCs w:val="21"/>
        </w:rPr>
        <w:t>其他应收款</w:t>
      </w:r>
    </w:p>
    <w:p w:rsidR="00156DD6" w:rsidRDefault="00D51F5F">
      <w:pPr>
        <w:pStyle w:val="Style47"/>
        <w:rPr>
          <w:rFonts w:ascii="宋体" w:hAnsi="宋体"/>
          <w:color w:val="000000" w:themeColor="text1"/>
          <w:sz w:val="21"/>
          <w:szCs w:val="21"/>
        </w:rPr>
      </w:pPr>
      <w:bookmarkStart w:id="265" w:name="_Hlk10467611"/>
      <w:r>
        <w:rPr>
          <w:rFonts w:ascii="宋体" w:hAnsi="宋体" w:hint="eastAsia"/>
          <w:color w:val="000000" w:themeColor="text1"/>
          <w:sz w:val="21"/>
          <w:szCs w:val="21"/>
        </w:rPr>
        <w:t>项目列示</w:t>
      </w:r>
    </w:p>
    <w:sdt>
      <w:sdtPr>
        <w:rPr>
          <w:color w:val="000000" w:themeColor="text1"/>
        </w:rPr>
        <w:alias w:val="是否适用：其他应收款分类列示[双击切换]"/>
        <w:tag w:val="_GBC_23e3e9ad53624abaaa00fc7f7c24842a"/>
        <w:id w:val="19041036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其他应收款分类列示"/>
          <w:tag w:val="_GBC_b73f89c776a341249ed520fe726b4db9"/>
          <w:id w:val="8474396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其他应收款分类列示"/>
          <w:tag w:val="_GBC_a23554f2403346ea97b8fb1ef551ebe4"/>
          <w:id w:val="4034179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5"/>
        <w:gridCol w:w="2862"/>
        <w:gridCol w:w="2846"/>
      </w:tblGrid>
      <w:tr w:rsidR="00156DD6">
        <w:trPr>
          <w:cantSplit/>
        </w:trPr>
        <w:sdt>
          <w:sdtPr>
            <w:tag w:val="_PLD_3b049b9a7f344665a70a23c402afbda5"/>
            <w:id w:val="1519886825"/>
          </w:sdtPr>
          <w:sdtEndPr/>
          <w:sdtContent>
            <w:tc>
              <w:tcPr>
                <w:tcW w:w="1765" w:type="pct"/>
                <w:vAlign w:val="center"/>
              </w:tcPr>
              <w:p w:rsidR="00156DD6" w:rsidRDefault="00D51F5F">
                <w:pPr>
                  <w:jc w:val="center"/>
                  <w:rPr>
                    <w:color w:val="000000" w:themeColor="text1"/>
                  </w:rPr>
                </w:pPr>
                <w:r>
                  <w:rPr>
                    <w:rFonts w:hint="eastAsia"/>
                    <w:color w:val="000000" w:themeColor="text1"/>
                  </w:rPr>
                  <w:t>项目</w:t>
                </w:r>
              </w:p>
            </w:tc>
          </w:sdtContent>
        </w:sdt>
        <w:sdt>
          <w:sdtPr>
            <w:tag w:val="_PLD_550a4ba0fb444ea69297bd36780a7618"/>
            <w:id w:val="-1064796681"/>
          </w:sdtPr>
          <w:sdtEndPr/>
          <w:sdtContent>
            <w:tc>
              <w:tcPr>
                <w:tcW w:w="1622"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d58c3f70487c440b99a9f440a2d57d1e"/>
            <w:id w:val="-1075818330"/>
          </w:sdtPr>
          <w:sdtEndPr/>
          <w:sdtContent>
            <w:tc>
              <w:tcPr>
                <w:tcW w:w="1613"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1765" w:type="pct"/>
          </w:tcPr>
          <w:p w:rsidR="00156DD6" w:rsidRDefault="00D51F5F">
            <w:pPr>
              <w:ind w:right="5"/>
              <w:rPr>
                <w:color w:val="000000" w:themeColor="text1"/>
              </w:rPr>
            </w:pPr>
            <w:r>
              <w:rPr>
                <w:rFonts w:hint="eastAsia"/>
                <w:color w:val="000000" w:themeColor="text1"/>
              </w:rPr>
              <w:t>应收利息</w:t>
            </w:r>
          </w:p>
        </w:tc>
        <w:tc>
          <w:tcPr>
            <w:tcW w:w="1622" w:type="pct"/>
          </w:tcPr>
          <w:p w:rsidR="00156DD6" w:rsidRDefault="00156DD6">
            <w:pPr>
              <w:ind w:right="5"/>
              <w:jc w:val="right"/>
            </w:pPr>
          </w:p>
        </w:tc>
        <w:tc>
          <w:tcPr>
            <w:tcW w:w="1613" w:type="pct"/>
          </w:tcPr>
          <w:p w:rsidR="00156DD6" w:rsidRDefault="00156DD6">
            <w:pPr>
              <w:ind w:right="5"/>
              <w:jc w:val="right"/>
            </w:pPr>
          </w:p>
        </w:tc>
      </w:tr>
      <w:tr w:rsidR="00156DD6">
        <w:trPr>
          <w:cantSplit/>
        </w:trPr>
        <w:tc>
          <w:tcPr>
            <w:tcW w:w="1765" w:type="pct"/>
          </w:tcPr>
          <w:p w:rsidR="00156DD6" w:rsidRDefault="00D51F5F">
            <w:pPr>
              <w:ind w:right="5"/>
              <w:rPr>
                <w:color w:val="000000" w:themeColor="text1"/>
              </w:rPr>
            </w:pPr>
            <w:r>
              <w:rPr>
                <w:rFonts w:hint="eastAsia"/>
                <w:color w:val="000000" w:themeColor="text1"/>
              </w:rPr>
              <w:t>应收股利</w:t>
            </w:r>
          </w:p>
        </w:tc>
        <w:tc>
          <w:tcPr>
            <w:tcW w:w="1622" w:type="pct"/>
          </w:tcPr>
          <w:p w:rsidR="00156DD6" w:rsidRDefault="00156DD6">
            <w:pPr>
              <w:ind w:right="5"/>
              <w:jc w:val="right"/>
            </w:pPr>
          </w:p>
        </w:tc>
        <w:tc>
          <w:tcPr>
            <w:tcW w:w="1613" w:type="pct"/>
          </w:tcPr>
          <w:p w:rsidR="00156DD6" w:rsidRDefault="00156DD6">
            <w:pPr>
              <w:ind w:right="5"/>
              <w:jc w:val="right"/>
            </w:pPr>
          </w:p>
        </w:tc>
      </w:tr>
      <w:tr w:rsidR="00156DD6">
        <w:trPr>
          <w:cantSplit/>
        </w:trPr>
        <w:tc>
          <w:tcPr>
            <w:tcW w:w="1765" w:type="pct"/>
          </w:tcPr>
          <w:p w:rsidR="00156DD6" w:rsidRDefault="00D51F5F">
            <w:pPr>
              <w:ind w:right="5"/>
              <w:rPr>
                <w:color w:val="000000" w:themeColor="text1"/>
              </w:rPr>
            </w:pPr>
            <w:r>
              <w:rPr>
                <w:rFonts w:hint="eastAsia"/>
                <w:color w:val="000000" w:themeColor="text1"/>
              </w:rPr>
              <w:t>其他应收款</w:t>
            </w:r>
          </w:p>
        </w:tc>
        <w:tc>
          <w:tcPr>
            <w:tcW w:w="1622" w:type="pct"/>
          </w:tcPr>
          <w:p w:rsidR="00156DD6" w:rsidRDefault="00D51F5F">
            <w:pPr>
              <w:ind w:right="5"/>
              <w:jc w:val="right"/>
            </w:pPr>
            <w:r>
              <w:rPr>
                <w:rFonts w:hint="eastAsia"/>
              </w:rPr>
              <w:t xml:space="preserve"> 137,683,861.56 </w:t>
            </w:r>
          </w:p>
        </w:tc>
        <w:tc>
          <w:tcPr>
            <w:tcW w:w="1613" w:type="pct"/>
          </w:tcPr>
          <w:p w:rsidR="00156DD6" w:rsidRDefault="00D51F5F">
            <w:pPr>
              <w:ind w:right="5"/>
              <w:jc w:val="right"/>
            </w:pPr>
            <w:r>
              <w:t xml:space="preserve"> 125,149,623.36 </w:t>
            </w:r>
          </w:p>
        </w:tc>
      </w:tr>
      <w:tr w:rsidR="00156DD6">
        <w:trPr>
          <w:cantSplit/>
        </w:trPr>
        <w:tc>
          <w:tcPr>
            <w:tcW w:w="1765" w:type="pct"/>
          </w:tcPr>
          <w:p w:rsidR="00156DD6" w:rsidRDefault="00D51F5F">
            <w:pPr>
              <w:autoSpaceDE w:val="0"/>
              <w:autoSpaceDN w:val="0"/>
              <w:adjustRightInd w:val="0"/>
              <w:jc w:val="center"/>
              <w:rPr>
                <w:color w:val="000000" w:themeColor="text1"/>
              </w:rPr>
            </w:pPr>
            <w:r>
              <w:rPr>
                <w:rFonts w:hint="eastAsia"/>
                <w:color w:val="000000" w:themeColor="text1"/>
              </w:rPr>
              <w:t>合计</w:t>
            </w:r>
          </w:p>
        </w:tc>
        <w:tc>
          <w:tcPr>
            <w:tcW w:w="1622" w:type="pct"/>
          </w:tcPr>
          <w:p w:rsidR="00156DD6" w:rsidRDefault="00D51F5F">
            <w:pPr>
              <w:jc w:val="right"/>
            </w:pPr>
            <w:r>
              <w:rPr>
                <w:rFonts w:hint="eastAsia"/>
              </w:rPr>
              <w:t xml:space="preserve"> 137,683,861.56 </w:t>
            </w:r>
          </w:p>
        </w:tc>
        <w:tc>
          <w:tcPr>
            <w:tcW w:w="1613" w:type="pct"/>
          </w:tcPr>
          <w:p w:rsidR="00156DD6" w:rsidRDefault="00D51F5F">
            <w:pPr>
              <w:jc w:val="right"/>
            </w:pPr>
            <w:r>
              <w:t xml:space="preserve"> 125,149,623.36 </w:t>
            </w:r>
          </w:p>
        </w:tc>
      </w:tr>
    </w:tbl>
    <w:p w:rsidR="00156DD6" w:rsidRDefault="00D51F5F">
      <w:pPr>
        <w:rPr>
          <w:color w:val="000000" w:themeColor="text1"/>
        </w:rPr>
      </w:pPr>
      <w:bookmarkStart w:id="266" w:name="_Hlk532906097"/>
      <w:r>
        <w:rPr>
          <w:rFonts w:hint="eastAsia"/>
          <w:color w:val="000000" w:themeColor="text1"/>
        </w:rPr>
        <w:t>其他说明：</w:t>
      </w:r>
      <w:bookmarkEnd w:id="266"/>
    </w:p>
    <w:sdt>
      <w:sdtPr>
        <w:rPr>
          <w:color w:val="000000" w:themeColor="text1"/>
        </w:rPr>
        <w:alias w:val="是否适用：其他应收款分类列示其他说明[双击切换]"/>
        <w:tag w:val="_GBC_73a4089b33094d13b0ea7c9bf8cfb58f"/>
        <w:id w:val="95529634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65"/>
    <w:p w:rsidR="00156DD6" w:rsidRDefault="00D51F5F">
      <w:pPr>
        <w:pStyle w:val="Style47"/>
        <w:tabs>
          <w:tab w:val="left" w:pos="546"/>
        </w:tabs>
        <w:rPr>
          <w:rFonts w:ascii="宋体" w:hAnsi="宋体"/>
          <w:color w:val="000000" w:themeColor="text1"/>
        </w:rPr>
      </w:pPr>
      <w:r>
        <w:rPr>
          <w:rFonts w:ascii="宋体" w:hAnsi="宋体" w:cs="宋体" w:hint="eastAsia"/>
          <w:color w:val="000000" w:themeColor="text1"/>
          <w:kern w:val="0"/>
          <w:szCs w:val="22"/>
        </w:rPr>
        <w:t>应收利息</w:t>
      </w:r>
    </w:p>
    <w:p w:rsidR="00156DD6" w:rsidRDefault="00D51F5F">
      <w:pPr>
        <w:pStyle w:val="Style48"/>
        <w:numPr>
          <w:ilvl w:val="0"/>
          <w:numId w:val="49"/>
        </w:numPr>
      </w:pPr>
      <w:r>
        <w:rPr>
          <w:rFonts w:hint="eastAsia"/>
        </w:rPr>
        <w:t>应收利息分类</w:t>
      </w:r>
    </w:p>
    <w:sdt>
      <w:sdtPr>
        <w:rPr>
          <w:color w:val="000000" w:themeColor="text1"/>
        </w:rPr>
        <w:alias w:val="是否适用：应收利息分类[双击切换]"/>
        <w:tag w:val="_GBC_86f9e9a81d7d4e07ae6873a88ddf6cc7"/>
        <w:id w:val="-81626813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49"/>
        </w:numPr>
      </w:pPr>
      <w:r>
        <w:rPr>
          <w:rFonts w:hint="eastAsia"/>
        </w:rPr>
        <w:t>重要逾期利息</w:t>
      </w:r>
    </w:p>
    <w:sdt>
      <w:sdtPr>
        <w:rPr>
          <w:color w:val="000000" w:themeColor="text1"/>
        </w:rPr>
        <w:alias w:val="是否适用：重要逾期利息[双击切换]"/>
        <w:tag w:val="_GBC_4554f307ef2241a583829b74df8ef0c3"/>
        <w:id w:val="99530709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49"/>
        </w:numPr>
      </w:pPr>
      <w:bookmarkStart w:id="267" w:name="_Hlk153374831"/>
      <w:bookmarkStart w:id="268" w:name="_Hlk167889561"/>
      <w:r>
        <w:rPr>
          <w:rFonts w:hint="eastAsia"/>
        </w:rPr>
        <w:t>按坏账计提方法分类披露</w:t>
      </w:r>
    </w:p>
    <w:sdt>
      <w:sdtPr>
        <w:rPr>
          <w:color w:val="000000" w:themeColor="text1"/>
        </w:rPr>
        <w:alias w:val="是否适用：按坏账计提方法分类披露[双击切换]"/>
        <w:tag w:val="_GBC_e7c7032e67f14d5baddb2d7b0cdebf38"/>
        <w:id w:val="20592170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lastRenderedPageBreak/>
        <w:t>按单项计提坏账准备：</w:t>
      </w:r>
    </w:p>
    <w:sdt>
      <w:sdtPr>
        <w:rPr>
          <w:color w:val="000000" w:themeColor="text1"/>
        </w:rPr>
        <w:alias w:val="是否适用：按单项计提坏账准备的详细情况[双击切换]"/>
        <w:tag w:val="_GBC_07ebcd379e854ad8bd9de0d3ef457583"/>
        <w:id w:val="176796143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5e47d50d50fc4b3095057ac3908e407b"/>
        <w:id w:val="-168820903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w:instrText>
          </w:r>
          <w:r>
            <w:rPr>
              <w:rFonts w:hint="eastAsia"/>
              <w:color w:val="000000" w:themeColor="text1"/>
            </w:rPr>
            <w:instrText xml:space="preserve">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ascii="Calibri" w:hAnsi="Calibri" w:cs="Times New Roman"/>
          <w:color w:val="000000" w:themeColor="text1"/>
        </w:rPr>
      </w:pPr>
      <w:r>
        <w:rPr>
          <w:rFonts w:ascii="Calibri" w:hAnsi="Calibri" w:cs="Times New Roman" w:hint="eastAsia"/>
          <w:color w:val="000000" w:themeColor="text1"/>
        </w:rPr>
        <w:t>按组合计提坏账准备：</w:t>
      </w:r>
    </w:p>
    <w:sdt>
      <w:sdtPr>
        <w:rPr>
          <w:rFonts w:ascii="Calibri" w:hAnsi="Calibri" w:cs="Times New Roman"/>
          <w:color w:val="000000" w:themeColor="text1"/>
        </w:rPr>
        <w:alias w:val="是否适用：按组合计提坏账准备的详细情况[双击切换]"/>
        <w:tag w:val="_GBC_0dc49505e0b44d56bf15079c4ea20a9a"/>
        <w:id w:val="-135030956"/>
        <w:placeholder>
          <w:docPart w:val="GBC22222222222222222222222222222"/>
        </w:placeholder>
      </w:sdtPr>
      <w:sdtEndPr/>
      <w:sdtContent>
        <w:p w:rsidR="00156DD6" w:rsidRDefault="00D51F5F">
          <w:pPr>
            <w:rPr>
              <w:color w:val="000000" w:themeColor="text1"/>
            </w:rPr>
          </w:pP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□适用</w:instrText>
          </w:r>
          <w:r>
            <w:rPr>
              <w:rFonts w:cs="Times New Roman" w:hint="eastAsia"/>
              <w:color w:val="000000" w:themeColor="text1"/>
            </w:rPr>
            <w:instrText xml:space="preserve"> </w:instrText>
          </w:r>
          <w:r>
            <w:rPr>
              <w:rFonts w:cs="Times New Roman"/>
              <w:color w:val="000000" w:themeColor="text1"/>
            </w:rPr>
            <w:fldChar w:fldCharType="end"/>
          </w: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√不适用</w:instrText>
          </w:r>
          <w:r>
            <w:rPr>
              <w:rFonts w:cs="Times New Roman" w:hint="eastAsia"/>
              <w:color w:val="000000" w:themeColor="text1"/>
            </w:rPr>
            <w:instrText xml:space="preserve"> </w:instrText>
          </w:r>
          <w:r>
            <w:rPr>
              <w:rFonts w:cs="Times New Roman"/>
              <w:color w:val="000000" w:themeColor="text1"/>
            </w:rPr>
            <w:fldChar w:fldCharType="end"/>
          </w:r>
        </w:p>
      </w:sdtContent>
    </w:sdt>
    <w:p w:rsidR="00156DD6" w:rsidRDefault="00D51F5F">
      <w:pPr>
        <w:pStyle w:val="Style48"/>
        <w:numPr>
          <w:ilvl w:val="0"/>
          <w:numId w:val="49"/>
        </w:numPr>
        <w:rPr>
          <w:sz w:val="21"/>
          <w:szCs w:val="21"/>
        </w:rPr>
      </w:pPr>
      <w:bookmarkStart w:id="269" w:name="_Hlk10468247"/>
      <w:bookmarkEnd w:id="267"/>
      <w:bookmarkEnd w:id="268"/>
      <w:r>
        <w:rPr>
          <w:rFonts w:hint="eastAsia"/>
          <w:sz w:val="21"/>
          <w:szCs w:val="21"/>
        </w:rPr>
        <w:t>按预期信用损失一般模型计提坏账准备</w:t>
      </w:r>
    </w:p>
    <w:sdt>
      <w:sdtPr>
        <w:rPr>
          <w:color w:val="000000" w:themeColor="text1"/>
        </w:rPr>
        <w:alias w:val="是否适用：应收利息坏账准备调节表[双击切换]"/>
        <w:tag w:val="_GBC_2081adab30854417bcfae25caae8c9f9"/>
        <w:id w:val="-61329504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49"/>
        </w:numPr>
        <w:rPr>
          <w:sz w:val="21"/>
          <w:szCs w:val="21"/>
        </w:rPr>
      </w:pPr>
      <w:bookmarkStart w:id="270" w:name="_Hlk153375041"/>
      <w:bookmarkStart w:id="271" w:name="_Hlk167889778"/>
      <w:bookmarkEnd w:id="269"/>
      <w:r>
        <w:rPr>
          <w:rFonts w:hint="eastAsia"/>
          <w:sz w:val="21"/>
          <w:szCs w:val="21"/>
        </w:rPr>
        <w:t>坏账准备的情况</w:t>
      </w:r>
    </w:p>
    <w:sdt>
      <w:sdtPr>
        <w:rPr>
          <w:color w:val="000000" w:themeColor="text1"/>
        </w:rPr>
        <w:alias w:val="是否适用：坏账准备情况[双击切换]"/>
        <w:tag w:val="_GBC_4a551e6f1c064b2d9170d6f608a5d12b"/>
        <w:id w:val="-162538497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5092fe8f9b7d425eb163b84fd07f53f0"/>
        <w:id w:val="-196596489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坏账准备情况的说明"/>
        <w:tag w:val="_GBC_456f6a2707124917aced7af3ec2980f6"/>
        <w:id w:val="-888258283"/>
        <w:placeholder>
          <w:docPart w:val="GBC22222222222222222222222222222"/>
        </w:placeholder>
      </w:sdtPr>
      <w:sdtEndPr/>
      <w:sdtContent>
        <w:p w:rsidR="00156DD6" w:rsidRDefault="00D51F5F">
          <w:pPr>
            <w:ind w:rightChars="20" w:right="42"/>
            <w:rPr>
              <w:color w:val="000000" w:themeColor="text1"/>
            </w:rPr>
          </w:pPr>
          <w:r>
            <w:rPr>
              <w:rFonts w:hint="eastAsia"/>
              <w:color w:val="000000" w:themeColor="text1"/>
            </w:rPr>
            <w:t>无</w:t>
          </w:r>
        </w:p>
      </w:sdtContent>
    </w:sdt>
    <w:p w:rsidR="00156DD6" w:rsidRDefault="00D51F5F">
      <w:pPr>
        <w:pStyle w:val="Style48"/>
        <w:numPr>
          <w:ilvl w:val="0"/>
          <w:numId w:val="49"/>
        </w:numPr>
        <w:rPr>
          <w:sz w:val="21"/>
          <w:szCs w:val="21"/>
        </w:rPr>
      </w:pPr>
      <w:r>
        <w:rPr>
          <w:rFonts w:hint="eastAsia"/>
          <w:sz w:val="21"/>
          <w:szCs w:val="21"/>
        </w:rPr>
        <w:t>本期实际核销的应收利息情况</w:t>
      </w:r>
    </w:p>
    <w:sdt>
      <w:sdtPr>
        <w:rPr>
          <w:color w:val="000000" w:themeColor="text1"/>
        </w:rPr>
        <w:alias w:val="是否适用：实际核销的情况[双击切换]"/>
        <w:tag w:val="_GBC_4b850c38d1264ec6b7921671d08b78eb"/>
        <w:id w:val="47318769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其中重要的应收利息核销情况</w:t>
      </w:r>
    </w:p>
    <w:sdt>
      <w:sdtPr>
        <w:rPr>
          <w:rFonts w:hint="eastAsia"/>
          <w:color w:val="000000" w:themeColor="text1"/>
        </w:rPr>
        <w:alias w:val="是否适用：重要的核销情况[双击切换]"/>
        <w:tag w:val="_GBC_01d7a4e15dbb43749e9afdba26e20527"/>
        <w:id w:val="173642964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fa943be869f247e4945a7336e3ce2e1f"/>
        <w:id w:val="-844395153"/>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70"/>
    <w:bookmarkEnd w:id="271"/>
    <w:p w:rsidR="00156DD6" w:rsidRDefault="00D51F5F">
      <w:pPr>
        <w:rPr>
          <w:color w:val="000000" w:themeColor="text1"/>
        </w:rPr>
      </w:pPr>
      <w:r>
        <w:rPr>
          <w:rFonts w:hint="eastAsia"/>
          <w:color w:val="000000" w:themeColor="text1"/>
        </w:rPr>
        <w:t>其他说明：</w:t>
      </w:r>
    </w:p>
    <w:sdt>
      <w:sdtPr>
        <w:rPr>
          <w:color w:val="000000" w:themeColor="text1"/>
        </w:rPr>
        <w:alias w:val="是否适用：应收利息的说明[双击切换]"/>
        <w:tag w:val="_GBC_9fcbab94f58048baace4761ca17ae925"/>
        <w:id w:val="124183118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w:instrText>
          </w:r>
          <w:r>
            <w:rPr>
              <w:rFonts w:hint="eastAsia"/>
              <w:color w:val="000000" w:themeColor="text1"/>
            </w:rPr>
            <w:instrText xml:space="preserve">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rPr>
          <w:rFonts w:ascii="宋体" w:hAnsi="宋体"/>
          <w:color w:val="000000" w:themeColor="text1"/>
          <w:sz w:val="21"/>
          <w:szCs w:val="21"/>
        </w:rPr>
      </w:pPr>
      <w:r>
        <w:rPr>
          <w:rFonts w:ascii="宋体" w:hAnsi="宋体" w:hint="eastAsia"/>
          <w:color w:val="000000" w:themeColor="text1"/>
          <w:sz w:val="21"/>
          <w:szCs w:val="21"/>
        </w:rPr>
        <w:t>应收股利</w:t>
      </w:r>
    </w:p>
    <w:p w:rsidR="00156DD6" w:rsidRDefault="00D51F5F">
      <w:pPr>
        <w:pStyle w:val="Style48"/>
        <w:numPr>
          <w:ilvl w:val="0"/>
          <w:numId w:val="50"/>
        </w:numPr>
        <w:rPr>
          <w:sz w:val="21"/>
          <w:szCs w:val="21"/>
        </w:rPr>
      </w:pPr>
      <w:r>
        <w:rPr>
          <w:rFonts w:hint="eastAsia"/>
          <w:sz w:val="21"/>
          <w:szCs w:val="21"/>
        </w:rPr>
        <w:t>应收股利</w:t>
      </w:r>
    </w:p>
    <w:sdt>
      <w:sdtPr>
        <w:rPr>
          <w:color w:val="000000" w:themeColor="text1"/>
        </w:rPr>
        <w:alias w:val="是否适用：应收股利[双击切换]"/>
        <w:tag w:val="_GBC_002b8ba295db406eb34a179aa27a4801"/>
        <w:id w:val="185892108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50"/>
        </w:numPr>
        <w:rPr>
          <w:sz w:val="21"/>
          <w:szCs w:val="21"/>
        </w:rPr>
      </w:pPr>
      <w:r>
        <w:rPr>
          <w:rFonts w:hint="eastAsia"/>
          <w:sz w:val="21"/>
          <w:szCs w:val="21"/>
        </w:rPr>
        <w:t>重要的账龄超过</w:t>
      </w:r>
      <w:r>
        <w:rPr>
          <w:rFonts w:hint="eastAsia"/>
          <w:sz w:val="21"/>
          <w:szCs w:val="21"/>
        </w:rPr>
        <w:t>1</w:t>
      </w:r>
      <w:r>
        <w:rPr>
          <w:rFonts w:hint="eastAsia"/>
          <w:sz w:val="21"/>
          <w:szCs w:val="21"/>
        </w:rPr>
        <w:t>年的应收股利</w:t>
      </w:r>
    </w:p>
    <w:p w:rsidR="00156DD6" w:rsidRDefault="00D51F5F">
      <w:pPr>
        <w:rPr>
          <w:color w:val="000000" w:themeColor="text1"/>
        </w:rPr>
      </w:pPr>
      <w:sdt>
        <w:sdtPr>
          <w:rPr>
            <w:rFonts w:hint="eastAsia"/>
            <w:color w:val="000000" w:themeColor="text1"/>
          </w:rPr>
          <w:alias w:val="是否适用：重要的账龄超过1年的应收股利[双击切换]"/>
          <w:tag w:val="_GBC_9aa7ef4a3c0c40638901a5b7f6224231"/>
          <w:id w:val="-230780244"/>
          <w:placeholder>
            <w:docPart w:val="GBC22222222222222222222222222222"/>
          </w:placeholder>
        </w:sdtPr>
        <w:sdtEndPr/>
        <w:sdtContent>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p>
    <w:p w:rsidR="00156DD6" w:rsidRDefault="00D51F5F">
      <w:pPr>
        <w:pStyle w:val="Style48"/>
        <w:numPr>
          <w:ilvl w:val="0"/>
          <w:numId w:val="50"/>
        </w:numPr>
        <w:rPr>
          <w:sz w:val="21"/>
          <w:szCs w:val="21"/>
        </w:rPr>
      </w:pPr>
      <w:bookmarkStart w:id="272" w:name="_Hlk167889908"/>
      <w:bookmarkStart w:id="273" w:name="_Hlk153377225"/>
      <w:r>
        <w:rPr>
          <w:rFonts w:hint="eastAsia"/>
          <w:sz w:val="21"/>
          <w:szCs w:val="21"/>
        </w:rPr>
        <w:t>按坏账计提方法分类披露</w:t>
      </w:r>
    </w:p>
    <w:sdt>
      <w:sdtPr>
        <w:rPr>
          <w:color w:val="000000" w:themeColor="text1"/>
        </w:rPr>
        <w:alias w:val="是否适用：按坏账计提方法分类披露[双击切换]"/>
        <w:tag w:val="_GBC_8b70ad2470ad4f7fa9d5783df04c53e3"/>
        <w:id w:val="84343318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483991b4a15b41e5972cf3114089a5f0"/>
        <w:id w:val="-213299687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d7afb2e278434689a41c386c91ae5fd8"/>
        <w:id w:val="22750704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ascii="Calibri" w:hAnsi="Calibri" w:cs="Times New Roman"/>
          <w:color w:val="000000" w:themeColor="text1"/>
        </w:rPr>
      </w:pPr>
      <w:r>
        <w:rPr>
          <w:rFonts w:ascii="Calibri" w:hAnsi="Calibri" w:cs="Times New Roman" w:hint="eastAsia"/>
          <w:color w:val="000000" w:themeColor="text1"/>
        </w:rPr>
        <w:t>按组合计提坏账准备：</w:t>
      </w:r>
    </w:p>
    <w:sdt>
      <w:sdtPr>
        <w:rPr>
          <w:rFonts w:ascii="Calibri" w:hAnsi="Calibri" w:cs="Times New Roman"/>
          <w:color w:val="000000" w:themeColor="text1"/>
        </w:rPr>
        <w:alias w:val="是否适用：按组合计提坏账准备的详细情况[双击切换]"/>
        <w:tag w:val="_GBC_37434366d06a4e49b22522b1d88358dd"/>
        <w:id w:val="1808659068"/>
        <w:placeholder>
          <w:docPart w:val="GBC22222222222222222222222222222"/>
        </w:placeholder>
      </w:sdtPr>
      <w:sdtEndPr/>
      <w:sdtContent>
        <w:p w:rsidR="00156DD6" w:rsidRDefault="00D51F5F">
          <w:pPr>
            <w:rPr>
              <w:color w:val="000000" w:themeColor="text1"/>
            </w:rPr>
          </w:pP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□适用</w:instrText>
          </w:r>
          <w:r>
            <w:rPr>
              <w:rFonts w:cs="Times New Roman" w:hint="eastAsia"/>
              <w:color w:val="000000" w:themeColor="text1"/>
            </w:rPr>
            <w:instrText xml:space="preserve"> </w:instrText>
          </w:r>
          <w:r>
            <w:rPr>
              <w:rFonts w:cs="Times New Roman"/>
              <w:color w:val="000000" w:themeColor="text1"/>
            </w:rPr>
            <w:fldChar w:fldCharType="end"/>
          </w: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√不适用</w:instrText>
          </w:r>
          <w:r>
            <w:rPr>
              <w:rFonts w:cs="Times New Roman" w:hint="eastAsia"/>
              <w:color w:val="000000" w:themeColor="text1"/>
            </w:rPr>
            <w:instrText xml:space="preserve"> </w:instrText>
          </w:r>
          <w:r>
            <w:rPr>
              <w:rFonts w:cs="Times New Roman"/>
              <w:color w:val="000000" w:themeColor="text1"/>
            </w:rPr>
            <w:fldChar w:fldCharType="end"/>
          </w:r>
        </w:p>
      </w:sdtContent>
    </w:sdt>
    <w:p w:rsidR="00156DD6" w:rsidRDefault="00D51F5F">
      <w:pPr>
        <w:pStyle w:val="Style48"/>
        <w:numPr>
          <w:ilvl w:val="0"/>
          <w:numId w:val="50"/>
        </w:numPr>
        <w:rPr>
          <w:sz w:val="21"/>
          <w:szCs w:val="21"/>
        </w:rPr>
      </w:pPr>
      <w:bookmarkStart w:id="274" w:name="_Hlk10468610"/>
      <w:bookmarkEnd w:id="272"/>
      <w:bookmarkEnd w:id="273"/>
      <w:r>
        <w:rPr>
          <w:rFonts w:hint="eastAsia"/>
          <w:sz w:val="21"/>
          <w:szCs w:val="21"/>
        </w:rPr>
        <w:t>按预期信用损失一般模型计提坏账准备</w:t>
      </w:r>
    </w:p>
    <w:sdt>
      <w:sdtPr>
        <w:rPr>
          <w:color w:val="000000" w:themeColor="text1"/>
        </w:rPr>
        <w:alias w:val="是否适用：应收股利坏账准备调节表[双击切换]"/>
        <w:tag w:val="_GBC_5a51eb2bfb0643eb8b9c73cdd0dbec60"/>
        <w:id w:val="-63672073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50"/>
        </w:numPr>
        <w:rPr>
          <w:sz w:val="21"/>
          <w:szCs w:val="21"/>
        </w:rPr>
      </w:pPr>
      <w:bookmarkStart w:id="275" w:name="_Hlk167890094"/>
      <w:bookmarkStart w:id="276" w:name="_Hlk153377452"/>
      <w:bookmarkEnd w:id="274"/>
      <w:r>
        <w:rPr>
          <w:rFonts w:hint="eastAsia"/>
          <w:sz w:val="21"/>
          <w:szCs w:val="21"/>
        </w:rPr>
        <w:t>坏账准备的情况</w:t>
      </w:r>
    </w:p>
    <w:sdt>
      <w:sdtPr>
        <w:rPr>
          <w:color w:val="000000" w:themeColor="text1"/>
        </w:rPr>
        <w:alias w:val="是否适用：坏账准备情况[双击切换]"/>
        <w:tag w:val="_GBC_27a4f54f16d145c384ec77d7ec602dbc"/>
        <w:id w:val="83951784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e4fd140c18e841efba2e4cb5bf308654"/>
        <w:id w:val="152683078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坏账准备情况的说明"/>
        <w:tag w:val="_GBC_414c7640b0394cf3a868f0350c981765"/>
        <w:id w:val="1323157953"/>
        <w:placeholder>
          <w:docPart w:val="GBC22222222222222222222222222222"/>
        </w:placeholder>
      </w:sdtPr>
      <w:sdtEndPr/>
      <w:sdtContent>
        <w:p w:rsidR="00156DD6" w:rsidRDefault="00D51F5F">
          <w:pPr>
            <w:ind w:rightChars="20" w:right="42"/>
            <w:rPr>
              <w:color w:val="000000" w:themeColor="text1"/>
            </w:rPr>
          </w:pPr>
          <w:r>
            <w:rPr>
              <w:rFonts w:hint="eastAsia"/>
              <w:color w:val="000000" w:themeColor="text1"/>
            </w:rPr>
            <w:t>无</w:t>
          </w:r>
        </w:p>
      </w:sdtContent>
    </w:sdt>
    <w:p w:rsidR="00156DD6" w:rsidRDefault="00D51F5F">
      <w:pPr>
        <w:pStyle w:val="Style48"/>
        <w:numPr>
          <w:ilvl w:val="0"/>
          <w:numId w:val="50"/>
        </w:numPr>
        <w:rPr>
          <w:sz w:val="21"/>
          <w:szCs w:val="21"/>
        </w:rPr>
      </w:pPr>
      <w:r>
        <w:rPr>
          <w:rFonts w:hint="eastAsia"/>
          <w:sz w:val="21"/>
          <w:szCs w:val="21"/>
        </w:rPr>
        <w:t>本期实际核销的应收股利情况</w:t>
      </w:r>
    </w:p>
    <w:sdt>
      <w:sdtPr>
        <w:rPr>
          <w:color w:val="000000" w:themeColor="text1"/>
        </w:rPr>
        <w:alias w:val="是否适用：实际核销的情况[双击切换]"/>
        <w:tag w:val="_GBC_9eaf5a867a514dab9094fbf8401be69b"/>
        <w:id w:val="118170332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其中重要的应收股利核销情况</w:t>
      </w:r>
    </w:p>
    <w:sdt>
      <w:sdtPr>
        <w:rPr>
          <w:rFonts w:hint="eastAsia"/>
          <w:color w:val="000000" w:themeColor="text1"/>
        </w:rPr>
        <w:alias w:val="是否适用：重要的核销情况[双击切换]"/>
        <w:tag w:val="_GBC_5cf96e8ce96146ed94b21417af438fca"/>
        <w:id w:val="-114466404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cdab003e34144d27a769732520f8f54a"/>
        <w:id w:val="-1382398203"/>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75"/>
    <w:bookmarkEnd w:id="276"/>
    <w:p w:rsidR="00156DD6" w:rsidRDefault="00D51F5F">
      <w:pPr>
        <w:rPr>
          <w:color w:val="000000" w:themeColor="text1"/>
        </w:rPr>
      </w:pPr>
      <w:r>
        <w:rPr>
          <w:rFonts w:hint="eastAsia"/>
          <w:color w:val="000000" w:themeColor="text1"/>
        </w:rPr>
        <w:t>其他说明：</w:t>
      </w:r>
    </w:p>
    <w:sdt>
      <w:sdtPr>
        <w:rPr>
          <w:color w:val="000000" w:themeColor="text1"/>
        </w:rPr>
        <w:alias w:val="是否适用：应收股利的说明[双击切换]"/>
        <w:tag w:val="_GBC_108dd924d7ca4fa78961046db5cd354e"/>
        <w:id w:val="-85704466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rPr>
          <w:rFonts w:ascii="宋体" w:hAnsi="宋体"/>
          <w:color w:val="000000" w:themeColor="text1"/>
          <w:sz w:val="21"/>
          <w:szCs w:val="21"/>
        </w:rPr>
      </w:pPr>
      <w:r>
        <w:rPr>
          <w:rFonts w:ascii="宋体" w:hAnsi="宋体" w:hint="eastAsia"/>
          <w:color w:val="000000" w:themeColor="text1"/>
          <w:sz w:val="21"/>
          <w:szCs w:val="21"/>
        </w:rPr>
        <w:t>其他应收款</w:t>
      </w:r>
    </w:p>
    <w:p w:rsidR="00156DD6" w:rsidRDefault="00D51F5F">
      <w:pPr>
        <w:pStyle w:val="Style48"/>
        <w:numPr>
          <w:ilvl w:val="0"/>
          <w:numId w:val="51"/>
        </w:numPr>
        <w:rPr>
          <w:sz w:val="21"/>
          <w:szCs w:val="21"/>
        </w:rPr>
      </w:pPr>
      <w:bookmarkStart w:id="277" w:name="_Hlk533421204"/>
      <w:bookmarkStart w:id="278" w:name="_Hlk167890330"/>
      <w:r>
        <w:rPr>
          <w:rFonts w:hint="eastAsia"/>
          <w:sz w:val="21"/>
          <w:szCs w:val="21"/>
        </w:rPr>
        <w:t>按账龄披露</w:t>
      </w:r>
      <w:bookmarkEnd w:id="277"/>
    </w:p>
    <w:sdt>
      <w:sdtPr>
        <w:rPr>
          <w:rFonts w:hint="eastAsia"/>
          <w:color w:val="000000" w:themeColor="text1"/>
        </w:rPr>
        <w:alias w:val="是否适用：组合中，按账龄分析法计提坏账准备的其他应收账款[双击切换]"/>
        <w:tag w:val="_GBC_2dc7496d7daf42fabc670f597f99f9a3"/>
        <w:id w:val="-8396219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单项金额不重大但按信用风险特征组合后该组合的风险较大的其他应收账款"/>
          <w:tag w:val="_GBC_cdb739275e9048aba4230ed9bd146a45"/>
          <w:id w:val="8284058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单项金额不重大但按信用风险特征组合后该组合的风险较大的其他应收账款"/>
          <w:tag w:val="_GBC_3fef54d9cee94f85a0131be89bc468aa"/>
          <w:id w:val="-4803022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3"/>
        <w:gridCol w:w="2915"/>
        <w:gridCol w:w="2915"/>
      </w:tblGrid>
      <w:tr w:rsidR="00156DD6">
        <w:trPr>
          <w:cantSplit/>
        </w:trPr>
        <w:sdt>
          <w:sdtPr>
            <w:tag w:val="_PLD_b6e27a2b2e82491eabe1f7ae934a9024"/>
            <w:id w:val="-706015824"/>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账龄</w:t>
                </w:r>
              </w:p>
            </w:tc>
          </w:sdtContent>
        </w:sdt>
        <w:sdt>
          <w:sdtPr>
            <w:tag w:val="_PLD_1ec6a999d56e428c86b4b1d15e441db3"/>
            <w:id w:val="1760089790"/>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7e4dd2ab04c74f9b948d19d48ec6182e"/>
              <w:id w:val="-1325964097"/>
            </w:sdtPr>
            <w:sdtEndPr/>
            <w:sdtContent>
              <w:p w:rsidR="00156DD6" w:rsidRDefault="00D51F5F">
                <w:pPr>
                  <w:jc w:val="center"/>
                  <w:rPr>
                    <w:color w:val="000000" w:themeColor="text1"/>
                  </w:rPr>
                </w:pPr>
                <w:r>
                  <w:rPr>
                    <w:rFonts w:hint="eastAsia"/>
                    <w:color w:val="000000" w:themeColor="text1"/>
                  </w:rPr>
                  <w:t>期初账面余额</w:t>
                </w:r>
              </w:p>
            </w:sdtContent>
          </w:sdt>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1</w:t>
            </w:r>
            <w:r>
              <w:rPr>
                <w:rFonts w:hint="eastAsia"/>
                <w:color w:val="000000" w:themeColor="text1"/>
              </w:rPr>
              <w:t>年以内（含</w:t>
            </w:r>
            <w:r>
              <w:rPr>
                <w:rFonts w:hint="eastAsia"/>
                <w:color w:val="000000" w:themeColor="text1"/>
              </w:rPr>
              <w:t>1</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31,704,285.72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18,538,866.09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1</w:t>
            </w:r>
            <w:r>
              <w:rPr>
                <w:rFonts w:hint="eastAsia"/>
                <w:color w:val="000000" w:themeColor="text1"/>
              </w:rPr>
              <w:t>至</w:t>
            </w:r>
            <w:r>
              <w:rPr>
                <w:rFonts w:hint="eastAsia"/>
                <w:color w:val="000000" w:themeColor="text1"/>
              </w:rPr>
              <w:t>2</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1,870,284.81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2,218,681.99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2</w:t>
            </w:r>
            <w:r>
              <w:rPr>
                <w:rFonts w:hint="eastAsia"/>
                <w:color w:val="000000" w:themeColor="text1"/>
              </w:rPr>
              <w:t>至</w:t>
            </w:r>
            <w:r>
              <w:rPr>
                <w:rFonts w:hint="eastAsia"/>
                <w:color w:val="000000" w:themeColor="text1"/>
              </w:rPr>
              <w:t>3</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1,233,373.65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129,473,329.51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3</w:t>
            </w:r>
            <w:r>
              <w:rPr>
                <w:rFonts w:hint="eastAsia"/>
                <w:color w:val="000000" w:themeColor="text1"/>
              </w:rPr>
              <w:t>至</w:t>
            </w:r>
            <w:r>
              <w:rPr>
                <w:rFonts w:hint="eastAsia"/>
                <w:color w:val="000000" w:themeColor="text1"/>
              </w:rPr>
              <w:t>4</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128,714,224.50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427,071.70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4</w:t>
            </w:r>
            <w:r>
              <w:rPr>
                <w:rFonts w:hint="eastAsia"/>
                <w:color w:val="000000" w:themeColor="text1"/>
              </w:rPr>
              <w:t>至</w:t>
            </w:r>
            <w:r>
              <w:rPr>
                <w:rFonts w:hint="eastAsia"/>
                <w:color w:val="000000" w:themeColor="text1"/>
              </w:rPr>
              <w:t>5</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571,980.12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617,430.92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5</w:t>
            </w:r>
            <w:r>
              <w:rPr>
                <w:rFonts w:hint="eastAsia"/>
                <w:color w:val="000000" w:themeColor="text1"/>
              </w:rPr>
              <w:t>年以上</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1,156,763.49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898,640.88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165,250,912.29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152,174,021.09 </w:t>
            </w:r>
          </w:p>
        </w:tc>
      </w:tr>
    </w:tbl>
    <w:bookmarkEnd w:id="278"/>
    <w:p w:rsidR="00156DD6" w:rsidRDefault="00D51F5F">
      <w:pPr>
        <w:pStyle w:val="Style48"/>
        <w:numPr>
          <w:ilvl w:val="0"/>
          <w:numId w:val="51"/>
        </w:numPr>
        <w:rPr>
          <w:sz w:val="21"/>
          <w:szCs w:val="32"/>
        </w:rPr>
      </w:pPr>
      <w:r>
        <w:rPr>
          <w:rFonts w:hint="eastAsia"/>
          <w:sz w:val="21"/>
          <w:szCs w:val="32"/>
        </w:rPr>
        <w:t>按款项性质分类情况</w:t>
      </w:r>
    </w:p>
    <w:sdt>
      <w:sdtPr>
        <w:rPr>
          <w:color w:val="000000" w:themeColor="text1"/>
        </w:rPr>
        <w:alias w:val="是否适用：其他应收款按款项性质分类情况[双击切换]"/>
        <w:tag w:val="_GBC_43f55a27297f4f93b1b4f668134ac6be"/>
        <w:id w:val="11561949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其他应收款按款项性质分类情况"/>
          <w:tag w:val="_GBC_9a3af1171f5640cd83ea2c41e0145167"/>
          <w:id w:val="-552358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应收款按款项性质分类情况"/>
          <w:tag w:val="_GBC_0d096e7260294092a6e9a8405d01bc70"/>
          <w:id w:val="12844624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156DD6">
        <w:bookmarkStart w:id="279" w:name="_Hlk10469799" w:displacedByCustomXml="next"/>
        <w:sdt>
          <w:sdtPr>
            <w:tag w:val="_PLD_1e66a0098cd34ad6a335156852121360"/>
            <w:id w:val="-82387809"/>
          </w:sdtPr>
          <w:sdtEndPr/>
          <w:sdtContent>
            <w:tc>
              <w:tcPr>
                <w:tcW w:w="1700" w:type="pct"/>
                <w:vAlign w:val="center"/>
              </w:tcPr>
              <w:p w:rsidR="00156DD6" w:rsidRDefault="00D51F5F">
                <w:pPr>
                  <w:jc w:val="center"/>
                  <w:rPr>
                    <w:color w:val="000000" w:themeColor="text1"/>
                  </w:rPr>
                </w:pPr>
                <w:r>
                  <w:rPr>
                    <w:rFonts w:hint="eastAsia"/>
                    <w:color w:val="000000" w:themeColor="text1"/>
                  </w:rPr>
                  <w:t>款项性质</w:t>
                </w:r>
              </w:p>
            </w:tc>
          </w:sdtContent>
        </w:sdt>
        <w:sdt>
          <w:sdtPr>
            <w:tag w:val="_PLD_51fee06f6d3944a9bbc7bac249ed63b6"/>
            <w:id w:val="790180802"/>
          </w:sdtPr>
          <w:sdtEndPr/>
          <w:sdtContent>
            <w:tc>
              <w:tcPr>
                <w:tcW w:w="1647" w:type="pct"/>
                <w:vAlign w:val="center"/>
              </w:tcPr>
              <w:p w:rsidR="00156DD6" w:rsidRDefault="00D51F5F">
                <w:pPr>
                  <w:jc w:val="center"/>
                  <w:rPr>
                    <w:color w:val="000000" w:themeColor="text1"/>
                  </w:rPr>
                </w:pPr>
                <w:r>
                  <w:rPr>
                    <w:rFonts w:hint="eastAsia"/>
                    <w:color w:val="000000" w:themeColor="text1"/>
                  </w:rPr>
                  <w:t>期末账面余额</w:t>
                </w:r>
              </w:p>
            </w:tc>
          </w:sdtContent>
        </w:sdt>
        <w:sdt>
          <w:sdtPr>
            <w:tag w:val="_PLD_0297dadecff24ff8926a98d0267a917b"/>
            <w:id w:val="-180131376"/>
          </w:sdtPr>
          <w:sdtEndPr/>
          <w:sdtContent>
            <w:tc>
              <w:tcPr>
                <w:tcW w:w="1653" w:type="pct"/>
                <w:vAlign w:val="center"/>
              </w:tcPr>
              <w:p w:rsidR="00156DD6" w:rsidRDefault="00D51F5F">
                <w:pPr>
                  <w:jc w:val="center"/>
                  <w:rPr>
                    <w:color w:val="000000" w:themeColor="text1"/>
                  </w:rPr>
                </w:pPr>
                <w:r>
                  <w:rPr>
                    <w:rFonts w:hint="eastAsia"/>
                    <w:color w:val="000000" w:themeColor="text1"/>
                  </w:rPr>
                  <w:t>期初账面余额</w:t>
                </w:r>
              </w:p>
            </w:tc>
          </w:sdtContent>
        </w:sdt>
      </w:tr>
      <w:tr w:rsidR="00156DD6">
        <w:tc>
          <w:tcPr>
            <w:tcW w:w="1700" w:type="pct"/>
          </w:tcPr>
          <w:p w:rsidR="00156DD6" w:rsidRDefault="00D51F5F">
            <w:pPr>
              <w:pStyle w:val="Style43"/>
            </w:pPr>
            <w:r>
              <w:t>押金及保证金</w:t>
            </w:r>
          </w:p>
        </w:tc>
        <w:tc>
          <w:tcPr>
            <w:tcW w:w="1647" w:type="pct"/>
          </w:tcPr>
          <w:p w:rsidR="00156DD6" w:rsidRDefault="00D51F5F">
            <w:pPr>
              <w:jc w:val="right"/>
            </w:pPr>
            <w:r>
              <w:rPr>
                <w:rFonts w:hint="eastAsia"/>
              </w:rPr>
              <w:t xml:space="preserve"> 27,179,146.74 </w:t>
            </w:r>
          </w:p>
        </w:tc>
        <w:tc>
          <w:tcPr>
            <w:tcW w:w="1653" w:type="pct"/>
          </w:tcPr>
          <w:p w:rsidR="00156DD6" w:rsidRDefault="00D51F5F">
            <w:pPr>
              <w:jc w:val="right"/>
            </w:pPr>
            <w:r>
              <w:t xml:space="preserve"> 21,183,878.79 </w:t>
            </w:r>
          </w:p>
        </w:tc>
      </w:tr>
      <w:tr w:rsidR="00156DD6">
        <w:tc>
          <w:tcPr>
            <w:tcW w:w="1700" w:type="pct"/>
          </w:tcPr>
          <w:p w:rsidR="00156DD6" w:rsidRDefault="00D51F5F">
            <w:pPr>
              <w:pStyle w:val="Style43"/>
            </w:pPr>
            <w:r>
              <w:t>土地补偿款</w:t>
            </w:r>
          </w:p>
        </w:tc>
        <w:tc>
          <w:tcPr>
            <w:tcW w:w="1647" w:type="pct"/>
          </w:tcPr>
          <w:p w:rsidR="00156DD6" w:rsidRDefault="00D51F5F">
            <w:pPr>
              <w:jc w:val="right"/>
            </w:pPr>
            <w:r>
              <w:rPr>
                <w:rFonts w:hint="eastAsia"/>
              </w:rPr>
              <w:t xml:space="preserve"> 128,226,000.00 </w:t>
            </w:r>
          </w:p>
        </w:tc>
        <w:tc>
          <w:tcPr>
            <w:tcW w:w="1653" w:type="pct"/>
          </w:tcPr>
          <w:p w:rsidR="00156DD6" w:rsidRDefault="00D51F5F">
            <w:pPr>
              <w:jc w:val="right"/>
            </w:pPr>
            <w:r>
              <w:t xml:space="preserve"> 128,226,000.00 </w:t>
            </w:r>
          </w:p>
        </w:tc>
      </w:tr>
      <w:tr w:rsidR="00156DD6">
        <w:tc>
          <w:tcPr>
            <w:tcW w:w="1700" w:type="pct"/>
          </w:tcPr>
          <w:p w:rsidR="00156DD6" w:rsidRDefault="00D51F5F">
            <w:pPr>
              <w:pStyle w:val="Style43"/>
            </w:pPr>
            <w:r>
              <w:t>往来及其他</w:t>
            </w:r>
          </w:p>
        </w:tc>
        <w:tc>
          <w:tcPr>
            <w:tcW w:w="1647" w:type="pct"/>
          </w:tcPr>
          <w:p w:rsidR="00156DD6" w:rsidRDefault="00D51F5F">
            <w:pPr>
              <w:jc w:val="right"/>
            </w:pPr>
            <w:r>
              <w:rPr>
                <w:rFonts w:hint="eastAsia"/>
              </w:rPr>
              <w:t xml:space="preserve"> 9,845,765.55 </w:t>
            </w:r>
          </w:p>
        </w:tc>
        <w:tc>
          <w:tcPr>
            <w:tcW w:w="1653" w:type="pct"/>
          </w:tcPr>
          <w:p w:rsidR="00156DD6" w:rsidRDefault="00D51F5F">
            <w:pPr>
              <w:jc w:val="right"/>
            </w:pPr>
            <w:r>
              <w:t xml:space="preserve"> 2,764,142.30 </w:t>
            </w:r>
          </w:p>
        </w:tc>
      </w:tr>
      <w:tr w:rsidR="00156DD6">
        <w:tc>
          <w:tcPr>
            <w:tcW w:w="1700" w:type="pct"/>
          </w:tcPr>
          <w:p w:rsidR="00156DD6" w:rsidRDefault="00D51F5F">
            <w:pPr>
              <w:jc w:val="center"/>
              <w:rPr>
                <w:color w:val="000000" w:themeColor="text1"/>
              </w:rPr>
            </w:pPr>
            <w:r>
              <w:rPr>
                <w:color w:val="000000" w:themeColor="text1"/>
              </w:rPr>
              <w:t>合计</w:t>
            </w:r>
          </w:p>
        </w:tc>
        <w:tc>
          <w:tcPr>
            <w:tcW w:w="1647" w:type="pct"/>
          </w:tcPr>
          <w:p w:rsidR="00156DD6" w:rsidRDefault="00D51F5F">
            <w:pPr>
              <w:jc w:val="right"/>
            </w:pPr>
            <w:r>
              <w:rPr>
                <w:rFonts w:hint="eastAsia"/>
              </w:rPr>
              <w:t xml:space="preserve"> 165,250,912.29 </w:t>
            </w:r>
          </w:p>
        </w:tc>
        <w:tc>
          <w:tcPr>
            <w:tcW w:w="1653" w:type="pct"/>
          </w:tcPr>
          <w:p w:rsidR="00156DD6" w:rsidRDefault="00D51F5F">
            <w:pPr>
              <w:jc w:val="right"/>
            </w:pPr>
            <w:r>
              <w:t xml:space="preserve"> 152,174,021.09 </w:t>
            </w:r>
          </w:p>
        </w:tc>
      </w:tr>
    </w:tbl>
    <w:p w:rsidR="00156DD6" w:rsidRDefault="00D51F5F">
      <w:pPr>
        <w:pStyle w:val="Style48"/>
        <w:numPr>
          <w:ilvl w:val="0"/>
          <w:numId w:val="51"/>
        </w:numPr>
        <w:rPr>
          <w:sz w:val="21"/>
          <w:szCs w:val="32"/>
        </w:rPr>
      </w:pPr>
      <w:r>
        <w:rPr>
          <w:rFonts w:hint="eastAsia"/>
          <w:sz w:val="21"/>
          <w:szCs w:val="32"/>
        </w:rPr>
        <w:t>坏账准备计提情况</w:t>
      </w:r>
    </w:p>
    <w:sdt>
      <w:sdtPr>
        <w:rPr>
          <w:color w:val="000000" w:themeColor="text1"/>
        </w:rPr>
        <w:alias w:val="是否适用：其他应收款坏账准备调节表[双击切换]"/>
        <w:tag w:val="_GBC_29d0c5a1588a4f6589b1f8148c9ef180"/>
        <w:id w:val="-140336739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ind w:rightChars="50" w:right="105"/>
        <w:jc w:val="right"/>
        <w:rPr>
          <w:color w:val="000000" w:themeColor="text1"/>
        </w:rPr>
      </w:pPr>
      <w:r>
        <w:rPr>
          <w:rFonts w:hint="eastAsia"/>
          <w:color w:val="000000" w:themeColor="text1"/>
        </w:rPr>
        <w:t>单位：</w:t>
      </w:r>
      <w:sdt>
        <w:sdtPr>
          <w:rPr>
            <w:rFonts w:hint="eastAsia"/>
            <w:color w:val="000000" w:themeColor="text1"/>
          </w:rPr>
          <w:alias w:val="单位：其他应收款坏账准备调节表"/>
          <w:tag w:val="_GBC_c65b82e3cfaf4fde8d75eac8c9a6e9f9"/>
          <w:id w:val="21143237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其他应收款坏账准备调节表"/>
          <w:tag w:val="_GBC_08cd78a434cc441cbfff10030c5a8719"/>
          <w:id w:val="8280925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678"/>
        <w:gridCol w:w="1879"/>
        <w:gridCol w:w="1881"/>
        <w:gridCol w:w="1676"/>
      </w:tblGrid>
      <w:tr w:rsidR="00156DD6">
        <w:sdt>
          <w:sdtPr>
            <w:tag w:val="_PLD_0df16deeb9614db49d9aa88a31229d9a"/>
            <w:id w:val="1231356476"/>
          </w:sdtPr>
          <w:sdtEndPr/>
          <w:sdtContent>
            <w:tc>
              <w:tcPr>
                <w:tcW w:w="968" w:type="pct"/>
                <w:vMerge w:val="restar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坏账准备</w:t>
                </w:r>
              </w:p>
            </w:tc>
          </w:sdtContent>
        </w:sdt>
        <w:sdt>
          <w:sdtPr>
            <w:tag w:val="_PLD_f47baed0f5d14c0486b4530b2aa1cb4c"/>
            <w:id w:val="157585780"/>
          </w:sdtPr>
          <w:sdtEndPr/>
          <w:sdtContent>
            <w:tc>
              <w:tcPr>
                <w:tcW w:w="951" w:type="pc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第一阶段</w:t>
                </w:r>
              </w:p>
            </w:tc>
          </w:sdtContent>
        </w:sdt>
        <w:sdt>
          <w:sdtPr>
            <w:tag w:val="_PLD_a29dd4725bec4eb78b246b92252a24df"/>
            <w:id w:val="1966069846"/>
          </w:sdtPr>
          <w:sdtEndPr/>
          <w:sdtContent>
            <w:tc>
              <w:tcPr>
                <w:tcW w:w="1065" w:type="pc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第二阶段</w:t>
                </w:r>
              </w:p>
            </w:tc>
          </w:sdtContent>
        </w:sdt>
        <w:sdt>
          <w:sdtPr>
            <w:tag w:val="_PLD_c495a5d3c56f4cb9a0bd5cc9cc9b5410"/>
            <w:id w:val="-824282433"/>
          </w:sdtPr>
          <w:sdtEndPr/>
          <w:sdtContent>
            <w:tc>
              <w:tcPr>
                <w:tcW w:w="1066" w:type="pc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第三阶段</w:t>
                </w:r>
              </w:p>
            </w:tc>
          </w:sdtContent>
        </w:sdt>
        <w:sdt>
          <w:sdtPr>
            <w:tag w:val="_PLD_0dc8bab0b7424c1295b83fcc97ca7554"/>
            <w:id w:val="1400556381"/>
          </w:sdtPr>
          <w:sdtEndPr/>
          <w:sdtContent>
            <w:tc>
              <w:tcPr>
                <w:tcW w:w="950" w:type="pct"/>
                <w:vMerge w:val="restar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合计</w:t>
                </w:r>
              </w:p>
            </w:tc>
          </w:sdtContent>
        </w:sdt>
      </w:tr>
      <w:tr w:rsidR="00156DD6">
        <w:tc>
          <w:tcPr>
            <w:tcW w:w="968" w:type="pct"/>
            <w:vMerge/>
            <w:vAlign w:val="center"/>
          </w:tcPr>
          <w:p w:rsidR="00156DD6" w:rsidRDefault="00156DD6">
            <w:pPr>
              <w:jc w:val="center"/>
              <w:rPr>
                <w:color w:val="000000" w:themeColor="text1"/>
              </w:rPr>
            </w:pPr>
          </w:p>
        </w:tc>
        <w:sdt>
          <w:sdtPr>
            <w:tag w:val="_PLD_08f8b6a1fd974f0d8ae0c04f27849740"/>
            <w:id w:val="92596369"/>
          </w:sdtPr>
          <w:sdtEndPr/>
          <w:sdtContent>
            <w:tc>
              <w:tcPr>
                <w:tcW w:w="951" w:type="pc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未来</w:t>
                </w:r>
                <w:r>
                  <w:rPr>
                    <w:rFonts w:ascii="宋体" w:eastAsia="宋体" w:hAnsi="宋体" w:cs="宋体" w:hint="eastAsia"/>
                    <w:color w:val="000000" w:themeColor="text1"/>
                    <w:sz w:val="21"/>
                    <w:szCs w:val="21"/>
                    <w:lang w:eastAsia="zh-CN"/>
                  </w:rPr>
                  <w:t>12</w:t>
                </w:r>
                <w:r>
                  <w:rPr>
                    <w:rFonts w:ascii="宋体" w:eastAsia="宋体" w:hAnsi="宋体" w:cs="宋体" w:hint="eastAsia"/>
                    <w:color w:val="000000" w:themeColor="text1"/>
                    <w:sz w:val="21"/>
                    <w:szCs w:val="21"/>
                    <w:lang w:eastAsia="zh-CN"/>
                  </w:rPr>
                  <w:t>个月预期信用损失</w:t>
                </w:r>
              </w:p>
            </w:tc>
          </w:sdtContent>
        </w:sdt>
        <w:sdt>
          <w:sdtPr>
            <w:tag w:val="_PLD_c85cfe8f6d6a4ab0af13d30e76cd7800"/>
            <w:id w:val="1975172439"/>
          </w:sdtPr>
          <w:sdtEndPr/>
          <w:sdtContent>
            <w:tc>
              <w:tcPr>
                <w:tcW w:w="1065" w:type="pc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w:t>
                </w: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未发生信用减值</w:t>
                </w:r>
                <w:r>
                  <w:rPr>
                    <w:rFonts w:ascii="宋体" w:eastAsia="宋体" w:hAnsi="宋体" w:cs="宋体" w:hint="eastAsia"/>
                    <w:color w:val="000000" w:themeColor="text1"/>
                    <w:sz w:val="21"/>
                    <w:szCs w:val="21"/>
                    <w:lang w:eastAsia="zh-CN"/>
                  </w:rPr>
                  <w:t>)</w:t>
                </w:r>
              </w:p>
            </w:tc>
          </w:sdtContent>
        </w:sdt>
        <w:sdt>
          <w:sdtPr>
            <w:tag w:val="_PLD_2df6c7466f224906aa04a411975e6f79"/>
            <w:id w:val="388779964"/>
          </w:sdtPr>
          <w:sdtEndPr/>
          <w:sdtContent>
            <w:tc>
              <w:tcPr>
                <w:tcW w:w="1066" w:type="pc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w:t>
                </w: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已发生信用减值</w:t>
                </w:r>
                <w:r>
                  <w:rPr>
                    <w:rFonts w:ascii="宋体" w:eastAsia="宋体" w:hAnsi="宋体" w:cs="宋体" w:hint="eastAsia"/>
                    <w:color w:val="000000" w:themeColor="text1"/>
                    <w:sz w:val="21"/>
                    <w:szCs w:val="21"/>
                    <w:lang w:eastAsia="zh-CN"/>
                  </w:rPr>
                  <w:t>)</w:t>
                </w:r>
              </w:p>
            </w:tc>
          </w:sdtContent>
        </w:sdt>
        <w:tc>
          <w:tcPr>
            <w:tcW w:w="950" w:type="pct"/>
            <w:vMerge/>
          </w:tcPr>
          <w:p w:rsidR="00156DD6" w:rsidRDefault="00156DD6">
            <w:pPr>
              <w:jc w:val="center"/>
              <w:rPr>
                <w:color w:val="000000" w:themeColor="text1"/>
              </w:rPr>
            </w:pPr>
          </w:p>
        </w:tc>
      </w:tr>
      <w:tr w:rsidR="00156DD6">
        <w:tc>
          <w:tcPr>
            <w:tcW w:w="968"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2025</w:t>
            </w:r>
            <w:r>
              <w:rPr>
                <w:rFonts w:ascii="宋体" w:eastAsia="宋体" w:hAnsi="宋体" w:cs="宋体"/>
                <w:color w:val="000000" w:themeColor="text1"/>
                <w:sz w:val="21"/>
                <w:szCs w:val="21"/>
                <w:lang w:eastAsia="zh-CN"/>
              </w:rPr>
              <w:t>年</w:t>
            </w:r>
            <w:r>
              <w:rPr>
                <w:rFonts w:ascii="宋体" w:eastAsia="宋体" w:hAnsi="宋体" w:cs="宋体" w:hint="eastAsia"/>
                <w:color w:val="000000" w:themeColor="text1"/>
                <w:sz w:val="21"/>
                <w:szCs w:val="21"/>
                <w:lang w:eastAsia="zh-CN"/>
              </w:rPr>
              <w:t>1</w:t>
            </w:r>
            <w:r>
              <w:rPr>
                <w:rFonts w:ascii="宋体" w:eastAsia="宋体" w:hAnsi="宋体" w:cs="宋体" w:hint="eastAsia"/>
                <w:color w:val="000000" w:themeColor="text1"/>
                <w:sz w:val="21"/>
                <w:szCs w:val="21"/>
                <w:lang w:eastAsia="zh-CN"/>
              </w:rPr>
              <w:t>月</w:t>
            </w:r>
            <w:r>
              <w:rPr>
                <w:rFonts w:ascii="宋体" w:eastAsia="宋体" w:hAnsi="宋体" w:cs="宋体" w:hint="eastAsia"/>
                <w:color w:val="000000" w:themeColor="text1"/>
                <w:sz w:val="21"/>
                <w:szCs w:val="21"/>
                <w:lang w:eastAsia="zh-CN"/>
              </w:rPr>
              <w:t>1</w:t>
            </w:r>
            <w:r>
              <w:rPr>
                <w:rFonts w:ascii="宋体" w:eastAsia="宋体" w:hAnsi="宋体" w:cs="宋体" w:hint="eastAsia"/>
                <w:color w:val="000000" w:themeColor="text1"/>
                <w:sz w:val="21"/>
                <w:szCs w:val="21"/>
                <w:lang w:eastAsia="zh-CN"/>
              </w:rPr>
              <w:t>日余额</w:t>
            </w:r>
          </w:p>
        </w:tc>
        <w:tc>
          <w:tcPr>
            <w:tcW w:w="951" w:type="pct"/>
            <w:vAlign w:val="center"/>
          </w:tcPr>
          <w:p w:rsidR="00156DD6" w:rsidRDefault="00D51F5F">
            <w:pPr>
              <w:jc w:val="right"/>
            </w:pPr>
            <w:r>
              <w:t>926,943.30</w:t>
            </w:r>
          </w:p>
        </w:tc>
        <w:tc>
          <w:tcPr>
            <w:tcW w:w="1065" w:type="pct"/>
            <w:vAlign w:val="center"/>
          </w:tcPr>
          <w:p w:rsidR="00156DD6" w:rsidRDefault="00D51F5F">
            <w:pPr>
              <w:jc w:val="right"/>
            </w:pPr>
            <w:r>
              <w:t>220,868.20</w:t>
            </w:r>
          </w:p>
        </w:tc>
        <w:tc>
          <w:tcPr>
            <w:tcW w:w="1066" w:type="pct"/>
            <w:vAlign w:val="center"/>
          </w:tcPr>
          <w:p w:rsidR="00156DD6" w:rsidRDefault="00D51F5F">
            <w:pPr>
              <w:jc w:val="right"/>
            </w:pPr>
            <w:r>
              <w:t>25,876,586.23</w:t>
            </w:r>
          </w:p>
        </w:tc>
        <w:tc>
          <w:tcPr>
            <w:tcW w:w="950" w:type="pct"/>
            <w:vAlign w:val="center"/>
          </w:tcPr>
          <w:p w:rsidR="00156DD6" w:rsidRDefault="00D51F5F">
            <w:pPr>
              <w:jc w:val="right"/>
            </w:pPr>
            <w:r>
              <w:t>27,024,397.73</w:t>
            </w:r>
          </w:p>
        </w:tc>
      </w:tr>
      <w:tr w:rsidR="00156DD6">
        <w:tc>
          <w:tcPr>
            <w:tcW w:w="968"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2025</w:t>
            </w:r>
            <w:r>
              <w:rPr>
                <w:rFonts w:ascii="宋体" w:eastAsia="宋体" w:hAnsi="宋体" w:cs="宋体" w:hint="eastAsia"/>
                <w:color w:val="000000" w:themeColor="text1"/>
                <w:sz w:val="21"/>
                <w:szCs w:val="21"/>
                <w:lang w:eastAsia="zh-CN"/>
              </w:rPr>
              <w:t>年</w:t>
            </w:r>
            <w:r>
              <w:rPr>
                <w:rFonts w:ascii="宋体" w:eastAsia="宋体" w:hAnsi="宋体" w:cs="宋体" w:hint="eastAsia"/>
                <w:color w:val="000000" w:themeColor="text1"/>
                <w:sz w:val="21"/>
                <w:szCs w:val="21"/>
                <w:lang w:eastAsia="zh-CN"/>
              </w:rPr>
              <w:t>1</w:t>
            </w:r>
            <w:r>
              <w:rPr>
                <w:rFonts w:ascii="宋体" w:eastAsia="宋体" w:hAnsi="宋体" w:cs="宋体" w:hint="eastAsia"/>
                <w:color w:val="000000" w:themeColor="text1"/>
                <w:sz w:val="21"/>
                <w:szCs w:val="21"/>
                <w:lang w:eastAsia="zh-CN"/>
              </w:rPr>
              <w:t>月</w:t>
            </w:r>
            <w:r>
              <w:rPr>
                <w:rFonts w:ascii="宋体" w:eastAsia="宋体" w:hAnsi="宋体" w:cs="宋体" w:hint="eastAsia"/>
                <w:color w:val="000000" w:themeColor="text1"/>
                <w:sz w:val="21"/>
                <w:szCs w:val="21"/>
                <w:lang w:eastAsia="zh-CN"/>
              </w:rPr>
              <w:t>1</w:t>
            </w:r>
            <w:r>
              <w:rPr>
                <w:rFonts w:ascii="宋体" w:eastAsia="宋体" w:hAnsi="宋体" w:cs="宋体" w:hint="eastAsia"/>
                <w:color w:val="000000" w:themeColor="text1"/>
                <w:sz w:val="21"/>
                <w:szCs w:val="21"/>
                <w:lang w:eastAsia="zh-CN"/>
              </w:rPr>
              <w:t>日余额在本期</w:t>
            </w:r>
          </w:p>
        </w:tc>
        <w:tc>
          <w:tcPr>
            <w:tcW w:w="951" w:type="pct"/>
          </w:tcPr>
          <w:p w:rsidR="00156DD6" w:rsidRDefault="00156DD6">
            <w:pPr>
              <w:jc w:val="right"/>
            </w:pPr>
          </w:p>
        </w:tc>
        <w:tc>
          <w:tcPr>
            <w:tcW w:w="1065" w:type="pct"/>
          </w:tcPr>
          <w:p w:rsidR="00156DD6" w:rsidRDefault="00156DD6">
            <w:pPr>
              <w:jc w:val="right"/>
            </w:pPr>
          </w:p>
        </w:tc>
        <w:tc>
          <w:tcPr>
            <w:tcW w:w="1066" w:type="pct"/>
          </w:tcPr>
          <w:p w:rsidR="00156DD6" w:rsidRDefault="00156DD6">
            <w:pPr>
              <w:jc w:val="right"/>
            </w:pPr>
          </w:p>
        </w:tc>
        <w:tc>
          <w:tcPr>
            <w:tcW w:w="950" w:type="pct"/>
          </w:tcPr>
          <w:p w:rsidR="00156DD6" w:rsidRDefault="00156DD6">
            <w:pPr>
              <w:jc w:val="right"/>
            </w:pPr>
          </w:p>
        </w:tc>
      </w:tr>
      <w:tr w:rsidR="00156DD6">
        <w:tc>
          <w:tcPr>
            <w:tcW w:w="968"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转入第二阶段</w:t>
            </w:r>
          </w:p>
        </w:tc>
        <w:tc>
          <w:tcPr>
            <w:tcW w:w="951" w:type="pct"/>
          </w:tcPr>
          <w:p w:rsidR="00156DD6" w:rsidRDefault="00D51F5F">
            <w:pPr>
              <w:jc w:val="right"/>
            </w:pPr>
            <w:r>
              <w:t xml:space="preserve"> -28,746.90 </w:t>
            </w:r>
          </w:p>
        </w:tc>
        <w:tc>
          <w:tcPr>
            <w:tcW w:w="1065" w:type="pct"/>
          </w:tcPr>
          <w:p w:rsidR="00156DD6" w:rsidRDefault="00D51F5F">
            <w:pPr>
              <w:jc w:val="right"/>
            </w:pPr>
            <w:r>
              <w:t xml:space="preserve"> 28,746.90 </w:t>
            </w:r>
          </w:p>
        </w:tc>
        <w:tc>
          <w:tcPr>
            <w:tcW w:w="1066" w:type="pct"/>
          </w:tcPr>
          <w:p w:rsidR="00156DD6" w:rsidRDefault="00156DD6">
            <w:pPr>
              <w:jc w:val="right"/>
            </w:pPr>
          </w:p>
        </w:tc>
        <w:tc>
          <w:tcPr>
            <w:tcW w:w="950" w:type="pct"/>
          </w:tcPr>
          <w:p w:rsidR="00156DD6" w:rsidRDefault="00156DD6">
            <w:pPr>
              <w:jc w:val="right"/>
            </w:pPr>
          </w:p>
        </w:tc>
      </w:tr>
      <w:tr w:rsidR="00156DD6">
        <w:tc>
          <w:tcPr>
            <w:tcW w:w="968"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转入第三阶段</w:t>
            </w:r>
          </w:p>
        </w:tc>
        <w:tc>
          <w:tcPr>
            <w:tcW w:w="951" w:type="pct"/>
          </w:tcPr>
          <w:p w:rsidR="00156DD6" w:rsidRDefault="00156DD6">
            <w:pPr>
              <w:jc w:val="right"/>
            </w:pPr>
          </w:p>
        </w:tc>
        <w:tc>
          <w:tcPr>
            <w:tcW w:w="1065" w:type="pct"/>
          </w:tcPr>
          <w:p w:rsidR="00156DD6" w:rsidRDefault="00D51F5F">
            <w:pPr>
              <w:jc w:val="right"/>
            </w:pPr>
            <w:r>
              <w:t xml:space="preserve"> -37,532.26 </w:t>
            </w:r>
          </w:p>
        </w:tc>
        <w:tc>
          <w:tcPr>
            <w:tcW w:w="1066" w:type="pct"/>
          </w:tcPr>
          <w:p w:rsidR="00156DD6" w:rsidRDefault="00D51F5F">
            <w:pPr>
              <w:jc w:val="right"/>
            </w:pPr>
            <w:r>
              <w:t xml:space="preserve"> 37,532.26 </w:t>
            </w:r>
          </w:p>
        </w:tc>
        <w:tc>
          <w:tcPr>
            <w:tcW w:w="950" w:type="pct"/>
          </w:tcPr>
          <w:p w:rsidR="00156DD6" w:rsidRDefault="00156DD6">
            <w:pPr>
              <w:jc w:val="right"/>
            </w:pPr>
          </w:p>
        </w:tc>
      </w:tr>
      <w:tr w:rsidR="00156DD6">
        <w:tc>
          <w:tcPr>
            <w:tcW w:w="968"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转回第二阶段</w:t>
            </w:r>
          </w:p>
        </w:tc>
        <w:tc>
          <w:tcPr>
            <w:tcW w:w="951" w:type="pct"/>
          </w:tcPr>
          <w:p w:rsidR="00156DD6" w:rsidRDefault="00156DD6">
            <w:pPr>
              <w:jc w:val="right"/>
            </w:pPr>
          </w:p>
        </w:tc>
        <w:tc>
          <w:tcPr>
            <w:tcW w:w="1065" w:type="pct"/>
          </w:tcPr>
          <w:p w:rsidR="00156DD6" w:rsidRDefault="00156DD6">
            <w:pPr>
              <w:jc w:val="right"/>
            </w:pPr>
          </w:p>
        </w:tc>
        <w:tc>
          <w:tcPr>
            <w:tcW w:w="1066" w:type="pct"/>
          </w:tcPr>
          <w:p w:rsidR="00156DD6" w:rsidRDefault="00156DD6">
            <w:pPr>
              <w:jc w:val="right"/>
            </w:pPr>
          </w:p>
        </w:tc>
        <w:tc>
          <w:tcPr>
            <w:tcW w:w="950" w:type="pct"/>
          </w:tcPr>
          <w:p w:rsidR="00156DD6" w:rsidRDefault="00156DD6">
            <w:pPr>
              <w:jc w:val="right"/>
            </w:pPr>
          </w:p>
        </w:tc>
      </w:tr>
      <w:tr w:rsidR="00156DD6">
        <w:tc>
          <w:tcPr>
            <w:tcW w:w="968"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转回第一阶段</w:t>
            </w:r>
          </w:p>
        </w:tc>
        <w:tc>
          <w:tcPr>
            <w:tcW w:w="951" w:type="pct"/>
          </w:tcPr>
          <w:p w:rsidR="00156DD6" w:rsidRDefault="00156DD6">
            <w:pPr>
              <w:jc w:val="right"/>
            </w:pPr>
          </w:p>
        </w:tc>
        <w:tc>
          <w:tcPr>
            <w:tcW w:w="1065" w:type="pct"/>
          </w:tcPr>
          <w:p w:rsidR="00156DD6" w:rsidRDefault="00156DD6">
            <w:pPr>
              <w:jc w:val="right"/>
            </w:pPr>
          </w:p>
        </w:tc>
        <w:tc>
          <w:tcPr>
            <w:tcW w:w="1066" w:type="pct"/>
          </w:tcPr>
          <w:p w:rsidR="00156DD6" w:rsidRDefault="00156DD6">
            <w:pPr>
              <w:jc w:val="right"/>
            </w:pPr>
          </w:p>
        </w:tc>
        <w:tc>
          <w:tcPr>
            <w:tcW w:w="950" w:type="pct"/>
          </w:tcPr>
          <w:p w:rsidR="00156DD6" w:rsidRDefault="00156DD6">
            <w:pPr>
              <w:jc w:val="right"/>
            </w:pPr>
          </w:p>
        </w:tc>
      </w:tr>
      <w:tr w:rsidR="00156DD6">
        <w:tc>
          <w:tcPr>
            <w:tcW w:w="968"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本期计提</w:t>
            </w:r>
          </w:p>
        </w:tc>
        <w:tc>
          <w:tcPr>
            <w:tcW w:w="951" w:type="pct"/>
          </w:tcPr>
          <w:p w:rsidR="00156DD6" w:rsidRDefault="00D51F5F">
            <w:pPr>
              <w:jc w:val="right"/>
            </w:pPr>
            <w:r>
              <w:t xml:space="preserve"> 355,530.44 </w:t>
            </w:r>
          </w:p>
        </w:tc>
        <w:tc>
          <w:tcPr>
            <w:tcW w:w="1065" w:type="pct"/>
          </w:tcPr>
          <w:p w:rsidR="00156DD6" w:rsidRDefault="00D51F5F">
            <w:pPr>
              <w:jc w:val="right"/>
            </w:pPr>
            <w:r>
              <w:t xml:space="preserve"> -27,841.41 </w:t>
            </w:r>
          </w:p>
        </w:tc>
        <w:tc>
          <w:tcPr>
            <w:tcW w:w="1066" w:type="pct"/>
          </w:tcPr>
          <w:p w:rsidR="00156DD6" w:rsidRDefault="00D51F5F">
            <w:pPr>
              <w:jc w:val="right"/>
            </w:pPr>
            <w:r>
              <w:t>214,963.97</w:t>
            </w:r>
          </w:p>
        </w:tc>
        <w:tc>
          <w:tcPr>
            <w:tcW w:w="950" w:type="pct"/>
          </w:tcPr>
          <w:p w:rsidR="00156DD6" w:rsidRDefault="00D51F5F">
            <w:pPr>
              <w:jc w:val="right"/>
            </w:pPr>
            <w:r>
              <w:t>542,653.00</w:t>
            </w:r>
          </w:p>
        </w:tc>
      </w:tr>
      <w:tr w:rsidR="00156DD6">
        <w:tc>
          <w:tcPr>
            <w:tcW w:w="968" w:type="pct"/>
            <w:vAlign w:val="center"/>
          </w:tcPr>
          <w:p w:rsidR="00156DD6" w:rsidRDefault="00D51F5F">
            <w:pPr>
              <w:pStyle w:val="Style128"/>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本期转回</w:t>
            </w:r>
          </w:p>
        </w:tc>
        <w:tc>
          <w:tcPr>
            <w:tcW w:w="951" w:type="pct"/>
          </w:tcPr>
          <w:p w:rsidR="00156DD6" w:rsidRDefault="00156DD6">
            <w:pPr>
              <w:jc w:val="right"/>
            </w:pPr>
          </w:p>
        </w:tc>
        <w:tc>
          <w:tcPr>
            <w:tcW w:w="1065" w:type="pct"/>
          </w:tcPr>
          <w:p w:rsidR="00156DD6" w:rsidRDefault="00156DD6">
            <w:pPr>
              <w:jc w:val="right"/>
            </w:pPr>
          </w:p>
        </w:tc>
        <w:tc>
          <w:tcPr>
            <w:tcW w:w="1066" w:type="pct"/>
          </w:tcPr>
          <w:p w:rsidR="00156DD6" w:rsidRDefault="00156DD6">
            <w:pPr>
              <w:jc w:val="right"/>
            </w:pPr>
          </w:p>
        </w:tc>
        <w:tc>
          <w:tcPr>
            <w:tcW w:w="950" w:type="pct"/>
          </w:tcPr>
          <w:p w:rsidR="00156DD6" w:rsidRDefault="00156DD6">
            <w:pPr>
              <w:jc w:val="right"/>
            </w:pPr>
          </w:p>
        </w:tc>
      </w:tr>
      <w:tr w:rsidR="00156DD6">
        <w:tc>
          <w:tcPr>
            <w:tcW w:w="968"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本期转销</w:t>
            </w:r>
          </w:p>
        </w:tc>
        <w:tc>
          <w:tcPr>
            <w:tcW w:w="951" w:type="pct"/>
          </w:tcPr>
          <w:p w:rsidR="00156DD6" w:rsidRDefault="00156DD6">
            <w:pPr>
              <w:jc w:val="right"/>
            </w:pPr>
          </w:p>
        </w:tc>
        <w:tc>
          <w:tcPr>
            <w:tcW w:w="1065" w:type="pct"/>
          </w:tcPr>
          <w:p w:rsidR="00156DD6" w:rsidRDefault="00156DD6">
            <w:pPr>
              <w:jc w:val="right"/>
            </w:pPr>
          </w:p>
        </w:tc>
        <w:tc>
          <w:tcPr>
            <w:tcW w:w="1066" w:type="pct"/>
          </w:tcPr>
          <w:p w:rsidR="00156DD6" w:rsidRDefault="00156DD6">
            <w:pPr>
              <w:jc w:val="right"/>
            </w:pPr>
          </w:p>
        </w:tc>
        <w:tc>
          <w:tcPr>
            <w:tcW w:w="950" w:type="pct"/>
          </w:tcPr>
          <w:p w:rsidR="00156DD6" w:rsidRDefault="00156DD6">
            <w:pPr>
              <w:jc w:val="right"/>
            </w:pPr>
          </w:p>
        </w:tc>
      </w:tr>
      <w:tr w:rsidR="00156DD6">
        <w:tc>
          <w:tcPr>
            <w:tcW w:w="968" w:type="pct"/>
            <w:vAlign w:val="center"/>
          </w:tcPr>
          <w:p w:rsidR="00156DD6" w:rsidRDefault="00D51F5F">
            <w:pPr>
              <w:pStyle w:val="Style128"/>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本期核销</w:t>
            </w:r>
          </w:p>
        </w:tc>
        <w:tc>
          <w:tcPr>
            <w:tcW w:w="951" w:type="pct"/>
          </w:tcPr>
          <w:p w:rsidR="00156DD6" w:rsidRDefault="00156DD6">
            <w:pPr>
              <w:jc w:val="right"/>
            </w:pPr>
          </w:p>
        </w:tc>
        <w:tc>
          <w:tcPr>
            <w:tcW w:w="1065" w:type="pct"/>
          </w:tcPr>
          <w:p w:rsidR="00156DD6" w:rsidRDefault="00156DD6">
            <w:pPr>
              <w:jc w:val="right"/>
            </w:pPr>
          </w:p>
        </w:tc>
        <w:tc>
          <w:tcPr>
            <w:tcW w:w="1066" w:type="pct"/>
          </w:tcPr>
          <w:p w:rsidR="00156DD6" w:rsidRDefault="00156DD6">
            <w:pPr>
              <w:jc w:val="right"/>
            </w:pPr>
          </w:p>
        </w:tc>
        <w:tc>
          <w:tcPr>
            <w:tcW w:w="950" w:type="pct"/>
          </w:tcPr>
          <w:p w:rsidR="00156DD6" w:rsidRDefault="00156DD6">
            <w:pPr>
              <w:jc w:val="right"/>
            </w:pPr>
          </w:p>
        </w:tc>
      </w:tr>
      <w:tr w:rsidR="00156DD6">
        <w:tc>
          <w:tcPr>
            <w:tcW w:w="968"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其他变动</w:t>
            </w:r>
          </w:p>
        </w:tc>
        <w:tc>
          <w:tcPr>
            <w:tcW w:w="951" w:type="pct"/>
          </w:tcPr>
          <w:p w:rsidR="00156DD6" w:rsidRDefault="00156DD6">
            <w:pPr>
              <w:jc w:val="right"/>
            </w:pPr>
          </w:p>
        </w:tc>
        <w:tc>
          <w:tcPr>
            <w:tcW w:w="1065" w:type="pct"/>
          </w:tcPr>
          <w:p w:rsidR="00156DD6" w:rsidRDefault="00156DD6">
            <w:pPr>
              <w:jc w:val="right"/>
            </w:pPr>
          </w:p>
        </w:tc>
        <w:tc>
          <w:tcPr>
            <w:tcW w:w="1066" w:type="pct"/>
          </w:tcPr>
          <w:p w:rsidR="00156DD6" w:rsidRDefault="00156DD6">
            <w:pPr>
              <w:jc w:val="right"/>
            </w:pPr>
          </w:p>
        </w:tc>
        <w:tc>
          <w:tcPr>
            <w:tcW w:w="950" w:type="pct"/>
          </w:tcPr>
          <w:p w:rsidR="00156DD6" w:rsidRDefault="00156DD6">
            <w:pPr>
              <w:jc w:val="right"/>
            </w:pPr>
          </w:p>
        </w:tc>
      </w:tr>
      <w:tr w:rsidR="00156DD6">
        <w:tc>
          <w:tcPr>
            <w:tcW w:w="968" w:type="pct"/>
            <w:vAlign w:val="center"/>
          </w:tcPr>
          <w:p w:rsidR="00156DD6" w:rsidRDefault="00D51F5F">
            <w:pPr>
              <w:pStyle w:val="Style128"/>
              <w:spacing w:after="0" w:line="240" w:lineRule="auto"/>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2025</w:t>
            </w:r>
            <w:r>
              <w:rPr>
                <w:rFonts w:ascii="宋体" w:eastAsia="宋体" w:hAnsi="宋体" w:cs="宋体"/>
                <w:color w:val="000000" w:themeColor="text1"/>
                <w:sz w:val="21"/>
                <w:szCs w:val="21"/>
                <w:lang w:eastAsia="zh-CN"/>
              </w:rPr>
              <w:t>年</w:t>
            </w:r>
            <w:r>
              <w:rPr>
                <w:rFonts w:ascii="宋体" w:eastAsia="宋体" w:hAnsi="宋体" w:cs="宋体"/>
                <w:color w:val="000000" w:themeColor="text1"/>
                <w:sz w:val="21"/>
                <w:szCs w:val="21"/>
                <w:lang w:eastAsia="zh-CN"/>
              </w:rPr>
              <w:t>6</w:t>
            </w:r>
            <w:r>
              <w:rPr>
                <w:rFonts w:ascii="宋体" w:eastAsia="宋体" w:hAnsi="宋体" w:cs="宋体"/>
                <w:color w:val="000000" w:themeColor="text1"/>
                <w:sz w:val="21"/>
                <w:szCs w:val="21"/>
                <w:lang w:eastAsia="zh-CN"/>
              </w:rPr>
              <w:t>月</w:t>
            </w:r>
            <w:r>
              <w:rPr>
                <w:rFonts w:ascii="宋体" w:eastAsia="宋体" w:hAnsi="宋体" w:cs="宋体"/>
                <w:color w:val="000000" w:themeColor="text1"/>
                <w:sz w:val="21"/>
                <w:szCs w:val="21"/>
                <w:lang w:eastAsia="zh-CN"/>
              </w:rPr>
              <w:t>30</w:t>
            </w:r>
            <w:r>
              <w:rPr>
                <w:rFonts w:ascii="宋体" w:eastAsia="宋体" w:hAnsi="宋体" w:cs="宋体"/>
                <w:color w:val="000000" w:themeColor="text1"/>
                <w:sz w:val="21"/>
                <w:szCs w:val="21"/>
                <w:lang w:eastAsia="zh-CN"/>
              </w:rPr>
              <w:t>日</w:t>
            </w:r>
            <w:r>
              <w:rPr>
                <w:rFonts w:ascii="宋体" w:eastAsia="宋体" w:hAnsi="宋体" w:cs="宋体" w:hint="eastAsia"/>
                <w:color w:val="000000" w:themeColor="text1"/>
                <w:sz w:val="21"/>
                <w:szCs w:val="21"/>
                <w:lang w:eastAsia="zh-CN"/>
              </w:rPr>
              <w:t>余额</w:t>
            </w:r>
          </w:p>
        </w:tc>
        <w:tc>
          <w:tcPr>
            <w:tcW w:w="951" w:type="pct"/>
            <w:vAlign w:val="center"/>
          </w:tcPr>
          <w:p w:rsidR="00156DD6" w:rsidRDefault="00D51F5F">
            <w:pPr>
              <w:jc w:val="right"/>
            </w:pPr>
            <w:r>
              <w:t xml:space="preserve"> 1,253,726.84 </w:t>
            </w:r>
          </w:p>
        </w:tc>
        <w:tc>
          <w:tcPr>
            <w:tcW w:w="1065" w:type="pct"/>
            <w:vAlign w:val="center"/>
          </w:tcPr>
          <w:p w:rsidR="00156DD6" w:rsidRDefault="00D51F5F">
            <w:pPr>
              <w:jc w:val="right"/>
            </w:pPr>
            <w:r>
              <w:t xml:space="preserve"> 184,241.43 </w:t>
            </w:r>
          </w:p>
        </w:tc>
        <w:tc>
          <w:tcPr>
            <w:tcW w:w="1066" w:type="pct"/>
            <w:vAlign w:val="center"/>
          </w:tcPr>
          <w:p w:rsidR="00156DD6" w:rsidRDefault="00D51F5F">
            <w:pPr>
              <w:jc w:val="right"/>
            </w:pPr>
            <w:r>
              <w:t xml:space="preserve"> 26,129,082.46 </w:t>
            </w:r>
          </w:p>
        </w:tc>
        <w:tc>
          <w:tcPr>
            <w:tcW w:w="950" w:type="pct"/>
            <w:vAlign w:val="center"/>
          </w:tcPr>
          <w:p w:rsidR="00156DD6" w:rsidRDefault="00D51F5F">
            <w:pPr>
              <w:jc w:val="right"/>
            </w:pPr>
            <w:r>
              <w:t xml:space="preserve">27,567,050.73 </w:t>
            </w:r>
          </w:p>
        </w:tc>
      </w:tr>
    </w:tbl>
    <w:p w:rsidR="00156DD6" w:rsidRDefault="00D51F5F">
      <w:pPr>
        <w:autoSpaceDE w:val="0"/>
        <w:autoSpaceDN w:val="0"/>
        <w:adjustRightInd w:val="0"/>
        <w:ind w:rightChars="50" w:right="105"/>
        <w:rPr>
          <w:color w:val="000000" w:themeColor="text1"/>
          <w:sz w:val="22"/>
          <w:szCs w:val="22"/>
        </w:rPr>
      </w:pPr>
      <w:r>
        <w:rPr>
          <w:rFonts w:hint="eastAsia"/>
          <w:color w:val="000000" w:themeColor="text1"/>
          <w:sz w:val="22"/>
          <w:szCs w:val="22"/>
        </w:rPr>
        <w:t>各阶段划分依据和坏账准备计提比例</w:t>
      </w:r>
    </w:p>
    <w:sdt>
      <w:sdtPr>
        <w:rPr>
          <w:rFonts w:cs="Times New Roman"/>
          <w:color w:val="000000" w:themeColor="text1"/>
          <w:sz w:val="22"/>
          <w:szCs w:val="24"/>
        </w:rPr>
        <w:alias w:val="其他应收款各阶段划分依据和坏账准备计提比例"/>
        <w:tag w:val="_GBC_db1ccc25244541ad82774f0488b4825b"/>
        <w:id w:val="695352582"/>
        <w:placeholder>
          <w:docPart w:val="GBC22222222222222222222222222222"/>
        </w:placeholder>
      </w:sdtPr>
      <w:sdtEndPr/>
      <w:sdtContent>
        <w:p w:rsidR="00156DD6" w:rsidRDefault="00D51F5F">
          <w:pPr>
            <w:rPr>
              <w:rFonts w:cs="Times New Roman"/>
              <w:color w:val="000000" w:themeColor="text1"/>
              <w:sz w:val="22"/>
              <w:szCs w:val="24"/>
            </w:rPr>
          </w:pPr>
          <w:r>
            <w:rPr>
              <w:rFonts w:cs="Times New Roman" w:hint="eastAsia"/>
              <w:color w:val="000000" w:themeColor="text1"/>
              <w:sz w:val="22"/>
              <w:szCs w:val="24"/>
            </w:rPr>
            <w:t>无</w:t>
          </w:r>
        </w:p>
      </w:sdtContent>
    </w:sdt>
    <w:p w:rsidR="00156DD6" w:rsidRDefault="00D51F5F">
      <w:pPr>
        <w:pStyle w:val="Style100"/>
        <w:rPr>
          <w:color w:val="000000" w:themeColor="text1"/>
          <w:sz w:val="21"/>
          <w:szCs w:val="24"/>
        </w:rPr>
      </w:pPr>
      <w:r>
        <w:rPr>
          <w:rFonts w:hint="eastAsia"/>
          <w:color w:val="000000" w:themeColor="text1"/>
          <w:sz w:val="21"/>
          <w:szCs w:val="24"/>
        </w:rPr>
        <w:t>对本期发生损失准备变动的其他应收款账面余额显著变动的情况说明：</w:t>
      </w:r>
    </w:p>
    <w:sdt>
      <w:sdtPr>
        <w:rPr>
          <w:color w:val="000000" w:themeColor="text1"/>
          <w:sz w:val="22"/>
          <w:szCs w:val="22"/>
        </w:rPr>
        <w:alias w:val="是否适用：其他应收款本期发生损失准备变动且账面余额显著变动的情况说明[双击切换]"/>
        <w:tag w:val="_GBC_32e9d68fc5194869baa30fe15720ff13"/>
        <w:id w:val="1873424433"/>
        <w:placeholder>
          <w:docPart w:val="GBC22222222222222222222222222222"/>
        </w:placeholder>
      </w:sdtPr>
      <w:sdtEndPr/>
      <w:sdtContent>
        <w:p w:rsidR="00156DD6" w:rsidRDefault="00D51F5F">
          <w:pPr>
            <w:rPr>
              <w:color w:val="000000" w:themeColor="text1"/>
              <w:sz w:val="22"/>
              <w:szCs w:val="22"/>
            </w:rPr>
          </w:pPr>
          <w:r>
            <w:rPr>
              <w:color w:val="000000" w:themeColor="text1"/>
              <w:sz w:val="22"/>
              <w:szCs w:val="22"/>
            </w:rPr>
            <w:fldChar w:fldCharType="begin"/>
          </w:r>
          <w:r>
            <w:rPr>
              <w:rFonts w:hint="eastAsia"/>
              <w:color w:val="000000" w:themeColor="text1"/>
              <w:sz w:val="22"/>
              <w:szCs w:val="22"/>
            </w:rPr>
            <w:instrText xml:space="preserve"> MACROBUTTON  SnrToggleCheckbox </w:instrText>
          </w:r>
          <w:r>
            <w:rPr>
              <w:rFonts w:hint="eastAsia"/>
              <w:color w:val="000000" w:themeColor="text1"/>
              <w:sz w:val="22"/>
              <w:szCs w:val="22"/>
            </w:rPr>
            <w:instrText>√适用</w:instrText>
          </w:r>
          <w:r>
            <w:rPr>
              <w:rFonts w:hint="eastAsia"/>
              <w:color w:val="000000" w:themeColor="text1"/>
              <w:sz w:val="22"/>
              <w:szCs w:val="22"/>
            </w:rPr>
            <w:instrText xml:space="preserve"> </w:instrText>
          </w:r>
          <w:r>
            <w:rPr>
              <w:color w:val="000000" w:themeColor="text1"/>
              <w:sz w:val="22"/>
              <w:szCs w:val="22"/>
            </w:rPr>
            <w:fldChar w:fldCharType="end"/>
          </w:r>
          <w:r>
            <w:rPr>
              <w:color w:val="000000" w:themeColor="text1"/>
              <w:sz w:val="22"/>
              <w:szCs w:val="22"/>
            </w:rPr>
            <w:fldChar w:fldCharType="begin"/>
          </w:r>
          <w:r>
            <w:rPr>
              <w:rFonts w:hint="eastAsia"/>
              <w:color w:val="000000" w:themeColor="text1"/>
              <w:sz w:val="22"/>
              <w:szCs w:val="22"/>
            </w:rPr>
            <w:instrText xml:space="preserve"> MACROBUTTON  SnrToggleCheckbox </w:instrText>
          </w:r>
          <w:r>
            <w:rPr>
              <w:rFonts w:hint="eastAsia"/>
              <w:color w:val="000000" w:themeColor="text1"/>
              <w:sz w:val="22"/>
              <w:szCs w:val="22"/>
            </w:rPr>
            <w:instrText>□不适用</w:instrText>
          </w:r>
          <w:r>
            <w:rPr>
              <w:rFonts w:hint="eastAsia"/>
              <w:color w:val="000000" w:themeColor="text1"/>
              <w:sz w:val="22"/>
              <w:szCs w:val="22"/>
            </w:rPr>
            <w:instrText xml:space="preserve"> </w:instrText>
          </w:r>
          <w:r>
            <w:rPr>
              <w:color w:val="000000" w:themeColor="text1"/>
              <w:sz w:val="22"/>
              <w:szCs w:val="22"/>
            </w:rPr>
            <w:fldChar w:fldCharType="end"/>
          </w:r>
        </w:p>
      </w:sdtContent>
    </w:sdt>
    <w:sdt>
      <w:sdtPr>
        <w:rPr>
          <w:rFonts w:ascii="Times New Roman" w:hAnsi="Times New Roman" w:cs="宋体"/>
          <w:bCs/>
          <w:color w:val="000000" w:themeColor="text1"/>
          <w:sz w:val="21"/>
          <w:szCs w:val="21"/>
        </w:rPr>
        <w:alias w:val="其他应收款本期发生损失准备变动且账面余额显著变动的情况说明"/>
        <w:tag w:val="_GBC_b0dd7f18e55c4caeb6b5121109090a7a"/>
        <w:id w:val="287248002"/>
      </w:sdtPr>
      <w:sdtEndPr>
        <w:rPr>
          <w:rFonts w:ascii="宋体" w:hAnsi="宋体"/>
        </w:rPr>
      </w:sdtEndPr>
      <w:sdtContent>
        <w:p w:rsidR="00156DD6" w:rsidRDefault="00D51F5F">
          <w:pPr>
            <w:pStyle w:val="Style151"/>
          </w:pPr>
          <w:r>
            <w:rPr>
              <w:rFonts w:hint="eastAsia"/>
            </w:rPr>
            <w:t>重要的单项计提坏账准备的其他应收款</w:t>
          </w:r>
        </w:p>
        <w:tbl>
          <w:tblPr>
            <w:tblStyle w:val="g5"/>
            <w:tblW w:w="5000" w:type="pct"/>
            <w:tblInd w:w="0" w:type="dxa"/>
            <w:tblLook w:val="04A0" w:firstRow="1" w:lastRow="0" w:firstColumn="1" w:lastColumn="0" w:noHBand="0" w:noVBand="1"/>
          </w:tblPr>
          <w:tblGrid>
            <w:gridCol w:w="816"/>
            <w:gridCol w:w="1686"/>
            <w:gridCol w:w="1581"/>
            <w:gridCol w:w="741"/>
            <w:gridCol w:w="1686"/>
            <w:gridCol w:w="1581"/>
            <w:gridCol w:w="732"/>
          </w:tblGrid>
          <w:tr w:rsidR="00156DD6">
            <w:trPr>
              <w:trHeight w:val="288"/>
            </w:trPr>
            <w:tc>
              <w:tcPr>
                <w:tcW w:w="640"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color w:val="000000"/>
                    <w:lang w:eastAsia="en-US"/>
                  </w:rPr>
                </w:pPr>
                <w:r>
                  <w:rPr>
                    <w:rFonts w:ascii="Noto Sans CJK JP Regular" w:eastAsia="Noto Sans CJK JP Regular" w:hAnsi="Noto Sans CJK JP Regular" w:cs="Noto Sans CJK JP Regular" w:hint="eastAsia"/>
                    <w:lang w:eastAsia="en-US"/>
                  </w:rPr>
                  <w:t>单位名称</w:t>
                </w:r>
              </w:p>
            </w:tc>
            <w:tc>
              <w:tcPr>
                <w:tcW w:w="2491" w:type="pct"/>
                <w:gridSpan w:val="3"/>
                <w:tcBorders>
                  <w:top w:val="single" w:sz="4" w:space="0" w:color="auto"/>
                  <w:left w:val="nil"/>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lang w:eastAsia="en-US"/>
                  </w:rPr>
                </w:pPr>
                <w:r>
                  <w:rPr>
                    <w:rFonts w:ascii="Noto Sans CJK JP Regular" w:eastAsia="Noto Sans CJK JP Regular" w:hAnsi="Noto Sans CJK JP Regular" w:cs="Noto Sans CJK JP Regular" w:hint="eastAsia"/>
                    <w:lang w:eastAsia="en-US"/>
                  </w:rPr>
                  <w:t>期末数</w:t>
                </w:r>
              </w:p>
            </w:tc>
            <w:tc>
              <w:tcPr>
                <w:tcW w:w="964" w:type="pct"/>
                <w:gridSpan w:val="2"/>
                <w:tcBorders>
                  <w:top w:val="single" w:sz="4" w:space="0" w:color="auto"/>
                  <w:left w:val="nil"/>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lang w:eastAsia="en-US"/>
                  </w:rPr>
                </w:pPr>
                <w:r>
                  <w:rPr>
                    <w:rFonts w:ascii="Noto Sans CJK JP Regular" w:eastAsia="Noto Sans CJK JP Regular" w:hAnsi="Noto Sans CJK JP Regular" w:cs="Noto Sans CJK JP Regular" w:hint="eastAsia"/>
                    <w:lang w:eastAsia="en-US"/>
                  </w:rPr>
                  <w:t>期初数</w:t>
                </w:r>
              </w:p>
            </w:tc>
            <w:tc>
              <w:tcPr>
                <w:tcW w:w="906"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lang w:eastAsia="en-US"/>
                  </w:rPr>
                </w:pPr>
                <w:r>
                  <w:rPr>
                    <w:rFonts w:ascii="Noto Sans CJK JP Regular" w:eastAsia="Noto Sans CJK JP Regular" w:hAnsi="Noto Sans CJK JP Regular" w:cs="Noto Sans CJK JP Regular" w:hint="eastAsia"/>
                    <w:lang w:eastAsia="en-US"/>
                  </w:rPr>
                  <w:t>计提依据</w:t>
                </w:r>
              </w:p>
            </w:tc>
          </w:tr>
          <w:tr w:rsidR="00156DD6">
            <w:trPr>
              <w:trHeight w:val="288"/>
            </w:trPr>
            <w:tc>
              <w:tcPr>
                <w:tcW w:w="640" w:type="pct"/>
                <w:vMerge/>
                <w:tcBorders>
                  <w:top w:val="single" w:sz="4" w:space="0" w:color="auto"/>
                  <w:left w:val="single" w:sz="4" w:space="0" w:color="auto"/>
                  <w:bottom w:val="single" w:sz="4" w:space="0" w:color="auto"/>
                  <w:right w:val="single" w:sz="4" w:space="0" w:color="auto"/>
                </w:tcBorders>
                <w:vAlign w:val="center"/>
              </w:tcPr>
              <w:p w:rsidR="00156DD6" w:rsidRDefault="00156DD6">
                <w:pPr>
                  <w:outlineLvl w:val="0"/>
                  <w:rPr>
                    <w:color w:val="000000"/>
                  </w:rPr>
                </w:pPr>
              </w:p>
            </w:tc>
            <w:tc>
              <w:tcPr>
                <w:tcW w:w="964" w:type="pct"/>
                <w:tcBorders>
                  <w:top w:val="nil"/>
                  <w:left w:val="nil"/>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lang w:eastAsia="en-US"/>
                  </w:rPr>
                </w:pPr>
                <w:r>
                  <w:rPr>
                    <w:rFonts w:ascii="Noto Sans CJK JP Regular" w:eastAsia="Noto Sans CJK JP Regular" w:hAnsi="Noto Sans CJK JP Regular" w:cs="Noto Sans CJK JP Regular" w:hint="eastAsia"/>
                    <w:lang w:eastAsia="en-US"/>
                  </w:rPr>
                  <w:t>账面余额</w:t>
                </w:r>
              </w:p>
            </w:tc>
            <w:tc>
              <w:tcPr>
                <w:tcW w:w="964" w:type="pct"/>
                <w:tcBorders>
                  <w:top w:val="nil"/>
                  <w:left w:val="nil"/>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lang w:eastAsia="en-US"/>
                  </w:rPr>
                </w:pPr>
                <w:r>
                  <w:rPr>
                    <w:rFonts w:ascii="Noto Sans CJK JP Regular" w:eastAsia="Noto Sans CJK JP Regular" w:hAnsi="Noto Sans CJK JP Regular" w:cs="Noto Sans CJK JP Regular" w:hint="eastAsia"/>
                    <w:lang w:eastAsia="en-US"/>
                  </w:rPr>
                  <w:t>坏账准备</w:t>
                </w:r>
              </w:p>
            </w:tc>
            <w:tc>
              <w:tcPr>
                <w:tcW w:w="563" w:type="pct"/>
                <w:tcBorders>
                  <w:top w:val="nil"/>
                  <w:left w:val="nil"/>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lang w:eastAsia="en-US"/>
                  </w:rPr>
                </w:pPr>
                <w:r>
                  <w:rPr>
                    <w:rFonts w:ascii="Noto Sans CJK JP Regular" w:eastAsia="Noto Sans CJK JP Regular" w:hAnsi="Noto Sans CJK JP Regular" w:cs="Noto Sans CJK JP Regular" w:hint="eastAsia"/>
                    <w:lang w:eastAsia="en-US"/>
                  </w:rPr>
                  <w:t>计提比例（</w:t>
                </w:r>
                <w:r>
                  <w:rPr>
                    <w:rFonts w:ascii="Noto Sans CJK JP Regular" w:eastAsia="Noto Sans CJK JP Regular" w:hAnsi="Noto Sans CJK JP Regular" w:cs="Noto Sans CJK JP Regular" w:hint="eastAsia"/>
                    <w:lang w:eastAsia="en-US"/>
                  </w:rPr>
                  <w:t>%</w:t>
                </w:r>
                <w:r>
                  <w:rPr>
                    <w:rFonts w:ascii="Noto Sans CJK JP Regular" w:eastAsia="Noto Sans CJK JP Regular" w:hAnsi="Noto Sans CJK JP Regular" w:cs="Noto Sans CJK JP Regular" w:hint="eastAsia"/>
                    <w:lang w:eastAsia="en-US"/>
                  </w:rPr>
                  <w:t>）</w:t>
                </w:r>
              </w:p>
            </w:tc>
            <w:tc>
              <w:tcPr>
                <w:tcW w:w="482" w:type="pct"/>
                <w:tcBorders>
                  <w:top w:val="nil"/>
                  <w:left w:val="nil"/>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lang w:eastAsia="en-US"/>
                  </w:rPr>
                </w:pPr>
                <w:r>
                  <w:rPr>
                    <w:rFonts w:ascii="Noto Sans CJK JP Regular" w:eastAsia="Noto Sans CJK JP Regular" w:hAnsi="Noto Sans CJK JP Regular" w:cs="Noto Sans CJK JP Regular" w:hint="eastAsia"/>
                    <w:lang w:eastAsia="en-US"/>
                  </w:rPr>
                  <w:t>账面余额</w:t>
                </w:r>
              </w:p>
            </w:tc>
            <w:tc>
              <w:tcPr>
                <w:tcW w:w="482" w:type="pct"/>
                <w:tcBorders>
                  <w:top w:val="nil"/>
                  <w:left w:val="nil"/>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lang w:eastAsia="en-US"/>
                  </w:rPr>
                </w:pPr>
                <w:r>
                  <w:rPr>
                    <w:rFonts w:ascii="Noto Sans CJK JP Regular" w:eastAsia="Noto Sans CJK JP Regular" w:hAnsi="Noto Sans CJK JP Regular" w:cs="Noto Sans CJK JP Regular" w:hint="eastAsia"/>
                    <w:lang w:eastAsia="en-US"/>
                  </w:rPr>
                  <w:t>坏账准备</w:t>
                </w:r>
              </w:p>
            </w:tc>
            <w:tc>
              <w:tcPr>
                <w:tcW w:w="906" w:type="pct"/>
                <w:vMerge/>
                <w:tcBorders>
                  <w:top w:val="single" w:sz="4" w:space="0" w:color="auto"/>
                  <w:left w:val="single" w:sz="4" w:space="0" w:color="auto"/>
                  <w:bottom w:val="single" w:sz="4" w:space="0" w:color="auto"/>
                  <w:right w:val="single" w:sz="4" w:space="0" w:color="auto"/>
                </w:tcBorders>
                <w:vAlign w:val="center"/>
              </w:tcPr>
              <w:p w:rsidR="00156DD6" w:rsidRDefault="00156DD6">
                <w:pPr>
                  <w:widowControl w:val="0"/>
                  <w:autoSpaceDE w:val="0"/>
                  <w:autoSpaceDN w:val="0"/>
                  <w:jc w:val="center"/>
                  <w:rPr>
                    <w:rFonts w:ascii="Noto Sans CJK JP Regular" w:eastAsia="Noto Sans CJK JP Regular" w:hAnsi="Noto Sans CJK JP Regular" w:cs="Noto Sans CJK JP Regular"/>
                    <w:lang w:eastAsia="en-US"/>
                  </w:rPr>
                </w:pPr>
              </w:p>
            </w:tc>
          </w:tr>
          <w:tr w:rsidR="00156DD6">
            <w:trPr>
              <w:trHeight w:val="288"/>
            </w:trPr>
            <w:tc>
              <w:tcPr>
                <w:tcW w:w="640" w:type="pct"/>
                <w:tcBorders>
                  <w:top w:val="nil"/>
                  <w:left w:val="single" w:sz="4" w:space="0" w:color="auto"/>
                  <w:bottom w:val="single" w:sz="4" w:space="0" w:color="auto"/>
                  <w:right w:val="single" w:sz="4" w:space="0" w:color="auto"/>
                </w:tcBorders>
                <w:vAlign w:val="center"/>
              </w:tcPr>
              <w:p w:rsidR="00156DD6" w:rsidRDefault="00D51F5F">
                <w:pPr>
                  <w:widowControl w:val="0"/>
                  <w:autoSpaceDE w:val="0"/>
                  <w:autoSpaceDN w:val="0"/>
                </w:pPr>
                <w:r>
                  <w:rPr>
                    <w:rFonts w:hint="eastAsia"/>
                  </w:rPr>
                  <w:t>昆明市西山区人民政府马街街道办事处</w:t>
                </w:r>
              </w:p>
            </w:tc>
            <w:tc>
              <w:tcPr>
                <w:tcW w:w="964" w:type="pct"/>
                <w:tcBorders>
                  <w:top w:val="nil"/>
                  <w:left w:val="nil"/>
                  <w:bottom w:val="single" w:sz="4" w:space="0" w:color="auto"/>
                  <w:right w:val="single" w:sz="4" w:space="0" w:color="auto"/>
                </w:tcBorders>
                <w:vAlign w:val="center"/>
              </w:tcPr>
              <w:p w:rsidR="00156DD6" w:rsidRDefault="00D51F5F">
                <w:pPr>
                  <w:jc w:val="right"/>
                </w:pPr>
                <w:r>
                  <w:t xml:space="preserve">128,226,000.00 </w:t>
                </w:r>
              </w:p>
            </w:tc>
            <w:tc>
              <w:tcPr>
                <w:tcW w:w="964" w:type="pct"/>
                <w:tcBorders>
                  <w:top w:val="nil"/>
                  <w:left w:val="nil"/>
                  <w:bottom w:val="single" w:sz="4" w:space="0" w:color="auto"/>
                  <w:right w:val="single" w:sz="4" w:space="0" w:color="auto"/>
                </w:tcBorders>
                <w:vAlign w:val="center"/>
              </w:tcPr>
              <w:p w:rsidR="00156DD6" w:rsidRDefault="00D51F5F">
                <w:pPr>
                  <w:jc w:val="right"/>
                </w:pPr>
                <w:r>
                  <w:t xml:space="preserve">24,185,642.47 </w:t>
                </w:r>
              </w:p>
            </w:tc>
            <w:tc>
              <w:tcPr>
                <w:tcW w:w="563" w:type="pct"/>
                <w:tcBorders>
                  <w:top w:val="nil"/>
                  <w:left w:val="nil"/>
                  <w:bottom w:val="single" w:sz="4" w:space="0" w:color="auto"/>
                  <w:right w:val="single" w:sz="4" w:space="0" w:color="auto"/>
                </w:tcBorders>
                <w:vAlign w:val="center"/>
              </w:tcPr>
              <w:p w:rsidR="00156DD6" w:rsidRDefault="00D51F5F">
                <w:pPr>
                  <w:jc w:val="right"/>
                </w:pPr>
                <w:r>
                  <w:t xml:space="preserve">18.86 </w:t>
                </w:r>
              </w:p>
            </w:tc>
            <w:tc>
              <w:tcPr>
                <w:tcW w:w="482" w:type="pct"/>
                <w:tcBorders>
                  <w:top w:val="nil"/>
                  <w:left w:val="nil"/>
                  <w:bottom w:val="single" w:sz="4" w:space="0" w:color="auto"/>
                  <w:right w:val="single" w:sz="4" w:space="0" w:color="auto"/>
                </w:tcBorders>
                <w:vAlign w:val="center"/>
              </w:tcPr>
              <w:p w:rsidR="00156DD6" w:rsidRDefault="00D51F5F">
                <w:pPr>
                  <w:jc w:val="right"/>
                </w:pPr>
                <w:r>
                  <w:t xml:space="preserve">128,226,000.00 </w:t>
                </w:r>
              </w:p>
            </w:tc>
            <w:tc>
              <w:tcPr>
                <w:tcW w:w="482" w:type="pct"/>
                <w:tcBorders>
                  <w:top w:val="nil"/>
                  <w:left w:val="nil"/>
                  <w:bottom w:val="single" w:sz="4" w:space="0" w:color="auto"/>
                  <w:right w:val="single" w:sz="4" w:space="0" w:color="auto"/>
                </w:tcBorders>
                <w:vAlign w:val="center"/>
              </w:tcPr>
              <w:p w:rsidR="00156DD6" w:rsidRDefault="00D51F5F">
                <w:pPr>
                  <w:jc w:val="right"/>
                </w:pPr>
                <w:r>
                  <w:t xml:space="preserve">24,185,642.47 </w:t>
                </w:r>
              </w:p>
            </w:tc>
            <w:tc>
              <w:tcPr>
                <w:tcW w:w="906" w:type="pct"/>
                <w:tcBorders>
                  <w:top w:val="nil"/>
                  <w:left w:val="nil"/>
                  <w:bottom w:val="single" w:sz="4" w:space="0" w:color="auto"/>
                  <w:right w:val="single" w:sz="4" w:space="0" w:color="auto"/>
                </w:tcBorders>
                <w:vAlign w:val="center"/>
              </w:tcPr>
              <w:p w:rsidR="00156DD6" w:rsidRDefault="00D51F5F">
                <w:pPr>
                  <w:widowControl w:val="0"/>
                  <w:autoSpaceDE w:val="0"/>
                  <w:autoSpaceDN w:val="0"/>
                  <w:jc w:val="center"/>
                  <w:rPr>
                    <w:rFonts w:ascii="Noto Sans CJK JP Regular" w:eastAsia="Noto Sans CJK JP Regular" w:hAnsi="Noto Sans CJK JP Regular" w:cs="Noto Sans CJK JP Regular"/>
                  </w:rPr>
                </w:pPr>
                <w:r>
                  <w:rPr>
                    <w:rFonts w:ascii="Noto Sans CJK JP Regular" w:eastAsia="Noto Sans CJK JP Regular" w:hAnsi="Noto Sans CJK JP Regular" w:cs="Noto Sans CJK JP Regular" w:hint="eastAsia"/>
                  </w:rPr>
                  <w:t>预计未来可收回金额现值</w:t>
                </w:r>
              </w:p>
            </w:tc>
          </w:tr>
          <w:tr w:rsidR="00156DD6">
            <w:trPr>
              <w:trHeight w:val="288"/>
            </w:trPr>
            <w:tc>
              <w:tcPr>
                <w:tcW w:w="640" w:type="pct"/>
                <w:tcBorders>
                  <w:top w:val="nil"/>
                  <w:left w:val="single" w:sz="4" w:space="0" w:color="auto"/>
                  <w:bottom w:val="single" w:sz="4" w:space="0" w:color="auto"/>
                  <w:right w:val="single" w:sz="4" w:space="0" w:color="auto"/>
                </w:tcBorders>
                <w:vAlign w:val="center"/>
              </w:tcPr>
              <w:p w:rsidR="00156DD6" w:rsidRDefault="00D51F5F">
                <w:pPr>
                  <w:widowControl w:val="0"/>
                  <w:autoSpaceDE w:val="0"/>
                  <w:autoSpaceDN w:val="0"/>
                  <w:jc w:val="center"/>
                </w:pPr>
                <w:r>
                  <w:rPr>
                    <w:rFonts w:hint="eastAsia"/>
                  </w:rPr>
                  <w:t>合计</w:t>
                </w:r>
              </w:p>
            </w:tc>
            <w:tc>
              <w:tcPr>
                <w:tcW w:w="964" w:type="pct"/>
                <w:tcBorders>
                  <w:top w:val="nil"/>
                  <w:left w:val="nil"/>
                  <w:bottom w:val="single" w:sz="4" w:space="0" w:color="auto"/>
                  <w:right w:val="single" w:sz="4" w:space="0" w:color="auto"/>
                </w:tcBorders>
                <w:vAlign w:val="center"/>
              </w:tcPr>
              <w:p w:rsidR="00156DD6" w:rsidRDefault="00D51F5F">
                <w:pPr>
                  <w:jc w:val="right"/>
                </w:pPr>
                <w:r>
                  <w:t xml:space="preserve">128,226,000.00 </w:t>
                </w:r>
              </w:p>
            </w:tc>
            <w:tc>
              <w:tcPr>
                <w:tcW w:w="964" w:type="pct"/>
                <w:tcBorders>
                  <w:top w:val="nil"/>
                  <w:left w:val="nil"/>
                  <w:bottom w:val="single" w:sz="4" w:space="0" w:color="auto"/>
                  <w:right w:val="single" w:sz="4" w:space="0" w:color="auto"/>
                </w:tcBorders>
                <w:vAlign w:val="center"/>
              </w:tcPr>
              <w:p w:rsidR="00156DD6" w:rsidRDefault="00D51F5F">
                <w:pPr>
                  <w:jc w:val="right"/>
                </w:pPr>
                <w:r>
                  <w:t xml:space="preserve">24,185,642.47 </w:t>
                </w:r>
              </w:p>
            </w:tc>
            <w:tc>
              <w:tcPr>
                <w:tcW w:w="563" w:type="pct"/>
                <w:tcBorders>
                  <w:top w:val="nil"/>
                  <w:left w:val="nil"/>
                  <w:bottom w:val="single" w:sz="4" w:space="0" w:color="auto"/>
                  <w:right w:val="single" w:sz="4" w:space="0" w:color="auto"/>
                </w:tcBorders>
                <w:vAlign w:val="center"/>
              </w:tcPr>
              <w:p w:rsidR="00156DD6" w:rsidRDefault="00D51F5F">
                <w:pPr>
                  <w:jc w:val="right"/>
                </w:pPr>
                <w:r>
                  <w:t xml:space="preserve">18.86 </w:t>
                </w:r>
              </w:p>
            </w:tc>
            <w:tc>
              <w:tcPr>
                <w:tcW w:w="482" w:type="pct"/>
                <w:tcBorders>
                  <w:top w:val="nil"/>
                  <w:left w:val="nil"/>
                  <w:bottom w:val="single" w:sz="4" w:space="0" w:color="auto"/>
                  <w:right w:val="single" w:sz="4" w:space="0" w:color="auto"/>
                </w:tcBorders>
                <w:vAlign w:val="center"/>
              </w:tcPr>
              <w:p w:rsidR="00156DD6" w:rsidRDefault="00D51F5F">
                <w:pPr>
                  <w:jc w:val="right"/>
                </w:pPr>
                <w:r>
                  <w:t xml:space="preserve">128,226,000.00 </w:t>
                </w:r>
              </w:p>
            </w:tc>
            <w:tc>
              <w:tcPr>
                <w:tcW w:w="482" w:type="pct"/>
                <w:tcBorders>
                  <w:top w:val="nil"/>
                  <w:left w:val="nil"/>
                  <w:bottom w:val="single" w:sz="4" w:space="0" w:color="auto"/>
                  <w:right w:val="single" w:sz="4" w:space="0" w:color="auto"/>
                </w:tcBorders>
                <w:vAlign w:val="center"/>
              </w:tcPr>
              <w:p w:rsidR="00156DD6" w:rsidRDefault="00D51F5F">
                <w:pPr>
                  <w:jc w:val="right"/>
                </w:pPr>
                <w:r>
                  <w:t xml:space="preserve">24,185,642.47 </w:t>
                </w:r>
              </w:p>
            </w:tc>
            <w:tc>
              <w:tcPr>
                <w:tcW w:w="906" w:type="pct"/>
                <w:tcBorders>
                  <w:top w:val="nil"/>
                  <w:left w:val="nil"/>
                  <w:bottom w:val="single" w:sz="4" w:space="0" w:color="auto"/>
                  <w:right w:val="single" w:sz="4" w:space="0" w:color="auto"/>
                </w:tcBorders>
                <w:vAlign w:val="center"/>
              </w:tcPr>
              <w:p w:rsidR="00156DD6" w:rsidRDefault="00D51F5F">
                <w:pPr>
                  <w:outlineLvl w:val="0"/>
                  <w:rPr>
                    <w:color w:val="000000"/>
                  </w:rPr>
                </w:pPr>
                <w:r>
                  <w:rPr>
                    <w:rFonts w:hint="eastAsia"/>
                    <w:color w:val="000000"/>
                  </w:rPr>
                  <w:t xml:space="preserve">　</w:t>
                </w:r>
              </w:p>
            </w:tc>
          </w:tr>
        </w:tbl>
        <w:p w:rsidR="00156DD6" w:rsidRDefault="00D51F5F">
          <w:pPr>
            <w:spacing w:line="360" w:lineRule="exact"/>
            <w:ind w:firstLineChars="200" w:firstLine="420"/>
            <w:jc w:val="both"/>
          </w:pPr>
          <w:bookmarkStart w:id="280" w:name="OLE_LINK39"/>
          <w:r>
            <w:rPr>
              <w:rFonts w:hint="eastAsia"/>
            </w:rPr>
            <w:t>根据云变电气与昆明市西山区自然资源局、昆明市西山区城市更新改造领导小组办公室、昆明市西山区人民政府马街街道办事处签订的《昆明市企业“退二进三”国有土地使用权收购协议》之补充协议（以下简称土地收购协议）</w:t>
          </w:r>
          <w:r>
            <w:rPr>
              <w:rFonts w:hint="eastAsia"/>
            </w:rPr>
            <w:t>,</w:t>
          </w:r>
          <w:r>
            <w:rPr>
              <w:rFonts w:hint="eastAsia"/>
            </w:rPr>
            <w:t>云变电气将位于昆明市西山区春雨路</w:t>
          </w:r>
          <w:r>
            <w:rPr>
              <w:rFonts w:hint="eastAsia"/>
            </w:rPr>
            <w:t>265</w:t>
          </w:r>
          <w:r>
            <w:rPr>
              <w:rFonts w:hint="eastAsia"/>
            </w:rPr>
            <w:t>号，证载面积</w:t>
          </w:r>
          <w:r>
            <w:rPr>
              <w:rFonts w:hint="eastAsia"/>
            </w:rPr>
            <w:t>122.12</w:t>
          </w:r>
          <w:r>
            <w:rPr>
              <w:rFonts w:hint="eastAsia"/>
            </w:rPr>
            <w:t>亩（</w:t>
          </w:r>
          <w:r>
            <w:rPr>
              <w:rFonts w:hint="eastAsia"/>
            </w:rPr>
            <w:t>81,214.07</w:t>
          </w:r>
          <w:r>
            <w:rPr>
              <w:rFonts w:hint="eastAsia"/>
            </w:rPr>
            <w:t>平方米）土地交由政府收储，确认的搬迁补偿费金额为</w:t>
          </w:r>
          <w:r>
            <w:rPr>
              <w:rFonts w:hint="eastAsia"/>
            </w:rPr>
            <w:t>256,452,000.00</w:t>
          </w:r>
          <w:r>
            <w:rPr>
              <w:rFonts w:hint="eastAsia"/>
            </w:rPr>
            <w:t>元。云变电气于</w:t>
          </w:r>
          <w:r>
            <w:rPr>
              <w:rFonts w:hint="eastAsia"/>
            </w:rPr>
            <w:t>2023</w:t>
          </w:r>
          <w:r>
            <w:rPr>
              <w:rFonts w:hint="eastAsia"/>
            </w:rPr>
            <w:t>年</w:t>
          </w:r>
          <w:r>
            <w:rPr>
              <w:rFonts w:hint="eastAsia"/>
            </w:rPr>
            <w:t>11</w:t>
          </w:r>
          <w:r>
            <w:rPr>
              <w:rFonts w:hint="eastAsia"/>
            </w:rPr>
            <w:t>月</w:t>
          </w:r>
          <w:r>
            <w:rPr>
              <w:rFonts w:hint="eastAsia"/>
            </w:rPr>
            <w:t>28</w:t>
          </w:r>
          <w:r>
            <w:rPr>
              <w:rFonts w:hint="eastAsia"/>
            </w:rPr>
            <w:t>日完成土地收购协议所约定的相关义务，截至</w:t>
          </w:r>
          <w:r>
            <w:rPr>
              <w:rFonts w:hint="eastAsia"/>
            </w:rPr>
            <w:t>2025</w:t>
          </w:r>
          <w:r>
            <w:rPr>
              <w:rFonts w:hint="eastAsia"/>
            </w:rPr>
            <w:t>年</w:t>
          </w:r>
          <w:r>
            <w:rPr>
              <w:rFonts w:hint="eastAsia"/>
            </w:rPr>
            <w:t>6</w:t>
          </w:r>
          <w:r>
            <w:rPr>
              <w:rFonts w:hint="eastAsia"/>
            </w:rPr>
            <w:t>月</w:t>
          </w:r>
          <w:r>
            <w:rPr>
              <w:rFonts w:hint="eastAsia"/>
            </w:rPr>
            <w:t>30</w:t>
          </w:r>
          <w:r>
            <w:rPr>
              <w:rFonts w:hint="eastAsia"/>
            </w:rPr>
            <w:t>日，尚有</w:t>
          </w:r>
          <w:r>
            <w:rPr>
              <w:rFonts w:hint="eastAsia"/>
            </w:rPr>
            <w:t>128,226,000.00</w:t>
          </w:r>
          <w:r>
            <w:rPr>
              <w:rFonts w:hint="eastAsia"/>
            </w:rPr>
            <w:t>土地补偿款未收回，该款</w:t>
          </w:r>
          <w:r>
            <w:rPr>
              <w:rFonts w:hint="eastAsia"/>
            </w:rPr>
            <w:t>项的收回时间存在不确定性，经管理层审慎评估，采用预计未来可收回金额的现值单项计提坏账准备。</w:t>
          </w:r>
        </w:p>
      </w:sdtContent>
    </w:sdt>
    <w:bookmarkEnd w:id="280"/>
    <w:p w:rsidR="00156DD6" w:rsidRDefault="00D51F5F">
      <w:pPr>
        <w:rPr>
          <w:color w:val="000000" w:themeColor="text1"/>
        </w:rPr>
      </w:pPr>
      <w:r>
        <w:rPr>
          <w:rFonts w:hint="eastAsia"/>
          <w:color w:val="000000" w:themeColor="text1"/>
        </w:rPr>
        <w:t>本期坏账准备计提金额以及评估金融工具的信用风险是否显著增加的采用依据：</w:t>
      </w:r>
    </w:p>
    <w:sdt>
      <w:sdtPr>
        <w:rPr>
          <w:color w:val="000000" w:themeColor="text1"/>
        </w:rPr>
        <w:alias w:val="是否适用：其他应收款本期坏账准备计提金额以及评估金融工具的信用风险显著增加的采用依据[双击切换]"/>
        <w:tag w:val="_GBC_dde26fcf385445edb7b0e96dab2a2b3e"/>
        <w:id w:val="-38895392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51"/>
        </w:numPr>
        <w:rPr>
          <w:sz w:val="21"/>
          <w:szCs w:val="21"/>
        </w:rPr>
      </w:pPr>
      <w:bookmarkStart w:id="281" w:name="_Hlk10469877"/>
      <w:bookmarkEnd w:id="279"/>
      <w:r>
        <w:rPr>
          <w:rFonts w:hint="eastAsia"/>
          <w:sz w:val="21"/>
          <w:szCs w:val="21"/>
        </w:rPr>
        <w:t>坏账准备的情况</w:t>
      </w:r>
    </w:p>
    <w:sdt>
      <w:sdtPr>
        <w:rPr>
          <w:color w:val="000000" w:themeColor="text1"/>
        </w:rPr>
        <w:alias w:val="是否适用：其他应收款坏账准备[双击切换]"/>
        <w:tag w:val="_GBC_b3f4f88802a54b1da539ba2563000c5c"/>
        <w:id w:val="10986818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282" w:name="_Hlk167890685"/>
      <w:bookmarkStart w:id="283" w:name="_Hlk154157836"/>
      <w:r>
        <w:rPr>
          <w:rFonts w:hint="eastAsia"/>
          <w:color w:val="000000" w:themeColor="text1"/>
        </w:rPr>
        <w:t>其中本期坏账准备转回或收回金额重要的：</w:t>
      </w:r>
    </w:p>
    <w:sdt>
      <w:sdtPr>
        <w:rPr>
          <w:color w:val="000000" w:themeColor="text1"/>
          <w:sz w:val="21"/>
          <w:szCs w:val="21"/>
        </w:rPr>
        <w:alias w:val="是否适用：其中本期其他应收账款坏账准备收回或转回金额重要的[双击切换]"/>
        <w:tag w:val="_GBC_eff381ff9a444ac19dde18c443ef3ff1"/>
        <w:id w:val="-161084320"/>
        <w:placeholder>
          <w:docPart w:val="GBC22222222222222222222222222222"/>
        </w:placeholder>
      </w:sdtPr>
      <w:sdtEndPr/>
      <w:sdtContent>
        <w:p w:rsidR="00156DD6" w:rsidRDefault="00D51F5F">
          <w:pPr>
            <w:pStyle w:val="Style43"/>
            <w:rPr>
              <w:sz w:val="21"/>
              <w:szCs w:val="21"/>
            </w:rPr>
          </w:pPr>
          <w:r>
            <w:rPr>
              <w:rFonts w:ascii="宋体" w:hAnsi="宋体"/>
              <w:color w:val="000000" w:themeColor="text1"/>
              <w:sz w:val="21"/>
              <w:szCs w:val="21"/>
            </w:rPr>
            <w:fldChar w:fldCharType="begin"/>
          </w:r>
          <w:r>
            <w:rPr>
              <w:rFonts w:ascii="宋体" w:hAnsi="宋体" w:hint="eastAsia"/>
              <w:color w:val="000000" w:themeColor="text1"/>
              <w:sz w:val="21"/>
              <w:szCs w:val="21"/>
            </w:rPr>
            <w:instrText xml:space="preserve">MACROBUTTON  SnrToggleCheckbox </w:instrText>
          </w:r>
          <w:r>
            <w:rPr>
              <w:rFonts w:ascii="宋体" w:hAnsi="宋体" w:hint="eastAsia"/>
              <w:color w:val="000000" w:themeColor="text1"/>
              <w:sz w:val="21"/>
              <w:szCs w:val="21"/>
            </w:rPr>
            <w:instrText>□适用</w:instrText>
          </w:r>
          <w:r>
            <w:rPr>
              <w:rFonts w:ascii="宋体" w:hAnsi="宋体" w:hint="eastAsia"/>
              <w:color w:val="000000" w:themeColor="text1"/>
              <w:sz w:val="21"/>
              <w:szCs w:val="21"/>
            </w:rPr>
            <w:instrText xml:space="preserve"> </w:instrText>
          </w:r>
          <w:r>
            <w:rPr>
              <w:rFonts w:ascii="宋体" w:hAnsi="宋体"/>
              <w:color w:val="000000" w:themeColor="text1"/>
              <w:sz w:val="21"/>
              <w:szCs w:val="21"/>
            </w:rPr>
            <w:fldChar w:fldCharType="end"/>
          </w:r>
          <w:r>
            <w:rPr>
              <w:rFonts w:ascii="宋体" w:hAnsi="宋体"/>
              <w:color w:val="000000" w:themeColor="text1"/>
              <w:sz w:val="21"/>
              <w:szCs w:val="21"/>
            </w:rPr>
            <w:fldChar w:fldCharType="begin"/>
          </w:r>
          <w:r>
            <w:rPr>
              <w:rFonts w:ascii="宋体" w:hAnsi="宋体" w:hint="eastAsia"/>
              <w:color w:val="000000" w:themeColor="text1"/>
              <w:sz w:val="21"/>
              <w:szCs w:val="21"/>
            </w:rPr>
            <w:instrText xml:space="preserve"> MACROBUTTON  SnrToggleCheckbox </w:instrText>
          </w:r>
          <w:r>
            <w:rPr>
              <w:rFonts w:ascii="宋体" w:hAnsi="宋体" w:hint="eastAsia"/>
              <w:color w:val="000000" w:themeColor="text1"/>
              <w:sz w:val="21"/>
              <w:szCs w:val="21"/>
            </w:rPr>
            <w:instrText>√不适用</w:instrText>
          </w:r>
          <w:r>
            <w:rPr>
              <w:rFonts w:ascii="宋体" w:hAnsi="宋体" w:hint="eastAsia"/>
              <w:color w:val="000000" w:themeColor="text1"/>
              <w:sz w:val="21"/>
              <w:szCs w:val="21"/>
            </w:rPr>
            <w:instrText xml:space="preserve"> </w:instrText>
          </w:r>
          <w:r>
            <w:rPr>
              <w:rFonts w:ascii="宋体" w:hAnsi="宋体"/>
              <w:color w:val="000000" w:themeColor="text1"/>
              <w:sz w:val="21"/>
              <w:szCs w:val="2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其他应收款坏账准备情况的说明"/>
        <w:tag w:val="_GBC_11748f5205eb4dda805c8e59fe7ff0df"/>
        <w:id w:val="465784130"/>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bookmarkEnd w:id="281"/>
    <w:bookmarkEnd w:id="282"/>
    <w:bookmarkEnd w:id="283"/>
    <w:p w:rsidR="00156DD6" w:rsidRDefault="00D51F5F">
      <w:pPr>
        <w:pStyle w:val="Style48"/>
        <w:numPr>
          <w:ilvl w:val="0"/>
          <w:numId w:val="51"/>
        </w:numPr>
        <w:rPr>
          <w:sz w:val="21"/>
          <w:szCs w:val="21"/>
        </w:rPr>
      </w:pPr>
      <w:r>
        <w:rPr>
          <w:rFonts w:hint="eastAsia"/>
          <w:sz w:val="21"/>
          <w:szCs w:val="21"/>
        </w:rPr>
        <w:t>本期实际核销的其他应收款情况</w:t>
      </w:r>
    </w:p>
    <w:sdt>
      <w:sdtPr>
        <w:rPr>
          <w:color w:val="000000" w:themeColor="text1"/>
        </w:rPr>
        <w:alias w:val="是否适用：本期实际核销的其他应收款情况[双击切换]"/>
        <w:tag w:val="_GBC_99c0ad513e2447ba8b2267c169be5583"/>
        <w:id w:val="104672168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其中重要的其他应收款核销情况：</w:t>
      </w:r>
    </w:p>
    <w:sdt>
      <w:sdtPr>
        <w:rPr>
          <w:color w:val="000000" w:themeColor="text1"/>
        </w:rPr>
        <w:alias w:val="是否适用：其中重要的其他应收款核销情况[双击切换]"/>
        <w:tag w:val="_GBC_18f34d9f47f24d07986c3f3568dd2c70"/>
        <w:id w:val="-154481421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其他应收款核销说明：</w:t>
      </w:r>
    </w:p>
    <w:sdt>
      <w:sdtPr>
        <w:rPr>
          <w:b/>
          <w:color w:val="000000" w:themeColor="text1"/>
        </w:rPr>
        <w:alias w:val="是否适用：其他应收款冲销坏帐明细的说明[双击切换]"/>
        <w:tag w:val="_GBC_04f9a50bf0244ec4a466448325e84289"/>
        <w:id w:val="-1658532696"/>
        <w:placeholder>
          <w:docPart w:val="GBC22222222222222222222222222222"/>
        </w:placeholder>
      </w:sdtPr>
      <w:sdtEndPr>
        <w:rPr>
          <w:b w:val="0"/>
        </w:r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51"/>
        </w:numPr>
        <w:rPr>
          <w:sz w:val="21"/>
          <w:szCs w:val="21"/>
        </w:rPr>
      </w:pPr>
      <w:r>
        <w:rPr>
          <w:rFonts w:hint="eastAsia"/>
          <w:sz w:val="21"/>
          <w:szCs w:val="21"/>
        </w:rPr>
        <w:t>按欠款方归集的期末余额前五名的其他应收款情况</w:t>
      </w:r>
    </w:p>
    <w:sdt>
      <w:sdtPr>
        <w:rPr>
          <w:color w:val="000000" w:themeColor="text1"/>
        </w:rPr>
        <w:alias w:val="是否适用：按欠款方归集的期末余额前五名的其他应收款情况[双击切换]"/>
        <w:tag w:val="_GBC_1ad831584f90441b93cce7d9b7baa3c9"/>
        <w:id w:val="-140659713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其他应收账款前五名欠款情况"/>
          <w:tag w:val="_GBC_1f85b3036b0644cbaf6c33311b7f159d"/>
          <w:id w:val="-4142540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应收账款前五名欠款情况"/>
          <w:tag w:val="_GBC_bc5cf48306144a92af62fef51b293c5a"/>
          <w:id w:val="-3387036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448"/>
        <w:gridCol w:w="1606"/>
        <w:gridCol w:w="1477"/>
        <w:gridCol w:w="1465"/>
        <w:gridCol w:w="1242"/>
        <w:gridCol w:w="1585"/>
      </w:tblGrid>
      <w:tr w:rsidR="00156DD6">
        <w:trPr>
          <w:cantSplit/>
        </w:trPr>
        <w:sdt>
          <w:sdtPr>
            <w:tag w:val="_PLD_6d371f7abd044db6abe05c7f74810d89"/>
            <w:id w:val="1438175845"/>
          </w:sdtPr>
          <w:sdtEndPr/>
          <w:sdtContent>
            <w:tc>
              <w:tcPr>
                <w:tcW w:w="821" w:type="pct"/>
                <w:vAlign w:val="center"/>
              </w:tcPr>
              <w:p w:rsidR="00156DD6" w:rsidRDefault="00D51F5F">
                <w:pPr>
                  <w:ind w:right="105"/>
                  <w:jc w:val="center"/>
                  <w:rPr>
                    <w:color w:val="000000" w:themeColor="text1"/>
                  </w:rPr>
                </w:pPr>
                <w:r>
                  <w:rPr>
                    <w:rFonts w:hint="eastAsia"/>
                    <w:color w:val="000000" w:themeColor="text1"/>
                  </w:rPr>
                  <w:t>单位</w:t>
                </w:r>
                <w:r>
                  <w:rPr>
                    <w:rFonts w:hint="eastAsia"/>
                    <w:color w:val="000000" w:themeColor="text1"/>
                  </w:rPr>
                  <w:t>名称</w:t>
                </w:r>
              </w:p>
            </w:tc>
          </w:sdtContent>
        </w:sdt>
        <w:sdt>
          <w:sdtPr>
            <w:tag w:val="_PLD_9561b3d624ee40c28568fb322a981ebc"/>
            <w:id w:val="-534733671"/>
          </w:sdtPr>
          <w:sdtEndPr/>
          <w:sdtContent>
            <w:tc>
              <w:tcPr>
                <w:tcW w:w="910" w:type="pct"/>
                <w:vAlign w:val="center"/>
              </w:tcPr>
              <w:p w:rsidR="00156DD6" w:rsidRDefault="00D51F5F">
                <w:pPr>
                  <w:ind w:right="73"/>
                  <w:jc w:val="center"/>
                  <w:rPr>
                    <w:color w:val="000000" w:themeColor="text1"/>
                  </w:rPr>
                </w:pPr>
                <w:r>
                  <w:rPr>
                    <w:rFonts w:hint="eastAsia"/>
                    <w:color w:val="000000" w:themeColor="text1"/>
                  </w:rPr>
                  <w:t>期末余额</w:t>
                </w:r>
              </w:p>
            </w:tc>
          </w:sdtContent>
        </w:sdt>
        <w:sdt>
          <w:sdtPr>
            <w:tag w:val="_PLD_e2774c827e314521821234a0e399c2c1"/>
            <w:id w:val="-344327622"/>
          </w:sdtPr>
          <w:sdtEndPr/>
          <w:sdtContent>
            <w:tc>
              <w:tcPr>
                <w:tcW w:w="837" w:type="pct"/>
                <w:vAlign w:val="center"/>
              </w:tcPr>
              <w:p w:rsidR="00156DD6" w:rsidRDefault="00D51F5F">
                <w:pPr>
                  <w:jc w:val="center"/>
                  <w:rPr>
                    <w:color w:val="000000" w:themeColor="text1"/>
                  </w:rPr>
                </w:pPr>
                <w:r>
                  <w:rPr>
                    <w:rFonts w:hint="eastAsia"/>
                    <w:color w:val="000000" w:themeColor="text1"/>
                  </w:rPr>
                  <w:t>占其他应收款期末余额合计数的比例</w:t>
                </w:r>
                <w:r>
                  <w:rPr>
                    <w:rFonts w:hint="eastAsia"/>
                    <w:color w:val="000000" w:themeColor="text1"/>
                  </w:rPr>
                  <w:t>(</w:t>
                </w:r>
                <w:r>
                  <w:rPr>
                    <w:color w:val="000000" w:themeColor="text1"/>
                  </w:rPr>
                  <w:t>%)</w:t>
                </w:r>
              </w:p>
            </w:tc>
          </w:sdtContent>
        </w:sdt>
        <w:sdt>
          <w:sdtPr>
            <w:tag w:val="_PLD_538171446ab849ca976672ecf5055c60"/>
            <w:id w:val="-240336633"/>
          </w:sdtPr>
          <w:sdtEndPr/>
          <w:sdtContent>
            <w:tc>
              <w:tcPr>
                <w:tcW w:w="830" w:type="pct"/>
                <w:vAlign w:val="center"/>
              </w:tcPr>
              <w:p w:rsidR="00156DD6" w:rsidRDefault="00D51F5F">
                <w:pPr>
                  <w:ind w:right="73"/>
                  <w:jc w:val="center"/>
                  <w:rPr>
                    <w:color w:val="000000" w:themeColor="text1"/>
                  </w:rPr>
                </w:pPr>
                <w:r>
                  <w:rPr>
                    <w:rFonts w:hint="eastAsia"/>
                    <w:color w:val="000000" w:themeColor="text1"/>
                  </w:rPr>
                  <w:t>款项的性质</w:t>
                </w:r>
              </w:p>
            </w:tc>
          </w:sdtContent>
        </w:sdt>
        <w:sdt>
          <w:sdtPr>
            <w:tag w:val="_PLD_a97392b37d5d4c709a23cfdece48161b"/>
            <w:id w:val="-2088146342"/>
          </w:sdtPr>
          <w:sdtEndPr/>
          <w:sdtContent>
            <w:tc>
              <w:tcPr>
                <w:tcW w:w="704" w:type="pct"/>
                <w:vAlign w:val="center"/>
              </w:tcPr>
              <w:p w:rsidR="00156DD6" w:rsidRDefault="00D51F5F">
                <w:pPr>
                  <w:ind w:right="73"/>
                  <w:jc w:val="center"/>
                  <w:rPr>
                    <w:color w:val="000000" w:themeColor="text1"/>
                  </w:rPr>
                </w:pPr>
                <w:r>
                  <w:rPr>
                    <w:rFonts w:hint="eastAsia"/>
                    <w:color w:val="000000" w:themeColor="text1"/>
                  </w:rPr>
                  <w:t>账龄</w:t>
                </w:r>
              </w:p>
            </w:tc>
          </w:sdtContent>
        </w:sdt>
        <w:sdt>
          <w:sdtPr>
            <w:tag w:val="_PLD_ac7ac1a39d1a46eb9269fc6979d54f6f"/>
            <w:id w:val="1409813644"/>
          </w:sdtPr>
          <w:sdtEndPr/>
          <w:sdtContent>
            <w:tc>
              <w:tcPr>
                <w:tcW w:w="898" w:type="pct"/>
                <w:vAlign w:val="center"/>
              </w:tcPr>
              <w:p w:rsidR="00156DD6" w:rsidRDefault="00D51F5F">
                <w:pPr>
                  <w:jc w:val="center"/>
                  <w:rPr>
                    <w:color w:val="000000" w:themeColor="text1"/>
                  </w:rPr>
                </w:pPr>
                <w:r>
                  <w:rPr>
                    <w:rFonts w:hint="eastAsia"/>
                    <w:color w:val="000000" w:themeColor="text1"/>
                  </w:rPr>
                  <w:t>坏账准备</w:t>
                </w:r>
              </w:p>
              <w:p w:rsidR="00156DD6" w:rsidRDefault="00D51F5F">
                <w:pPr>
                  <w:jc w:val="center"/>
                  <w:rPr>
                    <w:color w:val="000000" w:themeColor="text1"/>
                  </w:rPr>
                </w:pPr>
                <w:r>
                  <w:rPr>
                    <w:rFonts w:hint="eastAsia"/>
                    <w:color w:val="000000" w:themeColor="text1"/>
                  </w:rPr>
                  <w:t>期末余额</w:t>
                </w:r>
              </w:p>
            </w:tc>
          </w:sdtContent>
        </w:sdt>
      </w:tr>
      <w:tr w:rsidR="00156DD6">
        <w:trPr>
          <w:cantSplit/>
        </w:trPr>
        <w:tc>
          <w:tcPr>
            <w:tcW w:w="821" w:type="pct"/>
          </w:tcPr>
          <w:p w:rsidR="00156DD6" w:rsidRDefault="00D51F5F">
            <w:pPr>
              <w:ind w:right="105"/>
            </w:pPr>
            <w:r>
              <w:rPr>
                <w:rFonts w:hint="eastAsia"/>
              </w:rPr>
              <w:t>单位</w:t>
            </w:r>
            <w:r>
              <w:rPr>
                <w:rFonts w:hint="eastAsia"/>
              </w:rPr>
              <w:t>1</w:t>
            </w:r>
          </w:p>
        </w:tc>
        <w:tc>
          <w:tcPr>
            <w:tcW w:w="910" w:type="pct"/>
            <w:vAlign w:val="center"/>
          </w:tcPr>
          <w:p w:rsidR="00156DD6" w:rsidRDefault="00D51F5F">
            <w:pPr>
              <w:ind w:right="73"/>
              <w:jc w:val="right"/>
            </w:pPr>
            <w:r>
              <w:rPr>
                <w:rFonts w:hint="eastAsia"/>
              </w:rPr>
              <w:t xml:space="preserve">128,226,000.00 </w:t>
            </w:r>
          </w:p>
        </w:tc>
        <w:tc>
          <w:tcPr>
            <w:tcW w:w="837" w:type="pct"/>
            <w:vAlign w:val="center"/>
          </w:tcPr>
          <w:p w:rsidR="00156DD6" w:rsidRDefault="00D51F5F">
            <w:pPr>
              <w:jc w:val="right"/>
            </w:pPr>
            <w:r>
              <w:rPr>
                <w:rFonts w:hint="eastAsia"/>
              </w:rPr>
              <w:t xml:space="preserve"> 77.59 </w:t>
            </w:r>
          </w:p>
        </w:tc>
        <w:tc>
          <w:tcPr>
            <w:tcW w:w="830" w:type="pct"/>
            <w:vAlign w:val="center"/>
          </w:tcPr>
          <w:p w:rsidR="00156DD6" w:rsidRDefault="00D51F5F">
            <w:pPr>
              <w:ind w:right="73"/>
              <w:jc w:val="center"/>
            </w:pPr>
            <w:r>
              <w:rPr>
                <w:rFonts w:hint="eastAsia"/>
              </w:rPr>
              <w:t>土地补偿款</w:t>
            </w:r>
          </w:p>
        </w:tc>
        <w:tc>
          <w:tcPr>
            <w:tcW w:w="704" w:type="pct"/>
            <w:vAlign w:val="center"/>
          </w:tcPr>
          <w:p w:rsidR="00156DD6" w:rsidRDefault="00D51F5F">
            <w:pPr>
              <w:ind w:right="73"/>
              <w:jc w:val="center"/>
            </w:pPr>
            <w:r>
              <w:rPr>
                <w:rFonts w:hint="eastAsia"/>
              </w:rPr>
              <w:t>3-4</w:t>
            </w:r>
            <w:r>
              <w:rPr>
                <w:rFonts w:hint="eastAsia"/>
              </w:rPr>
              <w:t>年</w:t>
            </w:r>
          </w:p>
        </w:tc>
        <w:tc>
          <w:tcPr>
            <w:tcW w:w="898" w:type="pct"/>
            <w:vAlign w:val="center"/>
          </w:tcPr>
          <w:p w:rsidR="00156DD6" w:rsidRDefault="00D51F5F">
            <w:pPr>
              <w:jc w:val="right"/>
            </w:pPr>
            <w:r>
              <w:rPr>
                <w:rFonts w:hint="eastAsia"/>
              </w:rPr>
              <w:t xml:space="preserve"> 24,185,642.47 </w:t>
            </w:r>
          </w:p>
        </w:tc>
      </w:tr>
      <w:tr w:rsidR="00156DD6">
        <w:trPr>
          <w:cantSplit/>
        </w:trPr>
        <w:tc>
          <w:tcPr>
            <w:tcW w:w="821" w:type="pct"/>
          </w:tcPr>
          <w:p w:rsidR="00156DD6" w:rsidRDefault="00D51F5F">
            <w:pPr>
              <w:ind w:right="105"/>
            </w:pPr>
            <w:r>
              <w:rPr>
                <w:rFonts w:hint="eastAsia"/>
              </w:rPr>
              <w:lastRenderedPageBreak/>
              <w:t>单位</w:t>
            </w:r>
            <w:r>
              <w:rPr>
                <w:rFonts w:hint="eastAsia"/>
              </w:rPr>
              <w:t>2</w:t>
            </w:r>
          </w:p>
        </w:tc>
        <w:tc>
          <w:tcPr>
            <w:tcW w:w="910" w:type="pct"/>
            <w:vAlign w:val="center"/>
          </w:tcPr>
          <w:p w:rsidR="00156DD6" w:rsidRDefault="00D51F5F">
            <w:pPr>
              <w:ind w:right="73"/>
              <w:jc w:val="right"/>
            </w:pPr>
            <w:r>
              <w:rPr>
                <w:rFonts w:hint="eastAsia"/>
              </w:rPr>
              <w:t xml:space="preserve"> 4,000,000.00 </w:t>
            </w:r>
          </w:p>
        </w:tc>
        <w:tc>
          <w:tcPr>
            <w:tcW w:w="837" w:type="pct"/>
            <w:vAlign w:val="center"/>
          </w:tcPr>
          <w:p w:rsidR="00156DD6" w:rsidRDefault="00D51F5F">
            <w:pPr>
              <w:jc w:val="right"/>
            </w:pPr>
            <w:r>
              <w:rPr>
                <w:rFonts w:hint="eastAsia"/>
              </w:rPr>
              <w:t xml:space="preserve"> 2.42 </w:t>
            </w:r>
          </w:p>
        </w:tc>
        <w:tc>
          <w:tcPr>
            <w:tcW w:w="830" w:type="pct"/>
            <w:vAlign w:val="center"/>
          </w:tcPr>
          <w:p w:rsidR="00156DD6" w:rsidRDefault="00D51F5F">
            <w:pPr>
              <w:ind w:right="73"/>
              <w:jc w:val="center"/>
            </w:pPr>
            <w:r>
              <w:rPr>
                <w:rFonts w:hint="eastAsia"/>
              </w:rPr>
              <w:t>押金及保证金</w:t>
            </w:r>
          </w:p>
        </w:tc>
        <w:tc>
          <w:tcPr>
            <w:tcW w:w="704" w:type="pct"/>
            <w:vAlign w:val="center"/>
          </w:tcPr>
          <w:p w:rsidR="00156DD6" w:rsidRDefault="00D51F5F">
            <w:pPr>
              <w:ind w:right="73"/>
              <w:jc w:val="center"/>
            </w:pPr>
            <w:r>
              <w:rPr>
                <w:rFonts w:hint="eastAsia"/>
              </w:rPr>
              <w:t>1</w:t>
            </w:r>
            <w:r>
              <w:rPr>
                <w:rFonts w:hint="eastAsia"/>
              </w:rPr>
              <w:t>年以内</w:t>
            </w:r>
          </w:p>
        </w:tc>
        <w:tc>
          <w:tcPr>
            <w:tcW w:w="898" w:type="pct"/>
            <w:vAlign w:val="center"/>
          </w:tcPr>
          <w:p w:rsidR="00156DD6" w:rsidRDefault="00D51F5F">
            <w:pPr>
              <w:jc w:val="right"/>
            </w:pPr>
            <w:r>
              <w:rPr>
                <w:rFonts w:hint="eastAsia"/>
              </w:rPr>
              <w:t xml:space="preserve"> 200,000.00 </w:t>
            </w:r>
          </w:p>
        </w:tc>
      </w:tr>
      <w:tr w:rsidR="00156DD6">
        <w:trPr>
          <w:cantSplit/>
        </w:trPr>
        <w:tc>
          <w:tcPr>
            <w:tcW w:w="821" w:type="pct"/>
          </w:tcPr>
          <w:p w:rsidR="00156DD6" w:rsidRDefault="00D51F5F">
            <w:pPr>
              <w:ind w:right="105"/>
            </w:pPr>
            <w:r>
              <w:rPr>
                <w:rFonts w:hint="eastAsia"/>
              </w:rPr>
              <w:t>单位</w:t>
            </w:r>
            <w:r>
              <w:rPr>
                <w:rFonts w:hint="eastAsia"/>
              </w:rPr>
              <w:t>3</w:t>
            </w:r>
          </w:p>
        </w:tc>
        <w:tc>
          <w:tcPr>
            <w:tcW w:w="910" w:type="pct"/>
            <w:vAlign w:val="center"/>
          </w:tcPr>
          <w:p w:rsidR="00156DD6" w:rsidRDefault="00D51F5F">
            <w:pPr>
              <w:ind w:right="73"/>
              <w:jc w:val="right"/>
            </w:pPr>
            <w:r>
              <w:rPr>
                <w:rFonts w:hint="eastAsia"/>
              </w:rPr>
              <w:t xml:space="preserve"> 1,520,000.00 </w:t>
            </w:r>
          </w:p>
        </w:tc>
        <w:tc>
          <w:tcPr>
            <w:tcW w:w="837" w:type="pct"/>
            <w:vAlign w:val="center"/>
          </w:tcPr>
          <w:p w:rsidR="00156DD6" w:rsidRDefault="00D51F5F">
            <w:pPr>
              <w:jc w:val="right"/>
            </w:pPr>
            <w:r>
              <w:rPr>
                <w:rFonts w:hint="eastAsia"/>
              </w:rPr>
              <w:t xml:space="preserve"> 0.92 </w:t>
            </w:r>
          </w:p>
        </w:tc>
        <w:tc>
          <w:tcPr>
            <w:tcW w:w="830" w:type="pct"/>
            <w:vAlign w:val="center"/>
          </w:tcPr>
          <w:p w:rsidR="00156DD6" w:rsidRDefault="00D51F5F">
            <w:pPr>
              <w:ind w:right="73"/>
              <w:jc w:val="center"/>
            </w:pPr>
            <w:r>
              <w:rPr>
                <w:rFonts w:hint="eastAsia"/>
              </w:rPr>
              <w:t>押金及保证金</w:t>
            </w:r>
          </w:p>
        </w:tc>
        <w:tc>
          <w:tcPr>
            <w:tcW w:w="704" w:type="pct"/>
            <w:vAlign w:val="center"/>
          </w:tcPr>
          <w:p w:rsidR="00156DD6" w:rsidRDefault="00D51F5F">
            <w:pPr>
              <w:ind w:right="73"/>
              <w:jc w:val="center"/>
            </w:pPr>
            <w:r>
              <w:rPr>
                <w:rFonts w:hint="eastAsia"/>
              </w:rPr>
              <w:t>1</w:t>
            </w:r>
            <w:r>
              <w:rPr>
                <w:rFonts w:hint="eastAsia"/>
              </w:rPr>
              <w:t>年以内</w:t>
            </w:r>
          </w:p>
        </w:tc>
        <w:tc>
          <w:tcPr>
            <w:tcW w:w="898" w:type="pct"/>
            <w:vAlign w:val="center"/>
          </w:tcPr>
          <w:p w:rsidR="00156DD6" w:rsidRDefault="00D51F5F">
            <w:pPr>
              <w:jc w:val="right"/>
            </w:pPr>
            <w:r>
              <w:rPr>
                <w:rFonts w:hint="eastAsia"/>
              </w:rPr>
              <w:t xml:space="preserve"> 76,000.00 </w:t>
            </w:r>
          </w:p>
        </w:tc>
      </w:tr>
      <w:tr w:rsidR="00156DD6">
        <w:trPr>
          <w:cantSplit/>
        </w:trPr>
        <w:tc>
          <w:tcPr>
            <w:tcW w:w="821" w:type="pct"/>
          </w:tcPr>
          <w:p w:rsidR="00156DD6" w:rsidRDefault="00D51F5F">
            <w:pPr>
              <w:ind w:right="105"/>
            </w:pPr>
            <w:r>
              <w:rPr>
                <w:rFonts w:hint="eastAsia"/>
              </w:rPr>
              <w:t>单位</w:t>
            </w:r>
            <w:r>
              <w:rPr>
                <w:rFonts w:hint="eastAsia"/>
              </w:rPr>
              <w:t>4</w:t>
            </w:r>
          </w:p>
        </w:tc>
        <w:tc>
          <w:tcPr>
            <w:tcW w:w="910" w:type="pct"/>
            <w:vAlign w:val="center"/>
          </w:tcPr>
          <w:p w:rsidR="00156DD6" w:rsidRDefault="00D51F5F">
            <w:pPr>
              <w:ind w:right="73"/>
              <w:jc w:val="right"/>
            </w:pPr>
            <w:r>
              <w:rPr>
                <w:rFonts w:hint="eastAsia"/>
              </w:rPr>
              <w:t xml:space="preserve"> 1,010,102.00 </w:t>
            </w:r>
          </w:p>
        </w:tc>
        <w:tc>
          <w:tcPr>
            <w:tcW w:w="837" w:type="pct"/>
            <w:vAlign w:val="center"/>
          </w:tcPr>
          <w:p w:rsidR="00156DD6" w:rsidRDefault="00D51F5F">
            <w:pPr>
              <w:jc w:val="right"/>
            </w:pPr>
            <w:r>
              <w:rPr>
                <w:rFonts w:hint="eastAsia"/>
              </w:rPr>
              <w:t xml:space="preserve"> 0.61 </w:t>
            </w:r>
          </w:p>
        </w:tc>
        <w:tc>
          <w:tcPr>
            <w:tcW w:w="830" w:type="pct"/>
            <w:vAlign w:val="center"/>
          </w:tcPr>
          <w:p w:rsidR="00156DD6" w:rsidRDefault="00D51F5F">
            <w:pPr>
              <w:ind w:right="73"/>
              <w:jc w:val="center"/>
            </w:pPr>
            <w:r>
              <w:rPr>
                <w:rFonts w:hint="eastAsia"/>
              </w:rPr>
              <w:t>押金及保证金</w:t>
            </w:r>
          </w:p>
        </w:tc>
        <w:tc>
          <w:tcPr>
            <w:tcW w:w="704" w:type="pct"/>
            <w:vAlign w:val="center"/>
          </w:tcPr>
          <w:p w:rsidR="00156DD6" w:rsidRDefault="00D51F5F">
            <w:pPr>
              <w:ind w:right="73"/>
              <w:jc w:val="center"/>
            </w:pPr>
            <w:r>
              <w:rPr>
                <w:rFonts w:hint="eastAsia"/>
              </w:rPr>
              <w:t>1</w:t>
            </w:r>
            <w:r>
              <w:rPr>
                <w:rFonts w:hint="eastAsia"/>
              </w:rPr>
              <w:t>年以内</w:t>
            </w:r>
          </w:p>
        </w:tc>
        <w:tc>
          <w:tcPr>
            <w:tcW w:w="898" w:type="pct"/>
            <w:vAlign w:val="center"/>
          </w:tcPr>
          <w:p w:rsidR="00156DD6" w:rsidRDefault="00D51F5F">
            <w:pPr>
              <w:jc w:val="right"/>
            </w:pPr>
            <w:r>
              <w:rPr>
                <w:rFonts w:hint="eastAsia"/>
              </w:rPr>
              <w:t xml:space="preserve"> 50,505.10 </w:t>
            </w:r>
          </w:p>
        </w:tc>
      </w:tr>
      <w:tr w:rsidR="00156DD6">
        <w:trPr>
          <w:cantSplit/>
        </w:trPr>
        <w:tc>
          <w:tcPr>
            <w:tcW w:w="821" w:type="pct"/>
          </w:tcPr>
          <w:p w:rsidR="00156DD6" w:rsidRDefault="00D51F5F">
            <w:pPr>
              <w:ind w:right="105"/>
            </w:pPr>
            <w:r>
              <w:rPr>
                <w:rFonts w:hint="eastAsia"/>
              </w:rPr>
              <w:t>单位</w:t>
            </w:r>
            <w:r>
              <w:rPr>
                <w:rFonts w:hint="eastAsia"/>
              </w:rPr>
              <w:t>5</w:t>
            </w:r>
          </w:p>
        </w:tc>
        <w:tc>
          <w:tcPr>
            <w:tcW w:w="910" w:type="pct"/>
            <w:vAlign w:val="center"/>
          </w:tcPr>
          <w:p w:rsidR="00156DD6" w:rsidRDefault="00D51F5F">
            <w:pPr>
              <w:ind w:right="73"/>
              <w:jc w:val="right"/>
            </w:pPr>
            <w:r>
              <w:rPr>
                <w:rFonts w:hint="eastAsia"/>
              </w:rPr>
              <w:t xml:space="preserve"> 1,000,000.00 </w:t>
            </w:r>
          </w:p>
        </w:tc>
        <w:tc>
          <w:tcPr>
            <w:tcW w:w="837" w:type="pct"/>
            <w:vAlign w:val="center"/>
          </w:tcPr>
          <w:p w:rsidR="00156DD6" w:rsidRDefault="00D51F5F">
            <w:pPr>
              <w:jc w:val="right"/>
            </w:pPr>
            <w:r>
              <w:rPr>
                <w:rFonts w:hint="eastAsia"/>
              </w:rPr>
              <w:t xml:space="preserve"> 0.61 </w:t>
            </w:r>
          </w:p>
        </w:tc>
        <w:tc>
          <w:tcPr>
            <w:tcW w:w="830" w:type="pct"/>
            <w:vAlign w:val="center"/>
          </w:tcPr>
          <w:p w:rsidR="00156DD6" w:rsidRDefault="00D51F5F">
            <w:pPr>
              <w:ind w:right="73"/>
              <w:jc w:val="center"/>
            </w:pPr>
            <w:r>
              <w:rPr>
                <w:rFonts w:hint="eastAsia"/>
              </w:rPr>
              <w:t>押金及保证金</w:t>
            </w:r>
          </w:p>
        </w:tc>
        <w:tc>
          <w:tcPr>
            <w:tcW w:w="704" w:type="pct"/>
            <w:vAlign w:val="center"/>
          </w:tcPr>
          <w:p w:rsidR="00156DD6" w:rsidRDefault="00D51F5F">
            <w:pPr>
              <w:ind w:right="73"/>
              <w:jc w:val="center"/>
            </w:pPr>
            <w:r>
              <w:rPr>
                <w:rFonts w:hint="eastAsia"/>
              </w:rPr>
              <w:t>1</w:t>
            </w:r>
            <w:r>
              <w:rPr>
                <w:rFonts w:hint="eastAsia"/>
              </w:rPr>
              <w:t>年以内</w:t>
            </w:r>
          </w:p>
        </w:tc>
        <w:tc>
          <w:tcPr>
            <w:tcW w:w="898" w:type="pct"/>
            <w:vAlign w:val="center"/>
          </w:tcPr>
          <w:p w:rsidR="00156DD6" w:rsidRDefault="00D51F5F">
            <w:pPr>
              <w:jc w:val="right"/>
            </w:pPr>
            <w:r>
              <w:rPr>
                <w:rFonts w:hint="eastAsia"/>
              </w:rPr>
              <w:t xml:space="preserve"> 50,000.00 </w:t>
            </w:r>
          </w:p>
        </w:tc>
      </w:tr>
      <w:tr w:rsidR="00156DD6">
        <w:trPr>
          <w:cantSplit/>
        </w:trPr>
        <w:tc>
          <w:tcPr>
            <w:tcW w:w="821" w:type="pct"/>
          </w:tcPr>
          <w:p w:rsidR="00156DD6" w:rsidRDefault="00D51F5F">
            <w:pPr>
              <w:ind w:right="105"/>
              <w:jc w:val="center"/>
              <w:rPr>
                <w:color w:val="000000" w:themeColor="text1"/>
              </w:rPr>
            </w:pPr>
            <w:r>
              <w:rPr>
                <w:rFonts w:hint="eastAsia"/>
                <w:color w:val="000000" w:themeColor="text1"/>
              </w:rPr>
              <w:t>合计</w:t>
            </w:r>
          </w:p>
        </w:tc>
        <w:tc>
          <w:tcPr>
            <w:tcW w:w="910" w:type="pct"/>
          </w:tcPr>
          <w:p w:rsidR="00156DD6" w:rsidRDefault="00D51F5F">
            <w:pPr>
              <w:ind w:right="73"/>
              <w:jc w:val="right"/>
            </w:pPr>
            <w:r>
              <w:rPr>
                <w:rFonts w:hint="eastAsia"/>
              </w:rPr>
              <w:t xml:space="preserve">135,756,102.00 </w:t>
            </w:r>
          </w:p>
        </w:tc>
        <w:tc>
          <w:tcPr>
            <w:tcW w:w="837" w:type="pct"/>
          </w:tcPr>
          <w:p w:rsidR="00156DD6" w:rsidRDefault="00D51F5F">
            <w:pPr>
              <w:jc w:val="right"/>
            </w:pPr>
            <w:r>
              <w:rPr>
                <w:rFonts w:hint="eastAsia"/>
              </w:rPr>
              <w:t xml:space="preserve"> 82.15 </w:t>
            </w:r>
          </w:p>
        </w:tc>
        <w:tc>
          <w:tcPr>
            <w:tcW w:w="830" w:type="pct"/>
          </w:tcPr>
          <w:p w:rsidR="00156DD6" w:rsidRDefault="00D51F5F">
            <w:pPr>
              <w:ind w:right="73"/>
              <w:jc w:val="center"/>
              <w:rPr>
                <w:color w:val="000000" w:themeColor="text1"/>
              </w:rPr>
            </w:pPr>
            <w:r>
              <w:rPr>
                <w:rFonts w:hint="eastAsia"/>
              </w:rPr>
              <w:t xml:space="preserve"> / </w:t>
            </w:r>
          </w:p>
        </w:tc>
        <w:tc>
          <w:tcPr>
            <w:tcW w:w="704" w:type="pct"/>
          </w:tcPr>
          <w:p w:rsidR="00156DD6" w:rsidRDefault="00D51F5F">
            <w:pPr>
              <w:ind w:right="73"/>
              <w:jc w:val="center"/>
              <w:rPr>
                <w:color w:val="000000" w:themeColor="text1"/>
              </w:rPr>
            </w:pPr>
            <w:r>
              <w:rPr>
                <w:rFonts w:hint="eastAsia"/>
              </w:rPr>
              <w:t xml:space="preserve"> / </w:t>
            </w:r>
          </w:p>
        </w:tc>
        <w:tc>
          <w:tcPr>
            <w:tcW w:w="898" w:type="pct"/>
          </w:tcPr>
          <w:p w:rsidR="00156DD6" w:rsidRDefault="00D51F5F">
            <w:pPr>
              <w:jc w:val="right"/>
            </w:pPr>
            <w:r>
              <w:rPr>
                <w:rFonts w:hint="eastAsia"/>
              </w:rPr>
              <w:t xml:space="preserve"> 24,562,147.57 </w:t>
            </w:r>
          </w:p>
        </w:tc>
      </w:tr>
    </w:tbl>
    <w:p w:rsidR="00156DD6" w:rsidRDefault="00D51F5F">
      <w:pPr>
        <w:pStyle w:val="Style48"/>
        <w:numPr>
          <w:ilvl w:val="0"/>
          <w:numId w:val="51"/>
        </w:numPr>
        <w:rPr>
          <w:sz w:val="21"/>
          <w:szCs w:val="21"/>
        </w:rPr>
      </w:pPr>
      <w:bookmarkStart w:id="284" w:name="_Hlk167891115"/>
      <w:r>
        <w:rPr>
          <w:rFonts w:hint="eastAsia"/>
          <w:sz w:val="21"/>
          <w:szCs w:val="21"/>
        </w:rPr>
        <w:t>因资金集中管理而列报于其他应收款</w:t>
      </w:r>
    </w:p>
    <w:sdt>
      <w:sdtPr>
        <w:rPr>
          <w:color w:val="000000" w:themeColor="text1"/>
        </w:rPr>
        <w:alias w:val="是否适用：因资金集中管理而列报于其他应收款[双击切换]"/>
        <w:tag w:val="_GBC_4dd617ad43cc44e08e5603fa324c6566"/>
        <w:id w:val="-1770306606"/>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84"/>
    <w:p w:rsidR="00156DD6" w:rsidRDefault="00D51F5F">
      <w:pPr>
        <w:rPr>
          <w:color w:val="000000" w:themeColor="text1"/>
        </w:rPr>
      </w:pPr>
      <w:r>
        <w:rPr>
          <w:rFonts w:hint="eastAsia"/>
          <w:color w:val="000000" w:themeColor="text1"/>
        </w:rPr>
        <w:t>其他</w:t>
      </w:r>
      <w:r>
        <w:rPr>
          <w:color w:val="000000" w:themeColor="text1"/>
        </w:rPr>
        <w:t>说明：</w:t>
      </w:r>
    </w:p>
    <w:sdt>
      <w:sdtPr>
        <w:rPr>
          <w:color w:val="000000" w:themeColor="text1"/>
        </w:rPr>
        <w:alias w:val="是否适用：其他应收款的其他说明[双击切换]"/>
        <w:tag w:val="_GBC_55d570440c184744bd13a4938ba488d1"/>
        <w:id w:val="40504251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156DD6">
      <w:pPr>
        <w:pStyle w:val="TOC6"/>
        <w:numPr>
          <w:ilvl w:val="0"/>
          <w:numId w:val="43"/>
        </w:numPr>
        <w:tabs>
          <w:tab w:val="left" w:pos="504"/>
        </w:tabs>
        <w:rPr>
          <w:rFonts w:ascii="宋体" w:hAnsi="宋体" w:cs="宋体"/>
          <w:color w:val="000000" w:themeColor="text1"/>
          <w:kern w:val="0"/>
          <w:szCs w:val="24"/>
        </w:rPr>
        <w:sectPr w:rsidR="00156DD6">
          <w:pgSz w:w="11906" w:h="16838"/>
          <w:pgMar w:top="1525" w:right="1276" w:bottom="1440" w:left="1797" w:header="856" w:footer="992" w:gutter="0"/>
          <w:cols w:space="425"/>
          <w:docGrid w:linePitch="312"/>
        </w:sectPr>
      </w:pPr>
    </w:p>
    <w:p w:rsidR="00156DD6" w:rsidRDefault="00D51F5F">
      <w:pPr>
        <w:pStyle w:val="TOC6"/>
        <w:numPr>
          <w:ilvl w:val="0"/>
          <w:numId w:val="43"/>
        </w:numPr>
        <w:rPr>
          <w:color w:val="000000" w:themeColor="text1"/>
          <w:szCs w:val="21"/>
        </w:rPr>
      </w:pPr>
      <w:r>
        <w:rPr>
          <w:rFonts w:hint="eastAsia"/>
          <w:color w:val="000000" w:themeColor="text1"/>
          <w:sz w:val="21"/>
          <w:szCs w:val="22"/>
        </w:rPr>
        <w:lastRenderedPageBreak/>
        <w:t>存货</w:t>
      </w:r>
    </w:p>
    <w:p w:rsidR="00156DD6" w:rsidRDefault="00D51F5F">
      <w:pPr>
        <w:pStyle w:val="Style47"/>
        <w:numPr>
          <w:ilvl w:val="0"/>
          <w:numId w:val="52"/>
        </w:numPr>
        <w:tabs>
          <w:tab w:val="left" w:pos="630"/>
        </w:tabs>
        <w:rPr>
          <w:rFonts w:ascii="宋体" w:hAnsi="宋体"/>
          <w:color w:val="000000" w:themeColor="text1"/>
          <w:sz w:val="21"/>
          <w:szCs w:val="32"/>
        </w:rPr>
      </w:pPr>
      <w:bookmarkStart w:id="285" w:name="_Hlk10470159"/>
      <w:r>
        <w:rPr>
          <w:rFonts w:ascii="宋体" w:hAnsi="宋体" w:hint="eastAsia"/>
          <w:color w:val="000000" w:themeColor="text1"/>
          <w:sz w:val="21"/>
          <w:szCs w:val="32"/>
        </w:rPr>
        <w:t>存货分类</w:t>
      </w:r>
    </w:p>
    <w:sdt>
      <w:sdtPr>
        <w:rPr>
          <w:color w:val="000000" w:themeColor="text1"/>
        </w:rPr>
        <w:alias w:val="是否适用：存货分类[双击切换]"/>
        <w:tag w:val="_GBC_06c46a03a226418fb8e5e84326c47750"/>
        <w:id w:val="-165035641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存货分类"/>
          <w:tag w:val="_GBC_cc6e1ec3be0141cbb25cf999a897b29b"/>
          <w:id w:val="-8436279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存货分类"/>
          <w:tag w:val="_GBC_d85b2ad6790d4fa2ace1d773934cd4b3"/>
          <w:id w:val="10141967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223"/>
        <w:gridCol w:w="1857"/>
        <w:gridCol w:w="2135"/>
        <w:gridCol w:w="1924"/>
        <w:gridCol w:w="1908"/>
        <w:gridCol w:w="2127"/>
        <w:gridCol w:w="1689"/>
      </w:tblGrid>
      <w:tr w:rsidR="00156DD6">
        <w:trPr>
          <w:cantSplit/>
        </w:trPr>
        <w:bookmarkEnd w:id="285" w:displacedByCustomXml="next"/>
        <w:bookmarkStart w:id="286" w:name="OLE_LINK29" w:displacedByCustomXml="next"/>
        <w:sdt>
          <w:sdtPr>
            <w:tag w:val="_PLD_48d855cd658044389f8d1cbe0016be78"/>
            <w:id w:val="-308403975"/>
          </w:sdtPr>
          <w:sdtEndPr/>
          <w:sdtContent>
            <w:tc>
              <w:tcPr>
                <w:tcW w:w="802" w:type="pct"/>
                <w:vMerge w:val="restart"/>
                <w:vAlign w:val="center"/>
              </w:tcPr>
              <w:p w:rsidR="00156DD6" w:rsidRDefault="00D51F5F">
                <w:pPr>
                  <w:jc w:val="center"/>
                  <w:rPr>
                    <w:color w:val="000000" w:themeColor="text1"/>
                  </w:rPr>
                </w:pPr>
                <w:r>
                  <w:rPr>
                    <w:rFonts w:hint="eastAsia"/>
                    <w:color w:val="000000" w:themeColor="text1"/>
                  </w:rPr>
                  <w:t>项目</w:t>
                </w:r>
              </w:p>
            </w:tc>
          </w:sdtContent>
        </w:sdt>
        <w:sdt>
          <w:sdtPr>
            <w:tag w:val="_PLD_586606f595aa4fff8214f9b6209260b6"/>
            <w:id w:val="1257630391"/>
          </w:sdtPr>
          <w:sdtEndPr/>
          <w:sdtContent>
            <w:tc>
              <w:tcPr>
                <w:tcW w:w="2134" w:type="pct"/>
                <w:gridSpan w:val="3"/>
                <w:vAlign w:val="center"/>
              </w:tcPr>
              <w:p w:rsidR="00156DD6" w:rsidRDefault="00D51F5F">
                <w:pPr>
                  <w:jc w:val="center"/>
                  <w:rPr>
                    <w:color w:val="000000" w:themeColor="text1"/>
                  </w:rPr>
                </w:pPr>
                <w:r>
                  <w:rPr>
                    <w:rFonts w:hint="eastAsia"/>
                    <w:color w:val="000000" w:themeColor="text1"/>
                  </w:rPr>
                  <w:t>期末余额</w:t>
                </w:r>
              </w:p>
            </w:tc>
          </w:sdtContent>
        </w:sdt>
        <w:sdt>
          <w:sdtPr>
            <w:tag w:val="_PLD_a1bbc97888494137a790328386c2b9d8"/>
            <w:id w:val="-787745577"/>
          </w:sdtPr>
          <w:sdtEndPr/>
          <w:sdtContent>
            <w:tc>
              <w:tcPr>
                <w:tcW w:w="2064" w:type="pct"/>
                <w:gridSpan w:val="3"/>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802" w:type="pct"/>
            <w:vMerge/>
          </w:tcPr>
          <w:p w:rsidR="00156DD6" w:rsidRDefault="00156DD6">
            <w:pPr>
              <w:ind w:right="5"/>
              <w:jc w:val="center"/>
              <w:rPr>
                <w:color w:val="000000" w:themeColor="text1"/>
              </w:rPr>
            </w:pPr>
          </w:p>
        </w:tc>
        <w:sdt>
          <w:sdtPr>
            <w:tag w:val="_PLD_60368d835c2843d99b5061f4c84f8d8e"/>
            <w:id w:val="1257637826"/>
          </w:sdtPr>
          <w:sdtEndPr/>
          <w:sdtContent>
            <w:tc>
              <w:tcPr>
                <w:tcW w:w="670" w:type="pct"/>
                <w:vAlign w:val="center"/>
              </w:tcPr>
              <w:p w:rsidR="00156DD6" w:rsidRDefault="00D51F5F">
                <w:pPr>
                  <w:ind w:right="5"/>
                  <w:jc w:val="center"/>
                  <w:rPr>
                    <w:color w:val="000000" w:themeColor="text1"/>
                  </w:rPr>
                </w:pPr>
                <w:r>
                  <w:rPr>
                    <w:rFonts w:hint="eastAsia"/>
                    <w:color w:val="000000" w:themeColor="text1"/>
                  </w:rPr>
                  <w:t>账面余额</w:t>
                </w:r>
              </w:p>
            </w:tc>
          </w:sdtContent>
        </w:sdt>
        <w:tc>
          <w:tcPr>
            <w:tcW w:w="770" w:type="pct"/>
            <w:vAlign w:val="center"/>
          </w:tcPr>
          <w:p w:rsidR="00156DD6" w:rsidRDefault="00D51F5F">
            <w:pPr>
              <w:ind w:right="5"/>
              <w:jc w:val="center"/>
              <w:rPr>
                <w:color w:val="000000" w:themeColor="text1"/>
              </w:rPr>
            </w:pPr>
            <w:sdt>
              <w:sdtPr>
                <w:tag w:val="_PLD_b5c53ce2a5004db988af9e72594f6b6a"/>
                <w:id w:val="-637876217"/>
              </w:sdtPr>
              <w:sdtEndPr/>
              <w:sdtContent>
                <w:r>
                  <w:rPr>
                    <w:rFonts w:hint="eastAsia"/>
                    <w:color w:val="000000" w:themeColor="text1"/>
                  </w:rPr>
                  <w:t>存货跌价准备</w:t>
                </w:r>
                <w:r>
                  <w:rPr>
                    <w:color w:val="000000" w:themeColor="text1"/>
                  </w:rPr>
                  <w:t>/</w:t>
                </w:r>
                <w:r>
                  <w:rPr>
                    <w:color w:val="000000" w:themeColor="text1"/>
                  </w:rPr>
                  <w:t>合同履约成本减值准备</w:t>
                </w:r>
              </w:sdtContent>
            </w:sdt>
          </w:p>
        </w:tc>
        <w:sdt>
          <w:sdtPr>
            <w:tag w:val="_PLD_f2691cf723784fbcbc9a900f61c6e250"/>
            <w:id w:val="376205200"/>
          </w:sdtPr>
          <w:sdtEndPr/>
          <w:sdtContent>
            <w:tc>
              <w:tcPr>
                <w:tcW w:w="694" w:type="pct"/>
                <w:vAlign w:val="center"/>
              </w:tcPr>
              <w:p w:rsidR="00156DD6" w:rsidRDefault="00D51F5F">
                <w:pPr>
                  <w:ind w:right="5"/>
                  <w:jc w:val="center"/>
                  <w:rPr>
                    <w:color w:val="000000" w:themeColor="text1"/>
                  </w:rPr>
                </w:pPr>
                <w:r>
                  <w:rPr>
                    <w:rFonts w:hint="eastAsia"/>
                    <w:color w:val="000000" w:themeColor="text1"/>
                  </w:rPr>
                  <w:t>账面价值</w:t>
                </w:r>
              </w:p>
            </w:tc>
          </w:sdtContent>
        </w:sdt>
        <w:sdt>
          <w:sdtPr>
            <w:tag w:val="_PLD_df34ec94af0b441bab962cb42fe65b1a"/>
            <w:id w:val="1102377470"/>
          </w:sdtPr>
          <w:sdtEndPr/>
          <w:sdtContent>
            <w:tc>
              <w:tcPr>
                <w:tcW w:w="688" w:type="pct"/>
                <w:vAlign w:val="center"/>
              </w:tcPr>
              <w:p w:rsidR="00156DD6" w:rsidRDefault="00D51F5F">
                <w:pPr>
                  <w:ind w:right="5"/>
                  <w:jc w:val="center"/>
                  <w:rPr>
                    <w:color w:val="000000" w:themeColor="text1"/>
                  </w:rPr>
                </w:pPr>
                <w:r>
                  <w:rPr>
                    <w:rFonts w:hint="eastAsia"/>
                    <w:color w:val="000000" w:themeColor="text1"/>
                  </w:rPr>
                  <w:t>账面余额</w:t>
                </w:r>
              </w:p>
            </w:tc>
          </w:sdtContent>
        </w:sdt>
        <w:tc>
          <w:tcPr>
            <w:tcW w:w="767" w:type="pct"/>
            <w:vAlign w:val="center"/>
          </w:tcPr>
          <w:p w:rsidR="00156DD6" w:rsidRDefault="00D51F5F">
            <w:pPr>
              <w:ind w:right="5"/>
              <w:jc w:val="center"/>
              <w:rPr>
                <w:color w:val="000000" w:themeColor="text1"/>
              </w:rPr>
            </w:pPr>
            <w:sdt>
              <w:sdtPr>
                <w:tag w:val="_PLD_7a42c47b54924b47b9e161d8fd9fb840"/>
                <w:id w:val="-78069729"/>
              </w:sdtPr>
              <w:sdtEndPr/>
              <w:sdtContent>
                <w:r>
                  <w:rPr>
                    <w:rFonts w:hint="eastAsia"/>
                    <w:color w:val="000000" w:themeColor="text1"/>
                  </w:rPr>
                  <w:t>存货跌价准备</w:t>
                </w:r>
                <w:r>
                  <w:rPr>
                    <w:color w:val="000000" w:themeColor="text1"/>
                  </w:rPr>
                  <w:t>/</w:t>
                </w:r>
                <w:r>
                  <w:rPr>
                    <w:color w:val="000000" w:themeColor="text1"/>
                  </w:rPr>
                  <w:t>合同履约成本减值准备</w:t>
                </w:r>
              </w:sdtContent>
            </w:sdt>
          </w:p>
        </w:tc>
        <w:sdt>
          <w:sdtPr>
            <w:tag w:val="_PLD_0db3a7f82db34583bb111dc2a8e88f8c"/>
            <w:id w:val="-784040382"/>
          </w:sdtPr>
          <w:sdtEndPr/>
          <w:sdtContent>
            <w:tc>
              <w:tcPr>
                <w:tcW w:w="609" w:type="pct"/>
                <w:vAlign w:val="center"/>
              </w:tcPr>
              <w:p w:rsidR="00156DD6" w:rsidRDefault="00D51F5F">
                <w:pPr>
                  <w:ind w:right="5"/>
                  <w:jc w:val="center"/>
                  <w:rPr>
                    <w:color w:val="000000" w:themeColor="text1"/>
                  </w:rPr>
                </w:pPr>
                <w:r>
                  <w:rPr>
                    <w:rFonts w:hint="eastAsia"/>
                    <w:color w:val="000000" w:themeColor="text1"/>
                  </w:rPr>
                  <w:t>账面价值</w:t>
                </w:r>
              </w:p>
            </w:tc>
          </w:sdtContent>
        </w:sdt>
      </w:tr>
      <w:tr w:rsidR="00156DD6">
        <w:trPr>
          <w:cantSplit/>
        </w:trPr>
        <w:tc>
          <w:tcPr>
            <w:tcW w:w="802" w:type="pct"/>
          </w:tcPr>
          <w:p w:rsidR="00156DD6" w:rsidRDefault="00D51F5F">
            <w:pPr>
              <w:ind w:right="5"/>
            </w:pPr>
            <w:r>
              <w:rPr>
                <w:rFonts w:hint="eastAsia"/>
              </w:rPr>
              <w:t>原材料</w:t>
            </w:r>
          </w:p>
        </w:tc>
        <w:tc>
          <w:tcPr>
            <w:tcW w:w="670" w:type="pct"/>
          </w:tcPr>
          <w:p w:rsidR="00156DD6" w:rsidRDefault="00D51F5F">
            <w:pPr>
              <w:ind w:right="5"/>
              <w:jc w:val="right"/>
            </w:pPr>
            <w:r>
              <w:rPr>
                <w:rFonts w:hint="eastAsia"/>
              </w:rPr>
              <w:t xml:space="preserve"> 187,865,532.51 </w:t>
            </w:r>
          </w:p>
        </w:tc>
        <w:tc>
          <w:tcPr>
            <w:tcW w:w="770" w:type="pct"/>
          </w:tcPr>
          <w:p w:rsidR="00156DD6" w:rsidRDefault="00D51F5F">
            <w:pPr>
              <w:ind w:right="5"/>
              <w:jc w:val="right"/>
            </w:pPr>
            <w:r>
              <w:rPr>
                <w:rFonts w:hint="eastAsia"/>
              </w:rPr>
              <w:t xml:space="preserve"> 1,475,986.10 </w:t>
            </w:r>
          </w:p>
        </w:tc>
        <w:tc>
          <w:tcPr>
            <w:tcW w:w="694" w:type="pct"/>
          </w:tcPr>
          <w:p w:rsidR="00156DD6" w:rsidRDefault="00D51F5F">
            <w:pPr>
              <w:ind w:right="5"/>
              <w:jc w:val="right"/>
            </w:pPr>
            <w:r>
              <w:rPr>
                <w:rFonts w:hint="eastAsia"/>
              </w:rPr>
              <w:t xml:space="preserve"> 186,389,546.41 </w:t>
            </w:r>
          </w:p>
        </w:tc>
        <w:tc>
          <w:tcPr>
            <w:tcW w:w="688" w:type="pct"/>
            <w:vAlign w:val="center"/>
          </w:tcPr>
          <w:p w:rsidR="00156DD6" w:rsidRDefault="00D51F5F">
            <w:pPr>
              <w:ind w:right="5"/>
              <w:jc w:val="right"/>
            </w:pPr>
            <w:r>
              <w:t>161,338,826.31</w:t>
            </w:r>
          </w:p>
        </w:tc>
        <w:tc>
          <w:tcPr>
            <w:tcW w:w="767" w:type="pct"/>
            <w:vAlign w:val="center"/>
          </w:tcPr>
          <w:p w:rsidR="00156DD6" w:rsidRDefault="00D51F5F">
            <w:pPr>
              <w:ind w:right="5"/>
              <w:jc w:val="right"/>
            </w:pPr>
            <w:r>
              <w:t>1,960,647.67</w:t>
            </w:r>
          </w:p>
        </w:tc>
        <w:tc>
          <w:tcPr>
            <w:tcW w:w="609" w:type="pct"/>
            <w:vAlign w:val="center"/>
          </w:tcPr>
          <w:p w:rsidR="00156DD6" w:rsidRDefault="00D51F5F">
            <w:pPr>
              <w:ind w:right="5"/>
              <w:jc w:val="right"/>
            </w:pPr>
            <w:r>
              <w:t>159,378,178.64</w:t>
            </w:r>
          </w:p>
        </w:tc>
      </w:tr>
      <w:tr w:rsidR="00156DD6">
        <w:trPr>
          <w:cantSplit/>
        </w:trPr>
        <w:tc>
          <w:tcPr>
            <w:tcW w:w="802" w:type="pct"/>
          </w:tcPr>
          <w:p w:rsidR="00156DD6" w:rsidRDefault="00D51F5F">
            <w:pPr>
              <w:ind w:right="5"/>
            </w:pPr>
            <w:r>
              <w:rPr>
                <w:rFonts w:hint="eastAsia"/>
              </w:rPr>
              <w:t>在产品</w:t>
            </w:r>
          </w:p>
        </w:tc>
        <w:tc>
          <w:tcPr>
            <w:tcW w:w="670" w:type="pct"/>
          </w:tcPr>
          <w:p w:rsidR="00156DD6" w:rsidRDefault="00D51F5F">
            <w:pPr>
              <w:ind w:right="5"/>
              <w:jc w:val="right"/>
            </w:pPr>
            <w:r>
              <w:rPr>
                <w:rFonts w:hint="eastAsia"/>
              </w:rPr>
              <w:t xml:space="preserve"> 163,774,689.96 </w:t>
            </w:r>
          </w:p>
        </w:tc>
        <w:tc>
          <w:tcPr>
            <w:tcW w:w="770" w:type="pct"/>
          </w:tcPr>
          <w:p w:rsidR="00156DD6" w:rsidRDefault="00D51F5F">
            <w:pPr>
              <w:ind w:right="5"/>
              <w:jc w:val="right"/>
            </w:pPr>
            <w:r>
              <w:rPr>
                <w:rFonts w:hint="eastAsia"/>
              </w:rPr>
              <w:t xml:space="preserve"> 1,251,786.15 </w:t>
            </w:r>
          </w:p>
        </w:tc>
        <w:tc>
          <w:tcPr>
            <w:tcW w:w="694" w:type="pct"/>
          </w:tcPr>
          <w:p w:rsidR="00156DD6" w:rsidRDefault="00D51F5F">
            <w:pPr>
              <w:ind w:right="5"/>
              <w:jc w:val="right"/>
            </w:pPr>
            <w:r>
              <w:rPr>
                <w:rFonts w:hint="eastAsia"/>
              </w:rPr>
              <w:t xml:space="preserve"> 162,522,903.81 </w:t>
            </w:r>
          </w:p>
        </w:tc>
        <w:tc>
          <w:tcPr>
            <w:tcW w:w="688" w:type="pct"/>
            <w:vAlign w:val="center"/>
          </w:tcPr>
          <w:p w:rsidR="00156DD6" w:rsidRDefault="00D51F5F">
            <w:pPr>
              <w:ind w:right="5"/>
              <w:jc w:val="right"/>
            </w:pPr>
            <w:r>
              <w:t>191,841,898.98</w:t>
            </w:r>
          </w:p>
        </w:tc>
        <w:tc>
          <w:tcPr>
            <w:tcW w:w="767" w:type="pct"/>
            <w:vAlign w:val="center"/>
          </w:tcPr>
          <w:p w:rsidR="00156DD6" w:rsidRDefault="00D51F5F">
            <w:pPr>
              <w:ind w:right="5"/>
              <w:jc w:val="right"/>
            </w:pPr>
            <w:r>
              <w:t>2,264,860.24</w:t>
            </w:r>
          </w:p>
        </w:tc>
        <w:tc>
          <w:tcPr>
            <w:tcW w:w="609" w:type="pct"/>
            <w:vAlign w:val="center"/>
          </w:tcPr>
          <w:p w:rsidR="00156DD6" w:rsidRDefault="00D51F5F">
            <w:pPr>
              <w:ind w:right="5"/>
              <w:jc w:val="right"/>
            </w:pPr>
            <w:r>
              <w:t>189,577,038.74</w:t>
            </w:r>
          </w:p>
        </w:tc>
      </w:tr>
      <w:tr w:rsidR="00156DD6">
        <w:trPr>
          <w:cantSplit/>
        </w:trPr>
        <w:tc>
          <w:tcPr>
            <w:tcW w:w="802" w:type="pct"/>
          </w:tcPr>
          <w:p w:rsidR="00156DD6" w:rsidRDefault="00D51F5F">
            <w:pPr>
              <w:ind w:right="5"/>
            </w:pPr>
            <w:r>
              <w:rPr>
                <w:rFonts w:hint="eastAsia"/>
              </w:rPr>
              <w:t>库存商品</w:t>
            </w:r>
          </w:p>
        </w:tc>
        <w:tc>
          <w:tcPr>
            <w:tcW w:w="670" w:type="pct"/>
          </w:tcPr>
          <w:p w:rsidR="00156DD6" w:rsidRDefault="00D51F5F">
            <w:pPr>
              <w:ind w:right="5"/>
              <w:jc w:val="right"/>
            </w:pPr>
            <w:r>
              <w:rPr>
                <w:rFonts w:hint="eastAsia"/>
              </w:rPr>
              <w:t xml:space="preserve"> 450,252,498.39 </w:t>
            </w:r>
          </w:p>
        </w:tc>
        <w:tc>
          <w:tcPr>
            <w:tcW w:w="770" w:type="pct"/>
          </w:tcPr>
          <w:p w:rsidR="00156DD6" w:rsidRDefault="00D51F5F">
            <w:pPr>
              <w:ind w:right="5"/>
              <w:jc w:val="right"/>
            </w:pPr>
            <w:r>
              <w:rPr>
                <w:rFonts w:hint="eastAsia"/>
              </w:rPr>
              <w:t xml:space="preserve"> 5,862,753.41 </w:t>
            </w:r>
          </w:p>
        </w:tc>
        <w:tc>
          <w:tcPr>
            <w:tcW w:w="694" w:type="pct"/>
          </w:tcPr>
          <w:p w:rsidR="00156DD6" w:rsidRDefault="00D51F5F">
            <w:pPr>
              <w:ind w:right="5"/>
              <w:jc w:val="right"/>
            </w:pPr>
            <w:r>
              <w:rPr>
                <w:rFonts w:hint="eastAsia"/>
              </w:rPr>
              <w:t xml:space="preserve"> 444,389,744.98 </w:t>
            </w:r>
          </w:p>
        </w:tc>
        <w:tc>
          <w:tcPr>
            <w:tcW w:w="688" w:type="pct"/>
            <w:vAlign w:val="center"/>
          </w:tcPr>
          <w:p w:rsidR="00156DD6" w:rsidRDefault="00D51F5F">
            <w:pPr>
              <w:ind w:right="5"/>
              <w:jc w:val="right"/>
            </w:pPr>
            <w:r>
              <w:t>296,772,029.34</w:t>
            </w:r>
          </w:p>
        </w:tc>
        <w:tc>
          <w:tcPr>
            <w:tcW w:w="767" w:type="pct"/>
            <w:vAlign w:val="center"/>
          </w:tcPr>
          <w:p w:rsidR="00156DD6" w:rsidRDefault="00D51F5F">
            <w:pPr>
              <w:ind w:right="5"/>
              <w:jc w:val="right"/>
            </w:pPr>
            <w:r>
              <w:t>5,755,280.37</w:t>
            </w:r>
          </w:p>
        </w:tc>
        <w:tc>
          <w:tcPr>
            <w:tcW w:w="609" w:type="pct"/>
            <w:vAlign w:val="center"/>
          </w:tcPr>
          <w:p w:rsidR="00156DD6" w:rsidRDefault="00D51F5F">
            <w:pPr>
              <w:ind w:right="5"/>
              <w:jc w:val="right"/>
            </w:pPr>
            <w:r>
              <w:t>291,016,748.97</w:t>
            </w:r>
          </w:p>
        </w:tc>
      </w:tr>
      <w:tr w:rsidR="00156DD6">
        <w:trPr>
          <w:cantSplit/>
        </w:trPr>
        <w:tc>
          <w:tcPr>
            <w:tcW w:w="802" w:type="pct"/>
          </w:tcPr>
          <w:p w:rsidR="00156DD6" w:rsidRDefault="00D51F5F">
            <w:pPr>
              <w:autoSpaceDE w:val="0"/>
              <w:autoSpaceDN w:val="0"/>
              <w:adjustRightInd w:val="0"/>
            </w:pPr>
            <w:r>
              <w:rPr>
                <w:rFonts w:hint="eastAsia"/>
              </w:rPr>
              <w:t>发出商品</w:t>
            </w:r>
          </w:p>
        </w:tc>
        <w:tc>
          <w:tcPr>
            <w:tcW w:w="670" w:type="pct"/>
          </w:tcPr>
          <w:p w:rsidR="00156DD6" w:rsidRDefault="00D51F5F">
            <w:pPr>
              <w:jc w:val="right"/>
            </w:pPr>
            <w:r>
              <w:rPr>
                <w:rFonts w:hint="eastAsia"/>
              </w:rPr>
              <w:t xml:space="preserve"> 169,608,072.19 </w:t>
            </w:r>
          </w:p>
        </w:tc>
        <w:tc>
          <w:tcPr>
            <w:tcW w:w="770" w:type="pct"/>
          </w:tcPr>
          <w:p w:rsidR="00156DD6" w:rsidRDefault="00D51F5F">
            <w:pPr>
              <w:jc w:val="right"/>
            </w:pPr>
            <w:r>
              <w:rPr>
                <w:rFonts w:hint="eastAsia"/>
              </w:rPr>
              <w:t xml:space="preserve"> 3,279,871.16 </w:t>
            </w:r>
          </w:p>
        </w:tc>
        <w:tc>
          <w:tcPr>
            <w:tcW w:w="694" w:type="pct"/>
          </w:tcPr>
          <w:p w:rsidR="00156DD6" w:rsidRDefault="00D51F5F">
            <w:pPr>
              <w:jc w:val="right"/>
            </w:pPr>
            <w:r>
              <w:rPr>
                <w:rFonts w:hint="eastAsia"/>
              </w:rPr>
              <w:t xml:space="preserve"> 166,328,201.03 </w:t>
            </w:r>
          </w:p>
        </w:tc>
        <w:tc>
          <w:tcPr>
            <w:tcW w:w="688" w:type="pct"/>
            <w:vAlign w:val="center"/>
          </w:tcPr>
          <w:p w:rsidR="00156DD6" w:rsidRDefault="00D51F5F">
            <w:pPr>
              <w:ind w:right="5"/>
              <w:jc w:val="right"/>
            </w:pPr>
            <w:r>
              <w:t>233,779,793.99</w:t>
            </w:r>
          </w:p>
        </w:tc>
        <w:tc>
          <w:tcPr>
            <w:tcW w:w="767" w:type="pct"/>
            <w:vAlign w:val="center"/>
          </w:tcPr>
          <w:p w:rsidR="00156DD6" w:rsidRDefault="00D51F5F">
            <w:pPr>
              <w:ind w:right="5"/>
              <w:jc w:val="right"/>
            </w:pPr>
            <w:r>
              <w:t>3,799,882.09</w:t>
            </w:r>
          </w:p>
        </w:tc>
        <w:tc>
          <w:tcPr>
            <w:tcW w:w="609" w:type="pct"/>
            <w:vAlign w:val="center"/>
          </w:tcPr>
          <w:p w:rsidR="00156DD6" w:rsidRDefault="00D51F5F">
            <w:pPr>
              <w:ind w:right="5"/>
              <w:jc w:val="right"/>
            </w:pPr>
            <w:r>
              <w:t>229,979,911.90</w:t>
            </w:r>
          </w:p>
        </w:tc>
      </w:tr>
      <w:tr w:rsidR="00156DD6">
        <w:trPr>
          <w:cantSplit/>
        </w:trPr>
        <w:tc>
          <w:tcPr>
            <w:tcW w:w="802" w:type="pct"/>
          </w:tcPr>
          <w:p w:rsidR="00156DD6" w:rsidRDefault="00D51F5F">
            <w:pPr>
              <w:ind w:right="5"/>
              <w:jc w:val="center"/>
              <w:rPr>
                <w:color w:val="000000" w:themeColor="text1"/>
              </w:rPr>
            </w:pPr>
            <w:r>
              <w:rPr>
                <w:rFonts w:hint="eastAsia"/>
                <w:color w:val="000000" w:themeColor="text1"/>
              </w:rPr>
              <w:t>合计</w:t>
            </w:r>
          </w:p>
        </w:tc>
        <w:tc>
          <w:tcPr>
            <w:tcW w:w="670" w:type="pct"/>
          </w:tcPr>
          <w:p w:rsidR="00156DD6" w:rsidRDefault="00D51F5F">
            <w:pPr>
              <w:ind w:right="5"/>
              <w:jc w:val="right"/>
            </w:pPr>
            <w:r>
              <w:rPr>
                <w:rFonts w:hint="eastAsia"/>
              </w:rPr>
              <w:t xml:space="preserve"> 971,500,793.05 </w:t>
            </w:r>
          </w:p>
        </w:tc>
        <w:tc>
          <w:tcPr>
            <w:tcW w:w="770" w:type="pct"/>
          </w:tcPr>
          <w:p w:rsidR="00156DD6" w:rsidRDefault="00D51F5F">
            <w:pPr>
              <w:ind w:right="5"/>
              <w:jc w:val="right"/>
            </w:pPr>
            <w:r>
              <w:rPr>
                <w:rFonts w:hint="eastAsia"/>
              </w:rPr>
              <w:t xml:space="preserve"> 11,870,396.82 </w:t>
            </w:r>
          </w:p>
        </w:tc>
        <w:tc>
          <w:tcPr>
            <w:tcW w:w="694" w:type="pct"/>
          </w:tcPr>
          <w:p w:rsidR="00156DD6" w:rsidRDefault="00D51F5F">
            <w:pPr>
              <w:ind w:right="5"/>
              <w:jc w:val="right"/>
            </w:pPr>
            <w:r>
              <w:rPr>
                <w:rFonts w:hint="eastAsia"/>
              </w:rPr>
              <w:t xml:space="preserve"> 959,630,396.23 </w:t>
            </w:r>
          </w:p>
        </w:tc>
        <w:tc>
          <w:tcPr>
            <w:tcW w:w="688" w:type="pct"/>
            <w:vAlign w:val="center"/>
          </w:tcPr>
          <w:p w:rsidR="00156DD6" w:rsidRDefault="00D51F5F">
            <w:pPr>
              <w:ind w:right="5"/>
              <w:jc w:val="right"/>
            </w:pPr>
            <w:r>
              <w:t>883,732,548.62</w:t>
            </w:r>
          </w:p>
        </w:tc>
        <w:tc>
          <w:tcPr>
            <w:tcW w:w="767" w:type="pct"/>
            <w:vAlign w:val="center"/>
          </w:tcPr>
          <w:p w:rsidR="00156DD6" w:rsidRDefault="00D51F5F">
            <w:pPr>
              <w:ind w:right="5"/>
              <w:jc w:val="right"/>
            </w:pPr>
            <w:r>
              <w:t>13,780,670.37</w:t>
            </w:r>
          </w:p>
        </w:tc>
        <w:tc>
          <w:tcPr>
            <w:tcW w:w="609" w:type="pct"/>
            <w:vAlign w:val="center"/>
          </w:tcPr>
          <w:p w:rsidR="00156DD6" w:rsidRDefault="00D51F5F">
            <w:pPr>
              <w:ind w:right="5"/>
              <w:jc w:val="right"/>
            </w:pPr>
            <w:r>
              <w:t>869,951,878.25</w:t>
            </w:r>
          </w:p>
        </w:tc>
      </w:tr>
    </w:tbl>
    <w:bookmarkEnd w:id="286"/>
    <w:p w:rsidR="00156DD6" w:rsidRDefault="00D51F5F">
      <w:pPr>
        <w:pStyle w:val="Style47"/>
        <w:numPr>
          <w:ilvl w:val="0"/>
          <w:numId w:val="52"/>
        </w:numPr>
        <w:tabs>
          <w:tab w:val="left" w:pos="630"/>
        </w:tabs>
        <w:rPr>
          <w:rFonts w:ascii="宋体" w:hAnsi="宋体"/>
          <w:color w:val="000000" w:themeColor="text1"/>
          <w:sz w:val="21"/>
          <w:szCs w:val="32"/>
        </w:rPr>
      </w:pPr>
      <w:r>
        <w:rPr>
          <w:rFonts w:ascii="宋体" w:hAnsi="宋体" w:hint="eastAsia"/>
          <w:color w:val="000000" w:themeColor="text1"/>
          <w:sz w:val="21"/>
          <w:szCs w:val="32"/>
        </w:rPr>
        <w:t>确认为存货的数据资源</w:t>
      </w:r>
    </w:p>
    <w:sdt>
      <w:sdtPr>
        <w:rPr>
          <w:rFonts w:hint="eastAsia"/>
          <w:color w:val="000000" w:themeColor="text1"/>
          <w:sz w:val="22"/>
          <w:szCs w:val="22"/>
        </w:rPr>
        <w:alias w:val="是否适用：确认为存货的数据资源[双击切换]"/>
        <w:tag w:val="_GBC_b3f6ef82894a4eb29036b70065be8671"/>
        <w:id w:val="-16697410"/>
        <w:placeholder>
          <w:docPart w:val="GBC22222222222222222222222222222"/>
        </w:placeholder>
      </w:sdtPr>
      <w:sdtEndPr/>
      <w:sdtContent>
        <w:p w:rsidR="00156DD6" w:rsidRDefault="00D51F5F">
          <w:pPr>
            <w:rPr>
              <w:color w:val="000000" w:themeColor="text1"/>
              <w:sz w:val="22"/>
              <w:szCs w:val="22"/>
            </w:rPr>
          </w:pPr>
          <w:r>
            <w:rPr>
              <w:color w:val="000000" w:themeColor="text1"/>
              <w:sz w:val="22"/>
              <w:szCs w:val="22"/>
            </w:rPr>
            <w:fldChar w:fldCharType="begin"/>
          </w:r>
          <w:r>
            <w:rPr>
              <w:rFonts w:hint="eastAsia"/>
              <w:color w:val="000000" w:themeColor="text1"/>
              <w:sz w:val="22"/>
              <w:szCs w:val="22"/>
            </w:rPr>
            <w:instrText xml:space="preserve"> MACROBUTTON  SnrToggleCheckbox </w:instrText>
          </w:r>
          <w:r>
            <w:rPr>
              <w:rFonts w:hint="eastAsia"/>
              <w:color w:val="000000" w:themeColor="text1"/>
              <w:sz w:val="22"/>
              <w:szCs w:val="22"/>
            </w:rPr>
            <w:instrText>□适用</w:instrText>
          </w:r>
          <w:r>
            <w:rPr>
              <w:rFonts w:hint="eastAsia"/>
              <w:color w:val="000000" w:themeColor="text1"/>
              <w:sz w:val="22"/>
              <w:szCs w:val="22"/>
            </w:rPr>
            <w:instrText xml:space="preserve"> </w:instrText>
          </w:r>
          <w:r>
            <w:rPr>
              <w:color w:val="000000" w:themeColor="text1"/>
              <w:sz w:val="22"/>
              <w:szCs w:val="22"/>
            </w:rPr>
            <w:fldChar w:fldCharType="end"/>
          </w:r>
          <w:r>
            <w:rPr>
              <w:color w:val="000000" w:themeColor="text1"/>
              <w:sz w:val="22"/>
              <w:szCs w:val="22"/>
            </w:rPr>
            <w:fldChar w:fldCharType="begin"/>
          </w:r>
          <w:r>
            <w:rPr>
              <w:rFonts w:hint="eastAsia"/>
              <w:color w:val="000000" w:themeColor="text1"/>
              <w:sz w:val="22"/>
              <w:szCs w:val="22"/>
            </w:rPr>
            <w:instrText xml:space="preserve"> MACROBUTTON  SnrToggleCheckbox </w:instrText>
          </w:r>
          <w:r>
            <w:rPr>
              <w:rFonts w:hint="eastAsia"/>
              <w:color w:val="000000" w:themeColor="text1"/>
              <w:sz w:val="22"/>
              <w:szCs w:val="22"/>
            </w:rPr>
            <w:instrText>√不适用</w:instrText>
          </w:r>
          <w:r>
            <w:rPr>
              <w:rFonts w:hint="eastAsia"/>
              <w:color w:val="000000" w:themeColor="text1"/>
              <w:sz w:val="22"/>
              <w:szCs w:val="22"/>
            </w:rPr>
            <w:instrText xml:space="preserve"> </w:instrText>
          </w:r>
          <w:r>
            <w:rPr>
              <w:color w:val="000000" w:themeColor="text1"/>
              <w:sz w:val="22"/>
              <w:szCs w:val="22"/>
            </w:rPr>
            <w:fldChar w:fldCharType="end"/>
          </w:r>
        </w:p>
      </w:sdtContent>
    </w:sdt>
    <w:p w:rsidR="00156DD6" w:rsidRDefault="00D51F5F">
      <w:pPr>
        <w:pStyle w:val="Style47"/>
        <w:numPr>
          <w:ilvl w:val="0"/>
          <w:numId w:val="52"/>
        </w:numPr>
        <w:tabs>
          <w:tab w:val="left" w:pos="630"/>
        </w:tabs>
        <w:rPr>
          <w:rFonts w:ascii="宋体" w:hAnsi="宋体"/>
          <w:color w:val="000000" w:themeColor="text1"/>
          <w:sz w:val="21"/>
          <w:szCs w:val="32"/>
        </w:rPr>
      </w:pPr>
      <w:bookmarkStart w:id="287" w:name="_Hlk10470459"/>
      <w:r>
        <w:rPr>
          <w:rFonts w:ascii="宋体" w:hAnsi="宋体" w:hint="eastAsia"/>
          <w:color w:val="000000" w:themeColor="text1"/>
          <w:sz w:val="21"/>
          <w:szCs w:val="32"/>
        </w:rPr>
        <w:t>存货跌价准备及合同履约成本减值准备</w:t>
      </w:r>
    </w:p>
    <w:sdt>
      <w:sdtPr>
        <w:rPr>
          <w:color w:val="000000" w:themeColor="text1"/>
          <w:sz w:val="22"/>
          <w:szCs w:val="22"/>
        </w:rPr>
        <w:alias w:val="是否适用：存货跌价准备[双击切换]"/>
        <w:tag w:val="_GBC_b9bd4a0fa089468ebded8bb61a86fbae"/>
        <w:id w:val="-804393770"/>
        <w:placeholder>
          <w:docPart w:val="GBC22222222222222222222222222222"/>
        </w:placeholder>
      </w:sdtPr>
      <w:sdtEndPr/>
      <w:sdtContent>
        <w:p w:rsidR="00156DD6" w:rsidRDefault="00D51F5F">
          <w:pPr>
            <w:rPr>
              <w:color w:val="000000" w:themeColor="text1"/>
              <w:sz w:val="22"/>
              <w:szCs w:val="22"/>
            </w:rPr>
          </w:pPr>
          <w:r>
            <w:rPr>
              <w:color w:val="000000" w:themeColor="text1"/>
              <w:sz w:val="22"/>
              <w:szCs w:val="22"/>
            </w:rPr>
            <w:fldChar w:fldCharType="begin"/>
          </w:r>
          <w:r>
            <w:rPr>
              <w:color w:val="000000" w:themeColor="text1"/>
              <w:sz w:val="22"/>
              <w:szCs w:val="22"/>
            </w:rPr>
            <w:instrText xml:space="preserve"> MACROBUTTON  SnrToggleCheckbox √</w:instrText>
          </w:r>
          <w:r>
            <w:rPr>
              <w:color w:val="000000" w:themeColor="text1"/>
              <w:sz w:val="22"/>
              <w:szCs w:val="22"/>
            </w:rPr>
            <w:instrText>适用</w:instrText>
          </w:r>
          <w:r>
            <w:rPr>
              <w:color w:val="000000" w:themeColor="text1"/>
              <w:sz w:val="22"/>
              <w:szCs w:val="22"/>
            </w:rPr>
            <w:instrText xml:space="preserve"> </w:instrText>
          </w:r>
          <w:r>
            <w:rPr>
              <w:color w:val="000000" w:themeColor="text1"/>
              <w:sz w:val="22"/>
              <w:szCs w:val="22"/>
            </w:rPr>
            <w:fldChar w:fldCharType="end"/>
          </w:r>
          <w:r>
            <w:rPr>
              <w:color w:val="000000" w:themeColor="text1"/>
              <w:sz w:val="22"/>
              <w:szCs w:val="22"/>
            </w:rPr>
            <w:fldChar w:fldCharType="begin"/>
          </w:r>
          <w:r>
            <w:rPr>
              <w:color w:val="000000" w:themeColor="text1"/>
              <w:sz w:val="22"/>
              <w:szCs w:val="22"/>
            </w:rPr>
            <w:instrText xml:space="preserve"> MACROBUTTON  SnrToggleCheckbox □</w:instrText>
          </w:r>
          <w:r>
            <w:rPr>
              <w:color w:val="000000" w:themeColor="text1"/>
              <w:sz w:val="22"/>
              <w:szCs w:val="22"/>
            </w:rPr>
            <w:instrText>不适用</w:instrText>
          </w:r>
          <w:r>
            <w:rPr>
              <w:color w:val="000000" w:themeColor="text1"/>
              <w:sz w:val="22"/>
              <w:szCs w:val="22"/>
            </w:rPr>
            <w:instrText xml:space="preserve"> </w:instrText>
          </w:r>
          <w:r>
            <w:rPr>
              <w:color w:val="000000" w:themeColor="text1"/>
              <w:sz w:val="22"/>
              <w:szCs w:val="22"/>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存货跌价准备"/>
          <w:tag w:val="_GBC_42225a9505da4f598594afea08f9738b"/>
          <w:id w:val="8348861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存货跌价准备"/>
          <w:tag w:val="_GBC_4de434e29d00482b8b3175d1e7874ff2"/>
          <w:id w:val="-6278538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991"/>
        <w:gridCol w:w="1977"/>
        <w:gridCol w:w="1977"/>
        <w:gridCol w:w="1977"/>
        <w:gridCol w:w="1977"/>
        <w:gridCol w:w="1988"/>
      </w:tblGrid>
      <w:tr w:rsidR="00156DD6">
        <w:trPr>
          <w:trHeight w:val="238"/>
        </w:trPr>
        <w:bookmarkEnd w:id="287" w:displacedByCustomXml="next"/>
        <w:bookmarkStart w:id="288" w:name="_Hlk167891635" w:displacedByCustomXml="next"/>
        <w:sdt>
          <w:sdtPr>
            <w:tag w:val="_PLD_08d27e088675483b81e6b09cfaf565b8"/>
            <w:id w:val="514346687"/>
          </w:sdtPr>
          <w:sdtEndPr/>
          <w:sdtContent>
            <w:tc>
              <w:tcPr>
                <w:tcW w:w="713"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项目</w:t>
                </w:r>
              </w:p>
            </w:tc>
          </w:sdtContent>
        </w:sdt>
        <w:sdt>
          <w:sdtPr>
            <w:tag w:val="_PLD_631ae60526c9437f842913d632c47f24"/>
            <w:id w:val="1069607602"/>
          </w:sdtPr>
          <w:sdtEndPr/>
          <w:sdtContent>
            <w:tc>
              <w:tcPr>
                <w:tcW w:w="718"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期初余额</w:t>
                </w:r>
              </w:p>
            </w:tc>
          </w:sdtContent>
        </w:sdt>
        <w:sdt>
          <w:sdtPr>
            <w:tag w:val="_PLD_bc39054479074b8ab34cb8519780a5f1"/>
            <w:id w:val="479575985"/>
          </w:sdtPr>
          <w:sdtEndPr/>
          <w:sdtContent>
            <w:tc>
              <w:tcPr>
                <w:tcW w:w="1426"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本期增加金额</w:t>
                </w:r>
              </w:p>
            </w:tc>
          </w:sdtContent>
        </w:sdt>
        <w:sdt>
          <w:sdtPr>
            <w:tag w:val="_PLD_a4a235b43e524c0c98a604df05693747"/>
            <w:id w:val="1204835538"/>
          </w:sdtPr>
          <w:sdtEndPr/>
          <w:sdtContent>
            <w:tc>
              <w:tcPr>
                <w:tcW w:w="1426"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本期减少金额</w:t>
                </w:r>
              </w:p>
            </w:tc>
          </w:sdtContent>
        </w:sdt>
        <w:sdt>
          <w:sdtPr>
            <w:tag w:val="_PLD_fcea706dd57f438c8205de888401e160"/>
            <w:id w:val="1648175028"/>
          </w:sdtPr>
          <w:sdtEndPr/>
          <w:sdtContent>
            <w:tc>
              <w:tcPr>
                <w:tcW w:w="717"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期末余额</w:t>
                </w:r>
              </w:p>
            </w:tc>
          </w:sdtContent>
        </w:sdt>
      </w:tr>
      <w:tr w:rsidR="00156DD6">
        <w:trPr>
          <w:trHeight w:val="301"/>
        </w:trPr>
        <w:tc>
          <w:tcPr>
            <w:tcW w:w="713" w:type="pct"/>
            <w:vMerge/>
            <w:tcBorders>
              <w:top w:val="single" w:sz="4" w:space="0" w:color="auto"/>
              <w:left w:val="single" w:sz="4" w:space="0" w:color="auto"/>
              <w:bottom w:val="single" w:sz="4" w:space="0" w:color="auto"/>
              <w:right w:val="single" w:sz="4" w:space="0" w:color="auto"/>
            </w:tcBorders>
          </w:tcPr>
          <w:p w:rsidR="00156DD6" w:rsidRDefault="00156DD6">
            <w:pPr>
              <w:jc w:val="center"/>
              <w:rPr>
                <w:color w:val="000000" w:themeColor="text1"/>
              </w:rPr>
            </w:pPr>
          </w:p>
        </w:tc>
        <w:tc>
          <w:tcPr>
            <w:tcW w:w="718" w:type="pct"/>
            <w:vMerge/>
            <w:tcBorders>
              <w:top w:val="single" w:sz="4" w:space="0" w:color="auto"/>
              <w:left w:val="single" w:sz="4" w:space="0" w:color="auto"/>
              <w:bottom w:val="single" w:sz="4" w:space="0" w:color="auto"/>
              <w:right w:val="single" w:sz="4" w:space="0" w:color="auto"/>
            </w:tcBorders>
          </w:tcPr>
          <w:p w:rsidR="00156DD6" w:rsidRDefault="00156DD6">
            <w:pPr>
              <w:jc w:val="center"/>
              <w:rPr>
                <w:color w:val="000000" w:themeColor="text1"/>
              </w:rPr>
            </w:pPr>
          </w:p>
        </w:tc>
        <w:sdt>
          <w:sdtPr>
            <w:tag w:val="_PLD_9355443eafab4f4a862c075a55d7e279"/>
            <w:id w:val="2126119070"/>
          </w:sdtPr>
          <w:sdtEndPr/>
          <w:sdtContent>
            <w:tc>
              <w:tcPr>
                <w:tcW w:w="713"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w:t>
                </w:r>
              </w:p>
            </w:tc>
          </w:sdtContent>
        </w:sdt>
        <w:sdt>
          <w:sdtPr>
            <w:tag w:val="_PLD_e67cdd42c79245c980edb6a9d839ecd0"/>
            <w:id w:val="-168644110"/>
          </w:sdtPr>
          <w:sdtEndPr/>
          <w:sdtContent>
            <w:tc>
              <w:tcPr>
                <w:tcW w:w="713"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其他</w:t>
                </w:r>
              </w:p>
            </w:tc>
          </w:sdtContent>
        </w:sdt>
        <w:sdt>
          <w:sdtPr>
            <w:tag w:val="_PLD_d2a5b409858c40b5a77dea8d7f7c8500"/>
            <w:id w:val="-84387157"/>
          </w:sdtPr>
          <w:sdtEndPr/>
          <w:sdtContent>
            <w:tc>
              <w:tcPr>
                <w:tcW w:w="713"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转回或转销</w:t>
                </w:r>
              </w:p>
            </w:tc>
          </w:sdtContent>
        </w:sdt>
        <w:sdt>
          <w:sdtPr>
            <w:tag w:val="_PLD_a0a39eeb19a049d18a777b0dc41ab25e"/>
            <w:id w:val="-1580209738"/>
          </w:sdtPr>
          <w:sdtEndPr/>
          <w:sdtContent>
            <w:tc>
              <w:tcPr>
                <w:tcW w:w="713"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其他</w:t>
                </w:r>
              </w:p>
            </w:tc>
          </w:sdtContent>
        </w:sdt>
        <w:tc>
          <w:tcPr>
            <w:tcW w:w="717" w:type="pct"/>
            <w:vMerge/>
            <w:tcBorders>
              <w:top w:val="single" w:sz="4" w:space="0" w:color="auto"/>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tr>
      <w:tr w:rsidR="00156DD6">
        <w:trPr>
          <w:trHeight w:val="20"/>
        </w:trPr>
        <w:tc>
          <w:tcPr>
            <w:tcW w:w="713" w:type="pct"/>
            <w:tcBorders>
              <w:top w:val="single" w:sz="4" w:space="0" w:color="auto"/>
              <w:left w:val="single" w:sz="4" w:space="0" w:color="auto"/>
              <w:bottom w:val="single" w:sz="4" w:space="0" w:color="auto"/>
              <w:right w:val="single" w:sz="4" w:space="0" w:color="auto"/>
            </w:tcBorders>
          </w:tcPr>
          <w:p w:rsidR="00156DD6" w:rsidRDefault="00D51F5F">
            <w:pPr>
              <w:pStyle w:val="Style43"/>
              <w:rPr>
                <w:sz w:val="21"/>
                <w:szCs w:val="21"/>
              </w:rPr>
            </w:pPr>
            <w:r>
              <w:rPr>
                <w:rFonts w:hint="eastAsia"/>
                <w:sz w:val="21"/>
                <w:szCs w:val="21"/>
              </w:rPr>
              <w:t>原材料</w:t>
            </w:r>
          </w:p>
        </w:tc>
        <w:tc>
          <w:tcPr>
            <w:tcW w:w="718" w:type="pct"/>
            <w:tcBorders>
              <w:top w:val="single" w:sz="4" w:space="0" w:color="auto"/>
              <w:left w:val="single" w:sz="4" w:space="0" w:color="auto"/>
              <w:bottom w:val="single" w:sz="4" w:space="0" w:color="auto"/>
              <w:right w:val="single" w:sz="4" w:space="0" w:color="auto"/>
            </w:tcBorders>
            <w:vAlign w:val="center"/>
          </w:tcPr>
          <w:p w:rsidR="00156DD6" w:rsidRDefault="00D51F5F">
            <w:pPr>
              <w:ind w:right="5"/>
              <w:jc w:val="right"/>
            </w:pPr>
            <w:r>
              <w:t xml:space="preserve"> 1,960,647.67 </w:t>
            </w: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455,724.25 </w:t>
            </w:r>
          </w:p>
        </w:tc>
        <w:tc>
          <w:tcPr>
            <w:tcW w:w="71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940,385.82 </w:t>
            </w:r>
          </w:p>
        </w:tc>
        <w:tc>
          <w:tcPr>
            <w:tcW w:w="71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717" w:type="pct"/>
            <w:tcBorders>
              <w:top w:val="single" w:sz="4" w:space="0" w:color="auto"/>
              <w:left w:val="single" w:sz="4" w:space="0" w:color="auto"/>
              <w:bottom w:val="single" w:sz="4" w:space="0" w:color="auto"/>
              <w:right w:val="single" w:sz="4" w:space="0" w:color="auto"/>
            </w:tcBorders>
          </w:tcPr>
          <w:p w:rsidR="00156DD6" w:rsidRDefault="00D51F5F">
            <w:pPr>
              <w:ind w:right="5"/>
              <w:jc w:val="right"/>
            </w:pPr>
            <w:r>
              <w:rPr>
                <w:rFonts w:hint="eastAsia"/>
              </w:rPr>
              <w:t xml:space="preserve"> 1,475,986.10 </w:t>
            </w:r>
          </w:p>
        </w:tc>
      </w:tr>
      <w:tr w:rsidR="00156DD6">
        <w:trPr>
          <w:trHeight w:val="20"/>
        </w:trPr>
        <w:tc>
          <w:tcPr>
            <w:tcW w:w="713" w:type="pct"/>
            <w:tcBorders>
              <w:top w:val="single" w:sz="4" w:space="0" w:color="auto"/>
              <w:left w:val="single" w:sz="4" w:space="0" w:color="auto"/>
              <w:bottom w:val="single" w:sz="4" w:space="0" w:color="auto"/>
              <w:right w:val="single" w:sz="4" w:space="0" w:color="auto"/>
            </w:tcBorders>
          </w:tcPr>
          <w:p w:rsidR="00156DD6" w:rsidRDefault="00D51F5F">
            <w:pPr>
              <w:pStyle w:val="Style43"/>
              <w:rPr>
                <w:sz w:val="21"/>
                <w:szCs w:val="21"/>
              </w:rPr>
            </w:pPr>
            <w:r>
              <w:rPr>
                <w:rFonts w:hint="eastAsia"/>
                <w:sz w:val="21"/>
                <w:szCs w:val="21"/>
              </w:rPr>
              <w:t>在产品</w:t>
            </w:r>
          </w:p>
        </w:tc>
        <w:tc>
          <w:tcPr>
            <w:tcW w:w="718" w:type="pct"/>
            <w:tcBorders>
              <w:top w:val="single" w:sz="4" w:space="0" w:color="auto"/>
              <w:left w:val="single" w:sz="4" w:space="0" w:color="auto"/>
              <w:bottom w:val="single" w:sz="4" w:space="0" w:color="auto"/>
              <w:right w:val="single" w:sz="4" w:space="0" w:color="auto"/>
            </w:tcBorders>
            <w:vAlign w:val="center"/>
          </w:tcPr>
          <w:p w:rsidR="00156DD6" w:rsidRDefault="00D51F5F">
            <w:pPr>
              <w:ind w:right="5"/>
              <w:jc w:val="right"/>
            </w:pPr>
            <w:r>
              <w:t xml:space="preserve"> 2,264,860.24 </w:t>
            </w: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1,910,895.17 </w:t>
            </w:r>
          </w:p>
        </w:tc>
        <w:tc>
          <w:tcPr>
            <w:tcW w:w="71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2,923,969.26 </w:t>
            </w:r>
          </w:p>
        </w:tc>
        <w:tc>
          <w:tcPr>
            <w:tcW w:w="713" w:type="pct"/>
            <w:tcBorders>
              <w:top w:val="single" w:sz="4" w:space="0" w:color="auto"/>
              <w:left w:val="single" w:sz="4" w:space="0" w:color="auto"/>
              <w:right w:val="single" w:sz="4" w:space="0" w:color="auto"/>
            </w:tcBorders>
          </w:tcPr>
          <w:p w:rsidR="00156DD6" w:rsidRDefault="00156DD6">
            <w:pPr>
              <w:jc w:val="right"/>
            </w:pPr>
          </w:p>
        </w:tc>
        <w:tc>
          <w:tcPr>
            <w:tcW w:w="717" w:type="pct"/>
            <w:tcBorders>
              <w:top w:val="single" w:sz="4" w:space="0" w:color="auto"/>
              <w:left w:val="single" w:sz="4" w:space="0" w:color="auto"/>
              <w:bottom w:val="single" w:sz="4" w:space="0" w:color="auto"/>
              <w:right w:val="single" w:sz="4" w:space="0" w:color="auto"/>
            </w:tcBorders>
          </w:tcPr>
          <w:p w:rsidR="00156DD6" w:rsidRDefault="00D51F5F">
            <w:pPr>
              <w:ind w:right="5"/>
              <w:jc w:val="right"/>
            </w:pPr>
            <w:r>
              <w:rPr>
                <w:rFonts w:hint="eastAsia"/>
              </w:rPr>
              <w:t xml:space="preserve"> 1,251,786.15 </w:t>
            </w:r>
          </w:p>
        </w:tc>
      </w:tr>
      <w:tr w:rsidR="00156DD6">
        <w:trPr>
          <w:trHeight w:val="20"/>
        </w:trPr>
        <w:tc>
          <w:tcPr>
            <w:tcW w:w="713" w:type="pct"/>
            <w:tcBorders>
              <w:top w:val="single" w:sz="4" w:space="0" w:color="auto"/>
              <w:left w:val="single" w:sz="4" w:space="0" w:color="auto"/>
              <w:bottom w:val="single" w:sz="4" w:space="0" w:color="auto"/>
              <w:right w:val="single" w:sz="4" w:space="0" w:color="auto"/>
            </w:tcBorders>
          </w:tcPr>
          <w:p w:rsidR="00156DD6" w:rsidRDefault="00D51F5F">
            <w:pPr>
              <w:pStyle w:val="Style43"/>
              <w:rPr>
                <w:sz w:val="21"/>
                <w:szCs w:val="21"/>
              </w:rPr>
            </w:pPr>
            <w:r>
              <w:rPr>
                <w:rFonts w:hint="eastAsia"/>
                <w:sz w:val="21"/>
                <w:szCs w:val="21"/>
              </w:rPr>
              <w:t>库存商品</w:t>
            </w:r>
          </w:p>
        </w:tc>
        <w:tc>
          <w:tcPr>
            <w:tcW w:w="718" w:type="pct"/>
            <w:tcBorders>
              <w:top w:val="single" w:sz="4" w:space="0" w:color="auto"/>
              <w:left w:val="single" w:sz="4" w:space="0" w:color="auto"/>
              <w:bottom w:val="single" w:sz="4" w:space="0" w:color="auto"/>
              <w:right w:val="single" w:sz="4" w:space="0" w:color="auto"/>
            </w:tcBorders>
            <w:vAlign w:val="center"/>
          </w:tcPr>
          <w:p w:rsidR="00156DD6" w:rsidRDefault="00D51F5F">
            <w:pPr>
              <w:ind w:right="5"/>
              <w:jc w:val="right"/>
            </w:pPr>
            <w:r>
              <w:t xml:space="preserve"> 5,755,280.37 </w:t>
            </w: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7,023,107.14 </w:t>
            </w:r>
          </w:p>
        </w:tc>
        <w:tc>
          <w:tcPr>
            <w:tcW w:w="71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6,915,634.10 </w:t>
            </w:r>
          </w:p>
        </w:tc>
        <w:tc>
          <w:tcPr>
            <w:tcW w:w="713" w:type="pct"/>
            <w:tcBorders>
              <w:left w:val="single" w:sz="4" w:space="0" w:color="auto"/>
              <w:right w:val="single" w:sz="4" w:space="0" w:color="auto"/>
            </w:tcBorders>
          </w:tcPr>
          <w:p w:rsidR="00156DD6" w:rsidRDefault="00156DD6">
            <w:pPr>
              <w:jc w:val="right"/>
            </w:pPr>
          </w:p>
        </w:tc>
        <w:tc>
          <w:tcPr>
            <w:tcW w:w="717" w:type="pct"/>
            <w:tcBorders>
              <w:top w:val="single" w:sz="4" w:space="0" w:color="auto"/>
              <w:left w:val="single" w:sz="4" w:space="0" w:color="auto"/>
              <w:bottom w:val="single" w:sz="4" w:space="0" w:color="auto"/>
              <w:right w:val="single" w:sz="4" w:space="0" w:color="auto"/>
            </w:tcBorders>
          </w:tcPr>
          <w:p w:rsidR="00156DD6" w:rsidRDefault="00D51F5F">
            <w:pPr>
              <w:ind w:right="5"/>
              <w:jc w:val="right"/>
            </w:pPr>
            <w:r>
              <w:rPr>
                <w:rFonts w:hint="eastAsia"/>
              </w:rPr>
              <w:t xml:space="preserve"> 5,862,753.41 </w:t>
            </w:r>
          </w:p>
        </w:tc>
      </w:tr>
      <w:tr w:rsidR="00156DD6">
        <w:trPr>
          <w:trHeight w:val="20"/>
        </w:trPr>
        <w:tc>
          <w:tcPr>
            <w:tcW w:w="713" w:type="pct"/>
            <w:tcBorders>
              <w:top w:val="single" w:sz="4" w:space="0" w:color="auto"/>
              <w:left w:val="single" w:sz="4" w:space="0" w:color="auto"/>
              <w:bottom w:val="single" w:sz="4" w:space="0" w:color="auto"/>
              <w:right w:val="single" w:sz="4" w:space="0" w:color="auto"/>
            </w:tcBorders>
          </w:tcPr>
          <w:p w:rsidR="00156DD6" w:rsidRDefault="00D51F5F">
            <w:pPr>
              <w:pStyle w:val="Style43"/>
              <w:rPr>
                <w:sz w:val="21"/>
                <w:szCs w:val="21"/>
              </w:rPr>
            </w:pPr>
            <w:r>
              <w:rPr>
                <w:rFonts w:hint="eastAsia"/>
                <w:sz w:val="21"/>
                <w:szCs w:val="21"/>
              </w:rPr>
              <w:t>发出商品</w:t>
            </w:r>
          </w:p>
        </w:tc>
        <w:tc>
          <w:tcPr>
            <w:tcW w:w="718" w:type="pct"/>
            <w:tcBorders>
              <w:top w:val="single" w:sz="4" w:space="0" w:color="auto"/>
              <w:left w:val="single" w:sz="4" w:space="0" w:color="auto"/>
              <w:bottom w:val="single" w:sz="4" w:space="0" w:color="auto"/>
              <w:right w:val="single" w:sz="4" w:space="0" w:color="auto"/>
            </w:tcBorders>
            <w:vAlign w:val="center"/>
          </w:tcPr>
          <w:p w:rsidR="00156DD6" w:rsidRDefault="00D51F5F">
            <w:pPr>
              <w:ind w:right="5"/>
              <w:jc w:val="right"/>
            </w:pPr>
            <w:r>
              <w:t xml:space="preserve"> 3,799,882.09 </w:t>
            </w: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1,771,525.20 </w:t>
            </w:r>
          </w:p>
        </w:tc>
        <w:tc>
          <w:tcPr>
            <w:tcW w:w="71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2,291,536.13 </w:t>
            </w:r>
          </w:p>
        </w:tc>
        <w:tc>
          <w:tcPr>
            <w:tcW w:w="713" w:type="pct"/>
            <w:tcBorders>
              <w:left w:val="single" w:sz="4" w:space="0" w:color="auto"/>
              <w:right w:val="single" w:sz="4" w:space="0" w:color="auto"/>
            </w:tcBorders>
          </w:tcPr>
          <w:p w:rsidR="00156DD6" w:rsidRDefault="00156DD6">
            <w:pPr>
              <w:jc w:val="right"/>
            </w:pPr>
          </w:p>
        </w:tc>
        <w:tc>
          <w:tcPr>
            <w:tcW w:w="71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3,279,871.16 </w:t>
            </w:r>
          </w:p>
        </w:tc>
      </w:tr>
      <w:tr w:rsidR="00156DD6">
        <w:trPr>
          <w:trHeight w:val="20"/>
        </w:trPr>
        <w:tc>
          <w:tcPr>
            <w:tcW w:w="713"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合计</w:t>
            </w:r>
          </w:p>
        </w:tc>
        <w:tc>
          <w:tcPr>
            <w:tcW w:w="718" w:type="pct"/>
            <w:tcBorders>
              <w:top w:val="single" w:sz="4" w:space="0" w:color="auto"/>
              <w:left w:val="single" w:sz="4" w:space="0" w:color="auto"/>
              <w:bottom w:val="single" w:sz="4" w:space="0" w:color="auto"/>
              <w:right w:val="single" w:sz="4" w:space="0" w:color="auto"/>
            </w:tcBorders>
            <w:vAlign w:val="center"/>
          </w:tcPr>
          <w:p w:rsidR="00156DD6" w:rsidRDefault="00D51F5F">
            <w:pPr>
              <w:ind w:right="5"/>
              <w:jc w:val="right"/>
            </w:pPr>
            <w:r>
              <w:t xml:space="preserve"> 13,780,670.37 </w:t>
            </w: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11,161,251.76 </w:t>
            </w: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w:t>
            </w:r>
          </w:p>
        </w:tc>
        <w:tc>
          <w:tcPr>
            <w:tcW w:w="71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13,071,525.31 </w:t>
            </w:r>
          </w:p>
        </w:tc>
        <w:tc>
          <w:tcPr>
            <w:tcW w:w="713" w:type="pct"/>
            <w:tcBorders>
              <w:left w:val="single" w:sz="4" w:space="0" w:color="auto"/>
              <w:bottom w:val="single" w:sz="4" w:space="0" w:color="auto"/>
              <w:right w:val="single" w:sz="4" w:space="0" w:color="auto"/>
            </w:tcBorders>
          </w:tcPr>
          <w:p w:rsidR="00156DD6" w:rsidRDefault="00D51F5F">
            <w:pPr>
              <w:jc w:val="right"/>
            </w:pPr>
            <w:r>
              <w:rPr>
                <w:rFonts w:hint="eastAsia"/>
              </w:rPr>
              <w:t xml:space="preserve">   </w:t>
            </w:r>
          </w:p>
        </w:tc>
        <w:tc>
          <w:tcPr>
            <w:tcW w:w="717" w:type="pct"/>
            <w:tcBorders>
              <w:top w:val="single" w:sz="4" w:space="0" w:color="auto"/>
              <w:left w:val="single" w:sz="4" w:space="0" w:color="auto"/>
              <w:bottom w:val="single" w:sz="4" w:space="0" w:color="auto"/>
              <w:right w:val="single" w:sz="4" w:space="0" w:color="auto"/>
            </w:tcBorders>
          </w:tcPr>
          <w:p w:rsidR="00156DD6" w:rsidRDefault="00D51F5F">
            <w:pPr>
              <w:ind w:right="5"/>
              <w:jc w:val="right"/>
            </w:pPr>
            <w:r>
              <w:rPr>
                <w:rFonts w:hint="eastAsia"/>
              </w:rPr>
              <w:t xml:space="preserve"> 11,870,396.82 </w:t>
            </w:r>
          </w:p>
        </w:tc>
      </w:tr>
    </w:tbl>
    <w:p w:rsidR="00156DD6" w:rsidRDefault="00D51F5F">
      <w:pPr>
        <w:rPr>
          <w:color w:val="000000" w:themeColor="text1"/>
        </w:rPr>
      </w:pPr>
      <w:r>
        <w:rPr>
          <w:color w:val="000000" w:themeColor="text1"/>
        </w:rPr>
        <w:t>本期转回或转销存货跌价准备的原因</w:t>
      </w:r>
    </w:p>
    <w:sdt>
      <w:sdtPr>
        <w:rPr>
          <w:color w:val="000000" w:themeColor="text1"/>
        </w:rPr>
        <w:alias w:val="是否适用：本期转回或转销存货跌价准备的原因[双击切换]"/>
        <w:tag w:val="_GBC_e27c6ef344f148c18ae56422278eafd6"/>
        <w:id w:val="167276416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Start w:id="289" w:name="_Hlk202437009" w:displacedByCustomXml="next"/>
    <w:sdt>
      <w:sdtPr>
        <w:rPr>
          <w:bCs/>
          <w:color w:val="000000" w:themeColor="text1"/>
        </w:rPr>
        <w:alias w:val="本期转回或转销存货跌价准备的原因"/>
        <w:tag w:val="_GBC_b6115b54c210477298ccbc4d1a5a3bfc"/>
        <w:id w:val="-1688123450"/>
        <w:placeholder>
          <w:docPart w:val="GBC22222222222222222222222222222"/>
        </w:placeholder>
      </w:sdtPr>
      <w:sdtEndPr/>
      <w:sdtContent>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5784"/>
            <w:gridCol w:w="8079"/>
          </w:tblGrid>
          <w:tr w:rsidR="00156DD6">
            <w:trPr>
              <w:cantSplit/>
              <w:tblHeader/>
            </w:trPr>
            <w:tc>
              <w:tcPr>
                <w:tcW w:w="2086" w:type="pct"/>
              </w:tcPr>
              <w:p w:rsidR="00156DD6" w:rsidRDefault="00D51F5F">
                <w:pPr>
                  <w:ind w:right="73"/>
                  <w:jc w:val="center"/>
                </w:pPr>
                <w:r>
                  <w:rPr>
                    <w:rFonts w:hint="eastAsia"/>
                  </w:rPr>
                  <w:t>项目</w:t>
                </w:r>
              </w:p>
            </w:tc>
            <w:tc>
              <w:tcPr>
                <w:tcW w:w="2914" w:type="pct"/>
              </w:tcPr>
              <w:p w:rsidR="00156DD6" w:rsidRDefault="00D51F5F">
                <w:pPr>
                  <w:ind w:right="73"/>
                  <w:jc w:val="center"/>
                </w:pPr>
                <w:r>
                  <w:rPr>
                    <w:rFonts w:hint="eastAsia"/>
                  </w:rPr>
                  <w:t>转回或转销原因</w:t>
                </w:r>
              </w:p>
            </w:tc>
          </w:tr>
          <w:tr w:rsidR="00156DD6">
            <w:trPr>
              <w:cantSplit/>
            </w:trPr>
            <w:tc>
              <w:tcPr>
                <w:tcW w:w="2086" w:type="pct"/>
                <w:vAlign w:val="center"/>
              </w:tcPr>
              <w:p w:rsidR="00156DD6" w:rsidRDefault="00D51F5F">
                <w:pPr>
                  <w:ind w:right="73"/>
                  <w:jc w:val="both"/>
                </w:pPr>
                <w:r>
                  <w:rPr>
                    <w:rFonts w:hint="eastAsia"/>
                  </w:rPr>
                  <w:t>原材料</w:t>
                </w:r>
              </w:p>
            </w:tc>
            <w:tc>
              <w:tcPr>
                <w:tcW w:w="2914" w:type="pct"/>
                <w:vAlign w:val="center"/>
              </w:tcPr>
              <w:p w:rsidR="00156DD6" w:rsidRDefault="00D51F5F">
                <w:pPr>
                  <w:ind w:right="73"/>
                  <w:jc w:val="center"/>
                </w:pPr>
                <w:r>
                  <w:rPr>
                    <w:rFonts w:hint="eastAsia"/>
                  </w:rPr>
                  <w:t>本期已将期初计提存货跌价准备的存货耗用</w:t>
                </w:r>
                <w:r>
                  <w:rPr>
                    <w:rFonts w:hint="eastAsia"/>
                  </w:rPr>
                  <w:t>/</w:t>
                </w:r>
                <w:r>
                  <w:rPr>
                    <w:rFonts w:hint="eastAsia"/>
                  </w:rPr>
                  <w:t>售出</w:t>
                </w:r>
              </w:p>
            </w:tc>
          </w:tr>
          <w:tr w:rsidR="00156DD6">
            <w:trPr>
              <w:cantSplit/>
            </w:trPr>
            <w:tc>
              <w:tcPr>
                <w:tcW w:w="2086" w:type="pct"/>
                <w:vAlign w:val="center"/>
              </w:tcPr>
              <w:p w:rsidR="00156DD6" w:rsidRDefault="00D51F5F">
                <w:pPr>
                  <w:ind w:right="73"/>
                  <w:jc w:val="both"/>
                </w:pPr>
                <w:r>
                  <w:rPr>
                    <w:rFonts w:hint="eastAsia"/>
                  </w:rPr>
                  <w:t>在产品</w:t>
                </w:r>
              </w:p>
            </w:tc>
            <w:tc>
              <w:tcPr>
                <w:tcW w:w="2914" w:type="pct"/>
                <w:vAlign w:val="center"/>
              </w:tcPr>
              <w:p w:rsidR="00156DD6" w:rsidRDefault="00D51F5F">
                <w:pPr>
                  <w:ind w:right="73"/>
                  <w:jc w:val="center"/>
                </w:pPr>
                <w:r>
                  <w:rPr>
                    <w:rFonts w:hint="eastAsia"/>
                  </w:rPr>
                  <w:t>本期已将期初计提存货跌价准备的存货耗用</w:t>
                </w:r>
              </w:p>
            </w:tc>
          </w:tr>
          <w:tr w:rsidR="00156DD6">
            <w:trPr>
              <w:cantSplit/>
            </w:trPr>
            <w:tc>
              <w:tcPr>
                <w:tcW w:w="2086" w:type="pct"/>
                <w:vAlign w:val="center"/>
              </w:tcPr>
              <w:p w:rsidR="00156DD6" w:rsidRDefault="00D51F5F">
                <w:pPr>
                  <w:ind w:right="73"/>
                  <w:jc w:val="both"/>
                </w:pPr>
                <w:r>
                  <w:rPr>
                    <w:rFonts w:hint="eastAsia"/>
                  </w:rPr>
                  <w:lastRenderedPageBreak/>
                  <w:t>库存商品</w:t>
                </w:r>
              </w:p>
            </w:tc>
            <w:tc>
              <w:tcPr>
                <w:tcW w:w="2914" w:type="pct"/>
                <w:vAlign w:val="center"/>
              </w:tcPr>
              <w:p w:rsidR="00156DD6" w:rsidRDefault="00D51F5F">
                <w:pPr>
                  <w:ind w:right="73"/>
                  <w:jc w:val="center"/>
                </w:pPr>
                <w:r>
                  <w:rPr>
                    <w:rFonts w:hint="eastAsia"/>
                  </w:rPr>
                  <w:t>本期已将期初计提存货跌价准备的存货售出</w:t>
                </w:r>
              </w:p>
            </w:tc>
          </w:tr>
          <w:tr w:rsidR="00156DD6">
            <w:trPr>
              <w:cantSplit/>
            </w:trPr>
            <w:tc>
              <w:tcPr>
                <w:tcW w:w="2086" w:type="pct"/>
                <w:vAlign w:val="center"/>
              </w:tcPr>
              <w:p w:rsidR="00156DD6" w:rsidRDefault="00D51F5F">
                <w:pPr>
                  <w:ind w:right="73"/>
                  <w:jc w:val="both"/>
                </w:pPr>
                <w:r>
                  <w:rPr>
                    <w:rFonts w:hint="eastAsia"/>
                  </w:rPr>
                  <w:t>发出商品</w:t>
                </w:r>
              </w:p>
            </w:tc>
            <w:tc>
              <w:tcPr>
                <w:tcW w:w="2914" w:type="pct"/>
                <w:vAlign w:val="center"/>
              </w:tcPr>
              <w:p w:rsidR="00156DD6" w:rsidRDefault="00D51F5F">
                <w:pPr>
                  <w:ind w:right="73"/>
                  <w:jc w:val="center"/>
                </w:pPr>
                <w:r>
                  <w:rPr>
                    <w:rFonts w:hint="eastAsia"/>
                  </w:rPr>
                  <w:t>本期已将期初计提存货跌价准备的存货售出</w:t>
                </w:r>
              </w:p>
            </w:tc>
          </w:tr>
        </w:tbl>
        <w:p w:rsidR="00156DD6" w:rsidRDefault="00D51F5F">
          <w:pPr>
            <w:rPr>
              <w:color w:val="000000" w:themeColor="text1"/>
            </w:rPr>
          </w:pPr>
        </w:p>
      </w:sdtContent>
    </w:sdt>
    <w:bookmarkEnd w:id="289"/>
    <w:p w:rsidR="00156DD6" w:rsidRDefault="00D51F5F">
      <w:pPr>
        <w:rPr>
          <w:color w:val="000000" w:themeColor="text1"/>
        </w:rPr>
      </w:pPr>
      <w:r>
        <w:rPr>
          <w:rFonts w:hint="eastAsia"/>
          <w:color w:val="000000" w:themeColor="text1"/>
        </w:rPr>
        <w:t>按组合计提存货跌价准备</w:t>
      </w:r>
    </w:p>
    <w:sdt>
      <w:sdtPr>
        <w:rPr>
          <w:color w:val="000000" w:themeColor="text1"/>
        </w:rPr>
        <w:alias w:val="是否适用：按组合计提存货跌价准备[双击切换]"/>
        <w:tag w:val="_GBC_f0fab92eec8647d68c06a12b3bc75549"/>
        <w:id w:val="-106756802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按组合计提存货跌价准备的计提标准</w:t>
      </w:r>
    </w:p>
    <w:sdt>
      <w:sdtPr>
        <w:rPr>
          <w:color w:val="000000" w:themeColor="text1"/>
        </w:rPr>
        <w:alias w:val="是否适用：按组合计提存货跌价准备的计提标准[双击切换]"/>
        <w:tag w:val="_GBC_d204ec862c304c1f8d4ec4644591e14e"/>
        <w:id w:val="16588062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88"/>
    <w:p w:rsidR="00156DD6" w:rsidRDefault="00D51F5F">
      <w:pPr>
        <w:pStyle w:val="Style47"/>
        <w:numPr>
          <w:ilvl w:val="0"/>
          <w:numId w:val="52"/>
        </w:numPr>
        <w:tabs>
          <w:tab w:val="left" w:pos="630"/>
        </w:tabs>
        <w:rPr>
          <w:rFonts w:ascii="宋体" w:hAnsi="宋体"/>
          <w:color w:val="000000" w:themeColor="text1"/>
          <w:sz w:val="21"/>
          <w:szCs w:val="21"/>
        </w:rPr>
      </w:pPr>
      <w:r>
        <w:rPr>
          <w:rFonts w:ascii="宋体" w:hAnsi="宋体" w:hint="eastAsia"/>
          <w:color w:val="000000" w:themeColor="text1"/>
          <w:sz w:val="21"/>
          <w:szCs w:val="21"/>
        </w:rPr>
        <w:t>存货期末余额含有的借款费用资本化金额及其计算标准和依据</w:t>
      </w:r>
    </w:p>
    <w:sdt>
      <w:sdtPr>
        <w:rPr>
          <w:rFonts w:hint="eastAsia"/>
          <w:color w:val="000000" w:themeColor="text1"/>
        </w:rPr>
        <w:alias w:val="是否适用：存货期末余额含有借款费用资本化金额的说明[双击切换]"/>
        <w:tag w:val="_GBC_c4216db560c643b38b29d44401d464c9"/>
        <w:id w:val="-90931365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52"/>
        </w:numPr>
        <w:tabs>
          <w:tab w:val="left" w:pos="630"/>
        </w:tabs>
        <w:rPr>
          <w:rFonts w:ascii="宋体" w:hAnsi="宋体"/>
          <w:color w:val="000000" w:themeColor="text1"/>
          <w:sz w:val="21"/>
          <w:szCs w:val="21"/>
        </w:rPr>
      </w:pPr>
      <w:bookmarkStart w:id="290" w:name="_Hlk10470641"/>
      <w:r>
        <w:rPr>
          <w:rFonts w:ascii="宋体" w:hAnsi="宋体" w:hint="eastAsia"/>
          <w:color w:val="000000" w:themeColor="text1"/>
          <w:sz w:val="21"/>
          <w:szCs w:val="21"/>
        </w:rPr>
        <w:t>合同履约成本本期摊销金额的说明</w:t>
      </w:r>
    </w:p>
    <w:sdt>
      <w:sdtPr>
        <w:rPr>
          <w:color w:val="000000" w:themeColor="text1"/>
        </w:rPr>
        <w:alias w:val="是否适用：合同履约成本本期摊销金额的说明[双击切换]"/>
        <w:tag w:val="_GBC_cd3513a7790e48d4a2a156e8ad6a629a"/>
        <w:id w:val="110454841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290"/>
    <w:p w:rsidR="00156DD6" w:rsidRDefault="00D51F5F">
      <w:pPr>
        <w:rPr>
          <w:color w:val="000000" w:themeColor="text1"/>
        </w:rPr>
      </w:pPr>
      <w:r>
        <w:rPr>
          <w:rFonts w:hint="eastAsia"/>
          <w:color w:val="000000" w:themeColor="text1"/>
        </w:rPr>
        <w:t>其他说明：</w:t>
      </w:r>
    </w:p>
    <w:sdt>
      <w:sdtPr>
        <w:rPr>
          <w:color w:val="000000" w:themeColor="text1"/>
        </w:rPr>
        <w:alias w:val="是否适用：存货的其他说明[双击切换]"/>
        <w:tag w:val="_GBC_bd31680428a448ecb64fdd4cbab90a42"/>
        <w:id w:val="59344497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pStyle w:val="TOC6"/>
        <w:numPr>
          <w:ilvl w:val="0"/>
          <w:numId w:val="43"/>
        </w:numPr>
        <w:tabs>
          <w:tab w:val="left" w:pos="504"/>
        </w:tabs>
        <w:rPr>
          <w:rFonts w:ascii="宋体" w:hAnsi="宋体"/>
          <w:color w:val="000000" w:themeColor="text1"/>
        </w:rPr>
        <w:sectPr w:rsidR="00156DD6">
          <w:pgSz w:w="16838" w:h="11906" w:orient="landscape"/>
          <w:pgMar w:top="1797" w:right="1525" w:bottom="1276" w:left="1440" w:header="856" w:footer="992" w:gutter="0"/>
          <w:cols w:space="425"/>
          <w:docGrid w:linePitch="312"/>
        </w:sectPr>
      </w:pPr>
    </w:p>
    <w:p w:rsidR="00156DD6" w:rsidRDefault="00D51F5F">
      <w:pPr>
        <w:pStyle w:val="TOC6"/>
        <w:numPr>
          <w:ilvl w:val="0"/>
          <w:numId w:val="53"/>
        </w:numPr>
        <w:rPr>
          <w:color w:val="000000" w:themeColor="text1"/>
          <w:sz w:val="21"/>
          <w:szCs w:val="22"/>
        </w:rPr>
      </w:pPr>
      <w:r>
        <w:rPr>
          <w:color w:val="000000" w:themeColor="text1"/>
          <w:sz w:val="21"/>
          <w:szCs w:val="22"/>
        </w:rPr>
        <w:lastRenderedPageBreak/>
        <w:t>持有待售资产</w:t>
      </w:r>
    </w:p>
    <w:sdt>
      <w:sdtPr>
        <w:rPr>
          <w:color w:val="000000" w:themeColor="text1"/>
        </w:rPr>
        <w:alias w:val="是否适用：划分为持有待售的资产[双击切换]"/>
        <w:tag w:val="_GBC_a6517e0f93e04b1caa2e45201c8133b1"/>
        <w:id w:val="-608663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291" w:name="_Hlk10471163"/>
      <w:r>
        <w:rPr>
          <w:rFonts w:hint="eastAsia"/>
          <w:color w:val="000000" w:themeColor="text1"/>
          <w:sz w:val="21"/>
          <w:szCs w:val="22"/>
        </w:rPr>
        <w:t>一年内到期的非流动资产</w:t>
      </w:r>
    </w:p>
    <w:sdt>
      <w:sdtPr>
        <w:rPr>
          <w:color w:val="000000" w:themeColor="text1"/>
        </w:rPr>
        <w:alias w:val="是否适用：一年内到期的非流动资产[双击切换]"/>
        <w:tag w:val="_GBC_3c3df002388d4bbe8dd8d4df7fe26ebc"/>
        <w:id w:val="-202864792"/>
        <w:placeholder>
          <w:docPart w:val="2EB67F227C904DD48AD119BCD29A8BBF"/>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rPr>
          <w:color w:val="000000" w:themeColor="text1"/>
          <w:szCs w:val="21"/>
        </w:rPr>
      </w:pPr>
      <w:bookmarkStart w:id="292" w:name="_Hlk167891921"/>
      <w:r>
        <w:rPr>
          <w:rFonts w:hint="eastAsia"/>
          <w:color w:val="000000" w:themeColor="text1"/>
          <w:szCs w:val="21"/>
        </w:rPr>
        <w:t>一年内到期的债权投资</w:t>
      </w:r>
    </w:p>
    <w:sdt>
      <w:sdtPr>
        <w:rPr>
          <w:color w:val="000000" w:themeColor="text1"/>
        </w:rPr>
        <w:alias w:val="是否适用：一年内到期的债权投资[双击切换]"/>
        <w:tag w:val="_GBC_ed748eccf06845059b7b75fbb321c08e"/>
        <w:id w:val="-121006401"/>
        <w:placeholder>
          <w:docPart w:val="2EB67F227C904DD48AD119BCD29A8BBF"/>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rPr>
          <w:color w:val="000000" w:themeColor="text1"/>
          <w:szCs w:val="21"/>
        </w:rPr>
      </w:pPr>
      <w:r>
        <w:rPr>
          <w:rFonts w:hint="eastAsia"/>
          <w:color w:val="000000" w:themeColor="text1"/>
          <w:szCs w:val="21"/>
        </w:rPr>
        <w:t>一年内到期的其他债权投资</w:t>
      </w:r>
    </w:p>
    <w:sdt>
      <w:sdtPr>
        <w:rPr>
          <w:color w:val="000000" w:themeColor="text1"/>
        </w:rPr>
        <w:alias w:val="是否适用：一年内到期的其他债权投资[双击切换]"/>
        <w:tag w:val="_GBC_4fffef07e644478cae129eff5661f608"/>
        <w:id w:val="-26490376"/>
        <w:placeholder>
          <w:docPart w:val="2EB67F227C904DD48AD119BCD29A8BBF"/>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ind w:right="210"/>
        <w:rPr>
          <w:color w:val="000000" w:themeColor="text1"/>
        </w:rPr>
      </w:pPr>
      <w:r>
        <w:rPr>
          <w:rFonts w:hint="eastAsia"/>
          <w:color w:val="000000" w:themeColor="text1"/>
        </w:rPr>
        <w:t>一年内到期的非流动资产的其他说明</w:t>
      </w:r>
    </w:p>
    <w:sdt>
      <w:sdtPr>
        <w:rPr>
          <w:color w:val="000000" w:themeColor="text1"/>
        </w:rPr>
        <w:alias w:val="一年内到期的非流动资产其他说明"/>
        <w:tag w:val="_GBC_218c0d81bbcc4458a19aa7e5806bac06"/>
        <w:id w:val="-1670325403"/>
        <w:placeholder>
          <w:docPart w:val="2EB67F227C904DD48AD119BCD29A8BBF"/>
        </w:placeholder>
      </w:sdtPr>
      <w:sdtEndPr/>
      <w:sdtContent>
        <w:p w:rsidR="00156DD6" w:rsidRDefault="00D51F5F">
          <w:pPr>
            <w:ind w:right="210"/>
            <w:rPr>
              <w:color w:val="000000" w:themeColor="text1"/>
            </w:rPr>
          </w:pPr>
          <w:r>
            <w:rPr>
              <w:rFonts w:hint="eastAsia"/>
              <w:color w:val="000000" w:themeColor="text1"/>
            </w:rPr>
            <w:t>无</w:t>
          </w:r>
        </w:p>
      </w:sdtContent>
    </w:sdt>
    <w:bookmarkEnd w:id="292"/>
    <w:p w:rsidR="00156DD6" w:rsidRDefault="00D51F5F">
      <w:pPr>
        <w:pStyle w:val="TOC6"/>
        <w:numPr>
          <w:ilvl w:val="0"/>
          <w:numId w:val="53"/>
        </w:numPr>
        <w:rPr>
          <w:color w:val="000000" w:themeColor="text1"/>
          <w:sz w:val="21"/>
          <w:szCs w:val="22"/>
        </w:rPr>
      </w:pPr>
      <w:r>
        <w:rPr>
          <w:color w:val="000000" w:themeColor="text1"/>
          <w:sz w:val="21"/>
          <w:szCs w:val="22"/>
        </w:rPr>
        <w:t>其他流动资产</w:t>
      </w:r>
    </w:p>
    <w:sdt>
      <w:sdtPr>
        <w:rPr>
          <w:color w:val="000000" w:themeColor="text1"/>
        </w:rPr>
        <w:alias w:val="是否适用：其他流动资产[双击切换]"/>
        <w:tag w:val="_GBC_7733d50365e24328b41020152f88028d"/>
        <w:id w:val="-97822129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其他流动资产"/>
          <w:tag w:val="_GBC_d0c62fc75d164678ad203d9ddb106538"/>
          <w:id w:val="-18120048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其他流动资产"/>
          <w:tag w:val="_GBC_9196143d56d24a9ea7f7e31ce8a09024"/>
          <w:id w:val="-767419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845"/>
        <w:gridCol w:w="2774"/>
      </w:tblGrid>
      <w:tr w:rsidR="00156DD6">
        <w:sdt>
          <w:sdtPr>
            <w:tag w:val="_PLD_15bbfc7d41df4300abcae2e424cc6572"/>
            <w:id w:val="-1765449203"/>
          </w:sdtPr>
          <w:sdtEndPr/>
          <w:sdtContent>
            <w:tc>
              <w:tcPr>
                <w:tcW w:w="1816" w:type="pct"/>
                <w:vAlign w:val="center"/>
              </w:tcPr>
              <w:p w:rsidR="00156DD6" w:rsidRDefault="00D51F5F">
                <w:pPr>
                  <w:jc w:val="center"/>
                  <w:rPr>
                    <w:color w:val="000000" w:themeColor="text1"/>
                  </w:rPr>
                </w:pPr>
                <w:r>
                  <w:rPr>
                    <w:rFonts w:hint="eastAsia"/>
                    <w:color w:val="000000" w:themeColor="text1"/>
                  </w:rPr>
                  <w:t>项目</w:t>
                </w:r>
              </w:p>
            </w:tc>
          </w:sdtContent>
        </w:sdt>
        <w:sdt>
          <w:sdtPr>
            <w:tag w:val="_PLD_d2a222194eae4e958db2401139170ea2"/>
            <w:id w:val="-377470314"/>
          </w:sdtPr>
          <w:sdtEndPr/>
          <w:sdtContent>
            <w:tc>
              <w:tcPr>
                <w:tcW w:w="1612"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0f3815799e9d4216b9506517d8e9b90c"/>
            <w:id w:val="-897279884"/>
          </w:sdtPr>
          <w:sdtEndPr/>
          <w:sdtContent>
            <w:tc>
              <w:tcPr>
                <w:tcW w:w="1572"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c>
          <w:tcPr>
            <w:tcW w:w="1816" w:type="pct"/>
          </w:tcPr>
          <w:p w:rsidR="00156DD6" w:rsidRDefault="00D51F5F">
            <w:pPr>
              <w:pStyle w:val="Style43"/>
              <w:rPr>
                <w:sz w:val="21"/>
                <w:szCs w:val="21"/>
              </w:rPr>
            </w:pPr>
            <w:r>
              <w:rPr>
                <w:rFonts w:hint="eastAsia"/>
                <w:sz w:val="21"/>
                <w:szCs w:val="21"/>
              </w:rPr>
              <w:t>预缴企业所得税款</w:t>
            </w:r>
          </w:p>
        </w:tc>
        <w:tc>
          <w:tcPr>
            <w:tcW w:w="1612" w:type="pct"/>
          </w:tcPr>
          <w:p w:rsidR="00156DD6" w:rsidRDefault="00D51F5F">
            <w:pPr>
              <w:jc w:val="right"/>
            </w:pPr>
            <w:r>
              <w:rPr>
                <w:rFonts w:hint="eastAsia"/>
              </w:rPr>
              <w:t xml:space="preserve"> 460,831.18 </w:t>
            </w:r>
          </w:p>
        </w:tc>
        <w:tc>
          <w:tcPr>
            <w:tcW w:w="1572" w:type="pct"/>
          </w:tcPr>
          <w:p w:rsidR="00156DD6" w:rsidRDefault="00D51F5F">
            <w:pPr>
              <w:jc w:val="right"/>
            </w:pPr>
            <w:r>
              <w:rPr>
                <w:rFonts w:hint="eastAsia"/>
              </w:rPr>
              <w:t xml:space="preserve"> 1,778,100.97 </w:t>
            </w:r>
          </w:p>
        </w:tc>
      </w:tr>
      <w:tr w:rsidR="00156DD6">
        <w:tc>
          <w:tcPr>
            <w:tcW w:w="1816" w:type="pct"/>
          </w:tcPr>
          <w:p w:rsidR="00156DD6" w:rsidRDefault="00D51F5F">
            <w:pPr>
              <w:pStyle w:val="Style43"/>
              <w:rPr>
                <w:sz w:val="21"/>
                <w:szCs w:val="21"/>
              </w:rPr>
            </w:pPr>
            <w:bookmarkStart w:id="293" w:name="OLE_LINK30"/>
            <w:r>
              <w:rPr>
                <w:rFonts w:hint="eastAsia"/>
                <w:sz w:val="21"/>
                <w:szCs w:val="21"/>
              </w:rPr>
              <w:t>待抵扣、待认证进项税额</w:t>
            </w:r>
            <w:bookmarkEnd w:id="293"/>
          </w:p>
        </w:tc>
        <w:tc>
          <w:tcPr>
            <w:tcW w:w="1612" w:type="pct"/>
          </w:tcPr>
          <w:p w:rsidR="00156DD6" w:rsidRDefault="00D51F5F">
            <w:pPr>
              <w:jc w:val="right"/>
            </w:pPr>
            <w:r>
              <w:rPr>
                <w:rFonts w:hint="eastAsia"/>
              </w:rPr>
              <w:t xml:space="preserve"> 10,219,455.86 </w:t>
            </w:r>
          </w:p>
        </w:tc>
        <w:tc>
          <w:tcPr>
            <w:tcW w:w="1572" w:type="pct"/>
          </w:tcPr>
          <w:p w:rsidR="00156DD6" w:rsidRDefault="00D51F5F">
            <w:pPr>
              <w:jc w:val="right"/>
            </w:pPr>
            <w:r>
              <w:rPr>
                <w:rFonts w:hint="eastAsia"/>
              </w:rPr>
              <w:t xml:space="preserve"> 314,450.28 </w:t>
            </w:r>
          </w:p>
        </w:tc>
      </w:tr>
      <w:tr w:rsidR="00156DD6">
        <w:tc>
          <w:tcPr>
            <w:tcW w:w="1816" w:type="pct"/>
          </w:tcPr>
          <w:p w:rsidR="00156DD6" w:rsidRDefault="00D51F5F">
            <w:pPr>
              <w:pStyle w:val="Style43"/>
              <w:rPr>
                <w:sz w:val="21"/>
                <w:szCs w:val="21"/>
              </w:rPr>
            </w:pPr>
            <w:r>
              <w:rPr>
                <w:rFonts w:hint="eastAsia"/>
                <w:sz w:val="21"/>
                <w:szCs w:val="21"/>
              </w:rPr>
              <w:t>其他预缴税金</w:t>
            </w:r>
          </w:p>
        </w:tc>
        <w:tc>
          <w:tcPr>
            <w:tcW w:w="1612" w:type="pct"/>
          </w:tcPr>
          <w:p w:rsidR="00156DD6" w:rsidRDefault="00D51F5F">
            <w:pPr>
              <w:jc w:val="right"/>
            </w:pPr>
            <w:r>
              <w:rPr>
                <w:rFonts w:hint="eastAsia"/>
              </w:rPr>
              <w:t xml:space="preserve"> 131,005.89 </w:t>
            </w:r>
          </w:p>
        </w:tc>
        <w:tc>
          <w:tcPr>
            <w:tcW w:w="1572" w:type="pct"/>
          </w:tcPr>
          <w:p w:rsidR="00156DD6" w:rsidRDefault="00156DD6">
            <w:pPr>
              <w:jc w:val="right"/>
            </w:pPr>
          </w:p>
        </w:tc>
      </w:tr>
      <w:tr w:rsidR="00156DD6">
        <w:tc>
          <w:tcPr>
            <w:tcW w:w="1816" w:type="pct"/>
            <w:vAlign w:val="center"/>
          </w:tcPr>
          <w:p w:rsidR="00156DD6" w:rsidRDefault="00D51F5F">
            <w:pPr>
              <w:snapToGrid w:val="0"/>
              <w:ind w:leftChars="-51" w:left="-107"/>
              <w:jc w:val="center"/>
              <w:rPr>
                <w:color w:val="000000" w:themeColor="text1"/>
              </w:rPr>
            </w:pPr>
            <w:r>
              <w:rPr>
                <w:rFonts w:hint="eastAsia"/>
                <w:color w:val="000000" w:themeColor="text1"/>
              </w:rPr>
              <w:t>合计</w:t>
            </w:r>
          </w:p>
        </w:tc>
        <w:tc>
          <w:tcPr>
            <w:tcW w:w="1612" w:type="pct"/>
          </w:tcPr>
          <w:p w:rsidR="00156DD6" w:rsidRDefault="00D51F5F">
            <w:pPr>
              <w:snapToGrid w:val="0"/>
              <w:jc w:val="right"/>
            </w:pPr>
            <w:r>
              <w:rPr>
                <w:rFonts w:hint="eastAsia"/>
              </w:rPr>
              <w:t xml:space="preserve"> 10,811,292.93 </w:t>
            </w:r>
          </w:p>
        </w:tc>
        <w:tc>
          <w:tcPr>
            <w:tcW w:w="1572" w:type="pct"/>
          </w:tcPr>
          <w:p w:rsidR="00156DD6" w:rsidRDefault="00D51F5F">
            <w:pPr>
              <w:snapToGrid w:val="0"/>
              <w:jc w:val="right"/>
            </w:pPr>
            <w:r>
              <w:rPr>
                <w:rFonts w:hint="eastAsia"/>
              </w:rPr>
              <w:t xml:space="preserve"> 2,092,551.25 </w:t>
            </w:r>
          </w:p>
        </w:tc>
      </w:tr>
    </w:tbl>
    <w:p w:rsidR="00156DD6" w:rsidRDefault="00D51F5F">
      <w:pPr>
        <w:rPr>
          <w:color w:val="000000" w:themeColor="text1"/>
        </w:rPr>
      </w:pPr>
      <w:r>
        <w:rPr>
          <w:rFonts w:hint="eastAsia"/>
          <w:color w:val="000000" w:themeColor="text1"/>
        </w:rPr>
        <w:t>其他说明：</w:t>
      </w:r>
    </w:p>
    <w:sdt>
      <w:sdtPr>
        <w:rPr>
          <w:rFonts w:hint="eastAsia"/>
          <w:color w:val="000000" w:themeColor="text1"/>
        </w:rPr>
        <w:alias w:val="其他流动资产说明"/>
        <w:tag w:val="_GBC_7955e529151148f394eed0e26977270b"/>
        <w:id w:val="70478377"/>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bookmarkStart w:id="294" w:name="_Hlk10471390"/>
      <w:bookmarkEnd w:id="291"/>
      <w:r>
        <w:rPr>
          <w:color w:val="000000" w:themeColor="text1"/>
          <w:sz w:val="21"/>
          <w:szCs w:val="22"/>
        </w:rPr>
        <w:t>债权投资</w:t>
      </w:r>
    </w:p>
    <w:p w:rsidR="00156DD6" w:rsidRDefault="00D51F5F">
      <w:pPr>
        <w:pStyle w:val="Style47"/>
        <w:numPr>
          <w:ilvl w:val="3"/>
          <w:numId w:val="54"/>
        </w:numPr>
        <w:ind w:left="426" w:hanging="426"/>
        <w:rPr>
          <w:rFonts w:ascii="宋体" w:hAnsi="宋体"/>
          <w:color w:val="000000" w:themeColor="text1"/>
          <w:sz w:val="21"/>
          <w:szCs w:val="21"/>
        </w:rPr>
      </w:pPr>
      <w:r>
        <w:rPr>
          <w:rFonts w:ascii="宋体" w:hAnsi="宋体" w:hint="eastAsia"/>
          <w:color w:val="000000" w:themeColor="text1"/>
          <w:sz w:val="21"/>
          <w:szCs w:val="21"/>
        </w:rPr>
        <w:t>债权投资情况</w:t>
      </w:r>
    </w:p>
    <w:sdt>
      <w:sdtPr>
        <w:rPr>
          <w:color w:val="000000" w:themeColor="text1"/>
        </w:rPr>
        <w:alias w:val="是否适用：以摊余成本计量的长期债权投资[双击切换]"/>
        <w:tag w:val="_GBC_22cb0188d98c4d37a97e0c6a9e34e10d"/>
        <w:id w:val="-25050657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295" w:name="_Hlk153455457"/>
      <w:bookmarkStart w:id="296" w:name="_Hlk167892259"/>
      <w:bookmarkEnd w:id="294"/>
      <w:r>
        <w:rPr>
          <w:rFonts w:hint="eastAsia"/>
          <w:color w:val="000000" w:themeColor="text1"/>
        </w:rPr>
        <w:t>债权投资减值准备本期变动情况</w:t>
      </w:r>
    </w:p>
    <w:sdt>
      <w:sdtPr>
        <w:rPr>
          <w:color w:val="000000" w:themeColor="text1"/>
        </w:rPr>
        <w:alias w:val="是否适用：减值准备本期变动情况[双击切换]"/>
        <w:tag w:val="_GBC_50b72791ac8a452f88456ab4da535bab"/>
        <w:id w:val="77668091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54"/>
        </w:numPr>
        <w:ind w:left="426" w:hanging="426"/>
        <w:rPr>
          <w:rFonts w:ascii="宋体" w:hAnsi="宋体"/>
          <w:color w:val="000000" w:themeColor="text1"/>
          <w:sz w:val="21"/>
          <w:szCs w:val="21"/>
        </w:rPr>
      </w:pPr>
      <w:bookmarkStart w:id="297" w:name="_Hlk167892342"/>
      <w:bookmarkStart w:id="298" w:name="_Hlk532994191"/>
      <w:bookmarkEnd w:id="295"/>
      <w:bookmarkEnd w:id="296"/>
      <w:r>
        <w:rPr>
          <w:rFonts w:ascii="宋体" w:hAnsi="宋体" w:hint="eastAsia"/>
          <w:color w:val="000000" w:themeColor="text1"/>
          <w:sz w:val="21"/>
          <w:szCs w:val="21"/>
        </w:rPr>
        <w:t>期末重要的债权投资</w:t>
      </w:r>
    </w:p>
    <w:sdt>
      <w:sdtPr>
        <w:rPr>
          <w:color w:val="000000" w:themeColor="text1"/>
        </w:rPr>
        <w:alias w:val="是否适用：重要的债权投资[双击切换]"/>
        <w:tag w:val="_GBC_dfd6ab7a86864614a29dc0fb3c650c26"/>
        <w:id w:val="-86221200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54"/>
        </w:numPr>
        <w:ind w:left="426" w:hanging="426"/>
        <w:rPr>
          <w:rFonts w:ascii="宋体" w:hAnsi="宋体"/>
          <w:color w:val="000000" w:themeColor="text1"/>
          <w:sz w:val="21"/>
          <w:szCs w:val="21"/>
        </w:rPr>
      </w:pPr>
      <w:bookmarkStart w:id="299" w:name="_Hlk10471472"/>
      <w:bookmarkStart w:id="300" w:name="_Hlk10471485"/>
      <w:bookmarkEnd w:id="297"/>
      <w:bookmarkEnd w:id="298"/>
      <w:r>
        <w:rPr>
          <w:rFonts w:ascii="宋体" w:hAnsi="宋体" w:hint="eastAsia"/>
          <w:color w:val="000000" w:themeColor="text1"/>
          <w:sz w:val="21"/>
          <w:szCs w:val="21"/>
        </w:rPr>
        <w:t>减值准备计提情况</w:t>
      </w:r>
      <w:bookmarkEnd w:id="299"/>
    </w:p>
    <w:sdt>
      <w:sdtPr>
        <w:rPr>
          <w:color w:val="000000" w:themeColor="text1"/>
        </w:rPr>
        <w:alias w:val="是否适用：债权投资减值准备调节表[双击切换]"/>
        <w:tag w:val="_GBC_415a5cd43ad14136b13ac09b150da06f"/>
        <w:id w:val="-129159561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各阶段划分依据和减值准备计提比例：</w:t>
      </w:r>
    </w:p>
    <w:sdt>
      <w:sdtPr>
        <w:rPr>
          <w:color w:val="000000" w:themeColor="text1"/>
        </w:rPr>
        <w:alias w:val="债权投资各阶段划分依据和减值准备计提比例"/>
        <w:tag w:val="_GBC_251143413a6c4bb19036ef59ee403126"/>
        <w:id w:val="-213505512"/>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Style100"/>
        <w:rPr>
          <w:color w:val="000000" w:themeColor="text1"/>
          <w:sz w:val="21"/>
          <w:szCs w:val="21"/>
        </w:rPr>
      </w:pPr>
      <w:r>
        <w:rPr>
          <w:rFonts w:hint="eastAsia"/>
          <w:color w:val="000000" w:themeColor="text1"/>
          <w:sz w:val="21"/>
          <w:szCs w:val="21"/>
        </w:rPr>
        <w:t>对本期发生损失准备变动的债权投资账面余额显著变动的情况说明：</w:t>
      </w:r>
    </w:p>
    <w:sdt>
      <w:sdtPr>
        <w:rPr>
          <w:color w:val="000000" w:themeColor="text1"/>
        </w:rPr>
        <w:alias w:val="是否适用：债权投资本期发生损失准备变动且账面余额显著变动的情况说明[双击切换]"/>
        <w:tag w:val="_GBC_c6e31a7a389c493bad1d2f0f97023edf"/>
        <w:id w:val="461780868"/>
        <w:placeholder>
          <w:docPart w:val="GBC22222222222222222222222222222"/>
        </w:placeholder>
      </w:sdtPr>
      <w:sdtEndPr/>
      <w:sdtContent>
        <w:p w:rsidR="00156DD6" w:rsidRDefault="00D51F5F">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100"/>
        <w:rPr>
          <w:color w:val="000000" w:themeColor="text1"/>
          <w:sz w:val="21"/>
          <w:szCs w:val="21"/>
        </w:rPr>
      </w:pPr>
      <w:r>
        <w:rPr>
          <w:rFonts w:hint="eastAsia"/>
          <w:color w:val="000000" w:themeColor="text1"/>
          <w:sz w:val="21"/>
          <w:szCs w:val="21"/>
        </w:rPr>
        <w:t>本</w:t>
      </w:r>
      <w:r>
        <w:rPr>
          <w:color w:val="000000" w:themeColor="text1"/>
          <w:sz w:val="21"/>
          <w:szCs w:val="21"/>
        </w:rPr>
        <w:t>期减</w:t>
      </w:r>
      <w:r>
        <w:rPr>
          <w:rFonts w:hint="eastAsia"/>
          <w:color w:val="000000" w:themeColor="text1"/>
          <w:sz w:val="21"/>
          <w:szCs w:val="21"/>
        </w:rPr>
        <w:t>值</w:t>
      </w:r>
      <w:r>
        <w:rPr>
          <w:color w:val="000000" w:themeColor="text1"/>
          <w:sz w:val="21"/>
          <w:szCs w:val="21"/>
        </w:rPr>
        <w:t>准备计提金额以及评估金融工具的</w:t>
      </w:r>
      <w:r>
        <w:rPr>
          <w:rFonts w:hint="eastAsia"/>
          <w:color w:val="000000" w:themeColor="text1"/>
          <w:sz w:val="21"/>
          <w:szCs w:val="21"/>
        </w:rPr>
        <w:t>信用风险是否显著增加的采用依据：</w:t>
      </w:r>
    </w:p>
    <w:sdt>
      <w:sdtPr>
        <w:rPr>
          <w:color w:val="000000" w:themeColor="text1"/>
        </w:rPr>
        <w:alias w:val="是否适用：债权投资减值准备计提金额以及评估金融工具的信用风险显著增加的采用依据[双击切换]"/>
        <w:tag w:val="_GBC_9f2bcc7ec6104c84a1b0f948b57b7e7a"/>
        <w:id w:val="30868730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54"/>
        </w:numPr>
        <w:ind w:left="426" w:hanging="426"/>
        <w:rPr>
          <w:rFonts w:ascii="宋体" w:hAnsi="宋体"/>
          <w:color w:val="000000" w:themeColor="text1"/>
          <w:sz w:val="21"/>
          <w:szCs w:val="21"/>
        </w:rPr>
      </w:pPr>
      <w:bookmarkStart w:id="301" w:name="_Hlk167892558"/>
      <w:bookmarkStart w:id="302" w:name="_Hlk153455555"/>
      <w:bookmarkEnd w:id="300"/>
      <w:r>
        <w:rPr>
          <w:rFonts w:ascii="宋体" w:hAnsi="宋体" w:hint="eastAsia"/>
          <w:color w:val="000000" w:themeColor="text1"/>
          <w:sz w:val="21"/>
          <w:szCs w:val="21"/>
        </w:rPr>
        <w:t>本期实际的核销债权投资情况</w:t>
      </w:r>
    </w:p>
    <w:sdt>
      <w:sdtPr>
        <w:rPr>
          <w:color w:val="000000" w:themeColor="text1"/>
        </w:rPr>
        <w:alias w:val="是否适用：实际核销的情况[双击切换]"/>
        <w:tag w:val="_GBC_3afef6300d7c49d48b6294a7214810bd"/>
        <w:id w:val="34097351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dc0725e00c1d479dba02255be6332ac6"/>
        <w:id w:val="-202916383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债权投资的核销说明：</w:t>
      </w:r>
    </w:p>
    <w:sdt>
      <w:sdtPr>
        <w:rPr>
          <w:color w:val="000000" w:themeColor="text1"/>
        </w:rPr>
        <w:alias w:val="是否适用：核销说明[双击切换]"/>
        <w:tag w:val="_GBC_de5ab370e646496a8820f55eaf66a319"/>
        <w:id w:val="283474286"/>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ind w:right="210"/>
        <w:rPr>
          <w:color w:val="000000" w:themeColor="text1"/>
        </w:rPr>
      </w:pPr>
      <w:bookmarkStart w:id="303" w:name="_Hlk167892487"/>
      <w:bookmarkEnd w:id="301"/>
      <w:bookmarkEnd w:id="302"/>
      <w:r>
        <w:rPr>
          <w:rFonts w:hint="eastAsia"/>
          <w:color w:val="000000" w:themeColor="text1"/>
        </w:rPr>
        <w:t>其他说明：</w:t>
      </w:r>
    </w:p>
    <w:sdt>
      <w:sdtPr>
        <w:rPr>
          <w:color w:val="000000" w:themeColor="text1"/>
        </w:rPr>
        <w:alias w:val="债权投资其他说明"/>
        <w:tag w:val="_GBC_28b21821551847bca67b7c6c2e134e89"/>
        <w:id w:val="-978458445"/>
        <w:placeholder>
          <w:docPart w:val="GBC22222222222222222222222222222"/>
        </w:placeholder>
      </w:sdtPr>
      <w:sdtEndPr/>
      <w:sdtContent>
        <w:p w:rsidR="00156DD6" w:rsidRDefault="00D51F5F">
          <w:pPr>
            <w:ind w:right="210"/>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bookmarkStart w:id="304" w:name="_Hlk167892682"/>
      <w:bookmarkEnd w:id="303"/>
      <w:r>
        <w:rPr>
          <w:color w:val="000000" w:themeColor="text1"/>
          <w:sz w:val="21"/>
          <w:szCs w:val="22"/>
        </w:rPr>
        <w:t>其他债权投资</w:t>
      </w:r>
    </w:p>
    <w:p w:rsidR="00156DD6" w:rsidRDefault="00D51F5F">
      <w:pPr>
        <w:pStyle w:val="Style47"/>
        <w:numPr>
          <w:ilvl w:val="3"/>
          <w:numId w:val="55"/>
        </w:numPr>
        <w:ind w:left="426" w:hanging="426"/>
        <w:rPr>
          <w:color w:val="000000" w:themeColor="text1"/>
          <w:sz w:val="21"/>
          <w:szCs w:val="21"/>
        </w:rPr>
      </w:pPr>
      <w:r>
        <w:rPr>
          <w:rFonts w:hint="eastAsia"/>
          <w:color w:val="000000" w:themeColor="text1"/>
          <w:sz w:val="21"/>
          <w:szCs w:val="21"/>
        </w:rPr>
        <w:t>其他债权投资情况</w:t>
      </w:r>
    </w:p>
    <w:sdt>
      <w:sdtPr>
        <w:rPr>
          <w:color w:val="000000" w:themeColor="text1"/>
        </w:rPr>
        <w:alias w:val="是否适用：其他债权投资情况[双击切换]"/>
        <w:tag w:val="_GBC_92529f98ed0049e0b197213d2c9b7d0a"/>
        <w:id w:val="-1983296163"/>
        <w:placeholder>
          <w:docPart w:val="GBC22222222222222222222222222222"/>
        </w:placeholder>
      </w:sdtPr>
      <w:sdtEndPr/>
      <w:sdtContent>
        <w:p w:rsidR="00156DD6" w:rsidRDefault="00D51F5F">
          <w:pPr>
            <w:ind w:right="21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ind w:right="210"/>
        <w:rPr>
          <w:color w:val="000000" w:themeColor="text1"/>
        </w:rPr>
      </w:pPr>
    </w:p>
    <w:p w:rsidR="00156DD6" w:rsidRDefault="00D51F5F">
      <w:pPr>
        <w:rPr>
          <w:color w:val="000000" w:themeColor="text1"/>
        </w:rPr>
      </w:pPr>
      <w:bookmarkStart w:id="305" w:name="_Hlk153455695"/>
      <w:r>
        <w:rPr>
          <w:rFonts w:hint="eastAsia"/>
          <w:color w:val="000000" w:themeColor="text1"/>
        </w:rPr>
        <w:t>其他债权投资减值准备本期变动情况</w:t>
      </w:r>
    </w:p>
    <w:sdt>
      <w:sdtPr>
        <w:rPr>
          <w:color w:val="000000" w:themeColor="text1"/>
        </w:rPr>
        <w:alias w:val="是否适用：减值准备本期变动情况[双击切换]"/>
        <w:tag w:val="_GBC_b9701012584a4eb3946302a1880256f3"/>
        <w:id w:val="105504958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55"/>
        </w:numPr>
        <w:ind w:left="426" w:hanging="426"/>
        <w:rPr>
          <w:color w:val="000000" w:themeColor="text1"/>
          <w:sz w:val="21"/>
          <w:szCs w:val="21"/>
        </w:rPr>
      </w:pPr>
      <w:bookmarkStart w:id="306" w:name="_Hlk167892795"/>
      <w:bookmarkStart w:id="307" w:name="_Hlk533848078"/>
      <w:bookmarkEnd w:id="304"/>
      <w:bookmarkEnd w:id="305"/>
      <w:r>
        <w:rPr>
          <w:rFonts w:hint="eastAsia"/>
          <w:color w:val="000000" w:themeColor="text1"/>
          <w:sz w:val="21"/>
          <w:szCs w:val="21"/>
        </w:rPr>
        <w:t>期末重要的其他债权投资</w:t>
      </w:r>
    </w:p>
    <w:sdt>
      <w:sdtPr>
        <w:rPr>
          <w:color w:val="000000" w:themeColor="text1"/>
        </w:rPr>
        <w:alias w:val="是否适用：重要的其他债权投资[双击切换]"/>
        <w:tag w:val="_GBC_00805fa375c74d288e1bd8def75cea7f"/>
        <w:id w:val="-603272015"/>
        <w:placeholder>
          <w:docPart w:val="GBC22222222222222222222222222222"/>
        </w:placeholder>
      </w:sdtPr>
      <w:sdtEndPr/>
      <w:sdtContent>
        <w:p w:rsidR="00156DD6" w:rsidRDefault="00D51F5F">
          <w:pPr>
            <w:ind w:right="21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55"/>
        </w:numPr>
        <w:ind w:left="426" w:hanging="426"/>
        <w:rPr>
          <w:color w:val="000000" w:themeColor="text1"/>
          <w:sz w:val="21"/>
          <w:szCs w:val="21"/>
        </w:rPr>
      </w:pPr>
      <w:bookmarkStart w:id="308" w:name="_Hlk10471703"/>
      <w:bookmarkStart w:id="309" w:name="_Hlk10471716"/>
      <w:bookmarkEnd w:id="306"/>
      <w:bookmarkEnd w:id="307"/>
      <w:r>
        <w:rPr>
          <w:rFonts w:hint="eastAsia"/>
          <w:color w:val="000000" w:themeColor="text1"/>
          <w:sz w:val="21"/>
          <w:szCs w:val="21"/>
        </w:rPr>
        <w:t>减值准备计提情况</w:t>
      </w:r>
      <w:bookmarkEnd w:id="308"/>
    </w:p>
    <w:sdt>
      <w:sdtPr>
        <w:rPr>
          <w:color w:val="000000" w:themeColor="text1"/>
        </w:rPr>
        <w:alias w:val="是否适用：其他债权投资减值准备调节表[双击切换]"/>
        <w:tag w:val="_GBC_038e4a0a4815442e91a9309c128001c1"/>
        <w:id w:val="48012450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w:instrText>
          </w:r>
          <w:r>
            <w:rPr>
              <w:rFonts w:hint="eastAsia"/>
              <w:color w:val="000000" w:themeColor="text1"/>
            </w:rPr>
            <w:instrText xml:space="preserve">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55"/>
        </w:numPr>
        <w:ind w:left="426" w:hanging="426"/>
        <w:rPr>
          <w:color w:val="000000" w:themeColor="text1"/>
          <w:sz w:val="21"/>
          <w:szCs w:val="21"/>
        </w:rPr>
      </w:pPr>
      <w:bookmarkStart w:id="310" w:name="_Hlk533848073"/>
      <w:bookmarkStart w:id="311" w:name="_Hlk153456989"/>
      <w:bookmarkStart w:id="312" w:name="_Hlk167892961"/>
      <w:bookmarkEnd w:id="309"/>
      <w:bookmarkEnd w:id="310"/>
      <w:r>
        <w:rPr>
          <w:rFonts w:hint="eastAsia"/>
          <w:color w:val="000000" w:themeColor="text1"/>
          <w:sz w:val="21"/>
          <w:szCs w:val="21"/>
        </w:rPr>
        <w:t>本期实际核销的其他债权投资情况</w:t>
      </w:r>
    </w:p>
    <w:sdt>
      <w:sdtPr>
        <w:rPr>
          <w:color w:val="000000" w:themeColor="text1"/>
        </w:rPr>
        <w:alias w:val="是否适用：实际核销的情况[双击切换]"/>
        <w:tag w:val="_GBC_3f64bf41b4334743becf2e82476d4bae"/>
        <w:id w:val="31213945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其中重要的其他债权投资</w:t>
      </w:r>
      <w:r>
        <w:rPr>
          <w:color w:val="000000" w:themeColor="text1"/>
        </w:rPr>
        <w:t>情况</w:t>
      </w:r>
      <w:r>
        <w:rPr>
          <w:rFonts w:hint="eastAsia"/>
          <w:color w:val="000000" w:themeColor="text1"/>
        </w:rPr>
        <w:t>核销情况</w:t>
      </w:r>
    </w:p>
    <w:sdt>
      <w:sdtPr>
        <w:rPr>
          <w:rFonts w:hint="eastAsia"/>
          <w:color w:val="000000" w:themeColor="text1"/>
        </w:rPr>
        <w:alias w:val="是否适用：重要的核销情况[双击切换]"/>
        <w:tag w:val="_GBC_c6a24c878fc2452199cbce9e12babe90"/>
        <w:id w:val="-87986223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其他债权投资的核销说明：</w:t>
      </w:r>
    </w:p>
    <w:sdt>
      <w:sdtPr>
        <w:rPr>
          <w:color w:val="000000" w:themeColor="text1"/>
        </w:rPr>
        <w:alias w:val="是否适用：核销说明[双击切换]"/>
        <w:tag w:val="_GBC_53efb454d66a4a18836780c1e0d7b273"/>
        <w:id w:val="230048505"/>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313" w:name="_Hlk533848097"/>
      <w:bookmarkStart w:id="314" w:name="_Hlk10471761"/>
      <w:bookmarkEnd w:id="311"/>
      <w:bookmarkEnd w:id="312"/>
      <w:r>
        <w:rPr>
          <w:rFonts w:hint="eastAsia"/>
          <w:color w:val="000000" w:themeColor="text1"/>
        </w:rPr>
        <w:t>其他说明：</w:t>
      </w:r>
      <w:bookmarkEnd w:id="313"/>
    </w:p>
    <w:sdt>
      <w:sdtPr>
        <w:rPr>
          <w:color w:val="000000" w:themeColor="text1"/>
        </w:rPr>
        <w:alias w:val="是否适用：其他债权投资其他说明[双击切换]"/>
        <w:tag w:val="_GBC_e37f3e78626b4cd0ad52d68ae2fcdecb"/>
        <w:id w:val="-139380086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14"/>
    <w:p w:rsidR="00156DD6" w:rsidRDefault="00156DD6">
      <w:pPr>
        <w:pStyle w:val="TOC6"/>
        <w:numPr>
          <w:ilvl w:val="0"/>
          <w:numId w:val="43"/>
        </w:numPr>
        <w:tabs>
          <w:tab w:val="left" w:pos="504"/>
        </w:tabs>
        <w:rPr>
          <w:rFonts w:ascii="宋体" w:hAnsi="宋体"/>
          <w:color w:val="000000" w:themeColor="text1"/>
          <w:szCs w:val="21"/>
        </w:rPr>
        <w:sectPr w:rsidR="00156DD6">
          <w:pgSz w:w="11906" w:h="16838"/>
          <w:pgMar w:top="1525" w:right="1276" w:bottom="1440" w:left="1797" w:header="856" w:footer="992" w:gutter="0"/>
          <w:cols w:space="425"/>
          <w:docGrid w:linePitch="312"/>
        </w:sectPr>
      </w:pPr>
    </w:p>
    <w:p w:rsidR="00156DD6" w:rsidRDefault="00D51F5F">
      <w:pPr>
        <w:pStyle w:val="TOC6"/>
        <w:numPr>
          <w:ilvl w:val="0"/>
          <w:numId w:val="53"/>
        </w:numPr>
        <w:rPr>
          <w:color w:val="000000" w:themeColor="text1"/>
          <w:sz w:val="21"/>
          <w:szCs w:val="22"/>
        </w:rPr>
      </w:pPr>
      <w:r>
        <w:rPr>
          <w:color w:val="000000" w:themeColor="text1"/>
          <w:sz w:val="21"/>
          <w:szCs w:val="22"/>
        </w:rPr>
        <w:lastRenderedPageBreak/>
        <w:t>长期应收款</w:t>
      </w:r>
    </w:p>
    <w:p w:rsidR="00156DD6" w:rsidRDefault="00D51F5F">
      <w:pPr>
        <w:pStyle w:val="Style47"/>
        <w:numPr>
          <w:ilvl w:val="0"/>
          <w:numId w:val="56"/>
        </w:numPr>
        <w:rPr>
          <w:rFonts w:ascii="宋体" w:hAnsi="宋体"/>
          <w:color w:val="000000" w:themeColor="text1"/>
          <w:sz w:val="21"/>
          <w:szCs w:val="21"/>
        </w:rPr>
      </w:pPr>
      <w:r>
        <w:rPr>
          <w:rFonts w:ascii="宋体" w:hAnsi="宋体" w:hint="eastAsia"/>
          <w:color w:val="000000" w:themeColor="text1"/>
          <w:sz w:val="21"/>
          <w:szCs w:val="21"/>
        </w:rPr>
        <w:t>长期应收款情况</w:t>
      </w:r>
    </w:p>
    <w:sdt>
      <w:sdtPr>
        <w:rPr>
          <w:color w:val="000000" w:themeColor="text1"/>
        </w:rPr>
        <w:alias w:val="是否适用：长期应收款情况[双击切换]"/>
        <w:tag w:val="_GBC_03ba5a75d6d541f4a60fba2b18c9d548"/>
        <w:id w:val="195606562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长期应收款"/>
          <w:tag w:val="_GBC_95baf3ea634a4a60970b09906c240d55"/>
          <w:id w:val="12009012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应收款"/>
          <w:tag w:val="_GBC_fe21d7e81e5548d09e30637bd81155e1"/>
          <w:id w:val="-11548318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456"/>
        <w:gridCol w:w="1420"/>
        <w:gridCol w:w="1400"/>
        <w:gridCol w:w="1830"/>
        <w:gridCol w:w="1583"/>
        <w:gridCol w:w="1833"/>
        <w:gridCol w:w="1300"/>
      </w:tblGrid>
      <w:tr w:rsidR="00156DD6">
        <w:sdt>
          <w:sdtPr>
            <w:tag w:val="_PLD_8e80648375054a09a15bfc6f9a7fb093"/>
            <w:id w:val="1371106454"/>
          </w:sdtPr>
          <w:sdtEndPr/>
          <w:sdtContent>
            <w:tc>
              <w:tcPr>
                <w:tcW w:w="1097" w:type="pct"/>
                <w:vMerge w:val="restart"/>
                <w:vAlign w:val="center"/>
              </w:tcPr>
              <w:p w:rsidR="00156DD6" w:rsidRDefault="00D51F5F">
                <w:pPr>
                  <w:jc w:val="center"/>
                  <w:rPr>
                    <w:color w:val="000000" w:themeColor="text1"/>
                  </w:rPr>
                </w:pPr>
                <w:r>
                  <w:rPr>
                    <w:rFonts w:hint="eastAsia"/>
                    <w:color w:val="000000" w:themeColor="text1"/>
                  </w:rPr>
                  <w:t>项目</w:t>
                </w:r>
              </w:p>
            </w:tc>
          </w:sdtContent>
        </w:sdt>
        <w:sdt>
          <w:sdtPr>
            <w:tag w:val="_PLD_e9a93d1c2d6847be992e152b686ed22d"/>
            <w:id w:val="36086576"/>
          </w:sdtPr>
          <w:sdtEndPr/>
          <w:sdtContent>
            <w:tc>
              <w:tcPr>
                <w:tcW w:w="1542" w:type="pct"/>
                <w:gridSpan w:val="3"/>
                <w:vAlign w:val="center"/>
              </w:tcPr>
              <w:p w:rsidR="00156DD6" w:rsidRDefault="00D51F5F">
                <w:pPr>
                  <w:jc w:val="center"/>
                  <w:rPr>
                    <w:color w:val="000000" w:themeColor="text1"/>
                  </w:rPr>
                </w:pPr>
                <w:r>
                  <w:rPr>
                    <w:rFonts w:hint="eastAsia"/>
                    <w:color w:val="000000" w:themeColor="text1"/>
                  </w:rPr>
                  <w:t>期末余额</w:t>
                </w:r>
              </w:p>
            </w:tc>
          </w:sdtContent>
        </w:sdt>
        <w:sdt>
          <w:sdtPr>
            <w:tag w:val="_PLD_f41f953b597d46848a98bb222c5ebb8e"/>
            <w:id w:val="-749729498"/>
          </w:sdtPr>
          <w:sdtEndPr/>
          <w:sdtContent>
            <w:tc>
              <w:tcPr>
                <w:tcW w:w="1892" w:type="pct"/>
                <w:gridSpan w:val="3"/>
                <w:vAlign w:val="center"/>
              </w:tcPr>
              <w:p w:rsidR="00156DD6" w:rsidRDefault="00D51F5F">
                <w:pPr>
                  <w:jc w:val="center"/>
                  <w:rPr>
                    <w:color w:val="000000" w:themeColor="text1"/>
                  </w:rPr>
                </w:pPr>
                <w:r>
                  <w:rPr>
                    <w:rFonts w:hint="eastAsia"/>
                    <w:color w:val="000000" w:themeColor="text1"/>
                  </w:rPr>
                  <w:t>期初余额</w:t>
                </w:r>
              </w:p>
            </w:tc>
          </w:sdtContent>
        </w:sdt>
        <w:sdt>
          <w:sdtPr>
            <w:tag w:val="_PLD_e23d00708e6c434eac89cf07e5b896e2"/>
            <w:id w:val="1239129104"/>
          </w:sdtPr>
          <w:sdtEndPr/>
          <w:sdtContent>
            <w:tc>
              <w:tcPr>
                <w:tcW w:w="469" w:type="pct"/>
                <w:vMerge w:val="restart"/>
                <w:vAlign w:val="center"/>
              </w:tcPr>
              <w:p w:rsidR="00156DD6" w:rsidRDefault="00D51F5F">
                <w:pPr>
                  <w:jc w:val="center"/>
                  <w:rPr>
                    <w:color w:val="000000" w:themeColor="text1"/>
                  </w:rPr>
                </w:pPr>
                <w:r>
                  <w:rPr>
                    <w:rFonts w:hint="eastAsia"/>
                    <w:color w:val="000000" w:themeColor="text1"/>
                  </w:rPr>
                  <w:t>折现率区间</w:t>
                </w:r>
              </w:p>
            </w:tc>
          </w:sdtContent>
        </w:sdt>
      </w:tr>
      <w:tr w:rsidR="00156DD6">
        <w:tblPrEx>
          <w:tblCellMar>
            <w:left w:w="31" w:type="dxa"/>
            <w:right w:w="31" w:type="dxa"/>
          </w:tblCellMar>
        </w:tblPrEx>
        <w:tc>
          <w:tcPr>
            <w:tcW w:w="1097" w:type="pct"/>
            <w:vMerge/>
            <w:tcBorders>
              <w:bottom w:val="single" w:sz="4" w:space="0" w:color="auto"/>
            </w:tcBorders>
            <w:vAlign w:val="center"/>
          </w:tcPr>
          <w:p w:rsidR="00156DD6" w:rsidRDefault="00156DD6">
            <w:pPr>
              <w:jc w:val="center"/>
              <w:rPr>
                <w:color w:val="000000" w:themeColor="text1"/>
              </w:rPr>
            </w:pPr>
          </w:p>
        </w:tc>
        <w:sdt>
          <w:sdtPr>
            <w:tag w:val="_PLD_93de35b749ff4ac9a6b3c5ec236ed585"/>
            <w:id w:val="1966845607"/>
          </w:sdtPr>
          <w:sdtEndPr/>
          <w:sdtContent>
            <w:tc>
              <w:tcPr>
                <w:tcW w:w="525" w:type="pct"/>
                <w:tcBorders>
                  <w:bottom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eccd0387c0f24fa5a972b6cd6e1d4d30"/>
            <w:id w:val="-1720117430"/>
          </w:sdtPr>
          <w:sdtEndPr/>
          <w:sdtContent>
            <w:tc>
              <w:tcPr>
                <w:tcW w:w="512" w:type="pct"/>
                <w:tcBorders>
                  <w:bottom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9016cddeb6f34d55a584d277237a8ac1"/>
            <w:id w:val="-1371060278"/>
          </w:sdtPr>
          <w:sdtEndPr/>
          <w:sdtContent>
            <w:tc>
              <w:tcPr>
                <w:tcW w:w="505" w:type="pct"/>
                <w:tcBorders>
                  <w:bottom w:val="single" w:sz="4" w:space="0" w:color="auto"/>
                </w:tcBorders>
                <w:vAlign w:val="center"/>
              </w:tcPr>
              <w:p w:rsidR="00156DD6" w:rsidRDefault="00D51F5F">
                <w:pPr>
                  <w:jc w:val="center"/>
                  <w:rPr>
                    <w:color w:val="000000" w:themeColor="text1"/>
                  </w:rPr>
                </w:pPr>
                <w:r>
                  <w:rPr>
                    <w:rFonts w:hint="eastAsia"/>
                    <w:color w:val="000000" w:themeColor="text1"/>
                  </w:rPr>
                  <w:t>账面价值</w:t>
                </w:r>
              </w:p>
            </w:tc>
          </w:sdtContent>
        </w:sdt>
        <w:sdt>
          <w:sdtPr>
            <w:tag w:val="_PLD_db7d979714524efcab7433361aaac461"/>
            <w:id w:val="1589580585"/>
          </w:sdtPr>
          <w:sdtEndPr/>
          <w:sdtContent>
            <w:tc>
              <w:tcPr>
                <w:tcW w:w="660" w:type="pct"/>
                <w:tcBorders>
                  <w:bottom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395cf962072c462fb83f42db9e225402"/>
            <w:id w:val="1753167034"/>
          </w:sdtPr>
          <w:sdtEndPr/>
          <w:sdtContent>
            <w:tc>
              <w:tcPr>
                <w:tcW w:w="571" w:type="pct"/>
                <w:tcBorders>
                  <w:bottom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505b96d943e341af8e22763be8ab91c7"/>
            <w:id w:val="38250438"/>
          </w:sdtPr>
          <w:sdtEndPr/>
          <w:sdtContent>
            <w:tc>
              <w:tcPr>
                <w:tcW w:w="661" w:type="pct"/>
                <w:tcBorders>
                  <w:bottom w:val="single" w:sz="4" w:space="0" w:color="auto"/>
                </w:tcBorders>
                <w:vAlign w:val="center"/>
              </w:tcPr>
              <w:p w:rsidR="00156DD6" w:rsidRDefault="00D51F5F">
                <w:pPr>
                  <w:jc w:val="center"/>
                  <w:rPr>
                    <w:color w:val="000000" w:themeColor="text1"/>
                  </w:rPr>
                </w:pPr>
                <w:r>
                  <w:rPr>
                    <w:rFonts w:hint="eastAsia"/>
                    <w:color w:val="000000" w:themeColor="text1"/>
                  </w:rPr>
                  <w:t>账面价值</w:t>
                </w:r>
              </w:p>
            </w:tc>
          </w:sdtContent>
        </w:sdt>
        <w:tc>
          <w:tcPr>
            <w:tcW w:w="469" w:type="pct"/>
            <w:vMerge/>
            <w:tcBorders>
              <w:bottom w:val="single" w:sz="4" w:space="0" w:color="auto"/>
            </w:tcBorders>
          </w:tcPr>
          <w:p w:rsidR="00156DD6" w:rsidRDefault="00156DD6">
            <w:pPr>
              <w:jc w:val="center"/>
              <w:rPr>
                <w:color w:val="000000" w:themeColor="text1"/>
              </w:rPr>
            </w:pPr>
          </w:p>
        </w:tc>
      </w:tr>
      <w:tr w:rsidR="00156DD6">
        <w:tblPrEx>
          <w:tblCellMar>
            <w:left w:w="31" w:type="dxa"/>
            <w:right w:w="31" w:type="dxa"/>
          </w:tblCellMar>
        </w:tblPrEx>
        <w:tc>
          <w:tcPr>
            <w:tcW w:w="1097" w:type="pct"/>
          </w:tcPr>
          <w:p w:rsidR="00156DD6" w:rsidRDefault="00D51F5F">
            <w:pPr>
              <w:rPr>
                <w:color w:val="000000" w:themeColor="text1"/>
              </w:rPr>
            </w:pPr>
            <w:r>
              <w:rPr>
                <w:rFonts w:hint="eastAsia"/>
                <w:color w:val="000000" w:themeColor="text1"/>
              </w:rPr>
              <w:t>融资租赁款</w:t>
            </w:r>
          </w:p>
        </w:tc>
        <w:tc>
          <w:tcPr>
            <w:tcW w:w="525" w:type="pct"/>
          </w:tcPr>
          <w:p w:rsidR="00156DD6" w:rsidRDefault="00156DD6">
            <w:pPr>
              <w:jc w:val="right"/>
            </w:pPr>
          </w:p>
        </w:tc>
        <w:tc>
          <w:tcPr>
            <w:tcW w:w="512" w:type="pct"/>
          </w:tcPr>
          <w:p w:rsidR="00156DD6" w:rsidRDefault="00156DD6">
            <w:pPr>
              <w:jc w:val="right"/>
            </w:pPr>
          </w:p>
        </w:tc>
        <w:tc>
          <w:tcPr>
            <w:tcW w:w="505" w:type="pct"/>
          </w:tcPr>
          <w:p w:rsidR="00156DD6" w:rsidRDefault="00156DD6">
            <w:pPr>
              <w:jc w:val="right"/>
            </w:pPr>
          </w:p>
        </w:tc>
        <w:tc>
          <w:tcPr>
            <w:tcW w:w="660" w:type="pct"/>
            <w:vAlign w:val="center"/>
          </w:tcPr>
          <w:p w:rsidR="00156DD6" w:rsidRDefault="00156DD6">
            <w:pPr>
              <w:jc w:val="right"/>
            </w:pPr>
          </w:p>
        </w:tc>
        <w:tc>
          <w:tcPr>
            <w:tcW w:w="571" w:type="pct"/>
            <w:vAlign w:val="center"/>
          </w:tcPr>
          <w:p w:rsidR="00156DD6" w:rsidRDefault="00156DD6">
            <w:pPr>
              <w:jc w:val="right"/>
            </w:pPr>
          </w:p>
        </w:tc>
        <w:tc>
          <w:tcPr>
            <w:tcW w:w="661" w:type="pct"/>
            <w:vAlign w:val="center"/>
          </w:tcPr>
          <w:p w:rsidR="00156DD6" w:rsidRDefault="00156DD6">
            <w:pPr>
              <w:jc w:val="right"/>
            </w:pPr>
          </w:p>
        </w:tc>
        <w:tc>
          <w:tcPr>
            <w:tcW w:w="469" w:type="pct"/>
          </w:tcPr>
          <w:p w:rsidR="00156DD6" w:rsidRDefault="00156DD6">
            <w:pPr>
              <w:pStyle w:val="Style43"/>
            </w:pPr>
          </w:p>
        </w:tc>
      </w:tr>
      <w:tr w:rsidR="00156DD6">
        <w:tblPrEx>
          <w:tblCellMar>
            <w:left w:w="31" w:type="dxa"/>
            <w:right w:w="31" w:type="dxa"/>
          </w:tblCellMar>
        </w:tblPrEx>
        <w:tc>
          <w:tcPr>
            <w:tcW w:w="1097" w:type="pct"/>
          </w:tcPr>
          <w:p w:rsidR="00156DD6" w:rsidRDefault="00D51F5F">
            <w:pPr>
              <w:ind w:firstLineChars="200" w:firstLine="420"/>
              <w:rPr>
                <w:color w:val="000000" w:themeColor="text1"/>
              </w:rPr>
            </w:pPr>
            <w:r>
              <w:rPr>
                <w:rFonts w:hint="eastAsia"/>
                <w:color w:val="000000" w:themeColor="text1"/>
              </w:rPr>
              <w:t>其中：未实现融资收益</w:t>
            </w:r>
          </w:p>
        </w:tc>
        <w:tc>
          <w:tcPr>
            <w:tcW w:w="525" w:type="pct"/>
          </w:tcPr>
          <w:p w:rsidR="00156DD6" w:rsidRDefault="00156DD6">
            <w:pPr>
              <w:jc w:val="right"/>
            </w:pPr>
          </w:p>
        </w:tc>
        <w:tc>
          <w:tcPr>
            <w:tcW w:w="512" w:type="pct"/>
          </w:tcPr>
          <w:p w:rsidR="00156DD6" w:rsidRDefault="00156DD6">
            <w:pPr>
              <w:jc w:val="right"/>
            </w:pPr>
          </w:p>
        </w:tc>
        <w:tc>
          <w:tcPr>
            <w:tcW w:w="505" w:type="pct"/>
          </w:tcPr>
          <w:p w:rsidR="00156DD6" w:rsidRDefault="00156DD6">
            <w:pPr>
              <w:jc w:val="right"/>
            </w:pPr>
          </w:p>
        </w:tc>
        <w:tc>
          <w:tcPr>
            <w:tcW w:w="660" w:type="pct"/>
            <w:vAlign w:val="center"/>
          </w:tcPr>
          <w:p w:rsidR="00156DD6" w:rsidRDefault="00156DD6">
            <w:pPr>
              <w:jc w:val="right"/>
            </w:pPr>
          </w:p>
        </w:tc>
        <w:tc>
          <w:tcPr>
            <w:tcW w:w="571" w:type="pct"/>
            <w:vAlign w:val="center"/>
          </w:tcPr>
          <w:p w:rsidR="00156DD6" w:rsidRDefault="00156DD6">
            <w:pPr>
              <w:jc w:val="right"/>
            </w:pPr>
          </w:p>
        </w:tc>
        <w:tc>
          <w:tcPr>
            <w:tcW w:w="661" w:type="pct"/>
            <w:vAlign w:val="center"/>
          </w:tcPr>
          <w:p w:rsidR="00156DD6" w:rsidRDefault="00156DD6">
            <w:pPr>
              <w:jc w:val="right"/>
            </w:pPr>
          </w:p>
        </w:tc>
        <w:tc>
          <w:tcPr>
            <w:tcW w:w="469" w:type="pct"/>
          </w:tcPr>
          <w:p w:rsidR="00156DD6" w:rsidRDefault="00156DD6">
            <w:pPr>
              <w:pStyle w:val="Style43"/>
            </w:pPr>
          </w:p>
        </w:tc>
      </w:tr>
      <w:tr w:rsidR="00156DD6">
        <w:tblPrEx>
          <w:tblCellMar>
            <w:left w:w="31" w:type="dxa"/>
            <w:right w:w="31" w:type="dxa"/>
          </w:tblCellMar>
        </w:tblPrEx>
        <w:tc>
          <w:tcPr>
            <w:tcW w:w="1097" w:type="pct"/>
          </w:tcPr>
          <w:p w:rsidR="00156DD6" w:rsidRDefault="00D51F5F">
            <w:pPr>
              <w:pStyle w:val="Style43"/>
            </w:pPr>
            <w:r>
              <w:rPr>
                <w:rFonts w:hint="eastAsia"/>
              </w:rPr>
              <w:t>长期应收款</w:t>
            </w:r>
          </w:p>
        </w:tc>
        <w:tc>
          <w:tcPr>
            <w:tcW w:w="525" w:type="pct"/>
          </w:tcPr>
          <w:p w:rsidR="00156DD6" w:rsidRDefault="00D51F5F">
            <w:pPr>
              <w:jc w:val="right"/>
            </w:pPr>
            <w:r>
              <w:rPr>
                <w:rFonts w:hint="eastAsia"/>
              </w:rPr>
              <w:t xml:space="preserve"> 6,528,734.39 </w:t>
            </w:r>
          </w:p>
        </w:tc>
        <w:tc>
          <w:tcPr>
            <w:tcW w:w="512" w:type="pct"/>
          </w:tcPr>
          <w:p w:rsidR="00156DD6" w:rsidRDefault="00D51F5F">
            <w:pPr>
              <w:jc w:val="right"/>
            </w:pPr>
            <w:r>
              <w:rPr>
                <w:rFonts w:hint="eastAsia"/>
              </w:rPr>
              <w:t xml:space="preserve">1,263,829.50 </w:t>
            </w:r>
          </w:p>
        </w:tc>
        <w:tc>
          <w:tcPr>
            <w:tcW w:w="505" w:type="pct"/>
          </w:tcPr>
          <w:p w:rsidR="00156DD6" w:rsidRDefault="00D51F5F">
            <w:pPr>
              <w:jc w:val="right"/>
            </w:pPr>
            <w:r>
              <w:rPr>
                <w:rFonts w:hint="eastAsia"/>
              </w:rPr>
              <w:t>5,264,904.89</w:t>
            </w:r>
          </w:p>
        </w:tc>
        <w:tc>
          <w:tcPr>
            <w:tcW w:w="660" w:type="pct"/>
          </w:tcPr>
          <w:p w:rsidR="00156DD6" w:rsidRDefault="00D51F5F">
            <w:pPr>
              <w:jc w:val="right"/>
            </w:pPr>
            <w:r>
              <w:t>6,311,778.05</w:t>
            </w:r>
          </w:p>
        </w:tc>
        <w:tc>
          <w:tcPr>
            <w:tcW w:w="571" w:type="pct"/>
          </w:tcPr>
          <w:p w:rsidR="00156DD6" w:rsidRDefault="00D51F5F">
            <w:pPr>
              <w:jc w:val="right"/>
            </w:pPr>
            <w:r>
              <w:t>628,053.16</w:t>
            </w:r>
          </w:p>
        </w:tc>
        <w:tc>
          <w:tcPr>
            <w:tcW w:w="661" w:type="pct"/>
          </w:tcPr>
          <w:p w:rsidR="00156DD6" w:rsidRDefault="00D51F5F">
            <w:pPr>
              <w:jc w:val="right"/>
            </w:pPr>
            <w:r>
              <w:t>5,683,724.89</w:t>
            </w:r>
          </w:p>
        </w:tc>
        <w:tc>
          <w:tcPr>
            <w:tcW w:w="469" w:type="pct"/>
          </w:tcPr>
          <w:p w:rsidR="00156DD6" w:rsidRDefault="00156DD6">
            <w:pPr>
              <w:pStyle w:val="Style43"/>
            </w:pPr>
          </w:p>
        </w:tc>
      </w:tr>
      <w:tr w:rsidR="00156DD6">
        <w:tblPrEx>
          <w:tblCellMar>
            <w:left w:w="31" w:type="dxa"/>
            <w:right w:w="31" w:type="dxa"/>
          </w:tblCellMar>
        </w:tblPrEx>
        <w:tc>
          <w:tcPr>
            <w:tcW w:w="1097" w:type="pct"/>
          </w:tcPr>
          <w:p w:rsidR="00156DD6" w:rsidRDefault="00D51F5F">
            <w:pPr>
              <w:pStyle w:val="Style43"/>
            </w:pPr>
            <w:r>
              <w:rPr>
                <w:rFonts w:hint="eastAsia"/>
              </w:rPr>
              <w:t>减：一年内到期的长期应收款</w:t>
            </w:r>
          </w:p>
        </w:tc>
        <w:tc>
          <w:tcPr>
            <w:tcW w:w="525" w:type="pct"/>
          </w:tcPr>
          <w:p w:rsidR="00156DD6" w:rsidRDefault="00156DD6">
            <w:pPr>
              <w:jc w:val="right"/>
            </w:pPr>
          </w:p>
        </w:tc>
        <w:tc>
          <w:tcPr>
            <w:tcW w:w="512" w:type="pct"/>
          </w:tcPr>
          <w:p w:rsidR="00156DD6" w:rsidRDefault="00156DD6">
            <w:pPr>
              <w:jc w:val="right"/>
            </w:pPr>
          </w:p>
        </w:tc>
        <w:tc>
          <w:tcPr>
            <w:tcW w:w="505" w:type="pct"/>
          </w:tcPr>
          <w:p w:rsidR="00156DD6" w:rsidRDefault="00156DD6">
            <w:pPr>
              <w:jc w:val="right"/>
            </w:pPr>
          </w:p>
        </w:tc>
        <w:tc>
          <w:tcPr>
            <w:tcW w:w="660" w:type="pct"/>
          </w:tcPr>
          <w:p w:rsidR="00156DD6" w:rsidRDefault="00156DD6">
            <w:pPr>
              <w:jc w:val="right"/>
            </w:pPr>
          </w:p>
        </w:tc>
        <w:tc>
          <w:tcPr>
            <w:tcW w:w="571" w:type="pct"/>
          </w:tcPr>
          <w:p w:rsidR="00156DD6" w:rsidRDefault="00156DD6">
            <w:pPr>
              <w:jc w:val="right"/>
            </w:pPr>
          </w:p>
        </w:tc>
        <w:tc>
          <w:tcPr>
            <w:tcW w:w="661" w:type="pct"/>
          </w:tcPr>
          <w:p w:rsidR="00156DD6" w:rsidRDefault="00156DD6">
            <w:pPr>
              <w:jc w:val="right"/>
            </w:pPr>
          </w:p>
        </w:tc>
        <w:tc>
          <w:tcPr>
            <w:tcW w:w="469" w:type="pct"/>
          </w:tcPr>
          <w:p w:rsidR="00156DD6" w:rsidRDefault="00156DD6">
            <w:pPr>
              <w:pStyle w:val="Style43"/>
            </w:pPr>
          </w:p>
        </w:tc>
      </w:tr>
      <w:tr w:rsidR="00156DD6">
        <w:tblPrEx>
          <w:tblCellMar>
            <w:left w:w="31" w:type="dxa"/>
            <w:right w:w="31" w:type="dxa"/>
          </w:tblCellMar>
        </w:tblPrEx>
        <w:tc>
          <w:tcPr>
            <w:tcW w:w="1097" w:type="pct"/>
            <w:vAlign w:val="center"/>
          </w:tcPr>
          <w:p w:rsidR="00156DD6" w:rsidRDefault="00D51F5F">
            <w:pPr>
              <w:jc w:val="center"/>
              <w:rPr>
                <w:color w:val="000000" w:themeColor="text1"/>
              </w:rPr>
            </w:pPr>
            <w:r>
              <w:rPr>
                <w:rFonts w:hint="eastAsia"/>
                <w:color w:val="000000" w:themeColor="text1"/>
              </w:rPr>
              <w:t>合计</w:t>
            </w:r>
          </w:p>
        </w:tc>
        <w:tc>
          <w:tcPr>
            <w:tcW w:w="525" w:type="pct"/>
          </w:tcPr>
          <w:p w:rsidR="00156DD6" w:rsidRDefault="00D51F5F">
            <w:pPr>
              <w:jc w:val="right"/>
            </w:pPr>
            <w:r>
              <w:rPr>
                <w:rFonts w:hint="eastAsia"/>
              </w:rPr>
              <w:t xml:space="preserve"> 6,528,734.39 </w:t>
            </w:r>
          </w:p>
        </w:tc>
        <w:tc>
          <w:tcPr>
            <w:tcW w:w="512" w:type="pct"/>
          </w:tcPr>
          <w:p w:rsidR="00156DD6" w:rsidRDefault="00D51F5F">
            <w:pPr>
              <w:jc w:val="right"/>
            </w:pPr>
            <w:r>
              <w:rPr>
                <w:rFonts w:hint="eastAsia"/>
              </w:rPr>
              <w:t xml:space="preserve">1,263,829.50 </w:t>
            </w:r>
          </w:p>
        </w:tc>
        <w:tc>
          <w:tcPr>
            <w:tcW w:w="505" w:type="pct"/>
          </w:tcPr>
          <w:p w:rsidR="00156DD6" w:rsidRDefault="00D51F5F">
            <w:pPr>
              <w:jc w:val="right"/>
            </w:pPr>
            <w:r>
              <w:rPr>
                <w:rFonts w:hint="eastAsia"/>
              </w:rPr>
              <w:t>5,264,904.89</w:t>
            </w:r>
          </w:p>
        </w:tc>
        <w:tc>
          <w:tcPr>
            <w:tcW w:w="660" w:type="pct"/>
          </w:tcPr>
          <w:p w:rsidR="00156DD6" w:rsidRDefault="00D51F5F">
            <w:pPr>
              <w:jc w:val="right"/>
            </w:pPr>
            <w:r>
              <w:t>6,311,778.05</w:t>
            </w:r>
          </w:p>
        </w:tc>
        <w:tc>
          <w:tcPr>
            <w:tcW w:w="571" w:type="pct"/>
          </w:tcPr>
          <w:p w:rsidR="00156DD6" w:rsidRDefault="00D51F5F">
            <w:pPr>
              <w:jc w:val="right"/>
            </w:pPr>
            <w:r>
              <w:t>628,053.16</w:t>
            </w:r>
          </w:p>
        </w:tc>
        <w:tc>
          <w:tcPr>
            <w:tcW w:w="661" w:type="pct"/>
          </w:tcPr>
          <w:p w:rsidR="00156DD6" w:rsidRDefault="00D51F5F">
            <w:pPr>
              <w:jc w:val="right"/>
            </w:pPr>
            <w:r>
              <w:t>5,683,724.89</w:t>
            </w:r>
          </w:p>
        </w:tc>
        <w:tc>
          <w:tcPr>
            <w:tcW w:w="469" w:type="pct"/>
          </w:tcPr>
          <w:p w:rsidR="00156DD6" w:rsidRDefault="00D51F5F">
            <w:pPr>
              <w:jc w:val="center"/>
              <w:rPr>
                <w:color w:val="000000" w:themeColor="text1"/>
              </w:rPr>
            </w:pPr>
            <w:r>
              <w:rPr>
                <w:rFonts w:hint="eastAsia"/>
                <w:color w:val="000000" w:themeColor="text1"/>
              </w:rPr>
              <w:t>/</w:t>
            </w:r>
          </w:p>
        </w:tc>
      </w:tr>
    </w:tbl>
    <w:p w:rsidR="00156DD6" w:rsidRDefault="00D51F5F">
      <w:pPr>
        <w:pStyle w:val="Style47"/>
        <w:numPr>
          <w:ilvl w:val="0"/>
          <w:numId w:val="56"/>
        </w:numPr>
        <w:rPr>
          <w:rFonts w:ascii="宋体" w:hAnsi="宋体"/>
          <w:color w:val="000000" w:themeColor="text1"/>
          <w:sz w:val="21"/>
          <w:szCs w:val="21"/>
        </w:rPr>
      </w:pPr>
      <w:bookmarkStart w:id="315" w:name="_Hlk167893085"/>
      <w:bookmarkStart w:id="316" w:name="_Hlk153457348"/>
      <w:r>
        <w:rPr>
          <w:rFonts w:ascii="宋体" w:hAnsi="宋体" w:hint="eastAsia"/>
          <w:color w:val="000000" w:themeColor="text1"/>
          <w:sz w:val="21"/>
          <w:szCs w:val="21"/>
        </w:rPr>
        <w:t>按坏账计提方法分类披露</w:t>
      </w:r>
    </w:p>
    <w:sdt>
      <w:sdtPr>
        <w:rPr>
          <w:color w:val="000000" w:themeColor="text1"/>
        </w:rPr>
        <w:alias w:val="是否适用：按坏账计提方法分类披露[双击切换]"/>
        <w:tag w:val="_GBC_2d08b03d640f42d686453149be03e5d9"/>
        <w:id w:val="-130870418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autoSpaceDE w:val="0"/>
        <w:autoSpaceDN w:val="0"/>
        <w:adjustRightInd w:val="0"/>
        <w:ind w:left="425" w:right="105"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按坏账计提方法分类披露"/>
          <w:tag w:val="_GBC_072cde81a2304307b9344c1e1fd5b987"/>
          <w:id w:val="98119453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按坏账计提方法分类披露"/>
          <w:tag w:val="_GBC_3357ae42f7de4283a5c2edd1989a4ce9"/>
          <w:id w:val="-19813782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476"/>
        <w:gridCol w:w="902"/>
        <w:gridCol w:w="1476"/>
        <w:gridCol w:w="1075"/>
        <w:gridCol w:w="1476"/>
        <w:gridCol w:w="1476"/>
        <w:gridCol w:w="903"/>
        <w:gridCol w:w="1266"/>
        <w:gridCol w:w="1025"/>
        <w:gridCol w:w="1476"/>
      </w:tblGrid>
      <w:tr w:rsidR="00156DD6">
        <w:trPr>
          <w:cantSplit/>
          <w:trHeight w:val="259"/>
        </w:trPr>
        <w:sdt>
          <w:sdtPr>
            <w:tag w:val="_PLD_1d139a73888744fcacd9c87351156998"/>
            <w:id w:val="1174301824"/>
          </w:sdtPr>
          <w:sdtEndPr/>
          <w:sdtContent>
            <w:tc>
              <w:tcPr>
                <w:tcW w:w="474"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类别</w:t>
                </w:r>
              </w:p>
            </w:tc>
          </w:sdtContent>
        </w:sdt>
        <w:sdt>
          <w:sdtPr>
            <w:tag w:val="_PLD_567577d579ef47138c93c6e8d3c74be0"/>
            <w:id w:val="-887256020"/>
          </w:sdtPr>
          <w:sdtEndPr/>
          <w:sdtContent>
            <w:tc>
              <w:tcPr>
                <w:tcW w:w="2310"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d677a8bc6b294dd593820e271cdd6412"/>
            <w:id w:val="-698076045"/>
          </w:sdtPr>
          <w:sdtEndPr/>
          <w:sdtContent>
            <w:tc>
              <w:tcPr>
                <w:tcW w:w="2216"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156DD6">
        <w:trPr>
          <w:cantSplit/>
          <w:trHeight w:val="227"/>
        </w:trPr>
        <w:tc>
          <w:tcPr>
            <w:tcW w:w="474" w:type="pct"/>
            <w:vMerge/>
            <w:tcBorders>
              <w:left w:val="single" w:sz="4" w:space="0" w:color="auto"/>
              <w:right w:val="single" w:sz="4" w:space="0" w:color="auto"/>
            </w:tcBorders>
            <w:vAlign w:val="center"/>
          </w:tcPr>
          <w:p w:rsidR="00156DD6" w:rsidRDefault="00156DD6">
            <w:pPr>
              <w:rPr>
                <w:color w:val="000000" w:themeColor="text1"/>
              </w:rPr>
            </w:pPr>
          </w:p>
        </w:tc>
        <w:sdt>
          <w:sdtPr>
            <w:tag w:val="_PLD_234bbf28719848eeb7db98e55d225301"/>
            <w:id w:val="-2097005091"/>
          </w:sdtPr>
          <w:sdtEndPr/>
          <w:sdtContent>
            <w:tc>
              <w:tcPr>
                <w:tcW w:w="858"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86baf3a2bb2442d2ad99cdffb20a5910"/>
            <w:id w:val="-1753414185"/>
          </w:sdtPr>
          <w:sdtEndPr/>
          <w:sdtContent>
            <w:tc>
              <w:tcPr>
                <w:tcW w:w="920"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7cf28132dabc412dbdeb5167d04ab50a"/>
            <w:id w:val="1411661539"/>
          </w:sdtPr>
          <w:sdtEndPr/>
          <w:sdtContent>
            <w:tc>
              <w:tcPr>
                <w:tcW w:w="532"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w:t>
                </w:r>
              </w:p>
              <w:p w:rsidR="00156DD6" w:rsidRDefault="00D51F5F">
                <w:pPr>
                  <w:jc w:val="center"/>
                  <w:rPr>
                    <w:color w:val="000000" w:themeColor="text1"/>
                  </w:rPr>
                </w:pPr>
                <w:r>
                  <w:rPr>
                    <w:rFonts w:hint="eastAsia"/>
                    <w:color w:val="000000" w:themeColor="text1"/>
                  </w:rPr>
                  <w:t>价值</w:t>
                </w:r>
              </w:p>
            </w:tc>
          </w:sdtContent>
        </w:sdt>
        <w:sdt>
          <w:sdtPr>
            <w:tag w:val="_PLD_1a7b71bdb41643a4a5381efe177e2554"/>
            <w:id w:val="-619998268"/>
          </w:sdtPr>
          <w:sdtEndPr/>
          <w:sdtContent>
            <w:tc>
              <w:tcPr>
                <w:tcW w:w="858"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f77275da27774db5806cdf5fada4c123"/>
            <w:id w:val="484900107"/>
          </w:sdtPr>
          <w:sdtEndPr/>
          <w:sdtContent>
            <w:tc>
              <w:tcPr>
                <w:tcW w:w="826"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74eb65b1ec6849bab106cdd75efae98c"/>
            <w:id w:val="-68814792"/>
          </w:sdtPr>
          <w:sdtEndPr/>
          <w:sdtContent>
            <w:tc>
              <w:tcPr>
                <w:tcW w:w="532"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w:t>
                </w:r>
              </w:p>
              <w:p w:rsidR="00156DD6" w:rsidRDefault="00D51F5F">
                <w:pPr>
                  <w:jc w:val="center"/>
                  <w:rPr>
                    <w:color w:val="000000" w:themeColor="text1"/>
                  </w:rPr>
                </w:pPr>
                <w:r>
                  <w:rPr>
                    <w:rFonts w:hint="eastAsia"/>
                    <w:color w:val="000000" w:themeColor="text1"/>
                  </w:rPr>
                  <w:t>价值</w:t>
                </w:r>
              </w:p>
            </w:tc>
          </w:sdtContent>
        </w:sdt>
      </w:tr>
      <w:tr w:rsidR="00156DD6">
        <w:trPr>
          <w:cantSplit/>
          <w:trHeight w:val="375"/>
        </w:trPr>
        <w:tc>
          <w:tcPr>
            <w:tcW w:w="474" w:type="pct"/>
            <w:vMerge/>
            <w:tcBorders>
              <w:left w:val="single" w:sz="4" w:space="0" w:color="auto"/>
              <w:bottom w:val="single" w:sz="4" w:space="0" w:color="auto"/>
              <w:right w:val="single" w:sz="4" w:space="0" w:color="auto"/>
            </w:tcBorders>
            <w:vAlign w:val="center"/>
          </w:tcPr>
          <w:p w:rsidR="00156DD6" w:rsidRDefault="00156DD6">
            <w:pPr>
              <w:rPr>
                <w:color w:val="000000" w:themeColor="text1"/>
              </w:rPr>
            </w:pPr>
          </w:p>
        </w:tc>
        <w:sdt>
          <w:sdtPr>
            <w:tag w:val="_PLD_4c74babe00bb4571937133c3ced595c8"/>
            <w:id w:val="-658929380"/>
          </w:sdtPr>
          <w:sdtEndPr/>
          <w:sdtContent>
            <w:tc>
              <w:tcPr>
                <w:tcW w:w="532"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529c7c07fe4a40c8a6f5b5199813be2d"/>
            <w:id w:val="1195510834"/>
          </w:sdtPr>
          <w:sdtEndPr/>
          <w:sdtContent>
            <w:tc>
              <w:tcPr>
                <w:tcW w:w="325"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sdt>
          <w:sdtPr>
            <w:tag w:val="_PLD_42f1a72bd68c4b72a8cde6cdc1b8613f"/>
            <w:id w:val="366256198"/>
          </w:sdtPr>
          <w:sdtEndPr/>
          <w:sdtContent>
            <w:tc>
              <w:tcPr>
                <w:tcW w:w="532"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a752830b82cc45e39c2dc5354bfcb683"/>
            <w:id w:val="-281813399"/>
          </w:sdtPr>
          <w:sdtEndPr/>
          <w:sdtContent>
            <w:tc>
              <w:tcPr>
                <w:tcW w:w="387"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计提比例</w:t>
                </w:r>
                <w:r>
                  <w:rPr>
                    <w:color w:val="000000" w:themeColor="text1"/>
                  </w:rPr>
                  <w:t>(%)</w:t>
                </w:r>
              </w:p>
            </w:tc>
          </w:sdtContent>
        </w:sdt>
        <w:tc>
          <w:tcPr>
            <w:tcW w:w="532" w:type="pct"/>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sdt>
          <w:sdtPr>
            <w:tag w:val="_PLD_93042a28c5384d07846d52135bd7e7d1"/>
            <w:id w:val="-578371803"/>
          </w:sdtPr>
          <w:sdtEndPr/>
          <w:sdtContent>
            <w:tc>
              <w:tcPr>
                <w:tcW w:w="532"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353de89f20d240d0a70ef38af3ea67bf"/>
            <w:id w:val="1094747058"/>
          </w:sdtPr>
          <w:sdtEndPr/>
          <w:sdtContent>
            <w:tc>
              <w:tcPr>
                <w:tcW w:w="325"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比例</w:t>
                </w:r>
                <w:r>
                  <w:rPr>
                    <w:color w:val="000000" w:themeColor="text1"/>
                  </w:rPr>
                  <w:t>(%)</w:t>
                </w:r>
              </w:p>
            </w:tc>
          </w:sdtContent>
        </w:sdt>
        <w:sdt>
          <w:sdtPr>
            <w:tag w:val="_PLD_4bfc73d30caf4a529a41c32b56ee8803"/>
            <w:id w:val="-1772078417"/>
          </w:sdtPr>
          <w:sdtEndPr/>
          <w:sdtContent>
            <w:tc>
              <w:tcPr>
                <w:tcW w:w="457"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金额</w:t>
                </w:r>
              </w:p>
            </w:tc>
          </w:sdtContent>
        </w:sdt>
        <w:sdt>
          <w:sdtPr>
            <w:tag w:val="_PLD_51725cfa2add4096bb798d099e0405eb"/>
            <w:id w:val="-1521162795"/>
          </w:sdtPr>
          <w:sdtEndPr/>
          <w:sdtContent>
            <w:tc>
              <w:tcPr>
                <w:tcW w:w="370"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计提比例</w:t>
                </w:r>
                <w:r>
                  <w:rPr>
                    <w:color w:val="000000" w:themeColor="text1"/>
                  </w:rPr>
                  <w:t>(%)</w:t>
                </w:r>
              </w:p>
            </w:tc>
          </w:sdtContent>
        </w:sdt>
        <w:tc>
          <w:tcPr>
            <w:tcW w:w="532"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tr>
      <w:tr w:rsidR="00156DD6">
        <w:trPr>
          <w:cantSplit/>
        </w:trPr>
        <w:tc>
          <w:tcPr>
            <w:tcW w:w="474"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按单项计提坏账准备</w:t>
            </w:r>
          </w:p>
        </w:tc>
        <w:tc>
          <w:tcPr>
            <w:tcW w:w="5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2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32" w:type="pct"/>
            <w:tcBorders>
              <w:top w:val="single" w:sz="4" w:space="0" w:color="auto"/>
              <w:left w:val="single" w:sz="4" w:space="0" w:color="auto"/>
              <w:bottom w:val="single" w:sz="4" w:space="0" w:color="auto"/>
              <w:right w:val="single" w:sz="4" w:space="0" w:color="auto"/>
            </w:tcBorders>
          </w:tcPr>
          <w:p w:rsidR="00156DD6" w:rsidRDefault="00156DD6">
            <w:pPr>
              <w:pStyle w:val="Style43"/>
            </w:pPr>
          </w:p>
        </w:tc>
        <w:tc>
          <w:tcPr>
            <w:tcW w:w="38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2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45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70"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32"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rPr>
          <w:cantSplit/>
        </w:trPr>
        <w:tc>
          <w:tcPr>
            <w:tcW w:w="5000" w:type="pct"/>
            <w:gridSpan w:val="11"/>
            <w:tcBorders>
              <w:top w:val="single" w:sz="4" w:space="0" w:color="auto"/>
              <w:left w:val="single" w:sz="4" w:space="0" w:color="auto"/>
              <w:bottom w:val="single" w:sz="4" w:space="0" w:color="auto"/>
              <w:right w:val="single" w:sz="4" w:space="0" w:color="auto"/>
            </w:tcBorders>
          </w:tcPr>
          <w:sdt>
            <w:sdtPr>
              <w:tag w:val="_PLD_629b345ab1aa41abb30ccf92a4c7730d"/>
              <w:id w:val="-2102169456"/>
            </w:sdtPr>
            <w:sdtEndPr/>
            <w:sdtContent>
              <w:p w:rsidR="00156DD6" w:rsidRDefault="00D51F5F">
                <w:pPr>
                  <w:rPr>
                    <w:color w:val="000000" w:themeColor="text1"/>
                  </w:rPr>
                </w:pPr>
                <w:r>
                  <w:rPr>
                    <w:rFonts w:hint="eastAsia"/>
                    <w:color w:val="000000" w:themeColor="text1"/>
                  </w:rPr>
                  <w:t>其中：</w:t>
                </w:r>
              </w:p>
            </w:sdtContent>
          </w:sdt>
        </w:tc>
      </w:tr>
      <w:tr w:rsidR="00156DD6">
        <w:trPr>
          <w:cantSplit/>
        </w:trPr>
        <w:tc>
          <w:tcPr>
            <w:tcW w:w="474"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按组合计提坏账准备</w:t>
            </w: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6,528,734.39 </w:t>
            </w:r>
          </w:p>
        </w:tc>
        <w:tc>
          <w:tcPr>
            <w:tcW w:w="32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100.00 </w:t>
            </w: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1,263,829.50 </w:t>
            </w:r>
          </w:p>
        </w:tc>
        <w:tc>
          <w:tcPr>
            <w:tcW w:w="38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19.36 </w:t>
            </w: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5,264,904.89</w:t>
            </w: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6,311,778.05</w:t>
            </w:r>
          </w:p>
        </w:tc>
        <w:tc>
          <w:tcPr>
            <w:tcW w:w="32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100.00</w:t>
            </w:r>
          </w:p>
        </w:tc>
        <w:tc>
          <w:tcPr>
            <w:tcW w:w="45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bookmarkStart w:id="317" w:name="OLE_LINK37"/>
            <w:r>
              <w:t>628,053.16</w:t>
            </w:r>
            <w:bookmarkEnd w:id="317"/>
          </w:p>
        </w:tc>
        <w:tc>
          <w:tcPr>
            <w:tcW w:w="37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9.95</w:t>
            </w: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5,683,724.89</w:t>
            </w:r>
          </w:p>
        </w:tc>
      </w:tr>
      <w:tr w:rsidR="00156DD6">
        <w:trPr>
          <w:cantSplit/>
        </w:trPr>
        <w:tc>
          <w:tcPr>
            <w:tcW w:w="5000" w:type="pct"/>
            <w:gridSpan w:val="11"/>
            <w:tcBorders>
              <w:top w:val="single" w:sz="4" w:space="0" w:color="auto"/>
              <w:left w:val="single" w:sz="4" w:space="0" w:color="auto"/>
              <w:bottom w:val="single" w:sz="4" w:space="0" w:color="auto"/>
              <w:right w:val="single" w:sz="4" w:space="0" w:color="auto"/>
            </w:tcBorders>
          </w:tcPr>
          <w:sdt>
            <w:sdtPr>
              <w:tag w:val="_PLD_f95d92b353ca4ee9915c6fd7a3bc2c67"/>
              <w:id w:val="-1600247771"/>
            </w:sdtPr>
            <w:sdtEndPr/>
            <w:sdtContent>
              <w:p w:rsidR="00156DD6" w:rsidRDefault="00D51F5F">
                <w:pPr>
                  <w:rPr>
                    <w:color w:val="000000" w:themeColor="text1"/>
                  </w:rPr>
                </w:pPr>
                <w:r>
                  <w:rPr>
                    <w:rFonts w:hint="eastAsia"/>
                    <w:color w:val="000000" w:themeColor="text1"/>
                  </w:rPr>
                  <w:t>其中：</w:t>
                </w:r>
              </w:p>
            </w:sdtContent>
          </w:sdt>
        </w:tc>
      </w:tr>
      <w:tr w:rsidR="00156DD6">
        <w:trPr>
          <w:cantSplit/>
        </w:trPr>
        <w:sdt>
          <w:sdtPr>
            <w:rPr>
              <w:color w:val="000000" w:themeColor="text1"/>
            </w:rPr>
            <w:alias w:val="按组合计提坏账准备的明细-类别"/>
            <w:tag w:val="_GBC_91cdf91a6beb42fc833f67b0fda84b72"/>
            <w:id w:val="1937164748"/>
          </w:sdtPr>
          <w:sdtEndPr/>
          <w:sdtContent>
            <w:tc>
              <w:tcPr>
                <w:tcW w:w="474"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账龄组合</w:t>
                </w:r>
              </w:p>
            </w:tc>
          </w:sdtContent>
        </w:sdt>
        <w:tc>
          <w:tcPr>
            <w:tcW w:w="5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6,528,734.39 </w:t>
            </w:r>
          </w:p>
        </w:tc>
        <w:tc>
          <w:tcPr>
            <w:tcW w:w="325"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100.00 </w:t>
            </w:r>
          </w:p>
        </w:tc>
        <w:tc>
          <w:tcPr>
            <w:tcW w:w="5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1,263,829.50 </w:t>
            </w:r>
          </w:p>
        </w:tc>
        <w:tc>
          <w:tcPr>
            <w:tcW w:w="38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19.36 </w:t>
            </w:r>
          </w:p>
        </w:tc>
        <w:tc>
          <w:tcPr>
            <w:tcW w:w="5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5,264,904.89</w:t>
            </w: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6,311,778.05</w:t>
            </w:r>
          </w:p>
        </w:tc>
        <w:tc>
          <w:tcPr>
            <w:tcW w:w="32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100.00</w:t>
            </w:r>
          </w:p>
        </w:tc>
        <w:tc>
          <w:tcPr>
            <w:tcW w:w="45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628,053.16</w:t>
            </w:r>
          </w:p>
        </w:tc>
        <w:tc>
          <w:tcPr>
            <w:tcW w:w="37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9.95</w:t>
            </w: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5,683,724.89</w:t>
            </w:r>
          </w:p>
        </w:tc>
      </w:tr>
      <w:tr w:rsidR="00156DD6">
        <w:trPr>
          <w:cantSplit/>
        </w:trPr>
        <w:tc>
          <w:tcPr>
            <w:tcW w:w="474"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合计</w:t>
            </w:r>
          </w:p>
        </w:tc>
        <w:tc>
          <w:tcPr>
            <w:tcW w:w="5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6,528,734.39 </w:t>
            </w:r>
          </w:p>
        </w:tc>
        <w:tc>
          <w:tcPr>
            <w:tcW w:w="325"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100.00 </w:t>
            </w:r>
          </w:p>
        </w:tc>
        <w:tc>
          <w:tcPr>
            <w:tcW w:w="5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1,263,829.50 </w:t>
            </w:r>
          </w:p>
        </w:tc>
        <w:tc>
          <w:tcPr>
            <w:tcW w:w="387"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19.36 </w:t>
            </w:r>
          </w:p>
        </w:tc>
        <w:tc>
          <w:tcPr>
            <w:tcW w:w="5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5,264,904.89</w:t>
            </w: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6,311,778.05</w:t>
            </w:r>
          </w:p>
        </w:tc>
        <w:tc>
          <w:tcPr>
            <w:tcW w:w="32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t>100.00</w:t>
            </w:r>
          </w:p>
        </w:tc>
        <w:tc>
          <w:tcPr>
            <w:tcW w:w="45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628,053.16</w:t>
            </w:r>
          </w:p>
        </w:tc>
        <w:tc>
          <w:tcPr>
            <w:tcW w:w="37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rPr>
            </w:pPr>
            <w:r>
              <w:t>9.95</w:t>
            </w: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5,683,724.89</w:t>
            </w:r>
          </w:p>
        </w:tc>
      </w:tr>
    </w:tbl>
    <w:p w:rsidR="00156DD6" w:rsidRDefault="00D51F5F">
      <w:pPr>
        <w:rPr>
          <w:color w:val="000000" w:themeColor="text1"/>
        </w:rPr>
      </w:pPr>
      <w:r>
        <w:rPr>
          <w:rFonts w:hint="eastAsia"/>
          <w:color w:val="000000" w:themeColor="text1"/>
        </w:rPr>
        <w:t>按单项计提坏账准备：</w:t>
      </w:r>
    </w:p>
    <w:sdt>
      <w:sdtPr>
        <w:rPr>
          <w:color w:val="000000" w:themeColor="text1"/>
        </w:rPr>
        <w:alias w:val="是否适用：按单项计提坏账准备的详细情况[双击切换]"/>
        <w:tag w:val="_GBC_3a181716dae64a57965330ae4ccab91e"/>
        <w:id w:val="9907180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按单项计提坏账准备的说明：</w:t>
      </w:r>
    </w:p>
    <w:sdt>
      <w:sdtPr>
        <w:rPr>
          <w:color w:val="000000" w:themeColor="text1"/>
        </w:rPr>
        <w:alias w:val="是否适用：按单项计提坏账准备的说明[双击切换]"/>
        <w:tag w:val="_GBC_532014e1f5ab4f9da72dafc4dafe0723"/>
        <w:id w:val="-85472937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ascii="Calibri" w:hAnsi="Calibri" w:cs="Times New Roman"/>
          <w:color w:val="000000" w:themeColor="text1"/>
          <w:szCs w:val="22"/>
        </w:rPr>
      </w:pPr>
      <w:r>
        <w:rPr>
          <w:rFonts w:ascii="Calibri" w:hAnsi="Calibri" w:cs="Times New Roman" w:hint="eastAsia"/>
          <w:color w:val="000000" w:themeColor="text1"/>
          <w:szCs w:val="22"/>
        </w:rPr>
        <w:lastRenderedPageBreak/>
        <w:t>按组合计提坏账准备：</w:t>
      </w:r>
    </w:p>
    <w:sdt>
      <w:sdtPr>
        <w:rPr>
          <w:rFonts w:ascii="Calibri" w:hAnsi="Calibri" w:cs="Times New Roman"/>
          <w:color w:val="000000" w:themeColor="text1"/>
          <w:szCs w:val="22"/>
        </w:rPr>
        <w:alias w:val="是否适用：按组合计提坏账准备的详细情况[双击切换]"/>
        <w:tag w:val="_GBC_555a40ceb7d348a0a16b652ac8e1178a"/>
        <w:id w:val="-1569261272"/>
        <w:lock w:val="contentLocked"/>
        <w:placeholder>
          <w:docPart w:val="GBC22222222222222222222222222222"/>
        </w:placeholder>
      </w:sdtPr>
      <w:sdtEndPr/>
      <w:sdtContent>
        <w:p w:rsidR="00156DD6" w:rsidRDefault="00D51F5F">
          <w:pPr>
            <w:rPr>
              <w:rFonts w:ascii="Calibri" w:hAnsi="Calibri" w:cs="Times New Roman"/>
              <w:color w:val="000000" w:themeColor="text1"/>
              <w:szCs w:val="22"/>
            </w:rPr>
          </w:pPr>
          <w:r>
            <w:rPr>
              <w:rFonts w:cs="Times New Roman"/>
              <w:color w:val="000000" w:themeColor="text1"/>
              <w:szCs w:val="22"/>
            </w:rPr>
            <w:fldChar w:fldCharType="begin"/>
          </w:r>
          <w:r>
            <w:rPr>
              <w:rFonts w:cs="Times New Roman"/>
              <w:color w:val="000000" w:themeColor="text1"/>
              <w:szCs w:val="22"/>
            </w:rPr>
            <w:instrText xml:space="preserve"> MACROBUTTON  SnrToggleCheckbox √</w:instrText>
          </w:r>
          <w:r>
            <w:rPr>
              <w:rFonts w:cs="Times New Roman"/>
              <w:color w:val="000000" w:themeColor="text1"/>
              <w:szCs w:val="22"/>
            </w:rPr>
            <w:instrText>适用</w:instrText>
          </w:r>
          <w:r>
            <w:rPr>
              <w:rFonts w:cs="Times New Roman"/>
              <w:color w:val="000000" w:themeColor="text1"/>
              <w:szCs w:val="22"/>
            </w:rPr>
            <w:instrText xml:space="preserve"> </w:instrText>
          </w:r>
          <w:r>
            <w:rPr>
              <w:rFonts w:cs="Times New Roman"/>
              <w:color w:val="000000" w:themeColor="text1"/>
              <w:szCs w:val="22"/>
            </w:rPr>
            <w:fldChar w:fldCharType="end"/>
          </w:r>
          <w:r>
            <w:rPr>
              <w:rFonts w:cs="Times New Roman"/>
              <w:color w:val="000000" w:themeColor="text1"/>
              <w:szCs w:val="22"/>
            </w:rPr>
            <w:fldChar w:fldCharType="begin"/>
          </w:r>
          <w:r>
            <w:rPr>
              <w:rFonts w:cs="Times New Roman"/>
              <w:color w:val="000000" w:themeColor="text1"/>
              <w:szCs w:val="22"/>
            </w:rPr>
            <w:instrText xml:space="preserve"> MACROBUTTON  SnrToggleCheckbox □</w:instrText>
          </w:r>
          <w:r>
            <w:rPr>
              <w:rFonts w:cs="Times New Roman"/>
              <w:color w:val="000000" w:themeColor="text1"/>
              <w:szCs w:val="22"/>
            </w:rPr>
            <w:instrText>不适用</w:instrText>
          </w:r>
          <w:r>
            <w:rPr>
              <w:rFonts w:cs="Times New Roman"/>
              <w:color w:val="000000" w:themeColor="text1"/>
              <w:szCs w:val="22"/>
            </w:rPr>
            <w:instrText xml:space="preserve"> </w:instrText>
          </w:r>
          <w:r>
            <w:rPr>
              <w:rFonts w:cs="Times New Roman"/>
              <w:color w:val="000000" w:themeColor="text1"/>
              <w:szCs w:val="22"/>
            </w:rPr>
            <w:fldChar w:fldCharType="end"/>
          </w:r>
        </w:p>
      </w:sdtContent>
    </w:sdt>
    <w:p w:rsidR="00156DD6" w:rsidRDefault="00D51F5F">
      <w:pPr>
        <w:rPr>
          <w:rFonts w:ascii="Calibri" w:hAnsi="Calibri" w:cs="Times New Roman"/>
          <w:color w:val="000000" w:themeColor="text1"/>
          <w:szCs w:val="22"/>
        </w:rPr>
      </w:pPr>
      <w:r>
        <w:rPr>
          <w:rFonts w:hint="eastAsia"/>
          <w:color w:val="000000" w:themeColor="text1"/>
        </w:rPr>
        <w:t>组合计提项目</w:t>
      </w:r>
      <w:r>
        <w:rPr>
          <w:rFonts w:ascii="Calibri" w:hAnsi="Calibri" w:cs="Times New Roman" w:hint="eastAsia"/>
          <w:color w:val="000000" w:themeColor="text1"/>
          <w:szCs w:val="22"/>
        </w:rPr>
        <w:t>：</w:t>
      </w:r>
      <w:sdt>
        <w:sdtPr>
          <w:rPr>
            <w:rFonts w:ascii="Calibri" w:hAnsi="Calibri" w:cs="Times New Roman" w:hint="eastAsia"/>
            <w:color w:val="000000" w:themeColor="text1"/>
            <w:szCs w:val="22"/>
          </w:rPr>
          <w:alias w:val="按组合计提坏账准备的明细-类别"/>
          <w:tag w:val="_GBC_12752c8a967b477c9d356eea2350bc61"/>
          <w:id w:val="-507441126"/>
          <w:placeholder>
            <w:docPart w:val="GBC22222222222222222222222222222"/>
          </w:placeholder>
          <w:comboBox>
            <w:listItem w:displayText="账龄组合" w:value="账龄组合"/>
          </w:comboBox>
        </w:sdtPr>
        <w:sdtEndPr/>
        <w:sdtContent>
          <w:r>
            <w:rPr>
              <w:rFonts w:ascii="Calibri" w:hAnsi="Calibri" w:cs="Times New Roman" w:hint="eastAsia"/>
              <w:color w:val="000000" w:themeColor="text1"/>
              <w:szCs w:val="22"/>
            </w:rPr>
            <w:t>账龄组合</w:t>
          </w:r>
        </w:sdtContent>
      </w:sdt>
    </w:p>
    <w:p w:rsidR="00156DD6" w:rsidRDefault="00D51F5F">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按组合计提坏账准备的详细名称"/>
          <w:tag w:val="_GBC_df8e1703068e4d9aafeff0007af21ec6"/>
          <w:id w:val="23776568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按组合计提坏账准备的详细名称"/>
          <w:tag w:val="_GBC_9bd9f0818aee4f0986d1744f0e1addbb"/>
          <w:id w:val="10350113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r>
        <w:rPr>
          <w:color w:val="000000" w:themeColor="text1"/>
        </w:rPr>
        <w:t xml:space="preserve"> </w:t>
      </w:r>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156DD6">
        <w:sdt>
          <w:sdtPr>
            <w:tag w:val="_PLD_084d1156c7f04ee7ab722437b985e746"/>
            <w:id w:val="-1504043575"/>
          </w:sdtPr>
          <w:sdtEndPr/>
          <w:sdtContent>
            <w:tc>
              <w:tcPr>
                <w:tcW w:w="1158" w:type="pct"/>
                <w:vMerge w:val="restart"/>
                <w:vAlign w:val="center"/>
              </w:tcPr>
              <w:p w:rsidR="00156DD6" w:rsidRDefault="00D51F5F">
                <w:pPr>
                  <w:jc w:val="center"/>
                  <w:rPr>
                    <w:color w:val="000000" w:themeColor="text1"/>
                  </w:rPr>
                </w:pPr>
                <w:r>
                  <w:rPr>
                    <w:rFonts w:hint="eastAsia"/>
                    <w:color w:val="000000" w:themeColor="text1"/>
                  </w:rPr>
                  <w:t>名称</w:t>
                </w:r>
              </w:p>
            </w:tc>
          </w:sdtContent>
        </w:sdt>
        <w:sdt>
          <w:sdtPr>
            <w:tag w:val="_PLD_445ed30ffda24bb9949937dfb76a7b9c"/>
            <w:id w:val="-354038977"/>
          </w:sdtPr>
          <w:sdtEndPr/>
          <w:sdtContent>
            <w:tc>
              <w:tcPr>
                <w:tcW w:w="3842" w:type="pct"/>
                <w:gridSpan w:val="3"/>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1158" w:type="pct"/>
            <w:vMerge/>
          </w:tcPr>
          <w:p w:rsidR="00156DD6" w:rsidRDefault="00156DD6">
            <w:pPr>
              <w:jc w:val="center"/>
              <w:rPr>
                <w:color w:val="000000" w:themeColor="text1"/>
              </w:rPr>
            </w:pPr>
          </w:p>
        </w:tc>
        <w:sdt>
          <w:sdtPr>
            <w:tag w:val="_PLD_34d445f177f144598c531e2574542913"/>
            <w:id w:val="-1777022285"/>
          </w:sdtPr>
          <w:sdtEndPr/>
          <w:sdtContent>
            <w:tc>
              <w:tcPr>
                <w:tcW w:w="1276" w:type="pct"/>
                <w:vAlign w:val="center"/>
              </w:tcPr>
              <w:p w:rsidR="00156DD6" w:rsidRDefault="00D51F5F">
                <w:pPr>
                  <w:jc w:val="center"/>
                  <w:rPr>
                    <w:color w:val="000000" w:themeColor="text1"/>
                  </w:rPr>
                </w:pPr>
                <w:r>
                  <w:rPr>
                    <w:rFonts w:hint="eastAsia"/>
                    <w:color w:val="000000" w:themeColor="text1"/>
                  </w:rPr>
                  <w:t>账面余额</w:t>
                </w:r>
              </w:p>
            </w:tc>
          </w:sdtContent>
        </w:sdt>
        <w:sdt>
          <w:sdtPr>
            <w:tag w:val="_PLD_0cd2c1e936b746fda5ab80b66dcb0898"/>
            <w:id w:val="-1566092177"/>
          </w:sdtPr>
          <w:sdtEndPr/>
          <w:sdtContent>
            <w:tc>
              <w:tcPr>
                <w:tcW w:w="1299" w:type="pct"/>
                <w:vAlign w:val="center"/>
              </w:tcPr>
              <w:p w:rsidR="00156DD6" w:rsidRDefault="00D51F5F">
                <w:pPr>
                  <w:jc w:val="center"/>
                  <w:rPr>
                    <w:color w:val="000000" w:themeColor="text1"/>
                  </w:rPr>
                </w:pPr>
                <w:r>
                  <w:rPr>
                    <w:rFonts w:hint="eastAsia"/>
                    <w:color w:val="000000" w:themeColor="text1"/>
                  </w:rPr>
                  <w:t>坏账准备</w:t>
                </w:r>
              </w:p>
            </w:tc>
          </w:sdtContent>
        </w:sdt>
        <w:sdt>
          <w:sdtPr>
            <w:tag w:val="_PLD_8e5a56f26c1d4a0da7f5a7d321250ff3"/>
            <w:id w:val="1971479456"/>
          </w:sdtPr>
          <w:sdtEndPr>
            <w:rPr>
              <w:rFonts w:hint="eastAsia"/>
            </w:rPr>
          </w:sdtEndPr>
          <w:sdtContent>
            <w:tc>
              <w:tcPr>
                <w:tcW w:w="1267" w:type="pct"/>
                <w:vAlign w:val="center"/>
              </w:tcPr>
              <w:p w:rsidR="00156DD6" w:rsidRDefault="00D51F5F">
                <w:pPr>
                  <w:jc w:val="center"/>
                  <w:rPr>
                    <w:color w:val="000000" w:themeColor="text1"/>
                  </w:rPr>
                </w:pPr>
                <w:r>
                  <w:rPr>
                    <w:color w:val="000000" w:themeColor="text1"/>
                  </w:rPr>
                  <w:t>计提比例</w:t>
                </w:r>
                <w:r>
                  <w:rPr>
                    <w:rFonts w:hint="eastAsia"/>
                    <w:color w:val="000000" w:themeColor="text1"/>
                  </w:rPr>
                  <w:t>（</w:t>
                </w:r>
                <w:r>
                  <w:rPr>
                    <w:rFonts w:hint="eastAsia"/>
                    <w:color w:val="000000" w:themeColor="text1"/>
                  </w:rPr>
                  <w:t>%</w:t>
                </w:r>
                <w:r>
                  <w:rPr>
                    <w:rFonts w:hint="eastAsia"/>
                    <w:color w:val="000000" w:themeColor="text1"/>
                  </w:rPr>
                  <w:t>）</w:t>
                </w:r>
              </w:p>
            </w:tc>
          </w:sdtContent>
        </w:sdt>
      </w:tr>
      <w:tr w:rsidR="00156DD6">
        <w:tc>
          <w:tcPr>
            <w:tcW w:w="1158" w:type="pct"/>
          </w:tcPr>
          <w:p w:rsidR="00156DD6" w:rsidRDefault="00D51F5F">
            <w:pPr>
              <w:pStyle w:val="Style43"/>
            </w:pPr>
            <w:r>
              <w:rPr>
                <w:rFonts w:hint="eastAsia"/>
              </w:rPr>
              <w:t>账龄组合</w:t>
            </w:r>
          </w:p>
        </w:tc>
        <w:tc>
          <w:tcPr>
            <w:tcW w:w="1276" w:type="pct"/>
          </w:tcPr>
          <w:p w:rsidR="00156DD6" w:rsidRDefault="00D51F5F">
            <w:pPr>
              <w:jc w:val="right"/>
            </w:pPr>
            <w:r>
              <w:rPr>
                <w:rFonts w:hint="eastAsia"/>
              </w:rPr>
              <w:t xml:space="preserve"> 6,528,734.39 </w:t>
            </w:r>
          </w:p>
        </w:tc>
        <w:tc>
          <w:tcPr>
            <w:tcW w:w="1299" w:type="pct"/>
          </w:tcPr>
          <w:p w:rsidR="00156DD6" w:rsidRDefault="00D51F5F">
            <w:pPr>
              <w:jc w:val="right"/>
            </w:pPr>
            <w:r>
              <w:rPr>
                <w:rFonts w:hint="eastAsia"/>
              </w:rPr>
              <w:t xml:space="preserve"> 1,263,829.50 </w:t>
            </w:r>
          </w:p>
        </w:tc>
        <w:tc>
          <w:tcPr>
            <w:tcW w:w="1267" w:type="pct"/>
          </w:tcPr>
          <w:p w:rsidR="00156DD6" w:rsidRDefault="00D51F5F">
            <w:pPr>
              <w:jc w:val="right"/>
            </w:pPr>
            <w:r>
              <w:rPr>
                <w:rFonts w:hint="eastAsia"/>
              </w:rPr>
              <w:t xml:space="preserve"> 19.36 </w:t>
            </w:r>
          </w:p>
        </w:tc>
      </w:tr>
      <w:tr w:rsidR="00156DD6">
        <w:tc>
          <w:tcPr>
            <w:tcW w:w="1158" w:type="pct"/>
            <w:vAlign w:val="center"/>
          </w:tcPr>
          <w:p w:rsidR="00156DD6" w:rsidRDefault="00D51F5F">
            <w:pPr>
              <w:jc w:val="center"/>
              <w:rPr>
                <w:color w:val="000000" w:themeColor="text1"/>
              </w:rPr>
            </w:pPr>
            <w:r>
              <w:rPr>
                <w:rFonts w:hint="eastAsia"/>
                <w:color w:val="000000" w:themeColor="text1"/>
              </w:rPr>
              <w:t>合计</w:t>
            </w:r>
          </w:p>
        </w:tc>
        <w:tc>
          <w:tcPr>
            <w:tcW w:w="1276" w:type="pct"/>
          </w:tcPr>
          <w:p w:rsidR="00156DD6" w:rsidRDefault="00D51F5F">
            <w:pPr>
              <w:jc w:val="right"/>
            </w:pPr>
            <w:r>
              <w:rPr>
                <w:rFonts w:hint="eastAsia"/>
              </w:rPr>
              <w:t xml:space="preserve"> 6,528,734.39 </w:t>
            </w:r>
          </w:p>
        </w:tc>
        <w:tc>
          <w:tcPr>
            <w:tcW w:w="1299" w:type="pct"/>
          </w:tcPr>
          <w:p w:rsidR="00156DD6" w:rsidRDefault="00D51F5F">
            <w:pPr>
              <w:jc w:val="right"/>
            </w:pPr>
            <w:r>
              <w:rPr>
                <w:rFonts w:hint="eastAsia"/>
              </w:rPr>
              <w:t xml:space="preserve"> 1,263,829.50 </w:t>
            </w:r>
          </w:p>
        </w:tc>
        <w:tc>
          <w:tcPr>
            <w:tcW w:w="1267" w:type="pct"/>
          </w:tcPr>
          <w:p w:rsidR="00156DD6" w:rsidRDefault="00D51F5F">
            <w:pPr>
              <w:jc w:val="right"/>
            </w:pPr>
            <w:r>
              <w:rPr>
                <w:rFonts w:hint="eastAsia"/>
              </w:rPr>
              <w:t xml:space="preserve"> 19.36 </w:t>
            </w:r>
          </w:p>
        </w:tc>
      </w:tr>
    </w:tbl>
    <w:p w:rsidR="00156DD6" w:rsidRDefault="00D51F5F">
      <w:pPr>
        <w:rPr>
          <w:color w:val="000000" w:themeColor="text1"/>
        </w:rPr>
      </w:pPr>
      <w:r>
        <w:rPr>
          <w:rFonts w:hint="eastAsia"/>
          <w:color w:val="000000" w:themeColor="text1"/>
        </w:rPr>
        <w:t>按组合计提坏账准备的说明</w:t>
      </w:r>
    </w:p>
    <w:sdt>
      <w:sdtPr>
        <w:rPr>
          <w:color w:val="000000" w:themeColor="text1"/>
        </w:rPr>
        <w:alias w:val="是否适用：按组合计提坏账准备的的说明[双击切换]"/>
        <w:tag w:val="_GBC_aabf124bd0174536b5fe13ea3272172b"/>
        <w:id w:val="9103494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318" w:name="_Hlk10471933"/>
      <w:bookmarkEnd w:id="315"/>
      <w:bookmarkEnd w:id="316"/>
      <w:r>
        <w:rPr>
          <w:rFonts w:hint="eastAsia"/>
          <w:color w:val="000000" w:themeColor="text1"/>
        </w:rPr>
        <w:t>按预期信用损失一般模型计提坏账准备</w:t>
      </w:r>
      <w:r>
        <w:rPr>
          <w:color w:val="000000" w:themeColor="text1"/>
        </w:rPr>
        <w:t xml:space="preserve"> </w:t>
      </w:r>
    </w:p>
    <w:sdt>
      <w:sdtPr>
        <w:rPr>
          <w:color w:val="000000" w:themeColor="text1"/>
        </w:rPr>
        <w:alias w:val="是否适用：长期应收款坏账准备调节表[双击切换]"/>
        <w:tag w:val="_GBC_f7e4bed7dbb84fbcb52f2226cf465bb3"/>
        <w:id w:val="-27880210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56"/>
        </w:numPr>
        <w:rPr>
          <w:rFonts w:ascii="宋体" w:hAnsi="宋体"/>
          <w:color w:val="000000" w:themeColor="text1"/>
          <w:sz w:val="21"/>
          <w:szCs w:val="21"/>
        </w:rPr>
      </w:pPr>
      <w:bookmarkStart w:id="319" w:name="_Hlk154131356"/>
      <w:bookmarkStart w:id="320" w:name="_Hlk167893254"/>
      <w:bookmarkStart w:id="321" w:name="_Hlk153457634"/>
      <w:bookmarkEnd w:id="318"/>
      <w:r>
        <w:rPr>
          <w:rFonts w:ascii="宋体" w:hAnsi="宋体" w:hint="eastAsia"/>
          <w:color w:val="000000" w:themeColor="text1"/>
          <w:sz w:val="21"/>
          <w:szCs w:val="21"/>
        </w:rPr>
        <w:t>坏账准备的情况</w:t>
      </w:r>
    </w:p>
    <w:sdt>
      <w:sdtPr>
        <w:rPr>
          <w:color w:val="000000" w:themeColor="text1"/>
        </w:rPr>
        <w:alias w:val="是否适用：坏账准备情况[双击切换]"/>
        <w:tag w:val="_GBC_2514c3c2e0d44fce9a234c85b89eb697"/>
        <w:id w:val="-20040002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snapToGrid w:val="0"/>
        <w:spacing w:line="240" w:lineRule="atLeast"/>
        <w:ind w:left="425"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坏账准备情况"/>
          <w:tag w:val="_GBC_4094b744572d43c48688324c8c9f5e5f"/>
          <w:id w:val="-25113550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坏账准备情况"/>
          <w:tag w:val="_GBC_a64163a2b3154a7e9f37244b29e71cdf"/>
          <w:id w:val="9608485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9"/>
        <w:gridCol w:w="1906"/>
        <w:gridCol w:w="2069"/>
        <w:gridCol w:w="1905"/>
        <w:gridCol w:w="1910"/>
        <w:gridCol w:w="1905"/>
        <w:gridCol w:w="1899"/>
      </w:tblGrid>
      <w:tr w:rsidR="00156DD6">
        <w:sdt>
          <w:sdtPr>
            <w:tag w:val="_PLD_0a9bb09f4675456385e28eec38fdf1ab"/>
            <w:id w:val="1095829615"/>
          </w:sdtPr>
          <w:sdtEndPr/>
          <w:sdtContent>
            <w:tc>
              <w:tcPr>
                <w:tcW w:w="818" w:type="pct"/>
                <w:vMerge w:val="restart"/>
                <w:shd w:val="clear" w:color="auto" w:fill="FFFFFF"/>
                <w:vAlign w:val="center"/>
              </w:tcPr>
              <w:p w:rsidR="00156DD6" w:rsidRDefault="00D51F5F">
                <w:pPr>
                  <w:widowControl w:val="0"/>
                  <w:jc w:val="center"/>
                  <w:rPr>
                    <w:color w:val="000000" w:themeColor="text1"/>
                  </w:rPr>
                </w:pPr>
                <w:r>
                  <w:rPr>
                    <w:color w:val="000000" w:themeColor="text1"/>
                  </w:rPr>
                  <w:t>类别</w:t>
                </w:r>
              </w:p>
            </w:tc>
          </w:sdtContent>
        </w:sdt>
        <w:sdt>
          <w:sdtPr>
            <w:tag w:val="_PLD_bde443646eb84dec9d4f8028f9b802bf"/>
            <w:id w:val="-888569935"/>
          </w:sdtPr>
          <w:sdtEndPr/>
          <w:sdtContent>
            <w:tc>
              <w:tcPr>
                <w:tcW w:w="687" w:type="pct"/>
                <w:vMerge w:val="restart"/>
                <w:shd w:val="clear" w:color="auto" w:fill="FFFFFF"/>
                <w:vAlign w:val="center"/>
              </w:tcPr>
              <w:p w:rsidR="00156DD6" w:rsidRDefault="00D51F5F">
                <w:pPr>
                  <w:widowControl w:val="0"/>
                  <w:jc w:val="center"/>
                  <w:rPr>
                    <w:color w:val="000000" w:themeColor="text1"/>
                  </w:rPr>
                </w:pPr>
                <w:r>
                  <w:rPr>
                    <w:color w:val="000000" w:themeColor="text1"/>
                  </w:rPr>
                  <w:t>期初余额</w:t>
                </w:r>
              </w:p>
            </w:tc>
          </w:sdtContent>
        </w:sdt>
        <w:sdt>
          <w:sdtPr>
            <w:tag w:val="_PLD_cb8b68cd02174377b8eb3a9850bd9677"/>
            <w:id w:val="66767407"/>
          </w:sdtPr>
          <w:sdtEndPr/>
          <w:sdtContent>
            <w:tc>
              <w:tcPr>
                <w:tcW w:w="2809" w:type="pct"/>
                <w:gridSpan w:val="4"/>
                <w:shd w:val="clear" w:color="auto" w:fill="FFFFFF"/>
                <w:vAlign w:val="center"/>
              </w:tcPr>
              <w:p w:rsidR="00156DD6" w:rsidRDefault="00D51F5F">
                <w:pPr>
                  <w:widowControl w:val="0"/>
                  <w:jc w:val="center"/>
                  <w:rPr>
                    <w:color w:val="000000" w:themeColor="text1"/>
                  </w:rPr>
                </w:pPr>
                <w:r>
                  <w:rPr>
                    <w:rFonts w:hint="eastAsia"/>
                    <w:color w:val="000000" w:themeColor="text1"/>
                  </w:rPr>
                  <w:t>本期变动</w:t>
                </w:r>
                <w:r>
                  <w:rPr>
                    <w:color w:val="000000" w:themeColor="text1"/>
                  </w:rPr>
                  <w:t>金额</w:t>
                </w:r>
              </w:p>
            </w:tc>
          </w:sdtContent>
        </w:sdt>
        <w:tc>
          <w:tcPr>
            <w:tcW w:w="685" w:type="pct"/>
            <w:vMerge w:val="restart"/>
            <w:shd w:val="clear" w:color="auto" w:fill="FFFFFF"/>
            <w:vAlign w:val="center"/>
          </w:tcPr>
          <w:sdt>
            <w:sdtPr>
              <w:tag w:val="_PLD_71dba82991b74b42bff24787ce9dba21"/>
              <w:id w:val="-463432660"/>
            </w:sdtPr>
            <w:sdtEndPr/>
            <w:sdtContent>
              <w:p w:rsidR="00156DD6" w:rsidRDefault="00D51F5F">
                <w:pPr>
                  <w:widowControl w:val="0"/>
                  <w:jc w:val="center"/>
                  <w:rPr>
                    <w:color w:val="000000" w:themeColor="text1"/>
                  </w:rPr>
                </w:pPr>
                <w:r>
                  <w:rPr>
                    <w:color w:val="000000" w:themeColor="text1"/>
                  </w:rPr>
                  <w:t>期末余额</w:t>
                </w:r>
              </w:p>
            </w:sdtContent>
          </w:sdt>
        </w:tc>
      </w:tr>
      <w:tr w:rsidR="00156DD6">
        <w:tc>
          <w:tcPr>
            <w:tcW w:w="818" w:type="pct"/>
            <w:vMerge/>
            <w:shd w:val="clear" w:color="auto" w:fill="FFFFFF"/>
          </w:tcPr>
          <w:p w:rsidR="00156DD6" w:rsidRDefault="00156DD6">
            <w:pPr>
              <w:widowControl w:val="0"/>
              <w:jc w:val="center"/>
              <w:rPr>
                <w:color w:val="000000" w:themeColor="text1"/>
              </w:rPr>
            </w:pPr>
          </w:p>
        </w:tc>
        <w:tc>
          <w:tcPr>
            <w:tcW w:w="687" w:type="pct"/>
            <w:vMerge/>
            <w:shd w:val="clear" w:color="auto" w:fill="FFFFFF"/>
          </w:tcPr>
          <w:p w:rsidR="00156DD6" w:rsidRDefault="00156DD6">
            <w:pPr>
              <w:widowControl w:val="0"/>
              <w:jc w:val="center"/>
              <w:rPr>
                <w:color w:val="000000" w:themeColor="text1"/>
              </w:rPr>
            </w:pPr>
          </w:p>
        </w:tc>
        <w:sdt>
          <w:sdtPr>
            <w:tag w:val="_PLD_747d1f708b2e490685cc6edafd176732"/>
            <w:id w:val="-1326577596"/>
          </w:sdtPr>
          <w:sdtEndPr/>
          <w:sdtContent>
            <w:tc>
              <w:tcPr>
                <w:tcW w:w="746" w:type="pct"/>
                <w:shd w:val="clear" w:color="auto" w:fill="FFFFFF"/>
                <w:vAlign w:val="center"/>
              </w:tcPr>
              <w:p w:rsidR="00156DD6" w:rsidRDefault="00D51F5F">
                <w:pPr>
                  <w:widowControl w:val="0"/>
                  <w:jc w:val="center"/>
                  <w:rPr>
                    <w:color w:val="000000" w:themeColor="text1"/>
                  </w:rPr>
                </w:pPr>
                <w:r>
                  <w:rPr>
                    <w:color w:val="000000" w:themeColor="text1"/>
                  </w:rPr>
                  <w:t>计提</w:t>
                </w:r>
              </w:p>
            </w:tc>
          </w:sdtContent>
        </w:sdt>
        <w:sdt>
          <w:sdtPr>
            <w:tag w:val="_PLD_55a59d4ba77742cf9759fadbe07f0d4b"/>
            <w:id w:val="1489826646"/>
          </w:sdtPr>
          <w:sdtEndPr/>
          <w:sdtContent>
            <w:tc>
              <w:tcPr>
                <w:tcW w:w="687" w:type="pct"/>
                <w:shd w:val="clear" w:color="auto" w:fill="FFFFFF"/>
                <w:vAlign w:val="center"/>
              </w:tcPr>
              <w:p w:rsidR="00156DD6" w:rsidRDefault="00D51F5F">
                <w:pPr>
                  <w:widowControl w:val="0"/>
                  <w:jc w:val="center"/>
                  <w:rPr>
                    <w:color w:val="000000" w:themeColor="text1"/>
                  </w:rPr>
                </w:pPr>
                <w:r>
                  <w:rPr>
                    <w:rFonts w:hint="eastAsia"/>
                    <w:color w:val="000000" w:themeColor="text1"/>
                  </w:rPr>
                  <w:t>收回或转回</w:t>
                </w:r>
              </w:p>
            </w:tc>
          </w:sdtContent>
        </w:sdt>
        <w:sdt>
          <w:sdtPr>
            <w:tag w:val="_PLD_84e4915da5d84ef6a8b141653da6d134"/>
            <w:id w:val="-1822963843"/>
          </w:sdtPr>
          <w:sdtEndPr/>
          <w:sdtContent>
            <w:tc>
              <w:tcPr>
                <w:tcW w:w="689" w:type="pct"/>
                <w:shd w:val="clear" w:color="auto" w:fill="FFFFFF"/>
                <w:vAlign w:val="center"/>
              </w:tcPr>
              <w:p w:rsidR="00156DD6" w:rsidRDefault="00D51F5F">
                <w:pPr>
                  <w:widowControl w:val="0"/>
                  <w:jc w:val="center"/>
                  <w:rPr>
                    <w:color w:val="000000" w:themeColor="text1"/>
                  </w:rPr>
                </w:pPr>
                <w:r>
                  <w:rPr>
                    <w:rFonts w:hint="eastAsia"/>
                    <w:color w:val="000000" w:themeColor="text1"/>
                  </w:rPr>
                  <w:t>转销或核销</w:t>
                </w:r>
              </w:p>
            </w:tc>
          </w:sdtContent>
        </w:sdt>
        <w:sdt>
          <w:sdtPr>
            <w:tag w:val="_PLD_f50a0cc32e9c443295b2cc3acda22d33"/>
            <w:id w:val="1583183871"/>
          </w:sdtPr>
          <w:sdtEndPr/>
          <w:sdtContent>
            <w:tc>
              <w:tcPr>
                <w:tcW w:w="687" w:type="pct"/>
                <w:shd w:val="clear" w:color="auto" w:fill="FFFFFF"/>
                <w:vAlign w:val="center"/>
              </w:tcPr>
              <w:p w:rsidR="00156DD6" w:rsidRDefault="00D51F5F">
                <w:pPr>
                  <w:widowControl w:val="0"/>
                  <w:jc w:val="center"/>
                  <w:rPr>
                    <w:color w:val="000000" w:themeColor="text1"/>
                  </w:rPr>
                </w:pPr>
                <w:r>
                  <w:rPr>
                    <w:rFonts w:hint="eastAsia"/>
                    <w:color w:val="000000" w:themeColor="text1"/>
                  </w:rPr>
                  <w:t>其他变动</w:t>
                </w:r>
              </w:p>
            </w:tc>
          </w:sdtContent>
        </w:sdt>
        <w:tc>
          <w:tcPr>
            <w:tcW w:w="685" w:type="pct"/>
            <w:vMerge/>
            <w:shd w:val="clear" w:color="auto" w:fill="FFFFFF"/>
          </w:tcPr>
          <w:p w:rsidR="00156DD6" w:rsidRDefault="00156DD6">
            <w:pPr>
              <w:widowControl w:val="0"/>
              <w:jc w:val="right"/>
              <w:rPr>
                <w:color w:val="000000" w:themeColor="text1"/>
              </w:rPr>
            </w:pPr>
          </w:p>
        </w:tc>
      </w:tr>
      <w:tr w:rsidR="00156DD6">
        <w:tc>
          <w:tcPr>
            <w:tcW w:w="818" w:type="pct"/>
          </w:tcPr>
          <w:p w:rsidR="00156DD6" w:rsidRDefault="00D51F5F">
            <w:pPr>
              <w:widowControl w:val="0"/>
            </w:pPr>
            <w:r>
              <w:rPr>
                <w:rFonts w:hint="eastAsia"/>
              </w:rPr>
              <w:t>长期应收款</w:t>
            </w:r>
          </w:p>
        </w:tc>
        <w:tc>
          <w:tcPr>
            <w:tcW w:w="687" w:type="pct"/>
            <w:vAlign w:val="center"/>
          </w:tcPr>
          <w:p w:rsidR="00156DD6" w:rsidRDefault="00D51F5F">
            <w:pPr>
              <w:widowControl w:val="0"/>
              <w:jc w:val="right"/>
            </w:pPr>
            <w:r>
              <w:t>628,053.16</w:t>
            </w:r>
          </w:p>
        </w:tc>
        <w:tc>
          <w:tcPr>
            <w:tcW w:w="746" w:type="pct"/>
          </w:tcPr>
          <w:p w:rsidR="00156DD6" w:rsidRDefault="00D51F5F">
            <w:pPr>
              <w:widowControl w:val="0"/>
              <w:jc w:val="right"/>
            </w:pPr>
            <w:r>
              <w:rPr>
                <w:rFonts w:hint="eastAsia"/>
              </w:rPr>
              <w:t xml:space="preserve"> 635,776.34 </w:t>
            </w:r>
          </w:p>
        </w:tc>
        <w:tc>
          <w:tcPr>
            <w:tcW w:w="687" w:type="pct"/>
          </w:tcPr>
          <w:p w:rsidR="00156DD6" w:rsidRDefault="00156DD6">
            <w:pPr>
              <w:widowControl w:val="0"/>
              <w:jc w:val="right"/>
            </w:pPr>
          </w:p>
        </w:tc>
        <w:tc>
          <w:tcPr>
            <w:tcW w:w="689" w:type="pct"/>
          </w:tcPr>
          <w:p w:rsidR="00156DD6" w:rsidRDefault="00156DD6">
            <w:pPr>
              <w:widowControl w:val="0"/>
              <w:jc w:val="right"/>
            </w:pPr>
          </w:p>
        </w:tc>
        <w:tc>
          <w:tcPr>
            <w:tcW w:w="687" w:type="pct"/>
          </w:tcPr>
          <w:p w:rsidR="00156DD6" w:rsidRDefault="00156DD6">
            <w:pPr>
              <w:widowControl w:val="0"/>
              <w:jc w:val="right"/>
            </w:pPr>
          </w:p>
        </w:tc>
        <w:tc>
          <w:tcPr>
            <w:tcW w:w="685" w:type="pct"/>
          </w:tcPr>
          <w:p w:rsidR="00156DD6" w:rsidRDefault="00D51F5F">
            <w:pPr>
              <w:widowControl w:val="0"/>
              <w:jc w:val="right"/>
            </w:pPr>
            <w:r>
              <w:rPr>
                <w:rFonts w:hint="eastAsia"/>
              </w:rPr>
              <w:t xml:space="preserve"> 1,263,829.50 </w:t>
            </w:r>
          </w:p>
        </w:tc>
      </w:tr>
      <w:tr w:rsidR="00156DD6">
        <w:tc>
          <w:tcPr>
            <w:tcW w:w="818" w:type="pct"/>
          </w:tcPr>
          <w:p w:rsidR="00156DD6" w:rsidRDefault="00D51F5F">
            <w:pPr>
              <w:widowControl w:val="0"/>
              <w:jc w:val="center"/>
              <w:rPr>
                <w:color w:val="000000" w:themeColor="text1"/>
              </w:rPr>
            </w:pPr>
            <w:r>
              <w:rPr>
                <w:rFonts w:hint="eastAsia"/>
                <w:color w:val="000000" w:themeColor="text1"/>
              </w:rPr>
              <w:t>合计</w:t>
            </w:r>
          </w:p>
        </w:tc>
        <w:tc>
          <w:tcPr>
            <w:tcW w:w="687" w:type="pct"/>
            <w:vAlign w:val="center"/>
          </w:tcPr>
          <w:p w:rsidR="00156DD6" w:rsidRDefault="00D51F5F">
            <w:pPr>
              <w:widowControl w:val="0"/>
              <w:jc w:val="right"/>
            </w:pPr>
            <w:r>
              <w:t>628,053.16</w:t>
            </w:r>
          </w:p>
        </w:tc>
        <w:tc>
          <w:tcPr>
            <w:tcW w:w="746" w:type="pct"/>
          </w:tcPr>
          <w:p w:rsidR="00156DD6" w:rsidRDefault="00D51F5F">
            <w:pPr>
              <w:widowControl w:val="0"/>
              <w:jc w:val="right"/>
            </w:pPr>
            <w:r>
              <w:rPr>
                <w:rFonts w:hint="eastAsia"/>
              </w:rPr>
              <w:t xml:space="preserve"> 635,776.34 </w:t>
            </w:r>
          </w:p>
        </w:tc>
        <w:tc>
          <w:tcPr>
            <w:tcW w:w="687" w:type="pct"/>
          </w:tcPr>
          <w:p w:rsidR="00156DD6" w:rsidRDefault="00156DD6">
            <w:pPr>
              <w:widowControl w:val="0"/>
              <w:jc w:val="right"/>
            </w:pPr>
          </w:p>
        </w:tc>
        <w:tc>
          <w:tcPr>
            <w:tcW w:w="689" w:type="pct"/>
          </w:tcPr>
          <w:p w:rsidR="00156DD6" w:rsidRDefault="00156DD6">
            <w:pPr>
              <w:widowControl w:val="0"/>
              <w:jc w:val="right"/>
            </w:pPr>
          </w:p>
        </w:tc>
        <w:tc>
          <w:tcPr>
            <w:tcW w:w="687" w:type="pct"/>
          </w:tcPr>
          <w:p w:rsidR="00156DD6" w:rsidRDefault="00156DD6">
            <w:pPr>
              <w:widowControl w:val="0"/>
              <w:jc w:val="right"/>
            </w:pPr>
          </w:p>
        </w:tc>
        <w:tc>
          <w:tcPr>
            <w:tcW w:w="685" w:type="pct"/>
          </w:tcPr>
          <w:p w:rsidR="00156DD6" w:rsidRDefault="00D51F5F">
            <w:pPr>
              <w:widowControl w:val="0"/>
              <w:jc w:val="right"/>
            </w:pPr>
            <w:r>
              <w:rPr>
                <w:rFonts w:hint="eastAsia"/>
              </w:rPr>
              <w:t xml:space="preserve"> 1,263,829.50 </w:t>
            </w:r>
          </w:p>
        </w:tc>
      </w:tr>
    </w:tbl>
    <w:bookmarkEnd w:id="319"/>
    <w:p w:rsidR="00156DD6" w:rsidRDefault="00D51F5F">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a29d07e52de24827baca64b0af5687bb"/>
        <w:id w:val="-82712812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坏账准备情况的说明"/>
        <w:tag w:val="_GBC_15f3ea2819374a1d81b14a1eed39f1ec"/>
        <w:id w:val="1629894184"/>
        <w:placeholder>
          <w:docPart w:val="GBC22222222222222222222222222222"/>
        </w:placeholder>
      </w:sdtPr>
      <w:sdtEndPr/>
      <w:sdtContent>
        <w:p w:rsidR="00156DD6" w:rsidRDefault="00D51F5F">
          <w:pPr>
            <w:ind w:rightChars="20" w:right="42"/>
            <w:rPr>
              <w:color w:val="000000" w:themeColor="text1"/>
            </w:rPr>
          </w:pPr>
          <w:r>
            <w:rPr>
              <w:rFonts w:hint="eastAsia"/>
              <w:color w:val="000000" w:themeColor="text1"/>
            </w:rPr>
            <w:t>无</w:t>
          </w:r>
        </w:p>
      </w:sdtContent>
    </w:sdt>
    <w:p w:rsidR="00156DD6" w:rsidRDefault="00D51F5F">
      <w:pPr>
        <w:pStyle w:val="Style47"/>
        <w:numPr>
          <w:ilvl w:val="0"/>
          <w:numId w:val="56"/>
        </w:numPr>
        <w:rPr>
          <w:rFonts w:ascii="宋体" w:hAnsi="宋体"/>
          <w:color w:val="000000" w:themeColor="text1"/>
          <w:sz w:val="21"/>
          <w:szCs w:val="21"/>
        </w:rPr>
      </w:pPr>
      <w:r>
        <w:rPr>
          <w:rFonts w:ascii="宋体" w:hAnsi="宋体" w:hint="eastAsia"/>
          <w:color w:val="000000" w:themeColor="text1"/>
          <w:sz w:val="21"/>
          <w:szCs w:val="21"/>
        </w:rPr>
        <w:t>本期实际核销的长期应收款情况</w:t>
      </w:r>
    </w:p>
    <w:sdt>
      <w:sdtPr>
        <w:rPr>
          <w:color w:val="000000" w:themeColor="text1"/>
        </w:rPr>
        <w:alias w:val="是否适用：实际核销的情况[双击切换]"/>
        <w:tag w:val="_GBC_447ec231ca8744e2a8f9b570dfecfd28"/>
        <w:id w:val="-32297442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其中重要的长期应收款核销情况</w:t>
      </w:r>
    </w:p>
    <w:sdt>
      <w:sdtPr>
        <w:rPr>
          <w:rFonts w:hint="eastAsia"/>
          <w:color w:val="000000" w:themeColor="text1"/>
        </w:rPr>
        <w:alias w:val="是否适用：重要的核销情况[双击切换]"/>
        <w:tag w:val="_GBC_7e501e63ade7457987f62bf3d0dd5df5"/>
        <w:id w:val="-82805775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核销说明[双击切换]"/>
        <w:tag w:val="_GBC_81ff204464594f45b7ea7b4c6b25a65c"/>
        <w:id w:val="-2070408737"/>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20"/>
    <w:bookmarkEnd w:id="321"/>
    <w:p w:rsidR="00156DD6" w:rsidRDefault="00D51F5F">
      <w:pPr>
        <w:rPr>
          <w:color w:val="000000" w:themeColor="text1"/>
        </w:rPr>
      </w:pPr>
      <w:r>
        <w:rPr>
          <w:rFonts w:hint="eastAsia"/>
          <w:color w:val="000000" w:themeColor="text1"/>
        </w:rPr>
        <w:t>其他说明：</w:t>
      </w:r>
    </w:p>
    <w:sdt>
      <w:sdtPr>
        <w:rPr>
          <w:rFonts w:hint="eastAsia"/>
          <w:color w:val="000000" w:themeColor="text1"/>
        </w:rPr>
        <w:alias w:val="是否适用：长期应收款的其他说明[双击切换]"/>
        <w:tag w:val="_GBC_a368edfbd60c44cdaed5299529b44fa0"/>
        <w:id w:val="-35049415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长期股权投资</w:t>
      </w:r>
    </w:p>
    <w:p w:rsidR="00156DD6" w:rsidRDefault="00D51F5F">
      <w:pPr>
        <w:pStyle w:val="Style47"/>
        <w:numPr>
          <w:ilvl w:val="0"/>
          <w:numId w:val="57"/>
        </w:numPr>
        <w:ind w:left="425" w:hanging="425"/>
        <w:rPr>
          <w:color w:val="000000" w:themeColor="text1"/>
          <w:sz w:val="21"/>
          <w:szCs w:val="21"/>
        </w:rPr>
      </w:pPr>
      <w:r>
        <w:rPr>
          <w:rFonts w:hint="eastAsia"/>
          <w:color w:val="000000" w:themeColor="text1"/>
          <w:sz w:val="21"/>
          <w:szCs w:val="21"/>
        </w:rPr>
        <w:t>长期股权投资情况</w:t>
      </w:r>
    </w:p>
    <w:p w:rsidR="00156DD6" w:rsidRDefault="00D51F5F">
      <w:pPr>
        <w:rPr>
          <w:color w:val="000000" w:themeColor="text1"/>
        </w:rPr>
      </w:pPr>
      <w:sdt>
        <w:sdtPr>
          <w:rPr>
            <w:rFonts w:hint="eastAsia"/>
            <w:color w:val="000000" w:themeColor="text1"/>
          </w:rPr>
          <w:alias w:val="是否适用：长期股权投资[双击切换]"/>
          <w:tag w:val="_GBC_bafa2cb2262c4c4ebc4eed8f4e4a81c6"/>
          <w:id w:val="1547414172"/>
          <w:lock w:val="contentLocked"/>
          <w:placeholder>
            <w:docPart w:val="GBC22222222222222222222222222222"/>
          </w:placeholder>
        </w:sdtPr>
        <w:sdtEndPr/>
        <w:sdtContent>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p w:rsidR="00156DD6" w:rsidRDefault="00D51F5F">
      <w:pPr>
        <w:jc w:val="right"/>
        <w:rPr>
          <w:color w:val="000000" w:themeColor="text1"/>
        </w:rPr>
      </w:pPr>
      <w:bookmarkStart w:id="322" w:name="_Hlk200370069"/>
      <w:bookmarkStart w:id="323" w:name="_Hlk106375234"/>
      <w:bookmarkStart w:id="324" w:name="_Hlk199854611"/>
      <w:r>
        <w:rPr>
          <w:rFonts w:hint="eastAsia"/>
          <w:color w:val="000000" w:themeColor="text1"/>
        </w:rPr>
        <w:t>单位：</w:t>
      </w:r>
      <w:sdt>
        <w:sdtPr>
          <w:rPr>
            <w:rFonts w:hint="eastAsia"/>
            <w:color w:val="000000" w:themeColor="text1"/>
          </w:rPr>
          <w:alias w:val="单位：财务附注：长期股权投资"/>
          <w:tag w:val="_GBC_63e30834d38e49658bec9056bc38e4e2"/>
          <w:id w:val="-20522249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股权投资"/>
          <w:tag w:val="_GBC_f72bca6b250e484887289a819bc62e7d"/>
          <w:id w:val="2150127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34"/>
        <w:gridCol w:w="1118"/>
        <w:gridCol w:w="1417"/>
        <w:gridCol w:w="709"/>
        <w:gridCol w:w="1418"/>
        <w:gridCol w:w="992"/>
        <w:gridCol w:w="850"/>
        <w:gridCol w:w="1276"/>
        <w:gridCol w:w="709"/>
        <w:gridCol w:w="425"/>
        <w:gridCol w:w="1463"/>
        <w:gridCol w:w="923"/>
      </w:tblGrid>
      <w:tr w:rsidR="00156DD6">
        <w:bookmarkEnd w:id="322" w:displacedByCustomXml="next"/>
        <w:sdt>
          <w:sdtPr>
            <w:rPr>
              <w:sz w:val="18"/>
              <w:szCs w:val="18"/>
            </w:rPr>
            <w:tag w:val="_PLD_9e3ff129c80540828097585bec2a274a"/>
            <w:id w:val="-2105639072"/>
          </w:sdtPr>
          <w:sdtEndPr/>
          <w:sdtContent>
            <w:tc>
              <w:tcPr>
                <w:tcW w:w="1129" w:type="dxa"/>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被投资单位</w:t>
                </w:r>
              </w:p>
            </w:tc>
          </w:sdtContent>
        </w:sdt>
        <w:sdt>
          <w:sdtPr>
            <w:rPr>
              <w:sz w:val="18"/>
              <w:szCs w:val="18"/>
            </w:rPr>
            <w:tag w:val="_PLD_1d8637e24bf6498db71869cd552b60a2"/>
            <w:id w:val="-258834593"/>
          </w:sdtPr>
          <w:sdtEndPr/>
          <w:sdtContent>
            <w:tc>
              <w:tcPr>
                <w:tcW w:w="1434" w:type="dxa"/>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期初</w:t>
                </w:r>
              </w:p>
              <w:p w:rsidR="00156DD6" w:rsidRDefault="00D51F5F">
                <w:pPr>
                  <w:jc w:val="center"/>
                  <w:rPr>
                    <w:color w:val="000000" w:themeColor="text1"/>
                    <w:sz w:val="18"/>
                    <w:szCs w:val="18"/>
                  </w:rPr>
                </w:pPr>
                <w:r>
                  <w:rPr>
                    <w:rFonts w:hint="eastAsia"/>
                    <w:color w:val="000000" w:themeColor="text1"/>
                    <w:sz w:val="18"/>
                    <w:szCs w:val="18"/>
                  </w:rPr>
                  <w:t>余额（账面价值）</w:t>
                </w:r>
              </w:p>
            </w:tc>
          </w:sdtContent>
        </w:sdt>
        <w:tc>
          <w:tcPr>
            <w:tcW w:w="1118" w:type="dxa"/>
            <w:vMerge w:val="restart"/>
            <w:tcBorders>
              <w:top w:val="single" w:sz="4" w:space="0" w:color="auto"/>
              <w:left w:val="single" w:sz="4" w:space="0" w:color="auto"/>
              <w:right w:val="single" w:sz="4" w:space="0" w:color="auto"/>
            </w:tcBorders>
            <w:vAlign w:val="center"/>
          </w:tcPr>
          <w:sdt>
            <w:sdtPr>
              <w:rPr>
                <w:sz w:val="18"/>
                <w:szCs w:val="18"/>
              </w:rPr>
              <w:tag w:val="_PLD_f6327daa2fd7418ca2acf4b4ac38a832"/>
              <w:id w:val="-1048070569"/>
            </w:sdtPr>
            <w:sdtEndPr/>
            <w:sdtContent>
              <w:p w:rsidR="00156DD6" w:rsidRDefault="00D51F5F">
                <w:pPr>
                  <w:jc w:val="center"/>
                  <w:rPr>
                    <w:color w:val="000000" w:themeColor="text1"/>
                    <w:sz w:val="18"/>
                    <w:szCs w:val="18"/>
                  </w:rPr>
                </w:pPr>
                <w:r>
                  <w:rPr>
                    <w:rFonts w:hint="eastAsia"/>
                    <w:color w:val="000000" w:themeColor="text1"/>
                    <w:sz w:val="18"/>
                    <w:szCs w:val="18"/>
                  </w:rPr>
                  <w:t>减值准备期初余额</w:t>
                </w:r>
              </w:p>
            </w:sdtContent>
          </w:sdt>
        </w:tc>
        <w:sdt>
          <w:sdtPr>
            <w:rPr>
              <w:sz w:val="18"/>
              <w:szCs w:val="18"/>
            </w:rPr>
            <w:tag w:val="_PLD_edc952101e7b4fa483f7289f9b74dfdf"/>
            <w:id w:val="-1900431782"/>
          </w:sdtPr>
          <w:sdtEndPr/>
          <w:sdtContent>
            <w:tc>
              <w:tcPr>
                <w:tcW w:w="7796" w:type="dxa"/>
                <w:gridSpan w:val="8"/>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本期增减变动</w:t>
                </w:r>
              </w:p>
            </w:tc>
          </w:sdtContent>
        </w:sdt>
        <w:sdt>
          <w:sdtPr>
            <w:rPr>
              <w:sz w:val="18"/>
              <w:szCs w:val="18"/>
            </w:rPr>
            <w:tag w:val="_PLD_44cfcec128d9419fba83c50966e49235"/>
            <w:id w:val="-433561"/>
          </w:sdtPr>
          <w:sdtEndPr/>
          <w:sdtContent>
            <w:tc>
              <w:tcPr>
                <w:tcW w:w="1463" w:type="dxa"/>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期末</w:t>
                </w:r>
              </w:p>
              <w:p w:rsidR="00156DD6" w:rsidRDefault="00D51F5F">
                <w:pPr>
                  <w:jc w:val="center"/>
                  <w:rPr>
                    <w:color w:val="000000" w:themeColor="text1"/>
                    <w:sz w:val="18"/>
                    <w:szCs w:val="18"/>
                  </w:rPr>
                </w:pPr>
                <w:r>
                  <w:rPr>
                    <w:rFonts w:hint="eastAsia"/>
                    <w:color w:val="000000" w:themeColor="text1"/>
                    <w:sz w:val="18"/>
                    <w:szCs w:val="18"/>
                  </w:rPr>
                  <w:t>余额（账面价值）</w:t>
                </w:r>
              </w:p>
            </w:tc>
          </w:sdtContent>
        </w:sdt>
        <w:sdt>
          <w:sdtPr>
            <w:rPr>
              <w:sz w:val="18"/>
              <w:szCs w:val="18"/>
            </w:rPr>
            <w:tag w:val="_PLD_34a3cc0844264226a50c84165c09bb9a"/>
            <w:id w:val="1916971720"/>
          </w:sdtPr>
          <w:sdtEndPr/>
          <w:sdtContent>
            <w:tc>
              <w:tcPr>
                <w:tcW w:w="923" w:type="dxa"/>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减值准备期末余额</w:t>
                </w:r>
              </w:p>
            </w:tc>
          </w:sdtContent>
        </w:sdt>
      </w:tr>
      <w:tr w:rsidR="00156DD6">
        <w:tc>
          <w:tcPr>
            <w:tcW w:w="1129" w:type="dxa"/>
            <w:vMerge/>
            <w:tcBorders>
              <w:left w:val="single" w:sz="4" w:space="0" w:color="auto"/>
              <w:bottom w:val="single" w:sz="4" w:space="0" w:color="auto"/>
              <w:right w:val="single" w:sz="4" w:space="0" w:color="auto"/>
            </w:tcBorders>
          </w:tcPr>
          <w:p w:rsidR="00156DD6" w:rsidRDefault="00156DD6">
            <w:pPr>
              <w:jc w:val="center"/>
              <w:rPr>
                <w:color w:val="000000" w:themeColor="text1"/>
                <w:sz w:val="18"/>
                <w:szCs w:val="18"/>
              </w:rPr>
            </w:pPr>
          </w:p>
        </w:tc>
        <w:tc>
          <w:tcPr>
            <w:tcW w:w="1434" w:type="dxa"/>
            <w:vMerge/>
            <w:tcBorders>
              <w:left w:val="single" w:sz="4" w:space="0" w:color="auto"/>
              <w:bottom w:val="single" w:sz="4" w:space="0" w:color="auto"/>
              <w:right w:val="single" w:sz="4" w:space="0" w:color="auto"/>
            </w:tcBorders>
          </w:tcPr>
          <w:p w:rsidR="00156DD6" w:rsidRDefault="00156DD6">
            <w:pPr>
              <w:jc w:val="center"/>
              <w:rPr>
                <w:color w:val="000000" w:themeColor="text1"/>
                <w:sz w:val="18"/>
                <w:szCs w:val="18"/>
              </w:rPr>
            </w:pPr>
          </w:p>
        </w:tc>
        <w:tc>
          <w:tcPr>
            <w:tcW w:w="1118" w:type="dxa"/>
            <w:vMerge/>
            <w:tcBorders>
              <w:left w:val="single" w:sz="4" w:space="0" w:color="auto"/>
              <w:bottom w:val="single" w:sz="4" w:space="0" w:color="auto"/>
              <w:right w:val="single" w:sz="4" w:space="0" w:color="auto"/>
            </w:tcBorders>
          </w:tcPr>
          <w:p w:rsidR="00156DD6" w:rsidRDefault="00156DD6">
            <w:pPr>
              <w:jc w:val="center"/>
              <w:rPr>
                <w:color w:val="000000" w:themeColor="text1"/>
                <w:sz w:val="18"/>
                <w:szCs w:val="18"/>
              </w:rPr>
            </w:pPr>
          </w:p>
        </w:tc>
        <w:sdt>
          <w:sdtPr>
            <w:rPr>
              <w:sz w:val="18"/>
              <w:szCs w:val="18"/>
            </w:rPr>
            <w:tag w:val="_PLD_f88446e104b7482db6830a46769bd8f6"/>
            <w:id w:val="729731234"/>
          </w:sdtPr>
          <w:sdtEndPr/>
          <w:sdtContent>
            <w:tc>
              <w:tcPr>
                <w:tcW w:w="1417"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追加投资</w:t>
                </w:r>
              </w:p>
            </w:tc>
          </w:sdtContent>
        </w:sdt>
        <w:sdt>
          <w:sdtPr>
            <w:rPr>
              <w:sz w:val="18"/>
              <w:szCs w:val="18"/>
            </w:rPr>
            <w:tag w:val="_PLD_dc0d6646fb2e45ba8e5e07f2c6954c9f"/>
            <w:id w:val="1183406290"/>
          </w:sdtPr>
          <w:sdtEndPr/>
          <w:sdtContent>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减少投资</w:t>
                </w:r>
              </w:p>
            </w:tc>
          </w:sdtContent>
        </w:sdt>
        <w:sdt>
          <w:sdtPr>
            <w:rPr>
              <w:sz w:val="18"/>
              <w:szCs w:val="18"/>
            </w:rPr>
            <w:tag w:val="_PLD_098d9fcf9d5341879d534aa385508f23"/>
            <w:id w:val="-662697378"/>
          </w:sdtPr>
          <w:sdtEndPr/>
          <w:sdtContent>
            <w:tc>
              <w:tcPr>
                <w:tcW w:w="1418"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权益法下确认的投资损益</w:t>
                </w:r>
              </w:p>
            </w:tc>
          </w:sdtContent>
        </w:sdt>
        <w:sdt>
          <w:sdtPr>
            <w:rPr>
              <w:sz w:val="18"/>
              <w:szCs w:val="18"/>
            </w:rPr>
            <w:tag w:val="_PLD_b66787b3a51d435899d94dbab1edade7"/>
            <w:id w:val="87585381"/>
          </w:sdtPr>
          <w:sdtEndPr/>
          <w:sdtContent>
            <w:tc>
              <w:tcPr>
                <w:tcW w:w="992"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其他综合收益调整</w:t>
                </w:r>
              </w:p>
            </w:tc>
          </w:sdtContent>
        </w:sdt>
        <w:sdt>
          <w:sdtPr>
            <w:rPr>
              <w:sz w:val="18"/>
              <w:szCs w:val="18"/>
            </w:rPr>
            <w:tag w:val="_PLD_59166394bf7143a6a5ce0d447326b1ac"/>
            <w:id w:val="-344334018"/>
          </w:sdtPr>
          <w:sdtEndPr/>
          <w:sdtContent>
            <w:tc>
              <w:tcPr>
                <w:tcW w:w="850"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其他权益变动</w:t>
                </w:r>
              </w:p>
            </w:tc>
          </w:sdtContent>
        </w:sdt>
        <w:sdt>
          <w:sdtPr>
            <w:rPr>
              <w:sz w:val="18"/>
              <w:szCs w:val="18"/>
            </w:rPr>
            <w:tag w:val="_PLD_cbd4cf48730a4934a58b86d2c27b6b08"/>
            <w:id w:val="1994289361"/>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宣告发放现金股利或利润</w:t>
                </w:r>
              </w:p>
            </w:tc>
          </w:sdtContent>
        </w:sdt>
        <w:sdt>
          <w:sdtPr>
            <w:rPr>
              <w:sz w:val="18"/>
              <w:szCs w:val="18"/>
            </w:rPr>
            <w:tag w:val="_PLD_4c0a72e8e14d4b319998bc5bde635ef0"/>
            <w:id w:val="1846202299"/>
          </w:sdtPr>
          <w:sdtEndPr/>
          <w:sdtContent>
            <w:tc>
              <w:tcPr>
                <w:tcW w:w="70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计提减值准备</w:t>
                </w:r>
              </w:p>
            </w:tc>
          </w:sdtContent>
        </w:sdt>
        <w:sdt>
          <w:sdtPr>
            <w:rPr>
              <w:sz w:val="18"/>
              <w:szCs w:val="18"/>
            </w:rPr>
            <w:tag w:val="_PLD_ea8213b5ee1442f98996b6dfc1f9a9a4"/>
            <w:id w:val="-1454627001"/>
          </w:sdtPr>
          <w:sdtEndPr/>
          <w:sdtContent>
            <w:tc>
              <w:tcPr>
                <w:tcW w:w="425"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其他</w:t>
                </w:r>
              </w:p>
            </w:tc>
          </w:sdtContent>
        </w:sdt>
        <w:tc>
          <w:tcPr>
            <w:tcW w:w="1463" w:type="dxa"/>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sz w:val="18"/>
                <w:szCs w:val="18"/>
              </w:rPr>
            </w:pPr>
          </w:p>
        </w:tc>
        <w:tc>
          <w:tcPr>
            <w:tcW w:w="923" w:type="dxa"/>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sz w:val="18"/>
                <w:szCs w:val="18"/>
              </w:rPr>
            </w:pPr>
          </w:p>
        </w:tc>
      </w:tr>
      <w:tr w:rsidR="00156DD6">
        <w:sdt>
          <w:sdtPr>
            <w:rPr>
              <w:sz w:val="18"/>
              <w:szCs w:val="18"/>
            </w:rPr>
            <w:tag w:val="_PLD_8204b6b48bf546e3af5babc667d4c84c"/>
            <w:id w:val="680935085"/>
          </w:sdtPr>
          <w:sdtEndPr/>
          <w:sdtContent>
            <w:tc>
              <w:tcPr>
                <w:tcW w:w="13863" w:type="dxa"/>
                <w:gridSpan w:val="13"/>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sz w:val="18"/>
                    <w:szCs w:val="18"/>
                  </w:rPr>
                </w:pPr>
                <w:r>
                  <w:rPr>
                    <w:rFonts w:hint="eastAsia"/>
                    <w:color w:val="000000" w:themeColor="text1"/>
                    <w:sz w:val="18"/>
                    <w:szCs w:val="18"/>
                  </w:rPr>
                  <w:t>一、合营企业</w:t>
                </w:r>
              </w:p>
            </w:tc>
          </w:sdtContent>
        </w:sdt>
      </w:tr>
      <w:tr w:rsidR="00156DD6">
        <w:tc>
          <w:tcPr>
            <w:tcW w:w="1129" w:type="dxa"/>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sz w:val="18"/>
                <w:szCs w:val="18"/>
              </w:rPr>
            </w:pPr>
            <w:r>
              <w:rPr>
                <w:rFonts w:hint="eastAsia"/>
                <w:color w:val="000000" w:themeColor="text1"/>
                <w:sz w:val="18"/>
                <w:szCs w:val="18"/>
              </w:rPr>
              <w:t>小计</w:t>
            </w:r>
          </w:p>
        </w:tc>
        <w:tc>
          <w:tcPr>
            <w:tcW w:w="1434"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118"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63"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923"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r>
      <w:tr w:rsidR="00156DD6">
        <w:sdt>
          <w:sdtPr>
            <w:rPr>
              <w:sz w:val="18"/>
              <w:szCs w:val="18"/>
            </w:rPr>
            <w:tag w:val="_PLD_0b6a8ff5b8594d3fa9d53755249b815f"/>
            <w:id w:val="-956645049"/>
          </w:sdtPr>
          <w:sdtEndPr/>
          <w:sdtContent>
            <w:tc>
              <w:tcPr>
                <w:tcW w:w="2563" w:type="dxa"/>
                <w:gridSpan w:val="2"/>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sz w:val="18"/>
                    <w:szCs w:val="18"/>
                  </w:rPr>
                </w:pPr>
                <w:r>
                  <w:rPr>
                    <w:rFonts w:hint="eastAsia"/>
                    <w:color w:val="000000" w:themeColor="text1"/>
                    <w:sz w:val="18"/>
                    <w:szCs w:val="18"/>
                  </w:rPr>
                  <w:t>二、联营企业</w:t>
                </w:r>
              </w:p>
            </w:tc>
          </w:sdtContent>
        </w:sdt>
        <w:tc>
          <w:tcPr>
            <w:tcW w:w="11300" w:type="dxa"/>
            <w:gridSpan w:val="11"/>
            <w:tcBorders>
              <w:top w:val="single" w:sz="4" w:space="0" w:color="auto"/>
              <w:left w:val="single" w:sz="4" w:space="0" w:color="auto"/>
              <w:bottom w:val="single" w:sz="4" w:space="0" w:color="auto"/>
              <w:right w:val="single" w:sz="4" w:space="0" w:color="auto"/>
            </w:tcBorders>
          </w:tcPr>
          <w:p w:rsidR="00156DD6" w:rsidRDefault="00156DD6">
            <w:pPr>
              <w:jc w:val="both"/>
              <w:rPr>
                <w:color w:val="000000" w:themeColor="text1"/>
                <w:sz w:val="18"/>
                <w:szCs w:val="18"/>
              </w:rPr>
            </w:pPr>
          </w:p>
        </w:tc>
      </w:tr>
      <w:tr w:rsidR="00156DD6">
        <w:tc>
          <w:tcPr>
            <w:tcW w:w="1129" w:type="dxa"/>
            <w:tcBorders>
              <w:top w:val="single" w:sz="4" w:space="0" w:color="auto"/>
              <w:left w:val="single" w:sz="4" w:space="0" w:color="auto"/>
              <w:bottom w:val="single" w:sz="4" w:space="0" w:color="auto"/>
              <w:right w:val="single" w:sz="4" w:space="0" w:color="auto"/>
            </w:tcBorders>
          </w:tcPr>
          <w:p w:rsidR="00156DD6" w:rsidRDefault="00D51F5F">
            <w:pPr>
              <w:jc w:val="both"/>
              <w:rPr>
                <w:sz w:val="18"/>
                <w:szCs w:val="18"/>
              </w:rPr>
            </w:pPr>
            <w:r>
              <w:rPr>
                <w:rFonts w:hint="eastAsia"/>
                <w:sz w:val="18"/>
                <w:szCs w:val="18"/>
              </w:rPr>
              <w:t>重庆能投长寿经开区售电有限公司</w:t>
            </w:r>
          </w:p>
        </w:tc>
        <w:tc>
          <w:tcPr>
            <w:tcW w:w="1434"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14,718,479.56</w:t>
            </w:r>
          </w:p>
        </w:tc>
        <w:tc>
          <w:tcPr>
            <w:tcW w:w="1118"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-635,639.22</w:t>
            </w:r>
          </w:p>
        </w:tc>
        <w:tc>
          <w:tcPr>
            <w:tcW w:w="992"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14,082,840.34</w:t>
            </w:r>
          </w:p>
        </w:tc>
        <w:tc>
          <w:tcPr>
            <w:tcW w:w="923"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r>
      <w:tr w:rsidR="00156DD6">
        <w:tc>
          <w:tcPr>
            <w:tcW w:w="1129" w:type="dxa"/>
            <w:tcBorders>
              <w:top w:val="single" w:sz="4" w:space="0" w:color="auto"/>
              <w:left w:val="single" w:sz="4" w:space="0" w:color="auto"/>
              <w:bottom w:val="single" w:sz="4" w:space="0" w:color="auto"/>
              <w:right w:val="single" w:sz="4" w:space="0" w:color="auto"/>
            </w:tcBorders>
          </w:tcPr>
          <w:p w:rsidR="00156DD6" w:rsidRDefault="00D51F5F">
            <w:pPr>
              <w:jc w:val="both"/>
              <w:rPr>
                <w:sz w:val="18"/>
                <w:szCs w:val="18"/>
              </w:rPr>
            </w:pPr>
            <w:r>
              <w:rPr>
                <w:rFonts w:hint="eastAsia"/>
                <w:sz w:val="18"/>
                <w:szCs w:val="18"/>
              </w:rPr>
              <w:t>深圳南海电气科技有限公司</w:t>
            </w:r>
          </w:p>
        </w:tc>
        <w:tc>
          <w:tcPr>
            <w:tcW w:w="1434" w:type="dxa"/>
            <w:tcBorders>
              <w:top w:val="single" w:sz="4" w:space="0" w:color="auto"/>
              <w:left w:val="single" w:sz="4" w:space="0" w:color="auto"/>
              <w:bottom w:val="single" w:sz="4" w:space="0" w:color="auto"/>
              <w:right w:val="single" w:sz="4" w:space="0" w:color="auto"/>
            </w:tcBorders>
            <w:vAlign w:val="center"/>
          </w:tcPr>
          <w:p w:rsidR="00156DD6" w:rsidRDefault="00156DD6">
            <w:pPr>
              <w:jc w:val="right"/>
              <w:rPr>
                <w:sz w:val="18"/>
                <w:szCs w:val="18"/>
              </w:rPr>
            </w:pPr>
          </w:p>
        </w:tc>
        <w:tc>
          <w:tcPr>
            <w:tcW w:w="1118"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 xml:space="preserve">4,000,000.00 </w:t>
            </w: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-738,298.63</w:t>
            </w:r>
          </w:p>
        </w:tc>
        <w:tc>
          <w:tcPr>
            <w:tcW w:w="992"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3,261,701.37</w:t>
            </w:r>
          </w:p>
        </w:tc>
        <w:tc>
          <w:tcPr>
            <w:tcW w:w="923"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r>
      <w:tr w:rsidR="00156DD6">
        <w:tc>
          <w:tcPr>
            <w:tcW w:w="1129" w:type="dxa"/>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sz w:val="18"/>
                <w:szCs w:val="18"/>
              </w:rPr>
            </w:pPr>
            <w:r>
              <w:rPr>
                <w:rFonts w:hint="eastAsia"/>
                <w:color w:val="000000" w:themeColor="text1"/>
                <w:sz w:val="18"/>
                <w:szCs w:val="18"/>
              </w:rPr>
              <w:t>小计</w:t>
            </w:r>
          </w:p>
        </w:tc>
        <w:tc>
          <w:tcPr>
            <w:tcW w:w="1434"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14,718,479.56</w:t>
            </w:r>
          </w:p>
        </w:tc>
        <w:tc>
          <w:tcPr>
            <w:tcW w:w="1118"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 xml:space="preserve">4,000,000.00 </w:t>
            </w: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-1,373,937.85</w:t>
            </w:r>
          </w:p>
        </w:tc>
        <w:tc>
          <w:tcPr>
            <w:tcW w:w="992"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17,344,541.71</w:t>
            </w:r>
          </w:p>
        </w:tc>
        <w:tc>
          <w:tcPr>
            <w:tcW w:w="923"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r>
      <w:tr w:rsidR="00156DD6">
        <w:tc>
          <w:tcPr>
            <w:tcW w:w="112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合计</w:t>
            </w:r>
          </w:p>
        </w:tc>
        <w:tc>
          <w:tcPr>
            <w:tcW w:w="1434"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14,718,479.56</w:t>
            </w:r>
          </w:p>
        </w:tc>
        <w:tc>
          <w:tcPr>
            <w:tcW w:w="1118"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 xml:space="preserve">4,000,000.00 </w:t>
            </w: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-1,373,937.85</w:t>
            </w:r>
          </w:p>
        </w:tc>
        <w:tc>
          <w:tcPr>
            <w:tcW w:w="992"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1463"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17,344,541.71</w:t>
            </w:r>
          </w:p>
        </w:tc>
        <w:tc>
          <w:tcPr>
            <w:tcW w:w="923" w:type="dxa"/>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r>
    </w:tbl>
    <w:p w:rsidR="00156DD6" w:rsidRDefault="00D51F5F">
      <w:pPr>
        <w:pStyle w:val="4"/>
        <w:numPr>
          <w:ilvl w:val="0"/>
          <w:numId w:val="57"/>
        </w:numPr>
        <w:rPr>
          <w:color w:val="000000" w:themeColor="text1"/>
        </w:rPr>
      </w:pPr>
      <w:bookmarkStart w:id="325" w:name="_Hlk533409702"/>
      <w:bookmarkStart w:id="326" w:name="_Hlk152858292"/>
      <w:bookmarkStart w:id="327" w:name="_Hlk167895169"/>
      <w:bookmarkEnd w:id="323"/>
      <w:bookmarkEnd w:id="324"/>
      <w:r>
        <w:rPr>
          <w:rFonts w:hint="eastAsia"/>
          <w:color w:val="000000" w:themeColor="text1"/>
        </w:rPr>
        <w:t>长期股权投资的减值测试情况</w:t>
      </w:r>
    </w:p>
    <w:sdt>
      <w:sdtPr>
        <w:rPr>
          <w:color w:val="000000" w:themeColor="text1"/>
        </w:rPr>
        <w:alias w:val="是否适用：减值测试情况[双击切换]"/>
        <w:tag w:val="_GBC_c736c8a0ce06478bb4d52ef30b7043c8"/>
        <w:id w:val="1717314307"/>
        <w:placeholder>
          <w:docPart w:val="A663ACB53F174A8EA085F4F539857946"/>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其他说明</w:t>
      </w:r>
    </w:p>
    <w:p w:rsidR="00156DD6" w:rsidRDefault="00D51F5F">
      <w:pPr>
        <w:snapToGrid w:val="0"/>
        <w:spacing w:line="240" w:lineRule="atLeast"/>
        <w:rPr>
          <w:color w:val="000000" w:themeColor="text1"/>
        </w:rPr>
      </w:pPr>
      <w:sdt>
        <w:sdtPr>
          <w:rPr>
            <w:color w:val="000000" w:themeColor="text1"/>
          </w:rPr>
          <w:alias w:val="长期股票投资的说明"/>
          <w:tag w:val="_GBC_de8cfc4ca45d42b88f7513c93a853186"/>
          <w:id w:val="-827434748"/>
          <w:placeholder>
            <w:docPart w:val="A663ACB53F174A8EA085F4F539857946"/>
          </w:placeholder>
        </w:sdtPr>
        <w:sdtEndPr/>
        <w:sdtContent>
          <w:r>
            <w:rPr>
              <w:rFonts w:hint="eastAsia"/>
              <w:color w:val="000000" w:themeColor="text1"/>
            </w:rPr>
            <w:t>无</w:t>
          </w:r>
        </w:sdtContent>
      </w:sdt>
    </w:p>
    <w:p w:rsidR="00156DD6" w:rsidRDefault="00D51F5F">
      <w:pPr>
        <w:pStyle w:val="TOC6"/>
        <w:numPr>
          <w:ilvl w:val="0"/>
          <w:numId w:val="53"/>
        </w:numPr>
        <w:rPr>
          <w:color w:val="000000" w:themeColor="text1"/>
          <w:sz w:val="21"/>
          <w:szCs w:val="22"/>
        </w:rPr>
      </w:pPr>
      <w:r>
        <w:rPr>
          <w:color w:val="000000" w:themeColor="text1"/>
          <w:sz w:val="21"/>
          <w:szCs w:val="22"/>
        </w:rPr>
        <w:t>其他权益工具投资</w:t>
      </w:r>
    </w:p>
    <w:p w:rsidR="00156DD6" w:rsidRDefault="00D51F5F">
      <w:pPr>
        <w:pStyle w:val="Style47"/>
        <w:numPr>
          <w:ilvl w:val="3"/>
          <w:numId w:val="58"/>
        </w:numPr>
        <w:ind w:left="426" w:hanging="426"/>
        <w:rPr>
          <w:color w:val="000000" w:themeColor="text1"/>
          <w:sz w:val="21"/>
          <w:szCs w:val="21"/>
        </w:rPr>
      </w:pPr>
      <w:bookmarkStart w:id="328" w:name="_Hlk532994936"/>
      <w:r>
        <w:rPr>
          <w:rFonts w:hint="eastAsia"/>
          <w:color w:val="000000" w:themeColor="text1"/>
          <w:sz w:val="21"/>
          <w:szCs w:val="21"/>
        </w:rPr>
        <w:t>其他权益工具投资情况</w:t>
      </w:r>
    </w:p>
    <w:sdt>
      <w:sdtPr>
        <w:rPr>
          <w:color w:val="000000" w:themeColor="text1"/>
        </w:rPr>
        <w:alias w:val="是否适用：其他权益工具投资情况[双击切换]"/>
        <w:tag w:val="_GBC_ac87b47cf70d4820a1189b53bf53af73"/>
        <w:id w:val="66552005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其他权益工具投资情况"/>
          <w:tag w:val="_GBC_9bbc2bc262694a308c04bf4f25e3f1bb"/>
          <w:id w:val="20507231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其他权益工具投资情况"/>
          <w:tag w:val="_GBC_c944479021b54a639f17a7b9d298ba98"/>
          <w:id w:val="17903063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386"/>
        <w:gridCol w:w="538"/>
        <w:gridCol w:w="538"/>
        <w:gridCol w:w="1494"/>
        <w:gridCol w:w="963"/>
        <w:gridCol w:w="443"/>
        <w:gridCol w:w="1386"/>
        <w:gridCol w:w="1305"/>
        <w:gridCol w:w="1693"/>
        <w:gridCol w:w="963"/>
        <w:gridCol w:w="1530"/>
      </w:tblGrid>
      <w:tr w:rsidR="00156DD6">
        <w:bookmarkEnd w:id="328" w:displacedByCustomXml="next"/>
        <w:bookmarkEnd w:id="325" w:displacedByCustomXml="next"/>
        <w:bookmarkStart w:id="329" w:name="OLE_LINK4" w:displacedByCustomXml="next"/>
        <w:sdt>
          <w:sdtPr>
            <w:rPr>
              <w:sz w:val="18"/>
              <w:szCs w:val="18"/>
            </w:rPr>
            <w:tag w:val="_PLD_3daf209c1b064e4980c71e7ae45806a6"/>
            <w:id w:val="1368638196"/>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项目</w:t>
                </w:r>
              </w:p>
            </w:tc>
          </w:sdtContent>
        </w:sdt>
        <w:sdt>
          <w:sdtPr>
            <w:rPr>
              <w:sz w:val="18"/>
              <w:szCs w:val="18"/>
            </w:rPr>
            <w:tag w:val="_PLD_1d20fa0d77b4406390305b87a75671b0"/>
            <w:id w:val="1735660961"/>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期初</w:t>
                </w:r>
              </w:p>
              <w:p w:rsidR="00156DD6" w:rsidRDefault="00D51F5F">
                <w:pPr>
                  <w:jc w:val="center"/>
                  <w:rPr>
                    <w:color w:val="000000" w:themeColor="text1"/>
                    <w:sz w:val="18"/>
                    <w:szCs w:val="18"/>
                  </w:rPr>
                </w:pPr>
                <w:r>
                  <w:rPr>
                    <w:rFonts w:hint="eastAsia"/>
                    <w:color w:val="000000" w:themeColor="text1"/>
                    <w:sz w:val="18"/>
                    <w:szCs w:val="18"/>
                  </w:rPr>
                  <w:t>余额</w:t>
                </w:r>
              </w:p>
            </w:tc>
          </w:sdtContent>
        </w:sdt>
        <w:sdt>
          <w:sdtPr>
            <w:rPr>
              <w:sz w:val="18"/>
              <w:szCs w:val="18"/>
            </w:rPr>
            <w:tag w:val="_PLD_6a633ba000d144cb8770931370381fa1"/>
            <w:id w:val="524911538"/>
          </w:sdtPr>
          <w:sdtEndPr/>
          <w:sdtContent>
            <w:tc>
              <w:tcPr>
                <w:tcW w:w="0" w:type="auto"/>
                <w:gridSpan w:val="5"/>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本期增减变动</w:t>
                </w:r>
              </w:p>
            </w:tc>
          </w:sdtContent>
        </w:sdt>
        <w:sdt>
          <w:sdtPr>
            <w:rPr>
              <w:sz w:val="18"/>
              <w:szCs w:val="18"/>
            </w:rPr>
            <w:tag w:val="_PLD_d9fc41afb57d40a5826584d39a74e53d"/>
            <w:id w:val="-1455249375"/>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期末</w:t>
                </w:r>
              </w:p>
              <w:p w:rsidR="00156DD6" w:rsidRDefault="00D51F5F">
                <w:pPr>
                  <w:jc w:val="center"/>
                  <w:rPr>
                    <w:color w:val="000000" w:themeColor="text1"/>
                    <w:sz w:val="18"/>
                    <w:szCs w:val="18"/>
                  </w:rPr>
                </w:pPr>
                <w:r>
                  <w:rPr>
                    <w:rFonts w:hint="eastAsia"/>
                    <w:color w:val="000000" w:themeColor="text1"/>
                    <w:sz w:val="18"/>
                    <w:szCs w:val="18"/>
                  </w:rPr>
                  <w:t>余额</w:t>
                </w:r>
              </w:p>
            </w:tc>
          </w:sdtContent>
        </w:sdt>
        <w:sdt>
          <w:sdtPr>
            <w:rPr>
              <w:sz w:val="18"/>
              <w:szCs w:val="18"/>
            </w:rPr>
            <w:tag w:val="_PLD_b3500e3451724262a7eb38ac2709c54a"/>
            <w:id w:val="1436087181"/>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本期确认的股利收入</w:t>
                </w:r>
              </w:p>
            </w:tc>
          </w:sdtContent>
        </w:sdt>
        <w:sdt>
          <w:sdtPr>
            <w:rPr>
              <w:sz w:val="18"/>
              <w:szCs w:val="18"/>
            </w:rPr>
            <w:tag w:val="_PLD_d94045f5a1cb4092aa594c265a146180"/>
            <w:id w:val="-519319473"/>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累计计入其他综合收益的利得</w:t>
                </w:r>
              </w:p>
            </w:tc>
          </w:sdtContent>
        </w:sdt>
        <w:sdt>
          <w:sdtPr>
            <w:rPr>
              <w:sz w:val="18"/>
              <w:szCs w:val="18"/>
            </w:rPr>
            <w:tag w:val="_PLD_5f0ce8d1a2e4468abbf27c5755f10b41"/>
            <w:id w:val="-1025327135"/>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累计计入其他综合收益的损失</w:t>
                </w:r>
              </w:p>
            </w:tc>
          </w:sdtContent>
        </w:sdt>
        <w:sdt>
          <w:sdtPr>
            <w:rPr>
              <w:sz w:val="18"/>
              <w:szCs w:val="18"/>
            </w:rPr>
            <w:tag w:val="_PLD_30dbafaa8a8b420cb3406f22958c59c0"/>
            <w:id w:val="-2126299983"/>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指定为以公允价值计量且其变动计入其他综合收益的原因</w:t>
                </w:r>
              </w:p>
            </w:tc>
          </w:sdtContent>
        </w:sdt>
      </w:tr>
      <w:tr w:rsidR="00156DD6">
        <w:tc>
          <w:tcPr>
            <w:tcW w:w="0" w:type="auto"/>
            <w:vMerge/>
            <w:tcBorders>
              <w:left w:val="single" w:sz="4" w:space="0" w:color="auto"/>
              <w:bottom w:val="single" w:sz="4" w:space="0" w:color="auto"/>
              <w:right w:val="single" w:sz="4" w:space="0" w:color="auto"/>
            </w:tcBorders>
          </w:tcPr>
          <w:p w:rsidR="00156DD6" w:rsidRDefault="00156DD6">
            <w:pPr>
              <w:jc w:val="center"/>
              <w:rPr>
                <w:color w:val="000000" w:themeColor="text1"/>
                <w:sz w:val="18"/>
                <w:szCs w:val="18"/>
              </w:rPr>
            </w:pPr>
          </w:p>
        </w:tc>
        <w:tc>
          <w:tcPr>
            <w:tcW w:w="0" w:type="auto"/>
            <w:vMerge/>
            <w:tcBorders>
              <w:left w:val="single" w:sz="4" w:space="0" w:color="auto"/>
              <w:bottom w:val="single" w:sz="4" w:space="0" w:color="auto"/>
              <w:right w:val="single" w:sz="4" w:space="0" w:color="auto"/>
            </w:tcBorders>
          </w:tcPr>
          <w:p w:rsidR="00156DD6" w:rsidRDefault="00156DD6">
            <w:pPr>
              <w:jc w:val="center"/>
              <w:rPr>
                <w:color w:val="000000" w:themeColor="text1"/>
                <w:sz w:val="18"/>
                <w:szCs w:val="18"/>
              </w:rPr>
            </w:pPr>
          </w:p>
        </w:tc>
        <w:sdt>
          <w:sdtPr>
            <w:rPr>
              <w:sz w:val="18"/>
              <w:szCs w:val="18"/>
            </w:rPr>
            <w:tag w:val="_PLD_7fb134b102ea4ac69df08b1a4af24780"/>
            <w:id w:val="-1439056891"/>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追加</w:t>
                </w:r>
                <w:r>
                  <w:rPr>
                    <w:rFonts w:hint="eastAsia"/>
                    <w:color w:val="000000" w:themeColor="text1"/>
                    <w:sz w:val="18"/>
                    <w:szCs w:val="18"/>
                  </w:rPr>
                  <w:lastRenderedPageBreak/>
                  <w:t>投资</w:t>
                </w:r>
              </w:p>
            </w:tc>
          </w:sdtContent>
        </w:sdt>
        <w:sdt>
          <w:sdtPr>
            <w:rPr>
              <w:sz w:val="18"/>
              <w:szCs w:val="18"/>
            </w:rPr>
            <w:tag w:val="_PLD_a5097fcdb0644572a784e139d5bc86f5"/>
            <w:id w:val="1739360301"/>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减少</w:t>
                </w:r>
                <w:r>
                  <w:rPr>
                    <w:rFonts w:hint="eastAsia"/>
                    <w:color w:val="000000" w:themeColor="text1"/>
                    <w:sz w:val="18"/>
                    <w:szCs w:val="18"/>
                  </w:rPr>
                  <w:lastRenderedPageBreak/>
                  <w:t>投资</w:t>
                </w:r>
              </w:p>
            </w:tc>
          </w:sdtContent>
        </w:sdt>
        <w:sdt>
          <w:sdtPr>
            <w:rPr>
              <w:sz w:val="18"/>
              <w:szCs w:val="18"/>
            </w:rPr>
            <w:tag w:val="_PLD_500aaf3ba85d422e91cb8bed768593ce"/>
            <w:id w:val="-1769151487"/>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本期计入其他综合收益的利得</w:t>
                </w:r>
              </w:p>
            </w:tc>
          </w:sdtContent>
        </w:sdt>
        <w:sdt>
          <w:sdtPr>
            <w:rPr>
              <w:sz w:val="18"/>
              <w:szCs w:val="18"/>
            </w:rPr>
            <w:tag w:val="_PLD_9451af532fa54486a8ab06976fcedd26"/>
            <w:id w:val="1527991975"/>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本期计入其他综合</w:t>
                </w:r>
                <w:r>
                  <w:rPr>
                    <w:rFonts w:hint="eastAsia"/>
                    <w:color w:val="000000" w:themeColor="text1"/>
                    <w:sz w:val="18"/>
                    <w:szCs w:val="18"/>
                  </w:rPr>
                  <w:lastRenderedPageBreak/>
                  <w:t>收益的损失</w:t>
                </w:r>
              </w:p>
            </w:tc>
          </w:sdtContent>
        </w:sdt>
        <w:sdt>
          <w:sdtPr>
            <w:rPr>
              <w:sz w:val="18"/>
              <w:szCs w:val="18"/>
            </w:rPr>
            <w:tag w:val="_PLD_99beff4095cd487eb9318f7cff078d10"/>
            <w:id w:val="-1587674194"/>
          </w:sdtPr>
          <w:sdtEndPr/>
          <w:sdtContent>
            <w:tc>
              <w:tcPr>
                <w:tcW w:w="0" w:type="auto"/>
                <w:tcBorders>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其他</w:t>
                </w:r>
              </w:p>
            </w:tc>
          </w:sdtContent>
        </w:sdt>
        <w:tc>
          <w:tcPr>
            <w:tcW w:w="0" w:type="auto"/>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sz w:val="18"/>
                <w:szCs w:val="18"/>
              </w:rPr>
            </w:pPr>
          </w:p>
        </w:tc>
        <w:tc>
          <w:tcPr>
            <w:tcW w:w="0" w:type="auto"/>
            <w:vMerge/>
            <w:tcBorders>
              <w:left w:val="single" w:sz="4" w:space="0" w:color="auto"/>
              <w:bottom w:val="single" w:sz="4" w:space="0" w:color="auto"/>
              <w:right w:val="single" w:sz="4" w:space="0" w:color="auto"/>
            </w:tcBorders>
          </w:tcPr>
          <w:p w:rsidR="00156DD6" w:rsidRDefault="00156DD6">
            <w:pPr>
              <w:jc w:val="center"/>
              <w:rPr>
                <w:color w:val="000000" w:themeColor="text1"/>
                <w:sz w:val="18"/>
                <w:szCs w:val="18"/>
              </w:rPr>
            </w:pPr>
          </w:p>
        </w:tc>
        <w:tc>
          <w:tcPr>
            <w:tcW w:w="0" w:type="auto"/>
            <w:vMerge/>
            <w:tcBorders>
              <w:left w:val="single" w:sz="4" w:space="0" w:color="auto"/>
              <w:bottom w:val="single" w:sz="4" w:space="0" w:color="auto"/>
              <w:right w:val="single" w:sz="4" w:space="0" w:color="auto"/>
            </w:tcBorders>
          </w:tcPr>
          <w:p w:rsidR="00156DD6" w:rsidRDefault="00156DD6">
            <w:pPr>
              <w:jc w:val="center"/>
              <w:rPr>
                <w:color w:val="000000" w:themeColor="text1"/>
                <w:sz w:val="18"/>
                <w:szCs w:val="18"/>
              </w:rPr>
            </w:pPr>
          </w:p>
        </w:tc>
        <w:tc>
          <w:tcPr>
            <w:tcW w:w="0" w:type="auto"/>
            <w:vMerge/>
            <w:tcBorders>
              <w:left w:val="single" w:sz="4" w:space="0" w:color="auto"/>
              <w:bottom w:val="single" w:sz="4" w:space="0" w:color="auto"/>
              <w:right w:val="single" w:sz="4" w:space="0" w:color="auto"/>
            </w:tcBorders>
          </w:tcPr>
          <w:p w:rsidR="00156DD6" w:rsidRDefault="00156DD6">
            <w:pPr>
              <w:jc w:val="center"/>
              <w:rPr>
                <w:color w:val="000000" w:themeColor="text1"/>
                <w:sz w:val="18"/>
                <w:szCs w:val="18"/>
              </w:rPr>
            </w:pPr>
          </w:p>
        </w:tc>
        <w:tc>
          <w:tcPr>
            <w:tcW w:w="0" w:type="auto"/>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sz w:val="18"/>
                <w:szCs w:val="18"/>
              </w:rPr>
            </w:pPr>
          </w:p>
        </w:tc>
      </w:tr>
      <w:tr w:rsidR="00156DD6">
        <w:tc>
          <w:tcPr>
            <w:tcW w:w="0" w:type="auto"/>
            <w:tcBorders>
              <w:top w:val="single" w:sz="4" w:space="0" w:color="auto"/>
              <w:left w:val="single" w:sz="4" w:space="0" w:color="auto"/>
              <w:bottom w:val="single" w:sz="4" w:space="0" w:color="auto"/>
              <w:right w:val="single" w:sz="4" w:space="0" w:color="auto"/>
            </w:tcBorders>
          </w:tcPr>
          <w:p w:rsidR="00156DD6" w:rsidRDefault="00D51F5F">
            <w:pPr>
              <w:pStyle w:val="Style43"/>
              <w:rPr>
                <w:sz w:val="18"/>
                <w:szCs w:val="18"/>
              </w:rPr>
            </w:pPr>
            <w:r>
              <w:rPr>
                <w:rFonts w:hint="eastAsia"/>
                <w:sz w:val="18"/>
                <w:szCs w:val="18"/>
              </w:rPr>
              <w:t>指定为以公允价值计量且其变动计入其他综合收益的金融资产</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16,207,676.10</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479,763.90</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 xml:space="preserve">16,687,440.00 </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790,567.47</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14,411,880.00</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156DD6" w:rsidRDefault="00156DD6">
            <w:pPr>
              <w:pStyle w:val="Style43"/>
              <w:rPr>
                <w:sz w:val="18"/>
                <w:szCs w:val="18"/>
              </w:rPr>
            </w:pPr>
          </w:p>
        </w:tc>
      </w:tr>
      <w:tr w:rsidR="00156DD6">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18"/>
                <w:szCs w:val="18"/>
              </w:rPr>
            </w:pPr>
            <w:r>
              <w:rPr>
                <w:rFonts w:hint="eastAsia"/>
                <w:color w:val="000000" w:themeColor="text1"/>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16,207,676.10</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479,763.90</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 xml:space="preserve">16,687,440.00 </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790,567.47</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18"/>
                <w:szCs w:val="18"/>
              </w:rPr>
            </w:pPr>
            <w:r>
              <w:rPr>
                <w:sz w:val="18"/>
                <w:szCs w:val="18"/>
              </w:rPr>
              <w:t>14,411,880.00</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sz w:val="18"/>
                <w:szCs w:val="18"/>
              </w:rPr>
            </w:pPr>
            <w:r>
              <w:rPr>
                <w:rFonts w:hint="eastAsia"/>
                <w:color w:val="000000" w:themeColor="text1"/>
                <w:sz w:val="18"/>
                <w:szCs w:val="18"/>
              </w:rPr>
              <w:t>/</w:t>
            </w:r>
          </w:p>
        </w:tc>
      </w:tr>
    </w:tbl>
    <w:bookmarkEnd w:id="326"/>
    <w:bookmarkEnd w:id="329"/>
    <w:p w:rsidR="00156DD6" w:rsidRDefault="00D51F5F">
      <w:pPr>
        <w:pStyle w:val="Style47"/>
        <w:numPr>
          <w:ilvl w:val="3"/>
          <w:numId w:val="58"/>
        </w:numPr>
        <w:ind w:left="426" w:hanging="426"/>
        <w:rPr>
          <w:color w:val="000000" w:themeColor="text1"/>
          <w:sz w:val="21"/>
          <w:szCs w:val="21"/>
        </w:rPr>
      </w:pPr>
      <w:r>
        <w:rPr>
          <w:rFonts w:hint="eastAsia"/>
          <w:color w:val="000000" w:themeColor="text1"/>
          <w:sz w:val="21"/>
          <w:szCs w:val="21"/>
        </w:rPr>
        <w:t>本期存在终止确认的情况说明</w:t>
      </w:r>
    </w:p>
    <w:sdt>
      <w:sdtPr>
        <w:rPr>
          <w:color w:val="000000" w:themeColor="text1"/>
        </w:rPr>
        <w:alias w:val="是否适用：本期存在终止确认的情况说明[双击切换]"/>
        <w:tag w:val="_GBC_db77b2aaae65441d940bf2dc3b0e8b9b"/>
        <w:id w:val="181044436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330" w:name="_Hlk10472110"/>
      <w:bookmarkStart w:id="331" w:name="_Hlk10472118"/>
      <w:bookmarkEnd w:id="327"/>
      <w:r>
        <w:rPr>
          <w:rFonts w:hint="eastAsia"/>
          <w:color w:val="000000" w:themeColor="text1"/>
        </w:rPr>
        <w:t>其他</w:t>
      </w:r>
      <w:r>
        <w:rPr>
          <w:color w:val="000000" w:themeColor="text1"/>
        </w:rPr>
        <w:t>说明</w:t>
      </w:r>
      <w:r>
        <w:rPr>
          <w:rFonts w:hint="eastAsia"/>
          <w:color w:val="000000" w:themeColor="text1"/>
        </w:rPr>
        <w:t>：</w:t>
      </w:r>
      <w:bookmarkEnd w:id="330"/>
    </w:p>
    <w:sdt>
      <w:sdtPr>
        <w:rPr>
          <w:color w:val="000000" w:themeColor="text1"/>
        </w:rPr>
        <w:alias w:val="是否适用：其他权益工具投资其他说明[双击切换]"/>
        <w:tag w:val="_GBC_9bd79d8d324a4f4c984344781e18ee35"/>
        <w:id w:val="197208597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332" w:name="_Hlk10472259"/>
      <w:bookmarkEnd w:id="331"/>
      <w:r>
        <w:rPr>
          <w:color w:val="000000" w:themeColor="text1"/>
          <w:sz w:val="21"/>
          <w:szCs w:val="22"/>
        </w:rPr>
        <w:t>其他非流动金融资产</w:t>
      </w:r>
    </w:p>
    <w:sdt>
      <w:sdtPr>
        <w:rPr>
          <w:color w:val="000000" w:themeColor="text1"/>
        </w:rPr>
        <w:alias w:val="是否适用：其他非流动金融资产[双击切换]"/>
        <w:tag w:val="_GBC_39a16d6030db4b008bd8e70705c49dd5"/>
        <w:id w:val="131722625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32"/>
    <w:p w:rsidR="00156DD6" w:rsidRDefault="00D51F5F">
      <w:pPr>
        <w:pStyle w:val="TOC6"/>
        <w:numPr>
          <w:ilvl w:val="0"/>
          <w:numId w:val="53"/>
        </w:numPr>
        <w:rPr>
          <w:color w:val="000000" w:themeColor="text1"/>
          <w:sz w:val="21"/>
          <w:szCs w:val="22"/>
        </w:rPr>
      </w:pPr>
      <w:r>
        <w:rPr>
          <w:color w:val="000000" w:themeColor="text1"/>
          <w:sz w:val="21"/>
          <w:szCs w:val="22"/>
        </w:rPr>
        <w:t>投资性房地产</w:t>
      </w:r>
    </w:p>
    <w:p w:rsidR="00156DD6" w:rsidRDefault="00D51F5F">
      <w:pPr>
        <w:rPr>
          <w:color w:val="000000" w:themeColor="text1"/>
        </w:rPr>
      </w:pPr>
      <w:r>
        <w:rPr>
          <w:color w:val="000000" w:themeColor="text1"/>
        </w:rPr>
        <w:t>投资性房地产</w:t>
      </w:r>
      <w:r>
        <w:rPr>
          <w:rFonts w:hint="eastAsia"/>
          <w:color w:val="000000" w:themeColor="text1"/>
        </w:rPr>
        <w:t>计量模式</w:t>
      </w:r>
    </w:p>
    <w:p w:rsidR="00156DD6" w:rsidRDefault="00D51F5F">
      <w:pPr>
        <w:ind w:right="283"/>
        <w:rPr>
          <w:rFonts w:cstheme="minorBidi"/>
          <w:color w:val="000000" w:themeColor="text1"/>
          <w:kern w:val="2"/>
        </w:rPr>
      </w:pPr>
      <w:r>
        <w:rPr>
          <w:rFonts w:cstheme="minorBidi" w:hint="eastAsia"/>
          <w:color w:val="000000" w:themeColor="text1"/>
          <w:kern w:val="2"/>
        </w:rPr>
        <w:t>不</w:t>
      </w:r>
      <w:sdt>
        <w:sdtPr>
          <w:tag w:val="_PLD_b96b9a0d652c42729d37043ca500e287"/>
          <w:id w:val="-852796339"/>
          <w:placeholder>
            <w:docPart w:val="GBC22222222222222222222222222222"/>
          </w:placeholder>
        </w:sdtPr>
        <w:sdtEndPr/>
        <w:sdtContent>
          <w:r>
            <w:rPr>
              <w:rFonts w:cstheme="minorBidi" w:hint="eastAsia"/>
              <w:color w:val="000000" w:themeColor="text1"/>
              <w:kern w:val="2"/>
            </w:rPr>
            <w:t>适</w:t>
          </w:r>
        </w:sdtContent>
      </w:sdt>
      <w:r>
        <w:rPr>
          <w:rFonts w:cstheme="minorBidi" w:hint="eastAsia"/>
          <w:color w:val="000000" w:themeColor="text1"/>
          <w:kern w:val="2"/>
        </w:rPr>
        <w:t>用</w:t>
      </w:r>
    </w:p>
    <w:p w:rsidR="00156DD6" w:rsidRDefault="00D51F5F">
      <w:pPr>
        <w:pStyle w:val="TOC6"/>
        <w:numPr>
          <w:ilvl w:val="0"/>
          <w:numId w:val="53"/>
        </w:numPr>
        <w:rPr>
          <w:color w:val="000000" w:themeColor="text1"/>
          <w:sz w:val="21"/>
          <w:szCs w:val="22"/>
        </w:rPr>
      </w:pPr>
      <w:bookmarkStart w:id="333" w:name="_Hlk167895445"/>
      <w:bookmarkStart w:id="334" w:name="_Hlk153460290"/>
      <w:bookmarkStart w:id="335" w:name="_Hlk167895351"/>
      <w:bookmarkStart w:id="336" w:name="_Hlk167895546"/>
      <w:bookmarkEnd w:id="333"/>
      <w:bookmarkEnd w:id="334"/>
      <w:bookmarkEnd w:id="335"/>
      <w:bookmarkEnd w:id="336"/>
      <w:r>
        <w:rPr>
          <w:color w:val="000000" w:themeColor="text1"/>
          <w:sz w:val="21"/>
          <w:szCs w:val="22"/>
        </w:rPr>
        <w:t>固定资产</w:t>
      </w:r>
    </w:p>
    <w:p w:rsidR="00156DD6" w:rsidRDefault="00D51F5F">
      <w:pPr>
        <w:pStyle w:val="Style47"/>
        <w:tabs>
          <w:tab w:val="left" w:pos="588"/>
        </w:tabs>
        <w:rPr>
          <w:rFonts w:ascii="宋体" w:hAnsi="宋体"/>
          <w:color w:val="000000" w:themeColor="text1"/>
          <w:sz w:val="21"/>
          <w:szCs w:val="21"/>
        </w:rPr>
      </w:pPr>
      <w:bookmarkStart w:id="337" w:name="_Hlk10472369"/>
      <w:r>
        <w:rPr>
          <w:rFonts w:ascii="宋体" w:hAnsi="宋体" w:hint="eastAsia"/>
          <w:color w:val="000000" w:themeColor="text1"/>
          <w:sz w:val="21"/>
          <w:szCs w:val="21"/>
        </w:rPr>
        <w:t>项目列示</w:t>
      </w:r>
    </w:p>
    <w:sdt>
      <w:sdtPr>
        <w:rPr>
          <w:color w:val="000000" w:themeColor="text1"/>
        </w:rPr>
        <w:alias w:val="是否适用：固定资产分类列示[双击切换]"/>
        <w:tag w:val="_GBC_73d82e583dcc4330bebfeb83abd5f5bb"/>
        <w:id w:val="52993036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固定资产分类列示"/>
          <w:tag w:val="_GBC_1ddbfde119544f109a3b12a48ffde12d"/>
          <w:id w:val="-12373089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固定资产分类列示"/>
          <w:tag w:val="_GBC_fcb83ec59024431d9f3167f55c1ae7c0"/>
          <w:id w:val="2481625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386"/>
        <w:gridCol w:w="4408"/>
      </w:tblGrid>
      <w:tr w:rsidR="00156DD6">
        <w:sdt>
          <w:sdtPr>
            <w:tag w:val="_PLD_8242dd3761084b5fa8943b910dbdbe45"/>
            <w:id w:val="-673564354"/>
          </w:sdtPr>
          <w:sdtEndPr/>
          <w:sdtContent>
            <w:tc>
              <w:tcPr>
                <w:tcW w:w="1828" w:type="pct"/>
                <w:vAlign w:val="center"/>
              </w:tcPr>
              <w:p w:rsidR="00156DD6" w:rsidRDefault="00D51F5F">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tag w:val="_PLD_666df388ce2f4405af4694ebf5c112ca"/>
            <w:id w:val="1671758082"/>
          </w:sdtPr>
          <w:sdtEndPr/>
          <w:sdtContent>
            <w:tc>
              <w:tcPr>
                <w:tcW w:w="1582"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ca4fd9ec8b6a43259f78c36475f04e58"/>
            <w:id w:val="-149299286"/>
          </w:sdtPr>
          <w:sdtEndPr/>
          <w:sdtContent>
            <w:tc>
              <w:tcPr>
                <w:tcW w:w="1590"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c>
          <w:tcPr>
            <w:tcW w:w="1828"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固定资产</w:t>
            </w:r>
          </w:p>
        </w:tc>
        <w:tc>
          <w:tcPr>
            <w:tcW w:w="1582" w:type="pct"/>
          </w:tcPr>
          <w:p w:rsidR="00156DD6" w:rsidRDefault="00D51F5F">
            <w:pPr>
              <w:tabs>
                <w:tab w:val="right" w:pos="3690"/>
                <w:tab w:val="right" w:pos="5130"/>
                <w:tab w:val="right" w:pos="6030"/>
                <w:tab w:val="right" w:pos="7650"/>
                <w:tab w:val="right" w:pos="9270"/>
              </w:tabs>
              <w:adjustRightInd w:val="0"/>
              <w:snapToGrid w:val="0"/>
              <w:jc w:val="right"/>
            </w:pPr>
            <w:r>
              <w:rPr>
                <w:rFonts w:hint="eastAsia"/>
              </w:rPr>
              <w:t xml:space="preserve"> 1,933,105,000.36 </w:t>
            </w:r>
          </w:p>
        </w:tc>
        <w:tc>
          <w:tcPr>
            <w:tcW w:w="1590" w:type="pct"/>
            <w:vAlign w:val="center"/>
          </w:tcPr>
          <w:p w:rsidR="00156DD6" w:rsidRDefault="00D51F5F">
            <w:pPr>
              <w:tabs>
                <w:tab w:val="right" w:pos="3690"/>
                <w:tab w:val="right" w:pos="5130"/>
                <w:tab w:val="right" w:pos="6030"/>
                <w:tab w:val="right" w:pos="7650"/>
                <w:tab w:val="right" w:pos="9270"/>
              </w:tabs>
              <w:adjustRightInd w:val="0"/>
              <w:snapToGrid w:val="0"/>
              <w:jc w:val="right"/>
            </w:pPr>
            <w:r>
              <w:t>2,016,902,943.58</w:t>
            </w:r>
          </w:p>
        </w:tc>
      </w:tr>
      <w:tr w:rsidR="00156DD6">
        <w:tc>
          <w:tcPr>
            <w:tcW w:w="1828"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固定资产清理</w:t>
            </w:r>
          </w:p>
        </w:tc>
        <w:tc>
          <w:tcPr>
            <w:tcW w:w="1582" w:type="pct"/>
          </w:tcPr>
          <w:p w:rsidR="00156DD6" w:rsidRDefault="00156DD6">
            <w:pPr>
              <w:tabs>
                <w:tab w:val="right" w:pos="3690"/>
                <w:tab w:val="right" w:pos="5130"/>
                <w:tab w:val="right" w:pos="6030"/>
                <w:tab w:val="right" w:pos="7650"/>
                <w:tab w:val="right" w:pos="9270"/>
              </w:tabs>
              <w:adjustRightInd w:val="0"/>
              <w:snapToGrid w:val="0"/>
              <w:jc w:val="right"/>
            </w:pPr>
          </w:p>
        </w:tc>
        <w:tc>
          <w:tcPr>
            <w:tcW w:w="1590" w:type="pct"/>
            <w:vAlign w:val="center"/>
          </w:tcPr>
          <w:p w:rsidR="00156DD6" w:rsidRDefault="00156DD6">
            <w:pPr>
              <w:tabs>
                <w:tab w:val="right" w:pos="3690"/>
                <w:tab w:val="right" w:pos="5130"/>
                <w:tab w:val="right" w:pos="6030"/>
                <w:tab w:val="right" w:pos="7650"/>
                <w:tab w:val="right" w:pos="9270"/>
              </w:tabs>
              <w:adjustRightInd w:val="0"/>
              <w:snapToGrid w:val="0"/>
              <w:jc w:val="right"/>
            </w:pPr>
          </w:p>
        </w:tc>
      </w:tr>
      <w:tr w:rsidR="00156DD6">
        <w:tc>
          <w:tcPr>
            <w:tcW w:w="1828" w:type="pct"/>
            <w:vAlign w:val="center"/>
          </w:tcPr>
          <w:p w:rsidR="00156DD6" w:rsidRDefault="00D51F5F">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合计</w:t>
            </w:r>
          </w:p>
        </w:tc>
        <w:tc>
          <w:tcPr>
            <w:tcW w:w="1582" w:type="pct"/>
          </w:tcPr>
          <w:p w:rsidR="00156DD6" w:rsidRDefault="00D51F5F">
            <w:pPr>
              <w:tabs>
                <w:tab w:val="right" w:pos="3690"/>
                <w:tab w:val="right" w:pos="5130"/>
                <w:tab w:val="right" w:pos="6030"/>
                <w:tab w:val="right" w:pos="7650"/>
                <w:tab w:val="right" w:pos="9270"/>
              </w:tabs>
              <w:adjustRightInd w:val="0"/>
              <w:snapToGrid w:val="0"/>
              <w:jc w:val="right"/>
            </w:pPr>
            <w:r>
              <w:rPr>
                <w:rFonts w:hint="eastAsia"/>
              </w:rPr>
              <w:t xml:space="preserve"> 1,933,105,000.36 </w:t>
            </w:r>
          </w:p>
        </w:tc>
        <w:tc>
          <w:tcPr>
            <w:tcW w:w="1590" w:type="pct"/>
            <w:vAlign w:val="center"/>
          </w:tcPr>
          <w:p w:rsidR="00156DD6" w:rsidRDefault="00D51F5F">
            <w:pPr>
              <w:tabs>
                <w:tab w:val="right" w:pos="3690"/>
                <w:tab w:val="right" w:pos="5130"/>
                <w:tab w:val="right" w:pos="6030"/>
                <w:tab w:val="right" w:pos="7650"/>
                <w:tab w:val="right" w:pos="9270"/>
              </w:tabs>
              <w:adjustRightInd w:val="0"/>
              <w:snapToGrid w:val="0"/>
              <w:jc w:val="right"/>
            </w:pPr>
            <w:r>
              <w:t>2,016,902,943.58</w:t>
            </w:r>
          </w:p>
        </w:tc>
      </w:tr>
    </w:tbl>
    <w:p w:rsidR="00156DD6" w:rsidRDefault="00D51F5F">
      <w:pPr>
        <w:rPr>
          <w:color w:val="000000" w:themeColor="text1"/>
        </w:rPr>
      </w:pPr>
      <w:bookmarkStart w:id="338" w:name="_Hlk10472389"/>
      <w:bookmarkStart w:id="339" w:name="_Hlk10472397"/>
      <w:bookmarkEnd w:id="337"/>
      <w:r>
        <w:rPr>
          <w:rFonts w:hint="eastAsia"/>
          <w:color w:val="000000" w:themeColor="text1"/>
        </w:rPr>
        <w:t>其他说明：</w:t>
      </w:r>
      <w:bookmarkEnd w:id="338"/>
    </w:p>
    <w:p w:rsidR="00156DD6" w:rsidRDefault="00D51F5F">
      <w:pPr>
        <w:rPr>
          <w:color w:val="000000" w:themeColor="text1"/>
        </w:rPr>
      </w:pPr>
      <w:sdt>
        <w:sdtPr>
          <w:rPr>
            <w:color w:val="000000" w:themeColor="text1"/>
          </w:rPr>
          <w:alias w:val="固定资产分类列示其他说明"/>
          <w:tag w:val="_GBC_9028bab58a12485bb8ef4d316280f591"/>
          <w:id w:val="-434894857"/>
          <w:placeholder>
            <w:docPart w:val="GBC22222222222222222222222222222"/>
          </w:placeholder>
        </w:sdtPr>
        <w:sdtEndPr/>
        <w:sdtContent>
          <w:r>
            <w:rPr>
              <w:rFonts w:hint="eastAsia"/>
              <w:color w:val="000000" w:themeColor="text1"/>
            </w:rPr>
            <w:t>无</w:t>
          </w:r>
        </w:sdtContent>
      </w:sdt>
    </w:p>
    <w:bookmarkEnd w:id="339"/>
    <w:p w:rsidR="00156DD6" w:rsidRDefault="00D51F5F">
      <w:pPr>
        <w:pStyle w:val="Style47"/>
        <w:tabs>
          <w:tab w:val="left" w:pos="588"/>
        </w:tabs>
        <w:rPr>
          <w:rFonts w:ascii="宋体" w:hAnsi="宋体"/>
          <w:color w:val="000000" w:themeColor="text1"/>
          <w:sz w:val="21"/>
          <w:szCs w:val="21"/>
        </w:rPr>
      </w:pPr>
      <w:r>
        <w:rPr>
          <w:rFonts w:ascii="宋体" w:hAnsi="宋体" w:hint="eastAsia"/>
          <w:color w:val="000000" w:themeColor="text1"/>
          <w:sz w:val="21"/>
          <w:szCs w:val="21"/>
        </w:rPr>
        <w:t>固定资产</w:t>
      </w:r>
    </w:p>
    <w:p w:rsidR="00156DD6" w:rsidRDefault="00D51F5F">
      <w:pPr>
        <w:pStyle w:val="Style48"/>
        <w:numPr>
          <w:ilvl w:val="0"/>
          <w:numId w:val="59"/>
        </w:numPr>
        <w:rPr>
          <w:sz w:val="21"/>
          <w:szCs w:val="21"/>
        </w:rPr>
      </w:pPr>
      <w:bookmarkStart w:id="340" w:name="OLE_LINK7"/>
      <w:r>
        <w:rPr>
          <w:rFonts w:hint="eastAsia"/>
          <w:sz w:val="21"/>
          <w:szCs w:val="21"/>
        </w:rPr>
        <w:t>固定资产情况</w:t>
      </w:r>
    </w:p>
    <w:bookmarkEnd w:id="340" w:displacedByCustomXml="next"/>
    <w:sdt>
      <w:sdtPr>
        <w:rPr>
          <w:color w:val="000000" w:themeColor="text1"/>
        </w:rPr>
        <w:alias w:val="是否适用：固定资产情况[双击切换]"/>
        <w:tag w:val="_GBC_dea1f620aab74d63b1372d831b5b450f"/>
        <w:id w:val="-42033124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jc w:val="right"/>
        <w:rPr>
          <w:color w:val="000000" w:themeColor="text1"/>
        </w:rPr>
      </w:pPr>
      <w:r>
        <w:rPr>
          <w:rFonts w:hint="eastAsia"/>
          <w:color w:val="000000" w:themeColor="text1"/>
        </w:rPr>
        <w:lastRenderedPageBreak/>
        <w:t>单位：</w:t>
      </w:r>
      <w:sdt>
        <w:sdtPr>
          <w:rPr>
            <w:rFonts w:hint="eastAsia"/>
            <w:color w:val="000000" w:themeColor="text1"/>
          </w:rPr>
          <w:alias w:val="单位：财务附注：固定资产情况"/>
          <w:tag w:val="_GBC_563afa3e91c048118558af0713b1a1af"/>
          <w:id w:val="2263441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固定资产情况"/>
          <w:tag w:val="_GBC_c5ecae448dd948eca54add973afbe77b"/>
          <w:id w:val="8473633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597"/>
        <w:gridCol w:w="1996"/>
        <w:gridCol w:w="1996"/>
        <w:gridCol w:w="1996"/>
        <w:gridCol w:w="1996"/>
        <w:gridCol w:w="2282"/>
      </w:tblGrid>
      <w:tr w:rsidR="00156DD6">
        <w:sdt>
          <w:sdtPr>
            <w:tag w:val="_PLD_1741958de41447b7ac4cbd15ce893c6c"/>
            <w:id w:val="1438488821"/>
          </w:sdtPr>
          <w:sdtEndPr/>
          <w:sdtContent>
            <w:tc>
              <w:tcPr>
                <w:tcW w:w="1297" w:type="pct"/>
                <w:vAlign w:val="center"/>
              </w:tcPr>
              <w:p w:rsidR="00156DD6" w:rsidRDefault="00D51F5F">
                <w:pPr>
                  <w:jc w:val="center"/>
                  <w:rPr>
                    <w:color w:val="000000" w:themeColor="text1"/>
                  </w:rPr>
                </w:pPr>
                <w:r>
                  <w:rPr>
                    <w:rFonts w:hint="eastAsia"/>
                    <w:color w:val="000000" w:themeColor="text1"/>
                  </w:rPr>
                  <w:t>项目</w:t>
                </w:r>
              </w:p>
            </w:tc>
          </w:sdtContent>
        </w:sdt>
        <w:sdt>
          <w:sdtPr>
            <w:rPr>
              <w:rFonts w:hint="eastAsia"/>
              <w:color w:val="000000" w:themeColor="text1"/>
            </w:rPr>
            <w:alias w:val="固定资产情况明细-项目名称"/>
            <w:tag w:val="_GBC_936a8499167f477aab1a2942b2fdbdaf"/>
            <w:id w:val="1420835586"/>
            <w:text/>
          </w:sdtPr>
          <w:sdtEndPr/>
          <w:sdtContent>
            <w:tc>
              <w:tcPr>
                <w:tcW w:w="720" w:type="pct"/>
                <w:vAlign w:val="center"/>
              </w:tcPr>
              <w:p w:rsidR="00156DD6" w:rsidRDefault="00D51F5F">
                <w:pPr>
                  <w:jc w:val="center"/>
                  <w:rPr>
                    <w:color w:val="000000" w:themeColor="text1"/>
                  </w:rPr>
                </w:pPr>
                <w:r>
                  <w:rPr>
                    <w:rFonts w:hint="eastAsia"/>
                    <w:color w:val="000000" w:themeColor="text1"/>
                  </w:rPr>
                  <w:t>房屋及建筑物</w:t>
                </w:r>
              </w:p>
            </w:tc>
          </w:sdtContent>
        </w:sdt>
        <w:sdt>
          <w:sdtPr>
            <w:rPr>
              <w:rFonts w:hint="eastAsia"/>
            </w:rPr>
            <w:alias w:val="固定资产情况明细-项目名称"/>
            <w:tag w:val="_GBC_936a8499167f477aab1a2942b2fdbdaf"/>
            <w:id w:val="337207506"/>
            <w:text/>
          </w:sdtPr>
          <w:sdtEndPr/>
          <w:sdtContent>
            <w:tc>
              <w:tcPr>
                <w:tcW w:w="720" w:type="pct"/>
                <w:vAlign w:val="center"/>
              </w:tcPr>
              <w:p w:rsidR="00156DD6" w:rsidRDefault="00D51F5F">
                <w:pPr>
                  <w:jc w:val="center"/>
                </w:pPr>
                <w:r>
                  <w:rPr>
                    <w:rFonts w:hint="eastAsia"/>
                  </w:rPr>
                  <w:t>机器设备</w:t>
                </w:r>
              </w:p>
            </w:tc>
          </w:sdtContent>
        </w:sdt>
        <w:sdt>
          <w:sdtPr>
            <w:rPr>
              <w:rFonts w:hint="eastAsia"/>
            </w:rPr>
            <w:alias w:val="固定资产情况明细-项目名称"/>
            <w:tag w:val="_GBC_936a8499167f477aab1a2942b2fdbdaf"/>
            <w:id w:val="-1078820229"/>
            <w:text/>
          </w:sdtPr>
          <w:sdtEndPr/>
          <w:sdtContent>
            <w:tc>
              <w:tcPr>
                <w:tcW w:w="720" w:type="pct"/>
                <w:vAlign w:val="center"/>
              </w:tcPr>
              <w:p w:rsidR="00156DD6" w:rsidRDefault="00D51F5F">
                <w:pPr>
                  <w:jc w:val="center"/>
                </w:pPr>
                <w:r>
                  <w:rPr>
                    <w:rFonts w:hint="eastAsia"/>
                  </w:rPr>
                  <w:t>运输工具</w:t>
                </w:r>
              </w:p>
            </w:tc>
          </w:sdtContent>
        </w:sdt>
        <w:sdt>
          <w:sdtPr>
            <w:rPr>
              <w:rFonts w:hint="eastAsia"/>
            </w:rPr>
            <w:alias w:val="固定资产情况明细-项目名称"/>
            <w:tag w:val="_GBC_936a8499167f477aab1a2942b2fdbdaf"/>
            <w:id w:val="396013457"/>
            <w:text/>
          </w:sdtPr>
          <w:sdtEndPr/>
          <w:sdtContent>
            <w:tc>
              <w:tcPr>
                <w:tcW w:w="720" w:type="pct"/>
                <w:vAlign w:val="center"/>
              </w:tcPr>
              <w:p w:rsidR="00156DD6" w:rsidRDefault="00D51F5F">
                <w:pPr>
                  <w:jc w:val="center"/>
                </w:pPr>
                <w:r>
                  <w:rPr>
                    <w:rFonts w:hint="eastAsia"/>
                  </w:rPr>
                  <w:t>电子设备及办公设备</w:t>
                </w:r>
              </w:p>
            </w:tc>
          </w:sdtContent>
        </w:sdt>
        <w:sdt>
          <w:sdtPr>
            <w:tag w:val="_PLD_0b635f975b4949dbb798f88c3dcf1d8d"/>
            <w:id w:val="-1343700351"/>
          </w:sdtPr>
          <w:sdtEndPr/>
          <w:sdtContent>
            <w:tc>
              <w:tcPr>
                <w:tcW w:w="823" w:type="pct"/>
                <w:vAlign w:val="center"/>
              </w:tcPr>
              <w:p w:rsidR="00156DD6" w:rsidRDefault="00D51F5F">
                <w:pPr>
                  <w:jc w:val="center"/>
                  <w:rPr>
                    <w:color w:val="000000" w:themeColor="text1"/>
                  </w:rPr>
                </w:pPr>
                <w:r>
                  <w:rPr>
                    <w:rFonts w:hint="eastAsia"/>
                    <w:color w:val="000000" w:themeColor="text1"/>
                  </w:rPr>
                  <w:t>合计</w:t>
                </w:r>
              </w:p>
            </w:tc>
          </w:sdtContent>
        </w:sdt>
      </w:tr>
      <w:tr w:rsidR="00156DD6">
        <w:sdt>
          <w:sdtPr>
            <w:tag w:val="_PLD_e1d4e79d72fd45cc925f8729ecef795c"/>
            <w:id w:val="576711916"/>
          </w:sdtPr>
          <w:sdtEndPr/>
          <w:sdtContent>
            <w:tc>
              <w:tcPr>
                <w:tcW w:w="5000" w:type="pct"/>
                <w:gridSpan w:val="6"/>
              </w:tcPr>
              <w:p w:rsidR="00156DD6" w:rsidRDefault="00D51F5F">
                <w:pPr>
                  <w:rPr>
                    <w:color w:val="000000" w:themeColor="text1"/>
                  </w:rPr>
                </w:pPr>
                <w:r>
                  <w:rPr>
                    <w:rFonts w:hint="eastAsia"/>
                    <w:color w:val="000000" w:themeColor="text1"/>
                  </w:rPr>
                  <w:t>一、账面原值：</w:t>
                </w:r>
              </w:p>
            </w:tc>
          </w:sdtContent>
        </w:sdt>
      </w:tr>
      <w:tr w:rsidR="00156DD6">
        <w:tc>
          <w:tcPr>
            <w:tcW w:w="1297" w:type="pct"/>
          </w:tcPr>
          <w:p w:rsidR="00156DD6" w:rsidRDefault="00D51F5F">
            <w:pPr>
              <w:ind w:firstLineChars="200" w:firstLine="420"/>
              <w:rPr>
                <w:color w:val="000000" w:themeColor="text1"/>
              </w:rPr>
            </w:pPr>
            <w:r>
              <w:rPr>
                <w:color w:val="000000" w:themeColor="text1"/>
              </w:rPr>
              <w:t>1.</w:t>
            </w:r>
            <w:r>
              <w:rPr>
                <w:rFonts w:hint="eastAsia"/>
                <w:color w:val="000000" w:themeColor="text1"/>
              </w:rPr>
              <w:t>期初余额</w:t>
            </w:r>
          </w:p>
        </w:tc>
        <w:tc>
          <w:tcPr>
            <w:tcW w:w="720" w:type="pct"/>
            <w:vAlign w:val="center"/>
          </w:tcPr>
          <w:p w:rsidR="00156DD6" w:rsidRDefault="00D51F5F">
            <w:pPr>
              <w:jc w:val="right"/>
            </w:pPr>
            <w:r>
              <w:rPr>
                <w:rFonts w:hint="eastAsia"/>
              </w:rPr>
              <w:t xml:space="preserve"> 1,221,166,275.17 </w:t>
            </w:r>
          </w:p>
        </w:tc>
        <w:tc>
          <w:tcPr>
            <w:tcW w:w="720" w:type="pct"/>
            <w:vAlign w:val="center"/>
          </w:tcPr>
          <w:p w:rsidR="00156DD6" w:rsidRDefault="00D51F5F">
            <w:pPr>
              <w:jc w:val="right"/>
            </w:pPr>
            <w:r>
              <w:rPr>
                <w:rFonts w:hint="eastAsia"/>
              </w:rPr>
              <w:t xml:space="preserve"> 1,265,550,711.74 </w:t>
            </w:r>
          </w:p>
        </w:tc>
        <w:tc>
          <w:tcPr>
            <w:tcW w:w="720" w:type="pct"/>
            <w:vAlign w:val="center"/>
          </w:tcPr>
          <w:p w:rsidR="00156DD6" w:rsidRDefault="00D51F5F">
            <w:pPr>
              <w:jc w:val="right"/>
            </w:pPr>
            <w:r>
              <w:rPr>
                <w:rFonts w:hint="eastAsia"/>
              </w:rPr>
              <w:t xml:space="preserve"> 16,019,071.58 </w:t>
            </w:r>
          </w:p>
        </w:tc>
        <w:tc>
          <w:tcPr>
            <w:tcW w:w="720" w:type="pct"/>
            <w:vAlign w:val="center"/>
          </w:tcPr>
          <w:p w:rsidR="00156DD6" w:rsidRDefault="00D51F5F">
            <w:pPr>
              <w:jc w:val="right"/>
            </w:pPr>
            <w:r>
              <w:rPr>
                <w:rFonts w:hint="eastAsia"/>
              </w:rPr>
              <w:t xml:space="preserve"> 42,279,276.57 </w:t>
            </w:r>
          </w:p>
        </w:tc>
        <w:tc>
          <w:tcPr>
            <w:tcW w:w="823" w:type="pct"/>
            <w:vAlign w:val="center"/>
          </w:tcPr>
          <w:p w:rsidR="00156DD6" w:rsidRDefault="00D51F5F">
            <w:pPr>
              <w:jc w:val="right"/>
            </w:pPr>
            <w:r>
              <w:rPr>
                <w:rFonts w:hint="eastAsia"/>
              </w:rPr>
              <w:t xml:space="preserve"> 2,545,015,335.06 </w:t>
            </w:r>
          </w:p>
        </w:tc>
      </w:tr>
      <w:tr w:rsidR="00156DD6">
        <w:tc>
          <w:tcPr>
            <w:tcW w:w="1297" w:type="pct"/>
          </w:tcPr>
          <w:p w:rsidR="00156DD6" w:rsidRDefault="00D51F5F">
            <w:pPr>
              <w:ind w:firstLineChars="200" w:firstLine="420"/>
              <w:rPr>
                <w:color w:val="000000" w:themeColor="text1"/>
              </w:rPr>
            </w:pPr>
            <w:r>
              <w:rPr>
                <w:color w:val="000000" w:themeColor="text1"/>
              </w:rPr>
              <w:t>2.</w:t>
            </w:r>
            <w:r>
              <w:rPr>
                <w:rFonts w:hint="eastAsia"/>
                <w:color w:val="000000" w:themeColor="text1"/>
              </w:rPr>
              <w:t>本期增加金额</w:t>
            </w:r>
          </w:p>
        </w:tc>
        <w:tc>
          <w:tcPr>
            <w:tcW w:w="720" w:type="pct"/>
            <w:vAlign w:val="center"/>
          </w:tcPr>
          <w:p w:rsidR="00156DD6" w:rsidRDefault="00D51F5F">
            <w:pPr>
              <w:jc w:val="right"/>
            </w:pPr>
            <w:r>
              <w:rPr>
                <w:rFonts w:hint="eastAsia"/>
              </w:rPr>
              <w:t xml:space="preserve"> 5,621,779.04 </w:t>
            </w:r>
          </w:p>
        </w:tc>
        <w:tc>
          <w:tcPr>
            <w:tcW w:w="720" w:type="pct"/>
            <w:vAlign w:val="center"/>
          </w:tcPr>
          <w:p w:rsidR="00156DD6" w:rsidRDefault="00D51F5F">
            <w:pPr>
              <w:jc w:val="right"/>
            </w:pPr>
            <w:r>
              <w:rPr>
                <w:rFonts w:hint="eastAsia"/>
              </w:rPr>
              <w:t xml:space="preserve"> 9,455,236.41 </w:t>
            </w:r>
          </w:p>
        </w:tc>
        <w:tc>
          <w:tcPr>
            <w:tcW w:w="720" w:type="pct"/>
            <w:vAlign w:val="center"/>
          </w:tcPr>
          <w:p w:rsidR="00156DD6" w:rsidRDefault="00156DD6">
            <w:pPr>
              <w:jc w:val="right"/>
            </w:pPr>
          </w:p>
        </w:tc>
        <w:tc>
          <w:tcPr>
            <w:tcW w:w="720" w:type="pct"/>
            <w:vAlign w:val="center"/>
          </w:tcPr>
          <w:p w:rsidR="00156DD6" w:rsidRDefault="00D51F5F">
            <w:pPr>
              <w:jc w:val="right"/>
            </w:pPr>
            <w:r>
              <w:rPr>
                <w:rFonts w:hint="eastAsia"/>
              </w:rPr>
              <w:t xml:space="preserve"> 140,917.12 </w:t>
            </w:r>
          </w:p>
        </w:tc>
        <w:tc>
          <w:tcPr>
            <w:tcW w:w="823" w:type="pct"/>
            <w:vAlign w:val="center"/>
          </w:tcPr>
          <w:p w:rsidR="00156DD6" w:rsidRDefault="00D51F5F">
            <w:pPr>
              <w:jc w:val="right"/>
            </w:pPr>
            <w:r>
              <w:rPr>
                <w:rFonts w:hint="eastAsia"/>
              </w:rPr>
              <w:t xml:space="preserve"> 15,217,932.57 </w:t>
            </w:r>
          </w:p>
        </w:tc>
      </w:tr>
      <w:tr w:rsidR="00156DD6">
        <w:tc>
          <w:tcPr>
            <w:tcW w:w="1297" w:type="pct"/>
          </w:tcPr>
          <w:p w:rsidR="00156DD6" w:rsidRDefault="00D51F5F">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）购置</w:t>
            </w:r>
          </w:p>
        </w:tc>
        <w:tc>
          <w:tcPr>
            <w:tcW w:w="720" w:type="pct"/>
            <w:vAlign w:val="center"/>
          </w:tcPr>
          <w:p w:rsidR="00156DD6" w:rsidRDefault="00D51F5F">
            <w:pPr>
              <w:jc w:val="right"/>
            </w:pPr>
            <w:r>
              <w:rPr>
                <w:rFonts w:hint="eastAsia"/>
              </w:rPr>
              <w:t xml:space="preserve"> 5,621,779.04 </w:t>
            </w:r>
          </w:p>
        </w:tc>
        <w:tc>
          <w:tcPr>
            <w:tcW w:w="720" w:type="pct"/>
            <w:vAlign w:val="center"/>
          </w:tcPr>
          <w:p w:rsidR="00156DD6" w:rsidRDefault="00D51F5F">
            <w:pPr>
              <w:jc w:val="right"/>
            </w:pPr>
            <w:r>
              <w:rPr>
                <w:rFonts w:hint="eastAsia"/>
              </w:rPr>
              <w:t xml:space="preserve"> 5,954,140.29 </w:t>
            </w:r>
          </w:p>
        </w:tc>
        <w:tc>
          <w:tcPr>
            <w:tcW w:w="720" w:type="pct"/>
            <w:vAlign w:val="center"/>
          </w:tcPr>
          <w:p w:rsidR="00156DD6" w:rsidRDefault="00156DD6">
            <w:pPr>
              <w:jc w:val="right"/>
            </w:pPr>
          </w:p>
        </w:tc>
        <w:tc>
          <w:tcPr>
            <w:tcW w:w="720" w:type="pct"/>
            <w:vAlign w:val="center"/>
          </w:tcPr>
          <w:p w:rsidR="00156DD6" w:rsidRDefault="00D51F5F">
            <w:pPr>
              <w:jc w:val="right"/>
            </w:pPr>
            <w:r>
              <w:rPr>
                <w:rFonts w:hint="eastAsia"/>
              </w:rPr>
              <w:t xml:space="preserve"> 140,917.12 </w:t>
            </w:r>
          </w:p>
        </w:tc>
        <w:tc>
          <w:tcPr>
            <w:tcW w:w="823" w:type="pct"/>
            <w:vAlign w:val="center"/>
          </w:tcPr>
          <w:p w:rsidR="00156DD6" w:rsidRDefault="00D51F5F">
            <w:pPr>
              <w:jc w:val="right"/>
            </w:pPr>
            <w:r>
              <w:rPr>
                <w:rFonts w:hint="eastAsia"/>
              </w:rPr>
              <w:t xml:space="preserve"> 11,716,836.45 </w:t>
            </w:r>
          </w:p>
        </w:tc>
      </w:tr>
      <w:tr w:rsidR="00156DD6">
        <w:tc>
          <w:tcPr>
            <w:tcW w:w="1297" w:type="pct"/>
          </w:tcPr>
          <w:p w:rsidR="00156DD6" w:rsidRDefault="00D51F5F">
            <w:pPr>
              <w:ind w:firstLineChars="300" w:firstLine="63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）在建工程转入</w:t>
            </w:r>
          </w:p>
        </w:tc>
        <w:tc>
          <w:tcPr>
            <w:tcW w:w="720" w:type="pct"/>
            <w:vAlign w:val="center"/>
          </w:tcPr>
          <w:p w:rsidR="00156DD6" w:rsidRDefault="00156DD6">
            <w:pPr>
              <w:jc w:val="right"/>
            </w:pPr>
          </w:p>
        </w:tc>
        <w:tc>
          <w:tcPr>
            <w:tcW w:w="720" w:type="pct"/>
            <w:vAlign w:val="center"/>
          </w:tcPr>
          <w:p w:rsidR="00156DD6" w:rsidRDefault="00D51F5F">
            <w:pPr>
              <w:jc w:val="right"/>
            </w:pPr>
            <w:r>
              <w:rPr>
                <w:rFonts w:hint="eastAsia"/>
              </w:rPr>
              <w:t xml:space="preserve"> 3,501,096.12 </w:t>
            </w:r>
          </w:p>
        </w:tc>
        <w:tc>
          <w:tcPr>
            <w:tcW w:w="720" w:type="pct"/>
            <w:vAlign w:val="center"/>
          </w:tcPr>
          <w:p w:rsidR="00156DD6" w:rsidRDefault="00156DD6">
            <w:pPr>
              <w:jc w:val="right"/>
            </w:pPr>
          </w:p>
        </w:tc>
        <w:tc>
          <w:tcPr>
            <w:tcW w:w="720" w:type="pct"/>
            <w:vAlign w:val="center"/>
          </w:tcPr>
          <w:p w:rsidR="00156DD6" w:rsidRDefault="00156DD6">
            <w:pPr>
              <w:jc w:val="right"/>
            </w:pPr>
          </w:p>
        </w:tc>
        <w:tc>
          <w:tcPr>
            <w:tcW w:w="823" w:type="pct"/>
            <w:vAlign w:val="center"/>
          </w:tcPr>
          <w:p w:rsidR="00156DD6" w:rsidRDefault="00D51F5F">
            <w:pPr>
              <w:jc w:val="right"/>
            </w:pPr>
            <w:r>
              <w:rPr>
                <w:rFonts w:hint="eastAsia"/>
              </w:rPr>
              <w:t xml:space="preserve"> 3,501,096.12 </w:t>
            </w:r>
          </w:p>
        </w:tc>
      </w:tr>
      <w:tr w:rsidR="00156DD6">
        <w:tc>
          <w:tcPr>
            <w:tcW w:w="1297" w:type="pct"/>
          </w:tcPr>
          <w:p w:rsidR="00156DD6" w:rsidRDefault="00D51F5F">
            <w:pPr>
              <w:ind w:firstLineChars="200" w:firstLine="420"/>
              <w:rPr>
                <w:color w:val="000000" w:themeColor="text1"/>
              </w:rPr>
            </w:pPr>
            <w:r>
              <w:rPr>
                <w:rFonts w:hint="eastAsia"/>
                <w:color w:val="000000" w:themeColor="text1"/>
              </w:rPr>
              <w:t>3.</w:t>
            </w:r>
            <w:r>
              <w:rPr>
                <w:rFonts w:hint="eastAsia"/>
                <w:color w:val="000000" w:themeColor="text1"/>
              </w:rPr>
              <w:t>本期减少金额</w:t>
            </w:r>
          </w:p>
        </w:tc>
        <w:tc>
          <w:tcPr>
            <w:tcW w:w="720" w:type="pct"/>
            <w:vAlign w:val="center"/>
          </w:tcPr>
          <w:p w:rsidR="00156DD6" w:rsidRDefault="00156DD6">
            <w:pPr>
              <w:jc w:val="right"/>
            </w:pPr>
          </w:p>
        </w:tc>
        <w:tc>
          <w:tcPr>
            <w:tcW w:w="720" w:type="pct"/>
            <w:vAlign w:val="center"/>
          </w:tcPr>
          <w:p w:rsidR="00156DD6" w:rsidRDefault="00D51F5F">
            <w:pPr>
              <w:jc w:val="right"/>
            </w:pPr>
            <w:r>
              <w:rPr>
                <w:rFonts w:hint="eastAsia"/>
              </w:rPr>
              <w:t xml:space="preserve"> 127,760.87 </w:t>
            </w:r>
          </w:p>
        </w:tc>
        <w:tc>
          <w:tcPr>
            <w:tcW w:w="720" w:type="pct"/>
            <w:vAlign w:val="center"/>
          </w:tcPr>
          <w:p w:rsidR="00156DD6" w:rsidRDefault="00D51F5F">
            <w:pPr>
              <w:jc w:val="right"/>
            </w:pPr>
            <w:r>
              <w:rPr>
                <w:rFonts w:hint="eastAsia"/>
              </w:rPr>
              <w:t xml:space="preserve"> 84,615.38 </w:t>
            </w:r>
          </w:p>
        </w:tc>
        <w:tc>
          <w:tcPr>
            <w:tcW w:w="720" w:type="pct"/>
            <w:vAlign w:val="center"/>
          </w:tcPr>
          <w:p w:rsidR="00156DD6" w:rsidRDefault="00156DD6">
            <w:pPr>
              <w:jc w:val="right"/>
            </w:pPr>
          </w:p>
        </w:tc>
        <w:tc>
          <w:tcPr>
            <w:tcW w:w="823" w:type="pct"/>
            <w:vAlign w:val="center"/>
          </w:tcPr>
          <w:p w:rsidR="00156DD6" w:rsidRDefault="00D51F5F">
            <w:pPr>
              <w:jc w:val="right"/>
            </w:pPr>
            <w:r>
              <w:rPr>
                <w:rFonts w:hint="eastAsia"/>
              </w:rPr>
              <w:t xml:space="preserve"> 212,376.25 </w:t>
            </w:r>
          </w:p>
        </w:tc>
      </w:tr>
      <w:tr w:rsidR="00156DD6">
        <w:tc>
          <w:tcPr>
            <w:tcW w:w="1297" w:type="pct"/>
          </w:tcPr>
          <w:p w:rsidR="00156DD6" w:rsidRDefault="00D51F5F">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）处置或报废</w:t>
            </w:r>
          </w:p>
        </w:tc>
        <w:tc>
          <w:tcPr>
            <w:tcW w:w="720" w:type="pct"/>
            <w:vAlign w:val="center"/>
          </w:tcPr>
          <w:p w:rsidR="00156DD6" w:rsidRDefault="00156DD6">
            <w:pPr>
              <w:jc w:val="right"/>
            </w:pPr>
          </w:p>
        </w:tc>
        <w:tc>
          <w:tcPr>
            <w:tcW w:w="720" w:type="pct"/>
            <w:vAlign w:val="center"/>
          </w:tcPr>
          <w:p w:rsidR="00156DD6" w:rsidRDefault="00D51F5F">
            <w:pPr>
              <w:jc w:val="right"/>
            </w:pPr>
            <w:r>
              <w:rPr>
                <w:rFonts w:hint="eastAsia"/>
              </w:rPr>
              <w:t xml:space="preserve"> 127,760.87 </w:t>
            </w:r>
          </w:p>
        </w:tc>
        <w:tc>
          <w:tcPr>
            <w:tcW w:w="720" w:type="pct"/>
            <w:vAlign w:val="center"/>
          </w:tcPr>
          <w:p w:rsidR="00156DD6" w:rsidRDefault="00D51F5F">
            <w:pPr>
              <w:jc w:val="right"/>
            </w:pPr>
            <w:r>
              <w:rPr>
                <w:rFonts w:hint="eastAsia"/>
              </w:rPr>
              <w:t xml:space="preserve"> 84,615.38 </w:t>
            </w:r>
          </w:p>
        </w:tc>
        <w:tc>
          <w:tcPr>
            <w:tcW w:w="720" w:type="pct"/>
            <w:vAlign w:val="center"/>
          </w:tcPr>
          <w:p w:rsidR="00156DD6" w:rsidRDefault="00156DD6">
            <w:pPr>
              <w:jc w:val="right"/>
            </w:pPr>
          </w:p>
        </w:tc>
        <w:tc>
          <w:tcPr>
            <w:tcW w:w="823" w:type="pct"/>
            <w:vAlign w:val="center"/>
          </w:tcPr>
          <w:p w:rsidR="00156DD6" w:rsidRDefault="00D51F5F">
            <w:pPr>
              <w:jc w:val="right"/>
            </w:pPr>
            <w:r>
              <w:rPr>
                <w:rFonts w:hint="eastAsia"/>
              </w:rPr>
              <w:t xml:space="preserve"> 212,376.25 </w:t>
            </w:r>
          </w:p>
        </w:tc>
      </w:tr>
      <w:tr w:rsidR="00156DD6">
        <w:tc>
          <w:tcPr>
            <w:tcW w:w="1297" w:type="pct"/>
          </w:tcPr>
          <w:p w:rsidR="00156DD6" w:rsidRDefault="00D51F5F">
            <w:pPr>
              <w:ind w:firstLineChars="200" w:firstLine="420"/>
              <w:rPr>
                <w:color w:val="000000" w:themeColor="text1"/>
              </w:rPr>
            </w:pPr>
            <w:r>
              <w:rPr>
                <w:rFonts w:hint="eastAsia"/>
                <w:color w:val="000000" w:themeColor="text1"/>
              </w:rPr>
              <w:t>4.</w:t>
            </w:r>
            <w:r>
              <w:rPr>
                <w:rFonts w:hint="eastAsia"/>
                <w:color w:val="000000" w:themeColor="text1"/>
              </w:rPr>
              <w:t>期末余额</w:t>
            </w:r>
          </w:p>
        </w:tc>
        <w:tc>
          <w:tcPr>
            <w:tcW w:w="720" w:type="pct"/>
            <w:vAlign w:val="center"/>
          </w:tcPr>
          <w:p w:rsidR="00156DD6" w:rsidRDefault="00D51F5F">
            <w:pPr>
              <w:jc w:val="right"/>
            </w:pPr>
            <w:r>
              <w:rPr>
                <w:rFonts w:hint="eastAsia"/>
              </w:rPr>
              <w:t xml:space="preserve"> 1,226,788,054.21 </w:t>
            </w:r>
          </w:p>
        </w:tc>
        <w:tc>
          <w:tcPr>
            <w:tcW w:w="720" w:type="pct"/>
            <w:vAlign w:val="center"/>
          </w:tcPr>
          <w:p w:rsidR="00156DD6" w:rsidRDefault="00D51F5F">
            <w:pPr>
              <w:jc w:val="right"/>
            </w:pPr>
            <w:r>
              <w:rPr>
                <w:rFonts w:hint="eastAsia"/>
              </w:rPr>
              <w:t xml:space="preserve"> 1,274,878,187.28 </w:t>
            </w:r>
          </w:p>
        </w:tc>
        <w:tc>
          <w:tcPr>
            <w:tcW w:w="720" w:type="pct"/>
            <w:vAlign w:val="center"/>
          </w:tcPr>
          <w:p w:rsidR="00156DD6" w:rsidRDefault="00D51F5F">
            <w:pPr>
              <w:jc w:val="right"/>
            </w:pPr>
            <w:r>
              <w:rPr>
                <w:rFonts w:hint="eastAsia"/>
              </w:rPr>
              <w:t xml:space="preserve"> 15,934,456.20 </w:t>
            </w:r>
          </w:p>
        </w:tc>
        <w:tc>
          <w:tcPr>
            <w:tcW w:w="720" w:type="pct"/>
            <w:vAlign w:val="center"/>
          </w:tcPr>
          <w:p w:rsidR="00156DD6" w:rsidRDefault="00D51F5F">
            <w:pPr>
              <w:jc w:val="right"/>
            </w:pPr>
            <w:r>
              <w:rPr>
                <w:rFonts w:hint="eastAsia"/>
              </w:rPr>
              <w:t xml:space="preserve"> 42,420,193.69 </w:t>
            </w:r>
          </w:p>
        </w:tc>
        <w:tc>
          <w:tcPr>
            <w:tcW w:w="823" w:type="pct"/>
            <w:vAlign w:val="center"/>
          </w:tcPr>
          <w:p w:rsidR="00156DD6" w:rsidRDefault="00D51F5F">
            <w:pPr>
              <w:jc w:val="right"/>
            </w:pPr>
            <w:r>
              <w:rPr>
                <w:rFonts w:hint="eastAsia"/>
              </w:rPr>
              <w:t xml:space="preserve"> 2,560,020,891.38 </w:t>
            </w:r>
          </w:p>
        </w:tc>
      </w:tr>
      <w:tr w:rsidR="00156DD6">
        <w:sdt>
          <w:sdtPr>
            <w:tag w:val="_PLD_3b9a984e6e834331844252acd1c6a321"/>
            <w:id w:val="-2003502467"/>
          </w:sdtPr>
          <w:sdtEndPr/>
          <w:sdtContent>
            <w:tc>
              <w:tcPr>
                <w:tcW w:w="5000" w:type="pct"/>
                <w:gridSpan w:val="6"/>
              </w:tcPr>
              <w:p w:rsidR="00156DD6" w:rsidRDefault="00D51F5F">
                <w:pPr>
                  <w:rPr>
                    <w:color w:val="000000" w:themeColor="text1"/>
                  </w:rPr>
                </w:pPr>
                <w:r>
                  <w:rPr>
                    <w:rFonts w:hint="eastAsia"/>
                    <w:color w:val="000000" w:themeColor="text1"/>
                  </w:rPr>
                  <w:t>二、累计折旧</w:t>
                </w:r>
              </w:p>
            </w:tc>
          </w:sdtContent>
        </w:sdt>
      </w:tr>
      <w:tr w:rsidR="00156DD6">
        <w:tc>
          <w:tcPr>
            <w:tcW w:w="1297" w:type="pct"/>
          </w:tcPr>
          <w:p w:rsidR="00156DD6" w:rsidRDefault="00D51F5F">
            <w:pPr>
              <w:ind w:firstLineChars="200" w:firstLine="420"/>
              <w:rPr>
                <w:color w:val="000000" w:themeColor="text1"/>
              </w:rPr>
            </w:pPr>
            <w:r>
              <w:rPr>
                <w:color w:val="000000" w:themeColor="text1"/>
              </w:rPr>
              <w:t>1.</w:t>
            </w:r>
            <w:r>
              <w:rPr>
                <w:rFonts w:hint="eastAsia"/>
                <w:color w:val="000000" w:themeColor="text1"/>
              </w:rPr>
              <w:t>期初余额</w:t>
            </w:r>
          </w:p>
        </w:tc>
        <w:tc>
          <w:tcPr>
            <w:tcW w:w="720" w:type="pct"/>
          </w:tcPr>
          <w:p w:rsidR="00156DD6" w:rsidRDefault="00D51F5F">
            <w:pPr>
              <w:jc w:val="right"/>
            </w:pPr>
            <w:r>
              <w:rPr>
                <w:rFonts w:hint="eastAsia"/>
              </w:rPr>
              <w:t xml:space="preserve"> 188,972,931.97 </w:t>
            </w:r>
          </w:p>
        </w:tc>
        <w:tc>
          <w:tcPr>
            <w:tcW w:w="720" w:type="pct"/>
          </w:tcPr>
          <w:p w:rsidR="00156DD6" w:rsidRDefault="00D51F5F">
            <w:pPr>
              <w:jc w:val="right"/>
            </w:pPr>
            <w:r>
              <w:rPr>
                <w:rFonts w:hint="eastAsia"/>
              </w:rPr>
              <w:t xml:space="preserve"> 314,864,210.64 </w:t>
            </w:r>
          </w:p>
        </w:tc>
        <w:tc>
          <w:tcPr>
            <w:tcW w:w="720" w:type="pct"/>
          </w:tcPr>
          <w:p w:rsidR="00156DD6" w:rsidRDefault="00D51F5F">
            <w:pPr>
              <w:jc w:val="right"/>
            </w:pPr>
            <w:r>
              <w:rPr>
                <w:rFonts w:hint="eastAsia"/>
              </w:rPr>
              <w:t xml:space="preserve"> 10,746,241.67 </w:t>
            </w:r>
          </w:p>
        </w:tc>
        <w:tc>
          <w:tcPr>
            <w:tcW w:w="720" w:type="pct"/>
          </w:tcPr>
          <w:p w:rsidR="00156DD6" w:rsidRDefault="00D51F5F">
            <w:pPr>
              <w:jc w:val="right"/>
            </w:pPr>
            <w:r>
              <w:rPr>
                <w:rFonts w:hint="eastAsia"/>
              </w:rPr>
              <w:t xml:space="preserve"> 13,529,007.20 </w:t>
            </w:r>
          </w:p>
        </w:tc>
        <w:tc>
          <w:tcPr>
            <w:tcW w:w="823" w:type="pct"/>
          </w:tcPr>
          <w:p w:rsidR="00156DD6" w:rsidRDefault="00D51F5F">
            <w:pPr>
              <w:jc w:val="right"/>
            </w:pPr>
            <w:r>
              <w:rPr>
                <w:rFonts w:hint="eastAsia"/>
              </w:rPr>
              <w:t xml:space="preserve"> 528,112,391.48 </w:t>
            </w:r>
          </w:p>
        </w:tc>
      </w:tr>
      <w:tr w:rsidR="00156DD6">
        <w:tc>
          <w:tcPr>
            <w:tcW w:w="1297" w:type="pct"/>
          </w:tcPr>
          <w:p w:rsidR="00156DD6" w:rsidRDefault="00D51F5F">
            <w:pPr>
              <w:ind w:firstLineChars="200" w:firstLine="420"/>
              <w:rPr>
                <w:color w:val="000000" w:themeColor="text1"/>
              </w:rPr>
            </w:pPr>
            <w:r>
              <w:rPr>
                <w:color w:val="000000" w:themeColor="text1"/>
              </w:rPr>
              <w:t>2.</w:t>
            </w:r>
            <w:r>
              <w:rPr>
                <w:rFonts w:hint="eastAsia"/>
                <w:color w:val="000000" w:themeColor="text1"/>
              </w:rPr>
              <w:t>本期增加金额</w:t>
            </w:r>
          </w:p>
        </w:tc>
        <w:tc>
          <w:tcPr>
            <w:tcW w:w="720" w:type="pct"/>
          </w:tcPr>
          <w:p w:rsidR="00156DD6" w:rsidRDefault="00D51F5F">
            <w:pPr>
              <w:jc w:val="right"/>
            </w:pPr>
            <w:r>
              <w:rPr>
                <w:rFonts w:hint="eastAsia"/>
              </w:rPr>
              <w:t xml:space="preserve"> 29,273,337.29 </w:t>
            </w:r>
          </w:p>
        </w:tc>
        <w:tc>
          <w:tcPr>
            <w:tcW w:w="720" w:type="pct"/>
          </w:tcPr>
          <w:p w:rsidR="00156DD6" w:rsidRDefault="00D51F5F">
            <w:pPr>
              <w:jc w:val="right"/>
            </w:pPr>
            <w:r>
              <w:rPr>
                <w:rFonts w:hint="eastAsia"/>
              </w:rPr>
              <w:t xml:space="preserve"> 65,150,044.47 </w:t>
            </w:r>
          </w:p>
        </w:tc>
        <w:tc>
          <w:tcPr>
            <w:tcW w:w="720" w:type="pct"/>
          </w:tcPr>
          <w:p w:rsidR="00156DD6" w:rsidRDefault="00D51F5F">
            <w:pPr>
              <w:jc w:val="right"/>
            </w:pPr>
            <w:r>
              <w:rPr>
                <w:rFonts w:hint="eastAsia"/>
              </w:rPr>
              <w:t xml:space="preserve"> 761,717.91 </w:t>
            </w:r>
          </w:p>
        </w:tc>
        <w:tc>
          <w:tcPr>
            <w:tcW w:w="720" w:type="pct"/>
          </w:tcPr>
          <w:p w:rsidR="00156DD6" w:rsidRDefault="00D51F5F">
            <w:pPr>
              <w:jc w:val="right"/>
            </w:pPr>
            <w:r>
              <w:rPr>
                <w:rFonts w:hint="eastAsia"/>
              </w:rPr>
              <w:t xml:space="preserve"> 3,820,157.31 </w:t>
            </w:r>
          </w:p>
        </w:tc>
        <w:tc>
          <w:tcPr>
            <w:tcW w:w="823" w:type="pct"/>
          </w:tcPr>
          <w:p w:rsidR="00156DD6" w:rsidRDefault="00D51F5F">
            <w:pPr>
              <w:jc w:val="right"/>
            </w:pPr>
            <w:r>
              <w:rPr>
                <w:rFonts w:hint="eastAsia"/>
              </w:rPr>
              <w:t xml:space="preserve"> 99,005,256.98 </w:t>
            </w:r>
          </w:p>
        </w:tc>
      </w:tr>
      <w:tr w:rsidR="00156DD6">
        <w:tc>
          <w:tcPr>
            <w:tcW w:w="1297" w:type="pct"/>
          </w:tcPr>
          <w:p w:rsidR="00156DD6" w:rsidRDefault="00D51F5F">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）计提</w:t>
            </w:r>
          </w:p>
        </w:tc>
        <w:tc>
          <w:tcPr>
            <w:tcW w:w="720" w:type="pct"/>
          </w:tcPr>
          <w:p w:rsidR="00156DD6" w:rsidRDefault="00D51F5F">
            <w:pPr>
              <w:jc w:val="right"/>
            </w:pPr>
            <w:r>
              <w:rPr>
                <w:rFonts w:hint="eastAsia"/>
              </w:rPr>
              <w:t xml:space="preserve"> 29,273,337.29 </w:t>
            </w:r>
          </w:p>
        </w:tc>
        <w:tc>
          <w:tcPr>
            <w:tcW w:w="720" w:type="pct"/>
          </w:tcPr>
          <w:p w:rsidR="00156DD6" w:rsidRDefault="00D51F5F">
            <w:pPr>
              <w:jc w:val="right"/>
            </w:pPr>
            <w:r>
              <w:rPr>
                <w:rFonts w:hint="eastAsia"/>
              </w:rPr>
              <w:t xml:space="preserve"> 65,150,044.47 </w:t>
            </w:r>
          </w:p>
        </w:tc>
        <w:tc>
          <w:tcPr>
            <w:tcW w:w="720" w:type="pct"/>
          </w:tcPr>
          <w:p w:rsidR="00156DD6" w:rsidRDefault="00D51F5F">
            <w:pPr>
              <w:jc w:val="right"/>
            </w:pPr>
            <w:r>
              <w:rPr>
                <w:rFonts w:hint="eastAsia"/>
              </w:rPr>
              <w:t xml:space="preserve"> 761,717.91 </w:t>
            </w:r>
          </w:p>
        </w:tc>
        <w:tc>
          <w:tcPr>
            <w:tcW w:w="720" w:type="pct"/>
          </w:tcPr>
          <w:p w:rsidR="00156DD6" w:rsidRDefault="00D51F5F">
            <w:pPr>
              <w:jc w:val="right"/>
            </w:pPr>
            <w:r>
              <w:rPr>
                <w:rFonts w:hint="eastAsia"/>
              </w:rPr>
              <w:t xml:space="preserve"> 3,820,157.31 </w:t>
            </w:r>
          </w:p>
        </w:tc>
        <w:tc>
          <w:tcPr>
            <w:tcW w:w="823" w:type="pct"/>
          </w:tcPr>
          <w:p w:rsidR="00156DD6" w:rsidRDefault="00D51F5F">
            <w:pPr>
              <w:jc w:val="right"/>
            </w:pPr>
            <w:r>
              <w:rPr>
                <w:rFonts w:hint="eastAsia"/>
              </w:rPr>
              <w:t xml:space="preserve"> 99,005,256.98 </w:t>
            </w:r>
          </w:p>
        </w:tc>
      </w:tr>
      <w:tr w:rsidR="00156DD6">
        <w:tc>
          <w:tcPr>
            <w:tcW w:w="1297" w:type="pct"/>
          </w:tcPr>
          <w:p w:rsidR="00156DD6" w:rsidRDefault="00D51F5F">
            <w:pPr>
              <w:ind w:firstLineChars="200" w:firstLine="420"/>
              <w:rPr>
                <w:color w:val="000000" w:themeColor="text1"/>
              </w:rPr>
            </w:pPr>
            <w:r>
              <w:rPr>
                <w:rFonts w:hint="eastAsia"/>
                <w:color w:val="000000" w:themeColor="text1"/>
              </w:rPr>
              <w:t>3.</w:t>
            </w:r>
            <w:r>
              <w:rPr>
                <w:rFonts w:hint="eastAsia"/>
                <w:color w:val="000000" w:themeColor="text1"/>
              </w:rPr>
              <w:t>本期减少金额</w:t>
            </w:r>
          </w:p>
        </w:tc>
        <w:tc>
          <w:tcPr>
            <w:tcW w:w="720" w:type="pct"/>
          </w:tcPr>
          <w:p w:rsidR="00156DD6" w:rsidRDefault="00156DD6">
            <w:pPr>
              <w:jc w:val="right"/>
            </w:pPr>
          </w:p>
        </w:tc>
        <w:tc>
          <w:tcPr>
            <w:tcW w:w="720" w:type="pct"/>
          </w:tcPr>
          <w:p w:rsidR="00156DD6" w:rsidRDefault="00D51F5F">
            <w:pPr>
              <w:jc w:val="right"/>
            </w:pPr>
            <w:r>
              <w:rPr>
                <w:rFonts w:hint="eastAsia"/>
              </w:rPr>
              <w:t xml:space="preserve"> 121,372.83 </w:t>
            </w:r>
          </w:p>
        </w:tc>
        <w:tc>
          <w:tcPr>
            <w:tcW w:w="720" w:type="pct"/>
          </w:tcPr>
          <w:p w:rsidR="00156DD6" w:rsidRDefault="00D51F5F">
            <w:pPr>
              <w:jc w:val="right"/>
            </w:pPr>
            <w:r>
              <w:rPr>
                <w:rFonts w:hint="eastAsia"/>
              </w:rPr>
              <w:t xml:space="preserve"> 80,384.61 </w:t>
            </w:r>
          </w:p>
        </w:tc>
        <w:tc>
          <w:tcPr>
            <w:tcW w:w="720" w:type="pct"/>
          </w:tcPr>
          <w:p w:rsidR="00156DD6" w:rsidRDefault="00156DD6">
            <w:pPr>
              <w:jc w:val="right"/>
            </w:pPr>
          </w:p>
        </w:tc>
        <w:tc>
          <w:tcPr>
            <w:tcW w:w="823" w:type="pct"/>
          </w:tcPr>
          <w:p w:rsidR="00156DD6" w:rsidRDefault="00D51F5F">
            <w:pPr>
              <w:jc w:val="right"/>
            </w:pPr>
            <w:r>
              <w:rPr>
                <w:rFonts w:hint="eastAsia"/>
              </w:rPr>
              <w:t xml:space="preserve"> 201,757.44 </w:t>
            </w:r>
          </w:p>
        </w:tc>
      </w:tr>
      <w:tr w:rsidR="00156DD6">
        <w:tc>
          <w:tcPr>
            <w:tcW w:w="1297" w:type="pct"/>
          </w:tcPr>
          <w:p w:rsidR="00156DD6" w:rsidRDefault="00D51F5F">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）处置或报废</w:t>
            </w:r>
          </w:p>
        </w:tc>
        <w:tc>
          <w:tcPr>
            <w:tcW w:w="720" w:type="pct"/>
          </w:tcPr>
          <w:p w:rsidR="00156DD6" w:rsidRDefault="00156DD6">
            <w:pPr>
              <w:jc w:val="right"/>
            </w:pPr>
          </w:p>
        </w:tc>
        <w:tc>
          <w:tcPr>
            <w:tcW w:w="720" w:type="pct"/>
          </w:tcPr>
          <w:p w:rsidR="00156DD6" w:rsidRDefault="00D51F5F">
            <w:pPr>
              <w:jc w:val="right"/>
            </w:pPr>
            <w:r>
              <w:rPr>
                <w:rFonts w:hint="eastAsia"/>
              </w:rPr>
              <w:t xml:space="preserve"> 121,372.83 </w:t>
            </w:r>
          </w:p>
        </w:tc>
        <w:tc>
          <w:tcPr>
            <w:tcW w:w="720" w:type="pct"/>
          </w:tcPr>
          <w:p w:rsidR="00156DD6" w:rsidRDefault="00D51F5F">
            <w:pPr>
              <w:jc w:val="right"/>
            </w:pPr>
            <w:r>
              <w:rPr>
                <w:rFonts w:hint="eastAsia"/>
              </w:rPr>
              <w:t xml:space="preserve"> 80,384.61 </w:t>
            </w:r>
          </w:p>
        </w:tc>
        <w:tc>
          <w:tcPr>
            <w:tcW w:w="720" w:type="pct"/>
          </w:tcPr>
          <w:p w:rsidR="00156DD6" w:rsidRDefault="00156DD6">
            <w:pPr>
              <w:jc w:val="right"/>
            </w:pPr>
          </w:p>
        </w:tc>
        <w:tc>
          <w:tcPr>
            <w:tcW w:w="823" w:type="pct"/>
          </w:tcPr>
          <w:p w:rsidR="00156DD6" w:rsidRDefault="00D51F5F">
            <w:pPr>
              <w:jc w:val="right"/>
            </w:pPr>
            <w:r>
              <w:rPr>
                <w:rFonts w:hint="eastAsia"/>
              </w:rPr>
              <w:t xml:space="preserve"> 201,757.44 </w:t>
            </w:r>
          </w:p>
        </w:tc>
      </w:tr>
      <w:tr w:rsidR="00156DD6">
        <w:tc>
          <w:tcPr>
            <w:tcW w:w="1297" w:type="pct"/>
          </w:tcPr>
          <w:p w:rsidR="00156DD6" w:rsidRDefault="00D51F5F">
            <w:pPr>
              <w:ind w:firstLineChars="200" w:firstLine="420"/>
              <w:rPr>
                <w:color w:val="000000" w:themeColor="text1"/>
              </w:rPr>
            </w:pPr>
            <w:r>
              <w:rPr>
                <w:rFonts w:hint="eastAsia"/>
                <w:color w:val="000000" w:themeColor="text1"/>
              </w:rPr>
              <w:t>4.</w:t>
            </w:r>
            <w:r>
              <w:rPr>
                <w:rFonts w:hint="eastAsia"/>
                <w:color w:val="000000" w:themeColor="text1"/>
              </w:rPr>
              <w:t>期末余额</w:t>
            </w:r>
          </w:p>
        </w:tc>
        <w:tc>
          <w:tcPr>
            <w:tcW w:w="720" w:type="pct"/>
          </w:tcPr>
          <w:p w:rsidR="00156DD6" w:rsidRDefault="00D51F5F">
            <w:pPr>
              <w:jc w:val="right"/>
            </w:pPr>
            <w:r>
              <w:rPr>
                <w:rFonts w:hint="eastAsia"/>
              </w:rPr>
              <w:t xml:space="preserve"> 218,246,269.26 </w:t>
            </w:r>
          </w:p>
        </w:tc>
        <w:tc>
          <w:tcPr>
            <w:tcW w:w="720" w:type="pct"/>
          </w:tcPr>
          <w:p w:rsidR="00156DD6" w:rsidRDefault="00D51F5F">
            <w:pPr>
              <w:jc w:val="right"/>
            </w:pPr>
            <w:r>
              <w:rPr>
                <w:rFonts w:hint="eastAsia"/>
              </w:rPr>
              <w:t xml:space="preserve"> 379,892,882.28 </w:t>
            </w:r>
          </w:p>
        </w:tc>
        <w:tc>
          <w:tcPr>
            <w:tcW w:w="720" w:type="pct"/>
          </w:tcPr>
          <w:p w:rsidR="00156DD6" w:rsidRDefault="00D51F5F">
            <w:pPr>
              <w:jc w:val="right"/>
            </w:pPr>
            <w:r>
              <w:rPr>
                <w:rFonts w:hint="eastAsia"/>
              </w:rPr>
              <w:t xml:space="preserve"> 11,427,574.97 </w:t>
            </w:r>
          </w:p>
        </w:tc>
        <w:tc>
          <w:tcPr>
            <w:tcW w:w="720" w:type="pct"/>
          </w:tcPr>
          <w:p w:rsidR="00156DD6" w:rsidRDefault="00D51F5F">
            <w:pPr>
              <w:jc w:val="right"/>
            </w:pPr>
            <w:r>
              <w:rPr>
                <w:rFonts w:hint="eastAsia"/>
              </w:rPr>
              <w:t xml:space="preserve"> 17,349,164.51 </w:t>
            </w:r>
          </w:p>
        </w:tc>
        <w:tc>
          <w:tcPr>
            <w:tcW w:w="823" w:type="pct"/>
          </w:tcPr>
          <w:p w:rsidR="00156DD6" w:rsidRDefault="00D51F5F">
            <w:pPr>
              <w:jc w:val="right"/>
            </w:pPr>
            <w:r>
              <w:rPr>
                <w:rFonts w:hint="eastAsia"/>
              </w:rPr>
              <w:t xml:space="preserve"> 626,915,891.02 </w:t>
            </w:r>
          </w:p>
        </w:tc>
      </w:tr>
      <w:tr w:rsidR="00156DD6">
        <w:sdt>
          <w:sdtPr>
            <w:tag w:val="_PLD_662c84047b6d41648e46d047cc9b134a"/>
            <w:id w:val="156899229"/>
          </w:sdtPr>
          <w:sdtEndPr/>
          <w:sdtContent>
            <w:tc>
              <w:tcPr>
                <w:tcW w:w="5000" w:type="pct"/>
                <w:gridSpan w:val="6"/>
              </w:tcPr>
              <w:p w:rsidR="00156DD6" w:rsidRDefault="00D51F5F">
                <w:pPr>
                  <w:rPr>
                    <w:color w:val="000000" w:themeColor="text1"/>
                  </w:rPr>
                </w:pPr>
                <w:r>
                  <w:rPr>
                    <w:rFonts w:hint="eastAsia"/>
                    <w:color w:val="000000" w:themeColor="text1"/>
                  </w:rPr>
                  <w:t>三、减值准备</w:t>
                </w:r>
              </w:p>
            </w:tc>
          </w:sdtContent>
        </w:sdt>
      </w:tr>
      <w:tr w:rsidR="00156DD6">
        <w:tc>
          <w:tcPr>
            <w:tcW w:w="1297" w:type="pct"/>
          </w:tcPr>
          <w:p w:rsidR="00156DD6" w:rsidRDefault="00D51F5F">
            <w:pPr>
              <w:ind w:firstLineChars="200" w:firstLine="420"/>
              <w:rPr>
                <w:color w:val="000000" w:themeColor="text1"/>
              </w:rPr>
            </w:pPr>
            <w:r>
              <w:rPr>
                <w:color w:val="000000" w:themeColor="text1"/>
              </w:rPr>
              <w:t>1.</w:t>
            </w:r>
            <w:r>
              <w:rPr>
                <w:rFonts w:hint="eastAsia"/>
                <w:color w:val="000000" w:themeColor="text1"/>
              </w:rPr>
              <w:t>期初余额</w:t>
            </w: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823" w:type="pct"/>
            <w:vAlign w:val="center"/>
          </w:tcPr>
          <w:p w:rsidR="00156DD6" w:rsidRDefault="00156DD6">
            <w:pPr>
              <w:jc w:val="right"/>
            </w:pPr>
          </w:p>
        </w:tc>
      </w:tr>
      <w:tr w:rsidR="00156DD6">
        <w:tc>
          <w:tcPr>
            <w:tcW w:w="1297" w:type="pct"/>
          </w:tcPr>
          <w:p w:rsidR="00156DD6" w:rsidRDefault="00D51F5F">
            <w:pPr>
              <w:ind w:firstLineChars="200" w:firstLine="420"/>
              <w:rPr>
                <w:color w:val="000000" w:themeColor="text1"/>
              </w:rPr>
            </w:pPr>
            <w:r>
              <w:rPr>
                <w:color w:val="000000" w:themeColor="text1"/>
              </w:rPr>
              <w:t>2.</w:t>
            </w:r>
            <w:r>
              <w:rPr>
                <w:rFonts w:hint="eastAsia"/>
                <w:color w:val="000000" w:themeColor="text1"/>
              </w:rPr>
              <w:t>本期增加金额</w:t>
            </w: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823" w:type="pct"/>
            <w:vAlign w:val="center"/>
          </w:tcPr>
          <w:p w:rsidR="00156DD6" w:rsidRDefault="00156DD6">
            <w:pPr>
              <w:jc w:val="right"/>
            </w:pPr>
          </w:p>
        </w:tc>
      </w:tr>
      <w:tr w:rsidR="00156DD6">
        <w:tc>
          <w:tcPr>
            <w:tcW w:w="1297" w:type="pct"/>
          </w:tcPr>
          <w:p w:rsidR="00156DD6" w:rsidRDefault="00D51F5F">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）计提</w:t>
            </w: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823" w:type="pct"/>
            <w:vAlign w:val="center"/>
          </w:tcPr>
          <w:p w:rsidR="00156DD6" w:rsidRDefault="00156DD6">
            <w:pPr>
              <w:jc w:val="right"/>
            </w:pPr>
          </w:p>
        </w:tc>
      </w:tr>
      <w:tr w:rsidR="00156DD6">
        <w:tc>
          <w:tcPr>
            <w:tcW w:w="1297" w:type="pct"/>
          </w:tcPr>
          <w:p w:rsidR="00156DD6" w:rsidRDefault="00D51F5F">
            <w:pPr>
              <w:ind w:firstLineChars="200" w:firstLine="420"/>
              <w:rPr>
                <w:color w:val="000000" w:themeColor="text1"/>
              </w:rPr>
            </w:pPr>
            <w:r>
              <w:rPr>
                <w:rFonts w:hint="eastAsia"/>
                <w:color w:val="000000" w:themeColor="text1"/>
              </w:rPr>
              <w:t>3.</w:t>
            </w:r>
            <w:r>
              <w:rPr>
                <w:rFonts w:hint="eastAsia"/>
                <w:color w:val="000000" w:themeColor="text1"/>
              </w:rPr>
              <w:t>本期减少金额</w:t>
            </w: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823" w:type="pct"/>
            <w:vAlign w:val="center"/>
          </w:tcPr>
          <w:p w:rsidR="00156DD6" w:rsidRDefault="00156DD6">
            <w:pPr>
              <w:jc w:val="right"/>
            </w:pPr>
          </w:p>
        </w:tc>
      </w:tr>
      <w:tr w:rsidR="00156DD6">
        <w:tc>
          <w:tcPr>
            <w:tcW w:w="1297" w:type="pct"/>
          </w:tcPr>
          <w:p w:rsidR="00156DD6" w:rsidRDefault="00D51F5F">
            <w:pPr>
              <w:ind w:firstLineChars="300" w:firstLine="63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）处置或报废</w:t>
            </w: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823" w:type="pct"/>
            <w:vAlign w:val="center"/>
          </w:tcPr>
          <w:p w:rsidR="00156DD6" w:rsidRDefault="00156DD6">
            <w:pPr>
              <w:jc w:val="right"/>
            </w:pPr>
          </w:p>
        </w:tc>
      </w:tr>
      <w:tr w:rsidR="00156DD6">
        <w:tc>
          <w:tcPr>
            <w:tcW w:w="1297" w:type="pct"/>
          </w:tcPr>
          <w:p w:rsidR="00156DD6" w:rsidRDefault="00D51F5F">
            <w:pPr>
              <w:ind w:firstLineChars="200" w:firstLine="420"/>
              <w:rPr>
                <w:color w:val="000000" w:themeColor="text1"/>
              </w:rPr>
            </w:pPr>
            <w:r>
              <w:rPr>
                <w:rFonts w:hint="eastAsia"/>
                <w:color w:val="000000" w:themeColor="text1"/>
              </w:rPr>
              <w:t>4.</w:t>
            </w:r>
            <w:r>
              <w:rPr>
                <w:rFonts w:hint="eastAsia"/>
                <w:color w:val="000000" w:themeColor="text1"/>
              </w:rPr>
              <w:t>期末余额</w:t>
            </w: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720" w:type="pct"/>
            <w:vAlign w:val="center"/>
          </w:tcPr>
          <w:p w:rsidR="00156DD6" w:rsidRDefault="00156DD6">
            <w:pPr>
              <w:jc w:val="right"/>
            </w:pPr>
          </w:p>
        </w:tc>
        <w:tc>
          <w:tcPr>
            <w:tcW w:w="823" w:type="pct"/>
            <w:vAlign w:val="center"/>
          </w:tcPr>
          <w:p w:rsidR="00156DD6" w:rsidRDefault="00156DD6">
            <w:pPr>
              <w:jc w:val="right"/>
            </w:pPr>
          </w:p>
        </w:tc>
      </w:tr>
      <w:tr w:rsidR="00156DD6">
        <w:sdt>
          <w:sdtPr>
            <w:tag w:val="_PLD_bea29c32f5204124a483fa6e274ca7df"/>
            <w:id w:val="710068385"/>
          </w:sdtPr>
          <w:sdtEndPr/>
          <w:sdtContent>
            <w:tc>
              <w:tcPr>
                <w:tcW w:w="5000" w:type="pct"/>
                <w:gridSpan w:val="6"/>
              </w:tcPr>
              <w:p w:rsidR="00156DD6" w:rsidRDefault="00D51F5F">
                <w:pPr>
                  <w:rPr>
                    <w:color w:val="000000" w:themeColor="text1"/>
                  </w:rPr>
                </w:pPr>
                <w:r>
                  <w:rPr>
                    <w:rFonts w:hint="eastAsia"/>
                    <w:color w:val="000000" w:themeColor="text1"/>
                  </w:rPr>
                  <w:t>四、账面价值</w:t>
                </w:r>
              </w:p>
            </w:tc>
          </w:sdtContent>
        </w:sdt>
      </w:tr>
      <w:tr w:rsidR="00156DD6">
        <w:tc>
          <w:tcPr>
            <w:tcW w:w="1297" w:type="pct"/>
          </w:tcPr>
          <w:p w:rsidR="00156DD6" w:rsidRDefault="00D51F5F">
            <w:pPr>
              <w:ind w:firstLineChars="200" w:firstLine="420"/>
              <w:rPr>
                <w:color w:val="000000" w:themeColor="text1"/>
              </w:rPr>
            </w:pPr>
            <w:r>
              <w:rPr>
                <w:rFonts w:hint="eastAsia"/>
                <w:color w:val="000000" w:themeColor="text1"/>
              </w:rPr>
              <w:t>1.</w:t>
            </w:r>
            <w:r>
              <w:rPr>
                <w:rFonts w:hint="eastAsia"/>
                <w:color w:val="000000" w:themeColor="text1"/>
              </w:rPr>
              <w:t>期末账面价值</w:t>
            </w:r>
          </w:p>
        </w:tc>
        <w:tc>
          <w:tcPr>
            <w:tcW w:w="720" w:type="pct"/>
          </w:tcPr>
          <w:p w:rsidR="00156DD6" w:rsidRDefault="00D51F5F">
            <w:pPr>
              <w:jc w:val="right"/>
            </w:pPr>
            <w:r>
              <w:rPr>
                <w:rFonts w:hint="eastAsia"/>
              </w:rPr>
              <w:t xml:space="preserve"> 1,008,541,784.95 </w:t>
            </w:r>
          </w:p>
        </w:tc>
        <w:tc>
          <w:tcPr>
            <w:tcW w:w="720" w:type="pct"/>
          </w:tcPr>
          <w:p w:rsidR="00156DD6" w:rsidRDefault="00D51F5F">
            <w:pPr>
              <w:jc w:val="right"/>
            </w:pPr>
            <w:r>
              <w:rPr>
                <w:rFonts w:hint="eastAsia"/>
              </w:rPr>
              <w:t xml:space="preserve"> 894,985,305.00 </w:t>
            </w:r>
          </w:p>
        </w:tc>
        <w:tc>
          <w:tcPr>
            <w:tcW w:w="720" w:type="pct"/>
          </w:tcPr>
          <w:p w:rsidR="00156DD6" w:rsidRDefault="00D51F5F">
            <w:pPr>
              <w:jc w:val="right"/>
            </w:pPr>
            <w:r>
              <w:rPr>
                <w:rFonts w:hint="eastAsia"/>
              </w:rPr>
              <w:t xml:space="preserve"> 4,506,881.23 </w:t>
            </w:r>
          </w:p>
        </w:tc>
        <w:tc>
          <w:tcPr>
            <w:tcW w:w="720" w:type="pct"/>
          </w:tcPr>
          <w:p w:rsidR="00156DD6" w:rsidRDefault="00D51F5F">
            <w:pPr>
              <w:jc w:val="right"/>
            </w:pPr>
            <w:r>
              <w:rPr>
                <w:rFonts w:hint="eastAsia"/>
              </w:rPr>
              <w:t xml:space="preserve"> 25,071,029.18 </w:t>
            </w:r>
          </w:p>
        </w:tc>
        <w:tc>
          <w:tcPr>
            <w:tcW w:w="823" w:type="pct"/>
          </w:tcPr>
          <w:p w:rsidR="00156DD6" w:rsidRDefault="00D51F5F">
            <w:pPr>
              <w:jc w:val="right"/>
            </w:pPr>
            <w:r>
              <w:rPr>
                <w:rFonts w:hint="eastAsia"/>
              </w:rPr>
              <w:t xml:space="preserve"> 1,933,105,000.36 </w:t>
            </w:r>
          </w:p>
        </w:tc>
      </w:tr>
      <w:tr w:rsidR="00156DD6">
        <w:tc>
          <w:tcPr>
            <w:tcW w:w="1297" w:type="pct"/>
          </w:tcPr>
          <w:p w:rsidR="00156DD6" w:rsidRDefault="00D51F5F">
            <w:pPr>
              <w:ind w:firstLineChars="200" w:firstLine="420"/>
              <w:rPr>
                <w:color w:val="000000" w:themeColor="text1"/>
              </w:rPr>
            </w:pPr>
            <w:r>
              <w:rPr>
                <w:rFonts w:hint="eastAsia"/>
                <w:color w:val="000000" w:themeColor="text1"/>
              </w:rPr>
              <w:t>2.</w:t>
            </w:r>
            <w:r>
              <w:rPr>
                <w:rFonts w:hint="eastAsia"/>
                <w:color w:val="000000" w:themeColor="text1"/>
              </w:rPr>
              <w:t>期初账面价值</w:t>
            </w:r>
          </w:p>
        </w:tc>
        <w:tc>
          <w:tcPr>
            <w:tcW w:w="720" w:type="pct"/>
          </w:tcPr>
          <w:p w:rsidR="00156DD6" w:rsidRDefault="00D51F5F">
            <w:pPr>
              <w:jc w:val="right"/>
            </w:pPr>
            <w:r>
              <w:rPr>
                <w:rFonts w:hint="eastAsia"/>
              </w:rPr>
              <w:t xml:space="preserve"> 1,032,193,343.20 </w:t>
            </w:r>
          </w:p>
        </w:tc>
        <w:tc>
          <w:tcPr>
            <w:tcW w:w="720" w:type="pct"/>
          </w:tcPr>
          <w:p w:rsidR="00156DD6" w:rsidRDefault="00D51F5F">
            <w:pPr>
              <w:jc w:val="right"/>
            </w:pPr>
            <w:r>
              <w:rPr>
                <w:rFonts w:hint="eastAsia"/>
              </w:rPr>
              <w:t xml:space="preserve"> 950,686,501.10 </w:t>
            </w:r>
          </w:p>
        </w:tc>
        <w:tc>
          <w:tcPr>
            <w:tcW w:w="720" w:type="pct"/>
          </w:tcPr>
          <w:p w:rsidR="00156DD6" w:rsidRDefault="00D51F5F">
            <w:pPr>
              <w:jc w:val="right"/>
            </w:pPr>
            <w:r>
              <w:rPr>
                <w:rFonts w:hint="eastAsia"/>
              </w:rPr>
              <w:t xml:space="preserve"> 5,272,829.91 </w:t>
            </w:r>
          </w:p>
        </w:tc>
        <w:tc>
          <w:tcPr>
            <w:tcW w:w="720" w:type="pct"/>
          </w:tcPr>
          <w:p w:rsidR="00156DD6" w:rsidRDefault="00D51F5F">
            <w:pPr>
              <w:jc w:val="right"/>
            </w:pPr>
            <w:r>
              <w:rPr>
                <w:rFonts w:hint="eastAsia"/>
              </w:rPr>
              <w:t xml:space="preserve"> 28,750,269.37 </w:t>
            </w:r>
          </w:p>
        </w:tc>
        <w:tc>
          <w:tcPr>
            <w:tcW w:w="823" w:type="pct"/>
          </w:tcPr>
          <w:p w:rsidR="00156DD6" w:rsidRDefault="00D51F5F">
            <w:pPr>
              <w:jc w:val="right"/>
            </w:pPr>
            <w:r>
              <w:rPr>
                <w:rFonts w:hint="eastAsia"/>
              </w:rPr>
              <w:t xml:space="preserve"> 2,016,902,943.58 </w:t>
            </w:r>
          </w:p>
        </w:tc>
      </w:tr>
    </w:tbl>
    <w:p w:rsidR="00156DD6" w:rsidRDefault="00D51F5F">
      <w:pPr>
        <w:pStyle w:val="Style48"/>
        <w:numPr>
          <w:ilvl w:val="0"/>
          <w:numId w:val="59"/>
        </w:numPr>
        <w:rPr>
          <w:sz w:val="21"/>
          <w:szCs w:val="21"/>
        </w:rPr>
      </w:pPr>
      <w:r>
        <w:rPr>
          <w:rFonts w:hint="eastAsia"/>
          <w:sz w:val="21"/>
          <w:szCs w:val="21"/>
        </w:rPr>
        <w:t>暂时闲置的固定资产情况</w:t>
      </w:r>
    </w:p>
    <w:sdt>
      <w:sdtPr>
        <w:rPr>
          <w:color w:val="000000" w:themeColor="text1"/>
        </w:rPr>
        <w:alias w:val="是否适用：暂时闲置的固定资产情况[双击切换]"/>
        <w:tag w:val="_GBC_ca31f29118c7481f95f99a2655f8c1e1"/>
        <w:id w:val="104741572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59"/>
        </w:numPr>
        <w:rPr>
          <w:sz w:val="21"/>
          <w:szCs w:val="21"/>
        </w:rPr>
      </w:pPr>
      <w:r>
        <w:rPr>
          <w:rFonts w:hint="eastAsia"/>
          <w:sz w:val="21"/>
          <w:szCs w:val="21"/>
        </w:rPr>
        <w:lastRenderedPageBreak/>
        <w:t>通过经营租赁租出的固定资产</w:t>
      </w:r>
    </w:p>
    <w:sdt>
      <w:sdtPr>
        <w:rPr>
          <w:color w:val="000000" w:themeColor="text1"/>
        </w:rPr>
        <w:alias w:val="是否适用：通过经营租赁租出的固定资产[双击切换]"/>
        <w:tag w:val="_GBC_251e1c74f40b47869d759974b0f6a463"/>
        <w:id w:val="111872321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通过经营租赁租出的固定资产"/>
          <w:tag w:val="_GBC_a1b158033c164dbe8e4b29749873c766"/>
          <w:id w:val="4406497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通过经营租赁租出的固定资产"/>
          <w:tag w:val="_GBC_e4a5a39e4afb42bc8f9ecc37f1fd4c4b"/>
          <w:id w:val="-14547133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3"/>
        <w:gridCol w:w="7500"/>
      </w:tblGrid>
      <w:tr w:rsidR="00156DD6">
        <w:bookmarkStart w:id="341" w:name="OLE_LINK5" w:displacedByCustomXml="next"/>
        <w:sdt>
          <w:sdtPr>
            <w:tag w:val="_PLD_8eb604de598c4a599cc90a86ae48c29e"/>
            <w:id w:val="803360350"/>
          </w:sdtPr>
          <w:sdtEndPr/>
          <w:sdtContent>
            <w:tc>
              <w:tcPr>
                <w:tcW w:w="2295"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项目</w:t>
                </w:r>
              </w:p>
            </w:tc>
          </w:sdtContent>
        </w:sdt>
        <w:sdt>
          <w:sdtPr>
            <w:tag w:val="_PLD_87828bb122d64d2db1a342511bbbf1d2"/>
            <w:id w:val="-1130933906"/>
          </w:sdtPr>
          <w:sdtEndPr/>
          <w:sdtContent>
            <w:tc>
              <w:tcPr>
                <w:tcW w:w="2705"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期末账面价值</w:t>
                </w:r>
              </w:p>
            </w:tc>
          </w:sdtContent>
        </w:sdt>
      </w:tr>
      <w:tr w:rsidR="00156DD6">
        <w:tc>
          <w:tcPr>
            <w:tcW w:w="2295" w:type="pct"/>
            <w:tcBorders>
              <w:top w:val="single" w:sz="4" w:space="0" w:color="auto"/>
              <w:left w:val="single" w:sz="4" w:space="0" w:color="auto"/>
              <w:bottom w:val="single" w:sz="4" w:space="0" w:color="auto"/>
              <w:right w:val="single" w:sz="4" w:space="0" w:color="auto"/>
            </w:tcBorders>
          </w:tcPr>
          <w:p w:rsidR="00156DD6" w:rsidRDefault="00D51F5F">
            <w:pPr>
              <w:pStyle w:val="Style43"/>
            </w:pPr>
            <w:r>
              <w:rPr>
                <w:rFonts w:hint="eastAsia"/>
              </w:rPr>
              <w:t>房屋及建筑物</w:t>
            </w:r>
          </w:p>
        </w:tc>
        <w:tc>
          <w:tcPr>
            <w:tcW w:w="2705"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3,386,807.94</w:t>
            </w:r>
          </w:p>
        </w:tc>
      </w:tr>
    </w:tbl>
    <w:bookmarkEnd w:id="341"/>
    <w:p w:rsidR="00156DD6" w:rsidRDefault="00D51F5F">
      <w:pPr>
        <w:pStyle w:val="Style48"/>
        <w:numPr>
          <w:ilvl w:val="0"/>
          <w:numId w:val="59"/>
        </w:numPr>
        <w:rPr>
          <w:sz w:val="21"/>
          <w:szCs w:val="21"/>
        </w:rPr>
      </w:pPr>
      <w:r>
        <w:rPr>
          <w:rFonts w:hint="eastAsia"/>
          <w:sz w:val="21"/>
          <w:szCs w:val="21"/>
        </w:rPr>
        <w:t>未办妥产权证书的固定资产情况</w:t>
      </w:r>
    </w:p>
    <w:sdt>
      <w:sdtPr>
        <w:rPr>
          <w:color w:val="000000" w:themeColor="text1"/>
        </w:rPr>
        <w:alias w:val="是否适用：未办妥产权证书的固定资产情况[双击切换]"/>
        <w:tag w:val="_GBC_a26aa363313e4c8fbedf9041cd41bfc9"/>
        <w:id w:val="116366965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bookmarkStart w:id="342" w:name="_Hlk153460880"/>
      <w:bookmarkStart w:id="343" w:name="_Hlk167957241"/>
      <w:r>
        <w:rPr>
          <w:rFonts w:hint="eastAsia"/>
          <w:color w:val="000000" w:themeColor="text1"/>
        </w:rPr>
        <w:t>单位：</w:t>
      </w:r>
      <w:sdt>
        <w:sdtPr>
          <w:rPr>
            <w:rFonts w:hint="eastAsia"/>
            <w:color w:val="000000" w:themeColor="text1"/>
          </w:rPr>
          <w:alias w:val="单位：财务附注：未办妥产权证书的固定资产情况"/>
          <w:tag w:val="_GBC_b7780eb99c5c47be9731dc6ebe1dea77"/>
          <w:id w:val="32693124"/>
          <w:placeholder>
            <w:docPart w:val="FC03B5D471284A6BA8F7145A9BFD275B"/>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未办妥产权证书的固定资产情况"/>
          <w:tag w:val="_GBC_07d37ddbabe745a3b375a7706f9047dc"/>
          <w:id w:val="-896655993"/>
          <w:placeholder>
            <w:docPart w:val="FC03B5D471284A6BA8F7145A9BFD275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661"/>
        <w:gridCol w:w="4686"/>
      </w:tblGrid>
      <w:tr w:rsidR="00156DD6">
        <w:sdt>
          <w:sdtPr>
            <w:tag w:val="_PLD_1347e8d2222c4d13aa7c3569cd05e439"/>
            <w:id w:val="39170507"/>
          </w:sdtPr>
          <w:sdtEndPr/>
          <w:sdtContent>
            <w:tc>
              <w:tcPr>
                <w:tcW w:w="1629" w:type="pct"/>
                <w:vAlign w:val="center"/>
              </w:tcPr>
              <w:p w:rsidR="00156DD6" w:rsidRDefault="00D51F5F">
                <w:pPr>
                  <w:jc w:val="center"/>
                  <w:rPr>
                    <w:color w:val="000000" w:themeColor="text1"/>
                  </w:rPr>
                </w:pPr>
                <w:r>
                  <w:rPr>
                    <w:rFonts w:hint="eastAsia"/>
                    <w:color w:val="000000" w:themeColor="text1"/>
                  </w:rPr>
                  <w:t>项目</w:t>
                </w:r>
              </w:p>
            </w:tc>
          </w:sdtContent>
        </w:sdt>
        <w:sdt>
          <w:sdtPr>
            <w:tag w:val="_PLD_e14c4b6f9d874d4c86e835843a896497"/>
            <w:id w:val="402733266"/>
          </w:sdtPr>
          <w:sdtEndPr/>
          <w:sdtContent>
            <w:tc>
              <w:tcPr>
                <w:tcW w:w="1681" w:type="pct"/>
                <w:vAlign w:val="center"/>
              </w:tcPr>
              <w:p w:rsidR="00156DD6" w:rsidRDefault="00D51F5F">
                <w:pPr>
                  <w:jc w:val="center"/>
                  <w:rPr>
                    <w:color w:val="000000" w:themeColor="text1"/>
                  </w:rPr>
                </w:pPr>
                <w:r>
                  <w:rPr>
                    <w:rFonts w:hint="eastAsia"/>
                    <w:color w:val="000000" w:themeColor="text1"/>
                  </w:rPr>
                  <w:t>账面价值</w:t>
                </w:r>
              </w:p>
            </w:tc>
          </w:sdtContent>
        </w:sdt>
        <w:sdt>
          <w:sdtPr>
            <w:tag w:val="_PLD_0735ea1c6b5c4a2395fde5f63b614530"/>
            <w:id w:val="649783979"/>
          </w:sdtPr>
          <w:sdtEndPr/>
          <w:sdtContent>
            <w:tc>
              <w:tcPr>
                <w:tcW w:w="1690" w:type="pct"/>
                <w:vAlign w:val="center"/>
              </w:tcPr>
              <w:p w:rsidR="00156DD6" w:rsidRDefault="00D51F5F">
                <w:pPr>
                  <w:jc w:val="center"/>
                  <w:rPr>
                    <w:color w:val="000000" w:themeColor="text1"/>
                  </w:rPr>
                </w:pPr>
                <w:r>
                  <w:rPr>
                    <w:rFonts w:hint="eastAsia"/>
                    <w:color w:val="000000" w:themeColor="text1"/>
                  </w:rPr>
                  <w:t>未办妥产权证书的原因</w:t>
                </w:r>
              </w:p>
            </w:tc>
          </w:sdtContent>
        </w:sdt>
      </w:tr>
      <w:tr w:rsidR="00156DD6">
        <w:tc>
          <w:tcPr>
            <w:tcW w:w="1629" w:type="pct"/>
          </w:tcPr>
          <w:p w:rsidR="00156DD6" w:rsidRDefault="00D51F5F">
            <w:pPr>
              <w:pStyle w:val="Style43"/>
            </w:pPr>
            <w:r>
              <w:rPr>
                <w:rFonts w:hint="eastAsia"/>
              </w:rPr>
              <w:t>房屋及建筑物</w:t>
            </w:r>
          </w:p>
        </w:tc>
        <w:tc>
          <w:tcPr>
            <w:tcW w:w="1681" w:type="pct"/>
          </w:tcPr>
          <w:p w:rsidR="00156DD6" w:rsidRDefault="00D51F5F">
            <w:pPr>
              <w:jc w:val="right"/>
            </w:pPr>
            <w:r>
              <w:rPr>
                <w:rFonts w:hint="eastAsia"/>
              </w:rPr>
              <w:t>7,282,271.73</w:t>
            </w:r>
          </w:p>
        </w:tc>
        <w:tc>
          <w:tcPr>
            <w:tcW w:w="1690" w:type="pct"/>
          </w:tcPr>
          <w:p w:rsidR="00156DD6" w:rsidRDefault="00D51F5F">
            <w:pPr>
              <w:pStyle w:val="Style43"/>
            </w:pPr>
            <w:r>
              <w:rPr>
                <w:rFonts w:hint="eastAsia"/>
              </w:rPr>
              <w:t>正在办理验收</w:t>
            </w:r>
          </w:p>
        </w:tc>
      </w:tr>
    </w:tbl>
    <w:p w:rsidR="00156DD6" w:rsidRDefault="00D51F5F">
      <w:pPr>
        <w:pStyle w:val="Style48"/>
        <w:numPr>
          <w:ilvl w:val="0"/>
          <w:numId w:val="59"/>
        </w:numPr>
        <w:rPr>
          <w:sz w:val="21"/>
          <w:szCs w:val="21"/>
        </w:rPr>
      </w:pPr>
      <w:r>
        <w:rPr>
          <w:rFonts w:hint="eastAsia"/>
          <w:sz w:val="21"/>
          <w:szCs w:val="21"/>
        </w:rPr>
        <w:t>固定资产的减值测试情况</w:t>
      </w:r>
    </w:p>
    <w:sdt>
      <w:sdtPr>
        <w:rPr>
          <w:color w:val="000000" w:themeColor="text1"/>
        </w:rPr>
        <w:alias w:val="是否适用：减值测试情况[双击切换]"/>
        <w:tag w:val="_GBC_9a66caee6756422c9cb01da54631670e"/>
        <w:id w:val="37628645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42"/>
    <w:bookmarkEnd w:id="343"/>
    <w:p w:rsidR="00156DD6" w:rsidRDefault="00D51F5F">
      <w:pPr>
        <w:rPr>
          <w:color w:val="000000" w:themeColor="text1"/>
        </w:rPr>
      </w:pPr>
      <w:r>
        <w:rPr>
          <w:rFonts w:hint="eastAsia"/>
          <w:color w:val="000000" w:themeColor="text1"/>
        </w:rPr>
        <w:t>其他说明：</w:t>
      </w:r>
    </w:p>
    <w:sdt>
      <w:sdtPr>
        <w:rPr>
          <w:color w:val="000000" w:themeColor="text1"/>
        </w:rPr>
        <w:alias w:val="是否适用：固定资产的说明[双击切换]"/>
        <w:tag w:val="_GBC_e2fd7087594d4949ada40807334de5fb"/>
        <w:id w:val="-2795280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6"/>
        <w:ind w:left="105"/>
        <w:rPr>
          <w:color w:val="000000" w:themeColor="text1"/>
        </w:rPr>
      </w:pPr>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77390c99cebf4796a804f10938056e25"/>
        <w:id w:val="-141123061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6"/>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46c463cf31b641e1a10b87072f4f5f1d"/>
        <w:id w:val="-180692159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6"/>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f1fe3341ffe04c7abe39443a16532aa9"/>
        <w:id w:val="121354052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w:instrText>
          </w:r>
          <w:r>
            <w:rPr>
              <w:rFonts w:hint="eastAsia"/>
              <w:color w:val="000000" w:themeColor="text1"/>
            </w:rPr>
            <w:instrText xml:space="preserve">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6"/>
        <w:ind w:left="105"/>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bc90075330444257953b13cfc5cad49b"/>
        <w:id w:val="78724673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固定资产的说明[双击切换]"/>
        <w:tag w:val="_GBC_e2fd7087594d4949ada40807334de5fb"/>
        <w:id w:val="183580170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sdt>
      <w:sdtPr>
        <w:rPr>
          <w:color w:val="000000" w:themeColor="text1"/>
        </w:rPr>
        <w:alias w:val="固定资产的说明"/>
        <w:tag w:val="_GBC_1cd9f478e6f24b25af00fb54ff820976"/>
        <w:id w:val="-1666541252"/>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Style47"/>
        <w:rPr>
          <w:rFonts w:ascii="宋体" w:hAnsi="宋体"/>
          <w:color w:val="000000" w:themeColor="text1"/>
          <w:sz w:val="21"/>
          <w:szCs w:val="21"/>
        </w:rPr>
      </w:pPr>
      <w:r>
        <w:rPr>
          <w:rFonts w:ascii="宋体" w:hAnsi="宋体" w:hint="eastAsia"/>
          <w:color w:val="000000" w:themeColor="text1"/>
          <w:sz w:val="21"/>
          <w:szCs w:val="21"/>
        </w:rPr>
        <w:t>固定资产清理</w:t>
      </w:r>
    </w:p>
    <w:sdt>
      <w:sdtPr>
        <w:rPr>
          <w:color w:val="000000" w:themeColor="text1"/>
        </w:rPr>
        <w:alias w:val="是否适用：固定资产清理[双击切换]"/>
        <w:tag w:val="_GBC_d005d220fbda4cd2a58ced6d0d7a1404"/>
        <w:id w:val="-3915899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lastRenderedPageBreak/>
        <w:t>在建工程</w:t>
      </w:r>
    </w:p>
    <w:p w:rsidR="00156DD6" w:rsidRDefault="00D51F5F">
      <w:pPr>
        <w:pStyle w:val="Style47"/>
        <w:rPr>
          <w:rFonts w:ascii="宋体" w:hAnsi="宋体"/>
          <w:color w:val="000000" w:themeColor="text1"/>
          <w:sz w:val="21"/>
          <w:szCs w:val="21"/>
        </w:rPr>
      </w:pPr>
      <w:bookmarkStart w:id="344" w:name="_Hlk10472757"/>
      <w:r>
        <w:rPr>
          <w:rFonts w:ascii="宋体" w:hAnsi="宋体" w:hint="eastAsia"/>
          <w:color w:val="000000" w:themeColor="text1"/>
          <w:sz w:val="21"/>
          <w:szCs w:val="21"/>
        </w:rPr>
        <w:t>项目列示</w:t>
      </w:r>
    </w:p>
    <w:sdt>
      <w:sdtPr>
        <w:rPr>
          <w:color w:val="000000" w:themeColor="text1"/>
        </w:rPr>
        <w:alias w:val="是否适用：在建工程分类列示[双击切换]"/>
        <w:tag w:val="_GBC_bcbd4315343844fc923825dd150041e5"/>
        <w:id w:val="-124071085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在建工程分类列示"/>
          <w:tag w:val="_GBC_9df8e16a6fb54a76b384d11e7a6dd52d"/>
          <w:id w:val="-6078865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在建工程分类列示"/>
          <w:tag w:val="_GBC_17b0bdb7b5f24e599fcea2e90510306a"/>
          <w:id w:val="-18731394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891"/>
        <w:gridCol w:w="4497"/>
        <w:gridCol w:w="4475"/>
      </w:tblGrid>
      <w:tr w:rsidR="00156DD6">
        <w:trPr>
          <w:cantSplit/>
        </w:trPr>
        <w:sdt>
          <w:sdtPr>
            <w:tag w:val="_PLD_3a34a6496ee4454093b17b19ba9b805d"/>
            <w:id w:val="1445957840"/>
          </w:sdtPr>
          <w:sdtEndPr/>
          <w:sdtContent>
            <w:tc>
              <w:tcPr>
                <w:tcW w:w="1764" w:type="pct"/>
                <w:vAlign w:val="center"/>
              </w:tcPr>
              <w:p w:rsidR="00156DD6" w:rsidRDefault="00D51F5F">
                <w:pPr>
                  <w:jc w:val="center"/>
                  <w:rPr>
                    <w:color w:val="000000" w:themeColor="text1"/>
                  </w:rPr>
                </w:pPr>
                <w:r>
                  <w:rPr>
                    <w:rFonts w:hint="eastAsia"/>
                    <w:color w:val="000000" w:themeColor="text1"/>
                  </w:rPr>
                  <w:t>项目</w:t>
                </w:r>
              </w:p>
            </w:tc>
          </w:sdtContent>
        </w:sdt>
        <w:sdt>
          <w:sdtPr>
            <w:tag w:val="_PLD_88973d2835334cdbb31181ad26b55912"/>
            <w:id w:val="-703024655"/>
          </w:sdtPr>
          <w:sdtEndPr/>
          <w:sdtContent>
            <w:tc>
              <w:tcPr>
                <w:tcW w:w="1622"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55f5bd8851c54b7897a165bee2df0273"/>
            <w:id w:val="-683749173"/>
          </w:sdtPr>
          <w:sdtEndPr/>
          <w:sdtContent>
            <w:tc>
              <w:tcPr>
                <w:tcW w:w="1614"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1764"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在建工程</w:t>
            </w:r>
          </w:p>
        </w:tc>
        <w:tc>
          <w:tcPr>
            <w:tcW w:w="1622" w:type="pct"/>
          </w:tcPr>
          <w:p w:rsidR="00156DD6" w:rsidRDefault="00D51F5F">
            <w:pPr>
              <w:ind w:right="5"/>
              <w:jc w:val="right"/>
            </w:pPr>
            <w:r>
              <w:rPr>
                <w:rFonts w:hint="eastAsia"/>
              </w:rPr>
              <w:t xml:space="preserve"> 38,228,575.83 </w:t>
            </w:r>
          </w:p>
        </w:tc>
        <w:tc>
          <w:tcPr>
            <w:tcW w:w="1614" w:type="pct"/>
            <w:vAlign w:val="center"/>
          </w:tcPr>
          <w:p w:rsidR="00156DD6" w:rsidRDefault="00D51F5F">
            <w:pPr>
              <w:ind w:right="5"/>
              <w:jc w:val="right"/>
            </w:pPr>
            <w:r>
              <w:t>25,034,215.15</w:t>
            </w:r>
          </w:p>
        </w:tc>
      </w:tr>
      <w:tr w:rsidR="00156DD6">
        <w:trPr>
          <w:cantSplit/>
        </w:trPr>
        <w:tc>
          <w:tcPr>
            <w:tcW w:w="1764"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工程物资</w:t>
            </w:r>
          </w:p>
        </w:tc>
        <w:tc>
          <w:tcPr>
            <w:tcW w:w="1622" w:type="pct"/>
          </w:tcPr>
          <w:p w:rsidR="00156DD6" w:rsidRDefault="00156DD6">
            <w:pPr>
              <w:ind w:right="5"/>
              <w:jc w:val="right"/>
            </w:pPr>
          </w:p>
        </w:tc>
        <w:tc>
          <w:tcPr>
            <w:tcW w:w="1614" w:type="pct"/>
            <w:vAlign w:val="center"/>
          </w:tcPr>
          <w:p w:rsidR="00156DD6" w:rsidRDefault="00156DD6">
            <w:pPr>
              <w:ind w:right="5"/>
              <w:jc w:val="right"/>
            </w:pPr>
          </w:p>
        </w:tc>
      </w:tr>
      <w:tr w:rsidR="00156DD6">
        <w:trPr>
          <w:cantSplit/>
        </w:trPr>
        <w:tc>
          <w:tcPr>
            <w:tcW w:w="1764" w:type="pct"/>
            <w:vAlign w:val="center"/>
          </w:tcPr>
          <w:p w:rsidR="00156DD6" w:rsidRDefault="00D51F5F">
            <w:pPr>
              <w:autoSpaceDE w:val="0"/>
              <w:autoSpaceDN w:val="0"/>
              <w:adjustRightInd w:val="0"/>
              <w:jc w:val="center"/>
              <w:rPr>
                <w:color w:val="000000" w:themeColor="text1"/>
              </w:rPr>
            </w:pPr>
            <w:r>
              <w:rPr>
                <w:rFonts w:hint="eastAsia"/>
                <w:color w:val="000000" w:themeColor="text1"/>
              </w:rPr>
              <w:t>合计</w:t>
            </w:r>
          </w:p>
        </w:tc>
        <w:tc>
          <w:tcPr>
            <w:tcW w:w="1622" w:type="pct"/>
          </w:tcPr>
          <w:p w:rsidR="00156DD6" w:rsidRDefault="00D51F5F">
            <w:pPr>
              <w:jc w:val="right"/>
            </w:pPr>
            <w:r>
              <w:rPr>
                <w:rFonts w:hint="eastAsia"/>
              </w:rPr>
              <w:t xml:space="preserve"> 38,228,575.83 </w:t>
            </w:r>
          </w:p>
        </w:tc>
        <w:tc>
          <w:tcPr>
            <w:tcW w:w="1614" w:type="pct"/>
            <w:vAlign w:val="center"/>
          </w:tcPr>
          <w:p w:rsidR="00156DD6" w:rsidRDefault="00D51F5F">
            <w:pPr>
              <w:ind w:right="5"/>
              <w:jc w:val="right"/>
            </w:pPr>
            <w:r>
              <w:t>25,034,215.15</w:t>
            </w:r>
          </w:p>
        </w:tc>
      </w:tr>
    </w:tbl>
    <w:p w:rsidR="00156DD6" w:rsidRDefault="00D51F5F">
      <w:pPr>
        <w:rPr>
          <w:color w:val="000000" w:themeColor="text1"/>
        </w:rPr>
      </w:pPr>
      <w:bookmarkStart w:id="345" w:name="_Hlk10472837"/>
      <w:bookmarkStart w:id="346" w:name="_Hlk10472848"/>
      <w:bookmarkEnd w:id="344"/>
      <w:r>
        <w:rPr>
          <w:rFonts w:hint="eastAsia"/>
          <w:color w:val="000000" w:themeColor="text1"/>
        </w:rPr>
        <w:t>其他说明：</w:t>
      </w:r>
      <w:bookmarkEnd w:id="345"/>
    </w:p>
    <w:p w:rsidR="00156DD6" w:rsidRDefault="00D51F5F">
      <w:pPr>
        <w:rPr>
          <w:color w:val="000000" w:themeColor="text1"/>
        </w:rPr>
      </w:pPr>
      <w:sdt>
        <w:sdtPr>
          <w:rPr>
            <w:color w:val="000000" w:themeColor="text1"/>
          </w:rPr>
          <w:alias w:val="在建工程分类列示其他说明"/>
          <w:tag w:val="_GBC_ebe1a06b82914095a2c469c32c78af71"/>
          <w:id w:val="1511415804"/>
          <w:placeholder>
            <w:docPart w:val="GBC22222222222222222222222222222"/>
          </w:placeholder>
        </w:sdtPr>
        <w:sdtEndPr/>
        <w:sdtContent>
          <w:r>
            <w:rPr>
              <w:rFonts w:hint="eastAsia"/>
              <w:color w:val="000000" w:themeColor="text1"/>
            </w:rPr>
            <w:t>无</w:t>
          </w:r>
        </w:sdtContent>
      </w:sdt>
    </w:p>
    <w:bookmarkEnd w:id="346"/>
    <w:p w:rsidR="00156DD6" w:rsidRDefault="00D51F5F">
      <w:pPr>
        <w:pStyle w:val="Style47"/>
        <w:rPr>
          <w:rFonts w:ascii="宋体" w:hAnsi="宋体"/>
          <w:color w:val="000000" w:themeColor="text1"/>
          <w:sz w:val="21"/>
          <w:szCs w:val="32"/>
        </w:rPr>
      </w:pPr>
      <w:r>
        <w:rPr>
          <w:rFonts w:ascii="宋体" w:hAnsi="宋体" w:hint="eastAsia"/>
          <w:color w:val="000000" w:themeColor="text1"/>
          <w:sz w:val="21"/>
          <w:szCs w:val="32"/>
        </w:rPr>
        <w:t>在建工程</w:t>
      </w:r>
    </w:p>
    <w:p w:rsidR="00156DD6" w:rsidRDefault="00D51F5F">
      <w:pPr>
        <w:pStyle w:val="Style48"/>
        <w:numPr>
          <w:ilvl w:val="0"/>
          <w:numId w:val="60"/>
        </w:numPr>
        <w:rPr>
          <w:sz w:val="21"/>
          <w:szCs w:val="32"/>
        </w:rPr>
      </w:pPr>
      <w:r>
        <w:rPr>
          <w:rFonts w:hint="eastAsia"/>
          <w:sz w:val="21"/>
          <w:szCs w:val="32"/>
        </w:rPr>
        <w:t>在建工程情况</w:t>
      </w:r>
    </w:p>
    <w:sdt>
      <w:sdtPr>
        <w:rPr>
          <w:color w:val="000000" w:themeColor="text1"/>
        </w:rPr>
        <w:alias w:val="是否适用：在建工程情况[双击切换]"/>
        <w:tag w:val="_GBC_d9828cc7ad534f26902e1979f9d67530"/>
        <w:id w:val="-170609057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在建工程"/>
          <w:tag w:val="_GBC_d20598ce3f5b4d21a9055de674936a9a"/>
          <w:id w:val="-12395606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在建工程"/>
          <w:tag w:val="_GBC_9e96d736daa247dd96af144329fff105"/>
          <w:id w:val="-19681913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703"/>
        <w:gridCol w:w="2160"/>
        <w:gridCol w:w="1946"/>
        <w:gridCol w:w="2113"/>
        <w:gridCol w:w="1628"/>
        <w:gridCol w:w="1647"/>
        <w:gridCol w:w="1666"/>
      </w:tblGrid>
      <w:tr w:rsidR="00156DD6">
        <w:trPr>
          <w:cantSplit/>
        </w:trPr>
        <w:sdt>
          <w:sdtPr>
            <w:tag w:val="_PLD_27b31695edfd49cb9cafa333777d18c3"/>
            <w:id w:val="-718509211"/>
          </w:sdtPr>
          <w:sdtEndPr/>
          <w:sdtContent>
            <w:tc>
              <w:tcPr>
                <w:tcW w:w="975" w:type="pct"/>
                <w:vMerge w:val="restart"/>
                <w:vAlign w:val="center"/>
              </w:tcPr>
              <w:p w:rsidR="00156DD6" w:rsidRDefault="00D51F5F">
                <w:pPr>
                  <w:jc w:val="center"/>
                  <w:rPr>
                    <w:color w:val="000000" w:themeColor="text1"/>
                  </w:rPr>
                </w:pPr>
                <w:r>
                  <w:rPr>
                    <w:rFonts w:hint="eastAsia"/>
                    <w:color w:val="000000" w:themeColor="text1"/>
                  </w:rPr>
                  <w:t>项目</w:t>
                </w:r>
              </w:p>
            </w:tc>
          </w:sdtContent>
        </w:sdt>
        <w:sdt>
          <w:sdtPr>
            <w:tag w:val="_PLD_a5273bde7b2f4c6c8fbe3ea2d7a7eb84"/>
            <w:id w:val="1514424837"/>
          </w:sdtPr>
          <w:sdtEndPr/>
          <w:sdtContent>
            <w:tc>
              <w:tcPr>
                <w:tcW w:w="2243" w:type="pct"/>
                <w:gridSpan w:val="3"/>
                <w:vAlign w:val="center"/>
              </w:tcPr>
              <w:p w:rsidR="00156DD6" w:rsidRDefault="00D51F5F">
                <w:pPr>
                  <w:jc w:val="center"/>
                  <w:rPr>
                    <w:color w:val="000000" w:themeColor="text1"/>
                  </w:rPr>
                </w:pPr>
                <w:r>
                  <w:rPr>
                    <w:rFonts w:hint="eastAsia"/>
                    <w:color w:val="000000" w:themeColor="text1"/>
                  </w:rPr>
                  <w:t>期末余额</w:t>
                </w:r>
              </w:p>
            </w:tc>
          </w:sdtContent>
        </w:sdt>
        <w:sdt>
          <w:sdtPr>
            <w:tag w:val="_PLD_ac57490b080449c8b91be5a872e19f79"/>
            <w:id w:val="-284511306"/>
          </w:sdtPr>
          <w:sdtEndPr/>
          <w:sdtContent>
            <w:tc>
              <w:tcPr>
                <w:tcW w:w="1782" w:type="pct"/>
                <w:gridSpan w:val="3"/>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975" w:type="pct"/>
            <w:vMerge/>
            <w:vAlign w:val="center"/>
          </w:tcPr>
          <w:p w:rsidR="00156DD6" w:rsidRDefault="00156DD6">
            <w:pPr>
              <w:tabs>
                <w:tab w:val="left" w:pos="420"/>
              </w:tabs>
              <w:ind w:left="420" w:hanging="420"/>
              <w:jc w:val="center"/>
              <w:rPr>
                <w:color w:val="000000" w:themeColor="text1"/>
              </w:rPr>
            </w:pPr>
          </w:p>
        </w:tc>
        <w:sdt>
          <w:sdtPr>
            <w:tag w:val="_PLD_1d60491359e245e7bc54655c8c8c15fd"/>
            <w:id w:val="-1368979712"/>
          </w:sdtPr>
          <w:sdtEndPr/>
          <w:sdtContent>
            <w:tc>
              <w:tcPr>
                <w:tcW w:w="779" w:type="pct"/>
                <w:vAlign w:val="center"/>
              </w:tcPr>
              <w:p w:rsidR="00156DD6" w:rsidRDefault="00D51F5F">
                <w:pPr>
                  <w:tabs>
                    <w:tab w:val="left" w:pos="420"/>
                  </w:tabs>
                  <w:ind w:left="420" w:hanging="420"/>
                  <w:jc w:val="center"/>
                  <w:rPr>
                    <w:color w:val="000000" w:themeColor="text1"/>
                  </w:rPr>
                </w:pPr>
                <w:r>
                  <w:rPr>
                    <w:rFonts w:hint="eastAsia"/>
                    <w:color w:val="000000" w:themeColor="text1"/>
                  </w:rPr>
                  <w:t>账面余额</w:t>
                </w:r>
              </w:p>
            </w:tc>
          </w:sdtContent>
        </w:sdt>
        <w:sdt>
          <w:sdtPr>
            <w:tag w:val="_PLD_d5d8fa5186d44c82b146ad7151830389"/>
            <w:id w:val="-803531542"/>
          </w:sdtPr>
          <w:sdtEndPr/>
          <w:sdtContent>
            <w:tc>
              <w:tcPr>
                <w:tcW w:w="702" w:type="pct"/>
                <w:vAlign w:val="center"/>
              </w:tcPr>
              <w:p w:rsidR="00156DD6" w:rsidRDefault="00D51F5F">
                <w:pPr>
                  <w:tabs>
                    <w:tab w:val="left" w:pos="420"/>
                  </w:tabs>
                  <w:ind w:left="420" w:hanging="420"/>
                  <w:jc w:val="center"/>
                  <w:rPr>
                    <w:color w:val="000000" w:themeColor="text1"/>
                  </w:rPr>
                </w:pPr>
                <w:r>
                  <w:rPr>
                    <w:rFonts w:hint="eastAsia"/>
                    <w:color w:val="000000" w:themeColor="text1"/>
                  </w:rPr>
                  <w:t>减值准备</w:t>
                </w:r>
              </w:p>
            </w:tc>
          </w:sdtContent>
        </w:sdt>
        <w:sdt>
          <w:sdtPr>
            <w:tag w:val="_PLD_49aa1c2d25814b789479d76afb6fc844"/>
            <w:id w:val="-1856105481"/>
          </w:sdtPr>
          <w:sdtEndPr/>
          <w:sdtContent>
            <w:tc>
              <w:tcPr>
                <w:tcW w:w="762" w:type="pct"/>
                <w:vAlign w:val="center"/>
              </w:tcPr>
              <w:p w:rsidR="00156DD6" w:rsidRDefault="00D51F5F">
                <w:pPr>
                  <w:tabs>
                    <w:tab w:val="left" w:pos="420"/>
                  </w:tabs>
                  <w:ind w:left="420" w:hanging="420"/>
                  <w:jc w:val="center"/>
                  <w:rPr>
                    <w:color w:val="000000" w:themeColor="text1"/>
                  </w:rPr>
                </w:pPr>
                <w:r>
                  <w:rPr>
                    <w:rFonts w:hint="eastAsia"/>
                    <w:color w:val="000000" w:themeColor="text1"/>
                  </w:rPr>
                  <w:t>账面价值</w:t>
                </w:r>
              </w:p>
            </w:tc>
          </w:sdtContent>
        </w:sdt>
        <w:sdt>
          <w:sdtPr>
            <w:tag w:val="_PLD_4bba2db5e5a549ecafbf4e94a7af2e35"/>
            <w:id w:val="1181082057"/>
          </w:sdtPr>
          <w:sdtEndPr/>
          <w:sdtContent>
            <w:tc>
              <w:tcPr>
                <w:tcW w:w="587" w:type="pct"/>
                <w:vAlign w:val="center"/>
              </w:tcPr>
              <w:p w:rsidR="00156DD6" w:rsidRDefault="00D51F5F">
                <w:pPr>
                  <w:tabs>
                    <w:tab w:val="left" w:pos="420"/>
                  </w:tabs>
                  <w:ind w:left="420" w:hanging="420"/>
                  <w:jc w:val="center"/>
                  <w:rPr>
                    <w:color w:val="000000" w:themeColor="text1"/>
                  </w:rPr>
                </w:pPr>
                <w:r>
                  <w:rPr>
                    <w:rFonts w:hint="eastAsia"/>
                    <w:color w:val="000000" w:themeColor="text1"/>
                  </w:rPr>
                  <w:t>账面余额</w:t>
                </w:r>
              </w:p>
            </w:tc>
          </w:sdtContent>
        </w:sdt>
        <w:sdt>
          <w:sdtPr>
            <w:tag w:val="_PLD_e054d8cd1e1b4672ae08a495b587bdce"/>
            <w:id w:val="1166594101"/>
          </w:sdtPr>
          <w:sdtEndPr/>
          <w:sdtContent>
            <w:tc>
              <w:tcPr>
                <w:tcW w:w="594" w:type="pct"/>
                <w:vAlign w:val="center"/>
              </w:tcPr>
              <w:p w:rsidR="00156DD6" w:rsidRDefault="00D51F5F">
                <w:pPr>
                  <w:tabs>
                    <w:tab w:val="left" w:pos="420"/>
                  </w:tabs>
                  <w:ind w:left="420" w:hanging="420"/>
                  <w:jc w:val="center"/>
                  <w:rPr>
                    <w:color w:val="000000" w:themeColor="text1"/>
                  </w:rPr>
                </w:pPr>
                <w:r>
                  <w:rPr>
                    <w:rFonts w:hint="eastAsia"/>
                    <w:color w:val="000000" w:themeColor="text1"/>
                  </w:rPr>
                  <w:t>减值准备</w:t>
                </w:r>
              </w:p>
            </w:tc>
          </w:sdtContent>
        </w:sdt>
        <w:sdt>
          <w:sdtPr>
            <w:tag w:val="_PLD_bd3055c2713a44fa9cbd3fd973d34c6a"/>
            <w:id w:val="-178970631"/>
          </w:sdtPr>
          <w:sdtEndPr/>
          <w:sdtContent>
            <w:tc>
              <w:tcPr>
                <w:tcW w:w="601" w:type="pct"/>
                <w:vAlign w:val="center"/>
              </w:tcPr>
              <w:p w:rsidR="00156DD6" w:rsidRDefault="00D51F5F">
                <w:pPr>
                  <w:tabs>
                    <w:tab w:val="left" w:pos="420"/>
                  </w:tabs>
                  <w:ind w:left="420" w:hanging="420"/>
                  <w:jc w:val="center"/>
                  <w:rPr>
                    <w:color w:val="000000" w:themeColor="text1"/>
                  </w:rPr>
                </w:pPr>
                <w:r>
                  <w:rPr>
                    <w:rFonts w:hint="eastAsia"/>
                    <w:color w:val="000000" w:themeColor="text1"/>
                  </w:rPr>
                  <w:t>账面价值</w:t>
                </w:r>
              </w:p>
            </w:tc>
          </w:sdtContent>
        </w:sdt>
      </w:tr>
      <w:tr w:rsidR="00156DD6">
        <w:trPr>
          <w:cantSplit/>
        </w:trPr>
        <w:tc>
          <w:tcPr>
            <w:tcW w:w="975" w:type="pct"/>
          </w:tcPr>
          <w:p w:rsidR="00156DD6" w:rsidRDefault="00D51F5F">
            <w:pPr>
              <w:pStyle w:val="Style43"/>
            </w:pPr>
            <w:r>
              <w:t>铁路牵引供电设备技术升级改造项目</w:t>
            </w:r>
          </w:p>
        </w:tc>
        <w:tc>
          <w:tcPr>
            <w:tcW w:w="779" w:type="pct"/>
            <w:vAlign w:val="center"/>
          </w:tcPr>
          <w:p w:rsidR="00156DD6" w:rsidRDefault="00D51F5F">
            <w:pPr>
              <w:ind w:right="105"/>
              <w:jc w:val="right"/>
            </w:pPr>
            <w:r>
              <w:rPr>
                <w:rFonts w:hint="eastAsia"/>
              </w:rPr>
              <w:t xml:space="preserve"> 21,453,499.70 </w:t>
            </w:r>
          </w:p>
        </w:tc>
        <w:tc>
          <w:tcPr>
            <w:tcW w:w="702" w:type="pct"/>
            <w:vAlign w:val="center"/>
          </w:tcPr>
          <w:p w:rsidR="00156DD6" w:rsidRDefault="00156DD6">
            <w:pPr>
              <w:ind w:right="73"/>
              <w:jc w:val="right"/>
            </w:pPr>
          </w:p>
        </w:tc>
        <w:tc>
          <w:tcPr>
            <w:tcW w:w="762" w:type="pct"/>
            <w:vAlign w:val="center"/>
          </w:tcPr>
          <w:p w:rsidR="00156DD6" w:rsidRDefault="00D51F5F">
            <w:pPr>
              <w:ind w:right="73"/>
              <w:jc w:val="right"/>
            </w:pPr>
            <w:r>
              <w:rPr>
                <w:rFonts w:hint="eastAsia"/>
              </w:rPr>
              <w:t xml:space="preserve"> 21,453,499.70 </w:t>
            </w:r>
          </w:p>
        </w:tc>
        <w:tc>
          <w:tcPr>
            <w:tcW w:w="587" w:type="pct"/>
            <w:vAlign w:val="center"/>
          </w:tcPr>
          <w:p w:rsidR="00156DD6" w:rsidRDefault="00D51F5F">
            <w:pPr>
              <w:jc w:val="right"/>
            </w:pPr>
            <w:r>
              <w:t>17,620,882.68</w:t>
            </w:r>
          </w:p>
        </w:tc>
        <w:tc>
          <w:tcPr>
            <w:tcW w:w="594" w:type="pct"/>
            <w:vAlign w:val="center"/>
          </w:tcPr>
          <w:p w:rsidR="00156DD6" w:rsidRDefault="00156DD6">
            <w:pPr>
              <w:jc w:val="right"/>
            </w:pPr>
          </w:p>
        </w:tc>
        <w:tc>
          <w:tcPr>
            <w:tcW w:w="601" w:type="pct"/>
            <w:vAlign w:val="center"/>
          </w:tcPr>
          <w:p w:rsidR="00156DD6" w:rsidRDefault="00D51F5F">
            <w:pPr>
              <w:jc w:val="right"/>
            </w:pPr>
            <w:r>
              <w:t>17,620,882.68</w:t>
            </w:r>
          </w:p>
        </w:tc>
      </w:tr>
      <w:tr w:rsidR="00156DD6">
        <w:trPr>
          <w:cantSplit/>
        </w:trPr>
        <w:tc>
          <w:tcPr>
            <w:tcW w:w="975" w:type="pct"/>
          </w:tcPr>
          <w:p w:rsidR="00156DD6" w:rsidRDefault="00D51F5F">
            <w:pPr>
              <w:pStyle w:val="Style43"/>
            </w:pPr>
            <w:r>
              <w:t>其他项目</w:t>
            </w:r>
          </w:p>
        </w:tc>
        <w:tc>
          <w:tcPr>
            <w:tcW w:w="779" w:type="pct"/>
          </w:tcPr>
          <w:p w:rsidR="00156DD6" w:rsidRDefault="00D51F5F">
            <w:pPr>
              <w:ind w:right="105"/>
              <w:jc w:val="right"/>
            </w:pPr>
            <w:r>
              <w:rPr>
                <w:rFonts w:hint="eastAsia"/>
              </w:rPr>
              <w:t xml:space="preserve"> 18,217,758.43 </w:t>
            </w:r>
          </w:p>
        </w:tc>
        <w:tc>
          <w:tcPr>
            <w:tcW w:w="702" w:type="pct"/>
          </w:tcPr>
          <w:p w:rsidR="00156DD6" w:rsidRDefault="00D51F5F">
            <w:pPr>
              <w:ind w:right="73"/>
              <w:jc w:val="right"/>
            </w:pPr>
            <w:r>
              <w:rPr>
                <w:rFonts w:hint="eastAsia"/>
              </w:rPr>
              <w:t xml:space="preserve"> 1,442,682.30 </w:t>
            </w:r>
          </w:p>
        </w:tc>
        <w:tc>
          <w:tcPr>
            <w:tcW w:w="762" w:type="pct"/>
          </w:tcPr>
          <w:p w:rsidR="00156DD6" w:rsidRDefault="00D51F5F">
            <w:pPr>
              <w:ind w:right="73"/>
              <w:jc w:val="right"/>
            </w:pPr>
            <w:r>
              <w:rPr>
                <w:rFonts w:hint="eastAsia"/>
              </w:rPr>
              <w:t xml:space="preserve"> 16,775,076.13 </w:t>
            </w:r>
          </w:p>
        </w:tc>
        <w:tc>
          <w:tcPr>
            <w:tcW w:w="587" w:type="pct"/>
          </w:tcPr>
          <w:p w:rsidR="00156DD6" w:rsidRDefault="00D51F5F">
            <w:pPr>
              <w:jc w:val="right"/>
            </w:pPr>
            <w:r>
              <w:rPr>
                <w:rFonts w:hint="eastAsia"/>
              </w:rPr>
              <w:t xml:space="preserve"> 8,856,014.77 </w:t>
            </w:r>
          </w:p>
        </w:tc>
        <w:tc>
          <w:tcPr>
            <w:tcW w:w="594" w:type="pct"/>
          </w:tcPr>
          <w:p w:rsidR="00156DD6" w:rsidRDefault="00D51F5F">
            <w:pPr>
              <w:jc w:val="right"/>
            </w:pPr>
            <w:r>
              <w:rPr>
                <w:rFonts w:hint="eastAsia"/>
              </w:rPr>
              <w:t xml:space="preserve"> 1,442,682.30 </w:t>
            </w:r>
          </w:p>
        </w:tc>
        <w:tc>
          <w:tcPr>
            <w:tcW w:w="601" w:type="pct"/>
          </w:tcPr>
          <w:p w:rsidR="00156DD6" w:rsidRDefault="00D51F5F">
            <w:pPr>
              <w:jc w:val="right"/>
            </w:pPr>
            <w:r>
              <w:rPr>
                <w:rFonts w:hint="eastAsia"/>
              </w:rPr>
              <w:t xml:space="preserve"> 7,413,332.47 </w:t>
            </w:r>
          </w:p>
        </w:tc>
      </w:tr>
      <w:tr w:rsidR="00156DD6">
        <w:trPr>
          <w:cantSplit/>
        </w:trPr>
        <w:tc>
          <w:tcPr>
            <w:tcW w:w="975" w:type="pct"/>
            <w:vAlign w:val="center"/>
          </w:tcPr>
          <w:p w:rsidR="00156DD6" w:rsidRDefault="00D51F5F">
            <w:pPr>
              <w:jc w:val="center"/>
              <w:rPr>
                <w:color w:val="000000" w:themeColor="text1"/>
              </w:rPr>
            </w:pPr>
            <w:r>
              <w:rPr>
                <w:rFonts w:hint="eastAsia"/>
                <w:color w:val="000000" w:themeColor="text1"/>
              </w:rPr>
              <w:t>合计</w:t>
            </w:r>
          </w:p>
        </w:tc>
        <w:tc>
          <w:tcPr>
            <w:tcW w:w="779" w:type="pct"/>
          </w:tcPr>
          <w:p w:rsidR="00156DD6" w:rsidRDefault="00D51F5F">
            <w:pPr>
              <w:ind w:right="105"/>
              <w:jc w:val="right"/>
            </w:pPr>
            <w:r>
              <w:rPr>
                <w:rFonts w:hint="eastAsia"/>
              </w:rPr>
              <w:t xml:space="preserve"> 39,671,258.13 </w:t>
            </w:r>
          </w:p>
        </w:tc>
        <w:tc>
          <w:tcPr>
            <w:tcW w:w="702" w:type="pct"/>
          </w:tcPr>
          <w:p w:rsidR="00156DD6" w:rsidRDefault="00D51F5F">
            <w:pPr>
              <w:ind w:right="73"/>
              <w:jc w:val="right"/>
            </w:pPr>
            <w:r>
              <w:rPr>
                <w:rFonts w:hint="eastAsia"/>
              </w:rPr>
              <w:t xml:space="preserve"> 1,442,682.30 </w:t>
            </w:r>
          </w:p>
        </w:tc>
        <w:tc>
          <w:tcPr>
            <w:tcW w:w="762" w:type="pct"/>
          </w:tcPr>
          <w:p w:rsidR="00156DD6" w:rsidRDefault="00D51F5F">
            <w:pPr>
              <w:ind w:right="73"/>
              <w:jc w:val="right"/>
            </w:pPr>
            <w:r>
              <w:rPr>
                <w:rFonts w:hint="eastAsia"/>
              </w:rPr>
              <w:t xml:space="preserve"> 38,228,575.83 </w:t>
            </w:r>
          </w:p>
        </w:tc>
        <w:tc>
          <w:tcPr>
            <w:tcW w:w="587" w:type="pct"/>
          </w:tcPr>
          <w:p w:rsidR="00156DD6" w:rsidRDefault="00D51F5F">
            <w:pPr>
              <w:jc w:val="right"/>
            </w:pPr>
            <w:r>
              <w:rPr>
                <w:rFonts w:hint="eastAsia"/>
              </w:rPr>
              <w:t xml:space="preserve"> 26,476,897.45 </w:t>
            </w:r>
          </w:p>
        </w:tc>
        <w:tc>
          <w:tcPr>
            <w:tcW w:w="594" w:type="pct"/>
          </w:tcPr>
          <w:p w:rsidR="00156DD6" w:rsidRDefault="00D51F5F">
            <w:pPr>
              <w:jc w:val="right"/>
            </w:pPr>
            <w:r>
              <w:rPr>
                <w:rFonts w:hint="eastAsia"/>
              </w:rPr>
              <w:t xml:space="preserve"> 1,442,682.30 </w:t>
            </w:r>
          </w:p>
        </w:tc>
        <w:tc>
          <w:tcPr>
            <w:tcW w:w="601" w:type="pct"/>
          </w:tcPr>
          <w:p w:rsidR="00156DD6" w:rsidRDefault="00D51F5F">
            <w:pPr>
              <w:jc w:val="right"/>
            </w:pPr>
            <w:r>
              <w:rPr>
                <w:rFonts w:hint="eastAsia"/>
              </w:rPr>
              <w:t xml:space="preserve"> 25,034,215.15 </w:t>
            </w:r>
          </w:p>
        </w:tc>
      </w:tr>
    </w:tbl>
    <w:p w:rsidR="00156DD6" w:rsidRDefault="00D51F5F">
      <w:pPr>
        <w:pStyle w:val="Style48"/>
        <w:numPr>
          <w:ilvl w:val="0"/>
          <w:numId w:val="60"/>
        </w:numPr>
        <w:rPr>
          <w:sz w:val="21"/>
          <w:szCs w:val="21"/>
        </w:rPr>
      </w:pPr>
      <w:r>
        <w:rPr>
          <w:rFonts w:hint="eastAsia"/>
          <w:sz w:val="21"/>
          <w:szCs w:val="21"/>
        </w:rPr>
        <w:t>重要在建工程项目本期变动情况</w:t>
      </w:r>
    </w:p>
    <w:sdt>
      <w:sdtPr>
        <w:rPr>
          <w:color w:val="000000" w:themeColor="text1"/>
        </w:rPr>
        <w:alias w:val="是否适用：重要在建工程项目本期变动情况[双击切换]"/>
        <w:tag w:val="_GBC_ec2dd768673145d4bb9d3c31a6fa701a"/>
        <w:id w:val="-36329422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在建工程项目变动情况"/>
          <w:tag w:val="_GBC_29f36690ce0d4e8bbec5f76711e80456"/>
          <w:id w:val="-13475490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在建工程项目变动情况"/>
          <w:tag w:val="_GBC_6fab639954e742c1bd6f75b3c51ecaf8"/>
          <w:id w:val="7522425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036"/>
        <w:gridCol w:w="1461"/>
        <w:gridCol w:w="1232"/>
        <w:gridCol w:w="1472"/>
        <w:gridCol w:w="1256"/>
        <w:gridCol w:w="829"/>
        <w:gridCol w:w="1256"/>
        <w:gridCol w:w="976"/>
        <w:gridCol w:w="901"/>
        <w:gridCol w:w="804"/>
        <w:gridCol w:w="871"/>
        <w:gridCol w:w="901"/>
        <w:gridCol w:w="868"/>
      </w:tblGrid>
      <w:tr w:rsidR="00156DD6">
        <w:trPr>
          <w:cantSplit/>
        </w:trPr>
        <w:sdt>
          <w:sdtPr>
            <w:rPr>
              <w:sz w:val="18"/>
              <w:szCs w:val="18"/>
            </w:rPr>
            <w:tag w:val="_PLD_911d5911af294d4f9d2b6b16b5f6c08b"/>
            <w:id w:val="1482659749"/>
          </w:sdtPr>
          <w:sdtEndPr/>
          <w:sdtContent>
            <w:tc>
              <w:tcPr>
                <w:tcW w:w="374" w:type="pct"/>
                <w:vAlign w:val="center"/>
              </w:tcPr>
              <w:p w:rsidR="00156DD6" w:rsidRDefault="00D51F5F">
                <w:pPr>
                  <w:ind w:right="105"/>
                  <w:jc w:val="center"/>
                  <w:rPr>
                    <w:color w:val="000000" w:themeColor="text1"/>
                    <w:sz w:val="18"/>
                    <w:szCs w:val="18"/>
                  </w:rPr>
                </w:pPr>
                <w:r>
                  <w:rPr>
                    <w:rFonts w:hint="eastAsia"/>
                    <w:color w:val="000000" w:themeColor="text1"/>
                    <w:sz w:val="18"/>
                    <w:szCs w:val="18"/>
                  </w:rPr>
                  <w:t>项目名称</w:t>
                </w:r>
              </w:p>
            </w:tc>
          </w:sdtContent>
        </w:sdt>
        <w:sdt>
          <w:sdtPr>
            <w:rPr>
              <w:sz w:val="18"/>
              <w:szCs w:val="18"/>
            </w:rPr>
            <w:tag w:val="_PLD_667404be40294d63b853abf58a9d185f"/>
            <w:id w:val="-475076033"/>
          </w:sdtPr>
          <w:sdtEndPr/>
          <w:sdtContent>
            <w:tc>
              <w:tcPr>
                <w:tcW w:w="527" w:type="pct"/>
                <w:vAlign w:val="center"/>
              </w:tcPr>
              <w:p w:rsidR="00156DD6" w:rsidRDefault="00D51F5F">
                <w:pPr>
                  <w:ind w:right="105"/>
                  <w:jc w:val="center"/>
                  <w:rPr>
                    <w:color w:val="000000" w:themeColor="text1"/>
                    <w:sz w:val="18"/>
                    <w:szCs w:val="18"/>
                  </w:rPr>
                </w:pPr>
                <w:r>
                  <w:rPr>
                    <w:rFonts w:hint="eastAsia"/>
                    <w:color w:val="000000" w:themeColor="text1"/>
                    <w:sz w:val="18"/>
                    <w:szCs w:val="18"/>
                  </w:rPr>
                  <w:t>预算数</w:t>
                </w:r>
              </w:p>
            </w:tc>
          </w:sdtContent>
        </w:sdt>
        <w:sdt>
          <w:sdtPr>
            <w:rPr>
              <w:sz w:val="18"/>
              <w:szCs w:val="18"/>
            </w:rPr>
            <w:tag w:val="_PLD_25c75ebdcb434964b5f5e8b512151b0b"/>
            <w:id w:val="-824962344"/>
          </w:sdtPr>
          <w:sdtEndPr/>
          <w:sdtContent>
            <w:tc>
              <w:tcPr>
                <w:tcW w:w="444" w:type="pct"/>
                <w:vAlign w:val="center"/>
              </w:tcPr>
              <w:p w:rsidR="00156DD6" w:rsidRDefault="00D51F5F">
                <w:pPr>
                  <w:ind w:right="105"/>
                  <w:jc w:val="center"/>
                  <w:rPr>
                    <w:color w:val="000000" w:themeColor="text1"/>
                    <w:sz w:val="18"/>
                    <w:szCs w:val="18"/>
                  </w:rPr>
                </w:pPr>
                <w:r>
                  <w:rPr>
                    <w:rFonts w:hint="eastAsia"/>
                    <w:color w:val="000000" w:themeColor="text1"/>
                    <w:sz w:val="18"/>
                    <w:szCs w:val="18"/>
                  </w:rPr>
                  <w:t>期初余额</w:t>
                </w:r>
              </w:p>
            </w:tc>
          </w:sdtContent>
        </w:sdt>
        <w:sdt>
          <w:sdtPr>
            <w:rPr>
              <w:sz w:val="18"/>
              <w:szCs w:val="18"/>
            </w:rPr>
            <w:tag w:val="_PLD_0117182ae7e24536a0996423ddcfa5f0"/>
            <w:id w:val="868496945"/>
          </w:sdtPr>
          <w:sdtEndPr/>
          <w:sdtContent>
            <w:tc>
              <w:tcPr>
                <w:tcW w:w="531" w:type="pct"/>
                <w:vAlign w:val="center"/>
              </w:tcPr>
              <w:p w:rsidR="00156DD6" w:rsidRDefault="00D51F5F">
                <w:pPr>
                  <w:ind w:right="105"/>
                  <w:jc w:val="center"/>
                  <w:rPr>
                    <w:color w:val="000000" w:themeColor="text1"/>
                    <w:sz w:val="18"/>
                    <w:szCs w:val="18"/>
                  </w:rPr>
                </w:pPr>
                <w:r>
                  <w:rPr>
                    <w:rFonts w:hint="eastAsia"/>
                    <w:color w:val="000000" w:themeColor="text1"/>
                    <w:sz w:val="18"/>
                    <w:szCs w:val="18"/>
                  </w:rPr>
                  <w:t>本期增加金额</w:t>
                </w:r>
              </w:p>
            </w:tc>
          </w:sdtContent>
        </w:sdt>
        <w:sdt>
          <w:sdtPr>
            <w:rPr>
              <w:sz w:val="18"/>
              <w:szCs w:val="18"/>
            </w:rPr>
            <w:tag w:val="_PLD_6db4feaec90f4eeeb4ed5fb04d298657"/>
            <w:id w:val="1418986410"/>
          </w:sdtPr>
          <w:sdtEndPr/>
          <w:sdtContent>
            <w:tc>
              <w:tcPr>
                <w:tcW w:w="453" w:type="pct"/>
                <w:vAlign w:val="center"/>
              </w:tcPr>
              <w:p w:rsidR="00156DD6" w:rsidRDefault="00D51F5F">
                <w:pPr>
                  <w:ind w:right="73"/>
                  <w:jc w:val="center"/>
                  <w:rPr>
                    <w:color w:val="000000" w:themeColor="text1"/>
                    <w:sz w:val="18"/>
                    <w:szCs w:val="18"/>
                  </w:rPr>
                </w:pPr>
                <w:r>
                  <w:rPr>
                    <w:rFonts w:hint="eastAsia"/>
                    <w:color w:val="000000" w:themeColor="text1"/>
                    <w:sz w:val="18"/>
                    <w:szCs w:val="18"/>
                  </w:rPr>
                  <w:t>本期转入固定资产金额</w:t>
                </w:r>
              </w:p>
            </w:tc>
          </w:sdtContent>
        </w:sdt>
        <w:sdt>
          <w:sdtPr>
            <w:rPr>
              <w:sz w:val="18"/>
              <w:szCs w:val="18"/>
            </w:rPr>
            <w:tag w:val="_PLD_1fe85c3ed6f84f6f85209149a9931055"/>
            <w:id w:val="-356427010"/>
          </w:sdtPr>
          <w:sdtEndPr/>
          <w:sdtContent>
            <w:tc>
              <w:tcPr>
                <w:tcW w:w="299" w:type="pct"/>
                <w:vAlign w:val="center"/>
              </w:tcPr>
              <w:p w:rsidR="00156DD6" w:rsidRDefault="00D51F5F">
                <w:pPr>
                  <w:ind w:right="73"/>
                  <w:jc w:val="center"/>
                  <w:rPr>
                    <w:color w:val="000000" w:themeColor="text1"/>
                    <w:sz w:val="18"/>
                    <w:szCs w:val="18"/>
                  </w:rPr>
                </w:pPr>
                <w:r>
                  <w:rPr>
                    <w:rFonts w:hint="eastAsia"/>
                    <w:color w:val="000000" w:themeColor="text1"/>
                    <w:sz w:val="18"/>
                    <w:szCs w:val="18"/>
                  </w:rPr>
                  <w:t>本期其他减少金额</w:t>
                </w:r>
              </w:p>
            </w:tc>
          </w:sdtContent>
        </w:sdt>
        <w:sdt>
          <w:sdtPr>
            <w:rPr>
              <w:sz w:val="18"/>
              <w:szCs w:val="18"/>
            </w:rPr>
            <w:tag w:val="_PLD_7954fe4b89f644d29865af249dfe8c3f"/>
            <w:id w:val="412829691"/>
          </w:sdtPr>
          <w:sdtEndPr/>
          <w:sdtContent>
            <w:tc>
              <w:tcPr>
                <w:tcW w:w="453" w:type="pct"/>
                <w:vAlign w:val="center"/>
              </w:tcPr>
              <w:p w:rsidR="00156DD6" w:rsidRDefault="00D51F5F">
                <w:pPr>
                  <w:jc w:val="center"/>
                  <w:rPr>
                    <w:color w:val="000000" w:themeColor="text1"/>
                    <w:sz w:val="18"/>
                    <w:szCs w:val="18"/>
                  </w:rPr>
                </w:pPr>
                <w:r>
                  <w:rPr>
                    <w:rFonts w:hint="eastAsia"/>
                    <w:color w:val="000000" w:themeColor="text1"/>
                    <w:sz w:val="18"/>
                    <w:szCs w:val="18"/>
                  </w:rPr>
                  <w:t>期末余额</w:t>
                </w:r>
              </w:p>
            </w:tc>
          </w:sdtContent>
        </w:sdt>
        <w:sdt>
          <w:sdtPr>
            <w:rPr>
              <w:sz w:val="18"/>
              <w:szCs w:val="18"/>
            </w:rPr>
            <w:tag w:val="_PLD_d9aa12b28eda4362b90372032218ea1a"/>
            <w:id w:val="-1241709539"/>
          </w:sdtPr>
          <w:sdtEndPr/>
          <w:sdtContent>
            <w:tc>
              <w:tcPr>
                <w:tcW w:w="352" w:type="pct"/>
                <w:vAlign w:val="center"/>
              </w:tcPr>
              <w:p w:rsidR="00156DD6" w:rsidRDefault="00D51F5F">
                <w:pPr>
                  <w:jc w:val="center"/>
                  <w:rPr>
                    <w:color w:val="000000" w:themeColor="text1"/>
                    <w:sz w:val="18"/>
                    <w:szCs w:val="18"/>
                  </w:rPr>
                </w:pPr>
                <w:r>
                  <w:rPr>
                    <w:rFonts w:hint="eastAsia"/>
                    <w:color w:val="000000" w:themeColor="text1"/>
                    <w:sz w:val="18"/>
                    <w:szCs w:val="18"/>
                  </w:rPr>
                  <w:t>工程累计投入占预算比例</w:t>
                </w:r>
                <w:r>
                  <w:rPr>
                    <w:rFonts w:hint="eastAsia"/>
                    <w:color w:val="000000" w:themeColor="text1"/>
                    <w:sz w:val="18"/>
                    <w:szCs w:val="18"/>
                  </w:rPr>
                  <w:t>(%)</w:t>
                </w:r>
              </w:p>
            </w:tc>
          </w:sdtContent>
        </w:sdt>
        <w:sdt>
          <w:sdtPr>
            <w:rPr>
              <w:sz w:val="18"/>
              <w:szCs w:val="18"/>
            </w:rPr>
            <w:tag w:val="_PLD_9e610c25eba14177abc9b359511cb935"/>
            <w:id w:val="563530719"/>
          </w:sdtPr>
          <w:sdtEndPr/>
          <w:sdtContent>
            <w:tc>
              <w:tcPr>
                <w:tcW w:w="325" w:type="pct"/>
                <w:vAlign w:val="center"/>
              </w:tcPr>
              <w:p w:rsidR="00156DD6" w:rsidRDefault="00D51F5F">
                <w:pPr>
                  <w:jc w:val="center"/>
                  <w:rPr>
                    <w:color w:val="000000" w:themeColor="text1"/>
                    <w:sz w:val="18"/>
                    <w:szCs w:val="18"/>
                  </w:rPr>
                </w:pPr>
                <w:r>
                  <w:rPr>
                    <w:rFonts w:hint="eastAsia"/>
                    <w:color w:val="000000" w:themeColor="text1"/>
                    <w:sz w:val="18"/>
                    <w:szCs w:val="18"/>
                  </w:rPr>
                  <w:t>工程进度</w:t>
                </w:r>
              </w:p>
            </w:tc>
          </w:sdtContent>
        </w:sdt>
        <w:sdt>
          <w:sdtPr>
            <w:rPr>
              <w:sz w:val="18"/>
              <w:szCs w:val="18"/>
            </w:rPr>
            <w:tag w:val="_PLD_e89a95ddf6ab4a6abe2d40f64c95699a"/>
            <w:id w:val="2129042715"/>
          </w:sdtPr>
          <w:sdtEndPr/>
          <w:sdtContent>
            <w:tc>
              <w:tcPr>
                <w:tcW w:w="290" w:type="pct"/>
                <w:vAlign w:val="center"/>
              </w:tcPr>
              <w:p w:rsidR="00156DD6" w:rsidRDefault="00D51F5F">
                <w:pPr>
                  <w:jc w:val="center"/>
                  <w:rPr>
                    <w:color w:val="000000" w:themeColor="text1"/>
                    <w:sz w:val="18"/>
                    <w:szCs w:val="18"/>
                  </w:rPr>
                </w:pPr>
                <w:r>
                  <w:rPr>
                    <w:rFonts w:hint="eastAsia"/>
                    <w:color w:val="000000" w:themeColor="text1"/>
                    <w:sz w:val="18"/>
                    <w:szCs w:val="18"/>
                  </w:rPr>
                  <w:t>利息资本化累计金额</w:t>
                </w:r>
              </w:p>
            </w:tc>
          </w:sdtContent>
        </w:sdt>
        <w:sdt>
          <w:sdtPr>
            <w:rPr>
              <w:sz w:val="18"/>
              <w:szCs w:val="18"/>
            </w:rPr>
            <w:tag w:val="_PLD_211048c05b944d8f9bfd1d37edfd2f6d"/>
            <w:id w:val="-2045978644"/>
          </w:sdtPr>
          <w:sdtEndPr/>
          <w:sdtContent>
            <w:tc>
              <w:tcPr>
                <w:tcW w:w="314" w:type="pct"/>
                <w:vAlign w:val="center"/>
              </w:tcPr>
              <w:p w:rsidR="00156DD6" w:rsidRDefault="00D51F5F">
                <w:pPr>
                  <w:jc w:val="center"/>
                  <w:rPr>
                    <w:color w:val="000000" w:themeColor="text1"/>
                    <w:sz w:val="18"/>
                    <w:szCs w:val="18"/>
                  </w:rPr>
                </w:pPr>
                <w:r>
                  <w:rPr>
                    <w:rFonts w:hint="eastAsia"/>
                    <w:color w:val="000000" w:themeColor="text1"/>
                    <w:sz w:val="18"/>
                    <w:szCs w:val="18"/>
                  </w:rPr>
                  <w:t>其中：本期利息资本化金额</w:t>
                </w:r>
              </w:p>
            </w:tc>
          </w:sdtContent>
        </w:sdt>
        <w:sdt>
          <w:sdtPr>
            <w:rPr>
              <w:sz w:val="18"/>
              <w:szCs w:val="18"/>
            </w:rPr>
            <w:tag w:val="_PLD_2cbfddfcd5e6493ba68633d99551c05f"/>
            <w:id w:val="-810089161"/>
          </w:sdtPr>
          <w:sdtEndPr/>
          <w:sdtContent>
            <w:tc>
              <w:tcPr>
                <w:tcW w:w="325" w:type="pct"/>
                <w:vAlign w:val="center"/>
              </w:tcPr>
              <w:p w:rsidR="00156DD6" w:rsidRDefault="00D51F5F">
                <w:pPr>
                  <w:jc w:val="center"/>
                  <w:rPr>
                    <w:color w:val="000000" w:themeColor="text1"/>
                    <w:sz w:val="18"/>
                    <w:szCs w:val="18"/>
                  </w:rPr>
                </w:pPr>
                <w:r>
                  <w:rPr>
                    <w:rFonts w:hint="eastAsia"/>
                    <w:color w:val="000000" w:themeColor="text1"/>
                    <w:sz w:val="18"/>
                    <w:szCs w:val="18"/>
                  </w:rPr>
                  <w:t>本期利息资本化率</w:t>
                </w:r>
                <w:r>
                  <w:rPr>
                    <w:rFonts w:hint="eastAsia"/>
                    <w:color w:val="000000" w:themeColor="text1"/>
                    <w:sz w:val="18"/>
                    <w:szCs w:val="18"/>
                  </w:rPr>
                  <w:t>(%)</w:t>
                </w:r>
              </w:p>
            </w:tc>
          </w:sdtContent>
        </w:sdt>
        <w:sdt>
          <w:sdtPr>
            <w:rPr>
              <w:sz w:val="18"/>
              <w:szCs w:val="18"/>
            </w:rPr>
            <w:tag w:val="_PLD_39440674746d4382a4f99328187752a9"/>
            <w:id w:val="1242757432"/>
          </w:sdtPr>
          <w:sdtEndPr/>
          <w:sdtContent>
            <w:tc>
              <w:tcPr>
                <w:tcW w:w="313" w:type="pct"/>
                <w:vAlign w:val="center"/>
              </w:tcPr>
              <w:p w:rsidR="00156DD6" w:rsidRDefault="00D51F5F">
                <w:pPr>
                  <w:jc w:val="center"/>
                  <w:rPr>
                    <w:color w:val="000000" w:themeColor="text1"/>
                    <w:sz w:val="18"/>
                    <w:szCs w:val="18"/>
                  </w:rPr>
                </w:pPr>
                <w:r>
                  <w:rPr>
                    <w:rFonts w:hint="eastAsia"/>
                    <w:color w:val="000000" w:themeColor="text1"/>
                    <w:sz w:val="18"/>
                    <w:szCs w:val="18"/>
                  </w:rPr>
                  <w:t>资金来源</w:t>
                </w:r>
              </w:p>
            </w:tc>
          </w:sdtContent>
        </w:sdt>
      </w:tr>
      <w:tr w:rsidR="00156DD6">
        <w:trPr>
          <w:cantSplit/>
        </w:trPr>
        <w:tc>
          <w:tcPr>
            <w:tcW w:w="374" w:type="pct"/>
          </w:tcPr>
          <w:p w:rsidR="00156DD6" w:rsidRDefault="00D51F5F">
            <w:pPr>
              <w:ind w:right="105"/>
              <w:rPr>
                <w:sz w:val="18"/>
                <w:szCs w:val="18"/>
              </w:rPr>
            </w:pPr>
            <w:r>
              <w:rPr>
                <w:rFonts w:hint="eastAsia"/>
                <w:sz w:val="18"/>
                <w:szCs w:val="18"/>
              </w:rPr>
              <w:t>铁路牵引供电设备技术升级改造项目</w:t>
            </w:r>
          </w:p>
        </w:tc>
        <w:tc>
          <w:tcPr>
            <w:tcW w:w="527" w:type="pct"/>
            <w:vAlign w:val="center"/>
          </w:tcPr>
          <w:p w:rsidR="00156DD6" w:rsidRDefault="00D51F5F">
            <w:pPr>
              <w:ind w:right="105"/>
              <w:jc w:val="right"/>
              <w:rPr>
                <w:sz w:val="18"/>
                <w:szCs w:val="18"/>
              </w:rPr>
            </w:pPr>
            <w:r>
              <w:rPr>
                <w:rFonts w:hint="eastAsia"/>
                <w:sz w:val="18"/>
                <w:szCs w:val="18"/>
              </w:rPr>
              <w:t xml:space="preserve"> </w:t>
            </w:r>
            <w:bookmarkStart w:id="347" w:name="OLE_LINK38"/>
            <w:r>
              <w:rPr>
                <w:rFonts w:hint="eastAsia"/>
                <w:sz w:val="18"/>
                <w:szCs w:val="18"/>
              </w:rPr>
              <w:t>36,200,000.00</w:t>
            </w:r>
            <w:bookmarkEnd w:id="347"/>
            <w:r>
              <w:rPr>
                <w:rFonts w:hint="eastAsia"/>
                <w:sz w:val="18"/>
                <w:szCs w:val="18"/>
              </w:rPr>
              <w:t xml:space="preserve"> </w:t>
            </w:r>
          </w:p>
        </w:tc>
        <w:tc>
          <w:tcPr>
            <w:tcW w:w="444" w:type="pct"/>
            <w:vAlign w:val="center"/>
          </w:tcPr>
          <w:p w:rsidR="00156DD6" w:rsidRDefault="00D51F5F">
            <w:pPr>
              <w:jc w:val="right"/>
              <w:rPr>
                <w:sz w:val="18"/>
                <w:szCs w:val="18"/>
              </w:rPr>
            </w:pPr>
            <w:r>
              <w:rPr>
                <w:rFonts w:hint="eastAsia"/>
                <w:sz w:val="18"/>
                <w:szCs w:val="18"/>
              </w:rPr>
              <w:t xml:space="preserve">17,620,882.68 </w:t>
            </w:r>
          </w:p>
        </w:tc>
        <w:tc>
          <w:tcPr>
            <w:tcW w:w="531" w:type="pct"/>
            <w:vAlign w:val="center"/>
          </w:tcPr>
          <w:p w:rsidR="00156DD6" w:rsidRDefault="00D51F5F">
            <w:pPr>
              <w:ind w:right="73"/>
              <w:jc w:val="right"/>
              <w:rPr>
                <w:sz w:val="18"/>
                <w:szCs w:val="18"/>
              </w:rPr>
            </w:pPr>
            <w:r>
              <w:rPr>
                <w:rFonts w:hint="eastAsia"/>
                <w:sz w:val="18"/>
                <w:szCs w:val="18"/>
              </w:rPr>
              <w:t xml:space="preserve"> 3,928,192.24 </w:t>
            </w:r>
          </w:p>
        </w:tc>
        <w:tc>
          <w:tcPr>
            <w:tcW w:w="453" w:type="pct"/>
            <w:vAlign w:val="center"/>
          </w:tcPr>
          <w:p w:rsidR="00156DD6" w:rsidRDefault="00D51F5F">
            <w:pPr>
              <w:ind w:right="73"/>
              <w:jc w:val="right"/>
              <w:rPr>
                <w:sz w:val="18"/>
                <w:szCs w:val="18"/>
              </w:rPr>
            </w:pPr>
            <w:r>
              <w:rPr>
                <w:rFonts w:hint="eastAsia"/>
                <w:sz w:val="18"/>
                <w:szCs w:val="18"/>
              </w:rPr>
              <w:t xml:space="preserve"> 95,575.22 </w:t>
            </w:r>
          </w:p>
        </w:tc>
        <w:tc>
          <w:tcPr>
            <w:tcW w:w="299" w:type="pct"/>
            <w:vAlign w:val="center"/>
          </w:tcPr>
          <w:p w:rsidR="00156DD6" w:rsidRDefault="00156DD6">
            <w:pPr>
              <w:jc w:val="right"/>
              <w:rPr>
                <w:sz w:val="18"/>
                <w:szCs w:val="18"/>
              </w:rPr>
            </w:pPr>
          </w:p>
        </w:tc>
        <w:tc>
          <w:tcPr>
            <w:tcW w:w="453" w:type="pct"/>
            <w:vAlign w:val="center"/>
          </w:tcPr>
          <w:p w:rsidR="00156DD6" w:rsidRDefault="00D51F5F">
            <w:pPr>
              <w:jc w:val="right"/>
              <w:rPr>
                <w:sz w:val="18"/>
                <w:szCs w:val="18"/>
              </w:rPr>
            </w:pPr>
            <w:r>
              <w:rPr>
                <w:rFonts w:hint="eastAsia"/>
                <w:sz w:val="18"/>
                <w:szCs w:val="18"/>
              </w:rPr>
              <w:t xml:space="preserve">21,453,499.70 </w:t>
            </w:r>
          </w:p>
        </w:tc>
        <w:tc>
          <w:tcPr>
            <w:tcW w:w="352" w:type="pct"/>
            <w:vAlign w:val="center"/>
          </w:tcPr>
          <w:p w:rsidR="00156DD6" w:rsidRDefault="00D51F5F">
            <w:pPr>
              <w:jc w:val="right"/>
              <w:rPr>
                <w:sz w:val="18"/>
                <w:szCs w:val="18"/>
              </w:rPr>
            </w:pPr>
            <w:r>
              <w:rPr>
                <w:rFonts w:hint="eastAsia"/>
                <w:sz w:val="18"/>
                <w:szCs w:val="18"/>
              </w:rPr>
              <w:t xml:space="preserve"> 59.53 </w:t>
            </w:r>
          </w:p>
        </w:tc>
        <w:tc>
          <w:tcPr>
            <w:tcW w:w="325" w:type="pct"/>
            <w:vAlign w:val="center"/>
          </w:tcPr>
          <w:p w:rsidR="00156DD6" w:rsidRDefault="00D51F5F">
            <w:pPr>
              <w:jc w:val="right"/>
              <w:rPr>
                <w:sz w:val="18"/>
                <w:szCs w:val="18"/>
              </w:rPr>
            </w:pPr>
            <w:r>
              <w:rPr>
                <w:rFonts w:hint="eastAsia"/>
                <w:sz w:val="18"/>
                <w:szCs w:val="18"/>
              </w:rPr>
              <w:t xml:space="preserve">96.83 </w:t>
            </w:r>
          </w:p>
        </w:tc>
        <w:tc>
          <w:tcPr>
            <w:tcW w:w="290" w:type="pct"/>
          </w:tcPr>
          <w:p w:rsidR="00156DD6" w:rsidRDefault="00156DD6">
            <w:pPr>
              <w:jc w:val="right"/>
              <w:rPr>
                <w:sz w:val="18"/>
                <w:szCs w:val="18"/>
              </w:rPr>
            </w:pPr>
          </w:p>
        </w:tc>
        <w:tc>
          <w:tcPr>
            <w:tcW w:w="314" w:type="pct"/>
          </w:tcPr>
          <w:p w:rsidR="00156DD6" w:rsidRDefault="00156DD6">
            <w:pPr>
              <w:jc w:val="right"/>
              <w:rPr>
                <w:sz w:val="18"/>
                <w:szCs w:val="18"/>
              </w:rPr>
            </w:pPr>
          </w:p>
        </w:tc>
        <w:tc>
          <w:tcPr>
            <w:tcW w:w="325" w:type="pct"/>
          </w:tcPr>
          <w:p w:rsidR="00156DD6" w:rsidRDefault="00156DD6">
            <w:pPr>
              <w:jc w:val="right"/>
              <w:rPr>
                <w:sz w:val="18"/>
                <w:szCs w:val="18"/>
              </w:rPr>
            </w:pPr>
          </w:p>
        </w:tc>
        <w:tc>
          <w:tcPr>
            <w:tcW w:w="313" w:type="pct"/>
            <w:vAlign w:val="center"/>
          </w:tcPr>
          <w:p w:rsidR="00156DD6" w:rsidRDefault="00D51F5F">
            <w:pPr>
              <w:jc w:val="center"/>
              <w:rPr>
                <w:sz w:val="18"/>
                <w:szCs w:val="18"/>
              </w:rPr>
            </w:pPr>
            <w:r>
              <w:rPr>
                <w:rFonts w:hint="eastAsia"/>
                <w:sz w:val="18"/>
                <w:szCs w:val="18"/>
              </w:rPr>
              <w:t>自筹资金</w:t>
            </w:r>
          </w:p>
        </w:tc>
      </w:tr>
      <w:tr w:rsidR="00156DD6">
        <w:trPr>
          <w:cantSplit/>
        </w:trPr>
        <w:tc>
          <w:tcPr>
            <w:tcW w:w="374" w:type="pct"/>
            <w:vAlign w:val="center"/>
          </w:tcPr>
          <w:p w:rsidR="00156DD6" w:rsidRDefault="00D51F5F">
            <w:pPr>
              <w:ind w:right="105"/>
              <w:jc w:val="center"/>
              <w:rPr>
                <w:color w:val="000000" w:themeColor="text1"/>
                <w:sz w:val="18"/>
                <w:szCs w:val="18"/>
              </w:rPr>
            </w:pPr>
            <w:r>
              <w:rPr>
                <w:rFonts w:hint="eastAsia"/>
                <w:color w:val="000000" w:themeColor="text1"/>
                <w:sz w:val="18"/>
                <w:szCs w:val="18"/>
              </w:rPr>
              <w:t>合计</w:t>
            </w:r>
          </w:p>
        </w:tc>
        <w:tc>
          <w:tcPr>
            <w:tcW w:w="527" w:type="pct"/>
            <w:vAlign w:val="center"/>
          </w:tcPr>
          <w:p w:rsidR="00156DD6" w:rsidRDefault="00D51F5F">
            <w:pPr>
              <w:ind w:right="105"/>
              <w:jc w:val="right"/>
              <w:rPr>
                <w:sz w:val="18"/>
                <w:szCs w:val="18"/>
              </w:rPr>
            </w:pPr>
            <w:r>
              <w:rPr>
                <w:rFonts w:hint="eastAsia"/>
                <w:sz w:val="18"/>
                <w:szCs w:val="18"/>
              </w:rPr>
              <w:t xml:space="preserve">36,200,000.00 </w:t>
            </w:r>
          </w:p>
        </w:tc>
        <w:tc>
          <w:tcPr>
            <w:tcW w:w="444" w:type="pct"/>
            <w:vAlign w:val="center"/>
          </w:tcPr>
          <w:p w:rsidR="00156DD6" w:rsidRDefault="00D51F5F">
            <w:pPr>
              <w:jc w:val="right"/>
              <w:rPr>
                <w:sz w:val="18"/>
                <w:szCs w:val="18"/>
              </w:rPr>
            </w:pPr>
            <w:r>
              <w:rPr>
                <w:rFonts w:hint="eastAsia"/>
                <w:sz w:val="18"/>
                <w:szCs w:val="18"/>
              </w:rPr>
              <w:t xml:space="preserve">17,620,882.68 </w:t>
            </w:r>
          </w:p>
        </w:tc>
        <w:tc>
          <w:tcPr>
            <w:tcW w:w="531" w:type="pct"/>
            <w:vAlign w:val="center"/>
          </w:tcPr>
          <w:p w:rsidR="00156DD6" w:rsidRDefault="00D51F5F">
            <w:pPr>
              <w:ind w:right="73"/>
              <w:jc w:val="right"/>
              <w:rPr>
                <w:sz w:val="18"/>
                <w:szCs w:val="18"/>
              </w:rPr>
            </w:pPr>
            <w:r>
              <w:rPr>
                <w:rFonts w:hint="eastAsia"/>
                <w:sz w:val="18"/>
                <w:szCs w:val="18"/>
              </w:rPr>
              <w:t xml:space="preserve"> 3,928,192.24 </w:t>
            </w:r>
          </w:p>
        </w:tc>
        <w:tc>
          <w:tcPr>
            <w:tcW w:w="453" w:type="pct"/>
            <w:vAlign w:val="center"/>
          </w:tcPr>
          <w:p w:rsidR="00156DD6" w:rsidRDefault="00D51F5F">
            <w:pPr>
              <w:ind w:right="73"/>
              <w:jc w:val="right"/>
              <w:rPr>
                <w:sz w:val="18"/>
                <w:szCs w:val="18"/>
              </w:rPr>
            </w:pPr>
            <w:r>
              <w:rPr>
                <w:rFonts w:hint="eastAsia"/>
                <w:sz w:val="18"/>
                <w:szCs w:val="18"/>
              </w:rPr>
              <w:t xml:space="preserve"> 95,575.22 </w:t>
            </w:r>
          </w:p>
        </w:tc>
        <w:tc>
          <w:tcPr>
            <w:tcW w:w="299" w:type="pct"/>
            <w:vAlign w:val="center"/>
          </w:tcPr>
          <w:p w:rsidR="00156DD6" w:rsidRDefault="00156DD6">
            <w:pPr>
              <w:jc w:val="right"/>
              <w:rPr>
                <w:sz w:val="18"/>
                <w:szCs w:val="18"/>
              </w:rPr>
            </w:pPr>
          </w:p>
        </w:tc>
        <w:tc>
          <w:tcPr>
            <w:tcW w:w="453" w:type="pct"/>
            <w:vAlign w:val="center"/>
          </w:tcPr>
          <w:p w:rsidR="00156DD6" w:rsidRDefault="00D51F5F">
            <w:pPr>
              <w:jc w:val="right"/>
              <w:rPr>
                <w:sz w:val="18"/>
                <w:szCs w:val="18"/>
              </w:rPr>
            </w:pPr>
            <w:r>
              <w:rPr>
                <w:rFonts w:hint="eastAsia"/>
                <w:sz w:val="18"/>
                <w:szCs w:val="18"/>
              </w:rPr>
              <w:t xml:space="preserve">21,453,499.70 </w:t>
            </w:r>
          </w:p>
        </w:tc>
        <w:tc>
          <w:tcPr>
            <w:tcW w:w="352" w:type="pct"/>
            <w:vAlign w:val="center"/>
          </w:tcPr>
          <w:p w:rsidR="00156DD6" w:rsidRDefault="00D51F5F">
            <w:pPr>
              <w:ind w:right="174"/>
              <w:jc w:val="right"/>
              <w:rPr>
                <w:color w:val="000000" w:themeColor="text1"/>
                <w:sz w:val="18"/>
                <w:szCs w:val="18"/>
              </w:rPr>
            </w:pPr>
            <w:r>
              <w:rPr>
                <w:rFonts w:hint="eastAsia"/>
                <w:sz w:val="18"/>
                <w:szCs w:val="18"/>
              </w:rPr>
              <w:t>/</w:t>
            </w:r>
          </w:p>
        </w:tc>
        <w:tc>
          <w:tcPr>
            <w:tcW w:w="325" w:type="pct"/>
            <w:vAlign w:val="center"/>
          </w:tcPr>
          <w:p w:rsidR="00156DD6" w:rsidRDefault="00D51F5F">
            <w:pPr>
              <w:ind w:right="174"/>
              <w:jc w:val="right"/>
              <w:rPr>
                <w:color w:val="000000" w:themeColor="text1"/>
                <w:sz w:val="18"/>
                <w:szCs w:val="18"/>
              </w:rPr>
            </w:pPr>
            <w:r>
              <w:rPr>
                <w:rFonts w:hint="eastAsia"/>
                <w:sz w:val="18"/>
                <w:szCs w:val="18"/>
              </w:rPr>
              <w:t>/</w:t>
            </w:r>
          </w:p>
        </w:tc>
        <w:tc>
          <w:tcPr>
            <w:tcW w:w="290" w:type="pct"/>
          </w:tcPr>
          <w:p w:rsidR="00156DD6" w:rsidRDefault="00156DD6">
            <w:pPr>
              <w:jc w:val="right"/>
              <w:rPr>
                <w:sz w:val="18"/>
                <w:szCs w:val="18"/>
              </w:rPr>
            </w:pPr>
          </w:p>
        </w:tc>
        <w:tc>
          <w:tcPr>
            <w:tcW w:w="314" w:type="pct"/>
          </w:tcPr>
          <w:p w:rsidR="00156DD6" w:rsidRDefault="00156DD6">
            <w:pPr>
              <w:jc w:val="right"/>
              <w:rPr>
                <w:sz w:val="18"/>
                <w:szCs w:val="18"/>
              </w:rPr>
            </w:pPr>
          </w:p>
        </w:tc>
        <w:tc>
          <w:tcPr>
            <w:tcW w:w="325" w:type="pct"/>
          </w:tcPr>
          <w:p w:rsidR="00156DD6" w:rsidRDefault="00D51F5F">
            <w:pPr>
              <w:ind w:right="174"/>
              <w:jc w:val="center"/>
              <w:rPr>
                <w:color w:val="000000" w:themeColor="text1"/>
                <w:sz w:val="18"/>
                <w:szCs w:val="18"/>
              </w:rPr>
            </w:pPr>
            <w:r>
              <w:rPr>
                <w:color w:val="000000" w:themeColor="text1"/>
                <w:sz w:val="18"/>
                <w:szCs w:val="18"/>
              </w:rPr>
              <w:t>/</w:t>
            </w:r>
          </w:p>
        </w:tc>
        <w:tc>
          <w:tcPr>
            <w:tcW w:w="313" w:type="pct"/>
          </w:tcPr>
          <w:p w:rsidR="00156DD6" w:rsidRDefault="00D51F5F">
            <w:pPr>
              <w:ind w:right="174"/>
              <w:jc w:val="center"/>
              <w:rPr>
                <w:color w:val="000000" w:themeColor="text1"/>
                <w:sz w:val="18"/>
                <w:szCs w:val="18"/>
              </w:rPr>
            </w:pPr>
            <w:r>
              <w:rPr>
                <w:color w:val="000000" w:themeColor="text1"/>
                <w:sz w:val="18"/>
                <w:szCs w:val="18"/>
              </w:rPr>
              <w:t>/</w:t>
            </w:r>
          </w:p>
        </w:tc>
      </w:tr>
    </w:tbl>
    <w:p w:rsidR="00156DD6" w:rsidRDefault="00D51F5F">
      <w:pPr>
        <w:pStyle w:val="Style48"/>
        <w:numPr>
          <w:ilvl w:val="0"/>
          <w:numId w:val="60"/>
        </w:numPr>
        <w:rPr>
          <w:sz w:val="21"/>
          <w:szCs w:val="21"/>
        </w:rPr>
      </w:pPr>
      <w:bookmarkStart w:id="348" w:name="_Hlk167958414"/>
      <w:r>
        <w:rPr>
          <w:rFonts w:hint="eastAsia"/>
          <w:sz w:val="21"/>
          <w:szCs w:val="21"/>
        </w:rPr>
        <w:lastRenderedPageBreak/>
        <w:t>本期计提在建工程减值准备情况</w:t>
      </w:r>
    </w:p>
    <w:sdt>
      <w:sdtPr>
        <w:rPr>
          <w:color w:val="000000" w:themeColor="text1"/>
        </w:rPr>
        <w:alias w:val="是否适用：本期计提在建工程减值准备情况[双击切换]"/>
        <w:tag w:val="_GBC_7dd31cf4784347cd87139a8c2548b22d"/>
        <w:id w:val="10855005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spacing w:line="360" w:lineRule="exact"/>
        <w:jc w:val="right"/>
        <w:rPr>
          <w:color w:val="000000" w:themeColor="text1"/>
        </w:rPr>
      </w:pPr>
      <w:r>
        <w:rPr>
          <w:rFonts w:hint="eastAsia"/>
          <w:color w:val="000000" w:themeColor="text1"/>
        </w:rPr>
        <w:t>单位：</w:t>
      </w:r>
      <w:sdt>
        <w:sdtPr>
          <w:rPr>
            <w:rFonts w:hint="eastAsia"/>
            <w:color w:val="000000" w:themeColor="text1"/>
          </w:rPr>
          <w:alias w:val="单位：财务附注：在建工程减值准备"/>
          <w:tag w:val="_GBC_107dff9a3ded41c0b943951a06ddd2d6"/>
          <w:id w:val="-20933070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在建工程减值准备"/>
          <w:tag w:val="_GBC_30946f2bb7384fd4bc7106602fa325d5"/>
          <w:id w:val="7893229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1944"/>
        <w:gridCol w:w="2388"/>
        <w:gridCol w:w="2385"/>
        <w:gridCol w:w="2385"/>
        <w:gridCol w:w="2385"/>
        <w:gridCol w:w="2380"/>
      </w:tblGrid>
      <w:tr w:rsidR="00156DD6">
        <w:trPr>
          <w:cantSplit/>
          <w:trHeight w:val="280"/>
          <w:tblHeader/>
        </w:trPr>
        <w:sdt>
          <w:sdtPr>
            <w:tag w:val="_PLD_d0cd5b77392f42d68ddd5654bacd7c5f"/>
            <w:id w:val="-1977744088"/>
          </w:sdtPr>
          <w:sdtEndPr/>
          <w:sdtContent>
            <w:tc>
              <w:tcPr>
                <w:tcW w:w="701" w:type="pct"/>
                <w:tcBorders>
                  <w:top w:val="single" w:sz="2" w:space="0" w:color="auto"/>
                  <w:left w:val="single" w:sz="2" w:space="0" w:color="auto"/>
                  <w:bottom w:val="single" w:sz="2" w:space="0" w:color="auto"/>
                  <w:right w:val="single" w:sz="2" w:space="0" w:color="auto"/>
                </w:tcBorders>
                <w:vAlign w:val="center"/>
              </w:tcPr>
              <w:p w:rsidR="00156DD6" w:rsidRDefault="00D51F5F">
                <w:pPr>
                  <w:jc w:val="center"/>
                  <w:rPr>
                    <w:color w:val="000000" w:themeColor="text1"/>
                  </w:rPr>
                </w:pPr>
                <w:r>
                  <w:rPr>
                    <w:rFonts w:hint="eastAsia"/>
                    <w:color w:val="000000" w:themeColor="text1"/>
                  </w:rPr>
                  <w:t>项目</w:t>
                </w:r>
              </w:p>
            </w:tc>
          </w:sdtContent>
        </w:sdt>
        <w:sdt>
          <w:sdtPr>
            <w:tag w:val="_PLD_2f3e495c9dc946fe92842f1b270a9ad8"/>
            <w:id w:val="245856144"/>
          </w:sdtPr>
          <w:sdtEndPr/>
          <w:sdtContent>
            <w:tc>
              <w:tcPr>
                <w:tcW w:w="861" w:type="pct"/>
                <w:tcBorders>
                  <w:top w:val="single" w:sz="2" w:space="0" w:color="auto"/>
                  <w:left w:val="single" w:sz="2" w:space="0" w:color="auto"/>
                  <w:bottom w:val="single" w:sz="2" w:space="0" w:color="auto"/>
                  <w:right w:val="single" w:sz="2" w:space="0" w:color="auto"/>
                </w:tcBorders>
              </w:tcPr>
              <w:p w:rsidR="00156DD6" w:rsidRDefault="00D51F5F">
                <w:pPr>
                  <w:jc w:val="center"/>
                  <w:rPr>
                    <w:color w:val="000000" w:themeColor="text1"/>
                  </w:rPr>
                </w:pPr>
                <w:r>
                  <w:rPr>
                    <w:color w:val="000000" w:themeColor="text1"/>
                  </w:rPr>
                  <w:t>期初余额</w:t>
                </w:r>
              </w:p>
            </w:tc>
          </w:sdtContent>
        </w:sdt>
        <w:sdt>
          <w:sdtPr>
            <w:tag w:val="_PLD_26a83f5b4f3544c6a0f6ada13b247f27"/>
            <w:id w:val="732586845"/>
          </w:sdtPr>
          <w:sdtEndPr/>
          <w:sdtContent>
            <w:tc>
              <w:tcPr>
                <w:tcW w:w="860" w:type="pct"/>
                <w:tcBorders>
                  <w:top w:val="single" w:sz="2" w:space="0" w:color="auto"/>
                  <w:left w:val="single" w:sz="2" w:space="0" w:color="auto"/>
                  <w:bottom w:val="single" w:sz="2" w:space="0" w:color="auto"/>
                  <w:right w:val="single" w:sz="2" w:space="0" w:color="auto"/>
                </w:tcBorders>
              </w:tcPr>
              <w:p w:rsidR="00156DD6" w:rsidRDefault="00D51F5F">
                <w:pPr>
                  <w:jc w:val="center"/>
                  <w:rPr>
                    <w:color w:val="000000" w:themeColor="text1"/>
                  </w:rPr>
                </w:pPr>
                <w:r>
                  <w:rPr>
                    <w:color w:val="000000" w:themeColor="text1"/>
                  </w:rPr>
                  <w:t>本期增加</w:t>
                </w:r>
              </w:p>
            </w:tc>
          </w:sdtContent>
        </w:sdt>
        <w:sdt>
          <w:sdtPr>
            <w:tag w:val="_PLD_5d6136766ffc4e98a7ead7b27ccaba98"/>
            <w:id w:val="1217019047"/>
          </w:sdtPr>
          <w:sdtEndPr/>
          <w:sdtContent>
            <w:tc>
              <w:tcPr>
                <w:tcW w:w="860" w:type="pct"/>
                <w:tcBorders>
                  <w:top w:val="single" w:sz="2" w:space="0" w:color="auto"/>
                  <w:left w:val="single" w:sz="2" w:space="0" w:color="auto"/>
                  <w:bottom w:val="single" w:sz="2" w:space="0" w:color="auto"/>
                  <w:right w:val="single" w:sz="2" w:space="0" w:color="auto"/>
                </w:tcBorders>
              </w:tcPr>
              <w:p w:rsidR="00156DD6" w:rsidRDefault="00D51F5F">
                <w:pPr>
                  <w:jc w:val="center"/>
                  <w:rPr>
                    <w:color w:val="000000" w:themeColor="text1"/>
                  </w:rPr>
                </w:pPr>
                <w:r>
                  <w:rPr>
                    <w:color w:val="000000" w:themeColor="text1"/>
                  </w:rPr>
                  <w:t>本期减少</w:t>
                </w:r>
              </w:p>
            </w:tc>
          </w:sdtContent>
        </w:sdt>
        <w:sdt>
          <w:sdtPr>
            <w:tag w:val="_PLD_a71aa3802e724b9abc8b8383632d6de9"/>
            <w:id w:val="822631049"/>
          </w:sdtPr>
          <w:sdtEndPr/>
          <w:sdtContent>
            <w:tc>
              <w:tcPr>
                <w:tcW w:w="860" w:type="pct"/>
                <w:tcBorders>
                  <w:top w:val="single" w:sz="2" w:space="0" w:color="auto"/>
                  <w:left w:val="single" w:sz="2" w:space="0" w:color="auto"/>
                  <w:bottom w:val="single" w:sz="2" w:space="0" w:color="auto"/>
                  <w:right w:val="single" w:sz="2" w:space="0" w:color="auto"/>
                </w:tcBorders>
              </w:tcPr>
              <w:p w:rsidR="00156DD6" w:rsidRDefault="00D51F5F">
                <w:pPr>
                  <w:jc w:val="center"/>
                  <w:rPr>
                    <w:color w:val="000000" w:themeColor="text1"/>
                  </w:rPr>
                </w:pPr>
                <w:r>
                  <w:rPr>
                    <w:rFonts w:hint="eastAsia"/>
                    <w:color w:val="000000" w:themeColor="text1"/>
                  </w:rPr>
                  <w:t>期末余额</w:t>
                </w:r>
              </w:p>
            </w:tc>
          </w:sdtContent>
        </w:sdt>
        <w:sdt>
          <w:sdtPr>
            <w:tag w:val="_PLD_72399486bb1a45be887548234b5f83d4"/>
            <w:id w:val="-1614587446"/>
          </w:sdtPr>
          <w:sdtEndPr/>
          <w:sdtContent>
            <w:tc>
              <w:tcPr>
                <w:tcW w:w="858" w:type="pct"/>
                <w:tcBorders>
                  <w:top w:val="single" w:sz="2" w:space="0" w:color="auto"/>
                  <w:left w:val="single" w:sz="2" w:space="0" w:color="auto"/>
                  <w:bottom w:val="single" w:sz="2" w:space="0" w:color="auto"/>
                  <w:right w:val="single" w:sz="2" w:space="0" w:color="auto"/>
                </w:tcBorders>
                <w:vAlign w:val="center"/>
              </w:tcPr>
              <w:p w:rsidR="00156DD6" w:rsidRDefault="00D51F5F">
                <w:pPr>
                  <w:jc w:val="center"/>
                  <w:rPr>
                    <w:color w:val="000000" w:themeColor="text1"/>
                  </w:rPr>
                </w:pPr>
                <w:r>
                  <w:rPr>
                    <w:rFonts w:hint="eastAsia"/>
                    <w:color w:val="000000" w:themeColor="text1"/>
                  </w:rPr>
                  <w:t>计提原因</w:t>
                </w:r>
              </w:p>
            </w:tc>
          </w:sdtContent>
        </w:sdt>
      </w:tr>
      <w:tr w:rsidR="00156DD6">
        <w:trPr>
          <w:cantSplit/>
        </w:trPr>
        <w:tc>
          <w:tcPr>
            <w:tcW w:w="701" w:type="pct"/>
            <w:tcBorders>
              <w:top w:val="single" w:sz="2" w:space="0" w:color="auto"/>
              <w:left w:val="single" w:sz="2" w:space="0" w:color="auto"/>
              <w:bottom w:val="single" w:sz="2" w:space="0" w:color="auto"/>
              <w:right w:val="single" w:sz="2" w:space="0" w:color="auto"/>
            </w:tcBorders>
          </w:tcPr>
          <w:p w:rsidR="00156DD6" w:rsidRDefault="00D51F5F">
            <w:pPr>
              <w:pStyle w:val="Style43"/>
            </w:pPr>
            <w:bookmarkStart w:id="349" w:name="OLE_LINK82"/>
            <w:r>
              <w:rPr>
                <w:rFonts w:hint="eastAsia"/>
              </w:rPr>
              <w:t>其他项目</w:t>
            </w:r>
            <w:bookmarkEnd w:id="349"/>
          </w:p>
        </w:tc>
        <w:tc>
          <w:tcPr>
            <w:tcW w:w="861" w:type="pct"/>
            <w:tcBorders>
              <w:top w:val="single" w:sz="2" w:space="0" w:color="auto"/>
              <w:left w:val="single" w:sz="2" w:space="0" w:color="auto"/>
              <w:bottom w:val="single" w:sz="2" w:space="0" w:color="auto"/>
              <w:right w:val="single" w:sz="2" w:space="0" w:color="auto"/>
            </w:tcBorders>
            <w:vAlign w:val="center"/>
          </w:tcPr>
          <w:p w:rsidR="00156DD6" w:rsidRDefault="00D51F5F">
            <w:pPr>
              <w:jc w:val="right"/>
            </w:pPr>
            <w:r>
              <w:t>1,442,682.30</w:t>
            </w:r>
          </w:p>
        </w:tc>
        <w:tc>
          <w:tcPr>
            <w:tcW w:w="860" w:type="pct"/>
            <w:tcBorders>
              <w:top w:val="single" w:sz="2" w:space="0" w:color="auto"/>
              <w:left w:val="single" w:sz="2" w:space="0" w:color="auto"/>
              <w:bottom w:val="single" w:sz="2" w:space="0" w:color="auto"/>
              <w:right w:val="single" w:sz="2" w:space="0" w:color="auto"/>
            </w:tcBorders>
          </w:tcPr>
          <w:p w:rsidR="00156DD6" w:rsidRDefault="00156DD6">
            <w:pPr>
              <w:jc w:val="right"/>
            </w:pPr>
          </w:p>
        </w:tc>
        <w:tc>
          <w:tcPr>
            <w:tcW w:w="860" w:type="pct"/>
            <w:tcBorders>
              <w:top w:val="single" w:sz="2" w:space="0" w:color="auto"/>
              <w:left w:val="single" w:sz="2" w:space="0" w:color="auto"/>
              <w:bottom w:val="single" w:sz="2" w:space="0" w:color="auto"/>
              <w:right w:val="single" w:sz="2" w:space="0" w:color="auto"/>
            </w:tcBorders>
          </w:tcPr>
          <w:p w:rsidR="00156DD6" w:rsidRDefault="00156DD6">
            <w:pPr>
              <w:jc w:val="right"/>
            </w:pPr>
          </w:p>
        </w:tc>
        <w:tc>
          <w:tcPr>
            <w:tcW w:w="860" w:type="pct"/>
            <w:tcBorders>
              <w:top w:val="single" w:sz="2" w:space="0" w:color="auto"/>
              <w:left w:val="single" w:sz="2" w:space="0" w:color="auto"/>
              <w:bottom w:val="single" w:sz="2" w:space="0" w:color="auto"/>
              <w:right w:val="single" w:sz="2" w:space="0" w:color="auto"/>
            </w:tcBorders>
            <w:vAlign w:val="center"/>
          </w:tcPr>
          <w:p w:rsidR="00156DD6" w:rsidRDefault="00D51F5F">
            <w:pPr>
              <w:jc w:val="right"/>
            </w:pPr>
            <w:r>
              <w:t>1,442,682.30</w:t>
            </w:r>
          </w:p>
        </w:tc>
        <w:tc>
          <w:tcPr>
            <w:tcW w:w="858" w:type="pct"/>
            <w:tcBorders>
              <w:top w:val="single" w:sz="2" w:space="0" w:color="auto"/>
              <w:left w:val="single" w:sz="2" w:space="0" w:color="auto"/>
              <w:bottom w:val="single" w:sz="2" w:space="0" w:color="auto"/>
              <w:right w:val="single" w:sz="2" w:space="0" w:color="auto"/>
            </w:tcBorders>
          </w:tcPr>
          <w:p w:rsidR="00156DD6" w:rsidRDefault="00D51F5F">
            <w:pPr>
              <w:jc w:val="center"/>
            </w:pPr>
            <w:r>
              <w:rPr>
                <w:rFonts w:hint="eastAsia"/>
              </w:rPr>
              <w:t>/</w:t>
            </w:r>
          </w:p>
        </w:tc>
      </w:tr>
      <w:tr w:rsidR="00156DD6">
        <w:trPr>
          <w:cantSplit/>
        </w:trPr>
        <w:tc>
          <w:tcPr>
            <w:tcW w:w="701" w:type="pct"/>
            <w:tcBorders>
              <w:top w:val="single" w:sz="2" w:space="0" w:color="auto"/>
              <w:left w:val="single" w:sz="2" w:space="0" w:color="auto"/>
              <w:bottom w:val="single" w:sz="2" w:space="0" w:color="auto"/>
              <w:right w:val="single" w:sz="2" w:space="0" w:color="auto"/>
            </w:tcBorders>
            <w:vAlign w:val="center"/>
          </w:tcPr>
          <w:p w:rsidR="00156DD6" w:rsidRDefault="00D51F5F">
            <w:pPr>
              <w:jc w:val="center"/>
              <w:rPr>
                <w:color w:val="000000" w:themeColor="text1"/>
              </w:rPr>
            </w:pPr>
            <w:r>
              <w:rPr>
                <w:rFonts w:hint="eastAsia"/>
                <w:color w:val="000000" w:themeColor="text1"/>
              </w:rPr>
              <w:t>合计</w:t>
            </w:r>
          </w:p>
        </w:tc>
        <w:tc>
          <w:tcPr>
            <w:tcW w:w="861" w:type="pct"/>
            <w:tcBorders>
              <w:top w:val="single" w:sz="2" w:space="0" w:color="auto"/>
              <w:left w:val="single" w:sz="2" w:space="0" w:color="auto"/>
              <w:bottom w:val="single" w:sz="2" w:space="0" w:color="auto"/>
              <w:right w:val="single" w:sz="2" w:space="0" w:color="auto"/>
            </w:tcBorders>
            <w:vAlign w:val="center"/>
          </w:tcPr>
          <w:p w:rsidR="00156DD6" w:rsidRDefault="00D51F5F">
            <w:pPr>
              <w:jc w:val="right"/>
            </w:pPr>
            <w:r>
              <w:t>1,442,682.30</w:t>
            </w:r>
          </w:p>
        </w:tc>
        <w:tc>
          <w:tcPr>
            <w:tcW w:w="860" w:type="pct"/>
            <w:tcBorders>
              <w:top w:val="single" w:sz="2" w:space="0" w:color="auto"/>
              <w:left w:val="single" w:sz="2" w:space="0" w:color="auto"/>
              <w:bottom w:val="single" w:sz="2" w:space="0" w:color="auto"/>
              <w:right w:val="single" w:sz="2" w:space="0" w:color="auto"/>
            </w:tcBorders>
          </w:tcPr>
          <w:p w:rsidR="00156DD6" w:rsidRDefault="00156DD6">
            <w:pPr>
              <w:jc w:val="right"/>
            </w:pPr>
          </w:p>
        </w:tc>
        <w:tc>
          <w:tcPr>
            <w:tcW w:w="860" w:type="pct"/>
            <w:tcBorders>
              <w:top w:val="single" w:sz="2" w:space="0" w:color="auto"/>
              <w:left w:val="single" w:sz="2" w:space="0" w:color="auto"/>
              <w:bottom w:val="single" w:sz="2" w:space="0" w:color="auto"/>
              <w:right w:val="single" w:sz="2" w:space="0" w:color="auto"/>
            </w:tcBorders>
          </w:tcPr>
          <w:p w:rsidR="00156DD6" w:rsidRDefault="00156DD6">
            <w:pPr>
              <w:jc w:val="right"/>
            </w:pPr>
          </w:p>
        </w:tc>
        <w:tc>
          <w:tcPr>
            <w:tcW w:w="860" w:type="pct"/>
            <w:tcBorders>
              <w:top w:val="single" w:sz="2" w:space="0" w:color="auto"/>
              <w:left w:val="single" w:sz="2" w:space="0" w:color="auto"/>
              <w:bottom w:val="single" w:sz="2" w:space="0" w:color="auto"/>
              <w:right w:val="single" w:sz="2" w:space="0" w:color="auto"/>
            </w:tcBorders>
            <w:vAlign w:val="center"/>
          </w:tcPr>
          <w:p w:rsidR="00156DD6" w:rsidRDefault="00D51F5F">
            <w:pPr>
              <w:jc w:val="right"/>
            </w:pPr>
            <w:r>
              <w:t>1,442,682.30</w:t>
            </w:r>
          </w:p>
        </w:tc>
        <w:tc>
          <w:tcPr>
            <w:tcW w:w="858" w:type="pct"/>
            <w:tcBorders>
              <w:top w:val="single" w:sz="2" w:space="0" w:color="auto"/>
              <w:left w:val="single" w:sz="2" w:space="0" w:color="auto"/>
              <w:bottom w:val="single" w:sz="2" w:space="0" w:color="auto"/>
              <w:right w:val="single" w:sz="2" w:space="0" w:color="auto"/>
            </w:tcBorders>
          </w:tcPr>
          <w:p w:rsidR="00156DD6" w:rsidRDefault="00D51F5F">
            <w:pPr>
              <w:jc w:val="center"/>
              <w:rPr>
                <w:color w:val="000000" w:themeColor="text1"/>
              </w:rPr>
            </w:pPr>
            <w:r>
              <w:rPr>
                <w:color w:val="000000" w:themeColor="text1"/>
              </w:rPr>
              <w:t>/</w:t>
            </w:r>
          </w:p>
        </w:tc>
      </w:tr>
    </w:tbl>
    <w:bookmarkEnd w:id="348"/>
    <w:p w:rsidR="00156DD6" w:rsidRDefault="00D51F5F">
      <w:pPr>
        <w:pStyle w:val="5"/>
        <w:numPr>
          <w:ilvl w:val="0"/>
          <w:numId w:val="60"/>
        </w:numPr>
        <w:rPr>
          <w:rFonts w:ascii="宋体" w:hAnsi="宋体" w:cs="宋体"/>
          <w:color w:val="000000" w:themeColor="text1"/>
          <w:kern w:val="0"/>
          <w:szCs w:val="24"/>
        </w:rPr>
      </w:pPr>
      <w:r>
        <w:rPr>
          <w:rFonts w:ascii="宋体" w:hAnsi="宋体" w:cs="宋体" w:hint="eastAsia"/>
          <w:color w:val="000000" w:themeColor="text1"/>
          <w:kern w:val="0"/>
          <w:szCs w:val="24"/>
        </w:rPr>
        <w:t>在建工程的减值测试情况</w:t>
      </w:r>
    </w:p>
    <w:sdt>
      <w:sdtPr>
        <w:rPr>
          <w:color w:val="000000" w:themeColor="text1"/>
        </w:rPr>
        <w:alias w:val="是否适用：减值测试情况[双击切换]"/>
        <w:tag w:val="_GBC_f6d4bcf1dee14a709974326281981b12"/>
        <w:id w:val="-154917322"/>
        <w:placeholder>
          <w:docPart w:val="FB83003AAF4441C0B27B0059F1A872F9"/>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6"/>
        <w:ind w:left="105"/>
        <w:rPr>
          <w:color w:val="000000" w:themeColor="text1"/>
        </w:rPr>
      </w:pPr>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7513394c89064aa4af7416380cac2b8b"/>
        <w:id w:val="616799184"/>
        <w:placeholder>
          <w:docPart w:val="FB83003AAF4441C0B27B0059F1A872F9"/>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可收回金额按公允价值减去处置费用后的净额确定"/>
          <w:tag w:val="_GBC_9f11d805a1764b23b2b26912541faad3"/>
          <w:id w:val="-412391591"/>
          <w:placeholder>
            <w:docPart w:val="FB83003AAF4441C0B27B0059F1A872F9"/>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可收回金额按公允价值减去处置费用后的净额确定"/>
          <w:tag w:val="_GBC_841e4a490ebd4e15bb843e847e5e4e46"/>
          <w:id w:val="299050545"/>
          <w:placeholder>
            <w:docPart w:val="FB83003AAF4441C0B27B0059F1A872F9"/>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79"/>
        <w:gridCol w:w="1980"/>
        <w:gridCol w:w="1980"/>
        <w:gridCol w:w="1980"/>
        <w:gridCol w:w="1980"/>
        <w:gridCol w:w="1980"/>
      </w:tblGrid>
      <w:tr w:rsidR="00156DD6">
        <w:bookmarkStart w:id="350" w:name="_Hlk206598175" w:displacedByCustomXml="next"/>
        <w:sdt>
          <w:sdtPr>
            <w:tag w:val="_PLD_1850f9b61e4e4fe49837fe4ab2fa13c8"/>
            <w:id w:val="2032223841"/>
          </w:sdtPr>
          <w:sdtEndPr/>
          <w:sdtContent>
            <w:tc>
              <w:tcPr>
                <w:tcW w:w="716" w:type="pct"/>
                <w:vAlign w:val="center"/>
              </w:tcPr>
              <w:p w:rsidR="00156DD6" w:rsidRDefault="00D51F5F">
                <w:pPr>
                  <w:widowControl w:val="0"/>
                  <w:snapToGrid w:val="0"/>
                  <w:spacing w:line="240" w:lineRule="atLeast"/>
                  <w:jc w:val="center"/>
                  <w:rPr>
                    <w:color w:val="000000" w:themeColor="text1"/>
                  </w:rPr>
                </w:pPr>
                <w:r>
                  <w:rPr>
                    <w:rFonts w:hint="eastAsia"/>
                    <w:color w:val="000000" w:themeColor="text1"/>
                  </w:rPr>
                  <w:t>项目</w:t>
                </w:r>
              </w:p>
            </w:tc>
          </w:sdtContent>
        </w:sdt>
        <w:sdt>
          <w:sdtPr>
            <w:tag w:val="_PLD_1b43c42dbb7842e280eb5d89d721cb3b"/>
            <w:id w:val="1385674050"/>
          </w:sdtPr>
          <w:sdtEndPr/>
          <w:sdtContent>
            <w:tc>
              <w:tcPr>
                <w:tcW w:w="714" w:type="pct"/>
                <w:vAlign w:val="center"/>
              </w:tcPr>
              <w:p w:rsidR="00156DD6" w:rsidRDefault="00D51F5F">
                <w:pPr>
                  <w:widowControl w:val="0"/>
                  <w:snapToGrid w:val="0"/>
                  <w:spacing w:line="240" w:lineRule="atLeast"/>
                  <w:jc w:val="center"/>
                  <w:rPr>
                    <w:color w:val="000000" w:themeColor="text1"/>
                  </w:rPr>
                </w:pPr>
                <w:r>
                  <w:rPr>
                    <w:rFonts w:hint="eastAsia"/>
                    <w:color w:val="000000" w:themeColor="text1"/>
                  </w:rPr>
                  <w:t>账面价值</w:t>
                </w:r>
              </w:p>
            </w:tc>
          </w:sdtContent>
        </w:sdt>
        <w:sdt>
          <w:sdtPr>
            <w:tag w:val="_PLD_e88d1d7437184c46842cbf737b5e92a1"/>
            <w:id w:val="166369877"/>
          </w:sdtPr>
          <w:sdtEndPr/>
          <w:sdtContent>
            <w:tc>
              <w:tcPr>
                <w:tcW w:w="714" w:type="pct"/>
                <w:vAlign w:val="center"/>
              </w:tcPr>
              <w:p w:rsidR="00156DD6" w:rsidRDefault="00D51F5F">
                <w:pPr>
                  <w:widowControl w:val="0"/>
                  <w:snapToGrid w:val="0"/>
                  <w:spacing w:line="240" w:lineRule="atLeast"/>
                  <w:jc w:val="center"/>
                  <w:rPr>
                    <w:color w:val="000000" w:themeColor="text1"/>
                  </w:rPr>
                </w:pPr>
                <w:r>
                  <w:rPr>
                    <w:rFonts w:hint="eastAsia"/>
                    <w:color w:val="000000" w:themeColor="text1"/>
                  </w:rPr>
                  <w:t>可收回金额</w:t>
                </w:r>
              </w:p>
            </w:tc>
          </w:sdtContent>
        </w:sdt>
        <w:sdt>
          <w:sdtPr>
            <w:tag w:val="_PLD_52752a698224480aaae0922ea1ae8520"/>
            <w:id w:val="448971399"/>
          </w:sdtPr>
          <w:sdtEndPr/>
          <w:sdtContent>
            <w:tc>
              <w:tcPr>
                <w:tcW w:w="714" w:type="pct"/>
                <w:vAlign w:val="center"/>
              </w:tcPr>
              <w:p w:rsidR="00156DD6" w:rsidRDefault="00D51F5F">
                <w:pPr>
                  <w:widowControl w:val="0"/>
                  <w:snapToGrid w:val="0"/>
                  <w:spacing w:line="240" w:lineRule="atLeast"/>
                  <w:jc w:val="center"/>
                  <w:rPr>
                    <w:color w:val="000000" w:themeColor="text1"/>
                  </w:rPr>
                </w:pPr>
                <w:r>
                  <w:rPr>
                    <w:rFonts w:hint="eastAsia"/>
                    <w:color w:val="000000" w:themeColor="text1"/>
                  </w:rPr>
                  <w:t>减值金额</w:t>
                </w:r>
              </w:p>
            </w:tc>
          </w:sdtContent>
        </w:sdt>
        <w:sdt>
          <w:sdtPr>
            <w:tag w:val="_PLD_62c6da1ea7884cc08691cb3542eda7d3"/>
            <w:id w:val="351991892"/>
          </w:sdtPr>
          <w:sdtEndPr/>
          <w:sdtContent>
            <w:tc>
              <w:tcPr>
                <w:tcW w:w="714" w:type="pct"/>
                <w:vAlign w:val="center"/>
              </w:tcPr>
              <w:p w:rsidR="00156DD6" w:rsidRDefault="00D51F5F">
                <w:pPr>
                  <w:widowControl w:val="0"/>
                  <w:snapToGrid w:val="0"/>
                  <w:spacing w:line="240" w:lineRule="atLeast"/>
                  <w:jc w:val="center"/>
                  <w:rPr>
                    <w:color w:val="000000" w:themeColor="text1"/>
                  </w:rPr>
                </w:pPr>
                <w:r>
                  <w:rPr>
                    <w:rFonts w:hint="eastAsia"/>
                    <w:color w:val="000000" w:themeColor="text1"/>
                  </w:rPr>
                  <w:t>公允价值和处置费用的确定方式</w:t>
                </w:r>
              </w:p>
            </w:tc>
          </w:sdtContent>
        </w:sdt>
        <w:sdt>
          <w:sdtPr>
            <w:tag w:val="_PLD_1e138860e9dd4867b6622ec80b8468d0"/>
            <w:id w:val="640161624"/>
          </w:sdtPr>
          <w:sdtEndPr/>
          <w:sdtContent>
            <w:tc>
              <w:tcPr>
                <w:tcW w:w="714" w:type="pct"/>
                <w:vAlign w:val="center"/>
              </w:tcPr>
              <w:p w:rsidR="00156DD6" w:rsidRDefault="00D51F5F">
                <w:pPr>
                  <w:widowControl w:val="0"/>
                  <w:snapToGrid w:val="0"/>
                  <w:spacing w:line="240" w:lineRule="atLeast"/>
                  <w:jc w:val="center"/>
                  <w:rPr>
                    <w:color w:val="000000" w:themeColor="text1"/>
                  </w:rPr>
                </w:pPr>
                <w:r>
                  <w:rPr>
                    <w:rFonts w:hint="eastAsia"/>
                    <w:color w:val="000000" w:themeColor="text1"/>
                  </w:rPr>
                  <w:t>关键参数</w:t>
                </w:r>
              </w:p>
            </w:tc>
          </w:sdtContent>
        </w:sdt>
        <w:sdt>
          <w:sdtPr>
            <w:tag w:val="_PLD_661bc66c75d64c9abb2c03d195da3c4a"/>
            <w:id w:val="-705022336"/>
          </w:sdtPr>
          <w:sdtEndPr/>
          <w:sdtContent>
            <w:tc>
              <w:tcPr>
                <w:tcW w:w="714" w:type="pct"/>
                <w:vAlign w:val="center"/>
              </w:tcPr>
              <w:p w:rsidR="00156DD6" w:rsidRDefault="00D51F5F">
                <w:pPr>
                  <w:widowControl w:val="0"/>
                  <w:snapToGrid w:val="0"/>
                  <w:spacing w:line="240" w:lineRule="atLeast"/>
                  <w:jc w:val="center"/>
                  <w:rPr>
                    <w:color w:val="000000" w:themeColor="text1"/>
                  </w:rPr>
                </w:pPr>
                <w:r>
                  <w:rPr>
                    <w:rFonts w:hint="eastAsia"/>
                    <w:color w:val="000000" w:themeColor="text1"/>
                  </w:rPr>
                  <w:t>关键参数的确定依据</w:t>
                </w:r>
              </w:p>
            </w:tc>
          </w:sdtContent>
        </w:sdt>
      </w:tr>
      <w:tr w:rsidR="00156DD6">
        <w:tc>
          <w:tcPr>
            <w:tcW w:w="716" w:type="pct"/>
            <w:vAlign w:val="center"/>
          </w:tcPr>
          <w:p w:rsidR="00156DD6" w:rsidRDefault="00D51F5F">
            <w:pPr>
              <w:widowControl w:val="0"/>
              <w:snapToGrid w:val="0"/>
              <w:spacing w:line="240" w:lineRule="atLeast"/>
              <w:jc w:val="both"/>
            </w:pPr>
            <w:r>
              <w:rPr>
                <w:rFonts w:hint="eastAsia"/>
              </w:rPr>
              <w:t>其他项目</w:t>
            </w:r>
          </w:p>
        </w:tc>
        <w:tc>
          <w:tcPr>
            <w:tcW w:w="714" w:type="pct"/>
            <w:vAlign w:val="center"/>
          </w:tcPr>
          <w:p w:rsidR="00156DD6" w:rsidRDefault="00D51F5F">
            <w:pPr>
              <w:widowControl w:val="0"/>
              <w:snapToGrid w:val="0"/>
              <w:spacing w:line="240" w:lineRule="atLeast"/>
              <w:jc w:val="right"/>
            </w:pPr>
            <w:r>
              <w:rPr>
                <w:rFonts w:hint="eastAsia"/>
              </w:rPr>
              <w:t>5,048,039.82</w:t>
            </w:r>
          </w:p>
        </w:tc>
        <w:tc>
          <w:tcPr>
            <w:tcW w:w="714" w:type="pct"/>
            <w:vAlign w:val="center"/>
          </w:tcPr>
          <w:p w:rsidR="00156DD6" w:rsidRDefault="00D51F5F">
            <w:pPr>
              <w:widowControl w:val="0"/>
              <w:snapToGrid w:val="0"/>
              <w:spacing w:line="240" w:lineRule="atLeast"/>
              <w:jc w:val="right"/>
            </w:pPr>
            <w:r>
              <w:rPr>
                <w:rFonts w:hint="eastAsia"/>
              </w:rPr>
              <w:t>3,605,357.52</w:t>
            </w:r>
          </w:p>
        </w:tc>
        <w:tc>
          <w:tcPr>
            <w:tcW w:w="714" w:type="pct"/>
            <w:vAlign w:val="center"/>
          </w:tcPr>
          <w:p w:rsidR="00156DD6" w:rsidRDefault="00D51F5F">
            <w:pPr>
              <w:widowControl w:val="0"/>
              <w:snapToGrid w:val="0"/>
              <w:spacing w:line="240" w:lineRule="atLeast"/>
              <w:jc w:val="right"/>
            </w:pPr>
            <w:bookmarkStart w:id="351" w:name="OLE_LINK81"/>
            <w:r>
              <w:rPr>
                <w:rFonts w:hint="eastAsia"/>
              </w:rPr>
              <w:t>1,442,682.30</w:t>
            </w:r>
            <w:bookmarkEnd w:id="351"/>
          </w:p>
        </w:tc>
        <w:tc>
          <w:tcPr>
            <w:tcW w:w="714" w:type="pct"/>
            <w:vAlign w:val="center"/>
          </w:tcPr>
          <w:p w:rsidR="00156DD6" w:rsidRDefault="00D51F5F">
            <w:pPr>
              <w:widowControl w:val="0"/>
              <w:snapToGrid w:val="0"/>
              <w:spacing w:line="240" w:lineRule="atLeast"/>
              <w:jc w:val="both"/>
            </w:pPr>
            <w:r>
              <w:rPr>
                <w:rFonts w:hint="eastAsia"/>
              </w:rPr>
              <w:t>公允价值采用重置成本法、处置费用为与处置资产有关的费用</w:t>
            </w:r>
          </w:p>
        </w:tc>
        <w:tc>
          <w:tcPr>
            <w:tcW w:w="714" w:type="pct"/>
            <w:vAlign w:val="center"/>
          </w:tcPr>
          <w:p w:rsidR="00156DD6" w:rsidRDefault="00D51F5F">
            <w:pPr>
              <w:widowControl w:val="0"/>
              <w:snapToGrid w:val="0"/>
              <w:spacing w:line="240" w:lineRule="atLeast"/>
              <w:jc w:val="both"/>
            </w:pPr>
            <w:r>
              <w:rPr>
                <w:rFonts w:hint="eastAsia"/>
              </w:rPr>
              <w:t>重置成本、处置费用</w:t>
            </w:r>
          </w:p>
        </w:tc>
        <w:tc>
          <w:tcPr>
            <w:tcW w:w="714" w:type="pct"/>
            <w:vAlign w:val="center"/>
          </w:tcPr>
          <w:p w:rsidR="00156DD6" w:rsidRDefault="00D51F5F">
            <w:pPr>
              <w:widowControl w:val="0"/>
              <w:snapToGrid w:val="0"/>
              <w:spacing w:line="240" w:lineRule="atLeast"/>
              <w:jc w:val="both"/>
            </w:pPr>
            <w:r>
              <w:rPr>
                <w:rFonts w:hint="eastAsia"/>
              </w:rPr>
              <w:t>①重置成本：以建设工程造价、其前期及其他费用及资金成本之和估算②处置费用：包括与资产处置有关的法律费用、相关税费、搬运费以及为使资产达到可销售状态所发生的直接费用等</w:t>
            </w:r>
          </w:p>
        </w:tc>
      </w:tr>
      <w:tr w:rsidR="00156DD6">
        <w:tc>
          <w:tcPr>
            <w:tcW w:w="716" w:type="pct"/>
            <w:vAlign w:val="center"/>
          </w:tcPr>
          <w:p w:rsidR="00156DD6" w:rsidRDefault="00D51F5F">
            <w:pPr>
              <w:widowControl w:val="0"/>
              <w:snapToGrid w:val="0"/>
              <w:spacing w:line="240" w:lineRule="atLeast"/>
              <w:jc w:val="center"/>
              <w:rPr>
                <w:color w:val="000000" w:themeColor="text1"/>
              </w:rPr>
            </w:pPr>
            <w:r>
              <w:t>合计</w:t>
            </w:r>
          </w:p>
        </w:tc>
        <w:tc>
          <w:tcPr>
            <w:tcW w:w="714" w:type="pct"/>
            <w:vAlign w:val="center"/>
          </w:tcPr>
          <w:p w:rsidR="00156DD6" w:rsidRDefault="00D51F5F">
            <w:pPr>
              <w:widowControl w:val="0"/>
              <w:snapToGrid w:val="0"/>
              <w:spacing w:line="240" w:lineRule="atLeast"/>
              <w:jc w:val="right"/>
            </w:pPr>
            <w:r>
              <w:t>5,048,039.82</w:t>
            </w:r>
          </w:p>
        </w:tc>
        <w:tc>
          <w:tcPr>
            <w:tcW w:w="714" w:type="pct"/>
            <w:vAlign w:val="center"/>
          </w:tcPr>
          <w:p w:rsidR="00156DD6" w:rsidRDefault="00D51F5F">
            <w:pPr>
              <w:widowControl w:val="0"/>
              <w:snapToGrid w:val="0"/>
              <w:spacing w:line="240" w:lineRule="atLeast"/>
              <w:jc w:val="right"/>
            </w:pPr>
            <w:r>
              <w:t>3,605,357.52</w:t>
            </w:r>
          </w:p>
        </w:tc>
        <w:tc>
          <w:tcPr>
            <w:tcW w:w="714" w:type="pct"/>
            <w:vAlign w:val="center"/>
          </w:tcPr>
          <w:p w:rsidR="00156DD6" w:rsidRDefault="00D51F5F">
            <w:pPr>
              <w:widowControl w:val="0"/>
              <w:snapToGrid w:val="0"/>
              <w:spacing w:line="240" w:lineRule="atLeast"/>
              <w:jc w:val="right"/>
            </w:pPr>
            <w:r>
              <w:t>1,442,682.30</w:t>
            </w:r>
          </w:p>
        </w:tc>
        <w:tc>
          <w:tcPr>
            <w:tcW w:w="714" w:type="pct"/>
            <w:vAlign w:val="center"/>
          </w:tcPr>
          <w:p w:rsidR="00156DD6" w:rsidRDefault="00D51F5F">
            <w:pPr>
              <w:widowControl w:val="0"/>
              <w:snapToGrid w:val="0"/>
              <w:spacing w:line="240" w:lineRule="atLeast"/>
              <w:jc w:val="center"/>
              <w:rPr>
                <w:color w:val="000000" w:themeColor="text1"/>
              </w:rPr>
            </w:pPr>
            <w:r>
              <w:rPr>
                <w:rFonts w:hint="eastAsia"/>
              </w:rPr>
              <w:t>/</w:t>
            </w:r>
          </w:p>
        </w:tc>
        <w:tc>
          <w:tcPr>
            <w:tcW w:w="714" w:type="pct"/>
            <w:vAlign w:val="center"/>
          </w:tcPr>
          <w:p w:rsidR="00156DD6" w:rsidRDefault="00D51F5F">
            <w:pPr>
              <w:widowControl w:val="0"/>
              <w:snapToGrid w:val="0"/>
              <w:spacing w:line="240" w:lineRule="atLeast"/>
              <w:jc w:val="center"/>
              <w:rPr>
                <w:color w:val="000000" w:themeColor="text1"/>
              </w:rPr>
            </w:pPr>
            <w:r>
              <w:rPr>
                <w:rFonts w:hint="eastAsia"/>
              </w:rPr>
              <w:t>/</w:t>
            </w:r>
          </w:p>
        </w:tc>
        <w:tc>
          <w:tcPr>
            <w:tcW w:w="714" w:type="pct"/>
            <w:vAlign w:val="center"/>
          </w:tcPr>
          <w:p w:rsidR="00156DD6" w:rsidRDefault="00D51F5F">
            <w:pPr>
              <w:widowControl w:val="0"/>
              <w:snapToGrid w:val="0"/>
              <w:spacing w:line="240" w:lineRule="atLeast"/>
              <w:jc w:val="center"/>
              <w:rPr>
                <w:color w:val="000000" w:themeColor="text1"/>
              </w:rPr>
            </w:pPr>
            <w:r>
              <w:rPr>
                <w:rFonts w:hint="eastAsia"/>
              </w:rPr>
              <w:t>/</w:t>
            </w:r>
          </w:p>
        </w:tc>
      </w:tr>
    </w:tbl>
    <w:bookmarkEnd w:id="350"/>
    <w:p w:rsidR="00156DD6" w:rsidRDefault="00D51F5F">
      <w:pPr>
        <w:pStyle w:val="6"/>
        <w:ind w:left="105"/>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d65242ae61fc4539a837823d579d5278"/>
        <w:id w:val="766430816"/>
        <w:placeholder>
          <w:docPart w:val="FB83003AAF4441C0B27B0059F1A872F9"/>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6"/>
        <w:ind w:left="105"/>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f1769ac510c74b92a7112b305df2c3f7"/>
        <w:id w:val="1871646415"/>
        <w:placeholder>
          <w:docPart w:val="FB83003AAF4441C0B27B0059F1A872F9"/>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6"/>
        <w:ind w:left="105"/>
        <w:rPr>
          <w:color w:val="000000" w:themeColor="text1"/>
        </w:rPr>
      </w:pPr>
      <w:r>
        <w:rPr>
          <w:rFonts w:hint="eastAsia"/>
          <w:color w:val="000000" w:themeColor="text1"/>
        </w:rPr>
        <w:lastRenderedPageBreak/>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06882ec4f24944798867cc8ed17af277"/>
        <w:id w:val="-1222593424"/>
        <w:placeholder>
          <w:docPart w:val="FB83003AAF4441C0B27B0059F1A872F9"/>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w:instrText>
          </w:r>
          <w:r>
            <w:rPr>
              <w:rFonts w:hint="eastAsia"/>
              <w:color w:val="000000" w:themeColor="text1"/>
            </w:rPr>
            <w:instrText xml:space="preserve">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在建工程的说明[双击切换]"/>
        <w:tag w:val="_GBC_c0ffdfbb304348758da855627ba6d858"/>
        <w:id w:val="1559667147"/>
        <w:placeholder>
          <w:docPart w:val="FB83003AAF4441C0B27B0059F1A872F9"/>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rPr>
          <w:rFonts w:ascii="宋体" w:hAnsi="宋体"/>
          <w:color w:val="000000" w:themeColor="text1"/>
          <w:sz w:val="21"/>
          <w:szCs w:val="21"/>
        </w:rPr>
      </w:pPr>
      <w:bookmarkStart w:id="352" w:name="_Hlk11683481"/>
      <w:r>
        <w:rPr>
          <w:rFonts w:ascii="宋体" w:hAnsi="宋体" w:hint="eastAsia"/>
          <w:color w:val="000000" w:themeColor="text1"/>
          <w:sz w:val="21"/>
          <w:szCs w:val="21"/>
        </w:rPr>
        <w:t>工程物资</w:t>
      </w:r>
    </w:p>
    <w:sdt>
      <w:sdtPr>
        <w:rPr>
          <w:color w:val="000000" w:themeColor="text1"/>
        </w:rPr>
        <w:alias w:val="是否适用：工程物资[双击切换]"/>
        <w:tag w:val="_GBC_0d711628566c4b08b883151766986b20"/>
        <w:id w:val="122818177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52"/>
    <w:p w:rsidR="00156DD6" w:rsidRDefault="00156DD6">
      <w:pPr>
        <w:pStyle w:val="TOC6"/>
        <w:numPr>
          <w:ilvl w:val="0"/>
          <w:numId w:val="43"/>
        </w:numPr>
        <w:tabs>
          <w:tab w:val="left" w:pos="504"/>
        </w:tabs>
        <w:rPr>
          <w:rFonts w:ascii="宋体" w:hAnsi="宋体"/>
          <w:color w:val="000000" w:themeColor="text1"/>
          <w:szCs w:val="21"/>
        </w:rPr>
        <w:sectPr w:rsidR="00156DD6">
          <w:pgSz w:w="16838" w:h="11906" w:orient="landscape"/>
          <w:pgMar w:top="1797" w:right="1525" w:bottom="1276" w:left="1440" w:header="856" w:footer="992" w:gutter="0"/>
          <w:cols w:space="425"/>
          <w:docGrid w:linePitch="312"/>
        </w:sectPr>
      </w:pPr>
    </w:p>
    <w:p w:rsidR="00156DD6" w:rsidRDefault="00D51F5F">
      <w:pPr>
        <w:pStyle w:val="TOC6"/>
        <w:numPr>
          <w:ilvl w:val="0"/>
          <w:numId w:val="53"/>
        </w:numPr>
        <w:rPr>
          <w:color w:val="000000" w:themeColor="text1"/>
          <w:sz w:val="21"/>
          <w:szCs w:val="22"/>
        </w:rPr>
      </w:pPr>
      <w:r>
        <w:rPr>
          <w:color w:val="000000" w:themeColor="text1"/>
          <w:sz w:val="21"/>
          <w:szCs w:val="22"/>
        </w:rPr>
        <w:lastRenderedPageBreak/>
        <w:t>生产性生物资产</w:t>
      </w:r>
    </w:p>
    <w:p w:rsidR="00156DD6" w:rsidRDefault="00D51F5F">
      <w:pPr>
        <w:pStyle w:val="4"/>
        <w:numPr>
          <w:ilvl w:val="0"/>
          <w:numId w:val="61"/>
        </w:numPr>
        <w:tabs>
          <w:tab w:val="left" w:pos="602"/>
          <w:tab w:val="left" w:pos="798"/>
        </w:tabs>
        <w:rPr>
          <w:rFonts w:ascii="宋体" w:hAnsi="宋体"/>
          <w:color w:val="000000" w:themeColor="text1"/>
          <w:kern w:val="0"/>
          <w:szCs w:val="21"/>
        </w:rPr>
      </w:pPr>
      <w:r>
        <w:rPr>
          <w:rFonts w:ascii="宋体" w:hAnsi="宋体" w:hint="eastAsia"/>
          <w:color w:val="000000" w:themeColor="text1"/>
          <w:kern w:val="0"/>
          <w:szCs w:val="21"/>
        </w:rPr>
        <w:t>采用成本计量模式的生产性生物资产</w:t>
      </w:r>
    </w:p>
    <w:sdt>
      <w:sdtPr>
        <w:rPr>
          <w:rFonts w:hint="eastAsia"/>
          <w:color w:val="000000" w:themeColor="text1"/>
        </w:rPr>
        <w:alias w:val="是否适用：财务附注：以成本计量的生产性生物资产[双击切换]"/>
        <w:tag w:val="_GBC_fca5101d9b46492484acd605f0ade969"/>
        <w:id w:val="-145616983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numPr>
          <w:ilvl w:val="0"/>
          <w:numId w:val="61"/>
        </w:numPr>
        <w:tabs>
          <w:tab w:val="left" w:pos="602"/>
          <w:tab w:val="left" w:pos="798"/>
        </w:tabs>
        <w:rPr>
          <w:rFonts w:ascii="宋体" w:hAnsi="宋体"/>
          <w:color w:val="000000" w:themeColor="text1"/>
          <w:kern w:val="0"/>
          <w:szCs w:val="21"/>
        </w:rPr>
      </w:pPr>
      <w:bookmarkStart w:id="353" w:name="_Hlk153461442"/>
      <w:bookmarkStart w:id="354" w:name="_Hlk167958925"/>
      <w:r>
        <w:rPr>
          <w:rFonts w:ascii="宋体" w:hAnsi="宋体" w:hint="eastAsia"/>
          <w:color w:val="000000" w:themeColor="text1"/>
          <w:kern w:val="0"/>
          <w:szCs w:val="21"/>
        </w:rPr>
        <w:t>采用成本计量模式的生产性生物资产的减值测试情况</w:t>
      </w:r>
    </w:p>
    <w:sdt>
      <w:sdtPr>
        <w:rPr>
          <w:color w:val="000000" w:themeColor="text1"/>
        </w:rPr>
        <w:alias w:val="是否适用：减值测试情况[双击切换]"/>
        <w:tag w:val="_GBC_9e260b0f45a84f50898aaf872db0ca84"/>
        <w:id w:val="1257564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53"/>
    <w:bookmarkEnd w:id="354"/>
    <w:p w:rsidR="00156DD6" w:rsidRDefault="00D51F5F">
      <w:pPr>
        <w:pStyle w:val="5"/>
        <w:ind w:left="105"/>
        <w:rPr>
          <w:color w:val="000000" w:themeColor="text1"/>
          <w:szCs w:val="21"/>
        </w:rPr>
      </w:pPr>
      <w:r>
        <w:rPr>
          <w:rFonts w:hint="eastAsia"/>
          <w:color w:val="000000" w:themeColor="text1"/>
          <w:szCs w:val="21"/>
        </w:rPr>
        <w:t>可收回金额按公允价值减去处置费用后的净额确定</w:t>
      </w:r>
    </w:p>
    <w:sdt>
      <w:sdtPr>
        <w:rPr>
          <w:color w:val="000000" w:themeColor="text1"/>
        </w:rPr>
        <w:alias w:val="是否适用：可收回金额按公允价值减去处置费用后的净额确定[双击切换]"/>
        <w:tag w:val="_GBC_b5e1ea5a12024b7989d9fc78e03f15b9"/>
        <w:id w:val="158009333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w:instrText>
          </w:r>
          <w:r>
            <w:rPr>
              <w:rFonts w:hint="eastAsia"/>
              <w:color w:val="000000" w:themeColor="text1"/>
            </w:rPr>
            <w:instrText xml:space="preserve">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可收回金额按预计未来现金流量的现值确定</w:t>
      </w:r>
    </w:p>
    <w:sdt>
      <w:sdtPr>
        <w:rPr>
          <w:rFonts w:hint="eastAsia"/>
          <w:color w:val="000000" w:themeColor="text1"/>
        </w:rPr>
        <w:alias w:val="是否适用：可收回金额按预计未来现金流量的现值确定[双击切换]"/>
        <w:tag w:val="_GBC_abf00afd3ca047e29d92548a5cec7794"/>
        <w:id w:val="-176297411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6b5dd4e5962940499477d21cc3775165"/>
        <w:id w:val="143686666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b9a83f7a8ead4fda9f9f8c2081f6c710"/>
        <w:id w:val="-74826550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numPr>
          <w:ilvl w:val="0"/>
          <w:numId w:val="61"/>
        </w:numPr>
        <w:tabs>
          <w:tab w:val="left" w:pos="602"/>
          <w:tab w:val="left" w:pos="798"/>
        </w:tabs>
        <w:rPr>
          <w:rFonts w:ascii="宋体" w:hAnsi="宋体"/>
          <w:color w:val="000000" w:themeColor="text1"/>
          <w:kern w:val="0"/>
          <w:szCs w:val="21"/>
        </w:rPr>
      </w:pPr>
      <w:r>
        <w:rPr>
          <w:rFonts w:ascii="宋体" w:hAnsi="宋体" w:hint="eastAsia"/>
          <w:color w:val="000000" w:themeColor="text1"/>
          <w:kern w:val="0"/>
          <w:szCs w:val="21"/>
        </w:rPr>
        <w:t>采用公允价值计量模式的生产性生物资产</w:t>
      </w:r>
    </w:p>
    <w:sdt>
      <w:sdtPr>
        <w:rPr>
          <w:color w:val="000000" w:themeColor="text1"/>
        </w:rPr>
        <w:alias w:val="是否适用：财务附注：以公允价值计量的生产性生物资产[双击切换]"/>
        <w:tag w:val="_GBC_3a67921e606f4abca6478a1ffb759394"/>
        <w:id w:val="15060814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rPr>
          <w:color w:val="000000" w:themeColor="text1"/>
        </w:rPr>
      </w:pPr>
      <w:r>
        <w:rPr>
          <w:rFonts w:hint="eastAsia"/>
          <w:color w:val="000000" w:themeColor="text1"/>
        </w:rPr>
        <w:t>其他说明</w:t>
      </w:r>
    </w:p>
    <w:sdt>
      <w:sdtPr>
        <w:rPr>
          <w:color w:val="000000" w:themeColor="text1"/>
        </w:rPr>
        <w:alias w:val="是否适用：生产性生物资产的说明[双击切换]"/>
        <w:tag w:val="_GBC_48247874e2c54937aabce9db1308bea7"/>
        <w:id w:val="137924798"/>
        <w:placeholder>
          <w:docPart w:val="GBC22222222222222222222222222222"/>
        </w:placeholder>
      </w:sdtPr>
      <w:sdtEndPr/>
      <w:sdtContent>
        <w:p w:rsidR="00156DD6" w:rsidRDefault="00D51F5F">
          <w:pPr>
            <w:autoSpaceDE w:val="0"/>
            <w:autoSpaceDN w:val="0"/>
            <w:adjustRightInd w:val="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油气资产</w:t>
      </w:r>
    </w:p>
    <w:p w:rsidR="00156DD6" w:rsidRDefault="00D51F5F">
      <w:pPr>
        <w:pStyle w:val="Style47"/>
        <w:numPr>
          <w:ilvl w:val="0"/>
          <w:numId w:val="62"/>
        </w:numPr>
        <w:rPr>
          <w:color w:val="000000" w:themeColor="text1"/>
          <w:sz w:val="21"/>
          <w:szCs w:val="21"/>
        </w:rPr>
      </w:pPr>
      <w:r>
        <w:rPr>
          <w:rFonts w:hint="eastAsia"/>
          <w:color w:val="000000" w:themeColor="text1"/>
          <w:sz w:val="21"/>
          <w:szCs w:val="21"/>
        </w:rPr>
        <w:t>油气资产情况</w:t>
      </w:r>
    </w:p>
    <w:sdt>
      <w:sdtPr>
        <w:rPr>
          <w:color w:val="000000" w:themeColor="text1"/>
        </w:rPr>
        <w:alias w:val="是否适用：油气资产[双击切换]"/>
        <w:tag w:val="_GBC_7dce41817eb749dba0d132424020d250"/>
        <w:id w:val="-164719843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62"/>
        </w:numPr>
        <w:rPr>
          <w:color w:val="000000" w:themeColor="text1"/>
          <w:sz w:val="21"/>
          <w:szCs w:val="21"/>
        </w:rPr>
      </w:pPr>
      <w:bookmarkStart w:id="355" w:name="_Hlk167959265"/>
      <w:bookmarkStart w:id="356" w:name="_Hlk153461604"/>
      <w:r>
        <w:rPr>
          <w:rFonts w:hint="eastAsia"/>
          <w:color w:val="000000" w:themeColor="text1"/>
          <w:sz w:val="21"/>
          <w:szCs w:val="21"/>
        </w:rPr>
        <w:t>油气资产的减值测试情况</w:t>
      </w:r>
    </w:p>
    <w:sdt>
      <w:sdtPr>
        <w:rPr>
          <w:color w:val="000000" w:themeColor="text1"/>
        </w:rPr>
        <w:alias w:val="是否适用：减值测试情况[双击切换]"/>
        <w:tag w:val="_GBC_3d3afd59d9f741639537a668ab2d0ccf"/>
        <w:id w:val="-167039831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rPr>
          <w:color w:val="000000" w:themeColor="text1"/>
        </w:rPr>
      </w:pPr>
      <w:bookmarkStart w:id="357" w:name="_Hlk167959495"/>
      <w:bookmarkEnd w:id="355"/>
      <w:bookmarkEnd w:id="356"/>
      <w:r>
        <w:rPr>
          <w:rFonts w:hint="eastAsia"/>
          <w:color w:val="000000" w:themeColor="text1"/>
        </w:rPr>
        <w:t>其他说明：</w:t>
      </w:r>
    </w:p>
    <w:p w:rsidR="00156DD6" w:rsidRDefault="00D51F5F">
      <w:pPr>
        <w:autoSpaceDE w:val="0"/>
        <w:autoSpaceDN w:val="0"/>
        <w:adjustRightInd w:val="0"/>
        <w:rPr>
          <w:color w:val="000000" w:themeColor="text1"/>
        </w:rPr>
      </w:pPr>
      <w:sdt>
        <w:sdtPr>
          <w:rPr>
            <w:color w:val="000000" w:themeColor="text1"/>
          </w:rPr>
          <w:alias w:val="油气资产的说明"/>
          <w:tag w:val="_GBC_f691a34a4bb64e549c6319049096f28b"/>
          <w:id w:val="-575899069"/>
          <w:placeholder>
            <w:docPart w:val="GBC22222222222222222222222222222"/>
          </w:placeholder>
        </w:sdtPr>
        <w:sdtEndPr/>
        <w:sdtContent>
          <w:r>
            <w:rPr>
              <w:rFonts w:hint="eastAsia"/>
              <w:color w:val="000000" w:themeColor="text1"/>
            </w:rPr>
            <w:t>无</w:t>
          </w:r>
        </w:sdtContent>
      </w:sdt>
    </w:p>
    <w:p w:rsidR="00156DD6" w:rsidRDefault="00D51F5F">
      <w:pPr>
        <w:pStyle w:val="5"/>
        <w:ind w:left="105"/>
        <w:rPr>
          <w:color w:val="000000" w:themeColor="text1"/>
          <w:szCs w:val="21"/>
        </w:rPr>
      </w:pPr>
      <w:r>
        <w:rPr>
          <w:rFonts w:hint="eastAsia"/>
          <w:color w:val="000000" w:themeColor="text1"/>
          <w:szCs w:val="21"/>
        </w:rPr>
        <w:t>可收回金额按公允价值减去处置费用后的净额</w:t>
      </w:r>
      <w:r>
        <w:rPr>
          <w:rFonts w:hint="eastAsia"/>
          <w:color w:val="000000" w:themeColor="text1"/>
          <w:szCs w:val="21"/>
        </w:rPr>
        <w:t>确定</w:t>
      </w:r>
    </w:p>
    <w:bookmarkEnd w:id="357" w:displacedByCustomXml="next"/>
    <w:sdt>
      <w:sdtPr>
        <w:rPr>
          <w:color w:val="000000" w:themeColor="text1"/>
        </w:rPr>
        <w:alias w:val="是否适用：可收回金额按公允价值减去处置费用后的净额确定[双击切换]"/>
        <w:tag w:val="_GBC_487fa5b22be544b997fc12f3c097c7e6"/>
        <w:id w:val="-151722118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可收回金额按预计未来现金流量的现值确定</w:t>
      </w:r>
    </w:p>
    <w:sdt>
      <w:sdtPr>
        <w:rPr>
          <w:rFonts w:hint="eastAsia"/>
          <w:color w:val="000000" w:themeColor="text1"/>
        </w:rPr>
        <w:alias w:val="是否适用：可收回金额按预计未来现金流量的现值确定[双击切换]"/>
        <w:tag w:val="_GBC_acd1b86a2d8c4644ae48b0eda904cf77"/>
        <w:id w:val="-50119503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27f73a2004c842fc80579a1dd0d303e6"/>
        <w:id w:val="-77277995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4bd124137462490ea247e192e9d3c241"/>
        <w:id w:val="155643666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rPr>
          <w:color w:val="000000" w:themeColor="text1"/>
        </w:rPr>
      </w:pPr>
      <w:r>
        <w:rPr>
          <w:rFonts w:hint="eastAsia"/>
          <w:color w:val="000000" w:themeColor="text1"/>
        </w:rPr>
        <w:t>其他说明：</w:t>
      </w:r>
    </w:p>
    <w:p w:rsidR="00156DD6" w:rsidRDefault="00D51F5F">
      <w:pPr>
        <w:autoSpaceDE w:val="0"/>
        <w:autoSpaceDN w:val="0"/>
        <w:adjustRightInd w:val="0"/>
        <w:rPr>
          <w:color w:val="000000" w:themeColor="text1"/>
        </w:rPr>
      </w:pPr>
      <w:sdt>
        <w:sdtPr>
          <w:rPr>
            <w:color w:val="000000" w:themeColor="text1"/>
          </w:rPr>
          <w:alias w:val="油气资产的说明"/>
          <w:tag w:val="_GBC_f691a34a4bb64e549c6319049096f28b"/>
          <w:id w:val="1579100573"/>
          <w:placeholder>
            <w:docPart w:val="GBC22222222222222222222222222222"/>
          </w:placeholder>
        </w:sdtPr>
        <w:sdtEndPr/>
        <w:sdtContent>
          <w:r>
            <w:rPr>
              <w:rFonts w:hint="eastAsia"/>
              <w:color w:val="000000" w:themeColor="text1"/>
            </w:rPr>
            <w:t>无</w:t>
          </w:r>
        </w:sdtContent>
      </w:sdt>
    </w:p>
    <w:sdt>
      <w:sdtPr>
        <w:rPr>
          <w:rFonts w:ascii="宋体" w:hAnsi="宋体" w:cs="宋体" w:hint="eastAsia"/>
          <w:b w:val="0"/>
          <w:bCs w:val="0"/>
          <w:color w:val="000000" w:themeColor="text1"/>
          <w:kern w:val="0"/>
          <w:sz w:val="21"/>
          <w:szCs w:val="21"/>
        </w:rPr>
        <w:alias w:val="模块:使用权资产"/>
        <w:tag w:val="_SEC_42126bf96c7241e38ff33aae0d98dae2"/>
        <w:id w:val="987281792"/>
        <w:placeholder>
          <w:docPart w:val="GBC22222222222222222222222222222"/>
        </w:placeholder>
      </w:sdtPr>
      <w:sdtEndPr>
        <w:rPr>
          <w:rFonts w:ascii="Times New Roman" w:hAnsi="Times New Roman"/>
          <w:color w:val="auto"/>
          <w:sz w:val="20"/>
        </w:rPr>
      </w:sdtEndPr>
      <w:sdtContent>
        <w:sdt>
          <w:sdtPr>
            <w:rPr>
              <w:sz w:val="21"/>
              <w:szCs w:val="21"/>
            </w:rPr>
            <w:tag w:val="_PLD_dbf30b0808914e11a730d24190f6e581"/>
            <w:id w:val="-1162770790"/>
          </w:sdtPr>
          <w:sdtEndPr>
            <w:rPr>
              <w:color w:val="000000" w:themeColor="text1"/>
              <w:szCs w:val="22"/>
            </w:rPr>
          </w:sdtEndPr>
          <w:sdtContent>
            <w:p w:rsidR="00156DD6" w:rsidRDefault="00D51F5F">
              <w:pPr>
                <w:pStyle w:val="TOC6"/>
                <w:numPr>
                  <w:ilvl w:val="0"/>
                  <w:numId w:val="63"/>
                </w:numPr>
                <w:rPr>
                  <w:color w:val="000000" w:themeColor="text1"/>
                  <w:sz w:val="21"/>
                  <w:szCs w:val="22"/>
                </w:rPr>
              </w:pPr>
              <w:r>
                <w:rPr>
                  <w:color w:val="000000" w:themeColor="text1"/>
                  <w:sz w:val="21"/>
                  <w:szCs w:val="22"/>
                </w:rPr>
                <w:t>使用权资产</w:t>
              </w:r>
            </w:p>
          </w:sdtContent>
        </w:sdt>
        <w:p w:rsidR="00156DD6" w:rsidRDefault="00D51F5F">
          <w:pPr>
            <w:pStyle w:val="Style47"/>
            <w:numPr>
              <w:ilvl w:val="0"/>
              <w:numId w:val="64"/>
            </w:numPr>
            <w:rPr>
              <w:color w:val="000000" w:themeColor="text1"/>
              <w:sz w:val="21"/>
              <w:szCs w:val="21"/>
            </w:rPr>
          </w:pPr>
          <w:r>
            <w:rPr>
              <w:rFonts w:hint="eastAsia"/>
              <w:color w:val="000000" w:themeColor="text1"/>
              <w:sz w:val="21"/>
              <w:szCs w:val="21"/>
            </w:rPr>
            <w:t>使用权资产情况</w:t>
          </w:r>
        </w:p>
        <w:bookmarkStart w:id="358" w:name="_Hlk11679747" w:displacedByCustomXml="next"/>
        <w:sdt>
          <w:sdtPr>
            <w:rPr>
              <w:color w:val="000000" w:themeColor="text1"/>
            </w:rPr>
            <w:alias w:val="是否适用：使用权资产[双击切换]"/>
            <w:tag w:val="_GBC_3ac132175b304712af4889ae3914ef7d"/>
            <w:id w:val="7293529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jc w:val="right"/>
            <w:rPr>
              <w:color w:val="000000" w:themeColor="text1"/>
            </w:rPr>
          </w:pPr>
          <w:r>
            <w:rPr>
              <w:rFonts w:hint="eastAsia"/>
              <w:color w:val="000000" w:themeColor="text1"/>
            </w:rPr>
            <w:t>单位：</w:t>
          </w:r>
          <w:sdt>
            <w:sdtPr>
              <w:rPr>
                <w:rFonts w:hint="eastAsia"/>
                <w:color w:val="000000" w:themeColor="text1"/>
              </w:rPr>
              <w:alias w:val="单位：使用权资产"/>
              <w:tag w:val="_GBC_126de13c7c92490d95bdebd7efe2d59b"/>
              <w:id w:val="-144322103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使用权资产"/>
              <w:tag w:val="_GBC_bb9e8b7096ab49fc95311a6c81431e95"/>
              <w:id w:val="770247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148"/>
            <w:gridCol w:w="2289"/>
            <w:gridCol w:w="1581"/>
          </w:tblGrid>
          <w:tr w:rsidR="00156DD6">
            <w:trPr>
              <w:trHeight w:val="284"/>
            </w:trPr>
            <w:sdt>
              <w:sdtPr>
                <w:tag w:val="_PLD_e7cc7a86c52f4dc596615cce534e6d6a"/>
                <w:id w:val="-1461411347"/>
              </w:sdtPr>
              <w:sdtEndPr/>
              <w:sdtContent>
                <w:tc>
                  <w:tcPr>
                    <w:tcW w:w="1590" w:type="pct"/>
                    <w:vAlign w:val="center"/>
                  </w:tcPr>
                  <w:p w:rsidR="00156DD6" w:rsidRDefault="00D51F5F">
                    <w:pPr>
                      <w:spacing w:line="240" w:lineRule="atLeast"/>
                      <w:jc w:val="center"/>
                      <w:rPr>
                        <w:color w:val="000000" w:themeColor="text1"/>
                      </w:rPr>
                    </w:pPr>
                    <w:r>
                      <w:rPr>
                        <w:rFonts w:hint="eastAsia"/>
                        <w:color w:val="000000" w:themeColor="text1"/>
                      </w:rPr>
                      <w:t>项目</w:t>
                    </w:r>
                  </w:p>
                </w:tc>
              </w:sdtContent>
            </w:sdt>
            <w:sdt>
              <w:sdtPr>
                <w:rPr>
                  <w:color w:val="000000" w:themeColor="text1"/>
                </w:rPr>
                <w:alias w:val="使用权资产明细-项目"/>
                <w:tag w:val="_GBC_ea9ffc7b81304e04ad88fe7fcccf7ec1"/>
                <w:id w:val="1878433049"/>
              </w:sdtPr>
              <w:sdtEndPr/>
              <w:sdtContent>
                <w:tc>
                  <w:tcPr>
                    <w:tcW w:w="1217" w:type="pct"/>
                    <w:vAlign w:val="center"/>
                  </w:tcPr>
                  <w:p w:rsidR="00156DD6" w:rsidRDefault="00D51F5F">
                    <w:pPr>
                      <w:spacing w:line="240" w:lineRule="atLeast"/>
                      <w:jc w:val="center"/>
                      <w:rPr>
                        <w:color w:val="000000" w:themeColor="text1"/>
                      </w:rPr>
                    </w:pPr>
                    <w:r>
                      <w:rPr>
                        <w:rFonts w:hint="eastAsia"/>
                        <w:color w:val="000000" w:themeColor="text1"/>
                      </w:rPr>
                      <w:t>房屋建筑物</w:t>
                    </w:r>
                  </w:p>
                </w:tc>
              </w:sdtContent>
            </w:sdt>
            <w:sdt>
              <w:sdtPr>
                <w:alias w:val="使用权资产明细-项目"/>
                <w:tag w:val="_GBC_ea9ffc7b81304e04ad88fe7fcccf7ec1"/>
                <w:id w:val="825404632"/>
              </w:sdtPr>
              <w:sdtEndPr/>
              <w:sdtContent>
                <w:tc>
                  <w:tcPr>
                    <w:tcW w:w="1297" w:type="pct"/>
                    <w:vAlign w:val="center"/>
                  </w:tcPr>
                  <w:p w:rsidR="00156DD6" w:rsidRDefault="00D51F5F">
                    <w:pPr>
                      <w:spacing w:line="240" w:lineRule="atLeast"/>
                      <w:jc w:val="center"/>
                    </w:pPr>
                    <w:r>
                      <w:rPr>
                        <w:rFonts w:hint="eastAsia"/>
                      </w:rPr>
                      <w:t>运输工具</w:t>
                    </w:r>
                  </w:p>
                </w:tc>
              </w:sdtContent>
            </w:sdt>
            <w:sdt>
              <w:sdtPr>
                <w:tag w:val="_PLD_8404013d36434d0f94f9d2e0e06379db"/>
                <w:id w:val="916528444"/>
              </w:sdtPr>
              <w:sdtEndPr/>
              <w:sdtContent>
                <w:tc>
                  <w:tcPr>
                    <w:tcW w:w="896" w:type="pct"/>
                    <w:vAlign w:val="center"/>
                  </w:tcPr>
                  <w:p w:rsidR="00156DD6" w:rsidRDefault="00D51F5F">
                    <w:pPr>
                      <w:spacing w:line="240" w:lineRule="atLeast"/>
                      <w:jc w:val="center"/>
                      <w:rPr>
                        <w:color w:val="000000" w:themeColor="text1"/>
                      </w:rPr>
                    </w:pPr>
                    <w:r>
                      <w:rPr>
                        <w:color w:val="000000" w:themeColor="text1"/>
                      </w:rPr>
                      <w:t>合计</w:t>
                    </w:r>
                  </w:p>
                </w:tc>
              </w:sdtContent>
            </w:sdt>
          </w:tr>
          <w:tr w:rsidR="00156DD6">
            <w:trPr>
              <w:trHeight w:val="284"/>
            </w:trPr>
            <w:sdt>
              <w:sdtPr>
                <w:tag w:val="_PLD_8a1172a4974b4db489d9ace1c9b06ff9"/>
                <w:id w:val="-466358057"/>
              </w:sdtPr>
              <w:sdtEndPr/>
              <w:sdtContent>
                <w:tc>
                  <w:tcPr>
                    <w:tcW w:w="5000" w:type="pct"/>
                    <w:gridSpan w:val="4"/>
                    <w:vAlign w:val="center"/>
                  </w:tcPr>
                  <w:p w:rsidR="00156DD6" w:rsidRDefault="00D51F5F">
                    <w:pPr>
                      <w:spacing w:line="240" w:lineRule="atLeast"/>
                      <w:rPr>
                        <w:color w:val="000000" w:themeColor="text1"/>
                      </w:rPr>
                    </w:pPr>
                    <w:r>
                      <w:rPr>
                        <w:color w:val="000000" w:themeColor="text1"/>
                      </w:rPr>
                      <w:t>一、</w:t>
                    </w:r>
                    <w:r>
                      <w:rPr>
                        <w:rFonts w:hint="eastAsia"/>
                        <w:color w:val="000000" w:themeColor="text1"/>
                      </w:rPr>
                      <w:t>账面</w:t>
                    </w:r>
                    <w:r>
                      <w:rPr>
                        <w:color w:val="000000" w:themeColor="text1"/>
                      </w:rPr>
                      <w:t>原</w:t>
                    </w:r>
                    <w:r>
                      <w:rPr>
                        <w:rFonts w:hint="eastAsia"/>
                        <w:color w:val="000000" w:themeColor="text1"/>
                      </w:rPr>
                      <w:t>值</w:t>
                    </w:r>
                  </w:p>
                </w:tc>
              </w:sdtContent>
            </w:sdt>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color w:val="000000" w:themeColor="text1"/>
                  </w:rPr>
                  <w:t>1.</w:t>
                </w:r>
                <w:r>
                  <w:rPr>
                    <w:rFonts w:hint="eastAsia"/>
                    <w:color w:val="000000" w:themeColor="text1"/>
                  </w:rPr>
                  <w:t>期</w:t>
                </w:r>
                <w:r>
                  <w:rPr>
                    <w:color w:val="000000" w:themeColor="text1"/>
                  </w:rPr>
                  <w:t>初余额</w:t>
                </w:r>
              </w:p>
            </w:tc>
            <w:tc>
              <w:tcPr>
                <w:tcW w:w="1217" w:type="pct"/>
              </w:tcPr>
              <w:p w:rsidR="00156DD6" w:rsidRDefault="00D51F5F">
                <w:pPr>
                  <w:spacing w:line="240" w:lineRule="atLeast"/>
                  <w:ind w:firstLineChars="200" w:firstLine="420"/>
                  <w:jc w:val="right"/>
                  <w:rPr>
                    <w:color w:val="000000" w:themeColor="text1"/>
                  </w:rPr>
                </w:pPr>
                <w:r>
                  <w:rPr>
                    <w:rFonts w:hint="eastAsia"/>
                  </w:rPr>
                  <w:t xml:space="preserve"> 11,426,535.08 </w:t>
                </w:r>
              </w:p>
            </w:tc>
            <w:tc>
              <w:tcPr>
                <w:tcW w:w="1297" w:type="pct"/>
              </w:tcPr>
              <w:p w:rsidR="00156DD6" w:rsidRDefault="00D51F5F">
                <w:pPr>
                  <w:spacing w:line="240" w:lineRule="atLeast"/>
                  <w:ind w:firstLineChars="200" w:firstLine="420"/>
                  <w:jc w:val="right"/>
                  <w:rPr>
                    <w:color w:val="000000" w:themeColor="text1"/>
                  </w:rPr>
                </w:pPr>
                <w:r>
                  <w:rPr>
                    <w:rFonts w:hint="eastAsia"/>
                  </w:rPr>
                  <w:t xml:space="preserve"> 807,105.21 </w:t>
                </w:r>
              </w:p>
            </w:tc>
            <w:tc>
              <w:tcPr>
                <w:tcW w:w="896" w:type="pct"/>
              </w:tcPr>
              <w:p w:rsidR="00156DD6" w:rsidRDefault="00D51F5F">
                <w:pPr>
                  <w:spacing w:line="240" w:lineRule="atLeast"/>
                  <w:jc w:val="right"/>
                  <w:rPr>
                    <w:color w:val="000000" w:themeColor="text1"/>
                  </w:rPr>
                </w:pPr>
                <w:r>
                  <w:rPr>
                    <w:rFonts w:hint="eastAsia"/>
                  </w:rPr>
                  <w:t>12,233,640.29</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color w:val="000000" w:themeColor="text1"/>
                  </w:rPr>
                  <w:t>2.</w:t>
                </w:r>
                <w:r>
                  <w:rPr>
                    <w:color w:val="000000" w:themeColor="text1"/>
                  </w:rPr>
                  <w:t>本期增加</w:t>
                </w:r>
                <w:r>
                  <w:rPr>
                    <w:rFonts w:hint="eastAsia"/>
                    <w:color w:val="000000" w:themeColor="text1"/>
                  </w:rPr>
                  <w:t>金额</w:t>
                </w:r>
              </w:p>
            </w:tc>
            <w:tc>
              <w:tcPr>
                <w:tcW w:w="1217" w:type="pct"/>
              </w:tcPr>
              <w:p w:rsidR="00156DD6" w:rsidRDefault="00D51F5F">
                <w:pPr>
                  <w:spacing w:line="240" w:lineRule="atLeast"/>
                  <w:jc w:val="right"/>
                  <w:rPr>
                    <w:color w:val="000000" w:themeColor="text1"/>
                  </w:rPr>
                </w:pPr>
                <w:r>
                  <w:rPr>
                    <w:rFonts w:hint="eastAsia"/>
                  </w:rPr>
                  <w:t xml:space="preserve"> 5,013,752.17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rPr>
                  <w:t>5,013,752.17</w:t>
                </w:r>
              </w:p>
            </w:tc>
          </w:tr>
          <w:tr w:rsidR="00156DD6">
            <w:trPr>
              <w:trHeight w:val="284"/>
            </w:trPr>
            <w:tc>
              <w:tcPr>
                <w:tcW w:w="1590" w:type="pct"/>
              </w:tcPr>
              <w:p w:rsidR="00156DD6" w:rsidRDefault="00D51F5F">
                <w:pPr>
                  <w:spacing w:line="240" w:lineRule="atLeast"/>
                  <w:ind w:firstLineChars="300" w:firstLine="630"/>
                </w:pPr>
                <w:r>
                  <w:rPr>
                    <w:rFonts w:hint="eastAsia"/>
                  </w:rPr>
                  <w:t xml:space="preserve">　</w:t>
                </w:r>
                <w:r>
                  <w:rPr>
                    <w:rFonts w:hint="eastAsia"/>
                  </w:rPr>
                  <w:t>(1)</w:t>
                </w:r>
                <w:r>
                  <w:rPr>
                    <w:rFonts w:hint="eastAsia"/>
                  </w:rPr>
                  <w:t>租赁</w:t>
                </w:r>
              </w:p>
            </w:tc>
            <w:tc>
              <w:tcPr>
                <w:tcW w:w="1217" w:type="pct"/>
              </w:tcPr>
              <w:p w:rsidR="00156DD6" w:rsidRDefault="00D51F5F">
                <w:pPr>
                  <w:spacing w:line="240" w:lineRule="atLeast"/>
                  <w:jc w:val="right"/>
                </w:pPr>
                <w:r>
                  <w:rPr>
                    <w:rFonts w:hint="eastAsia"/>
                  </w:rPr>
                  <w:t xml:space="preserve"> 5,013,752.17 </w:t>
                </w:r>
              </w:p>
            </w:tc>
            <w:tc>
              <w:tcPr>
                <w:tcW w:w="1297" w:type="pct"/>
              </w:tcPr>
              <w:p w:rsidR="00156DD6" w:rsidRDefault="00156DD6">
                <w:pPr>
                  <w:spacing w:line="240" w:lineRule="atLeast"/>
                  <w:jc w:val="right"/>
                </w:pPr>
              </w:p>
            </w:tc>
            <w:tc>
              <w:tcPr>
                <w:tcW w:w="896" w:type="pct"/>
              </w:tcPr>
              <w:p w:rsidR="00156DD6" w:rsidRDefault="00D51F5F">
                <w:pPr>
                  <w:spacing w:line="240" w:lineRule="atLeast"/>
                  <w:jc w:val="right"/>
                </w:pPr>
                <w:r>
                  <w:rPr>
                    <w:rFonts w:hint="eastAsia"/>
                  </w:rPr>
                  <w:t>5,013,752.17</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color w:val="000000" w:themeColor="text1"/>
                  </w:rPr>
                  <w:lastRenderedPageBreak/>
                  <w:t>3.</w:t>
                </w:r>
                <w:r>
                  <w:rPr>
                    <w:color w:val="000000" w:themeColor="text1"/>
                  </w:rPr>
                  <w:t>本期减少</w:t>
                </w:r>
                <w:r>
                  <w:rPr>
                    <w:rFonts w:hint="eastAsia"/>
                    <w:color w:val="000000" w:themeColor="text1"/>
                  </w:rPr>
                  <w:t>金额</w:t>
                </w:r>
              </w:p>
            </w:tc>
            <w:tc>
              <w:tcPr>
                <w:tcW w:w="1217" w:type="pct"/>
              </w:tcPr>
              <w:p w:rsidR="00156DD6" w:rsidRDefault="00D51F5F">
                <w:pPr>
                  <w:spacing w:line="240" w:lineRule="atLeast"/>
                  <w:jc w:val="right"/>
                  <w:rPr>
                    <w:color w:val="000000" w:themeColor="text1"/>
                  </w:rPr>
                </w:pPr>
                <w:r>
                  <w:rPr>
                    <w:rFonts w:hint="eastAsia"/>
                  </w:rPr>
                  <w:t xml:space="preserve"> 2,633,883.86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rPr>
                  <w:t>2,633,883.86</w:t>
                </w:r>
              </w:p>
            </w:tc>
          </w:tr>
          <w:tr w:rsidR="00156DD6">
            <w:trPr>
              <w:trHeight w:val="284"/>
            </w:trPr>
            <w:tc>
              <w:tcPr>
                <w:tcW w:w="1590" w:type="pct"/>
              </w:tcPr>
              <w:p w:rsidR="00156DD6" w:rsidRDefault="00D51F5F">
                <w:pPr>
                  <w:spacing w:line="240" w:lineRule="atLeast"/>
                  <w:ind w:firstLineChars="300" w:firstLine="630"/>
                </w:pPr>
                <w:r>
                  <w:rPr>
                    <w:rFonts w:hint="eastAsia"/>
                  </w:rPr>
                  <w:t xml:space="preserve">　</w:t>
                </w:r>
                <w:r>
                  <w:rPr>
                    <w:rFonts w:hint="eastAsia"/>
                  </w:rPr>
                  <w:t>(1)</w:t>
                </w:r>
                <w:r>
                  <w:rPr>
                    <w:rFonts w:hint="eastAsia"/>
                  </w:rPr>
                  <w:t>处置</w:t>
                </w:r>
              </w:p>
            </w:tc>
            <w:tc>
              <w:tcPr>
                <w:tcW w:w="1217" w:type="pct"/>
              </w:tcPr>
              <w:p w:rsidR="00156DD6" w:rsidRDefault="00D51F5F">
                <w:pPr>
                  <w:spacing w:line="240" w:lineRule="atLeast"/>
                  <w:jc w:val="right"/>
                </w:pPr>
                <w:r>
                  <w:rPr>
                    <w:rFonts w:hint="eastAsia"/>
                  </w:rPr>
                  <w:t xml:space="preserve"> 2,633,883.86 </w:t>
                </w:r>
              </w:p>
            </w:tc>
            <w:tc>
              <w:tcPr>
                <w:tcW w:w="1297" w:type="pct"/>
              </w:tcPr>
              <w:p w:rsidR="00156DD6" w:rsidRDefault="00156DD6">
                <w:pPr>
                  <w:spacing w:line="240" w:lineRule="atLeast"/>
                  <w:jc w:val="right"/>
                </w:pPr>
              </w:p>
            </w:tc>
            <w:tc>
              <w:tcPr>
                <w:tcW w:w="896" w:type="pct"/>
              </w:tcPr>
              <w:p w:rsidR="00156DD6" w:rsidRDefault="00D51F5F">
                <w:pPr>
                  <w:spacing w:line="240" w:lineRule="atLeast"/>
                  <w:jc w:val="right"/>
                </w:pPr>
                <w:r>
                  <w:rPr>
                    <w:rFonts w:hint="eastAsia"/>
                  </w:rPr>
                  <w:t>2,633,883.86</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color w:val="000000" w:themeColor="text1"/>
                  </w:rPr>
                  <w:t>4.</w:t>
                </w:r>
                <w:r>
                  <w:rPr>
                    <w:color w:val="000000" w:themeColor="text1"/>
                  </w:rPr>
                  <w:t>期末余额</w:t>
                </w:r>
              </w:p>
            </w:tc>
            <w:tc>
              <w:tcPr>
                <w:tcW w:w="1217" w:type="pct"/>
              </w:tcPr>
              <w:p w:rsidR="00156DD6" w:rsidRDefault="00D51F5F">
                <w:pPr>
                  <w:spacing w:line="240" w:lineRule="atLeast"/>
                  <w:jc w:val="right"/>
                  <w:rPr>
                    <w:color w:val="000000" w:themeColor="text1"/>
                  </w:rPr>
                </w:pPr>
                <w:r>
                  <w:rPr>
                    <w:rFonts w:hint="eastAsia"/>
                  </w:rPr>
                  <w:t xml:space="preserve"> 13,806,403.39 </w:t>
                </w:r>
              </w:p>
            </w:tc>
            <w:tc>
              <w:tcPr>
                <w:tcW w:w="1297" w:type="pct"/>
              </w:tcPr>
              <w:p w:rsidR="00156DD6" w:rsidRDefault="00D51F5F">
                <w:pPr>
                  <w:spacing w:line="240" w:lineRule="atLeast"/>
                  <w:jc w:val="right"/>
                  <w:rPr>
                    <w:color w:val="000000" w:themeColor="text1"/>
                  </w:rPr>
                </w:pPr>
                <w:r>
                  <w:rPr>
                    <w:rFonts w:hint="eastAsia"/>
                  </w:rPr>
                  <w:t xml:space="preserve"> 807,105.21 </w:t>
                </w:r>
              </w:p>
            </w:tc>
            <w:tc>
              <w:tcPr>
                <w:tcW w:w="896" w:type="pct"/>
              </w:tcPr>
              <w:p w:rsidR="00156DD6" w:rsidRDefault="00D51F5F">
                <w:pPr>
                  <w:spacing w:line="240" w:lineRule="atLeast"/>
                  <w:jc w:val="right"/>
                  <w:rPr>
                    <w:color w:val="000000" w:themeColor="text1"/>
                  </w:rPr>
                </w:pPr>
                <w:r>
                  <w:rPr>
                    <w:rFonts w:hint="eastAsia"/>
                  </w:rPr>
                  <w:t>14,613,508.60</w:t>
                </w:r>
              </w:p>
            </w:tc>
          </w:tr>
          <w:tr w:rsidR="00156DD6">
            <w:trPr>
              <w:trHeight w:val="284"/>
            </w:trPr>
            <w:sdt>
              <w:sdtPr>
                <w:tag w:val="_PLD_c5fd254e7ed54ab8b2346f3d57a1cc54"/>
                <w:id w:val="-670329002"/>
              </w:sdtPr>
              <w:sdtEndPr/>
              <w:sdtContent>
                <w:tc>
                  <w:tcPr>
                    <w:tcW w:w="5000" w:type="pct"/>
                    <w:gridSpan w:val="4"/>
                    <w:vAlign w:val="center"/>
                  </w:tcPr>
                  <w:p w:rsidR="00156DD6" w:rsidRDefault="00D51F5F">
                    <w:pPr>
                      <w:spacing w:line="240" w:lineRule="atLeast"/>
                      <w:rPr>
                        <w:color w:val="000000" w:themeColor="text1"/>
                      </w:rPr>
                    </w:pPr>
                    <w:r>
                      <w:rPr>
                        <w:color w:val="000000" w:themeColor="text1"/>
                      </w:rPr>
                      <w:t>二、累计折旧</w:t>
                    </w:r>
                  </w:p>
                </w:tc>
              </w:sdtContent>
            </w:sdt>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rFonts w:hint="eastAsia"/>
                    <w:color w:val="000000" w:themeColor="text1"/>
                  </w:rPr>
                  <w:t>1.</w:t>
                </w:r>
                <w:r>
                  <w:rPr>
                    <w:rFonts w:hint="eastAsia"/>
                    <w:color w:val="000000" w:themeColor="text1"/>
                  </w:rPr>
                  <w:t>期</w:t>
                </w:r>
                <w:r>
                  <w:rPr>
                    <w:color w:val="000000" w:themeColor="text1"/>
                  </w:rPr>
                  <w:t>初余额</w:t>
                </w:r>
              </w:p>
            </w:tc>
            <w:tc>
              <w:tcPr>
                <w:tcW w:w="1217" w:type="pct"/>
              </w:tcPr>
              <w:p w:rsidR="00156DD6" w:rsidRDefault="00D51F5F">
                <w:pPr>
                  <w:spacing w:line="240" w:lineRule="atLeast"/>
                  <w:jc w:val="right"/>
                  <w:rPr>
                    <w:color w:val="000000" w:themeColor="text1"/>
                  </w:rPr>
                </w:pPr>
                <w:r>
                  <w:rPr>
                    <w:rFonts w:hint="eastAsia"/>
                  </w:rPr>
                  <w:t xml:space="preserve"> 6,380,792.31 </w:t>
                </w:r>
              </w:p>
            </w:tc>
            <w:tc>
              <w:tcPr>
                <w:tcW w:w="1297" w:type="pct"/>
              </w:tcPr>
              <w:p w:rsidR="00156DD6" w:rsidRDefault="00D51F5F">
                <w:pPr>
                  <w:spacing w:line="240" w:lineRule="atLeast"/>
                  <w:jc w:val="right"/>
                  <w:rPr>
                    <w:color w:val="000000" w:themeColor="text1"/>
                  </w:rPr>
                </w:pPr>
                <w:r>
                  <w:rPr>
                    <w:rFonts w:hint="eastAsia"/>
                  </w:rPr>
                  <w:t xml:space="preserve"> 283,577.50 </w:t>
                </w:r>
              </w:p>
            </w:tc>
            <w:tc>
              <w:tcPr>
                <w:tcW w:w="896" w:type="pct"/>
              </w:tcPr>
              <w:p w:rsidR="00156DD6" w:rsidRDefault="00D51F5F">
                <w:pPr>
                  <w:spacing w:line="240" w:lineRule="atLeast"/>
                  <w:jc w:val="right"/>
                  <w:rPr>
                    <w:color w:val="000000" w:themeColor="text1"/>
                  </w:rPr>
                </w:pPr>
                <w:r>
                  <w:rPr>
                    <w:rFonts w:hint="eastAsia"/>
                  </w:rPr>
                  <w:t>6,664,369.81</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color w:val="000000" w:themeColor="text1"/>
                  </w:rPr>
                  <w:t>2.</w:t>
                </w:r>
                <w:r>
                  <w:rPr>
                    <w:color w:val="000000" w:themeColor="text1"/>
                  </w:rPr>
                  <w:t>本期增加</w:t>
                </w:r>
                <w:r>
                  <w:rPr>
                    <w:rFonts w:hint="eastAsia"/>
                    <w:color w:val="000000" w:themeColor="text1"/>
                  </w:rPr>
                  <w:t>金额</w:t>
                </w:r>
              </w:p>
            </w:tc>
            <w:tc>
              <w:tcPr>
                <w:tcW w:w="1217" w:type="pct"/>
              </w:tcPr>
              <w:p w:rsidR="00156DD6" w:rsidRDefault="00D51F5F">
                <w:pPr>
                  <w:spacing w:line="240" w:lineRule="atLeast"/>
                  <w:jc w:val="right"/>
                  <w:rPr>
                    <w:color w:val="000000" w:themeColor="text1"/>
                  </w:rPr>
                </w:pPr>
                <w:r>
                  <w:rPr>
                    <w:rFonts w:hint="eastAsia"/>
                  </w:rPr>
                  <w:t xml:space="preserve"> 1,882,094.58 </w:t>
                </w:r>
              </w:p>
            </w:tc>
            <w:tc>
              <w:tcPr>
                <w:tcW w:w="1297" w:type="pct"/>
              </w:tcPr>
              <w:p w:rsidR="00156DD6" w:rsidRDefault="00D51F5F">
                <w:pPr>
                  <w:spacing w:line="240" w:lineRule="atLeast"/>
                  <w:jc w:val="right"/>
                  <w:rPr>
                    <w:color w:val="000000" w:themeColor="text1"/>
                  </w:rPr>
                </w:pPr>
                <w:r>
                  <w:rPr>
                    <w:rFonts w:hint="eastAsia"/>
                  </w:rPr>
                  <w:t xml:space="preserve"> 130,881.93 </w:t>
                </w:r>
              </w:p>
            </w:tc>
            <w:tc>
              <w:tcPr>
                <w:tcW w:w="896" w:type="pct"/>
              </w:tcPr>
              <w:p w:rsidR="00156DD6" w:rsidRDefault="00D51F5F">
                <w:pPr>
                  <w:spacing w:line="240" w:lineRule="atLeast"/>
                  <w:jc w:val="right"/>
                  <w:rPr>
                    <w:color w:val="000000" w:themeColor="text1"/>
                  </w:rPr>
                </w:pPr>
                <w:r>
                  <w:rPr>
                    <w:rFonts w:hint="eastAsia"/>
                  </w:rPr>
                  <w:t>2,012,976.51</w:t>
                </w:r>
              </w:p>
            </w:tc>
          </w:tr>
          <w:tr w:rsidR="00156DD6">
            <w:trPr>
              <w:trHeight w:val="284"/>
            </w:trPr>
            <w:tc>
              <w:tcPr>
                <w:tcW w:w="1590" w:type="pct"/>
                <w:vAlign w:val="center"/>
              </w:tcPr>
              <w:p w:rsidR="00156DD6" w:rsidRDefault="00D51F5F">
                <w:pPr>
                  <w:spacing w:line="240" w:lineRule="atLeast"/>
                  <w:ind w:firstLineChars="300" w:firstLine="630"/>
                  <w:rPr>
                    <w:color w:val="000000" w:themeColor="text1"/>
                  </w:rPr>
                </w:pPr>
                <w:r>
                  <w:rPr>
                    <w:color w:val="000000" w:themeColor="text1"/>
                  </w:rPr>
                  <w:t>(1)</w:t>
                </w:r>
                <w:r>
                  <w:rPr>
                    <w:color w:val="000000" w:themeColor="text1"/>
                  </w:rPr>
                  <w:t>计提</w:t>
                </w:r>
              </w:p>
            </w:tc>
            <w:tc>
              <w:tcPr>
                <w:tcW w:w="1217" w:type="pct"/>
              </w:tcPr>
              <w:p w:rsidR="00156DD6" w:rsidRDefault="00D51F5F">
                <w:pPr>
                  <w:spacing w:line="240" w:lineRule="atLeast"/>
                  <w:jc w:val="right"/>
                  <w:rPr>
                    <w:color w:val="000000" w:themeColor="text1"/>
                  </w:rPr>
                </w:pPr>
                <w:r>
                  <w:rPr>
                    <w:rFonts w:hint="eastAsia"/>
                  </w:rPr>
                  <w:t xml:space="preserve"> 1,882,094.58 </w:t>
                </w:r>
              </w:p>
            </w:tc>
            <w:tc>
              <w:tcPr>
                <w:tcW w:w="1297" w:type="pct"/>
              </w:tcPr>
              <w:p w:rsidR="00156DD6" w:rsidRDefault="00D51F5F">
                <w:pPr>
                  <w:spacing w:line="240" w:lineRule="atLeast"/>
                  <w:jc w:val="right"/>
                  <w:rPr>
                    <w:color w:val="000000" w:themeColor="text1"/>
                  </w:rPr>
                </w:pPr>
                <w:r>
                  <w:rPr>
                    <w:rFonts w:hint="eastAsia"/>
                  </w:rPr>
                  <w:t xml:space="preserve"> 130,881.93 </w:t>
                </w:r>
              </w:p>
            </w:tc>
            <w:tc>
              <w:tcPr>
                <w:tcW w:w="896" w:type="pct"/>
              </w:tcPr>
              <w:p w:rsidR="00156DD6" w:rsidRDefault="00D51F5F">
                <w:pPr>
                  <w:spacing w:line="240" w:lineRule="atLeast"/>
                  <w:jc w:val="right"/>
                  <w:rPr>
                    <w:color w:val="000000" w:themeColor="text1"/>
                  </w:rPr>
                </w:pPr>
                <w:r>
                  <w:rPr>
                    <w:rFonts w:hint="eastAsia"/>
                  </w:rPr>
                  <w:t>2,012,976.51</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rFonts w:hint="eastAsia"/>
                    <w:color w:val="000000" w:themeColor="text1"/>
                  </w:rPr>
                  <w:t>3.</w:t>
                </w:r>
                <w:r>
                  <w:rPr>
                    <w:color w:val="000000" w:themeColor="text1"/>
                  </w:rPr>
                  <w:t>本期减少</w:t>
                </w:r>
                <w:r>
                  <w:rPr>
                    <w:rFonts w:hint="eastAsia"/>
                    <w:color w:val="000000" w:themeColor="text1"/>
                  </w:rPr>
                  <w:t>金额</w:t>
                </w:r>
              </w:p>
            </w:tc>
            <w:tc>
              <w:tcPr>
                <w:tcW w:w="1217" w:type="pct"/>
              </w:tcPr>
              <w:p w:rsidR="00156DD6" w:rsidRDefault="00D51F5F">
                <w:pPr>
                  <w:spacing w:line="240" w:lineRule="atLeast"/>
                  <w:jc w:val="right"/>
                  <w:rPr>
                    <w:color w:val="000000" w:themeColor="text1"/>
                  </w:rPr>
                </w:pPr>
                <w:r>
                  <w:rPr>
                    <w:rFonts w:hint="eastAsia"/>
                  </w:rPr>
                  <w:t xml:space="preserve"> 2,633,883.86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rPr>
                  <w:t>2,633,883.86</w:t>
                </w:r>
              </w:p>
            </w:tc>
          </w:tr>
          <w:tr w:rsidR="00156DD6">
            <w:trPr>
              <w:trHeight w:val="284"/>
            </w:trPr>
            <w:tc>
              <w:tcPr>
                <w:tcW w:w="1590" w:type="pct"/>
                <w:vAlign w:val="center"/>
              </w:tcPr>
              <w:p w:rsidR="00156DD6" w:rsidRDefault="00D51F5F">
                <w:pPr>
                  <w:spacing w:line="240" w:lineRule="atLeast"/>
                  <w:ind w:firstLineChars="300" w:firstLine="630"/>
                  <w:rPr>
                    <w:color w:val="000000" w:themeColor="text1"/>
                  </w:rPr>
                </w:pPr>
                <w:r>
                  <w:rPr>
                    <w:color w:val="000000" w:themeColor="text1"/>
                  </w:rPr>
                  <w:t>(1)</w:t>
                </w:r>
                <w:r>
                  <w:rPr>
                    <w:rFonts w:hint="eastAsia"/>
                    <w:color w:val="000000" w:themeColor="text1"/>
                  </w:rPr>
                  <w:t>处置</w:t>
                </w:r>
              </w:p>
            </w:tc>
            <w:tc>
              <w:tcPr>
                <w:tcW w:w="1217" w:type="pct"/>
              </w:tcPr>
              <w:p w:rsidR="00156DD6" w:rsidRDefault="00D51F5F">
                <w:pPr>
                  <w:spacing w:line="240" w:lineRule="atLeast"/>
                  <w:jc w:val="right"/>
                  <w:rPr>
                    <w:color w:val="000000" w:themeColor="text1"/>
                  </w:rPr>
                </w:pPr>
                <w:r>
                  <w:rPr>
                    <w:rFonts w:hint="eastAsia"/>
                  </w:rPr>
                  <w:t xml:space="preserve"> 2,633,883.86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rPr>
                  <w:t>2,633,883.86</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rFonts w:hint="eastAsia"/>
                    <w:color w:val="000000" w:themeColor="text1"/>
                  </w:rPr>
                  <w:t>4.</w:t>
                </w:r>
                <w:r>
                  <w:rPr>
                    <w:color w:val="000000" w:themeColor="text1"/>
                  </w:rPr>
                  <w:t>期末余额</w:t>
                </w:r>
              </w:p>
            </w:tc>
            <w:tc>
              <w:tcPr>
                <w:tcW w:w="1217" w:type="pct"/>
              </w:tcPr>
              <w:p w:rsidR="00156DD6" w:rsidRDefault="00D51F5F">
                <w:pPr>
                  <w:spacing w:line="240" w:lineRule="atLeast"/>
                  <w:jc w:val="right"/>
                  <w:rPr>
                    <w:color w:val="000000" w:themeColor="text1"/>
                  </w:rPr>
                </w:pPr>
                <w:r>
                  <w:rPr>
                    <w:rFonts w:hint="eastAsia"/>
                  </w:rPr>
                  <w:t xml:space="preserve"> 5,629,003.03 </w:t>
                </w:r>
              </w:p>
            </w:tc>
            <w:tc>
              <w:tcPr>
                <w:tcW w:w="1297" w:type="pct"/>
              </w:tcPr>
              <w:p w:rsidR="00156DD6" w:rsidRDefault="00D51F5F">
                <w:pPr>
                  <w:spacing w:line="240" w:lineRule="atLeast"/>
                  <w:jc w:val="right"/>
                  <w:rPr>
                    <w:color w:val="000000" w:themeColor="text1"/>
                  </w:rPr>
                </w:pPr>
                <w:r>
                  <w:rPr>
                    <w:rFonts w:hint="eastAsia"/>
                  </w:rPr>
                  <w:t xml:space="preserve"> 414,459.43 </w:t>
                </w:r>
              </w:p>
            </w:tc>
            <w:tc>
              <w:tcPr>
                <w:tcW w:w="896" w:type="pct"/>
              </w:tcPr>
              <w:p w:rsidR="00156DD6" w:rsidRDefault="00D51F5F">
                <w:pPr>
                  <w:spacing w:line="240" w:lineRule="atLeast"/>
                  <w:jc w:val="right"/>
                  <w:rPr>
                    <w:color w:val="000000" w:themeColor="text1"/>
                  </w:rPr>
                </w:pPr>
                <w:r>
                  <w:rPr>
                    <w:rFonts w:hint="eastAsia"/>
                  </w:rPr>
                  <w:t>6,043,462.46</w:t>
                </w:r>
              </w:p>
            </w:tc>
          </w:tr>
          <w:tr w:rsidR="00156DD6">
            <w:trPr>
              <w:trHeight w:val="284"/>
            </w:trPr>
            <w:sdt>
              <w:sdtPr>
                <w:tag w:val="_PLD_977579b288954e92aacbdc72b4e58579"/>
                <w:id w:val="521678443"/>
              </w:sdtPr>
              <w:sdtEndPr/>
              <w:sdtContent>
                <w:tc>
                  <w:tcPr>
                    <w:tcW w:w="5000" w:type="pct"/>
                    <w:gridSpan w:val="4"/>
                    <w:vAlign w:val="center"/>
                  </w:tcPr>
                  <w:p w:rsidR="00156DD6" w:rsidRDefault="00D51F5F">
                    <w:pPr>
                      <w:spacing w:line="240" w:lineRule="atLeast"/>
                      <w:rPr>
                        <w:color w:val="000000" w:themeColor="text1"/>
                      </w:rPr>
                    </w:pPr>
                    <w:r>
                      <w:rPr>
                        <w:color w:val="000000" w:themeColor="text1"/>
                      </w:rPr>
                      <w:t>三、减值准备</w:t>
                    </w:r>
                  </w:p>
                </w:tc>
              </w:sdtContent>
            </w:sdt>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rFonts w:hint="eastAsia"/>
                    <w:color w:val="000000" w:themeColor="text1"/>
                  </w:rPr>
                  <w:t>1.</w:t>
                </w:r>
                <w:r>
                  <w:rPr>
                    <w:rFonts w:hint="eastAsia"/>
                    <w:color w:val="000000" w:themeColor="text1"/>
                  </w:rPr>
                  <w:t>期</w:t>
                </w:r>
                <w:r>
                  <w:rPr>
                    <w:color w:val="000000" w:themeColor="text1"/>
                  </w:rPr>
                  <w:t>初余额</w:t>
                </w:r>
              </w:p>
            </w:tc>
            <w:tc>
              <w:tcPr>
                <w:tcW w:w="1217" w:type="pct"/>
              </w:tcPr>
              <w:p w:rsidR="00156DD6" w:rsidRDefault="00D51F5F">
                <w:pPr>
                  <w:spacing w:line="240" w:lineRule="atLeast"/>
                  <w:jc w:val="right"/>
                  <w:rPr>
                    <w:color w:val="000000" w:themeColor="text1"/>
                  </w:rPr>
                </w:pPr>
                <w:r>
                  <w:rPr>
                    <w:rFonts w:hint="eastAsia"/>
                    <w:color w:val="000000" w:themeColor="text1"/>
                  </w:rPr>
                  <w:t xml:space="preserve">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color w:val="000000" w:themeColor="text1"/>
                  </w:rPr>
                  <w:t xml:space="preserve">　</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color w:val="000000" w:themeColor="text1"/>
                  </w:rPr>
                  <w:t>2.</w:t>
                </w:r>
                <w:r>
                  <w:rPr>
                    <w:color w:val="000000" w:themeColor="text1"/>
                  </w:rPr>
                  <w:t>本期增加</w:t>
                </w:r>
                <w:r>
                  <w:rPr>
                    <w:rFonts w:hint="eastAsia"/>
                    <w:color w:val="000000" w:themeColor="text1"/>
                  </w:rPr>
                  <w:t>金额</w:t>
                </w:r>
              </w:p>
            </w:tc>
            <w:tc>
              <w:tcPr>
                <w:tcW w:w="1217" w:type="pct"/>
              </w:tcPr>
              <w:p w:rsidR="00156DD6" w:rsidRDefault="00D51F5F">
                <w:pPr>
                  <w:spacing w:line="240" w:lineRule="atLeast"/>
                  <w:jc w:val="right"/>
                  <w:rPr>
                    <w:color w:val="000000" w:themeColor="text1"/>
                  </w:rPr>
                </w:pPr>
                <w:r>
                  <w:rPr>
                    <w:rFonts w:hint="eastAsia"/>
                    <w:color w:val="000000" w:themeColor="text1"/>
                  </w:rPr>
                  <w:t xml:space="preserve">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color w:val="000000" w:themeColor="text1"/>
                  </w:rPr>
                  <w:t xml:space="preserve">　</w:t>
                </w:r>
              </w:p>
            </w:tc>
          </w:tr>
          <w:tr w:rsidR="00156DD6">
            <w:trPr>
              <w:trHeight w:val="284"/>
            </w:trPr>
            <w:tc>
              <w:tcPr>
                <w:tcW w:w="1590" w:type="pct"/>
                <w:vAlign w:val="center"/>
              </w:tcPr>
              <w:p w:rsidR="00156DD6" w:rsidRDefault="00D51F5F">
                <w:pPr>
                  <w:spacing w:line="240" w:lineRule="atLeast"/>
                  <w:ind w:firstLineChars="300" w:firstLine="630"/>
                  <w:rPr>
                    <w:color w:val="000000" w:themeColor="text1"/>
                  </w:rPr>
                </w:pPr>
                <w:r>
                  <w:rPr>
                    <w:color w:val="000000" w:themeColor="text1"/>
                  </w:rPr>
                  <w:t>(1)</w:t>
                </w:r>
                <w:r>
                  <w:rPr>
                    <w:color w:val="000000" w:themeColor="text1"/>
                  </w:rPr>
                  <w:t>计提</w:t>
                </w:r>
              </w:p>
            </w:tc>
            <w:tc>
              <w:tcPr>
                <w:tcW w:w="1217" w:type="pct"/>
              </w:tcPr>
              <w:p w:rsidR="00156DD6" w:rsidRDefault="00D51F5F">
                <w:pPr>
                  <w:spacing w:line="240" w:lineRule="atLeast"/>
                  <w:jc w:val="right"/>
                  <w:rPr>
                    <w:color w:val="000000" w:themeColor="text1"/>
                  </w:rPr>
                </w:pPr>
                <w:r>
                  <w:rPr>
                    <w:rFonts w:hint="eastAsia"/>
                    <w:color w:val="000000" w:themeColor="text1"/>
                  </w:rPr>
                  <w:t xml:space="preserve">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color w:val="000000" w:themeColor="text1"/>
                  </w:rPr>
                  <w:t xml:space="preserve">　</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rFonts w:hint="eastAsia"/>
                    <w:color w:val="000000" w:themeColor="text1"/>
                  </w:rPr>
                  <w:t>3.</w:t>
                </w:r>
                <w:r>
                  <w:rPr>
                    <w:color w:val="000000" w:themeColor="text1"/>
                  </w:rPr>
                  <w:t>本期减少</w:t>
                </w:r>
                <w:r>
                  <w:rPr>
                    <w:rFonts w:hint="eastAsia"/>
                    <w:color w:val="000000" w:themeColor="text1"/>
                  </w:rPr>
                  <w:t>金额</w:t>
                </w:r>
              </w:p>
            </w:tc>
            <w:tc>
              <w:tcPr>
                <w:tcW w:w="1217" w:type="pct"/>
              </w:tcPr>
              <w:p w:rsidR="00156DD6" w:rsidRDefault="00D51F5F">
                <w:pPr>
                  <w:spacing w:line="240" w:lineRule="atLeast"/>
                  <w:jc w:val="right"/>
                  <w:rPr>
                    <w:color w:val="000000" w:themeColor="text1"/>
                  </w:rPr>
                </w:pPr>
                <w:r>
                  <w:rPr>
                    <w:rFonts w:hint="eastAsia"/>
                    <w:color w:val="000000" w:themeColor="text1"/>
                  </w:rPr>
                  <w:t xml:space="preserve">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color w:val="000000" w:themeColor="text1"/>
                  </w:rPr>
                  <w:t xml:space="preserve">　</w:t>
                </w:r>
              </w:p>
            </w:tc>
          </w:tr>
          <w:tr w:rsidR="00156DD6">
            <w:trPr>
              <w:trHeight w:val="284"/>
            </w:trPr>
            <w:tc>
              <w:tcPr>
                <w:tcW w:w="1590" w:type="pct"/>
                <w:vAlign w:val="center"/>
              </w:tcPr>
              <w:p w:rsidR="00156DD6" w:rsidRDefault="00D51F5F">
                <w:pPr>
                  <w:spacing w:line="240" w:lineRule="atLeast"/>
                  <w:ind w:firstLineChars="300" w:firstLine="630"/>
                  <w:rPr>
                    <w:color w:val="000000" w:themeColor="text1"/>
                  </w:rPr>
                </w:pPr>
                <w:r>
                  <w:rPr>
                    <w:color w:val="000000" w:themeColor="text1"/>
                  </w:rPr>
                  <w:t>(1)</w:t>
                </w:r>
                <w:r>
                  <w:rPr>
                    <w:rFonts w:hint="eastAsia"/>
                    <w:color w:val="000000" w:themeColor="text1"/>
                  </w:rPr>
                  <w:t>处置</w:t>
                </w:r>
              </w:p>
            </w:tc>
            <w:tc>
              <w:tcPr>
                <w:tcW w:w="1217" w:type="pct"/>
              </w:tcPr>
              <w:p w:rsidR="00156DD6" w:rsidRDefault="00D51F5F">
                <w:pPr>
                  <w:spacing w:line="240" w:lineRule="atLeast"/>
                  <w:jc w:val="right"/>
                  <w:rPr>
                    <w:color w:val="000000" w:themeColor="text1"/>
                  </w:rPr>
                </w:pPr>
                <w:r>
                  <w:rPr>
                    <w:rFonts w:hint="eastAsia"/>
                    <w:color w:val="000000" w:themeColor="text1"/>
                  </w:rPr>
                  <w:t xml:space="preserve">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color w:val="000000" w:themeColor="text1"/>
                  </w:rPr>
                  <w:t xml:space="preserve">　</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rFonts w:hint="eastAsia"/>
                    <w:color w:val="000000" w:themeColor="text1"/>
                  </w:rPr>
                  <w:t>4.</w:t>
                </w:r>
                <w:r>
                  <w:rPr>
                    <w:color w:val="000000" w:themeColor="text1"/>
                  </w:rPr>
                  <w:t>期末余额</w:t>
                </w:r>
              </w:p>
            </w:tc>
            <w:tc>
              <w:tcPr>
                <w:tcW w:w="1217" w:type="pct"/>
              </w:tcPr>
              <w:p w:rsidR="00156DD6" w:rsidRDefault="00D51F5F">
                <w:pPr>
                  <w:spacing w:line="240" w:lineRule="atLeast"/>
                  <w:jc w:val="right"/>
                  <w:rPr>
                    <w:color w:val="000000" w:themeColor="text1"/>
                  </w:rPr>
                </w:pPr>
                <w:r>
                  <w:rPr>
                    <w:rFonts w:hint="eastAsia"/>
                    <w:color w:val="000000" w:themeColor="text1"/>
                  </w:rPr>
                  <w:t xml:space="preserve">　</w:t>
                </w:r>
              </w:p>
            </w:tc>
            <w:tc>
              <w:tcPr>
                <w:tcW w:w="1297" w:type="pct"/>
              </w:tcPr>
              <w:p w:rsidR="00156DD6" w:rsidRDefault="00156DD6">
                <w:pPr>
                  <w:spacing w:line="240" w:lineRule="atLeast"/>
                  <w:jc w:val="right"/>
                  <w:rPr>
                    <w:color w:val="000000" w:themeColor="text1"/>
                  </w:rPr>
                </w:pPr>
              </w:p>
            </w:tc>
            <w:tc>
              <w:tcPr>
                <w:tcW w:w="896" w:type="pct"/>
              </w:tcPr>
              <w:p w:rsidR="00156DD6" w:rsidRDefault="00D51F5F">
                <w:pPr>
                  <w:spacing w:line="240" w:lineRule="atLeast"/>
                  <w:jc w:val="right"/>
                  <w:rPr>
                    <w:color w:val="000000" w:themeColor="text1"/>
                  </w:rPr>
                </w:pPr>
                <w:r>
                  <w:rPr>
                    <w:rFonts w:hint="eastAsia"/>
                    <w:color w:val="000000" w:themeColor="text1"/>
                  </w:rPr>
                  <w:t xml:space="preserve">　</w:t>
                </w:r>
              </w:p>
            </w:tc>
          </w:tr>
          <w:tr w:rsidR="00156DD6">
            <w:trPr>
              <w:trHeight w:val="284"/>
            </w:trPr>
            <w:sdt>
              <w:sdtPr>
                <w:tag w:val="_PLD_a609076f16da4fedb37d9fc1d72dfd8f"/>
                <w:id w:val="230972332"/>
              </w:sdtPr>
              <w:sdtEndPr/>
              <w:sdtContent>
                <w:tc>
                  <w:tcPr>
                    <w:tcW w:w="5000" w:type="pct"/>
                    <w:gridSpan w:val="4"/>
                    <w:vAlign w:val="center"/>
                  </w:tcPr>
                  <w:p w:rsidR="00156DD6" w:rsidRDefault="00D51F5F">
                    <w:pPr>
                      <w:spacing w:line="240" w:lineRule="atLeast"/>
                      <w:rPr>
                        <w:color w:val="000000" w:themeColor="text1"/>
                      </w:rPr>
                    </w:pPr>
                    <w:r>
                      <w:rPr>
                        <w:color w:val="000000" w:themeColor="text1"/>
                      </w:rPr>
                      <w:t>四、账面价值</w:t>
                    </w:r>
                  </w:p>
                </w:tc>
              </w:sdtContent>
            </w:sdt>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color w:val="000000" w:themeColor="text1"/>
                  </w:rPr>
                  <w:t>1.</w:t>
                </w:r>
                <w:r>
                  <w:rPr>
                    <w:color w:val="000000" w:themeColor="text1"/>
                  </w:rPr>
                  <w:t>期末账面价值</w:t>
                </w:r>
              </w:p>
            </w:tc>
            <w:tc>
              <w:tcPr>
                <w:tcW w:w="1217" w:type="pct"/>
              </w:tcPr>
              <w:p w:rsidR="00156DD6" w:rsidRDefault="00D51F5F">
                <w:pPr>
                  <w:spacing w:line="240" w:lineRule="atLeast"/>
                  <w:jc w:val="right"/>
                  <w:rPr>
                    <w:color w:val="000000" w:themeColor="text1"/>
                  </w:rPr>
                </w:pPr>
                <w:r>
                  <w:rPr>
                    <w:rFonts w:hint="eastAsia"/>
                  </w:rPr>
                  <w:t xml:space="preserve"> 8,177,400.36 </w:t>
                </w:r>
              </w:p>
            </w:tc>
            <w:tc>
              <w:tcPr>
                <w:tcW w:w="1297" w:type="pct"/>
              </w:tcPr>
              <w:p w:rsidR="00156DD6" w:rsidRDefault="00D51F5F">
                <w:pPr>
                  <w:spacing w:line="240" w:lineRule="atLeast"/>
                  <w:jc w:val="right"/>
                  <w:rPr>
                    <w:color w:val="000000" w:themeColor="text1"/>
                  </w:rPr>
                </w:pPr>
                <w:r>
                  <w:rPr>
                    <w:rFonts w:hint="eastAsia"/>
                  </w:rPr>
                  <w:t xml:space="preserve"> 392,645.78 </w:t>
                </w:r>
              </w:p>
            </w:tc>
            <w:tc>
              <w:tcPr>
                <w:tcW w:w="896" w:type="pct"/>
              </w:tcPr>
              <w:p w:rsidR="00156DD6" w:rsidRDefault="00D51F5F">
                <w:pPr>
                  <w:spacing w:line="240" w:lineRule="atLeast"/>
                  <w:jc w:val="right"/>
                  <w:rPr>
                    <w:color w:val="000000" w:themeColor="text1"/>
                  </w:rPr>
                </w:pPr>
                <w:r>
                  <w:rPr>
                    <w:rFonts w:hint="eastAsia"/>
                  </w:rPr>
                  <w:t xml:space="preserve"> 8,570,046.14 </w:t>
                </w:r>
              </w:p>
            </w:tc>
          </w:tr>
          <w:tr w:rsidR="00156DD6">
            <w:trPr>
              <w:trHeight w:val="284"/>
            </w:trPr>
            <w:tc>
              <w:tcPr>
                <w:tcW w:w="1590" w:type="pct"/>
                <w:vAlign w:val="center"/>
              </w:tcPr>
              <w:p w:rsidR="00156DD6" w:rsidRDefault="00D51F5F">
                <w:pPr>
                  <w:spacing w:line="240" w:lineRule="atLeast"/>
                  <w:ind w:firstLineChars="200" w:firstLine="420"/>
                  <w:rPr>
                    <w:color w:val="000000" w:themeColor="text1"/>
                  </w:rPr>
                </w:pPr>
                <w:r>
                  <w:rPr>
                    <w:color w:val="000000" w:themeColor="text1"/>
                  </w:rPr>
                  <w:t>2.</w:t>
                </w:r>
                <w:r>
                  <w:rPr>
                    <w:color w:val="000000" w:themeColor="text1"/>
                  </w:rPr>
                  <w:t>期初账面价值</w:t>
                </w:r>
              </w:p>
            </w:tc>
            <w:tc>
              <w:tcPr>
                <w:tcW w:w="1217" w:type="pct"/>
              </w:tcPr>
              <w:p w:rsidR="00156DD6" w:rsidRDefault="00D51F5F">
                <w:pPr>
                  <w:spacing w:line="240" w:lineRule="atLeast"/>
                  <w:jc w:val="right"/>
                </w:pPr>
                <w:r>
                  <w:rPr>
                    <w:rFonts w:hint="eastAsia"/>
                  </w:rPr>
                  <w:t xml:space="preserve"> 5,045,742.77 </w:t>
                </w:r>
              </w:p>
            </w:tc>
            <w:tc>
              <w:tcPr>
                <w:tcW w:w="1297" w:type="pct"/>
              </w:tcPr>
              <w:p w:rsidR="00156DD6" w:rsidRDefault="00D51F5F">
                <w:pPr>
                  <w:spacing w:line="240" w:lineRule="atLeast"/>
                  <w:jc w:val="right"/>
                </w:pPr>
                <w:r>
                  <w:rPr>
                    <w:rFonts w:hint="eastAsia"/>
                  </w:rPr>
                  <w:t xml:space="preserve"> 523,527.71 </w:t>
                </w:r>
              </w:p>
            </w:tc>
            <w:tc>
              <w:tcPr>
                <w:tcW w:w="896" w:type="pct"/>
              </w:tcPr>
              <w:p w:rsidR="00156DD6" w:rsidRDefault="00D51F5F">
                <w:pPr>
                  <w:spacing w:line="240" w:lineRule="atLeast"/>
                  <w:jc w:val="right"/>
                </w:pPr>
                <w:r>
                  <w:rPr>
                    <w:rFonts w:hint="eastAsia"/>
                  </w:rPr>
                  <w:t xml:space="preserve"> 5,569,270.48 </w:t>
                </w:r>
              </w:p>
            </w:tc>
          </w:tr>
        </w:tbl>
        <w:p w:rsidR="00156DD6" w:rsidRDefault="00D51F5F">
          <w:pPr>
            <w:pStyle w:val="Style43"/>
          </w:pPr>
        </w:p>
      </w:sdtContent>
    </w:sdt>
    <w:p w:rsidR="00156DD6" w:rsidRDefault="00D51F5F">
      <w:pPr>
        <w:pStyle w:val="Style47"/>
        <w:numPr>
          <w:ilvl w:val="0"/>
          <w:numId w:val="64"/>
        </w:numPr>
        <w:rPr>
          <w:color w:val="000000" w:themeColor="text1"/>
          <w:sz w:val="21"/>
          <w:szCs w:val="21"/>
        </w:rPr>
      </w:pPr>
      <w:bookmarkStart w:id="359" w:name="_Hlk153461708"/>
      <w:bookmarkStart w:id="360" w:name="_Hlk167959535"/>
      <w:bookmarkEnd w:id="358"/>
      <w:r>
        <w:rPr>
          <w:rFonts w:hint="eastAsia"/>
          <w:color w:val="000000" w:themeColor="text1"/>
          <w:sz w:val="21"/>
          <w:szCs w:val="21"/>
        </w:rPr>
        <w:t>使用权资产的减值测试情况</w:t>
      </w:r>
    </w:p>
    <w:sdt>
      <w:sdtPr>
        <w:rPr>
          <w:color w:val="000000" w:themeColor="text1"/>
        </w:rPr>
        <w:alias w:val="是否适用：减值测试情况[双击切换]"/>
        <w:tag w:val="_GBC_d79f93753a2c43fc80991be4c588d144"/>
        <w:id w:val="-89250346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59"/>
    <w:bookmarkEnd w:id="360"/>
    <w:p w:rsidR="00156DD6" w:rsidRDefault="00D51F5F">
      <w:pPr>
        <w:autoSpaceDE w:val="0"/>
        <w:autoSpaceDN w:val="0"/>
        <w:adjustRightInd w:val="0"/>
        <w:rPr>
          <w:color w:val="000000" w:themeColor="text1"/>
        </w:rPr>
      </w:pPr>
      <w:r>
        <w:rPr>
          <w:rFonts w:hint="eastAsia"/>
          <w:color w:val="000000" w:themeColor="text1"/>
        </w:rPr>
        <w:t>其他说明：</w:t>
      </w:r>
    </w:p>
    <w:p w:rsidR="00156DD6" w:rsidRDefault="00D51F5F">
      <w:pPr>
        <w:rPr>
          <w:color w:val="000000" w:themeColor="text1"/>
        </w:rPr>
      </w:pPr>
      <w:sdt>
        <w:sdtPr>
          <w:rPr>
            <w:color w:val="000000" w:themeColor="text1"/>
          </w:rPr>
          <w:alias w:val="使用权资产其他说明"/>
          <w:tag w:val="_GBC_30439a7674b44ef39168f8672c6df2c9"/>
          <w:id w:val="-1248270999"/>
          <w:placeholder>
            <w:docPart w:val="GBC22222222222222222222222222222"/>
          </w:placeholder>
        </w:sdtPr>
        <w:sdtEndPr/>
        <w:sdtContent>
          <w:r>
            <w:rPr>
              <w:rFonts w:hint="eastAsia"/>
              <w:color w:val="000000" w:themeColor="text1"/>
            </w:rPr>
            <w:t>无</w:t>
          </w:r>
        </w:sdtContent>
      </w:sdt>
    </w:p>
    <w:p w:rsidR="00156DD6" w:rsidRDefault="00D51F5F">
      <w:pPr>
        <w:pStyle w:val="5"/>
        <w:ind w:left="105"/>
        <w:rPr>
          <w:color w:val="000000" w:themeColor="text1"/>
          <w:szCs w:val="21"/>
        </w:rPr>
      </w:pPr>
      <w:r>
        <w:rPr>
          <w:rFonts w:hint="eastAsia"/>
          <w:color w:val="000000" w:themeColor="text1"/>
          <w:szCs w:val="21"/>
        </w:rPr>
        <w:t>可收回金额按公允价值减去处置费用后的净额确定</w:t>
      </w:r>
    </w:p>
    <w:sdt>
      <w:sdtPr>
        <w:rPr>
          <w:color w:val="000000" w:themeColor="text1"/>
        </w:rPr>
        <w:alias w:val="是否适用：可收回金额按公允价值减去处置费用后的净额确定[双击切换]"/>
        <w:tag w:val="_GBC_87173e9d0eaa4dc6b7427ce8a5fc94a1"/>
        <w:id w:val="171630386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可收回金额按预计未来现金流量的现值确定</w:t>
      </w:r>
    </w:p>
    <w:sdt>
      <w:sdtPr>
        <w:rPr>
          <w:rFonts w:hint="eastAsia"/>
          <w:color w:val="000000" w:themeColor="text1"/>
        </w:rPr>
        <w:alias w:val="是否适用：可收回金额按预计未来现金流量的现值确定[双击切换]"/>
        <w:tag w:val="_GBC_5eb826f59c8b43e3bf83f9eadabef2dd"/>
        <w:id w:val="-199572089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cc7b04d5e5f04dc8aaa6bffb35ad2f5f"/>
        <w:id w:val="-188155011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15fcd21decf14abeb0df6558134f2158"/>
        <w:id w:val="207545854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rPr>
          <w:color w:val="000000" w:themeColor="text1"/>
        </w:rPr>
      </w:pPr>
      <w:bookmarkStart w:id="361" w:name="_Hlk167959640"/>
      <w:r>
        <w:rPr>
          <w:rFonts w:hint="eastAsia"/>
          <w:color w:val="000000" w:themeColor="text1"/>
        </w:rPr>
        <w:t>其他说明：</w:t>
      </w:r>
    </w:p>
    <w:p w:rsidR="00156DD6" w:rsidRDefault="00D51F5F">
      <w:pPr>
        <w:rPr>
          <w:color w:val="000000" w:themeColor="text1"/>
        </w:rPr>
      </w:pPr>
      <w:sdt>
        <w:sdtPr>
          <w:rPr>
            <w:color w:val="000000" w:themeColor="text1"/>
          </w:rPr>
          <w:alias w:val="使用权资产其他说明"/>
          <w:tag w:val="_GBC_30439a7674b44ef39168f8672c6df2c9"/>
          <w:id w:val="-151536236"/>
          <w:placeholder>
            <w:docPart w:val="GBC22222222222222222222222222222"/>
          </w:placeholder>
        </w:sdtPr>
        <w:sdtEndPr/>
        <w:sdtContent>
          <w:r>
            <w:rPr>
              <w:rFonts w:hint="eastAsia"/>
              <w:color w:val="000000" w:themeColor="text1"/>
            </w:rPr>
            <w:t>无</w:t>
          </w:r>
        </w:sdtContent>
      </w:sdt>
    </w:p>
    <w:bookmarkEnd w:id="361"/>
    <w:p w:rsidR="00156DD6" w:rsidRDefault="00D51F5F">
      <w:pPr>
        <w:pStyle w:val="TOC6"/>
        <w:numPr>
          <w:ilvl w:val="0"/>
          <w:numId w:val="53"/>
        </w:numPr>
        <w:rPr>
          <w:color w:val="000000" w:themeColor="text1"/>
          <w:sz w:val="21"/>
          <w:szCs w:val="22"/>
        </w:rPr>
      </w:pPr>
      <w:r>
        <w:rPr>
          <w:color w:val="000000" w:themeColor="text1"/>
          <w:sz w:val="21"/>
          <w:szCs w:val="22"/>
        </w:rPr>
        <w:t>无形资产</w:t>
      </w:r>
    </w:p>
    <w:p w:rsidR="00156DD6" w:rsidRDefault="00D51F5F">
      <w:pPr>
        <w:pStyle w:val="Style47"/>
        <w:numPr>
          <w:ilvl w:val="0"/>
          <w:numId w:val="65"/>
        </w:numPr>
        <w:tabs>
          <w:tab w:val="left" w:pos="602"/>
        </w:tabs>
        <w:rPr>
          <w:rFonts w:ascii="宋体" w:hAnsi="宋体"/>
          <w:color w:val="000000" w:themeColor="text1"/>
          <w:sz w:val="21"/>
          <w:szCs w:val="21"/>
        </w:rPr>
      </w:pPr>
      <w:r>
        <w:rPr>
          <w:rFonts w:ascii="宋体" w:hAnsi="宋体" w:hint="eastAsia"/>
          <w:color w:val="000000" w:themeColor="text1"/>
          <w:sz w:val="21"/>
          <w:szCs w:val="21"/>
        </w:rPr>
        <w:t>无形资产情况</w:t>
      </w:r>
    </w:p>
    <w:p w:rsidR="00156DD6" w:rsidRDefault="00D51F5F">
      <w:pPr>
        <w:rPr>
          <w:color w:val="000000" w:themeColor="text1"/>
        </w:rPr>
      </w:pPr>
      <w:sdt>
        <w:sdtPr>
          <w:rPr>
            <w:rFonts w:hint="eastAsia"/>
            <w:color w:val="000000" w:themeColor="text1"/>
          </w:rPr>
          <w:alias w:val="是否适用：无形资产情况[双击切换]"/>
          <w:tag w:val="_GBC_0882d05501f84259b91efc5f2eae98cf"/>
          <w:id w:val="-1039269192"/>
          <w:lock w:val="contentLocked"/>
          <w:placeholder>
            <w:docPart w:val="GBC22222222222222222222222222222"/>
          </w:placeholder>
        </w:sdtPr>
        <w:sdtEndPr/>
        <w:sdtContent>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p w:rsidR="00156DD6" w:rsidRDefault="00D51F5F">
      <w:pPr>
        <w:snapToGrid w:val="0"/>
        <w:spacing w:line="240" w:lineRule="atLeast"/>
        <w:jc w:val="right"/>
        <w:rPr>
          <w:color w:val="000000" w:themeColor="text1"/>
        </w:rPr>
      </w:pPr>
      <w:r>
        <w:rPr>
          <w:rFonts w:hint="eastAsia"/>
          <w:color w:val="000000" w:themeColor="text1"/>
        </w:rPr>
        <w:t>单位：</w:t>
      </w:r>
      <w:sdt>
        <w:sdtPr>
          <w:rPr>
            <w:rFonts w:hint="eastAsia"/>
            <w:color w:val="000000" w:themeColor="text1"/>
          </w:rPr>
          <w:alias w:val="单位：财务附注：无形资产情况"/>
          <w:tag w:val="_GBC_e04514c8858e489490302ba7c2e1448a"/>
          <w:id w:val="-15459000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无形资产情况"/>
          <w:tag w:val="_GBC_5ac7324577934f838e3655199c980c1c"/>
          <w:id w:val="-18853995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685"/>
        <w:gridCol w:w="1581"/>
        <w:gridCol w:w="1475"/>
        <w:gridCol w:w="1265"/>
        <w:gridCol w:w="1689"/>
      </w:tblGrid>
      <w:tr w:rsidR="00156DD6">
        <w:trPr>
          <w:trHeight w:val="284"/>
        </w:trPr>
        <w:sdt>
          <w:sdtPr>
            <w:rPr>
              <w:sz w:val="18"/>
              <w:szCs w:val="18"/>
            </w:rPr>
            <w:tag w:val="_PLD_16e062da10ef4301a1526b8633f88a31"/>
            <w:id w:val="462161774"/>
          </w:sdtPr>
          <w:sdtEndPr/>
          <w:sdtContent>
            <w:tc>
              <w:tcPr>
                <w:tcW w:w="639" w:type="pct"/>
                <w:vAlign w:val="center"/>
              </w:tcPr>
              <w:p w:rsidR="00156DD6" w:rsidRDefault="00D51F5F">
                <w:pPr>
                  <w:jc w:val="center"/>
                  <w:rPr>
                    <w:color w:val="000000" w:themeColor="text1"/>
                    <w:sz w:val="18"/>
                    <w:szCs w:val="18"/>
                  </w:rPr>
                </w:pPr>
                <w:r>
                  <w:rPr>
                    <w:rFonts w:hint="eastAsia"/>
                    <w:color w:val="000000" w:themeColor="text1"/>
                    <w:sz w:val="18"/>
                    <w:szCs w:val="18"/>
                  </w:rPr>
                  <w:t>项目</w:t>
                </w:r>
              </w:p>
            </w:tc>
          </w:sdtContent>
        </w:sdt>
        <w:sdt>
          <w:sdtPr>
            <w:rPr>
              <w:sz w:val="18"/>
              <w:szCs w:val="18"/>
            </w:rPr>
            <w:tag w:val="_PLD_8b465b50cb10415c8931fdb66ee29ca3"/>
            <w:id w:val="1360396593"/>
          </w:sdtPr>
          <w:sdtEndPr/>
          <w:sdtContent>
            <w:tc>
              <w:tcPr>
                <w:tcW w:w="955" w:type="pct"/>
                <w:vAlign w:val="center"/>
              </w:tcPr>
              <w:p w:rsidR="00156DD6" w:rsidRDefault="00D51F5F">
                <w:pPr>
                  <w:jc w:val="center"/>
                  <w:rPr>
                    <w:color w:val="000000" w:themeColor="text1"/>
                    <w:sz w:val="18"/>
                    <w:szCs w:val="18"/>
                  </w:rPr>
                </w:pPr>
                <w:r>
                  <w:rPr>
                    <w:rFonts w:hint="eastAsia"/>
                    <w:color w:val="000000" w:themeColor="text1"/>
                    <w:sz w:val="18"/>
                    <w:szCs w:val="18"/>
                  </w:rPr>
                  <w:t>土地使用权</w:t>
                </w:r>
              </w:p>
            </w:tc>
          </w:sdtContent>
        </w:sdt>
        <w:sdt>
          <w:sdtPr>
            <w:rPr>
              <w:sz w:val="18"/>
              <w:szCs w:val="18"/>
            </w:rPr>
            <w:tag w:val="_PLD_55a0c34977f7438f8a4e60b2ec43e654"/>
            <w:id w:val="-58321423"/>
          </w:sdtPr>
          <w:sdtEndPr/>
          <w:sdtContent>
            <w:tc>
              <w:tcPr>
                <w:tcW w:w="896" w:type="pct"/>
                <w:vAlign w:val="center"/>
              </w:tcPr>
              <w:p w:rsidR="00156DD6" w:rsidRDefault="00D51F5F">
                <w:pPr>
                  <w:jc w:val="center"/>
                  <w:rPr>
                    <w:color w:val="000000" w:themeColor="text1"/>
                    <w:sz w:val="18"/>
                    <w:szCs w:val="18"/>
                  </w:rPr>
                </w:pPr>
                <w:r>
                  <w:rPr>
                    <w:rFonts w:hint="eastAsia"/>
                    <w:sz w:val="18"/>
                    <w:szCs w:val="18"/>
                  </w:rPr>
                  <w:t>软件</w:t>
                </w:r>
              </w:p>
            </w:tc>
          </w:sdtContent>
        </w:sdt>
        <w:sdt>
          <w:sdtPr>
            <w:rPr>
              <w:sz w:val="18"/>
              <w:szCs w:val="18"/>
            </w:rPr>
            <w:tag w:val="_PLD_624f8e9465f646f5a305cf5fc59a830c"/>
            <w:id w:val="79486718"/>
          </w:sdtPr>
          <w:sdtEndPr/>
          <w:sdtContent>
            <w:tc>
              <w:tcPr>
                <w:tcW w:w="836" w:type="pct"/>
                <w:vAlign w:val="center"/>
              </w:tcPr>
              <w:p w:rsidR="00156DD6" w:rsidRDefault="00D51F5F">
                <w:pPr>
                  <w:jc w:val="center"/>
                  <w:rPr>
                    <w:color w:val="000000" w:themeColor="text1"/>
                    <w:sz w:val="18"/>
                    <w:szCs w:val="18"/>
                  </w:rPr>
                </w:pPr>
                <w:r>
                  <w:rPr>
                    <w:rFonts w:hint="eastAsia"/>
                    <w:color w:val="000000" w:themeColor="text1"/>
                    <w:sz w:val="18"/>
                    <w:szCs w:val="18"/>
                  </w:rPr>
                  <w:t>专利权</w:t>
                </w:r>
              </w:p>
            </w:tc>
          </w:sdtContent>
        </w:sdt>
        <w:sdt>
          <w:sdtPr>
            <w:rPr>
              <w:color w:val="000000" w:themeColor="text1"/>
              <w:sz w:val="18"/>
              <w:szCs w:val="18"/>
            </w:rPr>
            <w:alias w:val="无形资产明细－项目"/>
            <w:tag w:val="_GBC_ee2531f58c0a420e83919cd1efe46139"/>
            <w:id w:val="260495567"/>
          </w:sdtPr>
          <w:sdtEndPr>
            <w:rPr>
              <w:rFonts w:hint="eastAsia"/>
            </w:rPr>
          </w:sdtEndPr>
          <w:sdtContent>
            <w:tc>
              <w:tcPr>
                <w:tcW w:w="717" w:type="pct"/>
                <w:vAlign w:val="center"/>
              </w:tcPr>
              <w:p w:rsidR="00156DD6" w:rsidRDefault="00D51F5F">
                <w:pPr>
                  <w:jc w:val="center"/>
                  <w:rPr>
                    <w:color w:val="000000" w:themeColor="text1"/>
                    <w:sz w:val="18"/>
                    <w:szCs w:val="18"/>
                  </w:rPr>
                </w:pPr>
                <w:r>
                  <w:rPr>
                    <w:rFonts w:hint="eastAsia"/>
                    <w:color w:val="000000" w:themeColor="text1"/>
                    <w:sz w:val="18"/>
                    <w:szCs w:val="18"/>
                  </w:rPr>
                  <w:t>非专利技术</w:t>
                </w:r>
              </w:p>
            </w:tc>
          </w:sdtContent>
        </w:sdt>
        <w:sdt>
          <w:sdtPr>
            <w:rPr>
              <w:sz w:val="18"/>
              <w:szCs w:val="18"/>
            </w:rPr>
            <w:tag w:val="_PLD_57620ddc57e34012a99d49f2280a99e2"/>
            <w:id w:val="-525103024"/>
          </w:sdtPr>
          <w:sdtEndPr/>
          <w:sdtContent>
            <w:tc>
              <w:tcPr>
                <w:tcW w:w="958" w:type="pct"/>
                <w:vAlign w:val="center"/>
              </w:tcPr>
              <w:p w:rsidR="00156DD6" w:rsidRDefault="00D51F5F">
                <w:pPr>
                  <w:jc w:val="center"/>
                  <w:rPr>
                    <w:color w:val="000000" w:themeColor="text1"/>
                    <w:sz w:val="18"/>
                    <w:szCs w:val="18"/>
                  </w:rPr>
                </w:pPr>
                <w:r>
                  <w:rPr>
                    <w:color w:val="000000" w:themeColor="text1"/>
                    <w:sz w:val="18"/>
                    <w:szCs w:val="18"/>
                  </w:rPr>
                  <w:t>合计</w:t>
                </w:r>
              </w:p>
            </w:tc>
          </w:sdtContent>
        </w:sdt>
      </w:tr>
      <w:tr w:rsidR="00156DD6">
        <w:trPr>
          <w:trHeight w:val="284"/>
        </w:trPr>
        <w:sdt>
          <w:sdtPr>
            <w:rPr>
              <w:sz w:val="18"/>
              <w:szCs w:val="18"/>
            </w:rPr>
            <w:tag w:val="_PLD_97ce5956782c457c89e9607c943b01d4"/>
            <w:id w:val="-1324435677"/>
          </w:sdtPr>
          <w:sdtEndPr/>
          <w:sdtContent>
            <w:tc>
              <w:tcPr>
                <w:tcW w:w="5000" w:type="pct"/>
                <w:gridSpan w:val="6"/>
                <w:vAlign w:val="center"/>
              </w:tcPr>
              <w:p w:rsidR="00156DD6" w:rsidRDefault="00D51F5F">
                <w:pPr>
                  <w:rPr>
                    <w:color w:val="000000" w:themeColor="text1"/>
                    <w:sz w:val="18"/>
                    <w:szCs w:val="18"/>
                  </w:rPr>
                </w:pPr>
                <w:r>
                  <w:rPr>
                    <w:color w:val="000000" w:themeColor="text1"/>
                    <w:sz w:val="18"/>
                    <w:szCs w:val="18"/>
                  </w:rPr>
                  <w:t>一、</w:t>
                </w:r>
                <w:r>
                  <w:rPr>
                    <w:rFonts w:hint="eastAsia"/>
                    <w:color w:val="000000" w:themeColor="text1"/>
                    <w:sz w:val="18"/>
                    <w:szCs w:val="18"/>
                  </w:rPr>
                  <w:t>账面原值</w:t>
                </w:r>
              </w:p>
            </w:tc>
          </w:sdtContent>
        </w:sdt>
      </w:tr>
      <w:tr w:rsidR="00156DD6">
        <w:trPr>
          <w:trHeight w:val="284"/>
        </w:trPr>
        <w:tc>
          <w:tcPr>
            <w:tcW w:w="639" w:type="pct"/>
            <w:vAlign w:val="center"/>
          </w:tcPr>
          <w:p w:rsidR="00156DD6" w:rsidRDefault="00D51F5F">
            <w:pPr>
              <w:ind w:firstLineChars="200" w:firstLine="360"/>
              <w:rPr>
                <w:color w:val="000000" w:themeColor="text1"/>
                <w:sz w:val="18"/>
                <w:szCs w:val="18"/>
              </w:rPr>
            </w:pPr>
            <w:r>
              <w:rPr>
                <w:color w:val="000000" w:themeColor="text1"/>
                <w:sz w:val="18"/>
                <w:szCs w:val="18"/>
              </w:rPr>
              <w:t>1.</w:t>
            </w:r>
            <w:r>
              <w:rPr>
                <w:rFonts w:hint="eastAsia"/>
                <w:color w:val="000000" w:themeColor="text1"/>
                <w:sz w:val="18"/>
                <w:szCs w:val="18"/>
              </w:rPr>
              <w:t>期</w:t>
            </w:r>
            <w:r>
              <w:rPr>
                <w:color w:val="000000" w:themeColor="text1"/>
                <w:sz w:val="18"/>
                <w:szCs w:val="18"/>
              </w:rPr>
              <w:t>初余额</w:t>
            </w:r>
          </w:p>
        </w:tc>
        <w:tc>
          <w:tcPr>
            <w:tcW w:w="955" w:type="pct"/>
            <w:vAlign w:val="center"/>
          </w:tcPr>
          <w:p w:rsidR="00156DD6" w:rsidRDefault="00D51F5F">
            <w:pPr>
              <w:jc w:val="right"/>
              <w:rPr>
                <w:sz w:val="18"/>
                <w:szCs w:val="18"/>
              </w:rPr>
            </w:pPr>
            <w:r>
              <w:rPr>
                <w:sz w:val="18"/>
                <w:szCs w:val="18"/>
              </w:rPr>
              <w:t>243,443,142.82</w:t>
            </w:r>
          </w:p>
        </w:tc>
        <w:tc>
          <w:tcPr>
            <w:tcW w:w="896" w:type="pct"/>
            <w:vAlign w:val="center"/>
          </w:tcPr>
          <w:p w:rsidR="00156DD6" w:rsidRDefault="00D51F5F">
            <w:pPr>
              <w:jc w:val="right"/>
              <w:rPr>
                <w:sz w:val="18"/>
                <w:szCs w:val="18"/>
              </w:rPr>
            </w:pPr>
            <w:r>
              <w:rPr>
                <w:sz w:val="18"/>
                <w:szCs w:val="18"/>
              </w:rPr>
              <w:t>15,495,314.49</w:t>
            </w:r>
          </w:p>
        </w:tc>
        <w:tc>
          <w:tcPr>
            <w:tcW w:w="836" w:type="pct"/>
            <w:vAlign w:val="center"/>
          </w:tcPr>
          <w:p w:rsidR="00156DD6" w:rsidRDefault="00D51F5F">
            <w:pPr>
              <w:jc w:val="right"/>
              <w:rPr>
                <w:sz w:val="18"/>
                <w:szCs w:val="18"/>
              </w:rPr>
            </w:pPr>
            <w:r>
              <w:rPr>
                <w:sz w:val="18"/>
                <w:szCs w:val="18"/>
              </w:rPr>
              <w:t>8,654,123.76</w:t>
            </w:r>
          </w:p>
        </w:tc>
        <w:tc>
          <w:tcPr>
            <w:tcW w:w="717" w:type="pct"/>
            <w:vAlign w:val="center"/>
          </w:tcPr>
          <w:p w:rsidR="00156DD6" w:rsidRDefault="00D51F5F">
            <w:pPr>
              <w:jc w:val="right"/>
              <w:rPr>
                <w:sz w:val="18"/>
                <w:szCs w:val="18"/>
              </w:rPr>
            </w:pPr>
            <w:r>
              <w:rPr>
                <w:sz w:val="18"/>
                <w:szCs w:val="18"/>
              </w:rPr>
              <w:t>100,000.00</w:t>
            </w:r>
          </w:p>
        </w:tc>
        <w:tc>
          <w:tcPr>
            <w:tcW w:w="958" w:type="pct"/>
            <w:vAlign w:val="center"/>
          </w:tcPr>
          <w:p w:rsidR="00156DD6" w:rsidRDefault="00D51F5F">
            <w:pPr>
              <w:jc w:val="right"/>
              <w:rPr>
                <w:sz w:val="18"/>
                <w:szCs w:val="18"/>
              </w:rPr>
            </w:pPr>
            <w:r>
              <w:rPr>
                <w:sz w:val="18"/>
                <w:szCs w:val="18"/>
              </w:rPr>
              <w:t>267,692,581.07</w:t>
            </w: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color w:val="000000" w:themeColor="text1"/>
                <w:sz w:val="18"/>
                <w:szCs w:val="18"/>
              </w:rPr>
              <w:t>2.</w:t>
            </w:r>
            <w:r>
              <w:rPr>
                <w:color w:val="000000" w:themeColor="text1"/>
                <w:sz w:val="18"/>
                <w:szCs w:val="18"/>
              </w:rPr>
              <w:t>本期增加</w:t>
            </w:r>
            <w:r>
              <w:rPr>
                <w:rFonts w:hint="eastAsia"/>
                <w:color w:val="000000" w:themeColor="text1"/>
                <w:sz w:val="18"/>
                <w:szCs w:val="18"/>
              </w:rPr>
              <w:t>金额</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300" w:firstLine="540"/>
              <w:rPr>
                <w:color w:val="000000" w:themeColor="text1"/>
                <w:sz w:val="18"/>
                <w:szCs w:val="18"/>
              </w:rPr>
            </w:pPr>
            <w:r>
              <w:rPr>
                <w:color w:val="000000" w:themeColor="text1"/>
                <w:sz w:val="18"/>
                <w:szCs w:val="18"/>
              </w:rPr>
              <w:t>(1)</w:t>
            </w:r>
            <w:r>
              <w:rPr>
                <w:rFonts w:hint="eastAsia"/>
                <w:color w:val="000000" w:themeColor="text1"/>
                <w:sz w:val="18"/>
                <w:szCs w:val="18"/>
              </w:rPr>
              <w:t>购置</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300" w:firstLine="540"/>
              <w:rPr>
                <w:color w:val="000000" w:themeColor="text1"/>
                <w:sz w:val="18"/>
                <w:szCs w:val="18"/>
              </w:rPr>
            </w:pPr>
            <w:r>
              <w:rPr>
                <w:rFonts w:hint="eastAsia"/>
                <w:color w:val="000000" w:themeColor="text1"/>
                <w:sz w:val="18"/>
                <w:szCs w:val="18"/>
              </w:rPr>
              <w:lastRenderedPageBreak/>
              <w:t>(</w:t>
            </w:r>
            <w:r>
              <w:rPr>
                <w:color w:val="000000" w:themeColor="text1"/>
                <w:sz w:val="18"/>
                <w:szCs w:val="18"/>
              </w:rPr>
              <w:t>2)</w:t>
            </w:r>
            <w:r>
              <w:rPr>
                <w:rFonts w:hint="eastAsia"/>
                <w:sz w:val="18"/>
                <w:szCs w:val="18"/>
              </w:rPr>
              <w:t xml:space="preserve"> </w:t>
            </w:r>
            <w:r>
              <w:rPr>
                <w:rFonts w:hint="eastAsia"/>
                <w:color w:val="000000" w:themeColor="text1"/>
                <w:sz w:val="18"/>
                <w:szCs w:val="18"/>
              </w:rPr>
              <w:t>在建工程转入</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p w:rsidR="00156DD6" w:rsidRDefault="00156DD6">
            <w:pPr>
              <w:jc w:val="center"/>
              <w:rPr>
                <w:sz w:val="18"/>
                <w:szCs w:val="18"/>
              </w:rPr>
            </w:pP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color w:val="000000" w:themeColor="text1"/>
                <w:sz w:val="18"/>
                <w:szCs w:val="18"/>
              </w:rPr>
              <w:t>3.</w:t>
            </w:r>
            <w:r>
              <w:rPr>
                <w:color w:val="000000" w:themeColor="text1"/>
                <w:sz w:val="18"/>
                <w:szCs w:val="18"/>
              </w:rPr>
              <w:t>本期减少</w:t>
            </w:r>
            <w:r>
              <w:rPr>
                <w:rFonts w:hint="eastAsia"/>
                <w:color w:val="000000" w:themeColor="text1"/>
                <w:sz w:val="18"/>
                <w:szCs w:val="18"/>
              </w:rPr>
              <w:t>金额</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300" w:firstLine="540"/>
              <w:rPr>
                <w:color w:val="000000" w:themeColor="text1"/>
                <w:sz w:val="18"/>
                <w:szCs w:val="18"/>
              </w:rPr>
            </w:pPr>
            <w:r>
              <w:rPr>
                <w:color w:val="000000" w:themeColor="text1"/>
                <w:sz w:val="18"/>
                <w:szCs w:val="18"/>
              </w:rPr>
              <w:t>(</w:t>
            </w:r>
            <w:r>
              <w:rPr>
                <w:rFonts w:hint="eastAsia"/>
                <w:color w:val="000000" w:themeColor="text1"/>
                <w:sz w:val="18"/>
                <w:szCs w:val="18"/>
              </w:rPr>
              <w:t>1</w:t>
            </w:r>
            <w:r>
              <w:rPr>
                <w:color w:val="000000" w:themeColor="text1"/>
                <w:sz w:val="18"/>
                <w:szCs w:val="18"/>
              </w:rPr>
              <w:t>)</w:t>
            </w:r>
            <w:r>
              <w:rPr>
                <w:rFonts w:hint="eastAsia"/>
                <w:color w:val="000000" w:themeColor="text1"/>
                <w:sz w:val="18"/>
                <w:szCs w:val="18"/>
              </w:rPr>
              <w:t>处置</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color w:val="000000" w:themeColor="text1"/>
                <w:sz w:val="18"/>
                <w:szCs w:val="18"/>
              </w:rPr>
              <w:t>4.</w:t>
            </w:r>
            <w:r>
              <w:rPr>
                <w:color w:val="000000" w:themeColor="text1"/>
                <w:sz w:val="18"/>
                <w:szCs w:val="18"/>
              </w:rPr>
              <w:t>期末余额</w:t>
            </w:r>
          </w:p>
        </w:tc>
        <w:tc>
          <w:tcPr>
            <w:tcW w:w="955" w:type="pct"/>
            <w:vAlign w:val="center"/>
          </w:tcPr>
          <w:p w:rsidR="00156DD6" w:rsidRDefault="00D51F5F">
            <w:pPr>
              <w:jc w:val="right"/>
              <w:rPr>
                <w:sz w:val="18"/>
                <w:szCs w:val="18"/>
              </w:rPr>
            </w:pPr>
            <w:r>
              <w:rPr>
                <w:rFonts w:hint="eastAsia"/>
                <w:sz w:val="18"/>
                <w:szCs w:val="18"/>
              </w:rPr>
              <w:t>243,443,142.82</w:t>
            </w:r>
          </w:p>
        </w:tc>
        <w:tc>
          <w:tcPr>
            <w:tcW w:w="896" w:type="pct"/>
            <w:vAlign w:val="center"/>
          </w:tcPr>
          <w:p w:rsidR="00156DD6" w:rsidRDefault="00D51F5F">
            <w:pPr>
              <w:jc w:val="right"/>
              <w:rPr>
                <w:sz w:val="18"/>
                <w:szCs w:val="18"/>
              </w:rPr>
            </w:pPr>
            <w:r>
              <w:rPr>
                <w:rFonts w:hint="eastAsia"/>
                <w:sz w:val="18"/>
                <w:szCs w:val="18"/>
              </w:rPr>
              <w:t>15,495,314.49</w:t>
            </w:r>
          </w:p>
        </w:tc>
        <w:tc>
          <w:tcPr>
            <w:tcW w:w="836" w:type="pct"/>
            <w:vAlign w:val="center"/>
          </w:tcPr>
          <w:p w:rsidR="00156DD6" w:rsidRDefault="00D51F5F">
            <w:pPr>
              <w:jc w:val="right"/>
              <w:rPr>
                <w:sz w:val="18"/>
                <w:szCs w:val="18"/>
              </w:rPr>
            </w:pPr>
            <w:r>
              <w:rPr>
                <w:rFonts w:hint="eastAsia"/>
                <w:sz w:val="18"/>
                <w:szCs w:val="18"/>
              </w:rPr>
              <w:t>8,654,123.76</w:t>
            </w:r>
          </w:p>
        </w:tc>
        <w:tc>
          <w:tcPr>
            <w:tcW w:w="717" w:type="pct"/>
            <w:vAlign w:val="center"/>
          </w:tcPr>
          <w:p w:rsidR="00156DD6" w:rsidRDefault="00D51F5F">
            <w:pPr>
              <w:jc w:val="right"/>
              <w:rPr>
                <w:sz w:val="18"/>
                <w:szCs w:val="18"/>
              </w:rPr>
            </w:pPr>
            <w:r>
              <w:rPr>
                <w:rFonts w:hint="eastAsia"/>
                <w:sz w:val="18"/>
                <w:szCs w:val="18"/>
              </w:rPr>
              <w:t>100,000.00</w:t>
            </w:r>
          </w:p>
        </w:tc>
        <w:tc>
          <w:tcPr>
            <w:tcW w:w="958" w:type="pct"/>
            <w:vAlign w:val="center"/>
          </w:tcPr>
          <w:p w:rsidR="00156DD6" w:rsidRDefault="00D51F5F">
            <w:pPr>
              <w:jc w:val="right"/>
              <w:rPr>
                <w:sz w:val="18"/>
                <w:szCs w:val="18"/>
              </w:rPr>
            </w:pPr>
            <w:r>
              <w:rPr>
                <w:rFonts w:hint="eastAsia"/>
                <w:sz w:val="18"/>
                <w:szCs w:val="18"/>
              </w:rPr>
              <w:t>267,692,581.07</w:t>
            </w:r>
          </w:p>
        </w:tc>
      </w:tr>
      <w:tr w:rsidR="00156DD6">
        <w:trPr>
          <w:trHeight w:val="284"/>
        </w:trPr>
        <w:sdt>
          <w:sdtPr>
            <w:rPr>
              <w:sz w:val="18"/>
              <w:szCs w:val="18"/>
            </w:rPr>
            <w:tag w:val="_PLD_3d92ef615d3b41e5abb58e018e2db72b"/>
            <w:id w:val="385075085"/>
          </w:sdtPr>
          <w:sdtEndPr/>
          <w:sdtContent>
            <w:tc>
              <w:tcPr>
                <w:tcW w:w="5000" w:type="pct"/>
                <w:gridSpan w:val="6"/>
                <w:vAlign w:val="center"/>
              </w:tcPr>
              <w:p w:rsidR="00156DD6" w:rsidRDefault="00D51F5F">
                <w:pPr>
                  <w:rPr>
                    <w:color w:val="000000" w:themeColor="text1"/>
                    <w:sz w:val="18"/>
                    <w:szCs w:val="18"/>
                  </w:rPr>
                </w:pPr>
                <w:r>
                  <w:rPr>
                    <w:color w:val="000000" w:themeColor="text1"/>
                    <w:sz w:val="18"/>
                    <w:szCs w:val="18"/>
                  </w:rPr>
                  <w:t>二、累计</w:t>
                </w:r>
                <w:r>
                  <w:rPr>
                    <w:rFonts w:hint="eastAsia"/>
                    <w:color w:val="000000" w:themeColor="text1"/>
                    <w:sz w:val="18"/>
                    <w:szCs w:val="18"/>
                  </w:rPr>
                  <w:t>摊销</w:t>
                </w:r>
              </w:p>
            </w:tc>
          </w:sdtContent>
        </w:sdt>
      </w:tr>
      <w:tr w:rsidR="00156DD6">
        <w:trPr>
          <w:trHeight w:val="284"/>
        </w:trPr>
        <w:tc>
          <w:tcPr>
            <w:tcW w:w="639" w:type="pct"/>
            <w:vAlign w:val="center"/>
          </w:tcPr>
          <w:p w:rsidR="00156DD6" w:rsidRDefault="00D51F5F">
            <w:pPr>
              <w:ind w:firstLineChars="200" w:firstLine="360"/>
              <w:rPr>
                <w:color w:val="000000" w:themeColor="text1"/>
                <w:sz w:val="18"/>
                <w:szCs w:val="18"/>
              </w:rPr>
            </w:pPr>
            <w:r>
              <w:rPr>
                <w:rFonts w:hint="eastAsia"/>
                <w:color w:val="000000" w:themeColor="text1"/>
                <w:sz w:val="18"/>
                <w:szCs w:val="18"/>
              </w:rPr>
              <w:t>1.</w:t>
            </w:r>
            <w:r>
              <w:rPr>
                <w:rFonts w:hint="eastAsia"/>
                <w:color w:val="000000" w:themeColor="text1"/>
                <w:sz w:val="18"/>
                <w:szCs w:val="18"/>
              </w:rPr>
              <w:t>期</w:t>
            </w:r>
            <w:r>
              <w:rPr>
                <w:color w:val="000000" w:themeColor="text1"/>
                <w:sz w:val="18"/>
                <w:szCs w:val="18"/>
              </w:rPr>
              <w:t>初余额</w:t>
            </w:r>
          </w:p>
        </w:tc>
        <w:tc>
          <w:tcPr>
            <w:tcW w:w="955" w:type="pct"/>
            <w:vAlign w:val="center"/>
          </w:tcPr>
          <w:p w:rsidR="00156DD6" w:rsidRDefault="00D51F5F">
            <w:pPr>
              <w:jc w:val="right"/>
              <w:rPr>
                <w:sz w:val="18"/>
                <w:szCs w:val="18"/>
              </w:rPr>
            </w:pPr>
            <w:r>
              <w:rPr>
                <w:rFonts w:hint="eastAsia"/>
                <w:sz w:val="18"/>
                <w:szCs w:val="18"/>
              </w:rPr>
              <w:t xml:space="preserve"> 32,281,000.97 </w:t>
            </w:r>
          </w:p>
        </w:tc>
        <w:tc>
          <w:tcPr>
            <w:tcW w:w="896" w:type="pct"/>
            <w:vAlign w:val="center"/>
          </w:tcPr>
          <w:p w:rsidR="00156DD6" w:rsidRDefault="00D51F5F">
            <w:pPr>
              <w:jc w:val="right"/>
              <w:rPr>
                <w:sz w:val="18"/>
                <w:szCs w:val="18"/>
              </w:rPr>
            </w:pPr>
            <w:r>
              <w:rPr>
                <w:rFonts w:hint="eastAsia"/>
                <w:sz w:val="18"/>
                <w:szCs w:val="18"/>
              </w:rPr>
              <w:t xml:space="preserve"> 5,725,193.02 </w:t>
            </w:r>
          </w:p>
        </w:tc>
        <w:tc>
          <w:tcPr>
            <w:tcW w:w="836" w:type="pct"/>
            <w:vAlign w:val="center"/>
          </w:tcPr>
          <w:p w:rsidR="00156DD6" w:rsidRDefault="00D51F5F">
            <w:pPr>
              <w:jc w:val="right"/>
              <w:rPr>
                <w:sz w:val="18"/>
                <w:szCs w:val="18"/>
              </w:rPr>
            </w:pPr>
            <w:r>
              <w:rPr>
                <w:rFonts w:hint="eastAsia"/>
                <w:sz w:val="18"/>
                <w:szCs w:val="18"/>
              </w:rPr>
              <w:t>691,537.08</w:t>
            </w:r>
          </w:p>
        </w:tc>
        <w:tc>
          <w:tcPr>
            <w:tcW w:w="717" w:type="pct"/>
            <w:vAlign w:val="center"/>
          </w:tcPr>
          <w:p w:rsidR="00156DD6" w:rsidRDefault="00D51F5F">
            <w:pPr>
              <w:jc w:val="right"/>
              <w:rPr>
                <w:sz w:val="18"/>
                <w:szCs w:val="18"/>
              </w:rPr>
            </w:pPr>
            <w:r>
              <w:rPr>
                <w:rFonts w:hint="eastAsia"/>
                <w:sz w:val="18"/>
                <w:szCs w:val="18"/>
              </w:rPr>
              <w:t xml:space="preserve">100,000.00 </w:t>
            </w:r>
          </w:p>
        </w:tc>
        <w:tc>
          <w:tcPr>
            <w:tcW w:w="958" w:type="pct"/>
            <w:vAlign w:val="center"/>
          </w:tcPr>
          <w:p w:rsidR="00156DD6" w:rsidRDefault="00D51F5F">
            <w:pPr>
              <w:jc w:val="right"/>
              <w:rPr>
                <w:sz w:val="18"/>
                <w:szCs w:val="18"/>
              </w:rPr>
            </w:pPr>
            <w:r>
              <w:rPr>
                <w:rFonts w:hint="eastAsia"/>
                <w:sz w:val="18"/>
                <w:szCs w:val="18"/>
              </w:rPr>
              <w:t>38,797,731.07</w:t>
            </w: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color w:val="000000" w:themeColor="text1"/>
                <w:sz w:val="18"/>
                <w:szCs w:val="18"/>
              </w:rPr>
              <w:t>2.</w:t>
            </w:r>
            <w:r>
              <w:rPr>
                <w:color w:val="000000" w:themeColor="text1"/>
                <w:sz w:val="18"/>
                <w:szCs w:val="18"/>
              </w:rPr>
              <w:t>本期增加</w:t>
            </w:r>
            <w:r>
              <w:rPr>
                <w:rFonts w:hint="eastAsia"/>
                <w:color w:val="000000" w:themeColor="text1"/>
                <w:sz w:val="18"/>
                <w:szCs w:val="18"/>
              </w:rPr>
              <w:t>金额</w:t>
            </w:r>
          </w:p>
        </w:tc>
        <w:tc>
          <w:tcPr>
            <w:tcW w:w="955" w:type="pct"/>
            <w:vAlign w:val="center"/>
          </w:tcPr>
          <w:p w:rsidR="00156DD6" w:rsidRDefault="00D51F5F">
            <w:pPr>
              <w:jc w:val="right"/>
              <w:rPr>
                <w:sz w:val="18"/>
                <w:szCs w:val="18"/>
              </w:rPr>
            </w:pPr>
            <w:r>
              <w:rPr>
                <w:rFonts w:hint="eastAsia"/>
                <w:sz w:val="18"/>
                <w:szCs w:val="18"/>
              </w:rPr>
              <w:t xml:space="preserve"> 2,704,914.09 </w:t>
            </w:r>
          </w:p>
        </w:tc>
        <w:tc>
          <w:tcPr>
            <w:tcW w:w="896" w:type="pct"/>
            <w:vAlign w:val="center"/>
          </w:tcPr>
          <w:p w:rsidR="00156DD6" w:rsidRDefault="00D51F5F">
            <w:pPr>
              <w:jc w:val="right"/>
              <w:rPr>
                <w:sz w:val="18"/>
                <w:szCs w:val="18"/>
              </w:rPr>
            </w:pPr>
            <w:r>
              <w:rPr>
                <w:rFonts w:hint="eastAsia"/>
                <w:sz w:val="18"/>
                <w:szCs w:val="18"/>
              </w:rPr>
              <w:t xml:space="preserve"> 685,692.15 </w:t>
            </w:r>
          </w:p>
        </w:tc>
        <w:tc>
          <w:tcPr>
            <w:tcW w:w="836" w:type="pct"/>
            <w:vAlign w:val="center"/>
          </w:tcPr>
          <w:p w:rsidR="00156DD6" w:rsidRDefault="00D51F5F">
            <w:pPr>
              <w:jc w:val="right"/>
              <w:rPr>
                <w:sz w:val="18"/>
                <w:szCs w:val="18"/>
              </w:rPr>
            </w:pPr>
            <w:r>
              <w:rPr>
                <w:rFonts w:hint="eastAsia"/>
                <w:sz w:val="18"/>
                <w:szCs w:val="18"/>
              </w:rPr>
              <w:t>457,262.34</w:t>
            </w:r>
          </w:p>
        </w:tc>
        <w:tc>
          <w:tcPr>
            <w:tcW w:w="717" w:type="pct"/>
            <w:vAlign w:val="center"/>
          </w:tcPr>
          <w:p w:rsidR="00156DD6" w:rsidRDefault="00156DD6">
            <w:pPr>
              <w:jc w:val="right"/>
              <w:rPr>
                <w:sz w:val="18"/>
                <w:szCs w:val="18"/>
              </w:rPr>
            </w:pPr>
          </w:p>
        </w:tc>
        <w:tc>
          <w:tcPr>
            <w:tcW w:w="958" w:type="pct"/>
            <w:vAlign w:val="center"/>
          </w:tcPr>
          <w:p w:rsidR="00156DD6" w:rsidRDefault="00D51F5F">
            <w:pPr>
              <w:jc w:val="right"/>
              <w:rPr>
                <w:sz w:val="18"/>
                <w:szCs w:val="18"/>
              </w:rPr>
            </w:pPr>
            <w:r>
              <w:rPr>
                <w:rFonts w:hint="eastAsia"/>
                <w:sz w:val="18"/>
                <w:szCs w:val="18"/>
              </w:rPr>
              <w:t>3,847,868.58</w:t>
            </w:r>
          </w:p>
        </w:tc>
      </w:tr>
      <w:tr w:rsidR="00156DD6">
        <w:trPr>
          <w:trHeight w:val="284"/>
        </w:trPr>
        <w:tc>
          <w:tcPr>
            <w:tcW w:w="639" w:type="pct"/>
            <w:vAlign w:val="center"/>
          </w:tcPr>
          <w:p w:rsidR="00156DD6" w:rsidRDefault="00D51F5F">
            <w:pPr>
              <w:ind w:firstLineChars="300" w:firstLine="540"/>
              <w:rPr>
                <w:color w:val="000000" w:themeColor="text1"/>
                <w:sz w:val="18"/>
                <w:szCs w:val="18"/>
              </w:rPr>
            </w:pPr>
            <w:r>
              <w:rPr>
                <w:rFonts w:hint="eastAsia"/>
                <w:color w:val="000000" w:themeColor="text1"/>
                <w:sz w:val="18"/>
                <w:szCs w:val="18"/>
              </w:rPr>
              <w:t>(1)</w:t>
            </w:r>
            <w:r>
              <w:rPr>
                <w:rFonts w:hint="eastAsia"/>
                <w:color w:val="000000" w:themeColor="text1"/>
                <w:sz w:val="18"/>
                <w:szCs w:val="18"/>
              </w:rPr>
              <w:t>计提</w:t>
            </w:r>
          </w:p>
        </w:tc>
        <w:tc>
          <w:tcPr>
            <w:tcW w:w="955" w:type="pct"/>
            <w:vAlign w:val="center"/>
          </w:tcPr>
          <w:p w:rsidR="00156DD6" w:rsidRDefault="00D51F5F">
            <w:pPr>
              <w:jc w:val="right"/>
              <w:rPr>
                <w:sz w:val="18"/>
                <w:szCs w:val="18"/>
              </w:rPr>
            </w:pPr>
            <w:r>
              <w:rPr>
                <w:rFonts w:hint="eastAsia"/>
                <w:sz w:val="18"/>
                <w:szCs w:val="18"/>
              </w:rPr>
              <w:t xml:space="preserve"> 2,704,914.09 </w:t>
            </w:r>
          </w:p>
        </w:tc>
        <w:tc>
          <w:tcPr>
            <w:tcW w:w="896" w:type="pct"/>
            <w:vAlign w:val="center"/>
          </w:tcPr>
          <w:p w:rsidR="00156DD6" w:rsidRDefault="00D51F5F">
            <w:pPr>
              <w:jc w:val="right"/>
              <w:rPr>
                <w:sz w:val="18"/>
                <w:szCs w:val="18"/>
              </w:rPr>
            </w:pPr>
            <w:r>
              <w:rPr>
                <w:rFonts w:hint="eastAsia"/>
                <w:sz w:val="18"/>
                <w:szCs w:val="18"/>
              </w:rPr>
              <w:t xml:space="preserve"> 685,692.15 </w:t>
            </w:r>
          </w:p>
        </w:tc>
        <w:tc>
          <w:tcPr>
            <w:tcW w:w="836" w:type="pct"/>
            <w:vAlign w:val="center"/>
          </w:tcPr>
          <w:p w:rsidR="00156DD6" w:rsidRDefault="00D51F5F">
            <w:pPr>
              <w:jc w:val="right"/>
              <w:rPr>
                <w:sz w:val="18"/>
                <w:szCs w:val="18"/>
              </w:rPr>
            </w:pPr>
            <w:r>
              <w:rPr>
                <w:rFonts w:hint="eastAsia"/>
                <w:sz w:val="18"/>
                <w:szCs w:val="18"/>
              </w:rPr>
              <w:t>457,262.34</w:t>
            </w:r>
          </w:p>
        </w:tc>
        <w:tc>
          <w:tcPr>
            <w:tcW w:w="717" w:type="pct"/>
            <w:vAlign w:val="center"/>
          </w:tcPr>
          <w:p w:rsidR="00156DD6" w:rsidRDefault="00156DD6">
            <w:pPr>
              <w:jc w:val="right"/>
              <w:rPr>
                <w:sz w:val="18"/>
                <w:szCs w:val="18"/>
              </w:rPr>
            </w:pPr>
          </w:p>
        </w:tc>
        <w:tc>
          <w:tcPr>
            <w:tcW w:w="958" w:type="pct"/>
            <w:vAlign w:val="center"/>
          </w:tcPr>
          <w:p w:rsidR="00156DD6" w:rsidRDefault="00D51F5F">
            <w:pPr>
              <w:jc w:val="right"/>
              <w:rPr>
                <w:sz w:val="18"/>
                <w:szCs w:val="18"/>
              </w:rPr>
            </w:pPr>
            <w:r>
              <w:rPr>
                <w:rFonts w:hint="eastAsia"/>
                <w:sz w:val="18"/>
                <w:szCs w:val="18"/>
              </w:rPr>
              <w:t>3,847,868.58</w:t>
            </w: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rFonts w:hint="eastAsia"/>
                <w:color w:val="000000" w:themeColor="text1"/>
                <w:sz w:val="18"/>
                <w:szCs w:val="18"/>
              </w:rPr>
              <w:t>3.</w:t>
            </w:r>
            <w:r>
              <w:rPr>
                <w:color w:val="000000" w:themeColor="text1"/>
                <w:sz w:val="18"/>
                <w:szCs w:val="18"/>
              </w:rPr>
              <w:t>本期减少</w:t>
            </w:r>
            <w:r>
              <w:rPr>
                <w:rFonts w:hint="eastAsia"/>
                <w:color w:val="000000" w:themeColor="text1"/>
                <w:sz w:val="18"/>
                <w:szCs w:val="18"/>
              </w:rPr>
              <w:t>金额</w:t>
            </w:r>
          </w:p>
        </w:tc>
        <w:tc>
          <w:tcPr>
            <w:tcW w:w="955" w:type="pct"/>
            <w:vAlign w:val="center"/>
          </w:tcPr>
          <w:p w:rsidR="00156DD6" w:rsidRDefault="00156DD6">
            <w:pPr>
              <w:jc w:val="right"/>
              <w:rPr>
                <w:sz w:val="18"/>
                <w:szCs w:val="18"/>
              </w:rPr>
            </w:pPr>
          </w:p>
        </w:tc>
        <w:tc>
          <w:tcPr>
            <w:tcW w:w="896" w:type="pct"/>
            <w:vAlign w:val="center"/>
          </w:tcPr>
          <w:p w:rsidR="00156DD6" w:rsidRDefault="00156DD6">
            <w:pPr>
              <w:jc w:val="right"/>
              <w:rPr>
                <w:sz w:val="18"/>
                <w:szCs w:val="18"/>
              </w:rPr>
            </w:pPr>
          </w:p>
        </w:tc>
        <w:tc>
          <w:tcPr>
            <w:tcW w:w="836" w:type="pct"/>
            <w:vAlign w:val="center"/>
          </w:tcPr>
          <w:p w:rsidR="00156DD6" w:rsidRDefault="00156DD6">
            <w:pPr>
              <w:jc w:val="right"/>
              <w:rPr>
                <w:sz w:val="18"/>
                <w:szCs w:val="18"/>
              </w:rPr>
            </w:pPr>
          </w:p>
        </w:tc>
        <w:tc>
          <w:tcPr>
            <w:tcW w:w="717" w:type="pct"/>
            <w:vAlign w:val="center"/>
          </w:tcPr>
          <w:p w:rsidR="00156DD6" w:rsidRDefault="00156DD6">
            <w:pPr>
              <w:jc w:val="right"/>
              <w:rPr>
                <w:sz w:val="18"/>
                <w:szCs w:val="18"/>
              </w:rPr>
            </w:pPr>
          </w:p>
        </w:tc>
        <w:tc>
          <w:tcPr>
            <w:tcW w:w="958" w:type="pct"/>
            <w:vAlign w:val="center"/>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300" w:firstLine="540"/>
              <w:rPr>
                <w:color w:val="000000" w:themeColor="text1"/>
                <w:sz w:val="18"/>
                <w:szCs w:val="18"/>
              </w:rPr>
            </w:pPr>
            <w:r>
              <w:rPr>
                <w:color w:val="000000" w:themeColor="text1"/>
                <w:sz w:val="18"/>
                <w:szCs w:val="18"/>
              </w:rPr>
              <w:t>(</w:t>
            </w:r>
            <w:r>
              <w:rPr>
                <w:rFonts w:hint="eastAsia"/>
                <w:color w:val="000000" w:themeColor="text1"/>
                <w:sz w:val="18"/>
                <w:szCs w:val="18"/>
              </w:rPr>
              <w:t>1</w:t>
            </w:r>
            <w:r>
              <w:rPr>
                <w:color w:val="000000" w:themeColor="text1"/>
                <w:sz w:val="18"/>
                <w:szCs w:val="18"/>
              </w:rPr>
              <w:t>)</w:t>
            </w:r>
            <w:r>
              <w:rPr>
                <w:rFonts w:hint="eastAsia"/>
                <w:color w:val="000000" w:themeColor="text1"/>
                <w:sz w:val="18"/>
                <w:szCs w:val="18"/>
              </w:rPr>
              <w:t>处置</w:t>
            </w:r>
          </w:p>
        </w:tc>
        <w:tc>
          <w:tcPr>
            <w:tcW w:w="955" w:type="pct"/>
            <w:vAlign w:val="center"/>
          </w:tcPr>
          <w:p w:rsidR="00156DD6" w:rsidRDefault="00156DD6">
            <w:pPr>
              <w:jc w:val="right"/>
              <w:rPr>
                <w:sz w:val="18"/>
                <w:szCs w:val="18"/>
              </w:rPr>
            </w:pPr>
          </w:p>
        </w:tc>
        <w:tc>
          <w:tcPr>
            <w:tcW w:w="896" w:type="pct"/>
            <w:vAlign w:val="center"/>
          </w:tcPr>
          <w:p w:rsidR="00156DD6" w:rsidRDefault="00156DD6">
            <w:pPr>
              <w:jc w:val="right"/>
              <w:rPr>
                <w:sz w:val="18"/>
                <w:szCs w:val="18"/>
              </w:rPr>
            </w:pPr>
          </w:p>
        </w:tc>
        <w:tc>
          <w:tcPr>
            <w:tcW w:w="836" w:type="pct"/>
            <w:vAlign w:val="center"/>
          </w:tcPr>
          <w:p w:rsidR="00156DD6" w:rsidRDefault="00156DD6">
            <w:pPr>
              <w:jc w:val="right"/>
              <w:rPr>
                <w:sz w:val="18"/>
                <w:szCs w:val="18"/>
              </w:rPr>
            </w:pPr>
          </w:p>
        </w:tc>
        <w:tc>
          <w:tcPr>
            <w:tcW w:w="717" w:type="pct"/>
            <w:vAlign w:val="center"/>
          </w:tcPr>
          <w:p w:rsidR="00156DD6" w:rsidRDefault="00156DD6">
            <w:pPr>
              <w:jc w:val="right"/>
              <w:rPr>
                <w:sz w:val="18"/>
                <w:szCs w:val="18"/>
              </w:rPr>
            </w:pPr>
          </w:p>
        </w:tc>
        <w:tc>
          <w:tcPr>
            <w:tcW w:w="958" w:type="pct"/>
            <w:vAlign w:val="center"/>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rFonts w:hint="eastAsia"/>
                <w:color w:val="000000" w:themeColor="text1"/>
                <w:sz w:val="18"/>
                <w:szCs w:val="18"/>
              </w:rPr>
              <w:t>4.</w:t>
            </w:r>
            <w:r>
              <w:rPr>
                <w:color w:val="000000" w:themeColor="text1"/>
                <w:sz w:val="18"/>
                <w:szCs w:val="18"/>
              </w:rPr>
              <w:t>期末余额</w:t>
            </w:r>
          </w:p>
        </w:tc>
        <w:tc>
          <w:tcPr>
            <w:tcW w:w="955" w:type="pct"/>
            <w:vAlign w:val="center"/>
          </w:tcPr>
          <w:p w:rsidR="00156DD6" w:rsidRDefault="00D51F5F">
            <w:pPr>
              <w:jc w:val="right"/>
              <w:rPr>
                <w:sz w:val="18"/>
                <w:szCs w:val="18"/>
              </w:rPr>
            </w:pPr>
            <w:r>
              <w:rPr>
                <w:rFonts w:hint="eastAsia"/>
                <w:sz w:val="18"/>
                <w:szCs w:val="18"/>
              </w:rPr>
              <w:t xml:space="preserve"> 34,985,915.06 </w:t>
            </w:r>
          </w:p>
        </w:tc>
        <w:tc>
          <w:tcPr>
            <w:tcW w:w="896" w:type="pct"/>
            <w:vAlign w:val="center"/>
          </w:tcPr>
          <w:p w:rsidR="00156DD6" w:rsidRDefault="00D51F5F">
            <w:pPr>
              <w:jc w:val="right"/>
              <w:rPr>
                <w:sz w:val="18"/>
                <w:szCs w:val="18"/>
              </w:rPr>
            </w:pPr>
            <w:r>
              <w:rPr>
                <w:rFonts w:hint="eastAsia"/>
                <w:sz w:val="18"/>
                <w:szCs w:val="18"/>
              </w:rPr>
              <w:t xml:space="preserve"> 6,410,885.17 </w:t>
            </w:r>
          </w:p>
        </w:tc>
        <w:tc>
          <w:tcPr>
            <w:tcW w:w="836" w:type="pct"/>
            <w:vAlign w:val="center"/>
          </w:tcPr>
          <w:p w:rsidR="00156DD6" w:rsidRDefault="00D51F5F">
            <w:pPr>
              <w:jc w:val="right"/>
              <w:rPr>
                <w:sz w:val="18"/>
                <w:szCs w:val="18"/>
              </w:rPr>
            </w:pPr>
            <w:r>
              <w:rPr>
                <w:rFonts w:hint="eastAsia"/>
                <w:sz w:val="18"/>
                <w:szCs w:val="18"/>
              </w:rPr>
              <w:t>1,148,799.42</w:t>
            </w:r>
          </w:p>
        </w:tc>
        <w:tc>
          <w:tcPr>
            <w:tcW w:w="717" w:type="pct"/>
            <w:vAlign w:val="center"/>
          </w:tcPr>
          <w:p w:rsidR="00156DD6" w:rsidRDefault="00D51F5F">
            <w:pPr>
              <w:jc w:val="right"/>
              <w:rPr>
                <w:sz w:val="18"/>
                <w:szCs w:val="18"/>
              </w:rPr>
            </w:pPr>
            <w:r>
              <w:rPr>
                <w:rFonts w:hint="eastAsia"/>
                <w:sz w:val="18"/>
                <w:szCs w:val="18"/>
              </w:rPr>
              <w:t xml:space="preserve">100,000.00 </w:t>
            </w:r>
          </w:p>
        </w:tc>
        <w:tc>
          <w:tcPr>
            <w:tcW w:w="958" w:type="pct"/>
            <w:vAlign w:val="center"/>
          </w:tcPr>
          <w:p w:rsidR="00156DD6" w:rsidRDefault="00D51F5F">
            <w:pPr>
              <w:jc w:val="right"/>
              <w:rPr>
                <w:sz w:val="18"/>
                <w:szCs w:val="18"/>
              </w:rPr>
            </w:pPr>
            <w:r>
              <w:rPr>
                <w:rFonts w:hint="eastAsia"/>
                <w:sz w:val="18"/>
                <w:szCs w:val="18"/>
              </w:rPr>
              <w:t>42,645,599.65</w:t>
            </w:r>
          </w:p>
        </w:tc>
      </w:tr>
      <w:tr w:rsidR="00156DD6">
        <w:trPr>
          <w:trHeight w:val="284"/>
        </w:trPr>
        <w:sdt>
          <w:sdtPr>
            <w:rPr>
              <w:sz w:val="18"/>
              <w:szCs w:val="18"/>
            </w:rPr>
            <w:tag w:val="_PLD_100d3bc56cc142c1b30c3998528f8af2"/>
            <w:id w:val="-1023165881"/>
          </w:sdtPr>
          <w:sdtEndPr/>
          <w:sdtContent>
            <w:tc>
              <w:tcPr>
                <w:tcW w:w="5000" w:type="pct"/>
                <w:gridSpan w:val="6"/>
                <w:vAlign w:val="center"/>
              </w:tcPr>
              <w:p w:rsidR="00156DD6" w:rsidRDefault="00D51F5F">
                <w:pPr>
                  <w:rPr>
                    <w:color w:val="000000" w:themeColor="text1"/>
                    <w:sz w:val="18"/>
                    <w:szCs w:val="18"/>
                  </w:rPr>
                </w:pPr>
                <w:r>
                  <w:rPr>
                    <w:color w:val="000000" w:themeColor="text1"/>
                    <w:sz w:val="18"/>
                    <w:szCs w:val="18"/>
                  </w:rPr>
                  <w:t>三、减值准备</w:t>
                </w:r>
              </w:p>
            </w:tc>
          </w:sdtContent>
        </w:sdt>
      </w:tr>
      <w:tr w:rsidR="00156DD6">
        <w:trPr>
          <w:trHeight w:val="284"/>
        </w:trPr>
        <w:tc>
          <w:tcPr>
            <w:tcW w:w="639" w:type="pct"/>
            <w:vAlign w:val="center"/>
          </w:tcPr>
          <w:p w:rsidR="00156DD6" w:rsidRDefault="00D51F5F">
            <w:pPr>
              <w:ind w:firstLineChars="200" w:firstLine="360"/>
              <w:rPr>
                <w:color w:val="000000" w:themeColor="text1"/>
                <w:sz w:val="18"/>
                <w:szCs w:val="18"/>
              </w:rPr>
            </w:pPr>
            <w:r>
              <w:rPr>
                <w:rFonts w:hint="eastAsia"/>
                <w:color w:val="000000" w:themeColor="text1"/>
                <w:sz w:val="18"/>
                <w:szCs w:val="18"/>
              </w:rPr>
              <w:t>1.</w:t>
            </w:r>
            <w:r>
              <w:rPr>
                <w:rFonts w:hint="eastAsia"/>
                <w:color w:val="000000" w:themeColor="text1"/>
                <w:sz w:val="18"/>
                <w:szCs w:val="18"/>
              </w:rPr>
              <w:t>期</w:t>
            </w:r>
            <w:r>
              <w:rPr>
                <w:color w:val="000000" w:themeColor="text1"/>
                <w:sz w:val="18"/>
                <w:szCs w:val="18"/>
              </w:rPr>
              <w:t>初余额</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color w:val="000000" w:themeColor="text1"/>
                <w:sz w:val="18"/>
                <w:szCs w:val="18"/>
              </w:rPr>
              <w:t>2.</w:t>
            </w:r>
            <w:r>
              <w:rPr>
                <w:color w:val="000000" w:themeColor="text1"/>
                <w:sz w:val="18"/>
                <w:szCs w:val="18"/>
              </w:rPr>
              <w:t>本期增加</w:t>
            </w:r>
            <w:r>
              <w:rPr>
                <w:rFonts w:hint="eastAsia"/>
                <w:color w:val="000000" w:themeColor="text1"/>
                <w:sz w:val="18"/>
                <w:szCs w:val="18"/>
              </w:rPr>
              <w:t>金额</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300" w:firstLine="540"/>
              <w:rPr>
                <w:color w:val="000000" w:themeColor="text1"/>
                <w:sz w:val="18"/>
                <w:szCs w:val="18"/>
              </w:rPr>
            </w:pPr>
            <w:r>
              <w:rPr>
                <w:rFonts w:hint="eastAsia"/>
                <w:color w:val="000000" w:themeColor="text1"/>
                <w:sz w:val="18"/>
                <w:szCs w:val="18"/>
              </w:rPr>
              <w:t>(1)</w:t>
            </w:r>
            <w:r>
              <w:rPr>
                <w:rFonts w:hint="eastAsia"/>
                <w:color w:val="000000" w:themeColor="text1"/>
                <w:sz w:val="18"/>
                <w:szCs w:val="18"/>
              </w:rPr>
              <w:t>计提</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rFonts w:hint="eastAsia"/>
                <w:color w:val="000000" w:themeColor="text1"/>
                <w:sz w:val="18"/>
                <w:szCs w:val="18"/>
              </w:rPr>
              <w:t>3.</w:t>
            </w:r>
            <w:r>
              <w:rPr>
                <w:color w:val="000000" w:themeColor="text1"/>
                <w:sz w:val="18"/>
                <w:szCs w:val="18"/>
              </w:rPr>
              <w:t>本期减少</w:t>
            </w:r>
            <w:r>
              <w:rPr>
                <w:rFonts w:hint="eastAsia"/>
                <w:color w:val="000000" w:themeColor="text1"/>
                <w:sz w:val="18"/>
                <w:szCs w:val="18"/>
              </w:rPr>
              <w:t>金额</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300" w:firstLine="540"/>
              <w:rPr>
                <w:color w:val="000000" w:themeColor="text1"/>
                <w:sz w:val="18"/>
                <w:szCs w:val="18"/>
              </w:rPr>
            </w:pPr>
            <w:r>
              <w:rPr>
                <w:color w:val="000000" w:themeColor="text1"/>
                <w:sz w:val="18"/>
                <w:szCs w:val="18"/>
              </w:rPr>
              <w:t>(</w:t>
            </w:r>
            <w:r>
              <w:rPr>
                <w:rFonts w:hint="eastAsia"/>
                <w:color w:val="000000" w:themeColor="text1"/>
                <w:sz w:val="18"/>
                <w:szCs w:val="18"/>
              </w:rPr>
              <w:t>1</w:t>
            </w:r>
            <w:r>
              <w:rPr>
                <w:color w:val="000000" w:themeColor="text1"/>
                <w:sz w:val="18"/>
                <w:szCs w:val="18"/>
              </w:rPr>
              <w:t>)</w:t>
            </w:r>
            <w:r>
              <w:rPr>
                <w:rFonts w:hint="eastAsia"/>
                <w:color w:val="000000" w:themeColor="text1"/>
                <w:sz w:val="18"/>
                <w:szCs w:val="18"/>
              </w:rPr>
              <w:t>处置</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rFonts w:hint="eastAsia"/>
                <w:color w:val="000000" w:themeColor="text1"/>
                <w:sz w:val="18"/>
                <w:szCs w:val="18"/>
              </w:rPr>
              <w:t>4.</w:t>
            </w:r>
            <w:r>
              <w:rPr>
                <w:color w:val="000000" w:themeColor="text1"/>
                <w:sz w:val="18"/>
                <w:szCs w:val="18"/>
              </w:rPr>
              <w:t>期末余额</w:t>
            </w:r>
          </w:p>
        </w:tc>
        <w:tc>
          <w:tcPr>
            <w:tcW w:w="955" w:type="pct"/>
          </w:tcPr>
          <w:p w:rsidR="00156DD6" w:rsidRDefault="00156DD6">
            <w:pPr>
              <w:jc w:val="right"/>
              <w:rPr>
                <w:sz w:val="18"/>
                <w:szCs w:val="18"/>
              </w:rPr>
            </w:pPr>
          </w:p>
        </w:tc>
        <w:tc>
          <w:tcPr>
            <w:tcW w:w="896" w:type="pct"/>
          </w:tcPr>
          <w:p w:rsidR="00156DD6" w:rsidRDefault="00156DD6">
            <w:pPr>
              <w:jc w:val="right"/>
              <w:rPr>
                <w:sz w:val="18"/>
                <w:szCs w:val="18"/>
              </w:rPr>
            </w:pPr>
          </w:p>
        </w:tc>
        <w:tc>
          <w:tcPr>
            <w:tcW w:w="836" w:type="pct"/>
          </w:tcPr>
          <w:p w:rsidR="00156DD6" w:rsidRDefault="00156DD6">
            <w:pPr>
              <w:jc w:val="right"/>
              <w:rPr>
                <w:sz w:val="18"/>
                <w:szCs w:val="18"/>
              </w:rPr>
            </w:pPr>
          </w:p>
        </w:tc>
        <w:tc>
          <w:tcPr>
            <w:tcW w:w="717" w:type="pct"/>
          </w:tcPr>
          <w:p w:rsidR="00156DD6" w:rsidRDefault="00156DD6">
            <w:pPr>
              <w:jc w:val="right"/>
              <w:rPr>
                <w:sz w:val="18"/>
                <w:szCs w:val="18"/>
              </w:rPr>
            </w:pPr>
          </w:p>
        </w:tc>
        <w:tc>
          <w:tcPr>
            <w:tcW w:w="958" w:type="pct"/>
          </w:tcPr>
          <w:p w:rsidR="00156DD6" w:rsidRDefault="00156DD6">
            <w:pPr>
              <w:jc w:val="right"/>
              <w:rPr>
                <w:sz w:val="18"/>
                <w:szCs w:val="18"/>
              </w:rPr>
            </w:pPr>
          </w:p>
        </w:tc>
      </w:tr>
      <w:tr w:rsidR="00156DD6">
        <w:trPr>
          <w:trHeight w:val="284"/>
        </w:trPr>
        <w:sdt>
          <w:sdtPr>
            <w:rPr>
              <w:sz w:val="18"/>
              <w:szCs w:val="18"/>
            </w:rPr>
            <w:tag w:val="_PLD_77aceef1b70d43c0846f7e8f529b7784"/>
            <w:id w:val="-1530097516"/>
          </w:sdtPr>
          <w:sdtEndPr/>
          <w:sdtContent>
            <w:tc>
              <w:tcPr>
                <w:tcW w:w="5000" w:type="pct"/>
                <w:gridSpan w:val="6"/>
                <w:vAlign w:val="center"/>
              </w:tcPr>
              <w:p w:rsidR="00156DD6" w:rsidRDefault="00D51F5F">
                <w:pPr>
                  <w:rPr>
                    <w:color w:val="000000" w:themeColor="text1"/>
                    <w:sz w:val="18"/>
                    <w:szCs w:val="18"/>
                  </w:rPr>
                </w:pPr>
                <w:r>
                  <w:rPr>
                    <w:color w:val="000000" w:themeColor="text1"/>
                    <w:sz w:val="18"/>
                    <w:szCs w:val="18"/>
                  </w:rPr>
                  <w:t>四、账面价值</w:t>
                </w:r>
              </w:p>
            </w:tc>
          </w:sdtContent>
        </w:sdt>
      </w:tr>
      <w:tr w:rsidR="00156DD6">
        <w:trPr>
          <w:trHeight w:val="284"/>
        </w:trPr>
        <w:tc>
          <w:tcPr>
            <w:tcW w:w="639" w:type="pct"/>
            <w:vAlign w:val="center"/>
          </w:tcPr>
          <w:p w:rsidR="00156DD6" w:rsidRDefault="00D51F5F">
            <w:pPr>
              <w:ind w:firstLineChars="200" w:firstLine="360"/>
              <w:rPr>
                <w:color w:val="000000" w:themeColor="text1"/>
                <w:sz w:val="18"/>
                <w:szCs w:val="18"/>
              </w:rPr>
            </w:pPr>
            <w:r>
              <w:rPr>
                <w:color w:val="000000" w:themeColor="text1"/>
                <w:sz w:val="18"/>
                <w:szCs w:val="18"/>
              </w:rPr>
              <w:t>1.</w:t>
            </w:r>
            <w:r>
              <w:rPr>
                <w:color w:val="000000" w:themeColor="text1"/>
                <w:sz w:val="18"/>
                <w:szCs w:val="18"/>
              </w:rPr>
              <w:t>期末账面价值</w:t>
            </w:r>
          </w:p>
        </w:tc>
        <w:tc>
          <w:tcPr>
            <w:tcW w:w="955" w:type="pct"/>
            <w:vAlign w:val="center"/>
          </w:tcPr>
          <w:p w:rsidR="00156DD6" w:rsidRDefault="00D51F5F">
            <w:pPr>
              <w:jc w:val="right"/>
              <w:rPr>
                <w:sz w:val="18"/>
                <w:szCs w:val="18"/>
              </w:rPr>
            </w:pPr>
            <w:r>
              <w:rPr>
                <w:rFonts w:hint="eastAsia"/>
                <w:sz w:val="18"/>
                <w:szCs w:val="18"/>
              </w:rPr>
              <w:t xml:space="preserve">208,457,227.76 </w:t>
            </w:r>
          </w:p>
        </w:tc>
        <w:tc>
          <w:tcPr>
            <w:tcW w:w="896" w:type="pct"/>
            <w:vAlign w:val="center"/>
          </w:tcPr>
          <w:p w:rsidR="00156DD6" w:rsidRDefault="00D51F5F">
            <w:pPr>
              <w:jc w:val="right"/>
              <w:rPr>
                <w:sz w:val="18"/>
                <w:szCs w:val="18"/>
              </w:rPr>
            </w:pPr>
            <w:r>
              <w:rPr>
                <w:rFonts w:hint="eastAsia"/>
                <w:sz w:val="18"/>
                <w:szCs w:val="18"/>
              </w:rPr>
              <w:t xml:space="preserve"> 9,084,429.32 </w:t>
            </w:r>
          </w:p>
        </w:tc>
        <w:tc>
          <w:tcPr>
            <w:tcW w:w="836" w:type="pct"/>
            <w:vAlign w:val="center"/>
          </w:tcPr>
          <w:p w:rsidR="00156DD6" w:rsidRDefault="00D51F5F">
            <w:pPr>
              <w:jc w:val="right"/>
              <w:rPr>
                <w:sz w:val="18"/>
                <w:szCs w:val="18"/>
              </w:rPr>
            </w:pPr>
            <w:r>
              <w:rPr>
                <w:rFonts w:hint="eastAsia"/>
                <w:sz w:val="18"/>
                <w:szCs w:val="18"/>
              </w:rPr>
              <w:t>7,505,324.34</w:t>
            </w:r>
          </w:p>
        </w:tc>
        <w:tc>
          <w:tcPr>
            <w:tcW w:w="717" w:type="pct"/>
            <w:vAlign w:val="center"/>
          </w:tcPr>
          <w:p w:rsidR="00156DD6" w:rsidRDefault="00156DD6">
            <w:pPr>
              <w:jc w:val="right"/>
              <w:rPr>
                <w:sz w:val="18"/>
                <w:szCs w:val="18"/>
              </w:rPr>
            </w:pPr>
          </w:p>
        </w:tc>
        <w:tc>
          <w:tcPr>
            <w:tcW w:w="958" w:type="pct"/>
            <w:vAlign w:val="center"/>
          </w:tcPr>
          <w:p w:rsidR="00156DD6" w:rsidRDefault="00D51F5F">
            <w:pPr>
              <w:jc w:val="right"/>
              <w:rPr>
                <w:sz w:val="18"/>
                <w:szCs w:val="18"/>
              </w:rPr>
            </w:pPr>
            <w:r>
              <w:rPr>
                <w:rFonts w:hint="eastAsia"/>
                <w:sz w:val="18"/>
                <w:szCs w:val="18"/>
              </w:rPr>
              <w:t>225,046,981.42</w:t>
            </w:r>
          </w:p>
        </w:tc>
      </w:tr>
      <w:tr w:rsidR="00156DD6">
        <w:trPr>
          <w:trHeight w:val="284"/>
        </w:trPr>
        <w:tc>
          <w:tcPr>
            <w:tcW w:w="639" w:type="pct"/>
            <w:vAlign w:val="center"/>
          </w:tcPr>
          <w:p w:rsidR="00156DD6" w:rsidRDefault="00D51F5F">
            <w:pPr>
              <w:ind w:firstLineChars="200" w:firstLine="360"/>
              <w:rPr>
                <w:color w:val="000000" w:themeColor="text1"/>
                <w:sz w:val="18"/>
                <w:szCs w:val="18"/>
              </w:rPr>
            </w:pPr>
            <w:r>
              <w:rPr>
                <w:color w:val="000000" w:themeColor="text1"/>
                <w:sz w:val="18"/>
                <w:szCs w:val="18"/>
              </w:rPr>
              <w:t>2.</w:t>
            </w:r>
            <w:r>
              <w:rPr>
                <w:rFonts w:hint="eastAsia"/>
                <w:color w:val="000000" w:themeColor="text1"/>
                <w:sz w:val="18"/>
                <w:szCs w:val="18"/>
              </w:rPr>
              <w:t>期初</w:t>
            </w:r>
            <w:r>
              <w:rPr>
                <w:color w:val="000000" w:themeColor="text1"/>
                <w:sz w:val="18"/>
                <w:szCs w:val="18"/>
              </w:rPr>
              <w:t>账面价值</w:t>
            </w:r>
          </w:p>
        </w:tc>
        <w:tc>
          <w:tcPr>
            <w:tcW w:w="955" w:type="pct"/>
            <w:vAlign w:val="center"/>
          </w:tcPr>
          <w:p w:rsidR="00156DD6" w:rsidRDefault="00D51F5F">
            <w:pPr>
              <w:jc w:val="right"/>
              <w:rPr>
                <w:sz w:val="18"/>
                <w:szCs w:val="18"/>
              </w:rPr>
            </w:pPr>
            <w:r>
              <w:rPr>
                <w:rFonts w:hint="eastAsia"/>
                <w:sz w:val="18"/>
                <w:szCs w:val="18"/>
              </w:rPr>
              <w:t xml:space="preserve">211,162,141.85 </w:t>
            </w:r>
          </w:p>
        </w:tc>
        <w:tc>
          <w:tcPr>
            <w:tcW w:w="896" w:type="pct"/>
            <w:vAlign w:val="center"/>
          </w:tcPr>
          <w:p w:rsidR="00156DD6" w:rsidRDefault="00D51F5F">
            <w:pPr>
              <w:jc w:val="right"/>
              <w:rPr>
                <w:sz w:val="18"/>
                <w:szCs w:val="18"/>
              </w:rPr>
            </w:pPr>
            <w:r>
              <w:rPr>
                <w:rFonts w:hint="eastAsia"/>
                <w:sz w:val="18"/>
                <w:szCs w:val="18"/>
              </w:rPr>
              <w:t xml:space="preserve"> 9,770,121.47 </w:t>
            </w:r>
          </w:p>
        </w:tc>
        <w:tc>
          <w:tcPr>
            <w:tcW w:w="836" w:type="pct"/>
            <w:vAlign w:val="center"/>
          </w:tcPr>
          <w:p w:rsidR="00156DD6" w:rsidRDefault="00D51F5F">
            <w:pPr>
              <w:jc w:val="right"/>
              <w:rPr>
                <w:sz w:val="18"/>
                <w:szCs w:val="18"/>
              </w:rPr>
            </w:pPr>
            <w:r>
              <w:rPr>
                <w:rFonts w:hint="eastAsia"/>
                <w:sz w:val="18"/>
                <w:szCs w:val="18"/>
              </w:rPr>
              <w:t xml:space="preserve">7,962,586.68 </w:t>
            </w:r>
          </w:p>
        </w:tc>
        <w:tc>
          <w:tcPr>
            <w:tcW w:w="717" w:type="pct"/>
            <w:vAlign w:val="center"/>
          </w:tcPr>
          <w:p w:rsidR="00156DD6" w:rsidRDefault="00156DD6">
            <w:pPr>
              <w:jc w:val="right"/>
              <w:rPr>
                <w:sz w:val="18"/>
                <w:szCs w:val="18"/>
              </w:rPr>
            </w:pPr>
          </w:p>
        </w:tc>
        <w:tc>
          <w:tcPr>
            <w:tcW w:w="958" w:type="pct"/>
            <w:vAlign w:val="center"/>
          </w:tcPr>
          <w:p w:rsidR="00156DD6" w:rsidRDefault="00D51F5F">
            <w:pPr>
              <w:jc w:val="right"/>
              <w:rPr>
                <w:sz w:val="18"/>
                <w:szCs w:val="18"/>
              </w:rPr>
            </w:pPr>
            <w:r>
              <w:rPr>
                <w:rFonts w:hint="eastAsia"/>
                <w:sz w:val="18"/>
                <w:szCs w:val="18"/>
              </w:rPr>
              <w:t xml:space="preserve">228,894,850.00 </w:t>
            </w:r>
          </w:p>
        </w:tc>
      </w:tr>
    </w:tbl>
    <w:p w:rsidR="00156DD6" w:rsidRDefault="00D51F5F">
      <w:pPr>
        <w:snapToGrid w:val="0"/>
        <w:spacing w:line="240" w:lineRule="atLeast"/>
        <w:rPr>
          <w:color w:val="000000" w:themeColor="text1"/>
        </w:rPr>
      </w:pPr>
      <w:r>
        <w:rPr>
          <w:rFonts w:hint="eastAsia"/>
          <w:color w:val="000000" w:themeColor="text1"/>
        </w:rPr>
        <w:t>本期末通过公司内部研发形成的无形资产占无形资产余额的比例</w:t>
      </w:r>
      <w:sdt>
        <w:sdtPr>
          <w:rPr>
            <w:color w:val="000000" w:themeColor="text1"/>
          </w:rPr>
          <w:alias w:val="通过公司内部研发形成的无形资产占无形资产账面价值的比例"/>
          <w:tag w:val="_GBC_4eb0f3140a674bd1899e2bd836d51bbb"/>
          <w:id w:val="-765082199"/>
          <w:placeholder>
            <w:docPart w:val="GBC22222222222222222222222222222"/>
          </w:placeholder>
        </w:sdtPr>
        <w:sdtEndPr/>
        <w:sdtContent>
          <w:r>
            <w:rPr>
              <w:rFonts w:hint="eastAsia"/>
              <w:color w:val="000000" w:themeColor="text1"/>
            </w:rPr>
            <w:t>0</w:t>
          </w:r>
        </w:sdtContent>
      </w:sdt>
      <w:r>
        <w:rPr>
          <w:rFonts w:hint="eastAsia"/>
          <w:color w:val="000000" w:themeColor="text1"/>
        </w:rPr>
        <w:t>%</w:t>
      </w:r>
    </w:p>
    <w:p w:rsidR="00156DD6" w:rsidRDefault="00D51F5F">
      <w:pPr>
        <w:pStyle w:val="Style47"/>
        <w:numPr>
          <w:ilvl w:val="0"/>
          <w:numId w:val="65"/>
        </w:numPr>
        <w:tabs>
          <w:tab w:val="left" w:pos="602"/>
        </w:tabs>
        <w:rPr>
          <w:rFonts w:ascii="宋体" w:hAnsi="宋体"/>
          <w:color w:val="000000" w:themeColor="text1"/>
          <w:sz w:val="21"/>
          <w:szCs w:val="21"/>
        </w:rPr>
      </w:pPr>
      <w:bookmarkStart w:id="362" w:name="_Hlk169705970"/>
      <w:r>
        <w:rPr>
          <w:rFonts w:ascii="宋体" w:hAnsi="宋体" w:hint="eastAsia"/>
          <w:color w:val="000000" w:themeColor="text1"/>
          <w:sz w:val="21"/>
          <w:szCs w:val="21"/>
        </w:rPr>
        <w:t>确认为无形资产的数据资源</w:t>
      </w:r>
    </w:p>
    <w:sdt>
      <w:sdtPr>
        <w:rPr>
          <w:color w:val="000000" w:themeColor="text1"/>
        </w:rPr>
        <w:alias w:val="是否适用：确认为无形资产的数据资源[双击切换]"/>
        <w:tag w:val="_GBC_69d13d4234a148729542b163082d1cd0"/>
        <w:id w:val="109042737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62"/>
    <w:p w:rsidR="00156DD6" w:rsidRDefault="00D51F5F">
      <w:pPr>
        <w:pStyle w:val="Style47"/>
        <w:numPr>
          <w:ilvl w:val="0"/>
          <w:numId w:val="65"/>
        </w:numPr>
        <w:tabs>
          <w:tab w:val="left" w:pos="602"/>
        </w:tabs>
        <w:rPr>
          <w:rFonts w:ascii="宋体" w:hAnsi="宋体"/>
          <w:color w:val="000000" w:themeColor="text1"/>
          <w:sz w:val="21"/>
          <w:szCs w:val="21"/>
        </w:rPr>
      </w:pPr>
      <w:r>
        <w:rPr>
          <w:rFonts w:ascii="宋体" w:hAnsi="宋体" w:hint="eastAsia"/>
          <w:color w:val="000000" w:themeColor="text1"/>
          <w:sz w:val="21"/>
          <w:szCs w:val="21"/>
        </w:rPr>
        <w:t>未办妥产权证书的土地使用权情况</w:t>
      </w:r>
    </w:p>
    <w:sdt>
      <w:sdtPr>
        <w:rPr>
          <w:color w:val="000000" w:themeColor="text1"/>
        </w:rPr>
        <w:alias w:val="是否适用：未办妥产权证书的土地使用权情况[双击切换]"/>
        <w:tag w:val="_GBC_e8ff0641401a44f19fe64ad31dc15c58"/>
        <w:id w:val="78970586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65"/>
        </w:numPr>
        <w:tabs>
          <w:tab w:val="left" w:pos="602"/>
        </w:tabs>
        <w:rPr>
          <w:rFonts w:ascii="宋体" w:hAnsi="宋体"/>
          <w:color w:val="000000" w:themeColor="text1"/>
          <w:sz w:val="21"/>
          <w:szCs w:val="21"/>
        </w:rPr>
      </w:pPr>
      <w:bookmarkStart w:id="363" w:name="_Hlk167959697"/>
      <w:bookmarkStart w:id="364" w:name="_Hlk153461844"/>
      <w:r>
        <w:rPr>
          <w:rFonts w:ascii="宋体" w:hAnsi="宋体" w:hint="eastAsia"/>
          <w:color w:val="000000" w:themeColor="text1"/>
          <w:sz w:val="21"/>
          <w:szCs w:val="21"/>
        </w:rPr>
        <w:t>无形资产的减值测试情况</w:t>
      </w:r>
    </w:p>
    <w:sdt>
      <w:sdtPr>
        <w:rPr>
          <w:color w:val="000000" w:themeColor="text1"/>
        </w:rPr>
        <w:alias w:val="是否适用：减值测试情况[双击切换]"/>
        <w:tag w:val="_GBC_6523dfc219a7467fb60857d0ff4fbd37"/>
        <w:id w:val="154988480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63"/>
    <w:bookmarkEnd w:id="364"/>
    <w:p w:rsidR="00156DD6" w:rsidRDefault="00D51F5F">
      <w:pPr>
        <w:rPr>
          <w:color w:val="000000" w:themeColor="text1"/>
        </w:rPr>
      </w:pPr>
      <w:r>
        <w:rPr>
          <w:rFonts w:hint="eastAsia"/>
          <w:color w:val="000000" w:themeColor="text1"/>
        </w:rPr>
        <w:t>其他说明：</w:t>
      </w:r>
    </w:p>
    <w:sdt>
      <w:sdtPr>
        <w:rPr>
          <w:color w:val="000000" w:themeColor="text1"/>
        </w:rPr>
        <w:alias w:val="是否适用：无形资产的说明[双击切换]"/>
        <w:tag w:val="_GBC_dc3c687f3c2c457e9024304c14129458"/>
        <w:id w:val="47217712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可收回金额按公允价值减去处置费用后的净额确定</w:t>
      </w:r>
    </w:p>
    <w:sdt>
      <w:sdtPr>
        <w:rPr>
          <w:color w:val="000000" w:themeColor="text1"/>
        </w:rPr>
        <w:alias w:val="是否适用：可收回金额按公允价值减去处置费用后的净额确定[双击切换]"/>
        <w:tag w:val="_GBC_f4fe856c170443488a17bafaa8a2eec3"/>
        <w:id w:val="122911110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可收回金额按预计未来现金流量的现值确定</w:t>
      </w:r>
    </w:p>
    <w:sdt>
      <w:sdtPr>
        <w:rPr>
          <w:rFonts w:hint="eastAsia"/>
          <w:color w:val="000000" w:themeColor="text1"/>
        </w:rPr>
        <w:alias w:val="是否适用：可收回金额按预计未来现金流量的现值确定[双击切换]"/>
        <w:tag w:val="_GBC_a0aee2bc137245588f61bc0118445322"/>
        <w:id w:val="201048357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lastRenderedPageBreak/>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680f426397484a9db57f2f5deefe3ef4"/>
        <w:id w:val="166343668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w:instrText>
          </w:r>
          <w:r>
            <w:rPr>
              <w:rFonts w:hint="eastAsia"/>
              <w:color w:val="000000" w:themeColor="text1"/>
            </w:rPr>
            <w:instrText xml:space="preserve">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5"/>
        <w:ind w:left="105"/>
        <w:rPr>
          <w:color w:val="000000" w:themeColor="text1"/>
          <w:szCs w:val="21"/>
        </w:rPr>
      </w:pPr>
      <w:r>
        <w:rPr>
          <w:rFonts w:hint="eastAsia"/>
          <w:color w:val="000000" w:themeColor="text1"/>
          <w:szCs w:val="2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ec946cba8d9f4948a126b5cd90295fb0"/>
        <w:id w:val="-18066904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无形资产的说明[双击切换]"/>
        <w:tag w:val="_GBC_dc3c687f3c2c457e9024304c14129458"/>
        <w:id w:val="-157627479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sdt>
      <w:sdtPr>
        <w:rPr>
          <w:color w:val="000000" w:themeColor="text1"/>
        </w:rPr>
        <w:alias w:val="无形资产的说明"/>
        <w:tag w:val="_GBC_1f281f7116944d4bacd2204d25895376"/>
        <w:id w:val="-696394828"/>
        <w:placeholder>
          <w:docPart w:val="GBC22222222222222222222222222222"/>
        </w:placeholder>
      </w:sdtPr>
      <w:sdtEndPr/>
      <w:sdtContent>
        <w:p w:rsidR="00156DD6" w:rsidRDefault="00D51F5F">
          <w:pPr>
            <w:rPr>
              <w:color w:val="000000" w:themeColor="text1"/>
            </w:rPr>
          </w:pPr>
          <w:r>
            <w:rPr>
              <w:rFonts w:hint="eastAsia"/>
              <w:color w:val="000000" w:themeColor="text1"/>
            </w:rPr>
            <w:t>否</w:t>
          </w:r>
        </w:p>
      </w:sdtContent>
    </w:sdt>
    <w:p w:rsidR="00156DD6" w:rsidRDefault="00156DD6">
      <w:pPr>
        <w:pStyle w:val="TOC6"/>
        <w:numPr>
          <w:ilvl w:val="0"/>
          <w:numId w:val="43"/>
        </w:numPr>
        <w:rPr>
          <w:color w:val="000000" w:themeColor="text1"/>
          <w:szCs w:val="21"/>
        </w:rPr>
        <w:sectPr w:rsidR="00156DD6">
          <w:pgSz w:w="11906" w:h="16838"/>
          <w:pgMar w:top="1525" w:right="1276" w:bottom="1440" w:left="1797" w:header="856" w:footer="992" w:gutter="0"/>
          <w:cols w:space="425"/>
          <w:docGrid w:linePitch="312"/>
        </w:sectPr>
      </w:pPr>
    </w:p>
    <w:p w:rsidR="00156DD6" w:rsidRDefault="00D51F5F">
      <w:pPr>
        <w:pStyle w:val="TOC6"/>
        <w:numPr>
          <w:ilvl w:val="0"/>
          <w:numId w:val="53"/>
        </w:numPr>
        <w:rPr>
          <w:color w:val="000000" w:themeColor="text1"/>
          <w:sz w:val="21"/>
          <w:szCs w:val="22"/>
        </w:rPr>
      </w:pPr>
      <w:r>
        <w:rPr>
          <w:color w:val="000000" w:themeColor="text1"/>
          <w:sz w:val="21"/>
          <w:szCs w:val="22"/>
        </w:rPr>
        <w:lastRenderedPageBreak/>
        <w:t>商誉</w:t>
      </w:r>
    </w:p>
    <w:p w:rsidR="00156DD6" w:rsidRDefault="00D51F5F">
      <w:pPr>
        <w:pStyle w:val="Style47"/>
        <w:numPr>
          <w:ilvl w:val="0"/>
          <w:numId w:val="66"/>
        </w:numPr>
        <w:tabs>
          <w:tab w:val="left" w:pos="588"/>
        </w:tabs>
        <w:rPr>
          <w:rFonts w:ascii="宋体" w:hAnsi="宋体"/>
          <w:color w:val="000000" w:themeColor="text1"/>
          <w:sz w:val="21"/>
          <w:szCs w:val="21"/>
        </w:rPr>
      </w:pPr>
      <w:r>
        <w:rPr>
          <w:rFonts w:ascii="宋体" w:hAnsi="宋体" w:hint="eastAsia"/>
          <w:color w:val="000000" w:themeColor="text1"/>
          <w:sz w:val="21"/>
          <w:szCs w:val="21"/>
        </w:rPr>
        <w:t>商誉账面原值</w:t>
      </w:r>
    </w:p>
    <w:sdt>
      <w:sdtPr>
        <w:rPr>
          <w:color w:val="000000" w:themeColor="text1"/>
        </w:rPr>
        <w:alias w:val="是否适用：商誉账面原值[双击切换]"/>
        <w:tag w:val="_GBC_e2a869d440cf4b7f9f592f3e22cea85d"/>
        <w:id w:val="5637598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商誉"/>
          <w:tag w:val="_GBC_4797b6084eb24fe79f24d181640f3283"/>
          <w:id w:val="-6380280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商誉"/>
          <w:tag w:val="_GBC_7cd9149d9bea4da8974b80b14b1c0e44"/>
          <w:id w:val="1059051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7"/>
        <w:gridCol w:w="2531"/>
        <w:gridCol w:w="2570"/>
        <w:gridCol w:w="2567"/>
        <w:gridCol w:w="2498"/>
      </w:tblGrid>
      <w:tr w:rsidR="00156DD6">
        <w:trPr>
          <w:trHeight w:val="284"/>
          <w:jc w:val="center"/>
        </w:trPr>
        <w:sdt>
          <w:sdtPr>
            <w:tag w:val="_PLD_b248be5460bf4bb299c4579815256238"/>
            <w:id w:val="-626552565"/>
          </w:sdtPr>
          <w:sdtEndPr/>
          <w:sdtContent>
            <w:tc>
              <w:tcPr>
                <w:tcW w:w="1333" w:type="pct"/>
                <w:vMerge w:val="restar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被投资单位名称或形成商誉的事项</w:t>
                </w:r>
              </w:p>
            </w:tc>
          </w:sdtContent>
        </w:sdt>
        <w:sdt>
          <w:sdtPr>
            <w:tag w:val="_PLD_a25f69a57b624da887f74ab27a20ba0b"/>
            <w:id w:val="-1180031880"/>
          </w:sdtPr>
          <w:sdtEndPr/>
          <w:sdtContent>
            <w:tc>
              <w:tcPr>
                <w:tcW w:w="913" w:type="pct"/>
                <w:vMerge w:val="restar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期初余额</w:t>
                </w:r>
              </w:p>
            </w:tc>
          </w:sdtContent>
        </w:sdt>
        <w:sdt>
          <w:sdtPr>
            <w:tag w:val="_PLD_c348d952dc8b438289897d2014b7d310"/>
            <w:id w:val="1098069992"/>
          </w:sdtPr>
          <w:sdtEndPr/>
          <w:sdtContent>
            <w:tc>
              <w:tcPr>
                <w:tcW w:w="927"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本期增加</w:t>
                </w:r>
              </w:p>
            </w:tc>
          </w:sdtContent>
        </w:sdt>
        <w:sdt>
          <w:sdtPr>
            <w:tag w:val="_PLD_5560c6ea7650430a8c304ee861d4bc25"/>
            <w:id w:val="263809156"/>
          </w:sdtPr>
          <w:sdtEndPr/>
          <w:sdtContent>
            <w:tc>
              <w:tcPr>
                <w:tcW w:w="926"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本期减少</w:t>
                </w:r>
              </w:p>
            </w:tc>
          </w:sdtContent>
        </w:sdt>
        <w:sdt>
          <w:sdtPr>
            <w:tag w:val="_PLD_075635973edd4d94a997d2ed78e56d8b"/>
            <w:id w:val="-290050742"/>
          </w:sdtPr>
          <w:sdtEndPr/>
          <w:sdtContent>
            <w:tc>
              <w:tcPr>
                <w:tcW w:w="902" w:type="pct"/>
                <w:vMerge w:val="restar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期末余额</w:t>
                </w:r>
              </w:p>
            </w:tc>
          </w:sdtContent>
        </w:sdt>
      </w:tr>
      <w:tr w:rsidR="00156DD6">
        <w:trPr>
          <w:trHeight w:val="535"/>
          <w:jc w:val="center"/>
        </w:trPr>
        <w:tc>
          <w:tcPr>
            <w:tcW w:w="1333" w:type="pct"/>
            <w:vMerge/>
          </w:tcPr>
          <w:p w:rsidR="00156DD6" w:rsidRDefault="00156DD6">
            <w:pPr>
              <w:autoSpaceDE w:val="0"/>
              <w:autoSpaceDN w:val="0"/>
              <w:adjustRightInd w:val="0"/>
              <w:snapToGrid w:val="0"/>
              <w:jc w:val="center"/>
              <w:rPr>
                <w:color w:val="000000" w:themeColor="text1"/>
              </w:rPr>
            </w:pPr>
          </w:p>
        </w:tc>
        <w:tc>
          <w:tcPr>
            <w:tcW w:w="913" w:type="pct"/>
            <w:vMerge/>
          </w:tcPr>
          <w:p w:rsidR="00156DD6" w:rsidRDefault="00156DD6">
            <w:pPr>
              <w:autoSpaceDE w:val="0"/>
              <w:autoSpaceDN w:val="0"/>
              <w:adjustRightInd w:val="0"/>
              <w:snapToGrid w:val="0"/>
              <w:jc w:val="center"/>
              <w:rPr>
                <w:color w:val="000000" w:themeColor="text1"/>
              </w:rPr>
            </w:pPr>
          </w:p>
        </w:tc>
        <w:tc>
          <w:tcPr>
            <w:tcW w:w="927"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企业合并形成的</w:t>
            </w:r>
          </w:p>
        </w:tc>
        <w:tc>
          <w:tcPr>
            <w:tcW w:w="926"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处置</w:t>
            </w:r>
          </w:p>
        </w:tc>
        <w:tc>
          <w:tcPr>
            <w:tcW w:w="902" w:type="pct"/>
            <w:vMerge/>
          </w:tcPr>
          <w:p w:rsidR="00156DD6" w:rsidRDefault="00156DD6">
            <w:pPr>
              <w:autoSpaceDE w:val="0"/>
              <w:autoSpaceDN w:val="0"/>
              <w:adjustRightInd w:val="0"/>
              <w:snapToGrid w:val="0"/>
              <w:jc w:val="center"/>
              <w:rPr>
                <w:color w:val="000000" w:themeColor="text1"/>
              </w:rPr>
            </w:pPr>
          </w:p>
        </w:tc>
      </w:tr>
      <w:tr w:rsidR="00156DD6">
        <w:trPr>
          <w:trHeight w:val="338"/>
          <w:jc w:val="center"/>
        </w:trPr>
        <w:tc>
          <w:tcPr>
            <w:tcW w:w="1333" w:type="pct"/>
            <w:vAlign w:val="center"/>
          </w:tcPr>
          <w:p w:rsidR="00156DD6" w:rsidRDefault="00D51F5F">
            <w:pPr>
              <w:autoSpaceDE w:val="0"/>
              <w:autoSpaceDN w:val="0"/>
              <w:adjustRightInd w:val="0"/>
              <w:snapToGrid w:val="0"/>
              <w:jc w:val="both"/>
            </w:pPr>
            <w:r>
              <w:rPr>
                <w:rFonts w:hint="eastAsia"/>
              </w:rPr>
              <w:t>收购云变电气股权</w:t>
            </w:r>
          </w:p>
        </w:tc>
        <w:tc>
          <w:tcPr>
            <w:tcW w:w="913" w:type="pct"/>
            <w:vAlign w:val="center"/>
          </w:tcPr>
          <w:p w:rsidR="00156DD6" w:rsidRDefault="00D51F5F">
            <w:pPr>
              <w:autoSpaceDE w:val="0"/>
              <w:autoSpaceDN w:val="0"/>
              <w:adjustRightInd w:val="0"/>
              <w:snapToGrid w:val="0"/>
              <w:jc w:val="right"/>
            </w:pPr>
            <w:r>
              <w:t>45,542,860.20</w:t>
            </w:r>
          </w:p>
        </w:tc>
        <w:tc>
          <w:tcPr>
            <w:tcW w:w="927" w:type="pct"/>
            <w:vAlign w:val="center"/>
          </w:tcPr>
          <w:p w:rsidR="00156DD6" w:rsidRDefault="00156DD6">
            <w:pPr>
              <w:autoSpaceDE w:val="0"/>
              <w:autoSpaceDN w:val="0"/>
              <w:adjustRightInd w:val="0"/>
              <w:snapToGrid w:val="0"/>
              <w:jc w:val="right"/>
            </w:pPr>
          </w:p>
        </w:tc>
        <w:tc>
          <w:tcPr>
            <w:tcW w:w="926" w:type="pct"/>
            <w:vAlign w:val="center"/>
          </w:tcPr>
          <w:p w:rsidR="00156DD6" w:rsidRDefault="00156DD6">
            <w:pPr>
              <w:autoSpaceDE w:val="0"/>
              <w:autoSpaceDN w:val="0"/>
              <w:adjustRightInd w:val="0"/>
              <w:snapToGrid w:val="0"/>
              <w:jc w:val="right"/>
            </w:pPr>
          </w:p>
        </w:tc>
        <w:tc>
          <w:tcPr>
            <w:tcW w:w="902" w:type="pct"/>
            <w:vAlign w:val="center"/>
          </w:tcPr>
          <w:p w:rsidR="00156DD6" w:rsidRDefault="00D51F5F">
            <w:pPr>
              <w:autoSpaceDE w:val="0"/>
              <w:autoSpaceDN w:val="0"/>
              <w:adjustRightInd w:val="0"/>
              <w:snapToGrid w:val="0"/>
              <w:jc w:val="right"/>
            </w:pPr>
            <w:r>
              <w:t>45,542,860.20</w:t>
            </w:r>
          </w:p>
        </w:tc>
      </w:tr>
      <w:tr w:rsidR="00156DD6">
        <w:trPr>
          <w:trHeight w:val="296"/>
          <w:jc w:val="center"/>
        </w:trPr>
        <w:tc>
          <w:tcPr>
            <w:tcW w:w="1333" w:type="pct"/>
            <w:vAlign w:val="center"/>
          </w:tcPr>
          <w:p w:rsidR="00156DD6" w:rsidRDefault="00D51F5F">
            <w:pPr>
              <w:autoSpaceDE w:val="0"/>
              <w:autoSpaceDN w:val="0"/>
              <w:adjustRightInd w:val="0"/>
              <w:snapToGrid w:val="0"/>
              <w:jc w:val="center"/>
              <w:rPr>
                <w:color w:val="000000" w:themeColor="text1"/>
                <w:u w:val="double"/>
              </w:rPr>
            </w:pPr>
            <w:r>
              <w:rPr>
                <w:rFonts w:hint="eastAsia"/>
                <w:color w:val="000000" w:themeColor="text1"/>
              </w:rPr>
              <w:t>合计</w:t>
            </w:r>
          </w:p>
        </w:tc>
        <w:tc>
          <w:tcPr>
            <w:tcW w:w="913" w:type="pct"/>
            <w:vAlign w:val="center"/>
          </w:tcPr>
          <w:p w:rsidR="00156DD6" w:rsidRDefault="00D51F5F">
            <w:pPr>
              <w:jc w:val="right"/>
            </w:pPr>
            <w:r>
              <w:t>45,542,860.20</w:t>
            </w:r>
          </w:p>
        </w:tc>
        <w:tc>
          <w:tcPr>
            <w:tcW w:w="927" w:type="pct"/>
            <w:vAlign w:val="center"/>
          </w:tcPr>
          <w:p w:rsidR="00156DD6" w:rsidRDefault="00156DD6">
            <w:pPr>
              <w:jc w:val="right"/>
            </w:pPr>
          </w:p>
        </w:tc>
        <w:tc>
          <w:tcPr>
            <w:tcW w:w="926" w:type="pct"/>
            <w:vAlign w:val="center"/>
          </w:tcPr>
          <w:p w:rsidR="00156DD6" w:rsidRDefault="00156DD6">
            <w:pPr>
              <w:jc w:val="right"/>
            </w:pPr>
          </w:p>
        </w:tc>
        <w:tc>
          <w:tcPr>
            <w:tcW w:w="902" w:type="pct"/>
            <w:vAlign w:val="center"/>
          </w:tcPr>
          <w:p w:rsidR="00156DD6" w:rsidRDefault="00D51F5F">
            <w:pPr>
              <w:jc w:val="right"/>
            </w:pPr>
            <w:r>
              <w:t>45,542,860.20</w:t>
            </w:r>
          </w:p>
        </w:tc>
      </w:tr>
    </w:tbl>
    <w:p w:rsidR="00156DD6" w:rsidRDefault="00D51F5F">
      <w:pPr>
        <w:pStyle w:val="Style47"/>
        <w:numPr>
          <w:ilvl w:val="0"/>
          <w:numId w:val="66"/>
        </w:numPr>
        <w:tabs>
          <w:tab w:val="left" w:pos="588"/>
        </w:tabs>
        <w:rPr>
          <w:rFonts w:ascii="宋体" w:hAnsi="宋体"/>
          <w:color w:val="000000" w:themeColor="text1"/>
          <w:sz w:val="21"/>
          <w:szCs w:val="21"/>
        </w:rPr>
      </w:pPr>
      <w:r>
        <w:rPr>
          <w:rFonts w:ascii="宋体" w:hAnsi="宋体" w:hint="eastAsia"/>
          <w:color w:val="000000" w:themeColor="text1"/>
          <w:sz w:val="21"/>
          <w:szCs w:val="21"/>
        </w:rPr>
        <w:t>商誉减值准备</w:t>
      </w:r>
    </w:p>
    <w:sdt>
      <w:sdtPr>
        <w:rPr>
          <w:color w:val="000000" w:themeColor="text1"/>
        </w:rPr>
        <w:alias w:val="是否适用：商誉减值准备[双击切换]"/>
        <w:tag w:val="_GBC_743c9a20b5c043668f28664eb36decf8"/>
        <w:id w:val="-12471087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66"/>
        </w:numPr>
        <w:tabs>
          <w:tab w:val="left" w:pos="588"/>
        </w:tabs>
        <w:rPr>
          <w:rFonts w:ascii="宋体" w:hAnsi="宋体"/>
          <w:color w:val="000000" w:themeColor="text1"/>
          <w:sz w:val="21"/>
          <w:szCs w:val="21"/>
        </w:rPr>
      </w:pPr>
      <w:bookmarkStart w:id="365" w:name="_Hlk167959929"/>
      <w:r>
        <w:rPr>
          <w:rFonts w:ascii="宋体" w:hAnsi="宋体" w:hint="eastAsia"/>
          <w:color w:val="000000" w:themeColor="text1"/>
          <w:sz w:val="21"/>
          <w:szCs w:val="21"/>
        </w:rPr>
        <w:t>商誉所在资产组或资产组组合的相关信息</w:t>
      </w:r>
    </w:p>
    <w:sdt>
      <w:sdtPr>
        <w:rPr>
          <w:rFonts w:hint="eastAsia"/>
          <w:color w:val="000000" w:themeColor="text1"/>
        </w:rPr>
        <w:alias w:val="是否适用：商誉所在资产组或资产组组合的相关信息[双击切换]"/>
        <w:tag w:val="_GBC_3010fdfa06fe41c1b1d500ed6edace89"/>
        <w:id w:val="-70518273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5246"/>
        <w:gridCol w:w="3119"/>
        <w:gridCol w:w="3236"/>
      </w:tblGrid>
      <w:tr w:rsidR="00156DD6">
        <w:bookmarkStart w:id="366" w:name="_Hlk153462880" w:displacedByCustomXml="next"/>
        <w:sdt>
          <w:sdtPr>
            <w:tag w:val="_PLD_b6919452812d4aaa8936687b8bfccb67"/>
            <w:id w:val="-653989909"/>
          </w:sdtPr>
          <w:sdtEndPr/>
          <w:sdtContent>
            <w:tc>
              <w:tcPr>
                <w:tcW w:w="816" w:type="pct"/>
                <w:vAlign w:val="center"/>
              </w:tcPr>
              <w:p w:rsidR="00156DD6" w:rsidRDefault="00D51F5F">
                <w:pPr>
                  <w:jc w:val="center"/>
                  <w:rPr>
                    <w:color w:val="000000" w:themeColor="text1"/>
                  </w:rPr>
                </w:pPr>
                <w:r>
                  <w:rPr>
                    <w:rFonts w:hint="eastAsia"/>
                    <w:color w:val="000000" w:themeColor="text1"/>
                  </w:rPr>
                  <w:t>名称</w:t>
                </w:r>
              </w:p>
            </w:tc>
          </w:sdtContent>
        </w:sdt>
        <w:sdt>
          <w:sdtPr>
            <w:tag w:val="_PLD_e8f1b9a6221f4972b29c49808dc79d30"/>
            <w:id w:val="2090575141"/>
          </w:sdtPr>
          <w:sdtEndPr/>
          <w:sdtContent>
            <w:tc>
              <w:tcPr>
                <w:tcW w:w="1892" w:type="pct"/>
                <w:vAlign w:val="center"/>
              </w:tcPr>
              <w:p w:rsidR="00156DD6" w:rsidRDefault="00D51F5F">
                <w:pPr>
                  <w:jc w:val="center"/>
                  <w:rPr>
                    <w:color w:val="000000" w:themeColor="text1"/>
                  </w:rPr>
                </w:pPr>
                <w:r>
                  <w:rPr>
                    <w:rFonts w:hint="eastAsia"/>
                    <w:color w:val="000000" w:themeColor="text1"/>
                  </w:rPr>
                  <w:t>所属资产组或组合的构成及依据</w:t>
                </w:r>
              </w:p>
            </w:tc>
          </w:sdtContent>
        </w:sdt>
        <w:sdt>
          <w:sdtPr>
            <w:tag w:val="_PLD_96dd6bcac8ab4de3b253487e9cd88b15"/>
            <w:id w:val="-696547726"/>
          </w:sdtPr>
          <w:sdtEndPr/>
          <w:sdtContent>
            <w:tc>
              <w:tcPr>
                <w:tcW w:w="1125" w:type="pct"/>
                <w:vAlign w:val="center"/>
              </w:tcPr>
              <w:p w:rsidR="00156DD6" w:rsidRDefault="00D51F5F">
                <w:pPr>
                  <w:jc w:val="center"/>
                  <w:rPr>
                    <w:color w:val="000000" w:themeColor="text1"/>
                  </w:rPr>
                </w:pPr>
                <w:r>
                  <w:rPr>
                    <w:rFonts w:hint="eastAsia"/>
                    <w:color w:val="000000" w:themeColor="text1"/>
                  </w:rPr>
                  <w:t>所属经营分部及依据</w:t>
                </w:r>
              </w:p>
            </w:tc>
          </w:sdtContent>
        </w:sdt>
        <w:sdt>
          <w:sdtPr>
            <w:tag w:val="_PLD_54f9a2ad176b44a5adce49c2dd260962"/>
            <w:id w:val="350999375"/>
          </w:sdtPr>
          <w:sdtEndPr/>
          <w:sdtContent>
            <w:tc>
              <w:tcPr>
                <w:tcW w:w="1167" w:type="pct"/>
                <w:vAlign w:val="center"/>
              </w:tcPr>
              <w:p w:rsidR="00156DD6" w:rsidRDefault="00D51F5F">
                <w:pPr>
                  <w:jc w:val="center"/>
                  <w:rPr>
                    <w:color w:val="000000" w:themeColor="text1"/>
                  </w:rPr>
                </w:pPr>
                <w:r>
                  <w:rPr>
                    <w:rFonts w:hint="eastAsia"/>
                    <w:color w:val="000000" w:themeColor="text1"/>
                  </w:rPr>
                  <w:t>是否与以前年度保持一致</w:t>
                </w:r>
              </w:p>
            </w:tc>
          </w:sdtContent>
        </w:sdt>
      </w:tr>
      <w:tr w:rsidR="00156DD6">
        <w:tc>
          <w:tcPr>
            <w:tcW w:w="816" w:type="pct"/>
            <w:vAlign w:val="center"/>
          </w:tcPr>
          <w:p w:rsidR="00156DD6" w:rsidRDefault="00D51F5F">
            <w:pPr>
              <w:jc w:val="center"/>
            </w:pPr>
            <w:r>
              <w:t>云变电气</w:t>
            </w:r>
          </w:p>
        </w:tc>
        <w:tc>
          <w:tcPr>
            <w:tcW w:w="1892" w:type="pct"/>
            <w:vAlign w:val="center"/>
          </w:tcPr>
          <w:p w:rsidR="00156DD6" w:rsidRDefault="00D51F5F">
            <w:pPr>
              <w:jc w:val="center"/>
            </w:pPr>
            <w:r>
              <w:t>收购云变电气所形成相关商誉的资产及业务</w:t>
            </w:r>
          </w:p>
        </w:tc>
        <w:tc>
          <w:tcPr>
            <w:tcW w:w="1125" w:type="pct"/>
            <w:vAlign w:val="center"/>
          </w:tcPr>
          <w:p w:rsidR="00156DD6" w:rsidRDefault="00D51F5F">
            <w:pPr>
              <w:jc w:val="center"/>
            </w:pPr>
            <w:r>
              <w:t>根据营业收入实现地</w:t>
            </w:r>
          </w:p>
        </w:tc>
        <w:sdt>
          <w:sdtPr>
            <w:alias w:val="商誉所在资产组或资产组组合的相关信息明细_是否与以前年度保持一致"/>
            <w:tag w:val="_GBC_3b471d039e3b454d93c9768c072ce51c"/>
            <w:id w:val="-412085438"/>
            <w:comboBox>
              <w:listItem w:displayText="是" w:value="是"/>
              <w:listItem w:displayText="否" w:value="否"/>
            </w:comboBox>
          </w:sdtPr>
          <w:sdtEndPr/>
          <w:sdtContent>
            <w:tc>
              <w:tcPr>
                <w:tcW w:w="1167" w:type="pct"/>
                <w:vAlign w:val="center"/>
              </w:tcPr>
              <w:p w:rsidR="00156DD6" w:rsidRDefault="00D51F5F">
                <w:pPr>
                  <w:jc w:val="center"/>
                </w:pPr>
                <w:r>
                  <w:t>是</w:t>
                </w:r>
              </w:p>
            </w:tc>
          </w:sdtContent>
        </w:sdt>
      </w:tr>
    </w:tbl>
    <w:p w:rsidR="00156DD6" w:rsidRDefault="00D51F5F">
      <w:pPr>
        <w:rPr>
          <w:color w:val="000000" w:themeColor="text1"/>
        </w:rPr>
      </w:pPr>
      <w:r>
        <w:rPr>
          <w:rFonts w:hint="eastAsia"/>
          <w:color w:val="000000" w:themeColor="text1"/>
        </w:rPr>
        <w:t>资产组或资产组组合发生变化</w:t>
      </w:r>
    </w:p>
    <w:sdt>
      <w:sdtPr>
        <w:rPr>
          <w:color w:val="000000" w:themeColor="text1"/>
        </w:rPr>
        <w:alias w:val="是否适用：资产组或资产组组合发生变化[双击切换]"/>
        <w:tag w:val="_GBC_7123d6208cbb4b6a9f652548afdc778a"/>
        <w:id w:val="29349345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677"/>
        <w:gridCol w:w="4406"/>
        <w:gridCol w:w="3225"/>
      </w:tblGrid>
      <w:tr w:rsidR="00156DD6">
        <w:bookmarkEnd w:id="366" w:displacedByCustomXml="next"/>
        <w:bookmarkStart w:id="367" w:name="_Hlk152948734" w:displacedByCustomXml="next"/>
        <w:sdt>
          <w:sdtPr>
            <w:tag w:val="_PLD_1a2c9efbb16d456097d4175b112629f5"/>
            <w:id w:val="2007235723"/>
          </w:sdtPr>
          <w:sdtEndPr/>
          <w:sdtContent>
            <w:tc>
              <w:tcPr>
                <w:tcW w:w="561" w:type="pct"/>
                <w:vAlign w:val="center"/>
              </w:tcPr>
              <w:p w:rsidR="00156DD6" w:rsidRDefault="00D51F5F">
                <w:pPr>
                  <w:jc w:val="center"/>
                  <w:rPr>
                    <w:color w:val="000000" w:themeColor="text1"/>
                  </w:rPr>
                </w:pPr>
                <w:r>
                  <w:rPr>
                    <w:rFonts w:hint="eastAsia"/>
                    <w:color w:val="000000" w:themeColor="text1"/>
                  </w:rPr>
                  <w:t>名称</w:t>
                </w:r>
              </w:p>
            </w:tc>
          </w:sdtContent>
        </w:sdt>
        <w:sdt>
          <w:sdtPr>
            <w:tag w:val="_PLD_ffbd967c154c49f780e65290167c8da4"/>
            <w:id w:val="-502193558"/>
          </w:sdtPr>
          <w:sdtEndPr/>
          <w:sdtContent>
            <w:tc>
              <w:tcPr>
                <w:tcW w:w="1687" w:type="pct"/>
                <w:vAlign w:val="center"/>
              </w:tcPr>
              <w:p w:rsidR="00156DD6" w:rsidRDefault="00D51F5F">
                <w:pPr>
                  <w:jc w:val="center"/>
                  <w:rPr>
                    <w:color w:val="000000" w:themeColor="text1"/>
                  </w:rPr>
                </w:pPr>
                <w:r>
                  <w:rPr>
                    <w:rFonts w:hint="eastAsia"/>
                    <w:color w:val="000000" w:themeColor="text1"/>
                  </w:rPr>
                  <w:t>变化前的构成</w:t>
                </w:r>
              </w:p>
            </w:tc>
          </w:sdtContent>
        </w:sdt>
        <w:sdt>
          <w:sdtPr>
            <w:tag w:val="_PLD_4046c53d92ce45af8c20e1e109447b18"/>
            <w:id w:val="-1830810595"/>
          </w:sdtPr>
          <w:sdtEndPr/>
          <w:sdtContent>
            <w:tc>
              <w:tcPr>
                <w:tcW w:w="1589" w:type="pct"/>
                <w:vAlign w:val="center"/>
              </w:tcPr>
              <w:p w:rsidR="00156DD6" w:rsidRDefault="00D51F5F">
                <w:pPr>
                  <w:jc w:val="center"/>
                  <w:rPr>
                    <w:color w:val="000000" w:themeColor="text1"/>
                  </w:rPr>
                </w:pPr>
                <w:r>
                  <w:rPr>
                    <w:rFonts w:hint="eastAsia"/>
                    <w:color w:val="000000" w:themeColor="text1"/>
                  </w:rPr>
                  <w:t>变化后的构成</w:t>
                </w:r>
              </w:p>
            </w:tc>
          </w:sdtContent>
        </w:sdt>
        <w:sdt>
          <w:sdtPr>
            <w:tag w:val="_PLD_ab6493bee87b4246ae99c83af870b3d0"/>
            <w:id w:val="199130174"/>
          </w:sdtPr>
          <w:sdtEndPr/>
          <w:sdtContent>
            <w:tc>
              <w:tcPr>
                <w:tcW w:w="1163" w:type="pct"/>
                <w:vAlign w:val="center"/>
              </w:tcPr>
              <w:p w:rsidR="00156DD6" w:rsidRDefault="00D51F5F">
                <w:pPr>
                  <w:jc w:val="center"/>
                  <w:rPr>
                    <w:color w:val="000000" w:themeColor="text1"/>
                  </w:rPr>
                </w:pPr>
                <w:r>
                  <w:rPr>
                    <w:rFonts w:hint="eastAsia"/>
                    <w:color w:val="000000" w:themeColor="text1"/>
                  </w:rPr>
                  <w:t>导致变化的客观事实及依据</w:t>
                </w:r>
              </w:p>
            </w:tc>
          </w:sdtContent>
        </w:sdt>
      </w:tr>
      <w:tr w:rsidR="00156DD6">
        <w:tc>
          <w:tcPr>
            <w:tcW w:w="561" w:type="pct"/>
          </w:tcPr>
          <w:p w:rsidR="00156DD6" w:rsidRDefault="00D51F5F">
            <w:pPr>
              <w:jc w:val="both"/>
            </w:pPr>
            <w:r>
              <w:t>云变电气</w:t>
            </w:r>
          </w:p>
        </w:tc>
        <w:tc>
          <w:tcPr>
            <w:tcW w:w="1687" w:type="pct"/>
          </w:tcPr>
          <w:p w:rsidR="00156DD6" w:rsidRDefault="00D51F5F">
            <w:pPr>
              <w:jc w:val="both"/>
            </w:pPr>
            <w:r>
              <w:t>收购云变电气所形成相关商誉的资产及业务</w:t>
            </w:r>
          </w:p>
        </w:tc>
        <w:tc>
          <w:tcPr>
            <w:tcW w:w="1589" w:type="pct"/>
          </w:tcPr>
          <w:p w:rsidR="00156DD6" w:rsidRDefault="00D51F5F">
            <w:pPr>
              <w:jc w:val="both"/>
            </w:pPr>
            <w:r>
              <w:t>收购云变电气所形成相关商誉的资产及业务</w:t>
            </w:r>
          </w:p>
        </w:tc>
        <w:tc>
          <w:tcPr>
            <w:tcW w:w="1163" w:type="pct"/>
          </w:tcPr>
          <w:p w:rsidR="00156DD6" w:rsidRDefault="00D51F5F">
            <w:pPr>
              <w:jc w:val="both"/>
            </w:pPr>
            <w:r>
              <w:t>资产组未发生变化</w:t>
            </w:r>
          </w:p>
        </w:tc>
      </w:tr>
    </w:tbl>
    <w:p w:rsidR="00156DD6" w:rsidRDefault="00D51F5F">
      <w:pPr>
        <w:rPr>
          <w:color w:val="000000" w:themeColor="text1"/>
        </w:rPr>
      </w:pPr>
      <w:r>
        <w:rPr>
          <w:rFonts w:hint="eastAsia"/>
          <w:color w:val="000000" w:themeColor="text1"/>
        </w:rPr>
        <w:t>其他说明</w:t>
      </w:r>
    </w:p>
    <w:sdt>
      <w:sdtPr>
        <w:rPr>
          <w:color w:val="000000" w:themeColor="text1"/>
        </w:rPr>
        <w:alias w:val="是否适用：商誉所在资产组或资产组组合的相关信息其他说明[双击切换]"/>
        <w:tag w:val="_GBC_ffeac5265704403bb47e0eefe5c2d04e"/>
        <w:id w:val="-156794791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67"/>
    <w:p w:rsidR="00156DD6" w:rsidRDefault="00D51F5F">
      <w:pPr>
        <w:pStyle w:val="Style47"/>
        <w:numPr>
          <w:ilvl w:val="0"/>
          <w:numId w:val="66"/>
        </w:numPr>
        <w:tabs>
          <w:tab w:val="left" w:pos="588"/>
        </w:tabs>
        <w:rPr>
          <w:rFonts w:ascii="宋体" w:hAnsi="宋体"/>
          <w:color w:val="000000" w:themeColor="text1"/>
          <w:sz w:val="21"/>
          <w:szCs w:val="21"/>
        </w:rPr>
      </w:pPr>
      <w:r>
        <w:rPr>
          <w:rFonts w:ascii="宋体" w:hAnsi="宋体" w:hint="eastAsia"/>
          <w:color w:val="000000" w:themeColor="text1"/>
          <w:sz w:val="21"/>
          <w:szCs w:val="21"/>
        </w:rPr>
        <w:t>可收回金额的具体确定方法</w:t>
      </w:r>
    </w:p>
    <w:p w:rsidR="00156DD6" w:rsidRDefault="00D51F5F">
      <w:pPr>
        <w:rPr>
          <w:color w:val="000000" w:themeColor="text1"/>
        </w:rPr>
      </w:pPr>
      <w:bookmarkStart w:id="368" w:name="_Hlk153463075"/>
      <w:r>
        <w:rPr>
          <w:rFonts w:hint="eastAsia"/>
          <w:color w:val="000000" w:themeColor="text1"/>
        </w:rPr>
        <w:t>可收回金额按公允价值减去处置费用后的净额确定</w:t>
      </w:r>
    </w:p>
    <w:sdt>
      <w:sdtPr>
        <w:rPr>
          <w:color w:val="000000" w:themeColor="text1"/>
        </w:rPr>
        <w:alias w:val="是否适用：可收回金额按公允价值减去处置费用后的净额确定[双击切换]"/>
        <w:tag w:val="_GBC_c14479181df74e309ba619055f328f4b"/>
        <w:id w:val="11094620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可收回金额按预计未来现金流量的现值确定</w:t>
      </w:r>
    </w:p>
    <w:sdt>
      <w:sdtPr>
        <w:rPr>
          <w:rFonts w:hint="eastAsia"/>
          <w:color w:val="000000" w:themeColor="text1"/>
        </w:rPr>
        <w:alias w:val="是否适用：可收回金额按预计未来现金流量的现值确定[双击切换]"/>
        <w:tag w:val="_GBC_775cb3824be54e48866a569883927f9d"/>
        <w:id w:val="124230550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前述信息与以前年度减值测试采用的信息或外部信息明显不一致的差异原因</w:t>
      </w:r>
    </w:p>
    <w:sdt>
      <w:sdtPr>
        <w:rPr>
          <w:color w:val="000000" w:themeColor="text1"/>
        </w:rPr>
        <w:alias w:val="是否适用：前述信息与以前年度减值测试采用的信息或外部信息明显不一致的差异原因[双击切换]"/>
        <w:tag w:val="_GBC_345565131261427b821f225ca476b7f0"/>
        <w:id w:val="-118605105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公司以前年度减值测试采用信息与当年实际情况明显不一致的差异原因</w:t>
      </w:r>
    </w:p>
    <w:sdt>
      <w:sdtPr>
        <w:rPr>
          <w:color w:val="000000" w:themeColor="text1"/>
        </w:rPr>
        <w:alias w:val="是否适用：公司以前年度减值测试采用信息与当年实际情况明显不一致的差异原因[双击切换]"/>
        <w:tag w:val="_GBC_380768c596a145f29f00b98c2c4edba5"/>
        <w:id w:val="69936770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66"/>
        </w:numPr>
        <w:tabs>
          <w:tab w:val="left" w:pos="588"/>
        </w:tabs>
        <w:rPr>
          <w:rFonts w:ascii="宋体" w:hAnsi="宋体"/>
          <w:color w:val="000000" w:themeColor="text1"/>
          <w:sz w:val="21"/>
          <w:szCs w:val="21"/>
        </w:rPr>
      </w:pPr>
      <w:bookmarkStart w:id="369" w:name="_Hlk153463443"/>
      <w:bookmarkEnd w:id="368"/>
      <w:r>
        <w:rPr>
          <w:rFonts w:ascii="宋体" w:hAnsi="宋体" w:hint="eastAsia"/>
          <w:color w:val="000000" w:themeColor="text1"/>
          <w:sz w:val="21"/>
          <w:szCs w:val="21"/>
        </w:rPr>
        <w:t>业绩承诺及对应商誉减值情况</w:t>
      </w:r>
    </w:p>
    <w:p w:rsidR="00156DD6" w:rsidRDefault="00D51F5F">
      <w:pPr>
        <w:rPr>
          <w:color w:val="000000" w:themeColor="text1"/>
        </w:rPr>
      </w:pPr>
      <w:r>
        <w:rPr>
          <w:rFonts w:hint="eastAsia"/>
          <w:color w:val="000000" w:themeColor="text1"/>
        </w:rPr>
        <w:t>形成商誉时存在业绩承诺且报告期或报告期上一期间处于业绩承诺期内</w:t>
      </w:r>
    </w:p>
    <w:sdt>
      <w:sdtPr>
        <w:rPr>
          <w:color w:val="000000" w:themeColor="text1"/>
        </w:rPr>
        <w:alias w:val="是否适用：业绩承诺完成及对应商誉减值情况[双击切换]"/>
        <w:tag w:val="_GBC_f96eba4c85694a0d9c8987317df03a97"/>
        <w:id w:val="-155708197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65"/>
    <w:bookmarkEnd w:id="369"/>
    <w:p w:rsidR="00156DD6" w:rsidRDefault="00D51F5F">
      <w:pPr>
        <w:rPr>
          <w:color w:val="000000" w:themeColor="text1"/>
        </w:rPr>
      </w:pPr>
      <w:r>
        <w:rPr>
          <w:rFonts w:hint="eastAsia"/>
          <w:color w:val="000000" w:themeColor="text1"/>
        </w:rPr>
        <w:t>其他说明：</w:t>
      </w:r>
    </w:p>
    <w:sdt>
      <w:sdtPr>
        <w:rPr>
          <w:color w:val="000000" w:themeColor="text1"/>
        </w:rPr>
        <w:alias w:val="是否适用：商誉其他需要说明的事项[双击切换]"/>
        <w:tag w:val="_GBC_6b2c2377a4a6486b9a4ba845bd2192f6"/>
        <w:id w:val="-83468593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pStyle w:val="TOC6"/>
        <w:numPr>
          <w:ilvl w:val="0"/>
          <w:numId w:val="43"/>
        </w:numPr>
        <w:tabs>
          <w:tab w:val="left" w:pos="504"/>
        </w:tabs>
        <w:rPr>
          <w:rFonts w:ascii="宋体" w:hAnsi="宋体"/>
          <w:color w:val="000000" w:themeColor="text1"/>
          <w:szCs w:val="21"/>
        </w:rPr>
        <w:sectPr w:rsidR="00156DD6">
          <w:pgSz w:w="16838" w:h="11906" w:orient="landscape"/>
          <w:pgMar w:top="1797" w:right="1525" w:bottom="1276" w:left="1440" w:header="856" w:footer="992" w:gutter="0"/>
          <w:cols w:space="425"/>
          <w:docGrid w:linePitch="312"/>
        </w:sectPr>
      </w:pPr>
    </w:p>
    <w:p w:rsidR="00156DD6" w:rsidRDefault="00D51F5F">
      <w:pPr>
        <w:pStyle w:val="TOC6"/>
        <w:numPr>
          <w:ilvl w:val="0"/>
          <w:numId w:val="53"/>
        </w:numPr>
        <w:rPr>
          <w:color w:val="000000" w:themeColor="text1"/>
          <w:sz w:val="21"/>
          <w:szCs w:val="22"/>
        </w:rPr>
      </w:pPr>
      <w:r>
        <w:rPr>
          <w:color w:val="000000" w:themeColor="text1"/>
          <w:sz w:val="21"/>
          <w:szCs w:val="22"/>
        </w:rPr>
        <w:lastRenderedPageBreak/>
        <w:t>长期待摊费用</w:t>
      </w:r>
    </w:p>
    <w:sdt>
      <w:sdtPr>
        <w:rPr>
          <w:color w:val="000000" w:themeColor="text1"/>
        </w:rPr>
        <w:alias w:val="是否适用：长期待摊费用[双击切换]"/>
        <w:tag w:val="_GBC_9bec8f9516c84b19bae2fb8a7292063f"/>
        <w:id w:val="121345832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长期待摊费用"/>
          <w:tag w:val="_GBC_aa74f67aac374e54a7768a8434ab0c08"/>
          <w:id w:val="755621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待摊费用"/>
          <w:tag w:val="_GBC_767b9b701cf8425c9d588b0398c42e90"/>
          <w:id w:val="-7281468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76"/>
        <w:gridCol w:w="1456"/>
        <w:gridCol w:w="1456"/>
        <w:gridCol w:w="1479"/>
        <w:gridCol w:w="1546"/>
      </w:tblGrid>
      <w:tr w:rsidR="00156DD6">
        <w:sdt>
          <w:sdtPr>
            <w:tag w:val="_PLD_20e665ce568e49a5aa1c687384d611b3"/>
            <w:id w:val="-800535553"/>
          </w:sdtPr>
          <w:sdtEndPr/>
          <w:sdtContent>
            <w:tc>
              <w:tcPr>
                <w:tcW w:w="801" w:type="pct"/>
                <w:vAlign w:val="center"/>
              </w:tcPr>
              <w:p w:rsidR="00156DD6" w:rsidRDefault="00D51F5F">
                <w:pPr>
                  <w:jc w:val="center"/>
                  <w:rPr>
                    <w:color w:val="000000" w:themeColor="text1"/>
                  </w:rPr>
                </w:pPr>
                <w:r>
                  <w:rPr>
                    <w:rFonts w:hint="eastAsia"/>
                    <w:color w:val="000000" w:themeColor="text1"/>
                  </w:rPr>
                  <w:t>项目</w:t>
                </w:r>
              </w:p>
            </w:tc>
          </w:sdtContent>
        </w:sdt>
        <w:sdt>
          <w:sdtPr>
            <w:tag w:val="_PLD_e3597a5d560b48d59d41cd3dc72b1a3a"/>
            <w:id w:val="1261264930"/>
          </w:sdtPr>
          <w:sdtEndPr/>
          <w:sdtContent>
            <w:tc>
              <w:tcPr>
                <w:tcW w:w="827" w:type="pct"/>
                <w:vAlign w:val="center"/>
              </w:tcPr>
              <w:p w:rsidR="00156DD6" w:rsidRDefault="00D51F5F">
                <w:pPr>
                  <w:jc w:val="center"/>
                  <w:rPr>
                    <w:color w:val="000000" w:themeColor="text1"/>
                  </w:rPr>
                </w:pPr>
                <w:r>
                  <w:rPr>
                    <w:rFonts w:hint="eastAsia"/>
                    <w:color w:val="000000" w:themeColor="text1"/>
                  </w:rPr>
                  <w:t>期初余额</w:t>
                </w:r>
              </w:p>
            </w:tc>
          </w:sdtContent>
        </w:sdt>
        <w:sdt>
          <w:sdtPr>
            <w:tag w:val="_PLD_2edffaf8b24b489e97f2d4a6a5ec5711"/>
            <w:id w:val="1200902842"/>
          </w:sdtPr>
          <w:sdtEndPr/>
          <w:sdtContent>
            <w:tc>
              <w:tcPr>
                <w:tcW w:w="827" w:type="pct"/>
                <w:vAlign w:val="center"/>
              </w:tcPr>
              <w:p w:rsidR="00156DD6" w:rsidRDefault="00D51F5F">
                <w:pPr>
                  <w:jc w:val="center"/>
                  <w:rPr>
                    <w:color w:val="000000" w:themeColor="text1"/>
                  </w:rPr>
                </w:pPr>
                <w:r>
                  <w:rPr>
                    <w:rFonts w:hint="eastAsia"/>
                    <w:color w:val="000000" w:themeColor="text1"/>
                  </w:rPr>
                  <w:t>本期增加金额</w:t>
                </w:r>
              </w:p>
            </w:tc>
          </w:sdtContent>
        </w:sdt>
        <w:sdt>
          <w:sdtPr>
            <w:tag w:val="_PLD_f6bc6a07519e4f6cab5889776aa0ecbd"/>
            <w:id w:val="-53007573"/>
          </w:sdtPr>
          <w:sdtEndPr/>
          <w:sdtContent>
            <w:tc>
              <w:tcPr>
                <w:tcW w:w="827" w:type="pct"/>
                <w:vAlign w:val="center"/>
              </w:tcPr>
              <w:p w:rsidR="00156DD6" w:rsidRDefault="00D51F5F">
                <w:pPr>
                  <w:jc w:val="center"/>
                  <w:rPr>
                    <w:color w:val="000000" w:themeColor="text1"/>
                  </w:rPr>
                </w:pPr>
                <w:r>
                  <w:rPr>
                    <w:rFonts w:hint="eastAsia"/>
                    <w:color w:val="000000" w:themeColor="text1"/>
                  </w:rPr>
                  <w:t>本期摊销金额</w:t>
                </w:r>
              </w:p>
            </w:tc>
          </w:sdtContent>
        </w:sdt>
        <w:sdt>
          <w:sdtPr>
            <w:tag w:val="_PLD_f987bb682c974016898d37b474ce35c6"/>
            <w:id w:val="1357692023"/>
          </w:sdtPr>
          <w:sdtEndPr/>
          <w:sdtContent>
            <w:tc>
              <w:tcPr>
                <w:tcW w:w="840" w:type="pct"/>
                <w:vAlign w:val="center"/>
              </w:tcPr>
              <w:p w:rsidR="00156DD6" w:rsidRDefault="00D51F5F">
                <w:pPr>
                  <w:jc w:val="center"/>
                  <w:rPr>
                    <w:color w:val="000000" w:themeColor="text1"/>
                  </w:rPr>
                </w:pPr>
                <w:r>
                  <w:rPr>
                    <w:rFonts w:hint="eastAsia"/>
                    <w:color w:val="000000" w:themeColor="text1"/>
                  </w:rPr>
                  <w:t>其他减少金额</w:t>
                </w:r>
              </w:p>
            </w:tc>
          </w:sdtContent>
        </w:sdt>
        <w:sdt>
          <w:sdtPr>
            <w:tag w:val="_PLD_dab738986fbc4bd7b942faf77cb39605"/>
            <w:id w:val="2136978251"/>
          </w:sdtPr>
          <w:sdtEndPr/>
          <w:sdtContent>
            <w:tc>
              <w:tcPr>
                <w:tcW w:w="878" w:type="pct"/>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801" w:type="pct"/>
            <w:vAlign w:val="center"/>
          </w:tcPr>
          <w:p w:rsidR="00156DD6" w:rsidRDefault="00D51F5F">
            <w:pPr>
              <w:pStyle w:val="Style43"/>
              <w:jc w:val="both"/>
            </w:pPr>
            <w:r>
              <w:t>装修费</w:t>
            </w:r>
          </w:p>
        </w:tc>
        <w:tc>
          <w:tcPr>
            <w:tcW w:w="827" w:type="pct"/>
            <w:vAlign w:val="center"/>
          </w:tcPr>
          <w:p w:rsidR="00156DD6" w:rsidRDefault="00D51F5F">
            <w:pPr>
              <w:jc w:val="right"/>
            </w:pPr>
            <w:r>
              <w:t>961,788.88</w:t>
            </w:r>
          </w:p>
        </w:tc>
        <w:tc>
          <w:tcPr>
            <w:tcW w:w="827" w:type="pct"/>
          </w:tcPr>
          <w:p w:rsidR="00156DD6" w:rsidRDefault="00156DD6">
            <w:pPr>
              <w:jc w:val="right"/>
            </w:pPr>
          </w:p>
        </w:tc>
        <w:tc>
          <w:tcPr>
            <w:tcW w:w="827" w:type="pct"/>
            <w:vAlign w:val="center"/>
          </w:tcPr>
          <w:p w:rsidR="00156DD6" w:rsidRDefault="00D51F5F">
            <w:pPr>
              <w:jc w:val="right"/>
            </w:pPr>
            <w:r>
              <w:t xml:space="preserve"> 358,132.23 </w:t>
            </w:r>
          </w:p>
        </w:tc>
        <w:tc>
          <w:tcPr>
            <w:tcW w:w="840" w:type="pct"/>
            <w:vAlign w:val="center"/>
          </w:tcPr>
          <w:p w:rsidR="00156DD6" w:rsidRDefault="00156DD6">
            <w:pPr>
              <w:jc w:val="right"/>
            </w:pPr>
          </w:p>
        </w:tc>
        <w:tc>
          <w:tcPr>
            <w:tcW w:w="878" w:type="pct"/>
            <w:vAlign w:val="center"/>
          </w:tcPr>
          <w:p w:rsidR="00156DD6" w:rsidRDefault="00D51F5F">
            <w:pPr>
              <w:jc w:val="right"/>
            </w:pPr>
            <w:r>
              <w:t xml:space="preserve"> 603,656.65 </w:t>
            </w:r>
          </w:p>
        </w:tc>
      </w:tr>
      <w:tr w:rsidR="00156DD6">
        <w:tc>
          <w:tcPr>
            <w:tcW w:w="801" w:type="pct"/>
            <w:vAlign w:val="center"/>
          </w:tcPr>
          <w:p w:rsidR="00156DD6" w:rsidRDefault="00D51F5F">
            <w:pPr>
              <w:pStyle w:val="Style43"/>
              <w:jc w:val="both"/>
            </w:pPr>
            <w:r>
              <w:t>其他</w:t>
            </w:r>
          </w:p>
        </w:tc>
        <w:tc>
          <w:tcPr>
            <w:tcW w:w="827" w:type="pct"/>
            <w:vAlign w:val="center"/>
          </w:tcPr>
          <w:p w:rsidR="00156DD6" w:rsidRDefault="00D51F5F">
            <w:pPr>
              <w:jc w:val="right"/>
            </w:pPr>
            <w:r>
              <w:t>2,252,690.35</w:t>
            </w:r>
          </w:p>
        </w:tc>
        <w:tc>
          <w:tcPr>
            <w:tcW w:w="827" w:type="pct"/>
          </w:tcPr>
          <w:p w:rsidR="00156DD6" w:rsidRDefault="00156DD6">
            <w:pPr>
              <w:jc w:val="right"/>
            </w:pPr>
          </w:p>
        </w:tc>
        <w:tc>
          <w:tcPr>
            <w:tcW w:w="827" w:type="pct"/>
            <w:vAlign w:val="center"/>
          </w:tcPr>
          <w:p w:rsidR="00156DD6" w:rsidRDefault="00D51F5F">
            <w:pPr>
              <w:jc w:val="right"/>
            </w:pPr>
            <w:r>
              <w:t xml:space="preserve"> 306,790.44 </w:t>
            </w:r>
          </w:p>
        </w:tc>
        <w:tc>
          <w:tcPr>
            <w:tcW w:w="840" w:type="pct"/>
            <w:vAlign w:val="center"/>
          </w:tcPr>
          <w:p w:rsidR="00156DD6" w:rsidRDefault="00156DD6">
            <w:pPr>
              <w:jc w:val="right"/>
            </w:pPr>
          </w:p>
        </w:tc>
        <w:tc>
          <w:tcPr>
            <w:tcW w:w="878" w:type="pct"/>
            <w:vAlign w:val="center"/>
          </w:tcPr>
          <w:p w:rsidR="00156DD6" w:rsidRDefault="00D51F5F">
            <w:pPr>
              <w:jc w:val="right"/>
            </w:pPr>
            <w:r>
              <w:t xml:space="preserve">1,945,899.91 </w:t>
            </w:r>
          </w:p>
        </w:tc>
      </w:tr>
      <w:tr w:rsidR="00156DD6">
        <w:tc>
          <w:tcPr>
            <w:tcW w:w="801" w:type="pct"/>
            <w:vAlign w:val="center"/>
          </w:tcPr>
          <w:p w:rsidR="00156DD6" w:rsidRDefault="00D51F5F">
            <w:pPr>
              <w:jc w:val="center"/>
              <w:rPr>
                <w:color w:val="000000" w:themeColor="text1"/>
              </w:rPr>
            </w:pPr>
            <w:r>
              <w:rPr>
                <w:rFonts w:hint="eastAsia"/>
                <w:color w:val="000000" w:themeColor="text1"/>
              </w:rPr>
              <w:t>合计</w:t>
            </w:r>
          </w:p>
        </w:tc>
        <w:tc>
          <w:tcPr>
            <w:tcW w:w="827" w:type="pct"/>
            <w:vAlign w:val="center"/>
          </w:tcPr>
          <w:p w:rsidR="00156DD6" w:rsidRDefault="00D51F5F">
            <w:pPr>
              <w:jc w:val="right"/>
            </w:pPr>
            <w:r>
              <w:t>3,214,479.23</w:t>
            </w:r>
          </w:p>
        </w:tc>
        <w:tc>
          <w:tcPr>
            <w:tcW w:w="827" w:type="pct"/>
          </w:tcPr>
          <w:p w:rsidR="00156DD6" w:rsidRDefault="00156DD6">
            <w:pPr>
              <w:jc w:val="right"/>
            </w:pPr>
          </w:p>
        </w:tc>
        <w:tc>
          <w:tcPr>
            <w:tcW w:w="827" w:type="pct"/>
            <w:vAlign w:val="center"/>
          </w:tcPr>
          <w:p w:rsidR="00156DD6" w:rsidRDefault="00D51F5F">
            <w:pPr>
              <w:jc w:val="right"/>
            </w:pPr>
            <w:r>
              <w:t xml:space="preserve"> 664,922.67 </w:t>
            </w:r>
          </w:p>
        </w:tc>
        <w:tc>
          <w:tcPr>
            <w:tcW w:w="840" w:type="pct"/>
            <w:vAlign w:val="center"/>
          </w:tcPr>
          <w:p w:rsidR="00156DD6" w:rsidRDefault="00156DD6">
            <w:pPr>
              <w:jc w:val="right"/>
            </w:pPr>
          </w:p>
        </w:tc>
        <w:tc>
          <w:tcPr>
            <w:tcW w:w="878" w:type="pct"/>
            <w:vAlign w:val="center"/>
          </w:tcPr>
          <w:p w:rsidR="00156DD6" w:rsidRDefault="00D51F5F">
            <w:pPr>
              <w:jc w:val="right"/>
            </w:pPr>
            <w:r>
              <w:t xml:space="preserve">2,549,556.56 </w:t>
            </w:r>
          </w:p>
        </w:tc>
      </w:tr>
    </w:tbl>
    <w:p w:rsidR="00156DD6" w:rsidRDefault="00D51F5F">
      <w:pPr>
        <w:rPr>
          <w:color w:val="000000" w:themeColor="text1"/>
        </w:rPr>
      </w:pPr>
      <w:r>
        <w:rPr>
          <w:rFonts w:hint="eastAsia"/>
          <w:color w:val="000000" w:themeColor="text1"/>
        </w:rPr>
        <w:t>其他说明：</w:t>
      </w:r>
    </w:p>
    <w:sdt>
      <w:sdtPr>
        <w:rPr>
          <w:color w:val="000000" w:themeColor="text1"/>
        </w:rPr>
        <w:alias w:val="长期待摊费用的说明"/>
        <w:tag w:val="_GBC_5b31c466b60f433faaa37d443fae74be"/>
        <w:id w:val="-1316646090"/>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bookmarkStart w:id="370" w:name="OLE_LINK8"/>
      <w:r>
        <w:rPr>
          <w:color w:val="000000" w:themeColor="text1"/>
          <w:sz w:val="21"/>
          <w:szCs w:val="22"/>
        </w:rPr>
        <w:t>递延所得税资产</w:t>
      </w:r>
      <w:r>
        <w:rPr>
          <w:color w:val="000000" w:themeColor="text1"/>
          <w:sz w:val="21"/>
          <w:szCs w:val="22"/>
        </w:rPr>
        <w:t xml:space="preserve">/ </w:t>
      </w:r>
      <w:r>
        <w:rPr>
          <w:color w:val="000000" w:themeColor="text1"/>
          <w:sz w:val="21"/>
          <w:szCs w:val="22"/>
        </w:rPr>
        <w:t>递延所得税负债</w:t>
      </w:r>
      <w:bookmarkEnd w:id="370"/>
    </w:p>
    <w:p w:rsidR="00156DD6" w:rsidRDefault="00D51F5F">
      <w:pPr>
        <w:pStyle w:val="Style47"/>
        <w:numPr>
          <w:ilvl w:val="0"/>
          <w:numId w:val="67"/>
        </w:numPr>
        <w:tabs>
          <w:tab w:val="left" w:pos="588"/>
          <w:tab w:val="left" w:pos="616"/>
        </w:tabs>
        <w:rPr>
          <w:rFonts w:ascii="宋体" w:hAnsi="宋体"/>
          <w:color w:val="000000" w:themeColor="text1"/>
          <w:sz w:val="21"/>
          <w:szCs w:val="21"/>
        </w:rPr>
      </w:pPr>
      <w:bookmarkStart w:id="371" w:name="_Toc215903151"/>
      <w:r>
        <w:rPr>
          <w:rFonts w:ascii="宋体" w:hAnsi="宋体" w:hint="eastAsia"/>
          <w:color w:val="000000" w:themeColor="text1"/>
          <w:sz w:val="21"/>
          <w:szCs w:val="21"/>
        </w:rPr>
        <w:t>未经抵销的递延所得税资产</w:t>
      </w:r>
    </w:p>
    <w:sdt>
      <w:sdtPr>
        <w:rPr>
          <w:color w:val="000000" w:themeColor="text1"/>
        </w:rPr>
        <w:alias w:val="是否适用：未经抵销的递延所得税资产[双击切换]"/>
        <w:tag w:val="_GBC_fc6e77974a404dc3bef5fc386ae4e1e7"/>
        <w:id w:val="-46019680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已确认的递延所得税资产和递延所得税负债"/>
          <w:tag w:val="_GBC_7be724d3c6f14974914db7d02bb734f9"/>
          <w:id w:val="14984552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bookmarkEnd w:id="371"/>
      <w:sdt>
        <w:sdtPr>
          <w:rPr>
            <w:rFonts w:hint="eastAsia"/>
            <w:color w:val="000000" w:themeColor="text1"/>
          </w:rPr>
          <w:alias w:val="币种：财务附注：已确认的递延所得税资产和递延所得税负债"/>
          <w:tag w:val="_GBC_a48237f045494aa9a0ea8c2cb35b1c0f"/>
          <w:id w:val="-12207498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686"/>
        <w:gridCol w:w="1581"/>
        <w:gridCol w:w="1686"/>
        <w:gridCol w:w="1581"/>
      </w:tblGrid>
      <w:tr w:rsidR="00156DD6">
        <w:trPr>
          <w:trHeight w:val="285"/>
        </w:trPr>
        <w:sdt>
          <w:sdtPr>
            <w:tag w:val="_PLD_e45101b3a01946f19f22657bb959574e"/>
            <w:id w:val="-476686745"/>
          </w:sdtPr>
          <w:sdtEndPr/>
          <w:sdtContent>
            <w:tc>
              <w:tcPr>
                <w:tcW w:w="1298" w:type="pct"/>
                <w:vMerge w:val="restart"/>
                <w:vAlign w:val="center"/>
              </w:tcPr>
              <w:p w:rsidR="00156DD6" w:rsidRDefault="00D51F5F">
                <w:pPr>
                  <w:jc w:val="center"/>
                  <w:rPr>
                    <w:color w:val="000000" w:themeColor="text1"/>
                  </w:rPr>
                </w:pPr>
                <w:r>
                  <w:rPr>
                    <w:rFonts w:hint="eastAsia"/>
                    <w:color w:val="000000" w:themeColor="text1"/>
                  </w:rPr>
                  <w:t>项目</w:t>
                </w:r>
              </w:p>
            </w:tc>
          </w:sdtContent>
        </w:sdt>
        <w:sdt>
          <w:sdtPr>
            <w:tag w:val="_PLD_dd892ffecd234c819059bf10f71b1910"/>
            <w:id w:val="-14614500"/>
          </w:sdtPr>
          <w:sdtEndPr/>
          <w:sdtContent>
            <w:tc>
              <w:tcPr>
                <w:tcW w:w="1851" w:type="pct"/>
                <w:gridSpan w:val="2"/>
                <w:vAlign w:val="center"/>
              </w:tcPr>
              <w:p w:rsidR="00156DD6" w:rsidRDefault="00D51F5F">
                <w:pPr>
                  <w:jc w:val="center"/>
                  <w:rPr>
                    <w:color w:val="000000" w:themeColor="text1"/>
                  </w:rPr>
                </w:pPr>
                <w:r>
                  <w:rPr>
                    <w:rFonts w:hint="eastAsia"/>
                    <w:color w:val="000000" w:themeColor="text1"/>
                  </w:rPr>
                  <w:t>期末余额</w:t>
                </w:r>
              </w:p>
            </w:tc>
          </w:sdtContent>
        </w:sdt>
        <w:sdt>
          <w:sdtPr>
            <w:tag w:val="_PLD_be855fcb002344d6ae2c74083e90b1c1"/>
            <w:id w:val="2074694196"/>
          </w:sdtPr>
          <w:sdtEndPr/>
          <w:sdtContent>
            <w:tc>
              <w:tcPr>
                <w:tcW w:w="1851" w:type="pct"/>
                <w:gridSpan w:val="2"/>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trHeight w:val="285"/>
        </w:trPr>
        <w:tc>
          <w:tcPr>
            <w:tcW w:w="1298" w:type="pct"/>
            <w:vMerge/>
            <w:vAlign w:val="center"/>
          </w:tcPr>
          <w:p w:rsidR="00156DD6" w:rsidRDefault="00156DD6">
            <w:pPr>
              <w:jc w:val="center"/>
              <w:rPr>
                <w:b/>
                <w:color w:val="000000" w:themeColor="text1"/>
              </w:rPr>
            </w:pPr>
          </w:p>
        </w:tc>
        <w:sdt>
          <w:sdtPr>
            <w:tag w:val="_PLD_c82eb64547054aa39a1b7bfe7c532e2e"/>
            <w:id w:val="-275176657"/>
          </w:sdtPr>
          <w:sdtEndPr/>
          <w:sdtContent>
            <w:tc>
              <w:tcPr>
                <w:tcW w:w="955" w:type="pct"/>
                <w:vAlign w:val="center"/>
              </w:tcPr>
              <w:p w:rsidR="00156DD6" w:rsidRDefault="00D51F5F">
                <w:pPr>
                  <w:jc w:val="center"/>
                  <w:rPr>
                    <w:color w:val="000000" w:themeColor="text1"/>
                  </w:rPr>
                </w:pPr>
                <w:r>
                  <w:rPr>
                    <w:rFonts w:hint="eastAsia"/>
                    <w:color w:val="000000" w:themeColor="text1"/>
                  </w:rPr>
                  <w:t>可抵扣暂时性差异</w:t>
                </w:r>
              </w:p>
            </w:tc>
          </w:sdtContent>
        </w:sdt>
        <w:sdt>
          <w:sdtPr>
            <w:tag w:val="_PLD_ad2e47975c52486d8bfc7fec079252de"/>
            <w:id w:val="461776672"/>
          </w:sdtPr>
          <w:sdtEndPr/>
          <w:sdtContent>
            <w:tc>
              <w:tcPr>
                <w:tcW w:w="896" w:type="pct"/>
                <w:vAlign w:val="center"/>
              </w:tcPr>
              <w:p w:rsidR="00156DD6" w:rsidRDefault="00D51F5F">
                <w:pPr>
                  <w:jc w:val="center"/>
                  <w:rPr>
                    <w:color w:val="000000" w:themeColor="text1"/>
                  </w:rPr>
                </w:pPr>
                <w:r>
                  <w:rPr>
                    <w:rFonts w:hint="eastAsia"/>
                    <w:color w:val="000000" w:themeColor="text1"/>
                  </w:rPr>
                  <w:t>递延所得税</w:t>
                </w:r>
              </w:p>
              <w:p w:rsidR="00156DD6" w:rsidRDefault="00D51F5F">
                <w:pPr>
                  <w:jc w:val="center"/>
                  <w:rPr>
                    <w:color w:val="000000" w:themeColor="text1"/>
                  </w:rPr>
                </w:pPr>
                <w:r>
                  <w:rPr>
                    <w:rFonts w:hint="eastAsia"/>
                    <w:color w:val="000000" w:themeColor="text1"/>
                  </w:rPr>
                  <w:t>资产</w:t>
                </w:r>
              </w:p>
            </w:tc>
          </w:sdtContent>
        </w:sdt>
        <w:sdt>
          <w:sdtPr>
            <w:tag w:val="_PLD_0e0e7aabb5f8432ea9da8b4066b2e897"/>
            <w:id w:val="1454284255"/>
          </w:sdtPr>
          <w:sdtEndPr/>
          <w:sdtContent>
            <w:tc>
              <w:tcPr>
                <w:tcW w:w="955" w:type="pct"/>
                <w:vAlign w:val="center"/>
              </w:tcPr>
              <w:p w:rsidR="00156DD6" w:rsidRDefault="00D51F5F">
                <w:pPr>
                  <w:jc w:val="center"/>
                  <w:rPr>
                    <w:color w:val="000000" w:themeColor="text1"/>
                  </w:rPr>
                </w:pPr>
                <w:r>
                  <w:rPr>
                    <w:rFonts w:hint="eastAsia"/>
                    <w:color w:val="000000" w:themeColor="text1"/>
                  </w:rPr>
                  <w:t>可抵扣暂时性差异</w:t>
                </w:r>
              </w:p>
            </w:tc>
          </w:sdtContent>
        </w:sdt>
        <w:sdt>
          <w:sdtPr>
            <w:tag w:val="_PLD_34147e3346eb4b24b314e0dadaab6983"/>
            <w:id w:val="-462115195"/>
          </w:sdtPr>
          <w:sdtEndPr/>
          <w:sdtContent>
            <w:tc>
              <w:tcPr>
                <w:tcW w:w="896" w:type="pct"/>
                <w:vAlign w:val="center"/>
              </w:tcPr>
              <w:p w:rsidR="00156DD6" w:rsidRDefault="00D51F5F">
                <w:pPr>
                  <w:jc w:val="center"/>
                  <w:rPr>
                    <w:color w:val="000000" w:themeColor="text1"/>
                  </w:rPr>
                </w:pPr>
                <w:r>
                  <w:rPr>
                    <w:rFonts w:hint="eastAsia"/>
                    <w:color w:val="000000" w:themeColor="text1"/>
                  </w:rPr>
                  <w:t>递延所得税</w:t>
                </w:r>
              </w:p>
              <w:p w:rsidR="00156DD6" w:rsidRDefault="00D51F5F">
                <w:pPr>
                  <w:jc w:val="center"/>
                  <w:rPr>
                    <w:color w:val="000000" w:themeColor="text1"/>
                  </w:rPr>
                </w:pPr>
                <w:r>
                  <w:rPr>
                    <w:rFonts w:hint="eastAsia"/>
                    <w:color w:val="000000" w:themeColor="text1"/>
                  </w:rPr>
                  <w:t>资产</w:t>
                </w:r>
              </w:p>
            </w:tc>
          </w:sdtContent>
        </w:sdt>
      </w:tr>
      <w:tr w:rsidR="00156DD6">
        <w:trPr>
          <w:trHeight w:val="285"/>
        </w:trPr>
        <w:tc>
          <w:tcPr>
            <w:tcW w:w="1298" w:type="pct"/>
          </w:tcPr>
          <w:p w:rsidR="00156DD6" w:rsidRDefault="00D51F5F">
            <w:pPr>
              <w:rPr>
                <w:color w:val="000000" w:themeColor="text1"/>
              </w:rPr>
            </w:pPr>
            <w:r>
              <w:rPr>
                <w:rFonts w:hint="eastAsia"/>
              </w:rPr>
              <w:t>资产减值准备</w:t>
            </w:r>
          </w:p>
        </w:tc>
        <w:tc>
          <w:tcPr>
            <w:tcW w:w="955" w:type="pct"/>
          </w:tcPr>
          <w:p w:rsidR="00156DD6" w:rsidRDefault="00D51F5F">
            <w:pPr>
              <w:jc w:val="right"/>
            </w:pPr>
            <w:r>
              <w:rPr>
                <w:rFonts w:hint="eastAsia"/>
              </w:rPr>
              <w:t xml:space="preserve">245,833,399.40 </w:t>
            </w:r>
          </w:p>
        </w:tc>
        <w:tc>
          <w:tcPr>
            <w:tcW w:w="896" w:type="pct"/>
          </w:tcPr>
          <w:p w:rsidR="00156DD6" w:rsidRDefault="00D51F5F">
            <w:pPr>
              <w:jc w:val="right"/>
            </w:pPr>
            <w:r>
              <w:rPr>
                <w:rFonts w:hint="eastAsia"/>
              </w:rPr>
              <w:t xml:space="preserve">36,922,326.68 </w:t>
            </w:r>
          </w:p>
        </w:tc>
        <w:tc>
          <w:tcPr>
            <w:tcW w:w="955" w:type="pct"/>
            <w:vAlign w:val="center"/>
          </w:tcPr>
          <w:p w:rsidR="00156DD6" w:rsidRDefault="00D51F5F">
            <w:pPr>
              <w:jc w:val="right"/>
            </w:pPr>
            <w:r>
              <w:t>242,535,854.58</w:t>
            </w:r>
          </w:p>
        </w:tc>
        <w:tc>
          <w:tcPr>
            <w:tcW w:w="896" w:type="pct"/>
            <w:vAlign w:val="center"/>
          </w:tcPr>
          <w:p w:rsidR="00156DD6" w:rsidRDefault="00D51F5F">
            <w:pPr>
              <w:jc w:val="right"/>
            </w:pPr>
            <w:r>
              <w:t>36,458,680.97</w:t>
            </w:r>
          </w:p>
        </w:tc>
      </w:tr>
      <w:tr w:rsidR="00156DD6">
        <w:trPr>
          <w:trHeight w:val="285"/>
        </w:trPr>
        <w:tc>
          <w:tcPr>
            <w:tcW w:w="1298" w:type="pct"/>
          </w:tcPr>
          <w:p w:rsidR="00156DD6" w:rsidRDefault="00D51F5F">
            <w:pPr>
              <w:rPr>
                <w:color w:val="000000" w:themeColor="text1"/>
              </w:rPr>
            </w:pPr>
            <w:r>
              <w:rPr>
                <w:rFonts w:hint="eastAsia"/>
              </w:rPr>
              <w:t>内部交易未实现利润</w:t>
            </w:r>
          </w:p>
        </w:tc>
        <w:tc>
          <w:tcPr>
            <w:tcW w:w="955" w:type="pct"/>
          </w:tcPr>
          <w:p w:rsidR="00156DD6" w:rsidRDefault="00D51F5F">
            <w:pPr>
              <w:jc w:val="right"/>
            </w:pPr>
            <w:r>
              <w:rPr>
                <w:rFonts w:hint="eastAsia"/>
              </w:rPr>
              <w:t xml:space="preserve"> 21,753,547.80 </w:t>
            </w:r>
          </w:p>
        </w:tc>
        <w:tc>
          <w:tcPr>
            <w:tcW w:w="896" w:type="pct"/>
          </w:tcPr>
          <w:p w:rsidR="00156DD6" w:rsidRDefault="00D51F5F">
            <w:pPr>
              <w:jc w:val="right"/>
            </w:pPr>
            <w:r>
              <w:rPr>
                <w:rFonts w:hint="eastAsia"/>
              </w:rPr>
              <w:t xml:space="preserve"> 3,263,032.17 </w:t>
            </w:r>
          </w:p>
        </w:tc>
        <w:tc>
          <w:tcPr>
            <w:tcW w:w="955" w:type="pct"/>
            <w:vAlign w:val="center"/>
          </w:tcPr>
          <w:p w:rsidR="00156DD6" w:rsidRDefault="00D51F5F">
            <w:pPr>
              <w:jc w:val="right"/>
            </w:pPr>
            <w:r>
              <w:t>8,186,641.38</w:t>
            </w:r>
          </w:p>
        </w:tc>
        <w:tc>
          <w:tcPr>
            <w:tcW w:w="896" w:type="pct"/>
            <w:vAlign w:val="center"/>
          </w:tcPr>
          <w:p w:rsidR="00156DD6" w:rsidRDefault="00D51F5F">
            <w:pPr>
              <w:jc w:val="right"/>
            </w:pPr>
            <w:r>
              <w:t>1,227,996.20</w:t>
            </w:r>
          </w:p>
        </w:tc>
      </w:tr>
      <w:tr w:rsidR="00156DD6">
        <w:trPr>
          <w:trHeight w:val="285"/>
        </w:trPr>
        <w:tc>
          <w:tcPr>
            <w:tcW w:w="1298" w:type="pct"/>
            <w:tcBorders>
              <w:bottom w:val="single" w:sz="4" w:space="0" w:color="auto"/>
            </w:tcBorders>
          </w:tcPr>
          <w:p w:rsidR="00156DD6" w:rsidRDefault="00D51F5F">
            <w:pPr>
              <w:rPr>
                <w:color w:val="000000" w:themeColor="text1"/>
              </w:rPr>
            </w:pPr>
            <w:r>
              <w:rPr>
                <w:rFonts w:hint="eastAsia"/>
              </w:rPr>
              <w:t>可抵扣亏损</w:t>
            </w:r>
          </w:p>
        </w:tc>
        <w:tc>
          <w:tcPr>
            <w:tcW w:w="955" w:type="pct"/>
          </w:tcPr>
          <w:p w:rsidR="00156DD6" w:rsidRDefault="00D51F5F">
            <w:pPr>
              <w:jc w:val="right"/>
            </w:pPr>
            <w:r>
              <w:rPr>
                <w:rFonts w:hint="eastAsia"/>
              </w:rPr>
              <w:t xml:space="preserve"> 29,178,182.04 </w:t>
            </w:r>
          </w:p>
        </w:tc>
        <w:tc>
          <w:tcPr>
            <w:tcW w:w="896" w:type="pct"/>
          </w:tcPr>
          <w:p w:rsidR="00156DD6" w:rsidRDefault="00D51F5F">
            <w:pPr>
              <w:jc w:val="right"/>
            </w:pPr>
            <w:r>
              <w:rPr>
                <w:rFonts w:hint="eastAsia"/>
              </w:rPr>
              <w:t xml:space="preserve"> 4,913,351.51 </w:t>
            </w:r>
          </w:p>
        </w:tc>
        <w:tc>
          <w:tcPr>
            <w:tcW w:w="955" w:type="pct"/>
            <w:vAlign w:val="center"/>
          </w:tcPr>
          <w:p w:rsidR="00156DD6" w:rsidRDefault="00D51F5F">
            <w:pPr>
              <w:jc w:val="right"/>
            </w:pPr>
            <w:r>
              <w:t>87,568,065.35</w:t>
            </w:r>
          </w:p>
        </w:tc>
        <w:tc>
          <w:tcPr>
            <w:tcW w:w="896" w:type="pct"/>
            <w:vAlign w:val="center"/>
          </w:tcPr>
          <w:p w:rsidR="00156DD6" w:rsidRDefault="00D51F5F">
            <w:pPr>
              <w:jc w:val="right"/>
            </w:pPr>
            <w:r>
              <w:t>13,504,479.98</w:t>
            </w:r>
          </w:p>
        </w:tc>
      </w:tr>
      <w:tr w:rsidR="00156DD6">
        <w:trPr>
          <w:trHeight w:val="285"/>
        </w:trPr>
        <w:tc>
          <w:tcPr>
            <w:tcW w:w="1298" w:type="pct"/>
            <w:tcBorders>
              <w:bottom w:val="single" w:sz="4" w:space="0" w:color="auto"/>
            </w:tcBorders>
          </w:tcPr>
          <w:p w:rsidR="00156DD6" w:rsidRDefault="00D51F5F">
            <w:pPr>
              <w:rPr>
                <w:color w:val="000000" w:themeColor="text1"/>
              </w:rPr>
            </w:pPr>
            <w:r>
              <w:rPr>
                <w:rFonts w:hint="eastAsia"/>
              </w:rPr>
              <w:t>股权激励成本</w:t>
            </w:r>
          </w:p>
        </w:tc>
        <w:tc>
          <w:tcPr>
            <w:tcW w:w="955" w:type="pct"/>
          </w:tcPr>
          <w:p w:rsidR="00156DD6" w:rsidRDefault="00D51F5F">
            <w:pPr>
              <w:jc w:val="right"/>
            </w:pPr>
            <w:r>
              <w:rPr>
                <w:rFonts w:hint="eastAsia"/>
              </w:rPr>
              <w:t xml:space="preserve"> 6,044,698.54 </w:t>
            </w:r>
          </w:p>
        </w:tc>
        <w:tc>
          <w:tcPr>
            <w:tcW w:w="896" w:type="pct"/>
          </w:tcPr>
          <w:p w:rsidR="00156DD6" w:rsidRDefault="00D51F5F">
            <w:pPr>
              <w:jc w:val="right"/>
            </w:pPr>
            <w:r>
              <w:rPr>
                <w:rFonts w:hint="eastAsia"/>
              </w:rPr>
              <w:t xml:space="preserve"> 908,829.78 </w:t>
            </w:r>
          </w:p>
        </w:tc>
        <w:tc>
          <w:tcPr>
            <w:tcW w:w="955" w:type="pct"/>
            <w:vAlign w:val="center"/>
          </w:tcPr>
          <w:p w:rsidR="00156DD6" w:rsidRDefault="00D51F5F">
            <w:pPr>
              <w:jc w:val="right"/>
            </w:pPr>
            <w:r>
              <w:t>2,656,250.00</w:t>
            </w:r>
          </w:p>
        </w:tc>
        <w:tc>
          <w:tcPr>
            <w:tcW w:w="896" w:type="pct"/>
            <w:vAlign w:val="center"/>
          </w:tcPr>
          <w:p w:rsidR="00156DD6" w:rsidRDefault="00D51F5F">
            <w:pPr>
              <w:jc w:val="right"/>
            </w:pPr>
            <w:r>
              <w:t>400,562.50</w:t>
            </w:r>
          </w:p>
        </w:tc>
      </w:tr>
      <w:tr w:rsidR="00156DD6">
        <w:trPr>
          <w:trHeight w:val="285"/>
        </w:trPr>
        <w:tc>
          <w:tcPr>
            <w:tcW w:w="1298" w:type="pct"/>
            <w:tcBorders>
              <w:bottom w:val="single" w:sz="4" w:space="0" w:color="auto"/>
            </w:tcBorders>
          </w:tcPr>
          <w:p w:rsidR="00156DD6" w:rsidRDefault="00D51F5F">
            <w:pPr>
              <w:rPr>
                <w:color w:val="000000" w:themeColor="text1"/>
              </w:rPr>
            </w:pPr>
            <w:r>
              <w:rPr>
                <w:rFonts w:hint="eastAsia"/>
              </w:rPr>
              <w:t>租赁负债</w:t>
            </w:r>
          </w:p>
        </w:tc>
        <w:tc>
          <w:tcPr>
            <w:tcW w:w="955" w:type="pct"/>
          </w:tcPr>
          <w:p w:rsidR="00156DD6" w:rsidRDefault="00D51F5F">
            <w:pPr>
              <w:jc w:val="right"/>
            </w:pPr>
            <w:r>
              <w:rPr>
                <w:rFonts w:hint="eastAsia"/>
              </w:rPr>
              <w:t xml:space="preserve"> 7,614,424.27 </w:t>
            </w:r>
          </w:p>
        </w:tc>
        <w:tc>
          <w:tcPr>
            <w:tcW w:w="896" w:type="pct"/>
          </w:tcPr>
          <w:p w:rsidR="00156DD6" w:rsidRDefault="00D51F5F">
            <w:pPr>
              <w:jc w:val="right"/>
            </w:pPr>
            <w:r>
              <w:rPr>
                <w:rFonts w:hint="eastAsia"/>
              </w:rPr>
              <w:t xml:space="preserve"> 1,140,612.28 </w:t>
            </w:r>
          </w:p>
        </w:tc>
        <w:tc>
          <w:tcPr>
            <w:tcW w:w="955" w:type="pct"/>
            <w:vAlign w:val="center"/>
          </w:tcPr>
          <w:p w:rsidR="00156DD6" w:rsidRDefault="00D51F5F">
            <w:pPr>
              <w:jc w:val="right"/>
            </w:pPr>
            <w:r>
              <w:t>6,222,233.00</w:t>
            </w:r>
          </w:p>
        </w:tc>
        <w:tc>
          <w:tcPr>
            <w:tcW w:w="896" w:type="pct"/>
            <w:vAlign w:val="center"/>
          </w:tcPr>
          <w:p w:rsidR="00156DD6" w:rsidRDefault="00D51F5F">
            <w:pPr>
              <w:jc w:val="right"/>
            </w:pPr>
            <w:r>
              <w:t>933,334.95</w:t>
            </w:r>
          </w:p>
        </w:tc>
      </w:tr>
      <w:tr w:rsidR="00156DD6">
        <w:trPr>
          <w:trHeight w:val="285"/>
        </w:trPr>
        <w:tc>
          <w:tcPr>
            <w:tcW w:w="1298" w:type="pct"/>
            <w:tcBorders>
              <w:bottom w:val="single" w:sz="4" w:space="0" w:color="auto"/>
            </w:tcBorders>
          </w:tcPr>
          <w:p w:rsidR="00156DD6" w:rsidRDefault="00D51F5F">
            <w:pPr>
              <w:rPr>
                <w:color w:val="000000" w:themeColor="text1"/>
              </w:rPr>
            </w:pPr>
            <w:r>
              <w:rPr>
                <w:rFonts w:hint="eastAsia"/>
              </w:rPr>
              <w:t>递延收益</w:t>
            </w:r>
          </w:p>
        </w:tc>
        <w:tc>
          <w:tcPr>
            <w:tcW w:w="955" w:type="pct"/>
          </w:tcPr>
          <w:p w:rsidR="00156DD6" w:rsidRDefault="00D51F5F">
            <w:pPr>
              <w:jc w:val="right"/>
            </w:pPr>
            <w:r>
              <w:rPr>
                <w:rFonts w:hint="eastAsia"/>
              </w:rPr>
              <w:t xml:space="preserve"> 14,234,916.49 </w:t>
            </w:r>
          </w:p>
        </w:tc>
        <w:tc>
          <w:tcPr>
            <w:tcW w:w="896" w:type="pct"/>
          </w:tcPr>
          <w:p w:rsidR="00156DD6" w:rsidRDefault="00D51F5F">
            <w:pPr>
              <w:jc w:val="right"/>
            </w:pPr>
            <w:r>
              <w:rPr>
                <w:rFonts w:hint="eastAsia"/>
              </w:rPr>
              <w:t xml:space="preserve"> 2,135,237.47 </w:t>
            </w:r>
          </w:p>
        </w:tc>
        <w:tc>
          <w:tcPr>
            <w:tcW w:w="955" w:type="pct"/>
            <w:vAlign w:val="center"/>
          </w:tcPr>
          <w:p w:rsidR="00156DD6" w:rsidRDefault="00D51F5F">
            <w:pPr>
              <w:jc w:val="right"/>
            </w:pPr>
            <w:r>
              <w:t>14,950,702.36</w:t>
            </w:r>
          </w:p>
        </w:tc>
        <w:tc>
          <w:tcPr>
            <w:tcW w:w="896" w:type="pct"/>
            <w:vAlign w:val="center"/>
          </w:tcPr>
          <w:p w:rsidR="00156DD6" w:rsidRDefault="00D51F5F">
            <w:pPr>
              <w:jc w:val="right"/>
            </w:pPr>
            <w:r>
              <w:t>2,242,605.35</w:t>
            </w:r>
          </w:p>
        </w:tc>
      </w:tr>
      <w:tr w:rsidR="00156DD6">
        <w:trPr>
          <w:trHeight w:val="285"/>
        </w:trPr>
        <w:tc>
          <w:tcPr>
            <w:tcW w:w="1298" w:type="pct"/>
          </w:tcPr>
          <w:p w:rsidR="00156DD6" w:rsidRDefault="00D51F5F">
            <w:pPr>
              <w:pStyle w:val="Style43"/>
            </w:pPr>
            <w:r>
              <w:rPr>
                <w:rFonts w:hint="eastAsia"/>
              </w:rPr>
              <w:t>公益性捐赠</w:t>
            </w:r>
          </w:p>
        </w:tc>
        <w:tc>
          <w:tcPr>
            <w:tcW w:w="955" w:type="pct"/>
          </w:tcPr>
          <w:p w:rsidR="00156DD6" w:rsidRDefault="00D51F5F">
            <w:pPr>
              <w:jc w:val="right"/>
            </w:pPr>
            <w:r>
              <w:rPr>
                <w:rFonts w:hint="eastAsia"/>
              </w:rPr>
              <w:t xml:space="preserve"> 7,866,517.05 </w:t>
            </w:r>
          </w:p>
        </w:tc>
        <w:tc>
          <w:tcPr>
            <w:tcW w:w="896" w:type="pct"/>
          </w:tcPr>
          <w:p w:rsidR="00156DD6" w:rsidRDefault="00D51F5F">
            <w:pPr>
              <w:jc w:val="right"/>
            </w:pPr>
            <w:r>
              <w:rPr>
                <w:rFonts w:hint="eastAsia"/>
              </w:rPr>
              <w:t xml:space="preserve"> 1,179,977.56 </w:t>
            </w:r>
          </w:p>
        </w:tc>
        <w:tc>
          <w:tcPr>
            <w:tcW w:w="955" w:type="pct"/>
            <w:vAlign w:val="center"/>
          </w:tcPr>
          <w:p w:rsidR="00156DD6" w:rsidRDefault="00D51F5F">
            <w:pPr>
              <w:jc w:val="right"/>
            </w:pPr>
            <w:r>
              <w:t>14,103,623.67</w:t>
            </w:r>
          </w:p>
        </w:tc>
        <w:tc>
          <w:tcPr>
            <w:tcW w:w="896" w:type="pct"/>
            <w:vAlign w:val="center"/>
          </w:tcPr>
          <w:p w:rsidR="00156DD6" w:rsidRDefault="00D51F5F">
            <w:pPr>
              <w:jc w:val="right"/>
            </w:pPr>
            <w:r>
              <w:t>2,115,543.55</w:t>
            </w:r>
          </w:p>
        </w:tc>
      </w:tr>
      <w:tr w:rsidR="00156DD6">
        <w:trPr>
          <w:trHeight w:val="285"/>
        </w:trPr>
        <w:tc>
          <w:tcPr>
            <w:tcW w:w="1298" w:type="pct"/>
          </w:tcPr>
          <w:p w:rsidR="00156DD6" w:rsidRDefault="00D51F5F">
            <w:pPr>
              <w:pStyle w:val="Style43"/>
            </w:pPr>
            <w:r>
              <w:rPr>
                <w:rFonts w:hint="eastAsia"/>
              </w:rPr>
              <w:t>预计负债</w:t>
            </w:r>
          </w:p>
        </w:tc>
        <w:tc>
          <w:tcPr>
            <w:tcW w:w="955" w:type="pct"/>
          </w:tcPr>
          <w:p w:rsidR="00156DD6" w:rsidRDefault="00D51F5F">
            <w:pPr>
              <w:jc w:val="right"/>
            </w:pPr>
            <w:r>
              <w:rPr>
                <w:rFonts w:hint="eastAsia"/>
              </w:rPr>
              <w:t xml:space="preserve"> 1,300,150.00 </w:t>
            </w:r>
          </w:p>
        </w:tc>
        <w:tc>
          <w:tcPr>
            <w:tcW w:w="896" w:type="pct"/>
          </w:tcPr>
          <w:p w:rsidR="00156DD6" w:rsidRDefault="00D51F5F">
            <w:pPr>
              <w:jc w:val="right"/>
            </w:pPr>
            <w:r>
              <w:rPr>
                <w:rFonts w:hint="eastAsia"/>
              </w:rPr>
              <w:t xml:space="preserve"> 195,022.50 </w:t>
            </w:r>
          </w:p>
        </w:tc>
        <w:tc>
          <w:tcPr>
            <w:tcW w:w="955" w:type="pct"/>
            <w:vAlign w:val="center"/>
          </w:tcPr>
          <w:p w:rsidR="00156DD6" w:rsidRDefault="00D51F5F">
            <w:pPr>
              <w:jc w:val="right"/>
            </w:pPr>
            <w:r>
              <w:t>1,239,272.68</w:t>
            </w:r>
          </w:p>
        </w:tc>
        <w:tc>
          <w:tcPr>
            <w:tcW w:w="896" w:type="pct"/>
            <w:vAlign w:val="center"/>
          </w:tcPr>
          <w:p w:rsidR="00156DD6" w:rsidRDefault="00D51F5F">
            <w:pPr>
              <w:jc w:val="right"/>
            </w:pPr>
            <w:r>
              <w:t>185,890.91</w:t>
            </w:r>
          </w:p>
        </w:tc>
      </w:tr>
      <w:tr w:rsidR="00156DD6">
        <w:trPr>
          <w:trHeight w:val="285"/>
        </w:trPr>
        <w:tc>
          <w:tcPr>
            <w:tcW w:w="1298" w:type="pct"/>
            <w:vAlign w:val="center"/>
          </w:tcPr>
          <w:p w:rsidR="00156DD6" w:rsidRDefault="00D51F5F">
            <w:pPr>
              <w:jc w:val="center"/>
              <w:rPr>
                <w:color w:val="000000" w:themeColor="text1"/>
              </w:rPr>
            </w:pPr>
            <w:r>
              <w:rPr>
                <w:rFonts w:hint="eastAsia"/>
                <w:color w:val="000000" w:themeColor="text1"/>
              </w:rPr>
              <w:t>合计</w:t>
            </w:r>
          </w:p>
        </w:tc>
        <w:tc>
          <w:tcPr>
            <w:tcW w:w="955" w:type="pct"/>
          </w:tcPr>
          <w:p w:rsidR="00156DD6" w:rsidRDefault="00D51F5F">
            <w:pPr>
              <w:jc w:val="right"/>
            </w:pPr>
            <w:r>
              <w:rPr>
                <w:rFonts w:hint="eastAsia"/>
              </w:rPr>
              <w:t xml:space="preserve">333,825,835.59 </w:t>
            </w:r>
          </w:p>
        </w:tc>
        <w:tc>
          <w:tcPr>
            <w:tcW w:w="896" w:type="pct"/>
          </w:tcPr>
          <w:p w:rsidR="00156DD6" w:rsidRDefault="00D51F5F">
            <w:pPr>
              <w:jc w:val="right"/>
            </w:pPr>
            <w:r>
              <w:rPr>
                <w:rFonts w:hint="eastAsia"/>
              </w:rPr>
              <w:t xml:space="preserve">50,658,389.95 </w:t>
            </w:r>
          </w:p>
        </w:tc>
        <w:tc>
          <w:tcPr>
            <w:tcW w:w="955" w:type="pct"/>
            <w:vAlign w:val="center"/>
          </w:tcPr>
          <w:p w:rsidR="00156DD6" w:rsidRDefault="00D51F5F">
            <w:pPr>
              <w:jc w:val="right"/>
            </w:pPr>
            <w:r>
              <w:t>377,462,643.02</w:t>
            </w:r>
          </w:p>
        </w:tc>
        <w:tc>
          <w:tcPr>
            <w:tcW w:w="896" w:type="pct"/>
            <w:vAlign w:val="center"/>
          </w:tcPr>
          <w:p w:rsidR="00156DD6" w:rsidRDefault="00D51F5F">
            <w:pPr>
              <w:jc w:val="right"/>
            </w:pPr>
            <w:r>
              <w:t>57,069,094.41</w:t>
            </w:r>
          </w:p>
        </w:tc>
      </w:tr>
    </w:tbl>
    <w:p w:rsidR="00156DD6" w:rsidRDefault="00D51F5F">
      <w:pPr>
        <w:pStyle w:val="Style47"/>
        <w:numPr>
          <w:ilvl w:val="0"/>
          <w:numId w:val="67"/>
        </w:numPr>
        <w:tabs>
          <w:tab w:val="left" w:pos="588"/>
          <w:tab w:val="left" w:pos="616"/>
        </w:tabs>
        <w:rPr>
          <w:rFonts w:ascii="宋体" w:hAnsi="宋体"/>
          <w:color w:val="000000" w:themeColor="text1"/>
          <w:sz w:val="21"/>
          <w:szCs w:val="21"/>
        </w:rPr>
      </w:pPr>
      <w:bookmarkStart w:id="372" w:name="_Hlk11160621"/>
      <w:r>
        <w:rPr>
          <w:rFonts w:ascii="宋体" w:hAnsi="宋体" w:hint="eastAsia"/>
          <w:color w:val="000000" w:themeColor="text1"/>
          <w:sz w:val="21"/>
          <w:szCs w:val="21"/>
        </w:rPr>
        <w:t>未经抵销的递延所得税负债</w:t>
      </w:r>
    </w:p>
    <w:sdt>
      <w:sdtPr>
        <w:rPr>
          <w:color w:val="000000" w:themeColor="text1"/>
        </w:rPr>
        <w:alias w:val="是否适用：未经抵销的递延所得税负债[双击切换]"/>
        <w:tag w:val="_GBC_e9cf2825b61d4a9ca57e90c2ed017173"/>
        <w:id w:val="-181024449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未经抵销的递延所得税负债"/>
          <w:tag w:val="_GBC_7fa4a7048e284eb79ceb0dee5165516f"/>
          <w:id w:val="13126744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未经抵销的递延所得税负债"/>
          <w:tag w:val="_GBC_85beae3a7d624858bfe37a33da15472b"/>
          <w:id w:val="14638512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686"/>
        <w:gridCol w:w="1584"/>
        <w:gridCol w:w="1686"/>
        <w:gridCol w:w="1593"/>
      </w:tblGrid>
      <w:tr w:rsidR="00156DD6">
        <w:trPr>
          <w:trHeight w:val="285"/>
        </w:trPr>
        <w:bookmarkStart w:id="373" w:name="_Hlk11857349" w:displacedByCustomXml="next"/>
        <w:sdt>
          <w:sdtPr>
            <w:tag w:val="_PLD_66ef6111bb2d4b3792b581d6ff38c8d2"/>
            <w:id w:val="-1875225708"/>
          </w:sdtPr>
          <w:sdtEndPr/>
          <w:sdtContent>
            <w:tc>
              <w:tcPr>
                <w:tcW w:w="1289" w:type="pct"/>
                <w:vMerge w:val="restart"/>
                <w:vAlign w:val="center"/>
              </w:tcPr>
              <w:p w:rsidR="00156DD6" w:rsidRDefault="00D51F5F">
                <w:pPr>
                  <w:jc w:val="center"/>
                  <w:rPr>
                    <w:color w:val="000000" w:themeColor="text1"/>
                  </w:rPr>
                </w:pPr>
                <w:r>
                  <w:rPr>
                    <w:rFonts w:hint="eastAsia"/>
                    <w:color w:val="000000" w:themeColor="text1"/>
                  </w:rPr>
                  <w:t>项目</w:t>
                </w:r>
              </w:p>
            </w:tc>
          </w:sdtContent>
        </w:sdt>
        <w:sdt>
          <w:sdtPr>
            <w:tag w:val="_PLD_b850d4f63866495f80e69799c9ea1b37"/>
            <w:id w:val="-1158229868"/>
          </w:sdtPr>
          <w:sdtEndPr/>
          <w:sdtContent>
            <w:tc>
              <w:tcPr>
                <w:tcW w:w="1853" w:type="pct"/>
                <w:gridSpan w:val="2"/>
                <w:vAlign w:val="center"/>
              </w:tcPr>
              <w:p w:rsidR="00156DD6" w:rsidRDefault="00D51F5F">
                <w:pPr>
                  <w:jc w:val="center"/>
                  <w:rPr>
                    <w:color w:val="000000" w:themeColor="text1"/>
                  </w:rPr>
                </w:pPr>
                <w:r>
                  <w:rPr>
                    <w:rFonts w:hint="eastAsia"/>
                    <w:color w:val="000000" w:themeColor="text1"/>
                  </w:rPr>
                  <w:t>期末余额</w:t>
                </w:r>
              </w:p>
            </w:tc>
          </w:sdtContent>
        </w:sdt>
        <w:sdt>
          <w:sdtPr>
            <w:tag w:val="_PLD_951c3eee882c4aaa862f620814f6ce4e"/>
            <w:id w:val="814451298"/>
          </w:sdtPr>
          <w:sdtEndPr/>
          <w:sdtContent>
            <w:tc>
              <w:tcPr>
                <w:tcW w:w="1858" w:type="pct"/>
                <w:gridSpan w:val="2"/>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trHeight w:val="285"/>
        </w:trPr>
        <w:tc>
          <w:tcPr>
            <w:tcW w:w="1289" w:type="pct"/>
            <w:vMerge/>
            <w:vAlign w:val="center"/>
          </w:tcPr>
          <w:p w:rsidR="00156DD6" w:rsidRDefault="00156DD6">
            <w:pPr>
              <w:jc w:val="center"/>
              <w:rPr>
                <w:b/>
                <w:color w:val="000000" w:themeColor="text1"/>
              </w:rPr>
            </w:pPr>
          </w:p>
        </w:tc>
        <w:sdt>
          <w:sdtPr>
            <w:tag w:val="_PLD_f33e3c528ff14a2bac81ec99970641f6"/>
            <w:id w:val="695740498"/>
          </w:sdtPr>
          <w:sdtEndPr/>
          <w:sdtContent>
            <w:tc>
              <w:tcPr>
                <w:tcW w:w="955" w:type="pct"/>
                <w:vAlign w:val="center"/>
              </w:tcPr>
              <w:p w:rsidR="00156DD6" w:rsidRDefault="00D51F5F">
                <w:pPr>
                  <w:jc w:val="center"/>
                  <w:rPr>
                    <w:color w:val="000000" w:themeColor="text1"/>
                  </w:rPr>
                </w:pPr>
                <w:r>
                  <w:rPr>
                    <w:rFonts w:hint="eastAsia"/>
                    <w:color w:val="000000" w:themeColor="text1"/>
                  </w:rPr>
                  <w:t>应纳税暂时性差异</w:t>
                </w:r>
              </w:p>
            </w:tc>
          </w:sdtContent>
        </w:sdt>
        <w:sdt>
          <w:sdtPr>
            <w:tag w:val="_PLD_0cb734f9904e4a57a5107d601b9b38d1"/>
            <w:id w:val="569541868"/>
          </w:sdtPr>
          <w:sdtEndPr/>
          <w:sdtContent>
            <w:tc>
              <w:tcPr>
                <w:tcW w:w="898" w:type="pct"/>
                <w:vAlign w:val="center"/>
              </w:tcPr>
              <w:p w:rsidR="00156DD6" w:rsidRDefault="00D51F5F">
                <w:pPr>
                  <w:jc w:val="center"/>
                  <w:rPr>
                    <w:color w:val="000000" w:themeColor="text1"/>
                  </w:rPr>
                </w:pPr>
                <w:r>
                  <w:rPr>
                    <w:rFonts w:hint="eastAsia"/>
                    <w:color w:val="000000" w:themeColor="text1"/>
                  </w:rPr>
                  <w:t>递延所得税</w:t>
                </w:r>
              </w:p>
              <w:p w:rsidR="00156DD6" w:rsidRDefault="00D51F5F">
                <w:pPr>
                  <w:jc w:val="center"/>
                  <w:rPr>
                    <w:color w:val="000000" w:themeColor="text1"/>
                  </w:rPr>
                </w:pPr>
                <w:r>
                  <w:rPr>
                    <w:rFonts w:hint="eastAsia"/>
                    <w:color w:val="000000" w:themeColor="text1"/>
                  </w:rPr>
                  <w:t>负债</w:t>
                </w:r>
              </w:p>
            </w:tc>
          </w:sdtContent>
        </w:sdt>
        <w:sdt>
          <w:sdtPr>
            <w:tag w:val="_PLD_ddf3980c66a840e782386c14bb078052"/>
            <w:id w:val="-1075661081"/>
          </w:sdtPr>
          <w:sdtEndPr/>
          <w:sdtContent>
            <w:tc>
              <w:tcPr>
                <w:tcW w:w="955" w:type="pct"/>
                <w:vAlign w:val="center"/>
              </w:tcPr>
              <w:p w:rsidR="00156DD6" w:rsidRDefault="00D51F5F">
                <w:pPr>
                  <w:jc w:val="center"/>
                  <w:rPr>
                    <w:color w:val="000000" w:themeColor="text1"/>
                  </w:rPr>
                </w:pPr>
                <w:r>
                  <w:rPr>
                    <w:rFonts w:hint="eastAsia"/>
                    <w:color w:val="000000" w:themeColor="text1"/>
                  </w:rPr>
                  <w:t>应纳税暂时性差异</w:t>
                </w:r>
              </w:p>
            </w:tc>
          </w:sdtContent>
        </w:sdt>
        <w:sdt>
          <w:sdtPr>
            <w:tag w:val="_PLD_590dc17e8304449fbff47c3b3cd45eb5"/>
            <w:id w:val="749465650"/>
          </w:sdtPr>
          <w:sdtEndPr/>
          <w:sdtContent>
            <w:tc>
              <w:tcPr>
                <w:tcW w:w="903" w:type="pct"/>
                <w:vAlign w:val="center"/>
              </w:tcPr>
              <w:p w:rsidR="00156DD6" w:rsidRDefault="00D51F5F">
                <w:pPr>
                  <w:jc w:val="center"/>
                  <w:rPr>
                    <w:color w:val="000000" w:themeColor="text1"/>
                  </w:rPr>
                </w:pPr>
                <w:r>
                  <w:rPr>
                    <w:rFonts w:hint="eastAsia"/>
                    <w:color w:val="000000" w:themeColor="text1"/>
                  </w:rPr>
                  <w:t>递延所得税</w:t>
                </w:r>
              </w:p>
              <w:p w:rsidR="00156DD6" w:rsidRDefault="00D51F5F">
                <w:pPr>
                  <w:jc w:val="center"/>
                  <w:rPr>
                    <w:color w:val="000000" w:themeColor="text1"/>
                  </w:rPr>
                </w:pPr>
                <w:r>
                  <w:rPr>
                    <w:rFonts w:hint="eastAsia"/>
                    <w:color w:val="000000" w:themeColor="text1"/>
                  </w:rPr>
                  <w:t>负债</w:t>
                </w:r>
              </w:p>
            </w:tc>
          </w:sdtContent>
        </w:sdt>
      </w:tr>
      <w:tr w:rsidR="00156DD6">
        <w:trPr>
          <w:trHeight w:val="285"/>
        </w:trPr>
        <w:tc>
          <w:tcPr>
            <w:tcW w:w="1289" w:type="pct"/>
          </w:tcPr>
          <w:p w:rsidR="00156DD6" w:rsidRDefault="00D51F5F">
            <w:pPr>
              <w:rPr>
                <w:color w:val="000000" w:themeColor="text1"/>
              </w:rPr>
            </w:pPr>
            <w:r>
              <w:rPr>
                <w:rFonts w:hint="eastAsia"/>
              </w:rPr>
              <w:t>一次性税前扣除的固定资产</w:t>
            </w:r>
          </w:p>
        </w:tc>
        <w:tc>
          <w:tcPr>
            <w:tcW w:w="955" w:type="pct"/>
            <w:vAlign w:val="center"/>
          </w:tcPr>
          <w:p w:rsidR="00156DD6" w:rsidRDefault="00D51F5F">
            <w:pPr>
              <w:jc w:val="right"/>
            </w:pPr>
            <w:r>
              <w:rPr>
                <w:rFonts w:hint="eastAsia"/>
              </w:rPr>
              <w:t xml:space="preserve">429,869,925.43 </w:t>
            </w:r>
          </w:p>
        </w:tc>
        <w:tc>
          <w:tcPr>
            <w:tcW w:w="898" w:type="pct"/>
            <w:vAlign w:val="center"/>
          </w:tcPr>
          <w:p w:rsidR="00156DD6" w:rsidRDefault="00D51F5F">
            <w:pPr>
              <w:jc w:val="right"/>
            </w:pPr>
            <w:r>
              <w:rPr>
                <w:rFonts w:hint="eastAsia"/>
              </w:rPr>
              <w:t xml:space="preserve">64,505,661.43 </w:t>
            </w:r>
          </w:p>
        </w:tc>
        <w:tc>
          <w:tcPr>
            <w:tcW w:w="955" w:type="pct"/>
            <w:vAlign w:val="center"/>
          </w:tcPr>
          <w:p w:rsidR="00156DD6" w:rsidRDefault="00D51F5F">
            <w:pPr>
              <w:jc w:val="right"/>
            </w:pPr>
            <w:r>
              <w:t>450,224,514.22</w:t>
            </w:r>
          </w:p>
        </w:tc>
        <w:tc>
          <w:tcPr>
            <w:tcW w:w="903" w:type="pct"/>
            <w:vAlign w:val="center"/>
          </w:tcPr>
          <w:p w:rsidR="00156DD6" w:rsidRDefault="00D51F5F">
            <w:pPr>
              <w:jc w:val="right"/>
            </w:pPr>
            <w:r>
              <w:t>67,569,483.94</w:t>
            </w:r>
          </w:p>
        </w:tc>
      </w:tr>
      <w:tr w:rsidR="00156DD6">
        <w:trPr>
          <w:trHeight w:val="285"/>
        </w:trPr>
        <w:tc>
          <w:tcPr>
            <w:tcW w:w="1289" w:type="pct"/>
          </w:tcPr>
          <w:p w:rsidR="00156DD6" w:rsidRDefault="00D51F5F">
            <w:pPr>
              <w:rPr>
                <w:color w:val="000000" w:themeColor="text1"/>
              </w:rPr>
            </w:pPr>
            <w:r>
              <w:rPr>
                <w:rFonts w:hint="eastAsia"/>
              </w:rPr>
              <w:t>非同一控制下企业合并资产评估增值</w:t>
            </w:r>
          </w:p>
        </w:tc>
        <w:tc>
          <w:tcPr>
            <w:tcW w:w="955" w:type="pct"/>
            <w:vAlign w:val="center"/>
          </w:tcPr>
          <w:p w:rsidR="00156DD6" w:rsidRDefault="00D51F5F">
            <w:pPr>
              <w:jc w:val="right"/>
            </w:pPr>
            <w:r>
              <w:rPr>
                <w:rFonts w:hint="eastAsia"/>
              </w:rPr>
              <w:t xml:space="preserve"> 87,694,929.20 </w:t>
            </w:r>
          </w:p>
        </w:tc>
        <w:tc>
          <w:tcPr>
            <w:tcW w:w="898" w:type="pct"/>
            <w:vAlign w:val="center"/>
          </w:tcPr>
          <w:p w:rsidR="00156DD6" w:rsidRDefault="00D51F5F">
            <w:pPr>
              <w:jc w:val="right"/>
            </w:pPr>
            <w:r>
              <w:rPr>
                <w:rFonts w:hint="eastAsia"/>
              </w:rPr>
              <w:t xml:space="preserve">13,154,239.38 </w:t>
            </w:r>
          </w:p>
        </w:tc>
        <w:tc>
          <w:tcPr>
            <w:tcW w:w="955" w:type="pct"/>
            <w:vAlign w:val="center"/>
          </w:tcPr>
          <w:p w:rsidR="00156DD6" w:rsidRDefault="00D51F5F">
            <w:pPr>
              <w:jc w:val="right"/>
            </w:pPr>
            <w:r>
              <w:t xml:space="preserve"> 90,721,358.56 </w:t>
            </w:r>
          </w:p>
        </w:tc>
        <w:tc>
          <w:tcPr>
            <w:tcW w:w="903" w:type="pct"/>
            <w:vAlign w:val="center"/>
          </w:tcPr>
          <w:p w:rsidR="00156DD6" w:rsidRDefault="00D51F5F">
            <w:pPr>
              <w:jc w:val="right"/>
            </w:pPr>
            <w:r>
              <w:t xml:space="preserve">13,608,203.79 </w:t>
            </w:r>
          </w:p>
        </w:tc>
      </w:tr>
      <w:tr w:rsidR="00156DD6">
        <w:trPr>
          <w:trHeight w:val="285"/>
        </w:trPr>
        <w:tc>
          <w:tcPr>
            <w:tcW w:w="1289" w:type="pct"/>
          </w:tcPr>
          <w:p w:rsidR="00156DD6" w:rsidRDefault="00D51F5F">
            <w:pPr>
              <w:rPr>
                <w:color w:val="000000" w:themeColor="text1"/>
              </w:rPr>
            </w:pPr>
            <w:r>
              <w:rPr>
                <w:rFonts w:hint="eastAsia"/>
              </w:rPr>
              <w:t>其他权益工具投资公允价值变动</w:t>
            </w:r>
          </w:p>
        </w:tc>
        <w:tc>
          <w:tcPr>
            <w:tcW w:w="955" w:type="pct"/>
            <w:vAlign w:val="center"/>
          </w:tcPr>
          <w:p w:rsidR="00156DD6" w:rsidRDefault="00D51F5F">
            <w:pPr>
              <w:jc w:val="right"/>
            </w:pPr>
            <w:r>
              <w:rPr>
                <w:rFonts w:hint="eastAsia"/>
              </w:rPr>
              <w:t xml:space="preserve"> 14,411,879.93 </w:t>
            </w:r>
          </w:p>
        </w:tc>
        <w:tc>
          <w:tcPr>
            <w:tcW w:w="898" w:type="pct"/>
            <w:vAlign w:val="center"/>
          </w:tcPr>
          <w:p w:rsidR="00156DD6" w:rsidRDefault="00D51F5F">
            <w:pPr>
              <w:jc w:val="right"/>
            </w:pPr>
            <w:r>
              <w:rPr>
                <w:rFonts w:hint="eastAsia"/>
              </w:rPr>
              <w:t xml:space="preserve"> 2,161,781.99 </w:t>
            </w:r>
          </w:p>
        </w:tc>
        <w:tc>
          <w:tcPr>
            <w:tcW w:w="955" w:type="pct"/>
            <w:vAlign w:val="center"/>
          </w:tcPr>
          <w:p w:rsidR="00156DD6" w:rsidRDefault="00D51F5F">
            <w:pPr>
              <w:jc w:val="right"/>
            </w:pPr>
            <w:r>
              <w:t xml:space="preserve"> 13,932,116.10 </w:t>
            </w:r>
          </w:p>
        </w:tc>
        <w:tc>
          <w:tcPr>
            <w:tcW w:w="903" w:type="pct"/>
            <w:vAlign w:val="center"/>
          </w:tcPr>
          <w:p w:rsidR="00156DD6" w:rsidRDefault="00D51F5F">
            <w:pPr>
              <w:jc w:val="right"/>
            </w:pPr>
            <w:r>
              <w:t xml:space="preserve"> 2,089,817.42 </w:t>
            </w:r>
          </w:p>
        </w:tc>
      </w:tr>
      <w:tr w:rsidR="00156DD6">
        <w:trPr>
          <w:trHeight w:val="285"/>
        </w:trPr>
        <w:tc>
          <w:tcPr>
            <w:tcW w:w="1289" w:type="pct"/>
          </w:tcPr>
          <w:p w:rsidR="00156DD6" w:rsidRDefault="00D51F5F">
            <w:pPr>
              <w:pStyle w:val="Style43"/>
            </w:pPr>
            <w:r>
              <w:rPr>
                <w:rFonts w:hint="eastAsia"/>
              </w:rPr>
              <w:t>交易性金融资产公允价值变动</w:t>
            </w:r>
          </w:p>
        </w:tc>
        <w:tc>
          <w:tcPr>
            <w:tcW w:w="955" w:type="pct"/>
            <w:vAlign w:val="center"/>
          </w:tcPr>
          <w:p w:rsidR="00156DD6" w:rsidRDefault="00156DD6">
            <w:pPr>
              <w:jc w:val="right"/>
            </w:pPr>
          </w:p>
        </w:tc>
        <w:tc>
          <w:tcPr>
            <w:tcW w:w="898" w:type="pct"/>
            <w:vAlign w:val="center"/>
          </w:tcPr>
          <w:p w:rsidR="00156DD6" w:rsidRDefault="00156DD6">
            <w:pPr>
              <w:jc w:val="right"/>
            </w:pPr>
          </w:p>
        </w:tc>
        <w:tc>
          <w:tcPr>
            <w:tcW w:w="955" w:type="pct"/>
            <w:vAlign w:val="center"/>
          </w:tcPr>
          <w:p w:rsidR="00156DD6" w:rsidRDefault="00D51F5F">
            <w:pPr>
              <w:jc w:val="right"/>
            </w:pPr>
            <w:r>
              <w:t xml:space="preserve"> 58,819.44 </w:t>
            </w:r>
          </w:p>
        </w:tc>
        <w:tc>
          <w:tcPr>
            <w:tcW w:w="903" w:type="pct"/>
            <w:vAlign w:val="center"/>
          </w:tcPr>
          <w:p w:rsidR="00156DD6" w:rsidRDefault="00D51F5F">
            <w:pPr>
              <w:jc w:val="right"/>
            </w:pPr>
            <w:r>
              <w:t xml:space="preserve"> 8,822.92 </w:t>
            </w:r>
          </w:p>
        </w:tc>
      </w:tr>
      <w:tr w:rsidR="00156DD6">
        <w:trPr>
          <w:trHeight w:val="285"/>
        </w:trPr>
        <w:tc>
          <w:tcPr>
            <w:tcW w:w="1289" w:type="pct"/>
          </w:tcPr>
          <w:p w:rsidR="00156DD6" w:rsidRDefault="00D51F5F">
            <w:pPr>
              <w:pStyle w:val="Style43"/>
            </w:pPr>
            <w:r>
              <w:rPr>
                <w:rFonts w:hint="eastAsia"/>
              </w:rPr>
              <w:t>使用权资产</w:t>
            </w:r>
          </w:p>
        </w:tc>
        <w:tc>
          <w:tcPr>
            <w:tcW w:w="955" w:type="pct"/>
            <w:vAlign w:val="center"/>
          </w:tcPr>
          <w:p w:rsidR="00156DD6" w:rsidRDefault="00D51F5F">
            <w:pPr>
              <w:jc w:val="right"/>
            </w:pPr>
            <w:r>
              <w:rPr>
                <w:rFonts w:hint="eastAsia"/>
              </w:rPr>
              <w:t xml:space="preserve"> 8,570,046.08 </w:t>
            </w:r>
          </w:p>
        </w:tc>
        <w:tc>
          <w:tcPr>
            <w:tcW w:w="898" w:type="pct"/>
            <w:vAlign w:val="center"/>
          </w:tcPr>
          <w:p w:rsidR="00156DD6" w:rsidRDefault="00D51F5F">
            <w:pPr>
              <w:jc w:val="right"/>
            </w:pPr>
            <w:r>
              <w:rPr>
                <w:rFonts w:hint="eastAsia"/>
              </w:rPr>
              <w:t xml:space="preserve"> 1,219,685.91 </w:t>
            </w:r>
          </w:p>
        </w:tc>
        <w:tc>
          <w:tcPr>
            <w:tcW w:w="955" w:type="pct"/>
            <w:vAlign w:val="center"/>
          </w:tcPr>
          <w:p w:rsidR="00156DD6" w:rsidRDefault="00D51F5F">
            <w:pPr>
              <w:jc w:val="right"/>
            </w:pPr>
            <w:r>
              <w:t>5,569,270.48</w:t>
            </w:r>
          </w:p>
        </w:tc>
        <w:tc>
          <w:tcPr>
            <w:tcW w:w="903" w:type="pct"/>
            <w:vAlign w:val="center"/>
          </w:tcPr>
          <w:p w:rsidR="00156DD6" w:rsidRDefault="00D51F5F">
            <w:pPr>
              <w:jc w:val="right"/>
            </w:pPr>
            <w:r>
              <w:t>835,390.57</w:t>
            </w:r>
          </w:p>
        </w:tc>
      </w:tr>
      <w:tr w:rsidR="00156DD6">
        <w:trPr>
          <w:trHeight w:val="285"/>
        </w:trPr>
        <w:tc>
          <w:tcPr>
            <w:tcW w:w="1289" w:type="pct"/>
            <w:vAlign w:val="center"/>
          </w:tcPr>
          <w:p w:rsidR="00156DD6" w:rsidRDefault="00D51F5F">
            <w:pPr>
              <w:jc w:val="center"/>
              <w:rPr>
                <w:color w:val="000000" w:themeColor="text1"/>
              </w:rPr>
            </w:pPr>
            <w:r>
              <w:rPr>
                <w:rFonts w:hint="eastAsia"/>
              </w:rPr>
              <w:t>合计</w:t>
            </w:r>
          </w:p>
        </w:tc>
        <w:tc>
          <w:tcPr>
            <w:tcW w:w="955" w:type="pct"/>
            <w:vAlign w:val="center"/>
          </w:tcPr>
          <w:p w:rsidR="00156DD6" w:rsidRDefault="00D51F5F">
            <w:pPr>
              <w:jc w:val="right"/>
            </w:pPr>
            <w:r>
              <w:rPr>
                <w:rFonts w:hint="eastAsia"/>
              </w:rPr>
              <w:t xml:space="preserve">540,546,780.64 </w:t>
            </w:r>
          </w:p>
        </w:tc>
        <w:tc>
          <w:tcPr>
            <w:tcW w:w="898" w:type="pct"/>
            <w:vAlign w:val="center"/>
          </w:tcPr>
          <w:p w:rsidR="00156DD6" w:rsidRDefault="00D51F5F">
            <w:pPr>
              <w:jc w:val="right"/>
            </w:pPr>
            <w:r>
              <w:rPr>
                <w:rFonts w:hint="eastAsia"/>
              </w:rPr>
              <w:t xml:space="preserve">81,041,368.71 </w:t>
            </w:r>
          </w:p>
        </w:tc>
        <w:tc>
          <w:tcPr>
            <w:tcW w:w="955" w:type="pct"/>
            <w:vAlign w:val="center"/>
          </w:tcPr>
          <w:p w:rsidR="00156DD6" w:rsidRDefault="00D51F5F">
            <w:pPr>
              <w:jc w:val="right"/>
            </w:pPr>
            <w:r>
              <w:t>560,506,078.80</w:t>
            </w:r>
          </w:p>
        </w:tc>
        <w:tc>
          <w:tcPr>
            <w:tcW w:w="903" w:type="pct"/>
            <w:vAlign w:val="center"/>
          </w:tcPr>
          <w:p w:rsidR="00156DD6" w:rsidRDefault="00D51F5F">
            <w:pPr>
              <w:jc w:val="right"/>
            </w:pPr>
            <w:r>
              <w:t>84,111,718.64</w:t>
            </w:r>
          </w:p>
        </w:tc>
      </w:tr>
    </w:tbl>
    <w:p w:rsidR="00156DD6" w:rsidRDefault="00D51F5F">
      <w:pPr>
        <w:pStyle w:val="Style47"/>
        <w:numPr>
          <w:ilvl w:val="0"/>
          <w:numId w:val="67"/>
        </w:numPr>
        <w:tabs>
          <w:tab w:val="left" w:pos="588"/>
          <w:tab w:val="left" w:pos="616"/>
        </w:tabs>
        <w:rPr>
          <w:rFonts w:ascii="宋体" w:hAnsi="宋体"/>
          <w:color w:val="000000" w:themeColor="text1"/>
          <w:sz w:val="21"/>
          <w:szCs w:val="21"/>
        </w:rPr>
      </w:pPr>
      <w:bookmarkStart w:id="374" w:name="_Hlk11160645"/>
      <w:bookmarkEnd w:id="372"/>
      <w:bookmarkEnd w:id="373"/>
      <w:r>
        <w:rPr>
          <w:rFonts w:ascii="宋体" w:hAnsi="宋体" w:hint="eastAsia"/>
          <w:color w:val="000000" w:themeColor="text1"/>
          <w:sz w:val="21"/>
          <w:szCs w:val="21"/>
        </w:rPr>
        <w:t>以抵销后净额列示的递延所得税资产或负债</w:t>
      </w:r>
    </w:p>
    <w:sdt>
      <w:sdtPr>
        <w:rPr>
          <w:color w:val="000000" w:themeColor="text1"/>
        </w:rPr>
        <w:alias w:val="是否适用：以抵销后净额列示的递延所得税资产或负债[双击切换]"/>
        <w:tag w:val="_GBC_d6419a9d2dc94127a5f6aea72cb2a94d"/>
        <w:id w:val="19983112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wordWrap w:val="0"/>
        <w:jc w:val="right"/>
        <w:rPr>
          <w:color w:val="000000" w:themeColor="text1"/>
        </w:rPr>
      </w:pPr>
      <w:r>
        <w:rPr>
          <w:rFonts w:hint="eastAsia"/>
          <w:color w:val="000000" w:themeColor="text1"/>
        </w:rPr>
        <w:t>单位：</w:t>
      </w:r>
      <w:sdt>
        <w:sdtPr>
          <w:rPr>
            <w:rFonts w:hint="eastAsia"/>
            <w:color w:val="000000" w:themeColor="text1"/>
          </w:rPr>
          <w:alias w:val="单位：财务附注：互抵后的递延所得税资产及负债的组成项目"/>
          <w:tag w:val="_GBC_87248a34ce3042a5abe2f7b24ba6f68f"/>
          <w:id w:val="16722180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互抵后的递延所得税资产及负债的组成项目"/>
          <w:tag w:val="_GBC_cd0e5c76f450471280579335020253cf"/>
          <w:id w:val="-15351018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701"/>
        <w:gridCol w:w="1843"/>
        <w:gridCol w:w="1740"/>
      </w:tblGrid>
      <w:tr w:rsidR="00156DD6">
        <w:sdt>
          <w:sdtPr>
            <w:tag w:val="_PLD_8eec3f5c36d74a4f98b09e1d2c84ffe5"/>
            <w:id w:val="-1430960641"/>
          </w:sdtPr>
          <w:sdtEndPr/>
          <w:sdtContent>
            <w:tc>
              <w:tcPr>
                <w:tcW w:w="1696" w:type="dxa"/>
                <w:vMerge w:val="restart"/>
                <w:vAlign w:val="center"/>
              </w:tcPr>
              <w:p w:rsidR="00156DD6" w:rsidRDefault="00D51F5F">
                <w:pPr>
                  <w:jc w:val="center"/>
                  <w:rPr>
                    <w:color w:val="000000" w:themeColor="text1"/>
                  </w:rPr>
                </w:pPr>
                <w:r>
                  <w:rPr>
                    <w:rFonts w:hint="eastAsia"/>
                    <w:color w:val="000000" w:themeColor="text1"/>
                  </w:rPr>
                  <w:t>项目</w:t>
                </w:r>
              </w:p>
            </w:tc>
          </w:sdtContent>
        </w:sdt>
        <w:sdt>
          <w:sdtPr>
            <w:tag w:val="_PLD_d063e8ff27074b43aef9fafe6a411aca"/>
            <w:id w:val="-1489939971"/>
          </w:sdtPr>
          <w:sdtEndPr/>
          <w:sdtContent>
            <w:tc>
              <w:tcPr>
                <w:tcW w:w="3544" w:type="dxa"/>
                <w:gridSpan w:val="2"/>
                <w:tcBorders>
                  <w:bottom w:val="single" w:sz="4" w:space="0" w:color="auto"/>
                </w:tcBorders>
                <w:vAlign w:val="center"/>
              </w:tcPr>
              <w:p w:rsidR="00156DD6" w:rsidRDefault="00D51F5F">
                <w:pPr>
                  <w:jc w:val="center"/>
                  <w:rPr>
                    <w:color w:val="000000" w:themeColor="text1"/>
                  </w:rPr>
                </w:pPr>
                <w:r>
                  <w:rPr>
                    <w:rFonts w:hint="eastAsia"/>
                    <w:color w:val="000000" w:themeColor="text1"/>
                  </w:rPr>
                  <w:t>期末余额</w:t>
                </w:r>
              </w:p>
            </w:tc>
          </w:sdtContent>
        </w:sdt>
        <w:sdt>
          <w:sdtPr>
            <w:tag w:val="_PLD_8d734730cb60483b99071ba8eb64e1a7"/>
            <w:id w:val="-1391960935"/>
          </w:sdtPr>
          <w:sdtEndPr/>
          <w:sdtContent>
            <w:tc>
              <w:tcPr>
                <w:tcW w:w="3583" w:type="dxa"/>
                <w:gridSpan w:val="2"/>
                <w:tcBorders>
                  <w:bottom w:val="single" w:sz="4" w:space="0" w:color="auto"/>
                </w:tcBorders>
                <w:vAlign w:val="center"/>
              </w:tcPr>
              <w:p w:rsidR="00156DD6" w:rsidRDefault="00D51F5F">
                <w:pPr>
                  <w:jc w:val="center"/>
                  <w:rPr>
                    <w:color w:val="000000" w:themeColor="text1"/>
                  </w:rPr>
                </w:pPr>
                <w:r>
                  <w:rPr>
                    <w:rFonts w:hint="eastAsia"/>
                    <w:color w:val="000000" w:themeColor="text1"/>
                  </w:rPr>
                  <w:t>期初余额</w:t>
                </w:r>
              </w:p>
            </w:tc>
          </w:sdtContent>
        </w:sdt>
      </w:tr>
      <w:tr w:rsidR="00156DD6">
        <w:tc>
          <w:tcPr>
            <w:tcW w:w="1696" w:type="dxa"/>
            <w:vMerge/>
            <w:tcBorders>
              <w:bottom w:val="single" w:sz="4" w:space="0" w:color="auto"/>
            </w:tcBorders>
            <w:vAlign w:val="center"/>
          </w:tcPr>
          <w:p w:rsidR="00156DD6" w:rsidRDefault="00156DD6">
            <w:pPr>
              <w:jc w:val="center"/>
              <w:rPr>
                <w:color w:val="000000" w:themeColor="text1"/>
              </w:rPr>
            </w:pPr>
          </w:p>
        </w:tc>
        <w:sdt>
          <w:sdtPr>
            <w:tag w:val="_PLD_834fe5ba2d834f8f9b67482b5dbbbc14"/>
            <w:id w:val="-1533106969"/>
          </w:sdtPr>
          <w:sdtEndPr/>
          <w:sdtContent>
            <w:tc>
              <w:tcPr>
                <w:tcW w:w="1843" w:type="dxa"/>
                <w:tcBorders>
                  <w:bottom w:val="single" w:sz="4" w:space="0" w:color="auto"/>
                </w:tcBorders>
                <w:vAlign w:val="center"/>
              </w:tcPr>
              <w:p w:rsidR="00156DD6" w:rsidRDefault="00D51F5F">
                <w:pPr>
                  <w:jc w:val="center"/>
                  <w:rPr>
                    <w:color w:val="000000" w:themeColor="text1"/>
                  </w:rPr>
                </w:pPr>
                <w:r>
                  <w:rPr>
                    <w:rFonts w:hint="eastAsia"/>
                    <w:color w:val="000000" w:themeColor="text1"/>
                  </w:rPr>
                  <w:t>递延所得税资产和负债互抵金额</w:t>
                </w:r>
              </w:p>
            </w:tc>
          </w:sdtContent>
        </w:sdt>
        <w:sdt>
          <w:sdtPr>
            <w:tag w:val="_PLD_1d423a6acdc84a9b86a8f4cfef14d1bc"/>
            <w:id w:val="-1536874769"/>
          </w:sdtPr>
          <w:sdtEndPr/>
          <w:sdtContent>
            <w:tc>
              <w:tcPr>
                <w:tcW w:w="1701" w:type="dxa"/>
                <w:tcBorders>
                  <w:bottom w:val="single" w:sz="4" w:space="0" w:color="auto"/>
                </w:tcBorders>
                <w:vAlign w:val="center"/>
              </w:tcPr>
              <w:p w:rsidR="00156DD6" w:rsidRDefault="00D51F5F">
                <w:pPr>
                  <w:jc w:val="center"/>
                  <w:rPr>
                    <w:color w:val="000000" w:themeColor="text1"/>
                  </w:rPr>
                </w:pPr>
                <w:r>
                  <w:rPr>
                    <w:rFonts w:hint="eastAsia"/>
                    <w:color w:val="000000" w:themeColor="text1"/>
                  </w:rPr>
                  <w:t>抵销后递延所得税资产或负债余额</w:t>
                </w:r>
              </w:p>
            </w:tc>
          </w:sdtContent>
        </w:sdt>
        <w:sdt>
          <w:sdtPr>
            <w:tag w:val="_PLD_7e951a92ca604006b07c34e19fd86c46"/>
            <w:id w:val="2176070"/>
          </w:sdtPr>
          <w:sdtEndPr/>
          <w:sdtContent>
            <w:tc>
              <w:tcPr>
                <w:tcW w:w="1843" w:type="dxa"/>
                <w:tcBorders>
                  <w:bottom w:val="single" w:sz="4" w:space="0" w:color="auto"/>
                </w:tcBorders>
                <w:vAlign w:val="center"/>
              </w:tcPr>
              <w:p w:rsidR="00156DD6" w:rsidRDefault="00D51F5F">
                <w:pPr>
                  <w:jc w:val="center"/>
                  <w:rPr>
                    <w:color w:val="000000" w:themeColor="text1"/>
                  </w:rPr>
                </w:pPr>
                <w:r>
                  <w:rPr>
                    <w:rFonts w:hint="eastAsia"/>
                    <w:color w:val="000000" w:themeColor="text1"/>
                  </w:rPr>
                  <w:t>递延所得税资产和负债互抵金额</w:t>
                </w:r>
              </w:p>
            </w:tc>
          </w:sdtContent>
        </w:sdt>
        <w:sdt>
          <w:sdtPr>
            <w:tag w:val="_PLD_357e55134bfb4d68a713600691a595cb"/>
            <w:id w:val="-1000193263"/>
          </w:sdtPr>
          <w:sdtEndPr/>
          <w:sdtContent>
            <w:tc>
              <w:tcPr>
                <w:tcW w:w="1740" w:type="dxa"/>
                <w:tcBorders>
                  <w:bottom w:val="single" w:sz="4" w:space="0" w:color="auto"/>
                </w:tcBorders>
                <w:vAlign w:val="center"/>
              </w:tcPr>
              <w:p w:rsidR="00156DD6" w:rsidRDefault="00D51F5F">
                <w:pPr>
                  <w:jc w:val="center"/>
                  <w:rPr>
                    <w:color w:val="000000" w:themeColor="text1"/>
                  </w:rPr>
                </w:pPr>
                <w:r>
                  <w:rPr>
                    <w:rFonts w:hint="eastAsia"/>
                    <w:color w:val="000000" w:themeColor="text1"/>
                  </w:rPr>
                  <w:t>抵销后递延所得税资产或负债余额</w:t>
                </w:r>
              </w:p>
            </w:tc>
          </w:sdtContent>
        </w:sdt>
      </w:tr>
      <w:tr w:rsidR="00156DD6">
        <w:tc>
          <w:tcPr>
            <w:tcW w:w="1696" w:type="dxa"/>
          </w:tcPr>
          <w:p w:rsidR="00156DD6" w:rsidRDefault="00D51F5F">
            <w:pPr>
              <w:rPr>
                <w:color w:val="000000" w:themeColor="text1"/>
              </w:rPr>
            </w:pPr>
            <w:bookmarkStart w:id="375" w:name="_Hlk200964296"/>
            <w:r>
              <w:rPr>
                <w:rFonts w:hint="eastAsia"/>
                <w:color w:val="000000" w:themeColor="text1"/>
              </w:rPr>
              <w:t>递延所得税资产</w:t>
            </w:r>
          </w:p>
        </w:tc>
        <w:tc>
          <w:tcPr>
            <w:tcW w:w="1843" w:type="dxa"/>
          </w:tcPr>
          <w:p w:rsidR="00156DD6" w:rsidRDefault="00D51F5F">
            <w:pPr>
              <w:jc w:val="right"/>
            </w:pPr>
            <w:r>
              <w:rPr>
                <w:rFonts w:hint="eastAsia"/>
              </w:rPr>
              <w:t xml:space="preserve"> -29,663,548.90 </w:t>
            </w:r>
          </w:p>
        </w:tc>
        <w:tc>
          <w:tcPr>
            <w:tcW w:w="1701" w:type="dxa"/>
          </w:tcPr>
          <w:p w:rsidR="00156DD6" w:rsidRDefault="00D51F5F">
            <w:pPr>
              <w:jc w:val="right"/>
            </w:pPr>
            <w:r>
              <w:rPr>
                <w:rFonts w:hint="eastAsia"/>
              </w:rPr>
              <w:t xml:space="preserve"> 20,994,841.05 </w:t>
            </w:r>
          </w:p>
        </w:tc>
        <w:tc>
          <w:tcPr>
            <w:tcW w:w="1843" w:type="dxa"/>
            <w:vAlign w:val="center"/>
          </w:tcPr>
          <w:p w:rsidR="00156DD6" w:rsidRDefault="00D51F5F">
            <w:pPr>
              <w:jc w:val="right"/>
            </w:pPr>
            <w:r>
              <w:t>-38,607,537.66</w:t>
            </w:r>
          </w:p>
        </w:tc>
        <w:tc>
          <w:tcPr>
            <w:tcW w:w="1740" w:type="dxa"/>
            <w:vAlign w:val="center"/>
          </w:tcPr>
          <w:p w:rsidR="00156DD6" w:rsidRDefault="00D51F5F">
            <w:pPr>
              <w:jc w:val="right"/>
            </w:pPr>
            <w:r>
              <w:t>18,461,556.75</w:t>
            </w:r>
          </w:p>
        </w:tc>
      </w:tr>
      <w:tr w:rsidR="00156DD6">
        <w:tc>
          <w:tcPr>
            <w:tcW w:w="1696" w:type="dxa"/>
          </w:tcPr>
          <w:p w:rsidR="00156DD6" w:rsidRDefault="00D51F5F">
            <w:pPr>
              <w:rPr>
                <w:color w:val="000000" w:themeColor="text1"/>
              </w:rPr>
            </w:pPr>
            <w:r>
              <w:rPr>
                <w:rFonts w:hint="eastAsia"/>
                <w:color w:val="000000" w:themeColor="text1"/>
              </w:rPr>
              <w:t>递延所得税负债</w:t>
            </w:r>
          </w:p>
        </w:tc>
        <w:tc>
          <w:tcPr>
            <w:tcW w:w="1843" w:type="dxa"/>
          </w:tcPr>
          <w:p w:rsidR="00156DD6" w:rsidRDefault="00D51F5F">
            <w:pPr>
              <w:jc w:val="right"/>
            </w:pPr>
            <w:r>
              <w:rPr>
                <w:rFonts w:hint="eastAsia"/>
              </w:rPr>
              <w:t xml:space="preserve"> -29,663,548.90 </w:t>
            </w:r>
          </w:p>
        </w:tc>
        <w:tc>
          <w:tcPr>
            <w:tcW w:w="1701" w:type="dxa"/>
          </w:tcPr>
          <w:p w:rsidR="00156DD6" w:rsidRDefault="00D51F5F">
            <w:pPr>
              <w:jc w:val="right"/>
            </w:pPr>
            <w:r>
              <w:rPr>
                <w:rFonts w:hint="eastAsia"/>
              </w:rPr>
              <w:t xml:space="preserve"> 51,377,819.81 </w:t>
            </w:r>
          </w:p>
        </w:tc>
        <w:tc>
          <w:tcPr>
            <w:tcW w:w="1843" w:type="dxa"/>
            <w:vAlign w:val="center"/>
          </w:tcPr>
          <w:p w:rsidR="00156DD6" w:rsidRDefault="00D51F5F">
            <w:pPr>
              <w:jc w:val="right"/>
            </w:pPr>
            <w:r>
              <w:t>-38,607,537.66</w:t>
            </w:r>
          </w:p>
        </w:tc>
        <w:tc>
          <w:tcPr>
            <w:tcW w:w="1740" w:type="dxa"/>
            <w:vAlign w:val="center"/>
          </w:tcPr>
          <w:p w:rsidR="00156DD6" w:rsidRDefault="00D51F5F">
            <w:pPr>
              <w:jc w:val="right"/>
            </w:pPr>
            <w:r>
              <w:t>45,504,180.98</w:t>
            </w:r>
          </w:p>
        </w:tc>
      </w:tr>
    </w:tbl>
    <w:p w:rsidR="00156DD6" w:rsidRDefault="00D51F5F">
      <w:pPr>
        <w:pStyle w:val="Style47"/>
        <w:numPr>
          <w:ilvl w:val="0"/>
          <w:numId w:val="67"/>
        </w:numPr>
        <w:tabs>
          <w:tab w:val="left" w:pos="588"/>
          <w:tab w:val="left" w:pos="616"/>
        </w:tabs>
        <w:rPr>
          <w:rFonts w:ascii="宋体" w:hAnsi="宋体"/>
          <w:color w:val="000000" w:themeColor="text1"/>
          <w:sz w:val="21"/>
          <w:szCs w:val="21"/>
        </w:rPr>
      </w:pPr>
      <w:bookmarkStart w:id="376" w:name="_Hlk11160660"/>
      <w:bookmarkEnd w:id="374"/>
      <w:bookmarkEnd w:id="375"/>
      <w:r>
        <w:rPr>
          <w:rFonts w:ascii="宋体" w:hAnsi="宋体" w:hint="eastAsia"/>
          <w:color w:val="000000" w:themeColor="text1"/>
          <w:sz w:val="21"/>
          <w:szCs w:val="21"/>
        </w:rPr>
        <w:t>未确认递延所得税资产明细</w:t>
      </w:r>
    </w:p>
    <w:sdt>
      <w:sdtPr>
        <w:rPr>
          <w:color w:val="000000" w:themeColor="text1"/>
        </w:rPr>
        <w:alias w:val="是否适用：未确认递延所得税资产明细[双击切换]"/>
        <w:tag w:val="_GBC_f210878b05204277b5f70ed9ae786ea7"/>
        <w:id w:val="112765912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67"/>
        </w:numPr>
        <w:tabs>
          <w:tab w:val="left" w:pos="588"/>
          <w:tab w:val="left" w:pos="616"/>
        </w:tabs>
        <w:rPr>
          <w:rFonts w:ascii="宋体" w:hAnsi="宋体"/>
          <w:color w:val="000000" w:themeColor="text1"/>
          <w:sz w:val="21"/>
          <w:szCs w:val="21"/>
        </w:rPr>
      </w:pPr>
      <w:bookmarkStart w:id="377" w:name="_Hlk11160672"/>
      <w:bookmarkEnd w:id="376"/>
      <w:r>
        <w:rPr>
          <w:rFonts w:ascii="宋体" w:hAnsi="宋体" w:hint="eastAsia"/>
          <w:color w:val="000000" w:themeColor="text1"/>
          <w:sz w:val="21"/>
          <w:szCs w:val="21"/>
        </w:rPr>
        <w:t>未确认递延所得税资产的可抵扣亏损将于以下年度到期</w:t>
      </w:r>
    </w:p>
    <w:sdt>
      <w:sdtPr>
        <w:rPr>
          <w:color w:val="000000" w:themeColor="text1"/>
        </w:rPr>
        <w:alias w:val="是否适用：未确认递延所得税资产的可抵扣亏损将于以下年度到期[双击切换]"/>
        <w:tag w:val="_GBC_10d31911cedc4147b90ab71d35742bf4"/>
        <w:id w:val="152474889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77"/>
    <w:p w:rsidR="00156DD6" w:rsidRDefault="00D51F5F">
      <w:pPr>
        <w:rPr>
          <w:color w:val="000000" w:themeColor="text1"/>
        </w:rPr>
      </w:pPr>
      <w:r>
        <w:rPr>
          <w:rFonts w:hint="eastAsia"/>
          <w:color w:val="000000" w:themeColor="text1"/>
        </w:rPr>
        <w:t>其他说明：</w:t>
      </w:r>
    </w:p>
    <w:sdt>
      <w:sdtPr>
        <w:rPr>
          <w:color w:val="000000" w:themeColor="text1"/>
        </w:rPr>
        <w:alias w:val="是否适用：递延所得税资产和递延所得税负债的说明[双击切换]"/>
        <w:tag w:val="_GBC_06478ceb6b7447a791a4a5cbf8cc7e95"/>
        <w:id w:val="-16100484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w:instrText>
          </w:r>
          <w:r>
            <w:rPr>
              <w:rFonts w:hint="eastAsia"/>
              <w:color w:val="000000" w:themeColor="text1"/>
            </w:rPr>
            <w:instrText xml:space="preserve">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378" w:name="_Hlk10535308"/>
      <w:r>
        <w:rPr>
          <w:color w:val="000000" w:themeColor="text1"/>
          <w:sz w:val="21"/>
          <w:szCs w:val="22"/>
        </w:rPr>
        <w:t>其他非流动资产</w:t>
      </w:r>
    </w:p>
    <w:sdt>
      <w:sdtPr>
        <w:rPr>
          <w:color w:val="000000" w:themeColor="text1"/>
        </w:rPr>
        <w:alias w:val="是否适用：其他非流动资产[双击切换]"/>
        <w:tag w:val="_GBC_227882aeaa9b4aa98d6af8bcac2af7a5"/>
        <w:id w:val="-98523916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color w:val="000000" w:themeColor="text1"/>
          </w:rPr>
          <w:alias w:val="单位：财务附注：其他非流动资产"/>
          <w:tag w:val="_GBC_5fd172528c7e4c4c8619b250ae90cdb4"/>
          <w:id w:val="3093706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非流动资产"/>
          <w:tag w:val="_GBC_4cd5c26035ba4f7384dee597c98f0cb6"/>
          <w:id w:val="-14681897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64"/>
        <w:gridCol w:w="1591"/>
        <w:gridCol w:w="783"/>
        <w:gridCol w:w="1592"/>
        <w:gridCol w:w="1591"/>
        <w:gridCol w:w="783"/>
        <w:gridCol w:w="1592"/>
      </w:tblGrid>
      <w:tr w:rsidR="00156DD6">
        <w:sdt>
          <w:sdtPr>
            <w:tag w:val="_PLD_a0072e7adb6c49bb95cec91e0b7ec491"/>
            <w:id w:val="-420421185"/>
          </w:sdtPr>
          <w:sdtEndPr/>
          <w:sdtContent>
            <w:tc>
              <w:tcPr>
                <w:tcW w:w="592" w:type="pct"/>
                <w:vMerge w:val="restart"/>
                <w:vAlign w:val="center"/>
              </w:tcPr>
              <w:p w:rsidR="00156DD6" w:rsidRDefault="00D51F5F">
                <w:pPr>
                  <w:jc w:val="center"/>
                  <w:rPr>
                    <w:color w:val="000000" w:themeColor="text1"/>
                  </w:rPr>
                </w:pPr>
                <w:r>
                  <w:rPr>
                    <w:rFonts w:hint="eastAsia"/>
                    <w:color w:val="000000" w:themeColor="text1"/>
                  </w:rPr>
                  <w:t>项目</w:t>
                </w:r>
              </w:p>
            </w:tc>
          </w:sdtContent>
        </w:sdt>
        <w:sdt>
          <w:sdtPr>
            <w:tag w:val="_PLD_9557fd4b49c84b3db8c9ae69c7346562"/>
            <w:id w:val="-827441235"/>
          </w:sdtPr>
          <w:sdtEndPr/>
          <w:sdtContent>
            <w:tc>
              <w:tcPr>
                <w:tcW w:w="2204" w:type="pct"/>
                <w:gridSpan w:val="3"/>
                <w:vAlign w:val="center"/>
              </w:tcPr>
              <w:p w:rsidR="00156DD6" w:rsidRDefault="00D51F5F">
                <w:pPr>
                  <w:jc w:val="center"/>
                  <w:rPr>
                    <w:color w:val="000000" w:themeColor="text1"/>
                  </w:rPr>
                </w:pPr>
                <w:r>
                  <w:rPr>
                    <w:rFonts w:hint="eastAsia"/>
                    <w:color w:val="000000" w:themeColor="text1"/>
                  </w:rPr>
                  <w:t>期末余额</w:t>
                </w:r>
              </w:p>
            </w:tc>
          </w:sdtContent>
        </w:sdt>
        <w:sdt>
          <w:sdtPr>
            <w:tag w:val="_PLD_dad73a13c6c344aaa0bec642175f96c3"/>
            <w:id w:val="684410887"/>
          </w:sdtPr>
          <w:sdtEndPr/>
          <w:sdtContent>
            <w:tc>
              <w:tcPr>
                <w:tcW w:w="2204" w:type="pct"/>
                <w:gridSpan w:val="3"/>
                <w:vAlign w:val="center"/>
              </w:tcPr>
              <w:p w:rsidR="00156DD6" w:rsidRDefault="00D51F5F">
                <w:pPr>
                  <w:jc w:val="center"/>
                  <w:rPr>
                    <w:color w:val="000000" w:themeColor="text1"/>
                  </w:rPr>
                </w:pPr>
                <w:r>
                  <w:rPr>
                    <w:rFonts w:hint="eastAsia"/>
                    <w:color w:val="000000" w:themeColor="text1"/>
                  </w:rPr>
                  <w:t>期初余额</w:t>
                </w:r>
              </w:p>
            </w:tc>
          </w:sdtContent>
        </w:sdt>
      </w:tr>
      <w:tr w:rsidR="00156DD6">
        <w:tc>
          <w:tcPr>
            <w:tcW w:w="592" w:type="pct"/>
            <w:vMerge/>
            <w:vAlign w:val="center"/>
          </w:tcPr>
          <w:p w:rsidR="00156DD6" w:rsidRDefault="00156DD6">
            <w:pPr>
              <w:jc w:val="center"/>
              <w:rPr>
                <w:color w:val="000000" w:themeColor="text1"/>
              </w:rPr>
            </w:pPr>
          </w:p>
        </w:tc>
        <w:tc>
          <w:tcPr>
            <w:tcW w:w="884" w:type="pct"/>
            <w:vAlign w:val="center"/>
          </w:tcPr>
          <w:sdt>
            <w:sdtPr>
              <w:tag w:val="_PLD_93d316b5ed8d45ea95cfce051b0f999d"/>
              <w:id w:val="-1708016838"/>
            </w:sdtPr>
            <w:sdtEndPr/>
            <w:sdtContent>
              <w:p w:rsidR="00156DD6" w:rsidRDefault="00D51F5F">
                <w:pPr>
                  <w:jc w:val="center"/>
                  <w:rPr>
                    <w:color w:val="000000" w:themeColor="text1"/>
                  </w:rPr>
                </w:pPr>
                <w:r>
                  <w:rPr>
                    <w:rFonts w:hint="eastAsia"/>
                    <w:color w:val="000000" w:themeColor="text1"/>
                  </w:rPr>
                  <w:t>账面余额</w:t>
                </w:r>
              </w:p>
            </w:sdtContent>
          </w:sdt>
        </w:tc>
        <w:tc>
          <w:tcPr>
            <w:tcW w:w="435" w:type="pct"/>
            <w:vAlign w:val="center"/>
          </w:tcPr>
          <w:sdt>
            <w:sdtPr>
              <w:tag w:val="_PLD_ce9573e9b47f4859912e77c530974f87"/>
              <w:id w:val="258188266"/>
            </w:sdtPr>
            <w:sdtEndPr/>
            <w:sdtContent>
              <w:p w:rsidR="00156DD6" w:rsidRDefault="00D51F5F">
                <w:pPr>
                  <w:jc w:val="center"/>
                  <w:rPr>
                    <w:color w:val="000000" w:themeColor="text1"/>
                  </w:rPr>
                </w:pPr>
                <w:r>
                  <w:rPr>
                    <w:color w:val="000000" w:themeColor="text1"/>
                  </w:rPr>
                  <w:t>减值准备</w:t>
                </w:r>
              </w:p>
            </w:sdtContent>
          </w:sdt>
        </w:tc>
        <w:tc>
          <w:tcPr>
            <w:tcW w:w="884" w:type="pct"/>
            <w:vAlign w:val="center"/>
          </w:tcPr>
          <w:sdt>
            <w:sdtPr>
              <w:tag w:val="_PLD_4b72c2cb7df84a3a9384f2eaa1acaf3a"/>
              <w:id w:val="-1429808686"/>
            </w:sdtPr>
            <w:sdtEndPr/>
            <w:sdtContent>
              <w:p w:rsidR="00156DD6" w:rsidRDefault="00D51F5F">
                <w:pPr>
                  <w:jc w:val="center"/>
                  <w:rPr>
                    <w:color w:val="000000" w:themeColor="text1"/>
                  </w:rPr>
                </w:pPr>
                <w:r>
                  <w:rPr>
                    <w:color w:val="000000" w:themeColor="text1"/>
                  </w:rPr>
                  <w:t>账面价值</w:t>
                </w:r>
              </w:p>
            </w:sdtContent>
          </w:sdt>
        </w:tc>
        <w:tc>
          <w:tcPr>
            <w:tcW w:w="884" w:type="pct"/>
            <w:vAlign w:val="center"/>
          </w:tcPr>
          <w:sdt>
            <w:sdtPr>
              <w:tag w:val="_PLD_31abd03025c54702bba8f28fbcd435be"/>
              <w:id w:val="-1109112636"/>
            </w:sdtPr>
            <w:sdtEndPr/>
            <w:sdtContent>
              <w:p w:rsidR="00156DD6" w:rsidRDefault="00D51F5F">
                <w:pPr>
                  <w:jc w:val="center"/>
                  <w:rPr>
                    <w:color w:val="000000" w:themeColor="text1"/>
                  </w:rPr>
                </w:pPr>
                <w:r>
                  <w:rPr>
                    <w:color w:val="000000" w:themeColor="text1"/>
                  </w:rPr>
                  <w:t>账面余额</w:t>
                </w:r>
              </w:p>
            </w:sdtContent>
          </w:sdt>
        </w:tc>
        <w:tc>
          <w:tcPr>
            <w:tcW w:w="435" w:type="pct"/>
            <w:vAlign w:val="center"/>
          </w:tcPr>
          <w:sdt>
            <w:sdtPr>
              <w:tag w:val="_PLD_5650816a035d4b9d999e9f87d1506d3b"/>
              <w:id w:val="-382859175"/>
            </w:sdtPr>
            <w:sdtEndPr/>
            <w:sdtContent>
              <w:p w:rsidR="00156DD6" w:rsidRDefault="00D51F5F">
                <w:pPr>
                  <w:jc w:val="center"/>
                  <w:rPr>
                    <w:color w:val="000000" w:themeColor="text1"/>
                  </w:rPr>
                </w:pPr>
                <w:r>
                  <w:rPr>
                    <w:color w:val="000000" w:themeColor="text1"/>
                  </w:rPr>
                  <w:t>减值准备</w:t>
                </w:r>
              </w:p>
            </w:sdtContent>
          </w:sdt>
        </w:tc>
        <w:tc>
          <w:tcPr>
            <w:tcW w:w="884" w:type="pct"/>
            <w:vAlign w:val="center"/>
          </w:tcPr>
          <w:sdt>
            <w:sdtPr>
              <w:tag w:val="_PLD_76b67d2d1c1543c0b22ec33e5ae8e28a"/>
              <w:id w:val="-1805536125"/>
            </w:sdtPr>
            <w:sdtEndPr/>
            <w:sdtContent>
              <w:p w:rsidR="00156DD6" w:rsidRDefault="00D51F5F">
                <w:pPr>
                  <w:jc w:val="center"/>
                  <w:rPr>
                    <w:color w:val="000000" w:themeColor="text1"/>
                  </w:rPr>
                </w:pPr>
                <w:r>
                  <w:rPr>
                    <w:color w:val="000000" w:themeColor="text1"/>
                  </w:rPr>
                  <w:t>账面价值</w:t>
                </w:r>
              </w:p>
            </w:sdtContent>
          </w:sdt>
        </w:tc>
      </w:tr>
      <w:tr w:rsidR="00156DD6">
        <w:tc>
          <w:tcPr>
            <w:tcW w:w="592" w:type="pct"/>
            <w:vAlign w:val="center"/>
          </w:tcPr>
          <w:p w:rsidR="00156DD6" w:rsidRDefault="00D51F5F">
            <w:pPr>
              <w:jc w:val="both"/>
            </w:pPr>
            <w:r>
              <w:rPr>
                <w:rFonts w:hint="eastAsia"/>
              </w:rPr>
              <w:t>长期资产采购款项</w:t>
            </w:r>
          </w:p>
        </w:tc>
        <w:tc>
          <w:tcPr>
            <w:tcW w:w="884" w:type="pct"/>
            <w:vAlign w:val="center"/>
          </w:tcPr>
          <w:p w:rsidR="00156DD6" w:rsidRDefault="00D51F5F">
            <w:pPr>
              <w:jc w:val="right"/>
            </w:pPr>
            <w:r>
              <w:rPr>
                <w:rFonts w:hint="eastAsia"/>
              </w:rPr>
              <w:t xml:space="preserve">22,584,939.17 </w:t>
            </w:r>
          </w:p>
        </w:tc>
        <w:tc>
          <w:tcPr>
            <w:tcW w:w="435" w:type="pct"/>
            <w:vAlign w:val="center"/>
          </w:tcPr>
          <w:p w:rsidR="00156DD6" w:rsidRDefault="00156DD6">
            <w:pPr>
              <w:jc w:val="right"/>
            </w:pPr>
          </w:p>
        </w:tc>
        <w:tc>
          <w:tcPr>
            <w:tcW w:w="884" w:type="pct"/>
            <w:vAlign w:val="center"/>
          </w:tcPr>
          <w:p w:rsidR="00156DD6" w:rsidRDefault="00D51F5F">
            <w:pPr>
              <w:jc w:val="right"/>
            </w:pPr>
            <w:r>
              <w:rPr>
                <w:rFonts w:hint="eastAsia"/>
              </w:rPr>
              <w:t xml:space="preserve">22,584,939.17 </w:t>
            </w:r>
          </w:p>
        </w:tc>
        <w:tc>
          <w:tcPr>
            <w:tcW w:w="884" w:type="pct"/>
            <w:vAlign w:val="center"/>
          </w:tcPr>
          <w:p w:rsidR="00156DD6" w:rsidRDefault="00D51F5F">
            <w:pPr>
              <w:jc w:val="right"/>
            </w:pPr>
            <w:r>
              <w:t>11,656,063.63</w:t>
            </w:r>
          </w:p>
        </w:tc>
        <w:tc>
          <w:tcPr>
            <w:tcW w:w="435" w:type="pct"/>
            <w:vAlign w:val="center"/>
          </w:tcPr>
          <w:p w:rsidR="00156DD6" w:rsidRDefault="00156DD6">
            <w:pPr>
              <w:jc w:val="right"/>
            </w:pPr>
          </w:p>
        </w:tc>
        <w:tc>
          <w:tcPr>
            <w:tcW w:w="884" w:type="pct"/>
            <w:vAlign w:val="center"/>
          </w:tcPr>
          <w:p w:rsidR="00156DD6" w:rsidRDefault="00D51F5F">
            <w:pPr>
              <w:jc w:val="right"/>
            </w:pPr>
            <w:r>
              <w:t>11,656,063.63</w:t>
            </w:r>
          </w:p>
        </w:tc>
      </w:tr>
      <w:tr w:rsidR="00156DD6">
        <w:tc>
          <w:tcPr>
            <w:tcW w:w="592" w:type="pct"/>
            <w:vAlign w:val="center"/>
          </w:tcPr>
          <w:p w:rsidR="00156DD6" w:rsidRDefault="00D51F5F">
            <w:pPr>
              <w:jc w:val="center"/>
              <w:rPr>
                <w:color w:val="000000" w:themeColor="text1"/>
              </w:rPr>
            </w:pPr>
            <w:r>
              <w:rPr>
                <w:rFonts w:hint="eastAsia"/>
                <w:color w:val="000000" w:themeColor="text1"/>
              </w:rPr>
              <w:t>合计</w:t>
            </w:r>
          </w:p>
        </w:tc>
        <w:tc>
          <w:tcPr>
            <w:tcW w:w="884" w:type="pct"/>
            <w:vAlign w:val="center"/>
          </w:tcPr>
          <w:p w:rsidR="00156DD6" w:rsidRDefault="00D51F5F">
            <w:pPr>
              <w:jc w:val="right"/>
            </w:pPr>
            <w:r>
              <w:rPr>
                <w:rFonts w:hint="eastAsia"/>
              </w:rPr>
              <w:t xml:space="preserve">22,584,939.17 </w:t>
            </w:r>
          </w:p>
        </w:tc>
        <w:tc>
          <w:tcPr>
            <w:tcW w:w="435" w:type="pct"/>
            <w:vAlign w:val="center"/>
          </w:tcPr>
          <w:p w:rsidR="00156DD6" w:rsidRDefault="00156DD6">
            <w:pPr>
              <w:jc w:val="right"/>
            </w:pPr>
          </w:p>
        </w:tc>
        <w:tc>
          <w:tcPr>
            <w:tcW w:w="884" w:type="pct"/>
            <w:vAlign w:val="center"/>
          </w:tcPr>
          <w:p w:rsidR="00156DD6" w:rsidRDefault="00D51F5F">
            <w:pPr>
              <w:jc w:val="right"/>
            </w:pPr>
            <w:r>
              <w:rPr>
                <w:rFonts w:hint="eastAsia"/>
              </w:rPr>
              <w:t xml:space="preserve">22,584,939.17 </w:t>
            </w:r>
          </w:p>
        </w:tc>
        <w:tc>
          <w:tcPr>
            <w:tcW w:w="884" w:type="pct"/>
            <w:vAlign w:val="center"/>
          </w:tcPr>
          <w:p w:rsidR="00156DD6" w:rsidRDefault="00D51F5F">
            <w:pPr>
              <w:jc w:val="right"/>
            </w:pPr>
            <w:r>
              <w:t>11,656,063.63</w:t>
            </w:r>
          </w:p>
        </w:tc>
        <w:tc>
          <w:tcPr>
            <w:tcW w:w="435" w:type="pct"/>
            <w:vAlign w:val="center"/>
          </w:tcPr>
          <w:p w:rsidR="00156DD6" w:rsidRDefault="00156DD6">
            <w:pPr>
              <w:jc w:val="right"/>
            </w:pPr>
          </w:p>
        </w:tc>
        <w:tc>
          <w:tcPr>
            <w:tcW w:w="884" w:type="pct"/>
            <w:vAlign w:val="center"/>
          </w:tcPr>
          <w:p w:rsidR="00156DD6" w:rsidRDefault="00D51F5F">
            <w:pPr>
              <w:jc w:val="right"/>
            </w:pPr>
            <w:r>
              <w:t>11,656,063.63</w:t>
            </w:r>
          </w:p>
        </w:tc>
      </w:tr>
    </w:tbl>
    <w:p w:rsidR="00156DD6" w:rsidRDefault="00D51F5F">
      <w:pPr>
        <w:rPr>
          <w:color w:val="000000" w:themeColor="text1"/>
        </w:rPr>
      </w:pPr>
      <w:r>
        <w:rPr>
          <w:rFonts w:hint="eastAsia"/>
          <w:color w:val="000000" w:themeColor="text1"/>
        </w:rPr>
        <w:t>其他说明：</w:t>
      </w:r>
    </w:p>
    <w:p w:rsidR="00156DD6" w:rsidRDefault="00D51F5F">
      <w:pPr>
        <w:rPr>
          <w:color w:val="000000" w:themeColor="text1"/>
        </w:rPr>
      </w:pPr>
      <w:sdt>
        <w:sdtPr>
          <w:rPr>
            <w:color w:val="000000" w:themeColor="text1"/>
          </w:rPr>
          <w:alias w:val="其他长期资产的说明"/>
          <w:tag w:val="_GBC_c90d49970b64411f909938927f41ebe5"/>
          <w:id w:val="1853301353"/>
          <w:placeholder>
            <w:docPart w:val="GBC22222222222222222222222222222"/>
          </w:placeholder>
        </w:sdtPr>
        <w:sdtEndPr/>
        <w:sdtContent>
          <w:r>
            <w:rPr>
              <w:rFonts w:hint="eastAsia"/>
              <w:color w:val="000000" w:themeColor="text1"/>
            </w:rPr>
            <w:t>无</w:t>
          </w:r>
        </w:sdtContent>
      </w:sdt>
    </w:p>
    <w:p w:rsidR="00156DD6" w:rsidRDefault="00D51F5F">
      <w:pPr>
        <w:pStyle w:val="TOC6"/>
        <w:numPr>
          <w:ilvl w:val="0"/>
          <w:numId w:val="53"/>
        </w:numPr>
        <w:rPr>
          <w:color w:val="000000" w:themeColor="text1"/>
          <w:sz w:val="21"/>
          <w:szCs w:val="22"/>
        </w:rPr>
      </w:pPr>
      <w:bookmarkStart w:id="379" w:name="OLE_LINK9"/>
      <w:bookmarkStart w:id="380" w:name="_Hlk167960140"/>
      <w:bookmarkEnd w:id="378"/>
      <w:r>
        <w:rPr>
          <w:color w:val="000000" w:themeColor="text1"/>
          <w:sz w:val="21"/>
          <w:szCs w:val="22"/>
        </w:rPr>
        <w:t>所有权或使用权受限资产</w:t>
      </w:r>
    </w:p>
    <w:bookmarkEnd w:id="379" w:displacedByCustomXml="next"/>
    <w:sdt>
      <w:sdtPr>
        <w:rPr>
          <w:color w:val="000000" w:themeColor="text1"/>
        </w:rPr>
        <w:alias w:val="是否适用：所有权或使用权受到限制的资产[双击切换]"/>
        <w:tag w:val="_GBC_006357d26b6d46ec8496596e5de014f0"/>
        <w:id w:val="144033750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a7102ff3db4e4d8a94bd9f34e41fd91f"/>
          <w:id w:val="1151837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财务附注：所有权或使用权受到限制的资产"/>
          <w:tag w:val="_GBC_95c4fec9be7647a5baa402b14dcb9f69"/>
          <w:id w:val="-6403446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2"/>
        <w:tblW w:w="0" w:type="auto"/>
        <w:tblInd w:w="0" w:type="dxa"/>
        <w:tblLayout w:type="fixed"/>
        <w:tblLook w:val="04A0" w:firstRow="1" w:lastRow="0" w:firstColumn="1" w:lastColumn="0" w:noHBand="0" w:noVBand="1"/>
      </w:tblPr>
      <w:tblGrid>
        <w:gridCol w:w="846"/>
        <w:gridCol w:w="1276"/>
        <w:gridCol w:w="1417"/>
        <w:gridCol w:w="709"/>
        <w:gridCol w:w="707"/>
        <w:gridCol w:w="1277"/>
        <w:gridCol w:w="1276"/>
        <w:gridCol w:w="567"/>
        <w:gridCol w:w="748"/>
      </w:tblGrid>
      <w:tr w:rsidR="00156DD6">
        <w:sdt>
          <w:sdtPr>
            <w:rPr>
              <w:sz w:val="16"/>
              <w:szCs w:val="16"/>
            </w:rPr>
            <w:tag w:val="_PLD_1faeb04f4bf14b349ad8c59d6667b0fb"/>
            <w:id w:val="979036483"/>
          </w:sdtPr>
          <w:sdtEndPr/>
          <w:sdtContent>
            <w:tc>
              <w:tcPr>
                <w:tcW w:w="846" w:type="dxa"/>
                <w:vMerge w:val="restart"/>
                <w:vAlign w:val="center"/>
              </w:tcPr>
              <w:p w:rsidR="00156DD6" w:rsidRDefault="00D51F5F">
                <w:pPr>
                  <w:jc w:val="center"/>
                  <w:rPr>
                    <w:color w:val="000000" w:themeColor="text1"/>
                    <w:sz w:val="16"/>
                    <w:szCs w:val="16"/>
                  </w:rPr>
                </w:pPr>
                <w:r>
                  <w:rPr>
                    <w:rFonts w:hint="eastAsia"/>
                    <w:color w:val="000000" w:themeColor="text1"/>
                    <w:sz w:val="16"/>
                    <w:szCs w:val="16"/>
                  </w:rPr>
                  <w:t>项目</w:t>
                </w:r>
              </w:p>
            </w:tc>
          </w:sdtContent>
        </w:sdt>
        <w:sdt>
          <w:sdtPr>
            <w:rPr>
              <w:sz w:val="16"/>
              <w:szCs w:val="16"/>
            </w:rPr>
            <w:tag w:val="_PLD_c2f91c04994b44019d90769d6b563b17"/>
            <w:id w:val="362023521"/>
          </w:sdtPr>
          <w:sdtEndPr/>
          <w:sdtContent>
            <w:tc>
              <w:tcPr>
                <w:tcW w:w="4109" w:type="dxa"/>
                <w:gridSpan w:val="4"/>
                <w:vAlign w:val="center"/>
              </w:tcPr>
              <w:p w:rsidR="00156DD6" w:rsidRDefault="00D51F5F">
                <w:pPr>
                  <w:jc w:val="center"/>
                  <w:rPr>
                    <w:color w:val="000000" w:themeColor="text1"/>
                    <w:sz w:val="16"/>
                    <w:szCs w:val="16"/>
                  </w:rPr>
                </w:pPr>
                <w:r>
                  <w:rPr>
                    <w:rFonts w:hint="eastAsia"/>
                    <w:color w:val="000000" w:themeColor="text1"/>
                    <w:sz w:val="16"/>
                    <w:szCs w:val="16"/>
                  </w:rPr>
                  <w:t>期末</w:t>
                </w:r>
              </w:p>
            </w:tc>
          </w:sdtContent>
        </w:sdt>
        <w:sdt>
          <w:sdtPr>
            <w:rPr>
              <w:sz w:val="16"/>
              <w:szCs w:val="16"/>
            </w:rPr>
            <w:tag w:val="_PLD_a4db33e8a01e48af856e896d9a21aa2b"/>
            <w:id w:val="-1993863445"/>
          </w:sdtPr>
          <w:sdtEndPr/>
          <w:sdtContent>
            <w:tc>
              <w:tcPr>
                <w:tcW w:w="3868" w:type="dxa"/>
                <w:gridSpan w:val="4"/>
                <w:vAlign w:val="center"/>
              </w:tcPr>
              <w:p w:rsidR="00156DD6" w:rsidRDefault="00D51F5F">
                <w:pPr>
                  <w:jc w:val="center"/>
                  <w:rPr>
                    <w:color w:val="000000" w:themeColor="text1"/>
                    <w:sz w:val="16"/>
                    <w:szCs w:val="16"/>
                  </w:rPr>
                </w:pPr>
                <w:r>
                  <w:rPr>
                    <w:rFonts w:hint="eastAsia"/>
                    <w:color w:val="000000" w:themeColor="text1"/>
                    <w:sz w:val="16"/>
                    <w:szCs w:val="16"/>
                  </w:rPr>
                  <w:t>期初</w:t>
                </w:r>
              </w:p>
            </w:tc>
          </w:sdtContent>
        </w:sdt>
      </w:tr>
      <w:tr w:rsidR="00156DD6">
        <w:trPr>
          <w:trHeight w:val="70"/>
        </w:trPr>
        <w:tc>
          <w:tcPr>
            <w:tcW w:w="846" w:type="dxa"/>
            <w:vMerge/>
          </w:tcPr>
          <w:p w:rsidR="00156DD6" w:rsidRDefault="00156DD6">
            <w:pPr>
              <w:rPr>
                <w:color w:val="000000" w:themeColor="text1"/>
                <w:sz w:val="16"/>
                <w:szCs w:val="16"/>
              </w:rPr>
            </w:pPr>
          </w:p>
        </w:tc>
        <w:sdt>
          <w:sdtPr>
            <w:rPr>
              <w:sz w:val="16"/>
              <w:szCs w:val="16"/>
            </w:rPr>
            <w:tag w:val="_PLD_4ba4c960e2ab4b31a1704a41594547f5"/>
            <w:id w:val="-1479295303"/>
          </w:sdtPr>
          <w:sdtEndPr/>
          <w:sdtContent>
            <w:tc>
              <w:tcPr>
                <w:tcW w:w="1276" w:type="dxa"/>
              </w:tcPr>
              <w:p w:rsidR="00156DD6" w:rsidRDefault="00D51F5F">
                <w:pPr>
                  <w:jc w:val="center"/>
                  <w:rPr>
                    <w:color w:val="000000" w:themeColor="text1"/>
                    <w:sz w:val="16"/>
                    <w:szCs w:val="16"/>
                  </w:rPr>
                </w:pPr>
                <w:r>
                  <w:rPr>
                    <w:color w:val="000000" w:themeColor="text1"/>
                    <w:sz w:val="16"/>
                    <w:szCs w:val="16"/>
                  </w:rPr>
                  <w:t>账面余额</w:t>
                </w:r>
              </w:p>
            </w:tc>
          </w:sdtContent>
        </w:sdt>
        <w:sdt>
          <w:sdtPr>
            <w:rPr>
              <w:sz w:val="16"/>
              <w:szCs w:val="16"/>
            </w:rPr>
            <w:tag w:val="_PLD_73e1cd74d6d14f48b88c0ac46580634a"/>
            <w:id w:val="805434463"/>
          </w:sdtPr>
          <w:sdtEndPr/>
          <w:sdtContent>
            <w:tc>
              <w:tcPr>
                <w:tcW w:w="1417" w:type="dxa"/>
              </w:tcPr>
              <w:p w:rsidR="00156DD6" w:rsidRDefault="00D51F5F">
                <w:pPr>
                  <w:jc w:val="center"/>
                  <w:rPr>
                    <w:color w:val="000000" w:themeColor="text1"/>
                    <w:sz w:val="16"/>
                    <w:szCs w:val="16"/>
                  </w:rPr>
                </w:pPr>
                <w:r>
                  <w:rPr>
                    <w:color w:val="000000" w:themeColor="text1"/>
                    <w:sz w:val="16"/>
                    <w:szCs w:val="16"/>
                  </w:rPr>
                  <w:t>账面价值</w:t>
                </w:r>
              </w:p>
            </w:tc>
          </w:sdtContent>
        </w:sdt>
        <w:sdt>
          <w:sdtPr>
            <w:rPr>
              <w:sz w:val="16"/>
              <w:szCs w:val="16"/>
            </w:rPr>
            <w:tag w:val="_PLD_7e2b8d1452f04530979fb1795878387b"/>
            <w:id w:val="1264035926"/>
          </w:sdtPr>
          <w:sdtEndPr/>
          <w:sdtContent>
            <w:tc>
              <w:tcPr>
                <w:tcW w:w="709" w:type="dxa"/>
              </w:tcPr>
              <w:p w:rsidR="00156DD6" w:rsidRDefault="00D51F5F">
                <w:pPr>
                  <w:jc w:val="center"/>
                  <w:rPr>
                    <w:color w:val="000000" w:themeColor="text1"/>
                    <w:sz w:val="16"/>
                    <w:szCs w:val="16"/>
                  </w:rPr>
                </w:pPr>
                <w:r>
                  <w:rPr>
                    <w:color w:val="000000" w:themeColor="text1"/>
                    <w:sz w:val="16"/>
                    <w:szCs w:val="16"/>
                  </w:rPr>
                  <w:t>受限类型</w:t>
                </w:r>
              </w:p>
            </w:tc>
          </w:sdtContent>
        </w:sdt>
        <w:sdt>
          <w:sdtPr>
            <w:rPr>
              <w:sz w:val="16"/>
              <w:szCs w:val="16"/>
            </w:rPr>
            <w:tag w:val="_PLD_85649273a58f4daebca471b337c689b7"/>
            <w:id w:val="1279679852"/>
          </w:sdtPr>
          <w:sdtEndPr/>
          <w:sdtContent>
            <w:tc>
              <w:tcPr>
                <w:tcW w:w="707" w:type="dxa"/>
              </w:tcPr>
              <w:p w:rsidR="00156DD6" w:rsidRDefault="00D51F5F">
                <w:pPr>
                  <w:jc w:val="center"/>
                  <w:rPr>
                    <w:color w:val="000000" w:themeColor="text1"/>
                    <w:sz w:val="16"/>
                    <w:szCs w:val="16"/>
                  </w:rPr>
                </w:pPr>
                <w:r>
                  <w:rPr>
                    <w:color w:val="000000" w:themeColor="text1"/>
                    <w:sz w:val="16"/>
                    <w:szCs w:val="16"/>
                  </w:rPr>
                  <w:t>受限情况</w:t>
                </w:r>
              </w:p>
            </w:tc>
          </w:sdtContent>
        </w:sdt>
        <w:sdt>
          <w:sdtPr>
            <w:rPr>
              <w:sz w:val="16"/>
              <w:szCs w:val="16"/>
            </w:rPr>
            <w:tag w:val="_PLD_185f68e2333346e5b0c53a9ec276e404"/>
            <w:id w:val="1525293712"/>
          </w:sdtPr>
          <w:sdtEndPr/>
          <w:sdtContent>
            <w:tc>
              <w:tcPr>
                <w:tcW w:w="1277" w:type="dxa"/>
              </w:tcPr>
              <w:p w:rsidR="00156DD6" w:rsidRDefault="00D51F5F">
                <w:pPr>
                  <w:jc w:val="center"/>
                  <w:rPr>
                    <w:color w:val="000000" w:themeColor="text1"/>
                    <w:sz w:val="16"/>
                    <w:szCs w:val="16"/>
                  </w:rPr>
                </w:pPr>
                <w:r>
                  <w:rPr>
                    <w:color w:val="000000" w:themeColor="text1"/>
                    <w:sz w:val="16"/>
                    <w:szCs w:val="16"/>
                  </w:rPr>
                  <w:t>账面余额</w:t>
                </w:r>
              </w:p>
            </w:tc>
          </w:sdtContent>
        </w:sdt>
        <w:sdt>
          <w:sdtPr>
            <w:rPr>
              <w:sz w:val="16"/>
              <w:szCs w:val="16"/>
            </w:rPr>
            <w:tag w:val="_PLD_c92ffe9b652b42a095b39310603e580a"/>
            <w:id w:val="1288012721"/>
          </w:sdtPr>
          <w:sdtEndPr/>
          <w:sdtContent>
            <w:tc>
              <w:tcPr>
                <w:tcW w:w="1276" w:type="dxa"/>
              </w:tcPr>
              <w:p w:rsidR="00156DD6" w:rsidRDefault="00D51F5F">
                <w:pPr>
                  <w:jc w:val="center"/>
                  <w:rPr>
                    <w:color w:val="000000" w:themeColor="text1"/>
                    <w:sz w:val="16"/>
                    <w:szCs w:val="16"/>
                  </w:rPr>
                </w:pPr>
                <w:r>
                  <w:rPr>
                    <w:color w:val="000000" w:themeColor="text1"/>
                    <w:sz w:val="16"/>
                    <w:szCs w:val="16"/>
                  </w:rPr>
                  <w:t>账面价值</w:t>
                </w:r>
              </w:p>
            </w:tc>
          </w:sdtContent>
        </w:sdt>
        <w:sdt>
          <w:sdtPr>
            <w:rPr>
              <w:sz w:val="16"/>
              <w:szCs w:val="16"/>
            </w:rPr>
            <w:tag w:val="_PLD_8acb0a1b50e14924933495ec38dd30e1"/>
            <w:id w:val="-2099327835"/>
          </w:sdtPr>
          <w:sdtEndPr/>
          <w:sdtContent>
            <w:tc>
              <w:tcPr>
                <w:tcW w:w="567" w:type="dxa"/>
              </w:tcPr>
              <w:p w:rsidR="00156DD6" w:rsidRDefault="00D51F5F">
                <w:pPr>
                  <w:jc w:val="center"/>
                  <w:rPr>
                    <w:color w:val="000000" w:themeColor="text1"/>
                    <w:sz w:val="16"/>
                    <w:szCs w:val="16"/>
                  </w:rPr>
                </w:pPr>
                <w:r>
                  <w:rPr>
                    <w:color w:val="000000" w:themeColor="text1"/>
                    <w:sz w:val="16"/>
                    <w:szCs w:val="16"/>
                  </w:rPr>
                  <w:t>受限类型</w:t>
                </w:r>
              </w:p>
            </w:tc>
          </w:sdtContent>
        </w:sdt>
        <w:sdt>
          <w:sdtPr>
            <w:rPr>
              <w:sz w:val="16"/>
              <w:szCs w:val="16"/>
            </w:rPr>
            <w:tag w:val="_PLD_6297a0a81c884eab9519ec385b0b6dbe"/>
            <w:id w:val="1058979561"/>
          </w:sdtPr>
          <w:sdtEndPr/>
          <w:sdtContent>
            <w:tc>
              <w:tcPr>
                <w:tcW w:w="748" w:type="dxa"/>
              </w:tcPr>
              <w:p w:rsidR="00156DD6" w:rsidRDefault="00D51F5F">
                <w:pPr>
                  <w:jc w:val="center"/>
                  <w:rPr>
                    <w:color w:val="000000" w:themeColor="text1"/>
                    <w:sz w:val="16"/>
                    <w:szCs w:val="16"/>
                  </w:rPr>
                </w:pPr>
                <w:r>
                  <w:rPr>
                    <w:color w:val="000000" w:themeColor="text1"/>
                    <w:sz w:val="16"/>
                    <w:szCs w:val="16"/>
                  </w:rPr>
                  <w:t>受限情况</w:t>
                </w:r>
              </w:p>
            </w:tc>
          </w:sdtContent>
        </w:sdt>
      </w:tr>
      <w:tr w:rsidR="00156DD6">
        <w:tc>
          <w:tcPr>
            <w:tcW w:w="846" w:type="dxa"/>
            <w:vAlign w:val="center"/>
          </w:tcPr>
          <w:p w:rsidR="00156DD6" w:rsidRDefault="00D51F5F">
            <w:pPr>
              <w:rPr>
                <w:color w:val="000000" w:themeColor="text1"/>
                <w:sz w:val="16"/>
                <w:szCs w:val="16"/>
              </w:rPr>
            </w:pPr>
            <w:r>
              <w:rPr>
                <w:color w:val="000000" w:themeColor="text1"/>
                <w:sz w:val="16"/>
                <w:szCs w:val="16"/>
              </w:rPr>
              <w:t>货币资金</w:t>
            </w:r>
          </w:p>
        </w:tc>
        <w:tc>
          <w:tcPr>
            <w:tcW w:w="1276" w:type="dxa"/>
            <w:vAlign w:val="center"/>
          </w:tcPr>
          <w:p w:rsidR="00156DD6" w:rsidRDefault="00D51F5F">
            <w:pPr>
              <w:jc w:val="right"/>
              <w:rPr>
                <w:sz w:val="16"/>
                <w:szCs w:val="16"/>
              </w:rPr>
            </w:pPr>
            <w:r>
              <w:rPr>
                <w:rFonts w:hint="eastAsia"/>
                <w:sz w:val="16"/>
                <w:szCs w:val="16"/>
              </w:rPr>
              <w:t xml:space="preserve"> 178,138,974.33 </w:t>
            </w:r>
          </w:p>
        </w:tc>
        <w:tc>
          <w:tcPr>
            <w:tcW w:w="1417" w:type="dxa"/>
            <w:vAlign w:val="center"/>
          </w:tcPr>
          <w:p w:rsidR="00156DD6" w:rsidRDefault="00D51F5F">
            <w:pPr>
              <w:jc w:val="right"/>
              <w:rPr>
                <w:sz w:val="16"/>
                <w:szCs w:val="16"/>
              </w:rPr>
            </w:pPr>
            <w:r>
              <w:rPr>
                <w:rFonts w:hint="eastAsia"/>
                <w:sz w:val="16"/>
                <w:szCs w:val="16"/>
              </w:rPr>
              <w:t xml:space="preserve"> 166,138,974.33 </w:t>
            </w:r>
          </w:p>
        </w:tc>
        <w:tc>
          <w:tcPr>
            <w:tcW w:w="709" w:type="dxa"/>
            <w:vAlign w:val="center"/>
          </w:tcPr>
          <w:p w:rsidR="00156DD6" w:rsidRDefault="00D51F5F">
            <w:pPr>
              <w:jc w:val="center"/>
              <w:rPr>
                <w:color w:val="000000" w:themeColor="text1"/>
                <w:sz w:val="16"/>
                <w:szCs w:val="16"/>
              </w:rPr>
            </w:pPr>
            <w:r>
              <w:rPr>
                <w:rFonts w:hint="eastAsia"/>
                <w:sz w:val="16"/>
                <w:szCs w:val="16"/>
              </w:rPr>
              <w:t>质押、在途状态</w:t>
            </w:r>
          </w:p>
        </w:tc>
        <w:tc>
          <w:tcPr>
            <w:tcW w:w="707" w:type="dxa"/>
            <w:vAlign w:val="center"/>
          </w:tcPr>
          <w:p w:rsidR="00156DD6" w:rsidRDefault="00D51F5F">
            <w:pPr>
              <w:jc w:val="center"/>
              <w:rPr>
                <w:sz w:val="16"/>
                <w:szCs w:val="16"/>
              </w:rPr>
            </w:pPr>
            <w:r>
              <w:rPr>
                <w:rFonts w:hint="eastAsia"/>
                <w:sz w:val="16"/>
                <w:szCs w:val="16"/>
              </w:rPr>
              <w:t>票据保证金、保函保证金及在途资金</w:t>
            </w:r>
          </w:p>
        </w:tc>
        <w:tc>
          <w:tcPr>
            <w:tcW w:w="1277" w:type="dxa"/>
            <w:vAlign w:val="center"/>
          </w:tcPr>
          <w:p w:rsidR="00156DD6" w:rsidRDefault="00D51F5F">
            <w:pPr>
              <w:jc w:val="right"/>
              <w:rPr>
                <w:sz w:val="16"/>
                <w:szCs w:val="16"/>
              </w:rPr>
            </w:pPr>
            <w:r>
              <w:rPr>
                <w:sz w:val="16"/>
                <w:szCs w:val="16"/>
              </w:rPr>
              <w:t>158,852,718.63</w:t>
            </w:r>
          </w:p>
        </w:tc>
        <w:tc>
          <w:tcPr>
            <w:tcW w:w="1276" w:type="dxa"/>
            <w:vAlign w:val="center"/>
          </w:tcPr>
          <w:p w:rsidR="00156DD6" w:rsidRDefault="00D51F5F">
            <w:pPr>
              <w:jc w:val="right"/>
              <w:rPr>
                <w:sz w:val="16"/>
                <w:szCs w:val="16"/>
              </w:rPr>
            </w:pPr>
            <w:r>
              <w:rPr>
                <w:sz w:val="16"/>
                <w:szCs w:val="16"/>
              </w:rPr>
              <w:t>158,852,718.63</w:t>
            </w:r>
          </w:p>
        </w:tc>
        <w:tc>
          <w:tcPr>
            <w:tcW w:w="567" w:type="dxa"/>
            <w:vAlign w:val="center"/>
          </w:tcPr>
          <w:p w:rsidR="00156DD6" w:rsidRDefault="00D51F5F">
            <w:pPr>
              <w:jc w:val="center"/>
              <w:rPr>
                <w:color w:val="000000" w:themeColor="text1"/>
                <w:sz w:val="16"/>
                <w:szCs w:val="16"/>
              </w:rPr>
            </w:pPr>
            <w:r>
              <w:rPr>
                <w:sz w:val="16"/>
                <w:szCs w:val="16"/>
              </w:rPr>
              <w:t>质押</w:t>
            </w:r>
          </w:p>
        </w:tc>
        <w:tc>
          <w:tcPr>
            <w:tcW w:w="748" w:type="dxa"/>
            <w:vAlign w:val="center"/>
          </w:tcPr>
          <w:p w:rsidR="00156DD6" w:rsidRDefault="00D51F5F">
            <w:pPr>
              <w:jc w:val="center"/>
              <w:rPr>
                <w:sz w:val="16"/>
                <w:szCs w:val="16"/>
              </w:rPr>
            </w:pPr>
            <w:r>
              <w:rPr>
                <w:sz w:val="16"/>
                <w:szCs w:val="16"/>
              </w:rPr>
              <w:t>票据保证金及保函保证金</w:t>
            </w:r>
          </w:p>
        </w:tc>
      </w:tr>
      <w:tr w:rsidR="00156DD6">
        <w:tc>
          <w:tcPr>
            <w:tcW w:w="846" w:type="dxa"/>
            <w:vAlign w:val="center"/>
          </w:tcPr>
          <w:p w:rsidR="00156DD6" w:rsidRDefault="00D51F5F">
            <w:pPr>
              <w:rPr>
                <w:color w:val="000000" w:themeColor="text1"/>
                <w:sz w:val="16"/>
                <w:szCs w:val="16"/>
              </w:rPr>
            </w:pPr>
            <w:r>
              <w:rPr>
                <w:color w:val="000000" w:themeColor="text1"/>
                <w:sz w:val="16"/>
                <w:szCs w:val="16"/>
              </w:rPr>
              <w:t>固定资产</w:t>
            </w:r>
          </w:p>
        </w:tc>
        <w:tc>
          <w:tcPr>
            <w:tcW w:w="1276" w:type="dxa"/>
            <w:vAlign w:val="center"/>
          </w:tcPr>
          <w:p w:rsidR="00156DD6" w:rsidRDefault="00D51F5F">
            <w:pPr>
              <w:jc w:val="right"/>
              <w:rPr>
                <w:sz w:val="16"/>
                <w:szCs w:val="16"/>
              </w:rPr>
            </w:pPr>
            <w:r>
              <w:rPr>
                <w:rFonts w:hint="eastAsia"/>
                <w:sz w:val="16"/>
                <w:szCs w:val="16"/>
              </w:rPr>
              <w:t xml:space="preserve"> 482,965,827.49 </w:t>
            </w:r>
          </w:p>
        </w:tc>
        <w:tc>
          <w:tcPr>
            <w:tcW w:w="1417" w:type="dxa"/>
            <w:vAlign w:val="center"/>
          </w:tcPr>
          <w:p w:rsidR="00156DD6" w:rsidRDefault="00D51F5F">
            <w:pPr>
              <w:jc w:val="right"/>
              <w:rPr>
                <w:sz w:val="16"/>
                <w:szCs w:val="16"/>
              </w:rPr>
            </w:pPr>
            <w:r>
              <w:rPr>
                <w:rFonts w:hint="eastAsia"/>
                <w:sz w:val="16"/>
                <w:szCs w:val="16"/>
              </w:rPr>
              <w:t xml:space="preserve"> 391,461,170.16 </w:t>
            </w:r>
          </w:p>
        </w:tc>
        <w:tc>
          <w:tcPr>
            <w:tcW w:w="709" w:type="dxa"/>
            <w:vAlign w:val="center"/>
          </w:tcPr>
          <w:p w:rsidR="00156DD6" w:rsidRDefault="00D51F5F">
            <w:pPr>
              <w:jc w:val="center"/>
              <w:rPr>
                <w:color w:val="000000" w:themeColor="text1"/>
                <w:sz w:val="16"/>
                <w:szCs w:val="16"/>
              </w:rPr>
            </w:pPr>
            <w:r>
              <w:rPr>
                <w:rFonts w:hint="eastAsia"/>
                <w:sz w:val="16"/>
                <w:szCs w:val="16"/>
              </w:rPr>
              <w:t>抵押及融资租赁</w:t>
            </w:r>
          </w:p>
        </w:tc>
        <w:tc>
          <w:tcPr>
            <w:tcW w:w="707" w:type="dxa"/>
            <w:vAlign w:val="center"/>
          </w:tcPr>
          <w:p w:rsidR="00156DD6" w:rsidRDefault="00D51F5F">
            <w:pPr>
              <w:jc w:val="center"/>
              <w:rPr>
                <w:sz w:val="16"/>
                <w:szCs w:val="16"/>
              </w:rPr>
            </w:pPr>
            <w:r>
              <w:rPr>
                <w:rFonts w:hint="eastAsia"/>
                <w:sz w:val="16"/>
                <w:szCs w:val="16"/>
              </w:rPr>
              <w:t>银行借款抵押及融资租赁</w:t>
            </w:r>
          </w:p>
        </w:tc>
        <w:tc>
          <w:tcPr>
            <w:tcW w:w="1277" w:type="dxa"/>
            <w:vAlign w:val="center"/>
          </w:tcPr>
          <w:p w:rsidR="00156DD6" w:rsidRDefault="00D51F5F">
            <w:pPr>
              <w:jc w:val="right"/>
              <w:rPr>
                <w:sz w:val="16"/>
                <w:szCs w:val="16"/>
              </w:rPr>
            </w:pPr>
            <w:r>
              <w:rPr>
                <w:sz w:val="16"/>
                <w:szCs w:val="16"/>
              </w:rPr>
              <w:t>236,372,897.25</w:t>
            </w:r>
          </w:p>
        </w:tc>
        <w:tc>
          <w:tcPr>
            <w:tcW w:w="1276" w:type="dxa"/>
            <w:vAlign w:val="center"/>
          </w:tcPr>
          <w:p w:rsidR="00156DD6" w:rsidRDefault="00D51F5F">
            <w:pPr>
              <w:jc w:val="right"/>
              <w:rPr>
                <w:sz w:val="16"/>
                <w:szCs w:val="16"/>
              </w:rPr>
            </w:pPr>
            <w:r>
              <w:rPr>
                <w:sz w:val="16"/>
                <w:szCs w:val="16"/>
              </w:rPr>
              <w:t>157,147,761.34</w:t>
            </w:r>
          </w:p>
        </w:tc>
        <w:tc>
          <w:tcPr>
            <w:tcW w:w="567" w:type="dxa"/>
            <w:vAlign w:val="center"/>
          </w:tcPr>
          <w:p w:rsidR="00156DD6" w:rsidRDefault="00D51F5F">
            <w:pPr>
              <w:jc w:val="center"/>
              <w:rPr>
                <w:color w:val="000000" w:themeColor="text1"/>
                <w:sz w:val="16"/>
                <w:szCs w:val="16"/>
              </w:rPr>
            </w:pPr>
            <w:r>
              <w:rPr>
                <w:sz w:val="16"/>
                <w:szCs w:val="16"/>
              </w:rPr>
              <w:t>抵押</w:t>
            </w:r>
          </w:p>
        </w:tc>
        <w:tc>
          <w:tcPr>
            <w:tcW w:w="748" w:type="dxa"/>
            <w:vAlign w:val="center"/>
          </w:tcPr>
          <w:p w:rsidR="00156DD6" w:rsidRDefault="00D51F5F">
            <w:pPr>
              <w:jc w:val="center"/>
              <w:rPr>
                <w:sz w:val="16"/>
                <w:szCs w:val="16"/>
              </w:rPr>
            </w:pPr>
            <w:r>
              <w:rPr>
                <w:sz w:val="16"/>
                <w:szCs w:val="16"/>
              </w:rPr>
              <w:t>银行借款抵押</w:t>
            </w:r>
          </w:p>
        </w:tc>
      </w:tr>
      <w:tr w:rsidR="00156DD6">
        <w:tc>
          <w:tcPr>
            <w:tcW w:w="846" w:type="dxa"/>
            <w:tcBorders>
              <w:bottom w:val="single" w:sz="4" w:space="0" w:color="auto"/>
            </w:tcBorders>
            <w:vAlign w:val="center"/>
          </w:tcPr>
          <w:p w:rsidR="00156DD6" w:rsidRDefault="00D51F5F">
            <w:pPr>
              <w:rPr>
                <w:color w:val="000000" w:themeColor="text1"/>
                <w:sz w:val="16"/>
                <w:szCs w:val="16"/>
              </w:rPr>
            </w:pPr>
            <w:r>
              <w:rPr>
                <w:color w:val="000000" w:themeColor="text1"/>
                <w:sz w:val="16"/>
                <w:szCs w:val="16"/>
              </w:rPr>
              <w:t>无形资产</w:t>
            </w:r>
          </w:p>
        </w:tc>
        <w:tc>
          <w:tcPr>
            <w:tcW w:w="1276" w:type="dxa"/>
            <w:vAlign w:val="center"/>
          </w:tcPr>
          <w:p w:rsidR="00156DD6" w:rsidRDefault="00D51F5F">
            <w:pPr>
              <w:jc w:val="right"/>
              <w:rPr>
                <w:sz w:val="16"/>
                <w:szCs w:val="16"/>
              </w:rPr>
            </w:pPr>
            <w:r>
              <w:rPr>
                <w:rFonts w:hint="eastAsia"/>
                <w:sz w:val="16"/>
                <w:szCs w:val="16"/>
              </w:rPr>
              <w:t xml:space="preserve"> 53,477,021.12 </w:t>
            </w:r>
          </w:p>
        </w:tc>
        <w:tc>
          <w:tcPr>
            <w:tcW w:w="1417" w:type="dxa"/>
            <w:vAlign w:val="center"/>
          </w:tcPr>
          <w:p w:rsidR="00156DD6" w:rsidRDefault="00D51F5F">
            <w:pPr>
              <w:jc w:val="right"/>
              <w:rPr>
                <w:sz w:val="16"/>
                <w:szCs w:val="16"/>
              </w:rPr>
            </w:pPr>
            <w:r>
              <w:rPr>
                <w:rFonts w:hint="eastAsia"/>
                <w:sz w:val="16"/>
                <w:szCs w:val="16"/>
              </w:rPr>
              <w:t xml:space="preserve"> 51,067,595.94 </w:t>
            </w:r>
          </w:p>
        </w:tc>
        <w:tc>
          <w:tcPr>
            <w:tcW w:w="709" w:type="dxa"/>
            <w:vAlign w:val="center"/>
          </w:tcPr>
          <w:p w:rsidR="00156DD6" w:rsidRDefault="00D51F5F">
            <w:pPr>
              <w:jc w:val="center"/>
              <w:rPr>
                <w:color w:val="000000" w:themeColor="text1"/>
                <w:sz w:val="16"/>
                <w:szCs w:val="16"/>
              </w:rPr>
            </w:pPr>
            <w:r>
              <w:rPr>
                <w:rFonts w:hint="eastAsia"/>
                <w:sz w:val="16"/>
                <w:szCs w:val="16"/>
              </w:rPr>
              <w:t>质押</w:t>
            </w:r>
          </w:p>
        </w:tc>
        <w:tc>
          <w:tcPr>
            <w:tcW w:w="707" w:type="dxa"/>
            <w:vAlign w:val="center"/>
          </w:tcPr>
          <w:p w:rsidR="00156DD6" w:rsidRDefault="00D51F5F">
            <w:pPr>
              <w:jc w:val="center"/>
              <w:rPr>
                <w:sz w:val="16"/>
                <w:szCs w:val="16"/>
              </w:rPr>
            </w:pPr>
            <w:r>
              <w:rPr>
                <w:rFonts w:hint="eastAsia"/>
                <w:sz w:val="16"/>
                <w:szCs w:val="16"/>
              </w:rPr>
              <w:t>银行借款质押</w:t>
            </w:r>
          </w:p>
        </w:tc>
        <w:tc>
          <w:tcPr>
            <w:tcW w:w="1277" w:type="dxa"/>
            <w:vAlign w:val="center"/>
          </w:tcPr>
          <w:p w:rsidR="00156DD6" w:rsidRDefault="00D51F5F">
            <w:pPr>
              <w:jc w:val="right"/>
              <w:rPr>
                <w:sz w:val="16"/>
                <w:szCs w:val="16"/>
              </w:rPr>
            </w:pPr>
            <w:r>
              <w:rPr>
                <w:sz w:val="16"/>
                <w:szCs w:val="16"/>
              </w:rPr>
              <w:t>54,928,085.16</w:t>
            </w:r>
          </w:p>
        </w:tc>
        <w:tc>
          <w:tcPr>
            <w:tcW w:w="1276" w:type="dxa"/>
            <w:vAlign w:val="center"/>
          </w:tcPr>
          <w:p w:rsidR="00156DD6" w:rsidRDefault="00D51F5F">
            <w:pPr>
              <w:jc w:val="right"/>
              <w:rPr>
                <w:sz w:val="16"/>
                <w:szCs w:val="16"/>
              </w:rPr>
            </w:pPr>
            <w:r>
              <w:rPr>
                <w:sz w:val="16"/>
                <w:szCs w:val="16"/>
              </w:rPr>
              <w:t>45,990,837.96</w:t>
            </w:r>
          </w:p>
        </w:tc>
        <w:tc>
          <w:tcPr>
            <w:tcW w:w="567" w:type="dxa"/>
            <w:vAlign w:val="center"/>
          </w:tcPr>
          <w:p w:rsidR="00156DD6" w:rsidRDefault="00D51F5F">
            <w:pPr>
              <w:jc w:val="center"/>
              <w:rPr>
                <w:color w:val="000000" w:themeColor="text1"/>
                <w:sz w:val="16"/>
                <w:szCs w:val="16"/>
              </w:rPr>
            </w:pPr>
            <w:r>
              <w:rPr>
                <w:sz w:val="16"/>
                <w:szCs w:val="16"/>
              </w:rPr>
              <w:t>质押</w:t>
            </w:r>
          </w:p>
        </w:tc>
        <w:tc>
          <w:tcPr>
            <w:tcW w:w="748" w:type="dxa"/>
            <w:vAlign w:val="center"/>
          </w:tcPr>
          <w:p w:rsidR="00156DD6" w:rsidRDefault="00D51F5F">
            <w:pPr>
              <w:jc w:val="center"/>
              <w:rPr>
                <w:sz w:val="16"/>
                <w:szCs w:val="16"/>
              </w:rPr>
            </w:pPr>
            <w:r>
              <w:rPr>
                <w:sz w:val="16"/>
                <w:szCs w:val="16"/>
              </w:rPr>
              <w:t>银行借款质押</w:t>
            </w:r>
          </w:p>
        </w:tc>
      </w:tr>
      <w:tr w:rsidR="00156DD6">
        <w:tc>
          <w:tcPr>
            <w:tcW w:w="846" w:type="dxa"/>
            <w:tcBorders>
              <w:bottom w:val="single" w:sz="4" w:space="0" w:color="auto"/>
            </w:tcBorders>
            <w:vAlign w:val="center"/>
          </w:tcPr>
          <w:p w:rsidR="00156DD6" w:rsidRDefault="00D51F5F">
            <w:pPr>
              <w:rPr>
                <w:color w:val="000000" w:themeColor="text1"/>
                <w:sz w:val="16"/>
                <w:szCs w:val="16"/>
              </w:rPr>
            </w:pPr>
            <w:r>
              <w:rPr>
                <w:rFonts w:hint="eastAsia"/>
                <w:color w:val="000000" w:themeColor="text1"/>
                <w:sz w:val="16"/>
                <w:szCs w:val="16"/>
              </w:rPr>
              <w:t>其中：数据资源</w:t>
            </w:r>
          </w:p>
        </w:tc>
        <w:tc>
          <w:tcPr>
            <w:tcW w:w="1276" w:type="dxa"/>
          </w:tcPr>
          <w:p w:rsidR="00156DD6" w:rsidRDefault="00156DD6">
            <w:pPr>
              <w:jc w:val="right"/>
              <w:rPr>
                <w:sz w:val="16"/>
                <w:szCs w:val="16"/>
              </w:rPr>
            </w:pPr>
          </w:p>
        </w:tc>
        <w:tc>
          <w:tcPr>
            <w:tcW w:w="1417" w:type="dxa"/>
          </w:tcPr>
          <w:p w:rsidR="00156DD6" w:rsidRDefault="00156DD6">
            <w:pPr>
              <w:jc w:val="right"/>
              <w:rPr>
                <w:sz w:val="16"/>
                <w:szCs w:val="16"/>
              </w:rPr>
            </w:pPr>
          </w:p>
        </w:tc>
        <w:tc>
          <w:tcPr>
            <w:tcW w:w="709" w:type="dxa"/>
          </w:tcPr>
          <w:p w:rsidR="00156DD6" w:rsidRDefault="00D51F5F">
            <w:pPr>
              <w:rPr>
                <w:color w:val="000000" w:themeColor="text1"/>
                <w:sz w:val="16"/>
                <w:szCs w:val="16"/>
              </w:rPr>
            </w:pPr>
            <w:r>
              <w:rPr>
                <w:rFonts w:hint="eastAsia"/>
                <w:color w:val="000000" w:themeColor="text1"/>
                <w:sz w:val="16"/>
                <w:szCs w:val="16"/>
              </w:rPr>
              <w:t xml:space="preserve">　</w:t>
            </w:r>
          </w:p>
        </w:tc>
        <w:tc>
          <w:tcPr>
            <w:tcW w:w="707" w:type="dxa"/>
          </w:tcPr>
          <w:p w:rsidR="00156DD6" w:rsidRDefault="00156DD6">
            <w:pPr>
              <w:rPr>
                <w:sz w:val="16"/>
                <w:szCs w:val="16"/>
              </w:rPr>
            </w:pPr>
          </w:p>
        </w:tc>
        <w:tc>
          <w:tcPr>
            <w:tcW w:w="1277" w:type="dxa"/>
            <w:vAlign w:val="center"/>
          </w:tcPr>
          <w:p w:rsidR="00156DD6" w:rsidRDefault="00156DD6">
            <w:pPr>
              <w:jc w:val="right"/>
              <w:rPr>
                <w:sz w:val="16"/>
                <w:szCs w:val="16"/>
              </w:rPr>
            </w:pPr>
          </w:p>
        </w:tc>
        <w:tc>
          <w:tcPr>
            <w:tcW w:w="1276" w:type="dxa"/>
            <w:vAlign w:val="center"/>
          </w:tcPr>
          <w:p w:rsidR="00156DD6" w:rsidRDefault="00156DD6">
            <w:pPr>
              <w:jc w:val="right"/>
              <w:rPr>
                <w:sz w:val="16"/>
                <w:szCs w:val="16"/>
              </w:rPr>
            </w:pPr>
          </w:p>
        </w:tc>
        <w:tc>
          <w:tcPr>
            <w:tcW w:w="567" w:type="dxa"/>
            <w:vAlign w:val="center"/>
          </w:tcPr>
          <w:p w:rsidR="00156DD6" w:rsidRDefault="00156DD6">
            <w:pPr>
              <w:rPr>
                <w:color w:val="000000" w:themeColor="text1"/>
                <w:sz w:val="16"/>
                <w:szCs w:val="16"/>
              </w:rPr>
            </w:pPr>
          </w:p>
        </w:tc>
        <w:tc>
          <w:tcPr>
            <w:tcW w:w="748" w:type="dxa"/>
            <w:vAlign w:val="center"/>
          </w:tcPr>
          <w:p w:rsidR="00156DD6" w:rsidRDefault="00156DD6">
            <w:pPr>
              <w:rPr>
                <w:sz w:val="16"/>
                <w:szCs w:val="16"/>
              </w:rPr>
            </w:pPr>
          </w:p>
        </w:tc>
      </w:tr>
      <w:tr w:rsidR="00156DD6">
        <w:tc>
          <w:tcPr>
            <w:tcW w:w="846" w:type="dxa"/>
          </w:tcPr>
          <w:p w:rsidR="00156DD6" w:rsidRDefault="00D51F5F">
            <w:pPr>
              <w:jc w:val="center"/>
              <w:rPr>
                <w:color w:val="000000" w:themeColor="text1"/>
                <w:sz w:val="16"/>
                <w:szCs w:val="16"/>
              </w:rPr>
            </w:pPr>
            <w:r>
              <w:rPr>
                <w:color w:val="000000" w:themeColor="text1"/>
                <w:sz w:val="16"/>
                <w:szCs w:val="16"/>
              </w:rPr>
              <w:t>合计</w:t>
            </w:r>
          </w:p>
        </w:tc>
        <w:tc>
          <w:tcPr>
            <w:tcW w:w="1276" w:type="dxa"/>
          </w:tcPr>
          <w:p w:rsidR="00156DD6" w:rsidRDefault="00D51F5F">
            <w:pPr>
              <w:jc w:val="right"/>
              <w:rPr>
                <w:sz w:val="16"/>
                <w:szCs w:val="16"/>
              </w:rPr>
            </w:pPr>
            <w:r>
              <w:rPr>
                <w:rFonts w:hint="eastAsia"/>
                <w:sz w:val="16"/>
                <w:szCs w:val="16"/>
              </w:rPr>
              <w:t xml:space="preserve"> 714,581,822.94 </w:t>
            </w:r>
          </w:p>
        </w:tc>
        <w:tc>
          <w:tcPr>
            <w:tcW w:w="1417" w:type="dxa"/>
          </w:tcPr>
          <w:p w:rsidR="00156DD6" w:rsidRDefault="00D51F5F">
            <w:pPr>
              <w:jc w:val="right"/>
              <w:rPr>
                <w:sz w:val="16"/>
                <w:szCs w:val="16"/>
              </w:rPr>
            </w:pPr>
            <w:r>
              <w:rPr>
                <w:rFonts w:hint="eastAsia"/>
                <w:sz w:val="16"/>
                <w:szCs w:val="16"/>
              </w:rPr>
              <w:t xml:space="preserve"> 608,667,740.43 </w:t>
            </w:r>
          </w:p>
        </w:tc>
        <w:tc>
          <w:tcPr>
            <w:tcW w:w="709" w:type="dxa"/>
          </w:tcPr>
          <w:p w:rsidR="00156DD6" w:rsidRDefault="00D51F5F">
            <w:pPr>
              <w:jc w:val="center"/>
              <w:rPr>
                <w:color w:val="000000" w:themeColor="text1"/>
                <w:sz w:val="16"/>
                <w:szCs w:val="16"/>
              </w:rPr>
            </w:pPr>
            <w:r>
              <w:rPr>
                <w:color w:val="000000" w:themeColor="text1"/>
                <w:sz w:val="16"/>
                <w:szCs w:val="16"/>
              </w:rPr>
              <w:t>/</w:t>
            </w:r>
          </w:p>
        </w:tc>
        <w:tc>
          <w:tcPr>
            <w:tcW w:w="707" w:type="dxa"/>
          </w:tcPr>
          <w:p w:rsidR="00156DD6" w:rsidRDefault="00D51F5F">
            <w:pPr>
              <w:jc w:val="center"/>
              <w:rPr>
                <w:color w:val="000000" w:themeColor="text1"/>
                <w:sz w:val="16"/>
                <w:szCs w:val="16"/>
              </w:rPr>
            </w:pPr>
            <w:r>
              <w:rPr>
                <w:color w:val="000000" w:themeColor="text1"/>
                <w:sz w:val="16"/>
                <w:szCs w:val="16"/>
              </w:rPr>
              <w:t>/</w:t>
            </w:r>
          </w:p>
        </w:tc>
        <w:tc>
          <w:tcPr>
            <w:tcW w:w="1277" w:type="dxa"/>
            <w:vAlign w:val="center"/>
          </w:tcPr>
          <w:p w:rsidR="00156DD6" w:rsidRDefault="00D51F5F">
            <w:pPr>
              <w:jc w:val="right"/>
              <w:rPr>
                <w:sz w:val="16"/>
                <w:szCs w:val="16"/>
              </w:rPr>
            </w:pPr>
            <w:r>
              <w:rPr>
                <w:sz w:val="16"/>
                <w:szCs w:val="16"/>
              </w:rPr>
              <w:t>450,153,701.04</w:t>
            </w:r>
          </w:p>
        </w:tc>
        <w:tc>
          <w:tcPr>
            <w:tcW w:w="1276" w:type="dxa"/>
            <w:vAlign w:val="center"/>
          </w:tcPr>
          <w:p w:rsidR="00156DD6" w:rsidRDefault="00D51F5F">
            <w:pPr>
              <w:jc w:val="right"/>
              <w:rPr>
                <w:sz w:val="16"/>
                <w:szCs w:val="16"/>
              </w:rPr>
            </w:pPr>
            <w:r>
              <w:rPr>
                <w:sz w:val="16"/>
                <w:szCs w:val="16"/>
              </w:rPr>
              <w:t>361,991,317.93</w:t>
            </w:r>
          </w:p>
        </w:tc>
        <w:tc>
          <w:tcPr>
            <w:tcW w:w="567" w:type="dxa"/>
            <w:vAlign w:val="center"/>
          </w:tcPr>
          <w:p w:rsidR="00156DD6" w:rsidRDefault="00D51F5F">
            <w:pPr>
              <w:jc w:val="center"/>
              <w:rPr>
                <w:color w:val="000000" w:themeColor="text1"/>
                <w:sz w:val="16"/>
                <w:szCs w:val="16"/>
              </w:rPr>
            </w:pPr>
            <w:r>
              <w:rPr>
                <w:sz w:val="16"/>
                <w:szCs w:val="16"/>
              </w:rPr>
              <w:t>/</w:t>
            </w:r>
          </w:p>
        </w:tc>
        <w:tc>
          <w:tcPr>
            <w:tcW w:w="748" w:type="dxa"/>
            <w:vAlign w:val="center"/>
          </w:tcPr>
          <w:p w:rsidR="00156DD6" w:rsidRDefault="00D51F5F">
            <w:pPr>
              <w:jc w:val="center"/>
              <w:rPr>
                <w:color w:val="000000" w:themeColor="text1"/>
                <w:sz w:val="16"/>
                <w:szCs w:val="16"/>
              </w:rPr>
            </w:pPr>
            <w:r>
              <w:rPr>
                <w:sz w:val="16"/>
                <w:szCs w:val="16"/>
              </w:rPr>
              <w:t>/</w:t>
            </w:r>
          </w:p>
        </w:tc>
      </w:tr>
    </w:tbl>
    <w:p w:rsidR="00156DD6" w:rsidRDefault="00D51F5F">
      <w:pPr>
        <w:spacing w:before="60" w:after="60"/>
        <w:rPr>
          <w:color w:val="000000" w:themeColor="text1"/>
        </w:rPr>
      </w:pPr>
      <w:r>
        <w:rPr>
          <w:rFonts w:hint="eastAsia"/>
          <w:color w:val="000000" w:themeColor="text1"/>
        </w:rPr>
        <w:t>其他说明：</w:t>
      </w:r>
    </w:p>
    <w:sdt>
      <w:sdtPr>
        <w:rPr>
          <w:color w:val="000000" w:themeColor="text1"/>
        </w:rPr>
        <w:alias w:val="所有权或使用权受到限制的资产的其他说明"/>
        <w:tag w:val="_GBC_571ebdda2c564d648db287965351cd50"/>
        <w:id w:val="1510026340"/>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bookmarkEnd w:id="380"/>
    <w:p w:rsidR="00156DD6" w:rsidRDefault="00D51F5F">
      <w:pPr>
        <w:pStyle w:val="TOC6"/>
        <w:numPr>
          <w:ilvl w:val="0"/>
          <w:numId w:val="53"/>
        </w:numPr>
        <w:rPr>
          <w:color w:val="000000" w:themeColor="text1"/>
          <w:sz w:val="21"/>
          <w:szCs w:val="22"/>
        </w:rPr>
      </w:pPr>
      <w:r>
        <w:rPr>
          <w:color w:val="000000" w:themeColor="text1"/>
          <w:sz w:val="21"/>
          <w:szCs w:val="22"/>
        </w:rPr>
        <w:t>短期借款</w:t>
      </w:r>
    </w:p>
    <w:p w:rsidR="00156DD6" w:rsidRDefault="00D51F5F">
      <w:pPr>
        <w:pStyle w:val="Style47"/>
        <w:numPr>
          <w:ilvl w:val="0"/>
          <w:numId w:val="68"/>
        </w:numPr>
        <w:tabs>
          <w:tab w:val="left" w:pos="630"/>
        </w:tabs>
        <w:rPr>
          <w:rFonts w:ascii="宋体" w:hAnsi="宋体"/>
          <w:color w:val="000000" w:themeColor="text1"/>
          <w:sz w:val="21"/>
          <w:szCs w:val="22"/>
        </w:rPr>
      </w:pPr>
      <w:r>
        <w:rPr>
          <w:rFonts w:ascii="宋体" w:hAnsi="宋体" w:hint="eastAsia"/>
          <w:color w:val="000000" w:themeColor="text1"/>
          <w:sz w:val="21"/>
          <w:szCs w:val="22"/>
        </w:rPr>
        <w:t>短期借款分类</w:t>
      </w:r>
    </w:p>
    <w:sdt>
      <w:sdtPr>
        <w:rPr>
          <w:color w:val="000000" w:themeColor="text1"/>
        </w:rPr>
        <w:alias w:val="是否适用：短期借款分类[双击切换]"/>
        <w:tag w:val="_GBC_1074387a68b64f6b9270b522de53ad85"/>
        <w:id w:val="149899165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短期借款分类"/>
          <w:tag w:val="_GBC_f3353209b65c4921b63143340e11aac9"/>
          <w:id w:val="-19146899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短期借款分类"/>
          <w:tag w:val="_GBC_b3a1802faad14eae96cfab316b25f639"/>
          <w:id w:val="12876940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47"/>
        <w:gridCol w:w="2980"/>
        <w:gridCol w:w="2996"/>
      </w:tblGrid>
      <w:tr w:rsidR="00156DD6">
        <w:trPr>
          <w:cantSplit/>
        </w:trPr>
        <w:sdt>
          <w:sdtPr>
            <w:tag w:val="_PLD_3476605067da474199aa03dc83e3d88c"/>
            <w:id w:val="-718971413"/>
          </w:sdtPr>
          <w:sdtEndPr/>
          <w:sdtContent>
            <w:tc>
              <w:tcPr>
                <w:tcW w:w="1613"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cd6dc2751cc421e8a2f26f78a44b4c5"/>
            <w:id w:val="1361475405"/>
          </w:sdtPr>
          <w:sdtEndPr/>
          <w:sdtContent>
            <w:tc>
              <w:tcPr>
                <w:tcW w:w="1689"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c16f582c583d4324abc605c4bc563081"/>
            <w:id w:val="629289661"/>
          </w:sdtPr>
          <w:sdtEndPr/>
          <w:sdtContent>
            <w:tc>
              <w:tcPr>
                <w:tcW w:w="1698"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1613" w:type="pct"/>
          </w:tcPr>
          <w:p w:rsidR="00156DD6" w:rsidRDefault="00D51F5F">
            <w:pPr>
              <w:autoSpaceDE w:val="0"/>
              <w:autoSpaceDN w:val="0"/>
              <w:adjustRightInd w:val="0"/>
              <w:snapToGrid w:val="0"/>
              <w:spacing w:line="240" w:lineRule="atLeast"/>
              <w:jc w:val="both"/>
            </w:pPr>
            <w:r>
              <w:rPr>
                <w:rFonts w:hint="eastAsia"/>
              </w:rPr>
              <w:t>信用借款</w:t>
            </w:r>
          </w:p>
        </w:tc>
        <w:tc>
          <w:tcPr>
            <w:tcW w:w="1689" w:type="pct"/>
            <w:vAlign w:val="center"/>
          </w:tcPr>
          <w:p w:rsidR="00156DD6" w:rsidRDefault="00D51F5F">
            <w:pPr>
              <w:autoSpaceDE w:val="0"/>
              <w:autoSpaceDN w:val="0"/>
              <w:adjustRightInd w:val="0"/>
              <w:snapToGrid w:val="0"/>
              <w:spacing w:line="240" w:lineRule="atLeast"/>
              <w:ind w:right="180"/>
              <w:jc w:val="right"/>
            </w:pPr>
            <w:r>
              <w:t xml:space="preserve"> 155,140,214.48 </w:t>
            </w:r>
          </w:p>
        </w:tc>
        <w:tc>
          <w:tcPr>
            <w:tcW w:w="1698" w:type="pct"/>
            <w:vAlign w:val="center"/>
          </w:tcPr>
          <w:p w:rsidR="00156DD6" w:rsidRDefault="00D51F5F">
            <w:pPr>
              <w:autoSpaceDE w:val="0"/>
              <w:autoSpaceDN w:val="0"/>
              <w:adjustRightInd w:val="0"/>
              <w:snapToGrid w:val="0"/>
              <w:spacing w:line="240" w:lineRule="atLeast"/>
              <w:ind w:right="180"/>
              <w:jc w:val="right"/>
            </w:pPr>
            <w:r>
              <w:t>222,043,611.51</w:t>
            </w:r>
          </w:p>
        </w:tc>
      </w:tr>
      <w:tr w:rsidR="00156DD6">
        <w:trPr>
          <w:cantSplit/>
        </w:trPr>
        <w:tc>
          <w:tcPr>
            <w:tcW w:w="1613" w:type="pct"/>
          </w:tcPr>
          <w:p w:rsidR="00156DD6" w:rsidRDefault="00D51F5F">
            <w:pPr>
              <w:autoSpaceDE w:val="0"/>
              <w:autoSpaceDN w:val="0"/>
              <w:adjustRightInd w:val="0"/>
              <w:snapToGrid w:val="0"/>
              <w:spacing w:line="240" w:lineRule="atLeast"/>
              <w:jc w:val="both"/>
            </w:pPr>
            <w:r>
              <w:t>保证借款</w:t>
            </w:r>
          </w:p>
        </w:tc>
        <w:tc>
          <w:tcPr>
            <w:tcW w:w="1689" w:type="pct"/>
            <w:vAlign w:val="center"/>
          </w:tcPr>
          <w:p w:rsidR="00156DD6" w:rsidRDefault="00D51F5F">
            <w:pPr>
              <w:autoSpaceDE w:val="0"/>
              <w:autoSpaceDN w:val="0"/>
              <w:adjustRightInd w:val="0"/>
              <w:snapToGrid w:val="0"/>
              <w:spacing w:line="240" w:lineRule="atLeast"/>
              <w:ind w:right="180"/>
              <w:jc w:val="right"/>
            </w:pPr>
            <w:r>
              <w:t>93,940,986.40</w:t>
            </w:r>
          </w:p>
        </w:tc>
        <w:tc>
          <w:tcPr>
            <w:tcW w:w="1698" w:type="pct"/>
            <w:vAlign w:val="center"/>
          </w:tcPr>
          <w:p w:rsidR="00156DD6" w:rsidRDefault="00D51F5F">
            <w:pPr>
              <w:autoSpaceDE w:val="0"/>
              <w:autoSpaceDN w:val="0"/>
              <w:adjustRightInd w:val="0"/>
              <w:snapToGrid w:val="0"/>
              <w:spacing w:line="240" w:lineRule="atLeast"/>
              <w:ind w:right="180"/>
              <w:jc w:val="right"/>
            </w:pPr>
            <w:r>
              <w:t>47,517,310.57</w:t>
            </w:r>
          </w:p>
        </w:tc>
      </w:tr>
      <w:tr w:rsidR="00156DD6">
        <w:trPr>
          <w:cantSplit/>
        </w:trPr>
        <w:tc>
          <w:tcPr>
            <w:tcW w:w="1613" w:type="pct"/>
          </w:tcPr>
          <w:p w:rsidR="00156DD6" w:rsidRDefault="00D51F5F">
            <w:pPr>
              <w:autoSpaceDE w:val="0"/>
              <w:autoSpaceDN w:val="0"/>
              <w:adjustRightInd w:val="0"/>
              <w:snapToGrid w:val="0"/>
              <w:spacing w:line="240" w:lineRule="atLeast"/>
              <w:jc w:val="both"/>
            </w:pPr>
            <w:r>
              <w:rPr>
                <w:rFonts w:hint="eastAsia"/>
              </w:rPr>
              <w:lastRenderedPageBreak/>
              <w:t>贴现票据</w:t>
            </w:r>
          </w:p>
        </w:tc>
        <w:tc>
          <w:tcPr>
            <w:tcW w:w="1689" w:type="pct"/>
            <w:vAlign w:val="center"/>
          </w:tcPr>
          <w:p w:rsidR="00156DD6" w:rsidRDefault="00156DD6">
            <w:pPr>
              <w:autoSpaceDE w:val="0"/>
              <w:autoSpaceDN w:val="0"/>
              <w:adjustRightInd w:val="0"/>
              <w:snapToGrid w:val="0"/>
              <w:spacing w:line="240" w:lineRule="atLeast"/>
              <w:ind w:right="180"/>
              <w:jc w:val="right"/>
            </w:pPr>
          </w:p>
        </w:tc>
        <w:tc>
          <w:tcPr>
            <w:tcW w:w="1698" w:type="pct"/>
            <w:vAlign w:val="center"/>
          </w:tcPr>
          <w:p w:rsidR="00156DD6" w:rsidRDefault="00D51F5F">
            <w:pPr>
              <w:autoSpaceDE w:val="0"/>
              <w:autoSpaceDN w:val="0"/>
              <w:adjustRightInd w:val="0"/>
              <w:snapToGrid w:val="0"/>
              <w:spacing w:line="240" w:lineRule="atLeast"/>
              <w:ind w:right="180"/>
              <w:jc w:val="right"/>
            </w:pPr>
            <w:r>
              <w:t>500,000.00</w:t>
            </w:r>
          </w:p>
        </w:tc>
      </w:tr>
      <w:tr w:rsidR="00156DD6">
        <w:trPr>
          <w:cantSplit/>
        </w:trPr>
        <w:tc>
          <w:tcPr>
            <w:tcW w:w="1613"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689" w:type="pct"/>
            <w:vAlign w:val="center"/>
          </w:tcPr>
          <w:p w:rsidR="00156DD6" w:rsidRDefault="00D51F5F">
            <w:pPr>
              <w:autoSpaceDE w:val="0"/>
              <w:autoSpaceDN w:val="0"/>
              <w:adjustRightInd w:val="0"/>
              <w:snapToGrid w:val="0"/>
              <w:spacing w:line="240" w:lineRule="atLeast"/>
              <w:ind w:right="180"/>
              <w:jc w:val="right"/>
            </w:pPr>
            <w:r>
              <w:t xml:space="preserve"> 249,081,200.88 </w:t>
            </w:r>
          </w:p>
        </w:tc>
        <w:tc>
          <w:tcPr>
            <w:tcW w:w="1698" w:type="pct"/>
            <w:vAlign w:val="center"/>
          </w:tcPr>
          <w:p w:rsidR="00156DD6" w:rsidRDefault="00D51F5F">
            <w:pPr>
              <w:autoSpaceDE w:val="0"/>
              <w:autoSpaceDN w:val="0"/>
              <w:adjustRightInd w:val="0"/>
              <w:snapToGrid w:val="0"/>
              <w:spacing w:line="240" w:lineRule="atLeast"/>
              <w:ind w:right="180"/>
              <w:jc w:val="right"/>
            </w:pPr>
            <w:r>
              <w:t>270,060,922.08</w:t>
            </w:r>
          </w:p>
        </w:tc>
      </w:tr>
    </w:tbl>
    <w:p w:rsidR="00156DD6" w:rsidRDefault="00D51F5F">
      <w:pPr>
        <w:snapToGrid w:val="0"/>
        <w:spacing w:line="240" w:lineRule="atLeast"/>
        <w:rPr>
          <w:color w:val="000000" w:themeColor="text1"/>
        </w:rPr>
      </w:pPr>
      <w:r>
        <w:rPr>
          <w:rFonts w:hint="eastAsia"/>
          <w:color w:val="000000" w:themeColor="text1"/>
        </w:rPr>
        <w:t>短期借款分类的说明：</w:t>
      </w:r>
    </w:p>
    <w:sdt>
      <w:sdtPr>
        <w:rPr>
          <w:color w:val="000000" w:themeColor="text1"/>
        </w:rPr>
        <w:alias w:val="短期借款分类的说明"/>
        <w:tag w:val="_GBC_fc19e133dd4f4dbdb9d583e76175b714"/>
        <w:id w:val="-813023606"/>
        <w:placeholder>
          <w:docPart w:val="GBC22222222222222222222222222222"/>
        </w:placeholder>
      </w:sdtPr>
      <w:sdtEndPr/>
      <w:sdtContent>
        <w:p w:rsidR="00156DD6" w:rsidRDefault="00D51F5F">
          <w:pPr>
            <w:snapToGrid w:val="0"/>
            <w:spacing w:line="240" w:lineRule="atLeast"/>
            <w:rPr>
              <w:color w:val="000000" w:themeColor="text1"/>
            </w:rPr>
          </w:pPr>
          <w:r>
            <w:rPr>
              <w:rFonts w:hint="eastAsia"/>
              <w:color w:val="000000" w:themeColor="text1"/>
            </w:rPr>
            <w:t>无</w:t>
          </w:r>
        </w:p>
      </w:sdtContent>
    </w:sdt>
    <w:p w:rsidR="00156DD6" w:rsidRDefault="00D51F5F">
      <w:pPr>
        <w:pStyle w:val="Style47"/>
        <w:numPr>
          <w:ilvl w:val="0"/>
          <w:numId w:val="68"/>
        </w:numPr>
        <w:tabs>
          <w:tab w:val="left" w:pos="630"/>
        </w:tabs>
        <w:rPr>
          <w:rFonts w:ascii="宋体" w:hAnsi="宋体"/>
          <w:color w:val="000000" w:themeColor="text1"/>
          <w:sz w:val="21"/>
          <w:szCs w:val="21"/>
        </w:rPr>
      </w:pPr>
      <w:r>
        <w:rPr>
          <w:rFonts w:ascii="宋体" w:hAnsi="宋体" w:hint="eastAsia"/>
          <w:color w:val="000000" w:themeColor="text1"/>
          <w:sz w:val="21"/>
          <w:szCs w:val="21"/>
        </w:rPr>
        <w:t>已逾期未偿还的短期借款情况</w:t>
      </w:r>
    </w:p>
    <w:sdt>
      <w:sdtPr>
        <w:rPr>
          <w:color w:val="000000" w:themeColor="text1"/>
        </w:rPr>
        <w:alias w:val="是否适用：已逾期未偿还的短期借款情况[双击切换]"/>
        <w:tag w:val="_GBC_57f74ff95a304f19a7c06d7996fc30c7"/>
        <w:id w:val="197525992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短期借款的说明[双击切换]"/>
        <w:tag w:val="_GBC_663e3ee6df014147bb9c7daa18ccb062"/>
        <w:id w:val="-92295820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381" w:name="_Hlk167960253"/>
      <w:bookmarkStart w:id="382" w:name="_Hlk533422954"/>
      <w:bookmarkStart w:id="383" w:name="_Hlk533670147"/>
      <w:r>
        <w:rPr>
          <w:color w:val="000000" w:themeColor="text1"/>
          <w:sz w:val="21"/>
          <w:szCs w:val="22"/>
        </w:rPr>
        <w:t>交易性金融负债</w:t>
      </w:r>
    </w:p>
    <w:sdt>
      <w:sdtPr>
        <w:rPr>
          <w:color w:val="000000" w:themeColor="text1"/>
        </w:rPr>
        <w:alias w:val="是否适用：交易性金融负债[双击切换]"/>
        <w:tag w:val="_GBC_c80a748cb25743768dff0a872a281bca"/>
        <w:id w:val="144040524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是否适用：交易性金融负债的说明[双击切换]"/>
        <w:tag w:val="_GBC_692d0bb6340447f685684271256fa188"/>
        <w:id w:val="13711064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81"/>
    <w:bookmarkEnd w:id="382"/>
    <w:bookmarkEnd w:id="383"/>
    <w:p w:rsidR="00156DD6" w:rsidRDefault="00D51F5F">
      <w:pPr>
        <w:pStyle w:val="TOC6"/>
        <w:numPr>
          <w:ilvl w:val="0"/>
          <w:numId w:val="53"/>
        </w:numPr>
        <w:rPr>
          <w:color w:val="000000" w:themeColor="text1"/>
          <w:sz w:val="21"/>
          <w:szCs w:val="22"/>
        </w:rPr>
      </w:pPr>
      <w:r>
        <w:rPr>
          <w:color w:val="000000" w:themeColor="text1"/>
          <w:sz w:val="21"/>
          <w:szCs w:val="22"/>
        </w:rPr>
        <w:t>衍生金融负债</w:t>
      </w:r>
    </w:p>
    <w:sdt>
      <w:sdtPr>
        <w:rPr>
          <w:color w:val="000000" w:themeColor="text1"/>
        </w:rPr>
        <w:alias w:val="是否适用：衍生金融负债[双击切换]"/>
        <w:tag w:val="_GBC_3a60c0d3d0534eba80b93475b0a6411f"/>
        <w:id w:val="181991496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应付票据</w:t>
      </w:r>
    </w:p>
    <w:sdt>
      <w:sdtPr>
        <w:rPr>
          <w:color w:val="000000" w:themeColor="text1"/>
        </w:rPr>
        <w:alias w:val="是否适用：应付票据[双击切换]"/>
        <w:tag w:val="_GBC_57c67181b34944e782b23a48b1843e8f"/>
        <w:id w:val="-1527625345"/>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bookmarkStart w:id="384" w:name="_Hlk167960344"/>
      <w:r>
        <w:rPr>
          <w:rFonts w:hint="eastAsia"/>
          <w:color w:val="000000" w:themeColor="text1"/>
        </w:rPr>
        <w:t>单位：</w:t>
      </w:r>
      <w:sdt>
        <w:sdtPr>
          <w:rPr>
            <w:rFonts w:hint="eastAsia"/>
            <w:color w:val="000000" w:themeColor="text1"/>
          </w:rPr>
          <w:alias w:val="单位：财务附注：应付票据"/>
          <w:tag w:val="_GBC_db69c246a0d14735805df636930e34ba"/>
          <w:id w:val="-7528070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付票据"/>
          <w:tag w:val="_GBC_f734b21fc72c43feb20eaf84762dfd7f"/>
          <w:id w:val="15387019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92"/>
        <w:gridCol w:w="3312"/>
        <w:gridCol w:w="3219"/>
      </w:tblGrid>
      <w:tr w:rsidR="00156DD6">
        <w:trPr>
          <w:cantSplit/>
        </w:trPr>
        <w:sdt>
          <w:sdtPr>
            <w:tag w:val="_PLD_faa4f5cfe5ae4b0a9c786ca922191e7e"/>
            <w:id w:val="-598639389"/>
          </w:sdtPr>
          <w:sdtEndPr/>
          <w:sdtContent>
            <w:tc>
              <w:tcPr>
                <w:tcW w:w="1299"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种类</w:t>
                </w:r>
              </w:p>
            </w:tc>
          </w:sdtContent>
        </w:sdt>
        <w:sdt>
          <w:sdtPr>
            <w:tag w:val="_PLD_b51f0f25994640289becfaca28eb1d5c"/>
            <w:id w:val="2071062766"/>
          </w:sdtPr>
          <w:sdtEndPr/>
          <w:sdtContent>
            <w:tc>
              <w:tcPr>
                <w:tcW w:w="1877"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996d96c1a15e479289fa9e0699e2822e"/>
            <w:id w:val="1786374907"/>
          </w:sdtPr>
          <w:sdtEndPr/>
          <w:sdtContent>
            <w:tc>
              <w:tcPr>
                <w:tcW w:w="1824"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156DD6">
        <w:trPr>
          <w:cantSplit/>
        </w:trPr>
        <w:tc>
          <w:tcPr>
            <w:tcW w:w="1299" w:type="pct"/>
          </w:tcPr>
          <w:p w:rsidR="00156DD6" w:rsidRDefault="00D51F5F">
            <w:pPr>
              <w:autoSpaceDE w:val="0"/>
              <w:autoSpaceDN w:val="0"/>
              <w:adjustRightInd w:val="0"/>
              <w:snapToGrid w:val="0"/>
              <w:spacing w:line="240" w:lineRule="atLeast"/>
              <w:rPr>
                <w:color w:val="000000" w:themeColor="text1"/>
              </w:rPr>
            </w:pPr>
            <w:r>
              <w:rPr>
                <w:rFonts w:hint="eastAsia"/>
                <w:color w:val="000000" w:themeColor="text1"/>
              </w:rPr>
              <w:t>银行承兑汇票</w:t>
            </w:r>
          </w:p>
        </w:tc>
        <w:tc>
          <w:tcPr>
            <w:tcW w:w="1877" w:type="pct"/>
            <w:vAlign w:val="center"/>
          </w:tcPr>
          <w:p w:rsidR="00156DD6" w:rsidRDefault="00D51F5F">
            <w:pPr>
              <w:ind w:right="13"/>
              <w:jc w:val="right"/>
            </w:pPr>
            <w:r>
              <w:t xml:space="preserve"> 542,919,835.25 </w:t>
            </w:r>
          </w:p>
        </w:tc>
        <w:tc>
          <w:tcPr>
            <w:tcW w:w="1824" w:type="pct"/>
          </w:tcPr>
          <w:p w:rsidR="00156DD6" w:rsidRDefault="00D51F5F">
            <w:pPr>
              <w:jc w:val="right"/>
            </w:pPr>
            <w:r>
              <w:t xml:space="preserve"> 578,425,596.48 </w:t>
            </w:r>
          </w:p>
        </w:tc>
      </w:tr>
      <w:tr w:rsidR="00156DD6">
        <w:trPr>
          <w:cantSplit/>
        </w:trPr>
        <w:tc>
          <w:tcPr>
            <w:tcW w:w="1299" w:type="pct"/>
          </w:tcPr>
          <w:p w:rsidR="00156DD6" w:rsidRDefault="00D51F5F">
            <w:pPr>
              <w:autoSpaceDE w:val="0"/>
              <w:autoSpaceDN w:val="0"/>
              <w:adjustRightInd w:val="0"/>
              <w:snapToGrid w:val="0"/>
              <w:spacing w:line="240" w:lineRule="atLeast"/>
              <w:rPr>
                <w:color w:val="000000" w:themeColor="text1"/>
              </w:rPr>
            </w:pPr>
            <w:r>
              <w:rPr>
                <w:rFonts w:hint="eastAsia"/>
                <w:color w:val="000000" w:themeColor="text1"/>
              </w:rPr>
              <w:t>商业承兑汇票</w:t>
            </w:r>
          </w:p>
        </w:tc>
        <w:tc>
          <w:tcPr>
            <w:tcW w:w="1877" w:type="pct"/>
            <w:vAlign w:val="center"/>
          </w:tcPr>
          <w:p w:rsidR="00156DD6" w:rsidRDefault="00D51F5F">
            <w:pPr>
              <w:ind w:right="13"/>
              <w:jc w:val="right"/>
            </w:pPr>
            <w:r>
              <w:t xml:space="preserve"> 125,447,470.69 </w:t>
            </w:r>
          </w:p>
        </w:tc>
        <w:tc>
          <w:tcPr>
            <w:tcW w:w="1824" w:type="pct"/>
          </w:tcPr>
          <w:p w:rsidR="00156DD6" w:rsidRDefault="00D51F5F">
            <w:pPr>
              <w:jc w:val="right"/>
            </w:pPr>
            <w:r>
              <w:t xml:space="preserve"> 46,188,624.75 </w:t>
            </w:r>
          </w:p>
        </w:tc>
      </w:tr>
      <w:tr w:rsidR="00156DD6">
        <w:trPr>
          <w:cantSplit/>
        </w:trPr>
        <w:tc>
          <w:tcPr>
            <w:tcW w:w="1299"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877" w:type="pct"/>
            <w:vAlign w:val="center"/>
          </w:tcPr>
          <w:p w:rsidR="00156DD6" w:rsidRDefault="00D51F5F">
            <w:pPr>
              <w:jc w:val="right"/>
            </w:pPr>
            <w:r>
              <w:t xml:space="preserve"> 668,367,305.94 </w:t>
            </w:r>
          </w:p>
        </w:tc>
        <w:tc>
          <w:tcPr>
            <w:tcW w:w="1824" w:type="pct"/>
          </w:tcPr>
          <w:p w:rsidR="00156DD6" w:rsidRDefault="00D51F5F">
            <w:pPr>
              <w:jc w:val="right"/>
            </w:pPr>
            <w:r>
              <w:t xml:space="preserve"> 624,614,221.23 </w:t>
            </w:r>
          </w:p>
        </w:tc>
      </w:tr>
    </w:tbl>
    <w:p w:rsidR="00156DD6" w:rsidRDefault="00D51F5F">
      <w:pPr>
        <w:snapToGrid w:val="0"/>
        <w:spacing w:line="240" w:lineRule="atLeast"/>
        <w:rPr>
          <w:color w:val="000000" w:themeColor="text1"/>
        </w:rPr>
      </w:pPr>
      <w:r>
        <w:rPr>
          <w:rFonts w:hint="eastAsia"/>
          <w:color w:val="000000" w:themeColor="text1"/>
        </w:rPr>
        <w:t>本期末已到期未支付的应付票据总额为</w:t>
      </w:r>
      <w:sdt>
        <w:sdtPr>
          <w:rPr>
            <w:rFonts w:hint="eastAsia"/>
            <w:color w:val="000000" w:themeColor="text1"/>
          </w:rPr>
          <w:alias w:val="已到期未支付的应付票据总额"/>
          <w:tag w:val="_GBC_c9651441e218453780f22db83f133e6a"/>
          <w:id w:val="407034312"/>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元。到期未付的原因是</w:t>
      </w:r>
      <w:sdt>
        <w:sdtPr>
          <w:rPr>
            <w:rFonts w:hint="eastAsia"/>
            <w:color w:val="000000" w:themeColor="text1"/>
          </w:rPr>
          <w:alias w:val="应付票据到期未付的原因"/>
          <w:tag w:val="_GBC_73acd2fa7a344753a71cf43e98373b73"/>
          <w:id w:val="668374755"/>
          <w:placeholder>
            <w:docPart w:val="GBC22222222222222222222222222222"/>
          </w:placeholder>
        </w:sdtPr>
        <w:sdtEndPr/>
        <w:sdtContent>
          <w:r>
            <w:rPr>
              <w:rFonts w:hint="eastAsia"/>
              <w:color w:val="000000" w:themeColor="text1"/>
            </w:rPr>
            <w:t>不适用</w:t>
          </w:r>
        </w:sdtContent>
      </w:sdt>
    </w:p>
    <w:bookmarkEnd w:id="384"/>
    <w:p w:rsidR="00156DD6" w:rsidRDefault="00D51F5F">
      <w:pPr>
        <w:pStyle w:val="TOC6"/>
        <w:numPr>
          <w:ilvl w:val="0"/>
          <w:numId w:val="53"/>
        </w:numPr>
        <w:rPr>
          <w:color w:val="000000" w:themeColor="text1"/>
          <w:sz w:val="21"/>
          <w:szCs w:val="22"/>
        </w:rPr>
      </w:pPr>
      <w:r>
        <w:rPr>
          <w:color w:val="000000" w:themeColor="text1"/>
          <w:sz w:val="21"/>
          <w:szCs w:val="22"/>
        </w:rPr>
        <w:t>应付账款</w:t>
      </w:r>
    </w:p>
    <w:p w:rsidR="00156DD6" w:rsidRDefault="00D51F5F">
      <w:pPr>
        <w:pStyle w:val="Style47"/>
        <w:numPr>
          <w:ilvl w:val="0"/>
          <w:numId w:val="69"/>
        </w:numPr>
        <w:tabs>
          <w:tab w:val="left" w:pos="588"/>
        </w:tabs>
        <w:rPr>
          <w:rFonts w:ascii="宋体" w:hAnsi="宋体"/>
          <w:color w:val="000000" w:themeColor="text1"/>
          <w:sz w:val="21"/>
          <w:szCs w:val="21"/>
        </w:rPr>
      </w:pPr>
      <w:r>
        <w:rPr>
          <w:rFonts w:ascii="宋体" w:hAnsi="宋体" w:hint="eastAsia"/>
          <w:color w:val="000000" w:themeColor="text1"/>
          <w:sz w:val="21"/>
          <w:szCs w:val="21"/>
        </w:rPr>
        <w:t>应付账款列示</w:t>
      </w:r>
    </w:p>
    <w:sdt>
      <w:sdtPr>
        <w:rPr>
          <w:color w:val="000000" w:themeColor="text1"/>
        </w:rPr>
        <w:alias w:val="是否适用：应付账款列示[双击切换]"/>
        <w:tag w:val="_GBC_8531771c226a4fb0b98e3cdaf7271c71"/>
        <w:id w:val="-19299375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应付账款情况"/>
          <w:tag w:val="_GBC_53c05e3ea1bb4f08bbe5cf204a0947b9"/>
          <w:id w:val="1728484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付账款情况"/>
          <w:tag w:val="_GBC_e10cb0a664ca4400817c8a2bcf9247fc"/>
          <w:id w:val="-1654827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156DD6">
        <w:sdt>
          <w:sdtPr>
            <w:tag w:val="_PLD_7dae27caeee34d74add24cd985083c75"/>
            <w:id w:val="595526973"/>
          </w:sdtPr>
          <w:sdtEndPr/>
          <w:sdtContent>
            <w:tc>
              <w:tcPr>
                <w:tcW w:w="1570" w:type="pct"/>
              </w:tcPr>
              <w:p w:rsidR="00156DD6" w:rsidRDefault="00D51F5F">
                <w:pPr>
                  <w:jc w:val="center"/>
                  <w:rPr>
                    <w:color w:val="000000" w:themeColor="text1"/>
                  </w:rPr>
                </w:pPr>
                <w:r>
                  <w:rPr>
                    <w:rFonts w:hint="eastAsia"/>
                    <w:color w:val="000000" w:themeColor="text1"/>
                  </w:rPr>
                  <w:t>项目</w:t>
                </w:r>
              </w:p>
            </w:tc>
          </w:sdtContent>
        </w:sdt>
        <w:sdt>
          <w:sdtPr>
            <w:tag w:val="_PLD_136ba417561e421ea02da8004fdf8b33"/>
            <w:id w:val="777839103"/>
          </w:sdtPr>
          <w:sdtEndPr/>
          <w:sdtContent>
            <w:tc>
              <w:tcPr>
                <w:tcW w:w="1584" w:type="pct"/>
              </w:tcPr>
              <w:p w:rsidR="00156DD6" w:rsidRDefault="00D51F5F">
                <w:pPr>
                  <w:jc w:val="center"/>
                  <w:rPr>
                    <w:color w:val="000000" w:themeColor="text1"/>
                  </w:rPr>
                </w:pPr>
                <w:r>
                  <w:rPr>
                    <w:rFonts w:hint="eastAsia"/>
                    <w:color w:val="000000" w:themeColor="text1"/>
                  </w:rPr>
                  <w:t>期末余额</w:t>
                </w:r>
              </w:p>
            </w:tc>
          </w:sdtContent>
        </w:sdt>
        <w:sdt>
          <w:sdtPr>
            <w:tag w:val="_PLD_bc4b311c1ee54bd48b7b2ba2ab79c364"/>
            <w:id w:val="1672369924"/>
          </w:sdtPr>
          <w:sdtEndPr/>
          <w:sdtContent>
            <w:tc>
              <w:tcPr>
                <w:tcW w:w="1846" w:type="pct"/>
              </w:tcPr>
              <w:p w:rsidR="00156DD6" w:rsidRDefault="00D51F5F">
                <w:pPr>
                  <w:jc w:val="center"/>
                  <w:rPr>
                    <w:color w:val="000000" w:themeColor="text1"/>
                  </w:rPr>
                </w:pPr>
                <w:r>
                  <w:rPr>
                    <w:rFonts w:hint="eastAsia"/>
                    <w:color w:val="000000" w:themeColor="text1"/>
                  </w:rPr>
                  <w:t>期初余额</w:t>
                </w:r>
              </w:p>
            </w:tc>
          </w:sdtContent>
        </w:sdt>
      </w:tr>
      <w:tr w:rsidR="00156DD6">
        <w:tc>
          <w:tcPr>
            <w:tcW w:w="1570" w:type="pct"/>
          </w:tcPr>
          <w:p w:rsidR="00156DD6" w:rsidRDefault="00D51F5F">
            <w:pPr>
              <w:pStyle w:val="Style43"/>
            </w:pPr>
            <w:r>
              <w:rPr>
                <w:rFonts w:hint="eastAsia"/>
              </w:rPr>
              <w:t>采购</w:t>
            </w:r>
            <w:r>
              <w:t>材料款</w:t>
            </w:r>
          </w:p>
        </w:tc>
        <w:tc>
          <w:tcPr>
            <w:tcW w:w="1584" w:type="pct"/>
          </w:tcPr>
          <w:p w:rsidR="00156DD6" w:rsidRDefault="00D51F5F">
            <w:pPr>
              <w:jc w:val="right"/>
            </w:pPr>
            <w:r>
              <w:rPr>
                <w:rFonts w:hint="eastAsia"/>
              </w:rPr>
              <w:t xml:space="preserve"> 534,786,250.88 </w:t>
            </w:r>
          </w:p>
        </w:tc>
        <w:tc>
          <w:tcPr>
            <w:tcW w:w="1846" w:type="pct"/>
            <w:vAlign w:val="center"/>
          </w:tcPr>
          <w:p w:rsidR="00156DD6" w:rsidRDefault="00D51F5F">
            <w:pPr>
              <w:jc w:val="right"/>
            </w:pPr>
            <w:r>
              <w:t>563,662,860.61</w:t>
            </w:r>
          </w:p>
        </w:tc>
      </w:tr>
      <w:tr w:rsidR="00156DD6">
        <w:tc>
          <w:tcPr>
            <w:tcW w:w="1570" w:type="pct"/>
          </w:tcPr>
          <w:p w:rsidR="00156DD6" w:rsidRDefault="00D51F5F">
            <w:pPr>
              <w:pStyle w:val="Style43"/>
            </w:pPr>
            <w:r>
              <w:rPr>
                <w:rFonts w:hint="eastAsia"/>
              </w:rPr>
              <w:t>采购长期资产</w:t>
            </w:r>
            <w:r>
              <w:t>款</w:t>
            </w:r>
          </w:p>
        </w:tc>
        <w:tc>
          <w:tcPr>
            <w:tcW w:w="1584" w:type="pct"/>
          </w:tcPr>
          <w:p w:rsidR="00156DD6" w:rsidRDefault="00D51F5F">
            <w:pPr>
              <w:jc w:val="right"/>
            </w:pPr>
            <w:r>
              <w:rPr>
                <w:rFonts w:hint="eastAsia"/>
              </w:rPr>
              <w:t xml:space="preserve"> 144,603,641.47 </w:t>
            </w:r>
          </w:p>
        </w:tc>
        <w:tc>
          <w:tcPr>
            <w:tcW w:w="1846" w:type="pct"/>
            <w:vAlign w:val="center"/>
          </w:tcPr>
          <w:p w:rsidR="00156DD6" w:rsidRDefault="00D51F5F">
            <w:pPr>
              <w:jc w:val="right"/>
            </w:pPr>
            <w:r>
              <w:t>231,398,896.71</w:t>
            </w:r>
          </w:p>
        </w:tc>
      </w:tr>
      <w:tr w:rsidR="00156DD6">
        <w:tc>
          <w:tcPr>
            <w:tcW w:w="1570" w:type="pct"/>
          </w:tcPr>
          <w:p w:rsidR="00156DD6" w:rsidRDefault="00D51F5F">
            <w:pPr>
              <w:pStyle w:val="Style43"/>
            </w:pPr>
            <w:r>
              <w:rPr>
                <w:rFonts w:hint="eastAsia"/>
              </w:rPr>
              <w:t>采购</w:t>
            </w:r>
            <w:r>
              <w:t>服务款</w:t>
            </w:r>
          </w:p>
        </w:tc>
        <w:tc>
          <w:tcPr>
            <w:tcW w:w="1584" w:type="pct"/>
          </w:tcPr>
          <w:p w:rsidR="00156DD6" w:rsidRDefault="00D51F5F">
            <w:pPr>
              <w:jc w:val="right"/>
            </w:pPr>
            <w:r>
              <w:rPr>
                <w:rFonts w:hint="eastAsia"/>
              </w:rPr>
              <w:t xml:space="preserve"> 45,636,773.98 </w:t>
            </w:r>
          </w:p>
        </w:tc>
        <w:tc>
          <w:tcPr>
            <w:tcW w:w="1846" w:type="pct"/>
            <w:vAlign w:val="center"/>
          </w:tcPr>
          <w:p w:rsidR="00156DD6" w:rsidRDefault="00D51F5F">
            <w:pPr>
              <w:jc w:val="right"/>
            </w:pPr>
            <w:r>
              <w:t>60,475,478.63</w:t>
            </w:r>
          </w:p>
        </w:tc>
      </w:tr>
      <w:tr w:rsidR="00156DD6">
        <w:tc>
          <w:tcPr>
            <w:tcW w:w="1570" w:type="pct"/>
          </w:tcPr>
          <w:p w:rsidR="00156DD6" w:rsidRDefault="00D51F5F">
            <w:pPr>
              <w:jc w:val="center"/>
              <w:rPr>
                <w:color w:val="000000" w:themeColor="text1"/>
              </w:rPr>
            </w:pPr>
            <w:r>
              <w:rPr>
                <w:rFonts w:hint="eastAsia"/>
                <w:color w:val="000000" w:themeColor="text1"/>
              </w:rPr>
              <w:t>合计</w:t>
            </w:r>
          </w:p>
        </w:tc>
        <w:tc>
          <w:tcPr>
            <w:tcW w:w="1584" w:type="pct"/>
          </w:tcPr>
          <w:p w:rsidR="00156DD6" w:rsidRDefault="00D51F5F">
            <w:pPr>
              <w:jc w:val="right"/>
            </w:pPr>
            <w:r>
              <w:rPr>
                <w:rFonts w:hint="eastAsia"/>
              </w:rPr>
              <w:t xml:space="preserve"> 725,026,666.33 </w:t>
            </w:r>
          </w:p>
        </w:tc>
        <w:tc>
          <w:tcPr>
            <w:tcW w:w="1846" w:type="pct"/>
            <w:vAlign w:val="center"/>
          </w:tcPr>
          <w:p w:rsidR="00156DD6" w:rsidRDefault="00D51F5F">
            <w:pPr>
              <w:jc w:val="right"/>
            </w:pPr>
            <w:r>
              <w:t>855,537,235.95</w:t>
            </w:r>
          </w:p>
        </w:tc>
      </w:tr>
    </w:tbl>
    <w:p w:rsidR="00156DD6" w:rsidRDefault="00D51F5F">
      <w:pPr>
        <w:pStyle w:val="Style47"/>
        <w:numPr>
          <w:ilvl w:val="0"/>
          <w:numId w:val="69"/>
        </w:numPr>
        <w:tabs>
          <w:tab w:val="left" w:pos="588"/>
        </w:tabs>
        <w:rPr>
          <w:rFonts w:ascii="宋体" w:hAnsi="宋体"/>
          <w:color w:val="000000" w:themeColor="text1"/>
          <w:sz w:val="21"/>
          <w:szCs w:val="22"/>
        </w:rPr>
      </w:pPr>
      <w:r>
        <w:rPr>
          <w:rFonts w:ascii="宋体" w:hAnsi="宋体" w:hint="eastAsia"/>
          <w:color w:val="000000" w:themeColor="text1"/>
          <w:sz w:val="21"/>
          <w:szCs w:val="22"/>
        </w:rPr>
        <w:t>账龄超过</w:t>
      </w:r>
      <w:r>
        <w:rPr>
          <w:rFonts w:ascii="宋体" w:hAnsi="宋体" w:hint="eastAsia"/>
          <w:color w:val="000000" w:themeColor="text1"/>
          <w:sz w:val="21"/>
          <w:szCs w:val="22"/>
        </w:rPr>
        <w:t>1</w:t>
      </w:r>
      <w:r>
        <w:rPr>
          <w:rFonts w:ascii="宋体" w:hAnsi="宋体" w:hint="eastAsia"/>
          <w:color w:val="000000" w:themeColor="text1"/>
          <w:sz w:val="21"/>
          <w:szCs w:val="22"/>
        </w:rPr>
        <w:t>年或逾期的重要应付账款</w:t>
      </w:r>
    </w:p>
    <w:sdt>
      <w:sdtPr>
        <w:rPr>
          <w:color w:val="000000" w:themeColor="text1"/>
        </w:rPr>
        <w:alias w:val="是否适用：账龄超过1年的重要应付账款[双击切换]"/>
        <w:tag w:val="_GBC_02c6e7ed8ae149e8a09f5b80217deb89"/>
        <w:id w:val="-169275231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应付账款的其他说明[双击切换]"/>
        <w:tag w:val="_GBC_9a797e83ea1747e9aca4221e6cdfe89f"/>
        <w:id w:val="-123253270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预收款项</w:t>
      </w:r>
    </w:p>
    <w:p w:rsidR="00156DD6" w:rsidRDefault="00D51F5F">
      <w:pPr>
        <w:pStyle w:val="Style47"/>
        <w:numPr>
          <w:ilvl w:val="0"/>
          <w:numId w:val="70"/>
        </w:numPr>
        <w:rPr>
          <w:rFonts w:ascii="宋体" w:hAnsi="宋体"/>
          <w:color w:val="000000" w:themeColor="text1"/>
          <w:sz w:val="21"/>
          <w:szCs w:val="21"/>
        </w:rPr>
      </w:pPr>
      <w:r>
        <w:rPr>
          <w:rFonts w:ascii="宋体" w:hAnsi="宋体" w:hint="eastAsia"/>
          <w:color w:val="000000" w:themeColor="text1"/>
          <w:sz w:val="21"/>
          <w:szCs w:val="21"/>
        </w:rPr>
        <w:t>预收账款项列示</w:t>
      </w:r>
    </w:p>
    <w:sdt>
      <w:sdtPr>
        <w:rPr>
          <w:color w:val="000000" w:themeColor="text1"/>
        </w:rPr>
        <w:alias w:val="是否适用：预收账款项列示[双击切换]"/>
        <w:tag w:val="_GBC_cf9ab7f5f12c4f788a9bbb6e3ef9c9de"/>
        <w:id w:val="209019075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0"/>
        </w:numPr>
        <w:rPr>
          <w:rFonts w:ascii="宋体" w:hAnsi="宋体"/>
          <w:color w:val="000000" w:themeColor="text1"/>
          <w:sz w:val="21"/>
          <w:szCs w:val="21"/>
        </w:rPr>
      </w:pPr>
      <w:r>
        <w:rPr>
          <w:rFonts w:ascii="宋体" w:hAnsi="宋体" w:hint="eastAsia"/>
          <w:color w:val="000000" w:themeColor="text1"/>
          <w:sz w:val="21"/>
          <w:szCs w:val="21"/>
        </w:rPr>
        <w:t>账龄超过</w:t>
      </w:r>
      <w:r>
        <w:rPr>
          <w:rFonts w:ascii="宋体" w:hAnsi="宋体" w:hint="eastAsia"/>
          <w:color w:val="000000" w:themeColor="text1"/>
          <w:sz w:val="21"/>
          <w:szCs w:val="21"/>
        </w:rPr>
        <w:t>1</w:t>
      </w:r>
      <w:r>
        <w:rPr>
          <w:rFonts w:ascii="宋体" w:hAnsi="宋体" w:hint="eastAsia"/>
          <w:color w:val="000000" w:themeColor="text1"/>
          <w:sz w:val="21"/>
          <w:szCs w:val="21"/>
        </w:rPr>
        <w:t>年的重要预收款项</w:t>
      </w:r>
    </w:p>
    <w:sdt>
      <w:sdtPr>
        <w:rPr>
          <w:color w:val="000000" w:themeColor="text1"/>
        </w:rPr>
        <w:alias w:val="是否适用：账龄超过1年的重要预收款项[双击切换]"/>
        <w:tag w:val="_GBC_ae7ea5bab4b04b2cb170af5020f86302"/>
        <w:id w:val="-21983317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0"/>
        </w:numPr>
        <w:rPr>
          <w:rFonts w:ascii="宋体" w:hAnsi="宋体"/>
          <w:color w:val="000000" w:themeColor="text1"/>
          <w:sz w:val="21"/>
          <w:szCs w:val="21"/>
        </w:rPr>
      </w:pPr>
      <w:bookmarkStart w:id="385" w:name="_Hlk167960464"/>
      <w:r>
        <w:rPr>
          <w:rFonts w:ascii="宋体" w:hAnsi="宋体" w:hint="eastAsia"/>
          <w:color w:val="000000" w:themeColor="text1"/>
          <w:sz w:val="21"/>
          <w:szCs w:val="21"/>
        </w:rPr>
        <w:t>报告期内账面价值发生重大变动的金额和原因</w:t>
      </w:r>
    </w:p>
    <w:sdt>
      <w:sdtPr>
        <w:rPr>
          <w:color w:val="000000" w:themeColor="text1"/>
        </w:rPr>
        <w:alias w:val="是否适用：预收款项账面价值发生重大变动的金额和原因?[双击切换]"/>
        <w:tag w:val="_GBC_e406dc580328407abd4af2aa60e13e28"/>
        <w:id w:val="-72167271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85"/>
    <w:p w:rsidR="00156DD6" w:rsidRDefault="00D51F5F">
      <w:pPr>
        <w:rPr>
          <w:color w:val="000000" w:themeColor="text1"/>
        </w:rPr>
      </w:pPr>
      <w:r>
        <w:rPr>
          <w:rFonts w:hint="eastAsia"/>
          <w:color w:val="000000" w:themeColor="text1"/>
        </w:rPr>
        <w:t>其他说明：</w:t>
      </w:r>
    </w:p>
    <w:sdt>
      <w:sdtPr>
        <w:rPr>
          <w:color w:val="000000" w:themeColor="text1"/>
        </w:rPr>
        <w:alias w:val="是否适用：预收账款的其他说明[双击切换]"/>
        <w:tag w:val="_GBC_f473b6b28a104ffc812e6da4cf5177e5"/>
        <w:id w:val="141766249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386" w:name="_Hlk10535609"/>
      <w:r>
        <w:rPr>
          <w:color w:val="000000" w:themeColor="text1"/>
          <w:sz w:val="21"/>
          <w:szCs w:val="22"/>
        </w:rPr>
        <w:lastRenderedPageBreak/>
        <w:t>合同负债</w:t>
      </w:r>
    </w:p>
    <w:p w:rsidR="00156DD6" w:rsidRDefault="00D51F5F">
      <w:pPr>
        <w:pStyle w:val="Style47"/>
        <w:numPr>
          <w:ilvl w:val="0"/>
          <w:numId w:val="71"/>
        </w:numPr>
        <w:rPr>
          <w:rFonts w:ascii="宋体" w:hAnsi="宋体"/>
          <w:color w:val="000000" w:themeColor="text1"/>
          <w:sz w:val="21"/>
          <w:szCs w:val="21"/>
        </w:rPr>
      </w:pPr>
      <w:r>
        <w:rPr>
          <w:rFonts w:ascii="宋体" w:hAnsi="宋体" w:hint="eastAsia"/>
          <w:color w:val="000000" w:themeColor="text1"/>
          <w:sz w:val="21"/>
          <w:szCs w:val="21"/>
        </w:rPr>
        <w:t>合同负债情况</w:t>
      </w:r>
    </w:p>
    <w:sdt>
      <w:sdtPr>
        <w:rPr>
          <w:color w:val="000000" w:themeColor="text1"/>
        </w:rPr>
        <w:alias w:val="是否适用：合同负债情况[双击切换]"/>
        <w:tag w:val="_GBC_2b6238a8ea00438eab947f83a5f6451d"/>
        <w:id w:val="7557951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ind w:left="360"/>
        <w:jc w:val="right"/>
        <w:rPr>
          <w:color w:val="000000" w:themeColor="text1"/>
        </w:rPr>
      </w:pPr>
      <w:r>
        <w:rPr>
          <w:rFonts w:hint="eastAsia"/>
          <w:color w:val="000000" w:themeColor="text1"/>
        </w:rPr>
        <w:t>单位：</w:t>
      </w:r>
      <w:sdt>
        <w:sdtPr>
          <w:rPr>
            <w:rFonts w:hint="eastAsia"/>
            <w:color w:val="000000" w:themeColor="text1"/>
          </w:rPr>
          <w:alias w:val="单位：合同负债情况"/>
          <w:tag w:val="_GBC_0024c0ddc3514b009e8166b63dc10ae9"/>
          <w:id w:val="-360523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合同负债情况"/>
          <w:tag w:val="_GBC_154d9411b9764a4f8e1412d0a22c8375"/>
          <w:id w:val="-16216747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02"/>
        <w:gridCol w:w="2996"/>
      </w:tblGrid>
      <w:tr w:rsidR="00156DD6">
        <w:sdt>
          <w:sdtPr>
            <w:tag w:val="_PLD_c5e783ac966e416184ff57e436f98be2"/>
            <w:id w:val="-2018383251"/>
          </w:sdtPr>
          <w:sdtEndPr/>
          <w:sdtContent>
            <w:tc>
              <w:tcPr>
                <w:tcW w:w="1601" w:type="pct"/>
              </w:tcPr>
              <w:p w:rsidR="00156DD6" w:rsidRDefault="00D51F5F">
                <w:pPr>
                  <w:jc w:val="center"/>
                  <w:rPr>
                    <w:color w:val="000000" w:themeColor="text1"/>
                  </w:rPr>
                </w:pPr>
                <w:r>
                  <w:rPr>
                    <w:rFonts w:hint="eastAsia"/>
                    <w:color w:val="000000" w:themeColor="text1"/>
                  </w:rPr>
                  <w:t>项目</w:t>
                </w:r>
              </w:p>
            </w:tc>
          </w:sdtContent>
        </w:sdt>
        <w:sdt>
          <w:sdtPr>
            <w:tag w:val="_PLD_a4f8a9567271447e9f7bc01f59c6eed6"/>
            <w:id w:val="-1015995442"/>
          </w:sdtPr>
          <w:sdtEndPr/>
          <w:sdtContent>
            <w:tc>
              <w:tcPr>
                <w:tcW w:w="1701"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期末余额</w:t>
                </w:r>
              </w:p>
            </w:tc>
          </w:sdtContent>
        </w:sdt>
        <w:sdt>
          <w:sdtPr>
            <w:tag w:val="_PLD_b8f751ec83834a96b0e87c862d2ae80b"/>
            <w:id w:val="-263307976"/>
          </w:sdtPr>
          <w:sdtEndPr/>
          <w:sdtContent>
            <w:tc>
              <w:tcPr>
                <w:tcW w:w="1698"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期初余额</w:t>
                </w:r>
              </w:p>
            </w:tc>
          </w:sdtContent>
        </w:sdt>
      </w:tr>
      <w:tr w:rsidR="00156DD6">
        <w:tc>
          <w:tcPr>
            <w:tcW w:w="1601" w:type="pct"/>
          </w:tcPr>
          <w:p w:rsidR="00156DD6" w:rsidRDefault="00D51F5F">
            <w:pPr>
              <w:pStyle w:val="Style43"/>
            </w:pPr>
            <w:bookmarkStart w:id="387" w:name="OLE_LINK10"/>
            <w:r>
              <w:rPr>
                <w:rFonts w:hint="eastAsia"/>
              </w:rPr>
              <w:t>商品销售款</w:t>
            </w:r>
            <w:bookmarkEnd w:id="387"/>
          </w:p>
        </w:tc>
        <w:tc>
          <w:tcPr>
            <w:tcW w:w="1701" w:type="pct"/>
          </w:tcPr>
          <w:p w:rsidR="00156DD6" w:rsidRDefault="00D51F5F">
            <w:pPr>
              <w:jc w:val="right"/>
            </w:pPr>
            <w:r>
              <w:rPr>
                <w:rFonts w:hint="eastAsia"/>
              </w:rPr>
              <w:t xml:space="preserve"> 95,102,352.42 </w:t>
            </w:r>
          </w:p>
        </w:tc>
        <w:tc>
          <w:tcPr>
            <w:tcW w:w="1698" w:type="pct"/>
            <w:vAlign w:val="center"/>
          </w:tcPr>
          <w:p w:rsidR="00156DD6" w:rsidRDefault="00D51F5F">
            <w:pPr>
              <w:jc w:val="right"/>
            </w:pPr>
            <w:r>
              <w:t>114,850,233.49</w:t>
            </w:r>
          </w:p>
        </w:tc>
      </w:tr>
      <w:tr w:rsidR="00156DD6">
        <w:tc>
          <w:tcPr>
            <w:tcW w:w="1601" w:type="pct"/>
          </w:tcPr>
          <w:p w:rsidR="00156DD6" w:rsidRDefault="00D51F5F">
            <w:pPr>
              <w:jc w:val="center"/>
              <w:rPr>
                <w:color w:val="000000" w:themeColor="text1"/>
              </w:rPr>
            </w:pPr>
            <w:r>
              <w:rPr>
                <w:rFonts w:hint="eastAsia"/>
                <w:color w:val="000000" w:themeColor="text1"/>
              </w:rPr>
              <w:t>合计</w:t>
            </w:r>
          </w:p>
        </w:tc>
        <w:tc>
          <w:tcPr>
            <w:tcW w:w="1701" w:type="pct"/>
          </w:tcPr>
          <w:p w:rsidR="00156DD6" w:rsidRDefault="00D51F5F">
            <w:pPr>
              <w:jc w:val="right"/>
            </w:pPr>
            <w:r>
              <w:rPr>
                <w:rFonts w:hint="eastAsia"/>
              </w:rPr>
              <w:t xml:space="preserve"> 95,102,352.42 </w:t>
            </w:r>
          </w:p>
        </w:tc>
        <w:tc>
          <w:tcPr>
            <w:tcW w:w="1698" w:type="pct"/>
            <w:vAlign w:val="center"/>
          </w:tcPr>
          <w:p w:rsidR="00156DD6" w:rsidRDefault="00D51F5F">
            <w:pPr>
              <w:jc w:val="right"/>
            </w:pPr>
            <w:r>
              <w:t>114,850,233.49</w:t>
            </w:r>
          </w:p>
        </w:tc>
      </w:tr>
    </w:tbl>
    <w:p w:rsidR="00156DD6" w:rsidRDefault="00D51F5F">
      <w:pPr>
        <w:pStyle w:val="Style47"/>
        <w:numPr>
          <w:ilvl w:val="0"/>
          <w:numId w:val="71"/>
        </w:numPr>
        <w:rPr>
          <w:rFonts w:ascii="宋体" w:hAnsi="宋体"/>
          <w:color w:val="000000" w:themeColor="text1"/>
          <w:sz w:val="21"/>
          <w:szCs w:val="21"/>
        </w:rPr>
      </w:pPr>
      <w:bookmarkStart w:id="388" w:name="_Hlk167960548"/>
      <w:bookmarkEnd w:id="386"/>
      <w:r>
        <w:rPr>
          <w:rFonts w:ascii="宋体" w:hAnsi="宋体" w:hint="eastAsia"/>
          <w:color w:val="000000" w:themeColor="text1"/>
          <w:sz w:val="21"/>
          <w:szCs w:val="21"/>
        </w:rPr>
        <w:t>账龄超过</w:t>
      </w:r>
      <w:r>
        <w:rPr>
          <w:rFonts w:ascii="宋体" w:hAnsi="宋体" w:hint="eastAsia"/>
          <w:color w:val="000000" w:themeColor="text1"/>
          <w:sz w:val="21"/>
          <w:szCs w:val="21"/>
        </w:rPr>
        <w:t>1</w:t>
      </w:r>
      <w:r>
        <w:rPr>
          <w:rFonts w:ascii="宋体" w:hAnsi="宋体" w:hint="eastAsia"/>
          <w:color w:val="000000" w:themeColor="text1"/>
          <w:sz w:val="21"/>
          <w:szCs w:val="21"/>
        </w:rPr>
        <w:t>年的重要合同负债</w:t>
      </w:r>
    </w:p>
    <w:sdt>
      <w:sdtPr>
        <w:rPr>
          <w:color w:val="000000" w:themeColor="text1"/>
        </w:rPr>
        <w:alias w:val="是否适用：账龄超过1年的重要合同负债明细[双击切换]"/>
        <w:tag w:val="_GBC_aef24e08ea524c9a9a25ec0e93c6c574"/>
        <w:id w:val="-55616142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1"/>
        </w:numPr>
        <w:rPr>
          <w:rFonts w:ascii="宋体" w:hAnsi="宋体"/>
          <w:color w:val="000000" w:themeColor="text1"/>
          <w:sz w:val="21"/>
          <w:szCs w:val="21"/>
        </w:rPr>
      </w:pPr>
      <w:bookmarkStart w:id="389" w:name="_Hlk10535674"/>
      <w:bookmarkEnd w:id="388"/>
      <w:r>
        <w:rPr>
          <w:rFonts w:ascii="宋体" w:hAnsi="宋体" w:hint="eastAsia"/>
          <w:color w:val="000000" w:themeColor="text1"/>
          <w:sz w:val="21"/>
          <w:szCs w:val="21"/>
        </w:rPr>
        <w:t>报告期内账面价值发生重大变动的金额和原因</w:t>
      </w:r>
    </w:p>
    <w:sdt>
      <w:sdtPr>
        <w:rPr>
          <w:color w:val="000000" w:themeColor="text1"/>
        </w:rPr>
        <w:alias w:val="是否适用：合同负债账面价值发生重大变动[双击切换]"/>
        <w:tag w:val="_GBC_18d9cdd7095d4bda8f22860c58746248"/>
        <w:id w:val="112203357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390" w:name="_Hlk10535687"/>
      <w:bookmarkStart w:id="391" w:name="_Hlk10535696"/>
      <w:bookmarkEnd w:id="389"/>
      <w:r>
        <w:rPr>
          <w:rFonts w:hint="eastAsia"/>
          <w:color w:val="000000" w:themeColor="text1"/>
        </w:rPr>
        <w:t>其他说明：</w:t>
      </w:r>
      <w:bookmarkEnd w:id="390"/>
    </w:p>
    <w:sdt>
      <w:sdtPr>
        <w:rPr>
          <w:color w:val="000000" w:themeColor="text1"/>
        </w:rPr>
        <w:alias w:val="是否适用：合同负债其他说明[双击切换]"/>
        <w:tag w:val="_GBC_f73cf097b72042508657c656d4dc0c08"/>
        <w:id w:val="-36521349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91"/>
    <w:p w:rsidR="00156DD6" w:rsidRDefault="00D51F5F">
      <w:pPr>
        <w:pStyle w:val="TOC6"/>
        <w:numPr>
          <w:ilvl w:val="0"/>
          <w:numId w:val="53"/>
        </w:numPr>
        <w:rPr>
          <w:color w:val="000000" w:themeColor="text1"/>
          <w:sz w:val="21"/>
          <w:szCs w:val="22"/>
        </w:rPr>
      </w:pPr>
      <w:r>
        <w:rPr>
          <w:color w:val="000000" w:themeColor="text1"/>
          <w:sz w:val="21"/>
          <w:szCs w:val="22"/>
        </w:rPr>
        <w:t>应付职工薪酬</w:t>
      </w:r>
    </w:p>
    <w:p w:rsidR="00156DD6" w:rsidRDefault="00D51F5F">
      <w:pPr>
        <w:pStyle w:val="Style47"/>
        <w:numPr>
          <w:ilvl w:val="0"/>
          <w:numId w:val="72"/>
        </w:numPr>
        <w:rPr>
          <w:rFonts w:ascii="宋体" w:hAnsi="宋体"/>
          <w:color w:val="000000" w:themeColor="text1"/>
          <w:sz w:val="21"/>
          <w:szCs w:val="21"/>
        </w:rPr>
      </w:pPr>
      <w:r>
        <w:rPr>
          <w:rFonts w:ascii="宋体" w:hAnsi="宋体" w:hint="eastAsia"/>
          <w:color w:val="000000" w:themeColor="text1"/>
          <w:sz w:val="21"/>
          <w:szCs w:val="21"/>
        </w:rPr>
        <w:t>应付职工薪酬列示</w:t>
      </w:r>
    </w:p>
    <w:sdt>
      <w:sdtPr>
        <w:rPr>
          <w:color w:val="000000" w:themeColor="text1"/>
        </w:rPr>
        <w:alias w:val="是否适用：应付职工薪酬列示[双击切换]"/>
        <w:tag w:val="_GBC_88faccc480a843dca589c1af0d3fee37"/>
        <w:id w:val="-80137192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应付职工薪酬"/>
          <w:tag w:val="_GBC_5c4cdcd7cd924c4ca8e87f806bc459b0"/>
          <w:id w:val="-11761180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付职工薪酬"/>
          <w:tag w:val="_GBC_1b7f0fd0ca54470ca12f1037c092be9a"/>
          <w:id w:val="14468138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581"/>
        <w:gridCol w:w="1686"/>
        <w:gridCol w:w="1686"/>
        <w:gridCol w:w="1581"/>
      </w:tblGrid>
      <w:tr w:rsidR="00156DD6">
        <w:sdt>
          <w:sdtPr>
            <w:tag w:val="_PLD_481bea2acb8f49ac9b4cfc92cd4a426e"/>
            <w:id w:val="-700775673"/>
          </w:sdtPr>
          <w:sdtEndPr/>
          <w:sdtContent>
            <w:tc>
              <w:tcPr>
                <w:tcW w:w="0" w:type="auto"/>
                <w:vAlign w:val="center"/>
              </w:tcPr>
              <w:p w:rsidR="00156DD6" w:rsidRDefault="00D51F5F">
                <w:pPr>
                  <w:jc w:val="center"/>
                  <w:rPr>
                    <w:color w:val="000000" w:themeColor="text1"/>
                  </w:rPr>
                </w:pPr>
                <w:r>
                  <w:rPr>
                    <w:rFonts w:hint="eastAsia"/>
                    <w:color w:val="000000" w:themeColor="text1"/>
                  </w:rPr>
                  <w:t>项目</w:t>
                </w:r>
              </w:p>
            </w:tc>
          </w:sdtContent>
        </w:sdt>
        <w:sdt>
          <w:sdtPr>
            <w:tag w:val="_PLD_ff27c0f5bcb94d9b932762b91edf2ff1"/>
            <w:id w:val="1622417299"/>
          </w:sdtPr>
          <w:sdtEndPr/>
          <w:sdtContent>
            <w:tc>
              <w:tcPr>
                <w:tcW w:w="0" w:type="auto"/>
                <w:vAlign w:val="center"/>
              </w:tcPr>
              <w:p w:rsidR="00156DD6" w:rsidRDefault="00D51F5F">
                <w:pPr>
                  <w:jc w:val="center"/>
                  <w:rPr>
                    <w:color w:val="000000" w:themeColor="text1"/>
                  </w:rPr>
                </w:pPr>
                <w:r>
                  <w:rPr>
                    <w:rFonts w:hint="eastAsia"/>
                    <w:color w:val="000000" w:themeColor="text1"/>
                  </w:rPr>
                  <w:t>期初余额</w:t>
                </w:r>
              </w:p>
            </w:tc>
          </w:sdtContent>
        </w:sdt>
        <w:sdt>
          <w:sdtPr>
            <w:tag w:val="_PLD_7274636f27ae4e048ade60bfddaa8164"/>
            <w:id w:val="-1734528793"/>
          </w:sdtPr>
          <w:sdtEndPr/>
          <w:sdtContent>
            <w:tc>
              <w:tcPr>
                <w:tcW w:w="0" w:type="auto"/>
                <w:vAlign w:val="center"/>
              </w:tcPr>
              <w:p w:rsidR="00156DD6" w:rsidRDefault="00D51F5F">
                <w:pPr>
                  <w:jc w:val="center"/>
                  <w:rPr>
                    <w:color w:val="000000" w:themeColor="text1"/>
                  </w:rPr>
                </w:pPr>
                <w:r>
                  <w:rPr>
                    <w:rFonts w:hint="eastAsia"/>
                    <w:color w:val="000000" w:themeColor="text1"/>
                  </w:rPr>
                  <w:t>本期增加</w:t>
                </w:r>
              </w:p>
            </w:tc>
          </w:sdtContent>
        </w:sdt>
        <w:sdt>
          <w:sdtPr>
            <w:tag w:val="_PLD_07ae572963de436aa2308d649a28c23b"/>
            <w:id w:val="1668055329"/>
          </w:sdtPr>
          <w:sdtEndPr/>
          <w:sdtContent>
            <w:tc>
              <w:tcPr>
                <w:tcW w:w="0" w:type="auto"/>
                <w:vAlign w:val="center"/>
              </w:tcPr>
              <w:p w:rsidR="00156DD6" w:rsidRDefault="00D51F5F">
                <w:pPr>
                  <w:jc w:val="center"/>
                  <w:rPr>
                    <w:color w:val="000000" w:themeColor="text1"/>
                  </w:rPr>
                </w:pPr>
                <w:r>
                  <w:rPr>
                    <w:rFonts w:hint="eastAsia"/>
                    <w:color w:val="000000" w:themeColor="text1"/>
                  </w:rPr>
                  <w:t>本期减少</w:t>
                </w:r>
              </w:p>
            </w:tc>
          </w:sdtContent>
        </w:sdt>
        <w:sdt>
          <w:sdtPr>
            <w:tag w:val="_PLD_27069329d7654e34bc45ca7dee532204"/>
            <w:id w:val="757323860"/>
          </w:sdtPr>
          <w:sdtEndPr/>
          <w:sdtContent>
            <w:tc>
              <w:tcPr>
                <w:tcW w:w="0" w:type="auto"/>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0" w:type="auto"/>
          </w:tcPr>
          <w:p w:rsidR="00156DD6" w:rsidRDefault="00D51F5F">
            <w:pPr>
              <w:rPr>
                <w:color w:val="000000" w:themeColor="text1"/>
              </w:rPr>
            </w:pPr>
            <w:r>
              <w:rPr>
                <w:rFonts w:hint="eastAsia"/>
                <w:color w:val="000000" w:themeColor="text1"/>
              </w:rPr>
              <w:t>一、短期薪酬</w:t>
            </w:r>
          </w:p>
        </w:tc>
        <w:tc>
          <w:tcPr>
            <w:tcW w:w="0" w:type="auto"/>
            <w:vAlign w:val="center"/>
          </w:tcPr>
          <w:p w:rsidR="00156DD6" w:rsidRDefault="00D51F5F">
            <w:pPr>
              <w:jc w:val="right"/>
            </w:pPr>
            <w:r>
              <w:t xml:space="preserve">43,004,579.54 </w:t>
            </w:r>
          </w:p>
        </w:tc>
        <w:tc>
          <w:tcPr>
            <w:tcW w:w="0" w:type="auto"/>
            <w:vAlign w:val="center"/>
          </w:tcPr>
          <w:p w:rsidR="00156DD6" w:rsidRDefault="00D51F5F">
            <w:pPr>
              <w:jc w:val="right"/>
            </w:pPr>
            <w:r>
              <w:t xml:space="preserve">164,696,924.21 </w:t>
            </w:r>
          </w:p>
        </w:tc>
        <w:tc>
          <w:tcPr>
            <w:tcW w:w="0" w:type="auto"/>
            <w:vAlign w:val="center"/>
          </w:tcPr>
          <w:p w:rsidR="00156DD6" w:rsidRDefault="00D51F5F">
            <w:pPr>
              <w:jc w:val="right"/>
            </w:pPr>
            <w:r>
              <w:t xml:space="preserve">164,321,102.91 </w:t>
            </w:r>
          </w:p>
        </w:tc>
        <w:tc>
          <w:tcPr>
            <w:tcW w:w="0" w:type="auto"/>
            <w:vAlign w:val="center"/>
          </w:tcPr>
          <w:p w:rsidR="00156DD6" w:rsidRDefault="00D51F5F">
            <w:pPr>
              <w:jc w:val="right"/>
            </w:pPr>
            <w:r>
              <w:t xml:space="preserve">43,380,400.84 </w:t>
            </w:r>
          </w:p>
        </w:tc>
      </w:tr>
      <w:tr w:rsidR="00156DD6">
        <w:tc>
          <w:tcPr>
            <w:tcW w:w="0" w:type="auto"/>
          </w:tcPr>
          <w:p w:rsidR="00156DD6" w:rsidRDefault="00D51F5F">
            <w:pPr>
              <w:rPr>
                <w:color w:val="000000" w:themeColor="text1"/>
              </w:rPr>
            </w:pPr>
            <w:r>
              <w:rPr>
                <w:rFonts w:hint="eastAsia"/>
                <w:color w:val="000000" w:themeColor="text1"/>
              </w:rPr>
              <w:t>二、离职后福利</w:t>
            </w:r>
            <w:r>
              <w:rPr>
                <w:rFonts w:hint="eastAsia"/>
                <w:color w:val="000000" w:themeColor="text1"/>
              </w:rPr>
              <w:t>-</w:t>
            </w:r>
            <w:r>
              <w:rPr>
                <w:rFonts w:hint="eastAsia"/>
                <w:color w:val="000000" w:themeColor="text1"/>
              </w:rPr>
              <w:t>设定提存计划</w:t>
            </w:r>
          </w:p>
        </w:tc>
        <w:tc>
          <w:tcPr>
            <w:tcW w:w="0" w:type="auto"/>
            <w:vAlign w:val="center"/>
          </w:tcPr>
          <w:p w:rsidR="00156DD6" w:rsidRDefault="00156DD6">
            <w:pPr>
              <w:jc w:val="right"/>
            </w:pPr>
          </w:p>
        </w:tc>
        <w:tc>
          <w:tcPr>
            <w:tcW w:w="0" w:type="auto"/>
            <w:vAlign w:val="center"/>
          </w:tcPr>
          <w:p w:rsidR="00156DD6" w:rsidRDefault="00D51F5F">
            <w:pPr>
              <w:jc w:val="right"/>
            </w:pPr>
            <w:r>
              <w:t xml:space="preserve"> 12,743,918.51 </w:t>
            </w:r>
          </w:p>
        </w:tc>
        <w:tc>
          <w:tcPr>
            <w:tcW w:w="0" w:type="auto"/>
            <w:vAlign w:val="center"/>
          </w:tcPr>
          <w:p w:rsidR="00156DD6" w:rsidRDefault="00D51F5F">
            <w:pPr>
              <w:jc w:val="right"/>
            </w:pPr>
            <w:r>
              <w:t xml:space="preserve"> 12,743,918.51 </w:t>
            </w:r>
          </w:p>
        </w:tc>
        <w:tc>
          <w:tcPr>
            <w:tcW w:w="0" w:type="auto"/>
            <w:vAlign w:val="center"/>
          </w:tcPr>
          <w:p w:rsidR="00156DD6" w:rsidRDefault="00156DD6">
            <w:pPr>
              <w:jc w:val="right"/>
            </w:pPr>
          </w:p>
        </w:tc>
      </w:tr>
      <w:tr w:rsidR="00156DD6">
        <w:tc>
          <w:tcPr>
            <w:tcW w:w="0" w:type="auto"/>
          </w:tcPr>
          <w:p w:rsidR="00156DD6" w:rsidRDefault="00D51F5F">
            <w:pPr>
              <w:rPr>
                <w:color w:val="000000" w:themeColor="text1"/>
              </w:rPr>
            </w:pPr>
            <w:r>
              <w:rPr>
                <w:rFonts w:hint="eastAsia"/>
                <w:color w:val="000000" w:themeColor="text1"/>
              </w:rPr>
              <w:t>三、辞退福利</w:t>
            </w:r>
          </w:p>
        </w:tc>
        <w:tc>
          <w:tcPr>
            <w:tcW w:w="0" w:type="auto"/>
            <w:vAlign w:val="center"/>
          </w:tcPr>
          <w:p w:rsidR="00156DD6" w:rsidRDefault="00156DD6">
            <w:pPr>
              <w:jc w:val="right"/>
            </w:pPr>
          </w:p>
        </w:tc>
        <w:tc>
          <w:tcPr>
            <w:tcW w:w="0" w:type="auto"/>
            <w:vAlign w:val="center"/>
          </w:tcPr>
          <w:p w:rsidR="00156DD6" w:rsidRDefault="00D51F5F">
            <w:pPr>
              <w:jc w:val="right"/>
            </w:pPr>
            <w:r>
              <w:t xml:space="preserve"> 404,375.34 </w:t>
            </w:r>
          </w:p>
        </w:tc>
        <w:tc>
          <w:tcPr>
            <w:tcW w:w="0" w:type="auto"/>
            <w:vAlign w:val="center"/>
          </w:tcPr>
          <w:p w:rsidR="00156DD6" w:rsidRDefault="00D51F5F">
            <w:pPr>
              <w:jc w:val="right"/>
            </w:pPr>
            <w:r>
              <w:t xml:space="preserve"> 404,375.34 </w:t>
            </w:r>
          </w:p>
        </w:tc>
        <w:tc>
          <w:tcPr>
            <w:tcW w:w="0" w:type="auto"/>
            <w:vAlign w:val="center"/>
          </w:tcPr>
          <w:p w:rsidR="00156DD6" w:rsidRDefault="00156DD6">
            <w:pPr>
              <w:jc w:val="right"/>
            </w:pPr>
          </w:p>
        </w:tc>
      </w:tr>
      <w:tr w:rsidR="00156DD6">
        <w:tc>
          <w:tcPr>
            <w:tcW w:w="0" w:type="auto"/>
          </w:tcPr>
          <w:p w:rsidR="00156DD6" w:rsidRDefault="00D51F5F">
            <w:pPr>
              <w:rPr>
                <w:color w:val="000000" w:themeColor="text1"/>
              </w:rPr>
            </w:pPr>
            <w:r>
              <w:rPr>
                <w:rFonts w:hint="eastAsia"/>
                <w:color w:val="000000" w:themeColor="text1"/>
              </w:rPr>
              <w:t>四、一年内到期的其他福利</w:t>
            </w:r>
          </w:p>
        </w:tc>
        <w:tc>
          <w:tcPr>
            <w:tcW w:w="0" w:type="auto"/>
            <w:vAlign w:val="center"/>
          </w:tcPr>
          <w:p w:rsidR="00156DD6" w:rsidRDefault="00156DD6">
            <w:pPr>
              <w:jc w:val="right"/>
            </w:pPr>
          </w:p>
        </w:tc>
        <w:tc>
          <w:tcPr>
            <w:tcW w:w="0" w:type="auto"/>
            <w:vAlign w:val="center"/>
          </w:tcPr>
          <w:p w:rsidR="00156DD6" w:rsidRDefault="00156DD6">
            <w:pPr>
              <w:jc w:val="right"/>
            </w:pPr>
          </w:p>
        </w:tc>
        <w:tc>
          <w:tcPr>
            <w:tcW w:w="0" w:type="auto"/>
            <w:vAlign w:val="center"/>
          </w:tcPr>
          <w:p w:rsidR="00156DD6" w:rsidRDefault="00156DD6">
            <w:pPr>
              <w:jc w:val="right"/>
            </w:pPr>
          </w:p>
        </w:tc>
        <w:tc>
          <w:tcPr>
            <w:tcW w:w="0" w:type="auto"/>
            <w:vAlign w:val="center"/>
          </w:tcPr>
          <w:p w:rsidR="00156DD6" w:rsidRDefault="00156DD6">
            <w:pPr>
              <w:jc w:val="right"/>
            </w:pPr>
          </w:p>
        </w:tc>
      </w:tr>
      <w:tr w:rsidR="00156DD6">
        <w:tc>
          <w:tcPr>
            <w:tcW w:w="0" w:type="auto"/>
            <w:vAlign w:val="center"/>
          </w:tcPr>
          <w:p w:rsidR="00156DD6" w:rsidRDefault="00D51F5F">
            <w:pPr>
              <w:jc w:val="center"/>
              <w:rPr>
                <w:color w:val="000000" w:themeColor="text1"/>
              </w:rPr>
            </w:pPr>
            <w:r>
              <w:rPr>
                <w:rFonts w:hint="eastAsia"/>
                <w:color w:val="000000" w:themeColor="text1"/>
              </w:rPr>
              <w:t>合计</w:t>
            </w:r>
          </w:p>
        </w:tc>
        <w:tc>
          <w:tcPr>
            <w:tcW w:w="0" w:type="auto"/>
            <w:vAlign w:val="center"/>
          </w:tcPr>
          <w:p w:rsidR="00156DD6" w:rsidRDefault="00D51F5F">
            <w:pPr>
              <w:jc w:val="right"/>
            </w:pPr>
            <w:r>
              <w:t xml:space="preserve">43,004,579.54 </w:t>
            </w:r>
          </w:p>
        </w:tc>
        <w:tc>
          <w:tcPr>
            <w:tcW w:w="0" w:type="auto"/>
            <w:vAlign w:val="center"/>
          </w:tcPr>
          <w:p w:rsidR="00156DD6" w:rsidRDefault="00D51F5F">
            <w:pPr>
              <w:jc w:val="right"/>
            </w:pPr>
            <w:r>
              <w:t xml:space="preserve">177,845,218.06 </w:t>
            </w:r>
          </w:p>
        </w:tc>
        <w:tc>
          <w:tcPr>
            <w:tcW w:w="0" w:type="auto"/>
            <w:vAlign w:val="center"/>
          </w:tcPr>
          <w:p w:rsidR="00156DD6" w:rsidRDefault="00D51F5F">
            <w:pPr>
              <w:jc w:val="right"/>
            </w:pPr>
            <w:r>
              <w:t xml:space="preserve">177,469,396.76 </w:t>
            </w:r>
          </w:p>
        </w:tc>
        <w:tc>
          <w:tcPr>
            <w:tcW w:w="0" w:type="auto"/>
            <w:vAlign w:val="center"/>
          </w:tcPr>
          <w:p w:rsidR="00156DD6" w:rsidRDefault="00D51F5F">
            <w:pPr>
              <w:jc w:val="right"/>
            </w:pPr>
            <w:r>
              <w:t xml:space="preserve">43,380,400.84 </w:t>
            </w:r>
          </w:p>
        </w:tc>
      </w:tr>
    </w:tbl>
    <w:p w:rsidR="00156DD6" w:rsidRDefault="00D51F5F">
      <w:pPr>
        <w:pStyle w:val="Style47"/>
        <w:numPr>
          <w:ilvl w:val="0"/>
          <w:numId w:val="72"/>
        </w:numPr>
        <w:rPr>
          <w:rFonts w:ascii="宋体" w:hAnsi="宋体"/>
          <w:color w:val="000000" w:themeColor="text1"/>
          <w:sz w:val="21"/>
          <w:szCs w:val="21"/>
        </w:rPr>
      </w:pPr>
      <w:bookmarkStart w:id="392" w:name="OLE_LINK11"/>
      <w:r>
        <w:rPr>
          <w:rFonts w:ascii="宋体" w:hAnsi="宋体" w:hint="eastAsia"/>
          <w:color w:val="000000" w:themeColor="text1"/>
          <w:sz w:val="21"/>
          <w:szCs w:val="21"/>
        </w:rPr>
        <w:t>短期薪酬列示</w:t>
      </w:r>
    </w:p>
    <w:bookmarkEnd w:id="392" w:displacedByCustomXml="next"/>
    <w:sdt>
      <w:sdtPr>
        <w:rPr>
          <w:color w:val="000000" w:themeColor="text1"/>
        </w:rPr>
        <w:alias w:val="是否适用：短期薪酬列示[双击切换]"/>
        <w:tag w:val="_GBC_fe9cc4ffdf524f4695448b31c76167ce"/>
        <w:id w:val="185831067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短期薪酬"/>
          <w:tag w:val="_GBC_f5a2a934147944d68f11ca2bcce4d80f"/>
          <w:id w:val="-20375817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短期薪酬"/>
          <w:tag w:val="_GBC_ded097d86a7d48b8a8b1d9689a73bd5d"/>
          <w:id w:val="19252980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581"/>
        <w:gridCol w:w="1686"/>
        <w:gridCol w:w="1686"/>
        <w:gridCol w:w="1581"/>
      </w:tblGrid>
      <w:tr w:rsidR="00156DD6">
        <w:sdt>
          <w:sdtPr>
            <w:tag w:val="_PLD_7b5378bc64e24511ae79d643c80f9c98"/>
            <w:id w:val="-918489304"/>
          </w:sdtPr>
          <w:sdtEndPr/>
          <w:sdtContent>
            <w:tc>
              <w:tcPr>
                <w:tcW w:w="1444"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项目</w:t>
                </w:r>
              </w:p>
            </w:tc>
          </w:sdtContent>
        </w:sdt>
        <w:sdt>
          <w:sdtPr>
            <w:tag w:val="_PLD_0144fa4bad154236aa75e1dcc0a89e56"/>
            <w:id w:val="456460066"/>
          </w:sdtPr>
          <w:sdtEndPr/>
          <w:sdtContent>
            <w:tc>
              <w:tcPr>
                <w:tcW w:w="891"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期初余额</w:t>
                </w:r>
              </w:p>
            </w:tc>
          </w:sdtContent>
        </w:sdt>
        <w:sdt>
          <w:sdtPr>
            <w:tag w:val="_PLD_2d15a4a9e10b4386a7ed67bc2137e04a"/>
            <w:id w:val="-168555382"/>
          </w:sdtPr>
          <w:sdtEndPr/>
          <w:sdtContent>
            <w:tc>
              <w:tcPr>
                <w:tcW w:w="881"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本期增加</w:t>
                </w:r>
              </w:p>
            </w:tc>
          </w:sdtContent>
        </w:sdt>
        <w:sdt>
          <w:sdtPr>
            <w:tag w:val="_PLD_12a2bbefe0874cde83fdb77f4a4158a1"/>
            <w:id w:val="1411498795"/>
          </w:sdtPr>
          <w:sdtEndPr/>
          <w:sdtContent>
            <w:tc>
              <w:tcPr>
                <w:tcW w:w="889"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本期减少</w:t>
                </w:r>
              </w:p>
            </w:tc>
          </w:sdtContent>
        </w:sdt>
        <w:sdt>
          <w:sdtPr>
            <w:tag w:val="_PLD_190d6bcbbde148ffb48f230c6d9d7186"/>
            <w:id w:val="-1400983524"/>
          </w:sdtPr>
          <w:sdtEndPr/>
          <w:sdtContent>
            <w:tc>
              <w:tcPr>
                <w:tcW w:w="895"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期末余额</w:t>
                </w:r>
              </w:p>
            </w:tc>
          </w:sdtContent>
        </w:sdt>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一、工资、奖金、津贴和补贴</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42,175,278.96 </w:t>
            </w: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140,117,854.75 </w:t>
            </w: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140,394,681.60 </w:t>
            </w: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41,898,452.11 </w:t>
            </w:r>
          </w:p>
        </w:tc>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二、职工福利费</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7,686,226.97 </w:t>
            </w: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7,686,226.97 </w:t>
            </w: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三、社会保险费</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8,523,338.48 </w:t>
            </w: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8,523,338.48 </w:t>
            </w: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其中：</w:t>
            </w:r>
            <w:r>
              <w:rPr>
                <w:color w:val="000000" w:themeColor="text1"/>
              </w:rPr>
              <w:t>医疗保险费</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7,281,877.75 </w:t>
            </w: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7,281,877.75 </w:t>
            </w: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ind w:firstLineChars="300" w:firstLine="630"/>
              <w:rPr>
                <w:color w:val="000000" w:themeColor="text1"/>
              </w:rPr>
            </w:pPr>
            <w:r>
              <w:rPr>
                <w:rFonts w:hint="eastAsia"/>
                <w:color w:val="000000" w:themeColor="text1"/>
              </w:rPr>
              <w:t>工伤保险费</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1,241,460.73 </w:t>
            </w: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1,241,460.73 </w:t>
            </w: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ind w:firstLineChars="300" w:firstLine="630"/>
              <w:rPr>
                <w:color w:val="000000" w:themeColor="text1"/>
              </w:rPr>
            </w:pPr>
            <w:r>
              <w:rPr>
                <w:rFonts w:hint="eastAsia"/>
                <w:color w:val="000000" w:themeColor="text1"/>
              </w:rPr>
              <w:t>生育保险费</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四、住房公积金</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167,384.13 </w:t>
            </w: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4,998,855.00 </w:t>
            </w: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4,996,458.00 </w:t>
            </w: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169,781.13 </w:t>
            </w:r>
          </w:p>
        </w:tc>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五、工会经费和职工教育经费</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661,916.45 </w:t>
            </w: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3,370,649.01 </w:t>
            </w: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2,720,397.86 </w:t>
            </w: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1,312,167.60 </w:t>
            </w:r>
          </w:p>
        </w:tc>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六、短期带薪缺勤</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r>
      <w:tr w:rsidR="00156DD6">
        <w:tc>
          <w:tcPr>
            <w:tcW w:w="1444"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七、短期利润分享计划</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r>
      <w:tr w:rsidR="00156DD6">
        <w:tc>
          <w:tcPr>
            <w:tcW w:w="1444"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合计</w:t>
            </w:r>
          </w:p>
        </w:tc>
        <w:tc>
          <w:tcPr>
            <w:tcW w:w="89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43,004,579.54 </w:t>
            </w:r>
          </w:p>
        </w:tc>
        <w:tc>
          <w:tcPr>
            <w:tcW w:w="88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164,696,924.21 </w:t>
            </w:r>
          </w:p>
        </w:tc>
        <w:tc>
          <w:tcPr>
            <w:tcW w:w="88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164,321,102.91 </w:t>
            </w:r>
          </w:p>
        </w:tc>
        <w:tc>
          <w:tcPr>
            <w:tcW w:w="89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43,380,400.84 </w:t>
            </w:r>
          </w:p>
        </w:tc>
      </w:tr>
    </w:tbl>
    <w:p w:rsidR="00156DD6" w:rsidRDefault="00D51F5F">
      <w:pPr>
        <w:pStyle w:val="Style47"/>
        <w:numPr>
          <w:ilvl w:val="0"/>
          <w:numId w:val="72"/>
        </w:numPr>
        <w:rPr>
          <w:rFonts w:ascii="宋体" w:hAnsi="宋体"/>
          <w:color w:val="000000" w:themeColor="text1"/>
          <w:sz w:val="21"/>
          <w:szCs w:val="32"/>
        </w:rPr>
      </w:pPr>
      <w:r>
        <w:rPr>
          <w:rFonts w:ascii="宋体" w:hAnsi="宋体" w:hint="eastAsia"/>
          <w:color w:val="000000" w:themeColor="text1"/>
          <w:sz w:val="21"/>
          <w:szCs w:val="32"/>
        </w:rPr>
        <w:t>设定提存计划列示</w:t>
      </w:r>
    </w:p>
    <w:sdt>
      <w:sdtPr>
        <w:rPr>
          <w:color w:val="000000" w:themeColor="text1"/>
        </w:rPr>
        <w:alias w:val="是否适用：设定提存计划列示[双击切换]"/>
        <w:tag w:val="_GBC_107b7eec6d75473e8809e93d01e00021"/>
        <w:id w:val="-186912806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设定提存计划列示"/>
          <w:tag w:val="_GBC_744d8f829e6040c78616ef1951ef7e59"/>
          <w:id w:val="13937733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设定提存计划列示"/>
          <w:tag w:val="_GBC_433e4a4ae9d648a2973673cbec959f23"/>
          <w:id w:val="13075041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1281"/>
        <w:gridCol w:w="2045"/>
        <w:gridCol w:w="2045"/>
        <w:gridCol w:w="1279"/>
      </w:tblGrid>
      <w:tr w:rsidR="00156DD6">
        <w:sdt>
          <w:sdtPr>
            <w:tag w:val="_PLD_f8a9011ca6bd4cc895a50279da6547e9"/>
            <w:id w:val="-159853622"/>
          </w:sdtPr>
          <w:sdtEndPr/>
          <w:sdtContent>
            <w:tc>
              <w:tcPr>
                <w:tcW w:w="1231" w:type="pct"/>
                <w:vAlign w:val="center"/>
              </w:tcPr>
              <w:p w:rsidR="00156DD6" w:rsidRDefault="00D51F5F">
                <w:pPr>
                  <w:jc w:val="center"/>
                  <w:rPr>
                    <w:color w:val="000000" w:themeColor="text1"/>
                  </w:rPr>
                </w:pPr>
                <w:r>
                  <w:rPr>
                    <w:rFonts w:hint="eastAsia"/>
                    <w:color w:val="000000" w:themeColor="text1"/>
                  </w:rPr>
                  <w:t>项目</w:t>
                </w:r>
              </w:p>
            </w:tc>
          </w:sdtContent>
        </w:sdt>
        <w:sdt>
          <w:sdtPr>
            <w:tag w:val="_PLD_db9ecea0e08e4c1bb5fe2474183a8480"/>
            <w:id w:val="1319300455"/>
          </w:sdtPr>
          <w:sdtEndPr/>
          <w:sdtContent>
            <w:tc>
              <w:tcPr>
                <w:tcW w:w="726" w:type="pct"/>
                <w:vAlign w:val="center"/>
              </w:tcPr>
              <w:p w:rsidR="00156DD6" w:rsidRDefault="00D51F5F">
                <w:pPr>
                  <w:jc w:val="center"/>
                  <w:rPr>
                    <w:color w:val="000000" w:themeColor="text1"/>
                  </w:rPr>
                </w:pPr>
                <w:r>
                  <w:rPr>
                    <w:rFonts w:hint="eastAsia"/>
                    <w:color w:val="000000" w:themeColor="text1"/>
                  </w:rPr>
                  <w:t>期初余额</w:t>
                </w:r>
              </w:p>
            </w:tc>
          </w:sdtContent>
        </w:sdt>
        <w:sdt>
          <w:sdtPr>
            <w:tag w:val="_PLD_11b6b53867b44c92b19ef791cad0c8c4"/>
            <w:id w:val="83421925"/>
          </w:sdtPr>
          <w:sdtEndPr/>
          <w:sdtContent>
            <w:tc>
              <w:tcPr>
                <w:tcW w:w="1159" w:type="pct"/>
                <w:vAlign w:val="center"/>
              </w:tcPr>
              <w:p w:rsidR="00156DD6" w:rsidRDefault="00D51F5F">
                <w:pPr>
                  <w:jc w:val="center"/>
                  <w:rPr>
                    <w:color w:val="000000" w:themeColor="text1"/>
                  </w:rPr>
                </w:pPr>
                <w:r>
                  <w:rPr>
                    <w:rFonts w:hint="eastAsia"/>
                    <w:color w:val="000000" w:themeColor="text1"/>
                  </w:rPr>
                  <w:t>本期增加</w:t>
                </w:r>
              </w:p>
            </w:tc>
          </w:sdtContent>
        </w:sdt>
        <w:sdt>
          <w:sdtPr>
            <w:tag w:val="_PLD_c2cbd009dd4248ceb9040da5fc326084"/>
            <w:id w:val="-1103871016"/>
          </w:sdtPr>
          <w:sdtEndPr/>
          <w:sdtContent>
            <w:tc>
              <w:tcPr>
                <w:tcW w:w="1159" w:type="pct"/>
                <w:vAlign w:val="center"/>
              </w:tcPr>
              <w:p w:rsidR="00156DD6" w:rsidRDefault="00D51F5F">
                <w:pPr>
                  <w:jc w:val="center"/>
                  <w:rPr>
                    <w:color w:val="000000" w:themeColor="text1"/>
                  </w:rPr>
                </w:pPr>
                <w:r>
                  <w:rPr>
                    <w:rFonts w:hint="eastAsia"/>
                    <w:color w:val="000000" w:themeColor="text1"/>
                  </w:rPr>
                  <w:t>本期减少</w:t>
                </w:r>
              </w:p>
            </w:tc>
          </w:sdtContent>
        </w:sdt>
        <w:sdt>
          <w:sdtPr>
            <w:tag w:val="_PLD_0ded00fbf217420ebfe8ace86c12086d"/>
            <w:id w:val="179634741"/>
          </w:sdtPr>
          <w:sdtEndPr/>
          <w:sdtContent>
            <w:tc>
              <w:tcPr>
                <w:tcW w:w="726" w:type="pct"/>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1231" w:type="pct"/>
          </w:tcPr>
          <w:p w:rsidR="00156DD6" w:rsidRDefault="00D51F5F">
            <w:pPr>
              <w:rPr>
                <w:color w:val="000000" w:themeColor="text1"/>
              </w:rPr>
            </w:pPr>
            <w:r>
              <w:rPr>
                <w:rFonts w:hint="eastAsia"/>
                <w:color w:val="000000" w:themeColor="text1"/>
              </w:rPr>
              <w:lastRenderedPageBreak/>
              <w:t>1</w:t>
            </w:r>
            <w:r>
              <w:rPr>
                <w:rFonts w:hint="eastAsia"/>
                <w:color w:val="000000" w:themeColor="text1"/>
              </w:rPr>
              <w:t>、基本养老保险</w:t>
            </w:r>
          </w:p>
        </w:tc>
        <w:tc>
          <w:tcPr>
            <w:tcW w:w="726" w:type="pct"/>
          </w:tcPr>
          <w:p w:rsidR="00156DD6" w:rsidRDefault="00156DD6">
            <w:pPr>
              <w:jc w:val="right"/>
            </w:pPr>
          </w:p>
        </w:tc>
        <w:tc>
          <w:tcPr>
            <w:tcW w:w="1159" w:type="pct"/>
            <w:vAlign w:val="center"/>
          </w:tcPr>
          <w:p w:rsidR="00156DD6" w:rsidRDefault="00D51F5F">
            <w:pPr>
              <w:jc w:val="right"/>
            </w:pPr>
            <w:r>
              <w:t xml:space="preserve"> 12,331,676.29 </w:t>
            </w:r>
          </w:p>
        </w:tc>
        <w:tc>
          <w:tcPr>
            <w:tcW w:w="1159" w:type="pct"/>
            <w:vAlign w:val="center"/>
          </w:tcPr>
          <w:p w:rsidR="00156DD6" w:rsidRDefault="00D51F5F">
            <w:pPr>
              <w:jc w:val="right"/>
            </w:pPr>
            <w:r>
              <w:t xml:space="preserve"> 12,331,676.29 </w:t>
            </w:r>
          </w:p>
        </w:tc>
        <w:tc>
          <w:tcPr>
            <w:tcW w:w="726" w:type="pct"/>
          </w:tcPr>
          <w:p w:rsidR="00156DD6" w:rsidRDefault="00156DD6">
            <w:pPr>
              <w:jc w:val="right"/>
            </w:pPr>
          </w:p>
        </w:tc>
      </w:tr>
      <w:tr w:rsidR="00156DD6">
        <w:tc>
          <w:tcPr>
            <w:tcW w:w="1231" w:type="pct"/>
          </w:tcPr>
          <w:p w:rsidR="00156DD6" w:rsidRDefault="00D51F5F">
            <w:pPr>
              <w:rPr>
                <w:color w:val="000000" w:themeColor="text1"/>
              </w:rPr>
            </w:pPr>
            <w:r>
              <w:rPr>
                <w:rFonts w:hint="eastAsia"/>
                <w:color w:val="000000" w:themeColor="text1"/>
              </w:rPr>
              <w:t>2</w:t>
            </w:r>
            <w:r>
              <w:rPr>
                <w:rFonts w:hint="eastAsia"/>
                <w:color w:val="000000" w:themeColor="text1"/>
              </w:rPr>
              <w:t>、失业保险费</w:t>
            </w:r>
          </w:p>
        </w:tc>
        <w:tc>
          <w:tcPr>
            <w:tcW w:w="726" w:type="pct"/>
          </w:tcPr>
          <w:p w:rsidR="00156DD6" w:rsidRDefault="00156DD6">
            <w:pPr>
              <w:jc w:val="right"/>
            </w:pPr>
          </w:p>
        </w:tc>
        <w:tc>
          <w:tcPr>
            <w:tcW w:w="1159" w:type="pct"/>
            <w:vAlign w:val="center"/>
          </w:tcPr>
          <w:p w:rsidR="00156DD6" w:rsidRDefault="00D51F5F">
            <w:pPr>
              <w:jc w:val="right"/>
            </w:pPr>
            <w:r>
              <w:t xml:space="preserve"> 412,242.22 </w:t>
            </w:r>
          </w:p>
        </w:tc>
        <w:tc>
          <w:tcPr>
            <w:tcW w:w="1159" w:type="pct"/>
            <w:vAlign w:val="center"/>
          </w:tcPr>
          <w:p w:rsidR="00156DD6" w:rsidRDefault="00D51F5F">
            <w:pPr>
              <w:jc w:val="right"/>
            </w:pPr>
            <w:r>
              <w:t xml:space="preserve"> 412,242.22 </w:t>
            </w:r>
          </w:p>
        </w:tc>
        <w:tc>
          <w:tcPr>
            <w:tcW w:w="726" w:type="pct"/>
          </w:tcPr>
          <w:p w:rsidR="00156DD6" w:rsidRDefault="00156DD6">
            <w:pPr>
              <w:jc w:val="right"/>
            </w:pPr>
          </w:p>
        </w:tc>
      </w:tr>
      <w:tr w:rsidR="00156DD6">
        <w:tc>
          <w:tcPr>
            <w:tcW w:w="1231" w:type="pct"/>
          </w:tcPr>
          <w:p w:rsidR="00156DD6" w:rsidRDefault="00D51F5F">
            <w:pPr>
              <w:rPr>
                <w:color w:val="000000" w:themeColor="text1"/>
              </w:rPr>
            </w:pPr>
            <w:r>
              <w:rPr>
                <w:rFonts w:hint="eastAsia"/>
                <w:color w:val="000000" w:themeColor="text1"/>
              </w:rPr>
              <w:t>3</w:t>
            </w:r>
            <w:r>
              <w:rPr>
                <w:rFonts w:hint="eastAsia"/>
                <w:color w:val="000000" w:themeColor="text1"/>
              </w:rPr>
              <w:t>、企业年金缴费</w:t>
            </w:r>
          </w:p>
        </w:tc>
        <w:tc>
          <w:tcPr>
            <w:tcW w:w="726" w:type="pct"/>
          </w:tcPr>
          <w:p w:rsidR="00156DD6" w:rsidRDefault="00156DD6">
            <w:pPr>
              <w:jc w:val="right"/>
            </w:pPr>
          </w:p>
        </w:tc>
        <w:tc>
          <w:tcPr>
            <w:tcW w:w="1159" w:type="pct"/>
            <w:vAlign w:val="center"/>
          </w:tcPr>
          <w:p w:rsidR="00156DD6" w:rsidRDefault="00156DD6">
            <w:pPr>
              <w:jc w:val="right"/>
            </w:pPr>
          </w:p>
        </w:tc>
        <w:tc>
          <w:tcPr>
            <w:tcW w:w="1159" w:type="pct"/>
            <w:vAlign w:val="center"/>
          </w:tcPr>
          <w:p w:rsidR="00156DD6" w:rsidRDefault="00156DD6">
            <w:pPr>
              <w:jc w:val="right"/>
            </w:pPr>
          </w:p>
        </w:tc>
        <w:tc>
          <w:tcPr>
            <w:tcW w:w="726" w:type="pct"/>
          </w:tcPr>
          <w:p w:rsidR="00156DD6" w:rsidRDefault="00156DD6">
            <w:pPr>
              <w:jc w:val="right"/>
            </w:pPr>
          </w:p>
        </w:tc>
      </w:tr>
      <w:tr w:rsidR="00156DD6">
        <w:tc>
          <w:tcPr>
            <w:tcW w:w="1231" w:type="pct"/>
            <w:vAlign w:val="center"/>
          </w:tcPr>
          <w:p w:rsidR="00156DD6" w:rsidRDefault="00D51F5F">
            <w:pPr>
              <w:jc w:val="center"/>
              <w:rPr>
                <w:color w:val="000000" w:themeColor="text1"/>
              </w:rPr>
            </w:pPr>
            <w:r>
              <w:rPr>
                <w:rFonts w:hint="eastAsia"/>
                <w:color w:val="000000" w:themeColor="text1"/>
              </w:rPr>
              <w:t>合计</w:t>
            </w:r>
          </w:p>
        </w:tc>
        <w:tc>
          <w:tcPr>
            <w:tcW w:w="726" w:type="pct"/>
          </w:tcPr>
          <w:p w:rsidR="00156DD6" w:rsidRDefault="00156DD6">
            <w:pPr>
              <w:jc w:val="right"/>
            </w:pPr>
          </w:p>
        </w:tc>
        <w:tc>
          <w:tcPr>
            <w:tcW w:w="1159" w:type="pct"/>
            <w:vAlign w:val="center"/>
          </w:tcPr>
          <w:p w:rsidR="00156DD6" w:rsidRDefault="00D51F5F">
            <w:pPr>
              <w:jc w:val="right"/>
            </w:pPr>
            <w:r>
              <w:t xml:space="preserve"> 12,743,918.51 </w:t>
            </w:r>
          </w:p>
        </w:tc>
        <w:tc>
          <w:tcPr>
            <w:tcW w:w="1159" w:type="pct"/>
            <w:vAlign w:val="center"/>
          </w:tcPr>
          <w:p w:rsidR="00156DD6" w:rsidRDefault="00D51F5F">
            <w:pPr>
              <w:jc w:val="right"/>
            </w:pPr>
            <w:r>
              <w:t xml:space="preserve"> 12,743,918.51 </w:t>
            </w:r>
          </w:p>
        </w:tc>
        <w:tc>
          <w:tcPr>
            <w:tcW w:w="726" w:type="pct"/>
          </w:tcPr>
          <w:p w:rsidR="00156DD6" w:rsidRDefault="00156DD6">
            <w:pPr>
              <w:jc w:val="right"/>
            </w:pPr>
          </w:p>
        </w:tc>
      </w:tr>
    </w:tbl>
    <w:p w:rsidR="00156DD6" w:rsidRDefault="00D51F5F">
      <w:pPr>
        <w:autoSpaceDE w:val="0"/>
        <w:autoSpaceDN w:val="0"/>
        <w:adjustRightInd w:val="0"/>
        <w:rPr>
          <w:color w:val="000000" w:themeColor="text1"/>
        </w:rPr>
      </w:pPr>
      <w:r>
        <w:rPr>
          <w:rFonts w:hint="eastAsia"/>
          <w:color w:val="000000" w:themeColor="text1"/>
        </w:rPr>
        <w:t>其他说明：</w:t>
      </w:r>
    </w:p>
    <w:sdt>
      <w:sdtPr>
        <w:rPr>
          <w:color w:val="000000" w:themeColor="text1"/>
        </w:rPr>
        <w:alias w:val="是否适用：应付职工薪酬的说明[双击切换]"/>
        <w:tag w:val="_GBC_f41ecc08d4994ba99707111806caa376"/>
        <w:id w:val="-448935152"/>
        <w:placeholder>
          <w:docPart w:val="GBC22222222222222222222222222222"/>
        </w:placeholder>
      </w:sdtPr>
      <w:sdtEndPr/>
      <w:sdtContent>
        <w:p w:rsidR="00156DD6" w:rsidRDefault="00D51F5F">
          <w:pPr>
            <w:autoSpaceDE w:val="0"/>
            <w:autoSpaceDN w:val="0"/>
            <w:adjustRightInd w:val="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应交税费</w:t>
      </w:r>
    </w:p>
    <w:sdt>
      <w:sdtPr>
        <w:rPr>
          <w:color w:val="000000" w:themeColor="text1"/>
        </w:rPr>
        <w:alias w:val="是否适用：应交税费[双击切换]"/>
        <w:tag w:val="_GBC_e7e2664720b9408384c5d3cd6d97c132"/>
        <w:id w:val="-182634583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应交税费"/>
          <w:tag w:val="_GBC_a6162c9f021640929018406be611b834"/>
          <w:id w:val="15064110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交税费"/>
          <w:tag w:val="_GBC_d787fa1c70604797889c69c4c364e711"/>
          <w:id w:val="-20345574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956"/>
        <w:gridCol w:w="2931"/>
        <w:gridCol w:w="2936"/>
      </w:tblGrid>
      <w:tr w:rsidR="00156DD6">
        <w:trPr>
          <w:cantSplit/>
        </w:trPr>
        <w:sdt>
          <w:sdtPr>
            <w:tag w:val="_PLD_ab0019be2d10489d885d15626d85168f"/>
            <w:id w:val="-942919360"/>
          </w:sdtPr>
          <w:sdtEndPr/>
          <w:sdtContent>
            <w:tc>
              <w:tcPr>
                <w:tcW w:w="1675" w:type="pct"/>
                <w:vAlign w:val="center"/>
              </w:tcPr>
              <w:p w:rsidR="00156DD6" w:rsidRDefault="00D51F5F">
                <w:pPr>
                  <w:ind w:right="105"/>
                  <w:jc w:val="center"/>
                  <w:rPr>
                    <w:color w:val="000000" w:themeColor="text1"/>
                  </w:rPr>
                </w:pPr>
                <w:r>
                  <w:rPr>
                    <w:rFonts w:hint="eastAsia"/>
                    <w:color w:val="000000" w:themeColor="text1"/>
                  </w:rPr>
                  <w:t>项目</w:t>
                </w:r>
              </w:p>
            </w:tc>
          </w:sdtContent>
        </w:sdt>
        <w:sdt>
          <w:sdtPr>
            <w:tag w:val="_PLD_4d086e8f4e004ee3aa116a5d10a7ecbd"/>
            <w:id w:val="-1201167689"/>
          </w:sdtPr>
          <w:sdtEndPr/>
          <w:sdtContent>
            <w:tc>
              <w:tcPr>
                <w:tcW w:w="1661"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8b866f731e474c6ebfb67cd903ab95c8"/>
            <w:id w:val="-1741317372"/>
          </w:sdtPr>
          <w:sdtEndPr/>
          <w:sdtContent>
            <w:tc>
              <w:tcPr>
                <w:tcW w:w="1664"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1675" w:type="pct"/>
          </w:tcPr>
          <w:p w:rsidR="00156DD6" w:rsidRDefault="00D51F5F">
            <w:pPr>
              <w:ind w:right="105"/>
            </w:pPr>
            <w:r>
              <w:t>代扣代缴个人所得税（注）</w:t>
            </w:r>
          </w:p>
        </w:tc>
        <w:tc>
          <w:tcPr>
            <w:tcW w:w="1661" w:type="pct"/>
          </w:tcPr>
          <w:p w:rsidR="00156DD6" w:rsidRDefault="00D51F5F">
            <w:pPr>
              <w:ind w:right="73"/>
              <w:jc w:val="right"/>
            </w:pPr>
            <w:r>
              <w:t>14,977,705.81</w:t>
            </w:r>
          </w:p>
        </w:tc>
        <w:tc>
          <w:tcPr>
            <w:tcW w:w="1664" w:type="pct"/>
          </w:tcPr>
          <w:p w:rsidR="00156DD6" w:rsidRDefault="00D51F5F">
            <w:pPr>
              <w:jc w:val="right"/>
            </w:pPr>
            <w:r>
              <w:t>506,126.03</w:t>
            </w:r>
          </w:p>
        </w:tc>
      </w:tr>
      <w:tr w:rsidR="00156DD6">
        <w:trPr>
          <w:cantSplit/>
        </w:trPr>
        <w:tc>
          <w:tcPr>
            <w:tcW w:w="1675" w:type="pct"/>
          </w:tcPr>
          <w:p w:rsidR="00156DD6" w:rsidRDefault="00D51F5F">
            <w:pPr>
              <w:ind w:right="105"/>
            </w:pPr>
            <w:r>
              <w:t>增值税</w:t>
            </w:r>
          </w:p>
        </w:tc>
        <w:tc>
          <w:tcPr>
            <w:tcW w:w="1661" w:type="pct"/>
          </w:tcPr>
          <w:p w:rsidR="00156DD6" w:rsidRDefault="00D51F5F">
            <w:pPr>
              <w:ind w:right="73"/>
              <w:jc w:val="right"/>
            </w:pPr>
            <w:r>
              <w:t>13,695,353.14</w:t>
            </w:r>
          </w:p>
        </w:tc>
        <w:tc>
          <w:tcPr>
            <w:tcW w:w="1664" w:type="pct"/>
          </w:tcPr>
          <w:p w:rsidR="00156DD6" w:rsidRDefault="00D51F5F">
            <w:pPr>
              <w:jc w:val="right"/>
            </w:pPr>
            <w:r>
              <w:t>9,415,041.88</w:t>
            </w:r>
          </w:p>
        </w:tc>
      </w:tr>
      <w:tr w:rsidR="00156DD6">
        <w:trPr>
          <w:cantSplit/>
        </w:trPr>
        <w:tc>
          <w:tcPr>
            <w:tcW w:w="1675" w:type="pct"/>
          </w:tcPr>
          <w:p w:rsidR="00156DD6" w:rsidRDefault="00D51F5F">
            <w:pPr>
              <w:ind w:right="105"/>
            </w:pPr>
            <w:r>
              <w:t>企业所得税</w:t>
            </w:r>
          </w:p>
        </w:tc>
        <w:tc>
          <w:tcPr>
            <w:tcW w:w="1661" w:type="pct"/>
          </w:tcPr>
          <w:p w:rsidR="00156DD6" w:rsidRDefault="00D51F5F">
            <w:pPr>
              <w:ind w:right="73"/>
              <w:jc w:val="right"/>
            </w:pPr>
            <w:r>
              <w:t>10,030,932.58</w:t>
            </w:r>
          </w:p>
        </w:tc>
        <w:tc>
          <w:tcPr>
            <w:tcW w:w="1664" w:type="pct"/>
          </w:tcPr>
          <w:p w:rsidR="00156DD6" w:rsidRDefault="00D51F5F">
            <w:pPr>
              <w:jc w:val="right"/>
            </w:pPr>
            <w:r>
              <w:t>12,385,859.00</w:t>
            </w:r>
          </w:p>
        </w:tc>
      </w:tr>
      <w:tr w:rsidR="00156DD6">
        <w:trPr>
          <w:cantSplit/>
        </w:trPr>
        <w:tc>
          <w:tcPr>
            <w:tcW w:w="1675" w:type="pct"/>
          </w:tcPr>
          <w:p w:rsidR="00156DD6" w:rsidRDefault="00D51F5F">
            <w:pPr>
              <w:ind w:right="105"/>
            </w:pPr>
            <w:r>
              <w:rPr>
                <w:rFonts w:hint="eastAsia"/>
              </w:rPr>
              <w:t>房产税</w:t>
            </w:r>
          </w:p>
        </w:tc>
        <w:tc>
          <w:tcPr>
            <w:tcW w:w="1661" w:type="pct"/>
          </w:tcPr>
          <w:p w:rsidR="00156DD6" w:rsidRDefault="00D51F5F">
            <w:pPr>
              <w:ind w:right="73"/>
              <w:jc w:val="right"/>
            </w:pPr>
            <w:r>
              <w:rPr>
                <w:rFonts w:hint="eastAsia"/>
              </w:rPr>
              <w:t xml:space="preserve"> 1,329,765.30 </w:t>
            </w:r>
          </w:p>
        </w:tc>
        <w:tc>
          <w:tcPr>
            <w:tcW w:w="1664" w:type="pct"/>
          </w:tcPr>
          <w:p w:rsidR="00156DD6" w:rsidRDefault="00D51F5F">
            <w:pPr>
              <w:jc w:val="right"/>
            </w:pPr>
            <w:r>
              <w:rPr>
                <w:rFonts w:hint="eastAsia"/>
              </w:rPr>
              <w:t xml:space="preserve"> 1,411,796.87 </w:t>
            </w:r>
          </w:p>
        </w:tc>
      </w:tr>
      <w:tr w:rsidR="00156DD6">
        <w:trPr>
          <w:cantSplit/>
        </w:trPr>
        <w:tc>
          <w:tcPr>
            <w:tcW w:w="1675" w:type="pct"/>
          </w:tcPr>
          <w:p w:rsidR="00156DD6" w:rsidRDefault="00D51F5F">
            <w:pPr>
              <w:ind w:right="105"/>
            </w:pPr>
            <w:r>
              <w:rPr>
                <w:rFonts w:hint="eastAsia"/>
              </w:rPr>
              <w:t>土地使用税</w:t>
            </w:r>
          </w:p>
        </w:tc>
        <w:tc>
          <w:tcPr>
            <w:tcW w:w="1661" w:type="pct"/>
          </w:tcPr>
          <w:p w:rsidR="00156DD6" w:rsidRDefault="00D51F5F">
            <w:pPr>
              <w:ind w:right="73"/>
              <w:jc w:val="right"/>
            </w:pPr>
            <w:r>
              <w:rPr>
                <w:rFonts w:hint="eastAsia"/>
              </w:rPr>
              <w:t xml:space="preserve"> 583,496.69 </w:t>
            </w:r>
          </w:p>
        </w:tc>
        <w:tc>
          <w:tcPr>
            <w:tcW w:w="1664" w:type="pct"/>
          </w:tcPr>
          <w:p w:rsidR="00156DD6" w:rsidRDefault="00D51F5F">
            <w:pPr>
              <w:jc w:val="right"/>
            </w:pPr>
            <w:r>
              <w:rPr>
                <w:rFonts w:hint="eastAsia"/>
              </w:rPr>
              <w:t xml:space="preserve"> 583,496.69 </w:t>
            </w:r>
          </w:p>
        </w:tc>
      </w:tr>
      <w:tr w:rsidR="00156DD6">
        <w:trPr>
          <w:cantSplit/>
        </w:trPr>
        <w:tc>
          <w:tcPr>
            <w:tcW w:w="1675" w:type="pct"/>
          </w:tcPr>
          <w:p w:rsidR="00156DD6" w:rsidRDefault="00D51F5F">
            <w:pPr>
              <w:ind w:right="105"/>
            </w:pPr>
            <w:r>
              <w:rPr>
                <w:rFonts w:hint="eastAsia"/>
              </w:rPr>
              <w:t>城市维护建设税</w:t>
            </w:r>
          </w:p>
        </w:tc>
        <w:tc>
          <w:tcPr>
            <w:tcW w:w="1661" w:type="pct"/>
          </w:tcPr>
          <w:p w:rsidR="00156DD6" w:rsidRDefault="00D51F5F">
            <w:pPr>
              <w:ind w:right="73"/>
              <w:jc w:val="right"/>
            </w:pPr>
            <w:r>
              <w:rPr>
                <w:rFonts w:hint="eastAsia"/>
              </w:rPr>
              <w:t xml:space="preserve"> 761,492.98 </w:t>
            </w:r>
          </w:p>
        </w:tc>
        <w:tc>
          <w:tcPr>
            <w:tcW w:w="1664" w:type="pct"/>
          </w:tcPr>
          <w:p w:rsidR="00156DD6" w:rsidRDefault="00D51F5F">
            <w:pPr>
              <w:jc w:val="right"/>
            </w:pPr>
            <w:r>
              <w:rPr>
                <w:rFonts w:hint="eastAsia"/>
              </w:rPr>
              <w:t xml:space="preserve"> 620,680.46 </w:t>
            </w:r>
          </w:p>
        </w:tc>
      </w:tr>
      <w:tr w:rsidR="00156DD6">
        <w:trPr>
          <w:cantSplit/>
        </w:trPr>
        <w:tc>
          <w:tcPr>
            <w:tcW w:w="1675" w:type="pct"/>
          </w:tcPr>
          <w:p w:rsidR="00156DD6" w:rsidRDefault="00D51F5F">
            <w:pPr>
              <w:ind w:right="105"/>
            </w:pPr>
            <w:r>
              <w:rPr>
                <w:rFonts w:hint="eastAsia"/>
              </w:rPr>
              <w:t>教育费附加</w:t>
            </w:r>
          </w:p>
        </w:tc>
        <w:tc>
          <w:tcPr>
            <w:tcW w:w="1661" w:type="pct"/>
          </w:tcPr>
          <w:p w:rsidR="00156DD6" w:rsidRDefault="00D51F5F">
            <w:pPr>
              <w:ind w:right="73"/>
              <w:jc w:val="right"/>
            </w:pPr>
            <w:r>
              <w:rPr>
                <w:rFonts w:hint="eastAsia"/>
              </w:rPr>
              <w:t xml:space="preserve"> 326,243.46 </w:t>
            </w:r>
          </w:p>
        </w:tc>
        <w:tc>
          <w:tcPr>
            <w:tcW w:w="1664" w:type="pct"/>
          </w:tcPr>
          <w:p w:rsidR="00156DD6" w:rsidRDefault="00D51F5F">
            <w:pPr>
              <w:jc w:val="right"/>
            </w:pPr>
            <w:r>
              <w:rPr>
                <w:rFonts w:hint="eastAsia"/>
              </w:rPr>
              <w:t xml:space="preserve"> 265,994.98 </w:t>
            </w:r>
          </w:p>
        </w:tc>
      </w:tr>
      <w:tr w:rsidR="00156DD6">
        <w:trPr>
          <w:cantSplit/>
        </w:trPr>
        <w:tc>
          <w:tcPr>
            <w:tcW w:w="1675" w:type="pct"/>
          </w:tcPr>
          <w:p w:rsidR="00156DD6" w:rsidRDefault="00D51F5F">
            <w:pPr>
              <w:ind w:right="105"/>
            </w:pPr>
            <w:r>
              <w:rPr>
                <w:rFonts w:hint="eastAsia"/>
              </w:rPr>
              <w:t>地方教育附加</w:t>
            </w:r>
          </w:p>
        </w:tc>
        <w:tc>
          <w:tcPr>
            <w:tcW w:w="1661" w:type="pct"/>
          </w:tcPr>
          <w:p w:rsidR="00156DD6" w:rsidRDefault="00D51F5F">
            <w:pPr>
              <w:ind w:right="73"/>
              <w:jc w:val="right"/>
            </w:pPr>
            <w:r>
              <w:rPr>
                <w:rFonts w:hint="eastAsia"/>
              </w:rPr>
              <w:t xml:space="preserve"> 217,495.63 </w:t>
            </w:r>
          </w:p>
        </w:tc>
        <w:tc>
          <w:tcPr>
            <w:tcW w:w="1664" w:type="pct"/>
          </w:tcPr>
          <w:p w:rsidR="00156DD6" w:rsidRDefault="00D51F5F">
            <w:pPr>
              <w:jc w:val="right"/>
            </w:pPr>
            <w:r>
              <w:rPr>
                <w:rFonts w:hint="eastAsia"/>
              </w:rPr>
              <w:t xml:space="preserve"> 177,329.98 </w:t>
            </w:r>
          </w:p>
        </w:tc>
      </w:tr>
      <w:tr w:rsidR="00156DD6">
        <w:trPr>
          <w:cantSplit/>
        </w:trPr>
        <w:tc>
          <w:tcPr>
            <w:tcW w:w="1675" w:type="pct"/>
          </w:tcPr>
          <w:p w:rsidR="00156DD6" w:rsidRDefault="00D51F5F">
            <w:pPr>
              <w:ind w:right="105"/>
            </w:pPr>
            <w:r>
              <w:rPr>
                <w:rFonts w:hint="eastAsia"/>
              </w:rPr>
              <w:t>印花税</w:t>
            </w:r>
          </w:p>
        </w:tc>
        <w:tc>
          <w:tcPr>
            <w:tcW w:w="1661" w:type="pct"/>
          </w:tcPr>
          <w:p w:rsidR="00156DD6" w:rsidRDefault="00D51F5F">
            <w:pPr>
              <w:ind w:right="73"/>
              <w:jc w:val="right"/>
            </w:pPr>
            <w:r>
              <w:rPr>
                <w:rFonts w:hint="eastAsia"/>
              </w:rPr>
              <w:t xml:space="preserve"> 395,731.63 </w:t>
            </w:r>
          </w:p>
        </w:tc>
        <w:tc>
          <w:tcPr>
            <w:tcW w:w="1664" w:type="pct"/>
          </w:tcPr>
          <w:p w:rsidR="00156DD6" w:rsidRDefault="00D51F5F">
            <w:pPr>
              <w:jc w:val="right"/>
            </w:pPr>
            <w:r>
              <w:rPr>
                <w:rFonts w:hint="eastAsia"/>
              </w:rPr>
              <w:t xml:space="preserve"> 421,765.82 </w:t>
            </w:r>
          </w:p>
        </w:tc>
      </w:tr>
      <w:tr w:rsidR="00156DD6">
        <w:trPr>
          <w:cantSplit/>
        </w:trPr>
        <w:tc>
          <w:tcPr>
            <w:tcW w:w="1675" w:type="pct"/>
          </w:tcPr>
          <w:p w:rsidR="00156DD6" w:rsidRDefault="00D51F5F">
            <w:pPr>
              <w:ind w:right="105"/>
            </w:pPr>
            <w:r>
              <w:rPr>
                <w:rFonts w:hint="eastAsia"/>
              </w:rPr>
              <w:t>其他</w:t>
            </w:r>
          </w:p>
        </w:tc>
        <w:tc>
          <w:tcPr>
            <w:tcW w:w="1661" w:type="pct"/>
          </w:tcPr>
          <w:p w:rsidR="00156DD6" w:rsidRDefault="00D51F5F">
            <w:pPr>
              <w:ind w:right="73"/>
              <w:jc w:val="right"/>
            </w:pPr>
            <w:r>
              <w:rPr>
                <w:rFonts w:hint="eastAsia"/>
              </w:rPr>
              <w:t xml:space="preserve"> 105,257.79 </w:t>
            </w:r>
          </w:p>
        </w:tc>
        <w:tc>
          <w:tcPr>
            <w:tcW w:w="1664" w:type="pct"/>
          </w:tcPr>
          <w:p w:rsidR="00156DD6" w:rsidRDefault="00D51F5F">
            <w:pPr>
              <w:jc w:val="right"/>
            </w:pPr>
            <w:r>
              <w:rPr>
                <w:rFonts w:hint="eastAsia"/>
              </w:rPr>
              <w:t xml:space="preserve"> 88,623.39 </w:t>
            </w:r>
          </w:p>
        </w:tc>
      </w:tr>
      <w:tr w:rsidR="00156DD6">
        <w:trPr>
          <w:cantSplit/>
        </w:trPr>
        <w:tc>
          <w:tcPr>
            <w:tcW w:w="1675" w:type="pct"/>
            <w:vAlign w:val="center"/>
          </w:tcPr>
          <w:p w:rsidR="00156DD6" w:rsidRDefault="00D51F5F">
            <w:pPr>
              <w:ind w:right="105"/>
              <w:jc w:val="center"/>
              <w:rPr>
                <w:color w:val="000000" w:themeColor="text1"/>
              </w:rPr>
            </w:pPr>
            <w:r>
              <w:rPr>
                <w:rFonts w:hint="eastAsia"/>
                <w:color w:val="000000" w:themeColor="text1"/>
              </w:rPr>
              <w:t>合计</w:t>
            </w:r>
          </w:p>
        </w:tc>
        <w:tc>
          <w:tcPr>
            <w:tcW w:w="1661" w:type="pct"/>
          </w:tcPr>
          <w:p w:rsidR="00156DD6" w:rsidRDefault="00D51F5F">
            <w:pPr>
              <w:ind w:right="73"/>
              <w:jc w:val="right"/>
            </w:pPr>
            <w:r>
              <w:rPr>
                <w:rFonts w:hint="eastAsia"/>
              </w:rPr>
              <w:t xml:space="preserve"> 42,423,475.01 </w:t>
            </w:r>
          </w:p>
        </w:tc>
        <w:tc>
          <w:tcPr>
            <w:tcW w:w="1664" w:type="pct"/>
          </w:tcPr>
          <w:p w:rsidR="00156DD6" w:rsidRDefault="00D51F5F">
            <w:pPr>
              <w:jc w:val="right"/>
            </w:pPr>
            <w:r>
              <w:rPr>
                <w:rFonts w:hint="eastAsia"/>
              </w:rPr>
              <w:t xml:space="preserve"> 25,876,715.10 </w:t>
            </w:r>
          </w:p>
        </w:tc>
      </w:tr>
    </w:tbl>
    <w:p w:rsidR="00156DD6" w:rsidRDefault="00D51F5F">
      <w:pPr>
        <w:rPr>
          <w:color w:val="000000" w:themeColor="text1"/>
        </w:rPr>
      </w:pPr>
      <w:r>
        <w:rPr>
          <w:rFonts w:hint="eastAsia"/>
          <w:color w:val="000000" w:themeColor="text1"/>
        </w:rPr>
        <w:t>其他说明：</w:t>
      </w:r>
    </w:p>
    <w:sdt>
      <w:sdtPr>
        <w:rPr>
          <w:color w:val="000000" w:themeColor="text1"/>
        </w:rPr>
        <w:alias w:val="应交税金的说明"/>
        <w:tag w:val="_GBC_fb59f8f9de2d41c3aaf0dc3b0970dd91"/>
        <w:id w:val="-173341843"/>
        <w:placeholder>
          <w:docPart w:val="GBC22222222222222222222222222222"/>
        </w:placeholder>
      </w:sdtPr>
      <w:sdtEndPr/>
      <w:sdtContent>
        <w:p w:rsidR="00156DD6" w:rsidRDefault="00D51F5F">
          <w:pPr>
            <w:rPr>
              <w:color w:val="000000" w:themeColor="text1"/>
            </w:rPr>
          </w:pPr>
          <w:r>
            <w:rPr>
              <w:rFonts w:hint="eastAsia"/>
              <w:color w:val="000000" w:themeColor="text1"/>
            </w:rPr>
            <w:t>注：本期代扣代缴个人所得税增加主要系云变电气少数股东转让股权应缴纳个人所得税暂未缴纳所致</w:t>
          </w:r>
        </w:p>
      </w:sdtContent>
    </w:sdt>
    <w:p w:rsidR="00156DD6" w:rsidRDefault="00D51F5F">
      <w:pPr>
        <w:pStyle w:val="TOC6"/>
        <w:numPr>
          <w:ilvl w:val="0"/>
          <w:numId w:val="53"/>
        </w:numPr>
        <w:rPr>
          <w:color w:val="000000" w:themeColor="text1"/>
          <w:sz w:val="21"/>
          <w:szCs w:val="22"/>
        </w:rPr>
      </w:pPr>
      <w:r>
        <w:rPr>
          <w:color w:val="000000" w:themeColor="text1"/>
          <w:sz w:val="21"/>
          <w:szCs w:val="22"/>
        </w:rPr>
        <w:t>其他应付款</w:t>
      </w:r>
    </w:p>
    <w:p w:rsidR="00156DD6" w:rsidRDefault="00D51F5F">
      <w:pPr>
        <w:pStyle w:val="Style47"/>
        <w:numPr>
          <w:ilvl w:val="0"/>
          <w:numId w:val="73"/>
        </w:numPr>
        <w:ind w:left="425" w:hanging="425"/>
        <w:rPr>
          <w:color w:val="000000" w:themeColor="text1"/>
          <w:sz w:val="21"/>
          <w:szCs w:val="21"/>
        </w:rPr>
      </w:pPr>
      <w:bookmarkStart w:id="393" w:name="_Hlk167960650"/>
      <w:r>
        <w:rPr>
          <w:rFonts w:hint="eastAsia"/>
          <w:color w:val="000000" w:themeColor="text1"/>
          <w:sz w:val="21"/>
          <w:szCs w:val="21"/>
        </w:rPr>
        <w:t>项目列示</w:t>
      </w:r>
    </w:p>
    <w:sdt>
      <w:sdtPr>
        <w:rPr>
          <w:color w:val="000000" w:themeColor="text1"/>
        </w:rPr>
        <w:alias w:val="是否适用：其他应付款分类列示[双击切换]"/>
        <w:tag w:val="_GBC_5827d75493f041f68356cdf43e4b0e52"/>
        <w:id w:val="-103911648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其他应付款分类列示"/>
          <w:tag w:val="_GBC_2c430d2cae634c2e8376192a2b4c05d5"/>
          <w:id w:val="-12932078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其他应付款分类列示"/>
          <w:tag w:val="_GBC_ac9f03788d1745f8afc5195f61ce7b16"/>
          <w:id w:val="16026011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156DD6">
        <w:sdt>
          <w:sdtPr>
            <w:tag w:val="_PLD_547406e2caa94b57a871517659cf9c0e"/>
            <w:id w:val="-1177873030"/>
          </w:sdtPr>
          <w:sdtEndPr/>
          <w:sdtContent>
            <w:tc>
              <w:tcPr>
                <w:tcW w:w="1828" w:type="pct"/>
                <w:vAlign w:val="center"/>
              </w:tcPr>
              <w:p w:rsidR="00156DD6" w:rsidRDefault="00D51F5F">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tag w:val="_PLD_d719b36c588443f38353aada8839625f"/>
            <w:id w:val="1031232089"/>
          </w:sdtPr>
          <w:sdtEndPr/>
          <w:sdtContent>
            <w:tc>
              <w:tcPr>
                <w:tcW w:w="1582"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bc6045ff64f3481da65c0cff41edd1d0"/>
            <w:id w:val="1778068793"/>
          </w:sdtPr>
          <w:sdtEndPr/>
          <w:sdtContent>
            <w:tc>
              <w:tcPr>
                <w:tcW w:w="1590"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c>
          <w:tcPr>
            <w:tcW w:w="1828"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应付利息</w:t>
            </w:r>
          </w:p>
        </w:tc>
        <w:tc>
          <w:tcPr>
            <w:tcW w:w="1582" w:type="pct"/>
          </w:tcPr>
          <w:p w:rsidR="00156DD6" w:rsidRDefault="00156DD6">
            <w:pPr>
              <w:tabs>
                <w:tab w:val="right" w:pos="3690"/>
                <w:tab w:val="right" w:pos="5130"/>
                <w:tab w:val="right" w:pos="6030"/>
                <w:tab w:val="right" w:pos="7650"/>
                <w:tab w:val="right" w:pos="9270"/>
              </w:tabs>
              <w:adjustRightInd w:val="0"/>
              <w:snapToGrid w:val="0"/>
              <w:jc w:val="right"/>
            </w:pPr>
          </w:p>
        </w:tc>
        <w:tc>
          <w:tcPr>
            <w:tcW w:w="1590" w:type="pct"/>
          </w:tcPr>
          <w:p w:rsidR="00156DD6" w:rsidRDefault="00156DD6">
            <w:pPr>
              <w:tabs>
                <w:tab w:val="right" w:pos="3690"/>
                <w:tab w:val="right" w:pos="5130"/>
                <w:tab w:val="right" w:pos="6030"/>
                <w:tab w:val="right" w:pos="7650"/>
                <w:tab w:val="right" w:pos="9270"/>
              </w:tabs>
              <w:adjustRightInd w:val="0"/>
              <w:snapToGrid w:val="0"/>
              <w:jc w:val="right"/>
            </w:pPr>
          </w:p>
        </w:tc>
      </w:tr>
      <w:tr w:rsidR="00156DD6">
        <w:tc>
          <w:tcPr>
            <w:tcW w:w="1828"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应付股利</w:t>
            </w:r>
          </w:p>
        </w:tc>
        <w:tc>
          <w:tcPr>
            <w:tcW w:w="1582" w:type="pct"/>
          </w:tcPr>
          <w:p w:rsidR="00156DD6" w:rsidRDefault="00156DD6">
            <w:pPr>
              <w:tabs>
                <w:tab w:val="right" w:pos="3690"/>
                <w:tab w:val="right" w:pos="5130"/>
                <w:tab w:val="right" w:pos="6030"/>
                <w:tab w:val="right" w:pos="7650"/>
                <w:tab w:val="right" w:pos="9270"/>
              </w:tabs>
              <w:adjustRightInd w:val="0"/>
              <w:snapToGrid w:val="0"/>
              <w:jc w:val="right"/>
            </w:pPr>
          </w:p>
        </w:tc>
        <w:tc>
          <w:tcPr>
            <w:tcW w:w="1590" w:type="pct"/>
          </w:tcPr>
          <w:p w:rsidR="00156DD6" w:rsidRDefault="00156DD6">
            <w:pPr>
              <w:tabs>
                <w:tab w:val="right" w:pos="3690"/>
                <w:tab w:val="right" w:pos="5130"/>
                <w:tab w:val="right" w:pos="6030"/>
                <w:tab w:val="right" w:pos="7650"/>
                <w:tab w:val="right" w:pos="9270"/>
              </w:tabs>
              <w:adjustRightInd w:val="0"/>
              <w:snapToGrid w:val="0"/>
              <w:jc w:val="right"/>
            </w:pPr>
          </w:p>
        </w:tc>
      </w:tr>
      <w:tr w:rsidR="00156DD6">
        <w:tc>
          <w:tcPr>
            <w:tcW w:w="1828"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其他应付款</w:t>
            </w:r>
          </w:p>
        </w:tc>
        <w:tc>
          <w:tcPr>
            <w:tcW w:w="1582" w:type="pct"/>
          </w:tcPr>
          <w:p w:rsidR="00156DD6" w:rsidRDefault="00D51F5F">
            <w:pPr>
              <w:tabs>
                <w:tab w:val="right" w:pos="3690"/>
                <w:tab w:val="right" w:pos="5130"/>
                <w:tab w:val="right" w:pos="6030"/>
                <w:tab w:val="right" w:pos="7650"/>
                <w:tab w:val="right" w:pos="9270"/>
              </w:tabs>
              <w:adjustRightInd w:val="0"/>
              <w:snapToGrid w:val="0"/>
              <w:jc w:val="right"/>
            </w:pPr>
            <w:r>
              <w:rPr>
                <w:rFonts w:hint="eastAsia"/>
              </w:rPr>
              <w:t xml:space="preserve"> 72,854,288.15 </w:t>
            </w:r>
          </w:p>
        </w:tc>
        <w:tc>
          <w:tcPr>
            <w:tcW w:w="1590" w:type="pct"/>
            <w:vAlign w:val="center"/>
          </w:tcPr>
          <w:p w:rsidR="00156DD6" w:rsidRDefault="00D51F5F">
            <w:pPr>
              <w:tabs>
                <w:tab w:val="right" w:pos="3690"/>
                <w:tab w:val="right" w:pos="5130"/>
                <w:tab w:val="right" w:pos="6030"/>
                <w:tab w:val="right" w:pos="7650"/>
                <w:tab w:val="right" w:pos="9270"/>
              </w:tabs>
              <w:adjustRightInd w:val="0"/>
              <w:snapToGrid w:val="0"/>
              <w:jc w:val="right"/>
            </w:pPr>
            <w:r>
              <w:t>60,784,232.00</w:t>
            </w:r>
          </w:p>
        </w:tc>
      </w:tr>
      <w:tr w:rsidR="00156DD6">
        <w:tc>
          <w:tcPr>
            <w:tcW w:w="1828"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合计</w:t>
            </w:r>
          </w:p>
        </w:tc>
        <w:tc>
          <w:tcPr>
            <w:tcW w:w="1582" w:type="pct"/>
          </w:tcPr>
          <w:p w:rsidR="00156DD6" w:rsidRDefault="00D51F5F">
            <w:pPr>
              <w:tabs>
                <w:tab w:val="right" w:pos="3690"/>
                <w:tab w:val="right" w:pos="5130"/>
                <w:tab w:val="right" w:pos="6030"/>
                <w:tab w:val="right" w:pos="7650"/>
                <w:tab w:val="right" w:pos="9270"/>
              </w:tabs>
              <w:adjustRightInd w:val="0"/>
              <w:snapToGrid w:val="0"/>
              <w:jc w:val="right"/>
            </w:pPr>
            <w:r>
              <w:rPr>
                <w:rFonts w:hint="eastAsia"/>
              </w:rPr>
              <w:t xml:space="preserve"> 72,854,288.15 </w:t>
            </w:r>
          </w:p>
        </w:tc>
        <w:tc>
          <w:tcPr>
            <w:tcW w:w="1590" w:type="pct"/>
            <w:vAlign w:val="center"/>
          </w:tcPr>
          <w:p w:rsidR="00156DD6" w:rsidRDefault="00D51F5F">
            <w:pPr>
              <w:tabs>
                <w:tab w:val="right" w:pos="3690"/>
                <w:tab w:val="right" w:pos="5130"/>
                <w:tab w:val="right" w:pos="6030"/>
                <w:tab w:val="right" w:pos="7650"/>
                <w:tab w:val="right" w:pos="9270"/>
              </w:tabs>
              <w:adjustRightInd w:val="0"/>
              <w:snapToGrid w:val="0"/>
              <w:jc w:val="right"/>
            </w:pPr>
            <w:r>
              <w:t>60,784,232.00</w:t>
            </w:r>
          </w:p>
        </w:tc>
      </w:tr>
    </w:tbl>
    <w:p w:rsidR="00156DD6" w:rsidRDefault="00D51F5F">
      <w:pPr>
        <w:pStyle w:val="Style47"/>
        <w:numPr>
          <w:ilvl w:val="0"/>
          <w:numId w:val="73"/>
        </w:numPr>
        <w:ind w:left="425" w:hanging="425"/>
        <w:rPr>
          <w:color w:val="000000" w:themeColor="text1"/>
          <w:sz w:val="21"/>
          <w:szCs w:val="21"/>
        </w:rPr>
      </w:pPr>
      <w:bookmarkStart w:id="394" w:name="_Hlk10536047"/>
      <w:bookmarkEnd w:id="393"/>
      <w:r>
        <w:rPr>
          <w:rFonts w:hint="eastAsia"/>
          <w:color w:val="000000" w:themeColor="text1"/>
          <w:sz w:val="21"/>
          <w:szCs w:val="21"/>
        </w:rPr>
        <w:t>应付利息</w:t>
      </w:r>
    </w:p>
    <w:sdt>
      <w:sdtPr>
        <w:rPr>
          <w:color w:val="000000" w:themeColor="text1"/>
        </w:rPr>
        <w:alias w:val="是否适用：应付利息[双击切换]"/>
        <w:tag w:val="_GBC_9058c1c6b0a94f6a8c531ec2dbd35706"/>
        <w:id w:val="56060239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3"/>
        </w:numPr>
        <w:ind w:left="425" w:hanging="425"/>
        <w:rPr>
          <w:color w:val="000000" w:themeColor="text1"/>
          <w:sz w:val="21"/>
          <w:szCs w:val="21"/>
        </w:rPr>
      </w:pPr>
      <w:bookmarkStart w:id="395" w:name="_Hlk10536068"/>
      <w:bookmarkStart w:id="396" w:name="_Hlk10536082"/>
      <w:bookmarkEnd w:id="394"/>
      <w:r>
        <w:rPr>
          <w:rFonts w:hint="eastAsia"/>
          <w:color w:val="000000" w:themeColor="text1"/>
          <w:sz w:val="21"/>
          <w:szCs w:val="21"/>
        </w:rPr>
        <w:t>应付股利</w:t>
      </w:r>
      <w:bookmarkEnd w:id="395"/>
    </w:p>
    <w:sdt>
      <w:sdtPr>
        <w:rPr>
          <w:color w:val="000000" w:themeColor="text1"/>
        </w:rPr>
        <w:alias w:val="是否适用：应付股利[双击切换]"/>
        <w:tag w:val="_GBC_09dc75ba10d44acfb18b03320a40e4c5"/>
        <w:id w:val="123281196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3"/>
        </w:numPr>
        <w:ind w:left="425" w:hanging="425"/>
        <w:rPr>
          <w:color w:val="000000" w:themeColor="text1"/>
          <w:sz w:val="21"/>
          <w:szCs w:val="21"/>
        </w:rPr>
      </w:pPr>
      <w:bookmarkStart w:id="397" w:name="_Hlk10536163"/>
      <w:bookmarkEnd w:id="396"/>
      <w:r>
        <w:rPr>
          <w:rFonts w:hint="eastAsia"/>
          <w:color w:val="000000" w:themeColor="text1"/>
          <w:sz w:val="21"/>
          <w:szCs w:val="21"/>
        </w:rPr>
        <w:t>其他应付款</w:t>
      </w:r>
    </w:p>
    <w:p w:rsidR="00156DD6" w:rsidRDefault="00D51F5F">
      <w:pPr>
        <w:rPr>
          <w:color w:val="000000" w:themeColor="text1"/>
        </w:rPr>
      </w:pPr>
      <w:r>
        <w:rPr>
          <w:rFonts w:hint="eastAsia"/>
          <w:color w:val="000000" w:themeColor="text1"/>
        </w:rPr>
        <w:t>按款项性质列示其他应付款</w:t>
      </w:r>
    </w:p>
    <w:sdt>
      <w:sdtPr>
        <w:rPr>
          <w:color w:val="000000" w:themeColor="text1"/>
        </w:rPr>
        <w:alias w:val="是否适用：按款项性质列示其他应付款[双击切换]"/>
        <w:tag w:val="_GBC_a099ebd596de4984814ff6b49af92e86"/>
        <w:id w:val="-113409022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w:instrText>
          </w:r>
          <w:r>
            <w:rPr>
              <w:color w:val="000000" w:themeColor="text1"/>
            </w:rPr>
            <w:instrText>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其他应付款情况"/>
          <w:tag w:val="_GBC_781a05c0c742470b88557fa8878adf9c"/>
          <w:id w:val="-9715220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应付款情况"/>
          <w:tag w:val="_GBC_19bba6af93f1445cbfdc13ddfb71a0ea"/>
          <w:id w:val="11477082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924"/>
        <w:gridCol w:w="3049"/>
      </w:tblGrid>
      <w:tr w:rsidR="00156DD6">
        <w:sdt>
          <w:sdtPr>
            <w:tag w:val="_PLD_3991c4118c8d4069811e5f758978143f"/>
            <w:id w:val="-238326246"/>
          </w:sdtPr>
          <w:sdtEndPr/>
          <w:sdtContent>
            <w:tc>
              <w:tcPr>
                <w:tcW w:w="1615" w:type="pct"/>
              </w:tcPr>
              <w:p w:rsidR="00156DD6" w:rsidRDefault="00D51F5F">
                <w:pPr>
                  <w:jc w:val="center"/>
                  <w:rPr>
                    <w:color w:val="000000" w:themeColor="text1"/>
                  </w:rPr>
                </w:pPr>
                <w:r>
                  <w:rPr>
                    <w:rFonts w:hint="eastAsia"/>
                    <w:color w:val="000000" w:themeColor="text1"/>
                  </w:rPr>
                  <w:t>项目</w:t>
                </w:r>
              </w:p>
            </w:tc>
          </w:sdtContent>
        </w:sdt>
        <w:sdt>
          <w:sdtPr>
            <w:tag w:val="_PLD_c1bcea3523f040f08da3a1bd0d135ad5"/>
            <w:id w:val="669991507"/>
          </w:sdtPr>
          <w:sdtEndPr/>
          <w:sdtContent>
            <w:tc>
              <w:tcPr>
                <w:tcW w:w="1657" w:type="pct"/>
              </w:tcPr>
              <w:p w:rsidR="00156DD6" w:rsidRDefault="00D51F5F">
                <w:pPr>
                  <w:jc w:val="center"/>
                  <w:rPr>
                    <w:color w:val="000000" w:themeColor="text1"/>
                  </w:rPr>
                </w:pPr>
                <w:r>
                  <w:rPr>
                    <w:rFonts w:hint="eastAsia"/>
                    <w:color w:val="000000" w:themeColor="text1"/>
                  </w:rPr>
                  <w:t>期末余额</w:t>
                </w:r>
              </w:p>
            </w:tc>
          </w:sdtContent>
        </w:sdt>
        <w:sdt>
          <w:sdtPr>
            <w:tag w:val="_PLD_b89663858245498c995c58e2bab384aa"/>
            <w:id w:val="-1085912479"/>
          </w:sdtPr>
          <w:sdtEndPr/>
          <w:sdtContent>
            <w:tc>
              <w:tcPr>
                <w:tcW w:w="1728" w:type="pct"/>
              </w:tcPr>
              <w:p w:rsidR="00156DD6" w:rsidRDefault="00D51F5F">
                <w:pPr>
                  <w:jc w:val="center"/>
                  <w:rPr>
                    <w:color w:val="000000" w:themeColor="text1"/>
                  </w:rPr>
                </w:pPr>
                <w:r>
                  <w:rPr>
                    <w:rFonts w:hint="eastAsia"/>
                    <w:color w:val="000000" w:themeColor="text1"/>
                  </w:rPr>
                  <w:t>期初余额</w:t>
                </w:r>
              </w:p>
            </w:tc>
          </w:sdtContent>
        </w:sdt>
      </w:tr>
      <w:tr w:rsidR="00156DD6">
        <w:tc>
          <w:tcPr>
            <w:tcW w:w="1615" w:type="pct"/>
          </w:tcPr>
          <w:p w:rsidR="00156DD6" w:rsidRDefault="00D51F5F">
            <w:pPr>
              <w:pStyle w:val="Style43"/>
              <w:rPr>
                <w:sz w:val="21"/>
                <w:szCs w:val="21"/>
              </w:rPr>
            </w:pPr>
            <w:r>
              <w:rPr>
                <w:sz w:val="21"/>
                <w:szCs w:val="21"/>
              </w:rPr>
              <w:t>限制性股票回购义务款</w:t>
            </w:r>
          </w:p>
        </w:tc>
        <w:tc>
          <w:tcPr>
            <w:tcW w:w="1657" w:type="pct"/>
          </w:tcPr>
          <w:p w:rsidR="00156DD6" w:rsidRDefault="00D51F5F">
            <w:pPr>
              <w:jc w:val="right"/>
            </w:pPr>
            <w:r>
              <w:rPr>
                <w:rFonts w:hint="eastAsia"/>
              </w:rPr>
              <w:t xml:space="preserve"> 25,075,900.00 </w:t>
            </w:r>
          </w:p>
        </w:tc>
        <w:tc>
          <w:tcPr>
            <w:tcW w:w="1728" w:type="pct"/>
            <w:vAlign w:val="center"/>
          </w:tcPr>
          <w:p w:rsidR="00156DD6" w:rsidRDefault="00D51F5F">
            <w:pPr>
              <w:jc w:val="right"/>
            </w:pPr>
            <w:r>
              <w:t xml:space="preserve"> 20,629,500.00 </w:t>
            </w:r>
          </w:p>
        </w:tc>
      </w:tr>
      <w:tr w:rsidR="00156DD6">
        <w:tc>
          <w:tcPr>
            <w:tcW w:w="1615" w:type="pct"/>
          </w:tcPr>
          <w:p w:rsidR="00156DD6" w:rsidRDefault="00D51F5F">
            <w:pPr>
              <w:pStyle w:val="Style43"/>
              <w:rPr>
                <w:sz w:val="21"/>
                <w:szCs w:val="21"/>
              </w:rPr>
            </w:pPr>
            <w:r>
              <w:rPr>
                <w:sz w:val="21"/>
                <w:szCs w:val="21"/>
              </w:rPr>
              <w:t>预提费用及报销款项</w:t>
            </w:r>
          </w:p>
        </w:tc>
        <w:tc>
          <w:tcPr>
            <w:tcW w:w="1657" w:type="pct"/>
          </w:tcPr>
          <w:p w:rsidR="00156DD6" w:rsidRDefault="00D51F5F">
            <w:pPr>
              <w:jc w:val="right"/>
            </w:pPr>
            <w:r>
              <w:rPr>
                <w:rFonts w:hint="eastAsia"/>
              </w:rPr>
              <w:t xml:space="preserve"> 16,847,756.43 </w:t>
            </w:r>
          </w:p>
        </w:tc>
        <w:tc>
          <w:tcPr>
            <w:tcW w:w="1728" w:type="pct"/>
            <w:vAlign w:val="center"/>
          </w:tcPr>
          <w:p w:rsidR="00156DD6" w:rsidRDefault="00D51F5F">
            <w:pPr>
              <w:jc w:val="right"/>
            </w:pPr>
            <w:r>
              <w:t xml:space="preserve"> 15,735,409.30 </w:t>
            </w:r>
          </w:p>
        </w:tc>
      </w:tr>
      <w:tr w:rsidR="00156DD6">
        <w:tc>
          <w:tcPr>
            <w:tcW w:w="1615" w:type="pct"/>
          </w:tcPr>
          <w:p w:rsidR="00156DD6" w:rsidRDefault="00D51F5F">
            <w:pPr>
              <w:pStyle w:val="Style43"/>
              <w:rPr>
                <w:sz w:val="21"/>
                <w:szCs w:val="21"/>
              </w:rPr>
            </w:pPr>
            <w:r>
              <w:rPr>
                <w:sz w:val="21"/>
                <w:szCs w:val="21"/>
              </w:rPr>
              <w:t>往来款</w:t>
            </w:r>
          </w:p>
        </w:tc>
        <w:tc>
          <w:tcPr>
            <w:tcW w:w="1657" w:type="pct"/>
          </w:tcPr>
          <w:p w:rsidR="00156DD6" w:rsidRDefault="00D51F5F">
            <w:pPr>
              <w:jc w:val="right"/>
            </w:pPr>
            <w:r>
              <w:rPr>
                <w:rFonts w:hint="eastAsia"/>
              </w:rPr>
              <w:t xml:space="preserve"> 7,800,000.00 </w:t>
            </w:r>
          </w:p>
        </w:tc>
        <w:tc>
          <w:tcPr>
            <w:tcW w:w="1728" w:type="pct"/>
            <w:vAlign w:val="center"/>
          </w:tcPr>
          <w:p w:rsidR="00156DD6" w:rsidRDefault="00D51F5F">
            <w:pPr>
              <w:jc w:val="right"/>
            </w:pPr>
            <w:r>
              <w:t xml:space="preserve"> 7,800,000.00 </w:t>
            </w:r>
          </w:p>
        </w:tc>
      </w:tr>
      <w:tr w:rsidR="00156DD6">
        <w:tc>
          <w:tcPr>
            <w:tcW w:w="1615" w:type="pct"/>
          </w:tcPr>
          <w:p w:rsidR="00156DD6" w:rsidRDefault="00D51F5F">
            <w:pPr>
              <w:pStyle w:val="Style43"/>
              <w:rPr>
                <w:sz w:val="21"/>
                <w:szCs w:val="21"/>
              </w:rPr>
            </w:pPr>
            <w:r>
              <w:rPr>
                <w:sz w:val="21"/>
                <w:szCs w:val="21"/>
              </w:rPr>
              <w:t>押金及保证金</w:t>
            </w:r>
          </w:p>
        </w:tc>
        <w:tc>
          <w:tcPr>
            <w:tcW w:w="1657" w:type="pct"/>
          </w:tcPr>
          <w:p w:rsidR="00156DD6" w:rsidRDefault="00D51F5F">
            <w:pPr>
              <w:jc w:val="right"/>
            </w:pPr>
            <w:r>
              <w:rPr>
                <w:rFonts w:hint="eastAsia"/>
              </w:rPr>
              <w:t xml:space="preserve"> 7,274,613.01 </w:t>
            </w:r>
          </w:p>
        </w:tc>
        <w:tc>
          <w:tcPr>
            <w:tcW w:w="1728" w:type="pct"/>
            <w:vAlign w:val="center"/>
          </w:tcPr>
          <w:p w:rsidR="00156DD6" w:rsidRDefault="00D51F5F">
            <w:pPr>
              <w:jc w:val="right"/>
            </w:pPr>
            <w:r>
              <w:t xml:space="preserve"> 6,605,337.52 </w:t>
            </w:r>
          </w:p>
        </w:tc>
      </w:tr>
      <w:tr w:rsidR="00156DD6">
        <w:tc>
          <w:tcPr>
            <w:tcW w:w="1615" w:type="pct"/>
          </w:tcPr>
          <w:p w:rsidR="00156DD6" w:rsidRDefault="00D51F5F">
            <w:pPr>
              <w:pStyle w:val="Style43"/>
              <w:rPr>
                <w:sz w:val="21"/>
                <w:szCs w:val="21"/>
              </w:rPr>
            </w:pPr>
            <w:r>
              <w:rPr>
                <w:sz w:val="21"/>
                <w:szCs w:val="21"/>
              </w:rPr>
              <w:t>其他</w:t>
            </w:r>
          </w:p>
        </w:tc>
        <w:tc>
          <w:tcPr>
            <w:tcW w:w="1657" w:type="pct"/>
          </w:tcPr>
          <w:p w:rsidR="00156DD6" w:rsidRDefault="00D51F5F">
            <w:pPr>
              <w:jc w:val="right"/>
            </w:pPr>
            <w:r>
              <w:rPr>
                <w:rFonts w:hint="eastAsia"/>
              </w:rPr>
              <w:t xml:space="preserve"> 15,856,018.71 </w:t>
            </w:r>
          </w:p>
        </w:tc>
        <w:tc>
          <w:tcPr>
            <w:tcW w:w="1728" w:type="pct"/>
            <w:vAlign w:val="center"/>
          </w:tcPr>
          <w:p w:rsidR="00156DD6" w:rsidRDefault="00D51F5F">
            <w:pPr>
              <w:jc w:val="right"/>
            </w:pPr>
            <w:r>
              <w:t xml:space="preserve"> 10,013,985.18 </w:t>
            </w:r>
          </w:p>
        </w:tc>
      </w:tr>
      <w:tr w:rsidR="00156DD6">
        <w:tc>
          <w:tcPr>
            <w:tcW w:w="1615" w:type="pct"/>
          </w:tcPr>
          <w:p w:rsidR="00156DD6" w:rsidRDefault="00D51F5F">
            <w:pPr>
              <w:jc w:val="center"/>
              <w:rPr>
                <w:color w:val="000000" w:themeColor="text1"/>
              </w:rPr>
            </w:pPr>
            <w:r>
              <w:rPr>
                <w:rFonts w:hint="eastAsia"/>
                <w:color w:val="000000" w:themeColor="text1"/>
              </w:rPr>
              <w:lastRenderedPageBreak/>
              <w:t>合计</w:t>
            </w:r>
          </w:p>
        </w:tc>
        <w:tc>
          <w:tcPr>
            <w:tcW w:w="1657" w:type="pct"/>
          </w:tcPr>
          <w:p w:rsidR="00156DD6" w:rsidRDefault="00D51F5F">
            <w:pPr>
              <w:jc w:val="right"/>
            </w:pPr>
            <w:r>
              <w:rPr>
                <w:rFonts w:hint="eastAsia"/>
              </w:rPr>
              <w:t xml:space="preserve"> 72,854,288.15 </w:t>
            </w:r>
          </w:p>
        </w:tc>
        <w:tc>
          <w:tcPr>
            <w:tcW w:w="1728" w:type="pct"/>
            <w:vAlign w:val="center"/>
          </w:tcPr>
          <w:p w:rsidR="00156DD6" w:rsidRDefault="00D51F5F">
            <w:pPr>
              <w:jc w:val="right"/>
            </w:pPr>
            <w:r>
              <w:t xml:space="preserve"> 60,784,232.00 </w:t>
            </w:r>
          </w:p>
        </w:tc>
      </w:tr>
    </w:tbl>
    <w:p w:rsidR="00156DD6" w:rsidRDefault="00D51F5F">
      <w:pPr>
        <w:rPr>
          <w:color w:val="000000" w:themeColor="text1"/>
        </w:rPr>
      </w:pPr>
      <w:r>
        <w:rPr>
          <w:rFonts w:hint="eastAsia"/>
          <w:color w:val="000000" w:themeColor="text1"/>
        </w:rPr>
        <w:t>账龄超过</w:t>
      </w:r>
      <w:r>
        <w:rPr>
          <w:color w:val="000000" w:themeColor="text1"/>
        </w:rPr>
        <w:t>1</w:t>
      </w:r>
      <w:r>
        <w:rPr>
          <w:color w:val="000000" w:themeColor="text1"/>
        </w:rPr>
        <w:t>年</w:t>
      </w:r>
      <w:r>
        <w:rPr>
          <w:rFonts w:hint="eastAsia"/>
          <w:color w:val="000000" w:themeColor="text1"/>
        </w:rPr>
        <w:t>或逾期</w:t>
      </w:r>
      <w:r>
        <w:rPr>
          <w:color w:val="000000" w:themeColor="text1"/>
        </w:rPr>
        <w:t>的重要其他应付款</w:t>
      </w:r>
    </w:p>
    <w:p w:rsidR="00156DD6" w:rsidRDefault="00D51F5F">
      <w:pPr>
        <w:rPr>
          <w:color w:val="000000" w:themeColor="text1"/>
        </w:rPr>
      </w:pPr>
      <w:sdt>
        <w:sdtPr>
          <w:rPr>
            <w:color w:val="000000" w:themeColor="text1"/>
          </w:rPr>
          <w:alias w:val="是否适用：账龄超过1年的重要其他应付款[双击切换]"/>
          <w:tag w:val="_GBC_484cd63ee8b54a41978c822ae4ec5689"/>
          <w:id w:val="-774625350"/>
          <w:placeholder>
            <w:docPart w:val="GBC22222222222222222222222222222"/>
          </w:placeholder>
        </w:sdtPr>
        <w:sdtEndPr/>
        <w:sdtContent>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p>
    <w:p w:rsidR="00156DD6" w:rsidRDefault="00D51F5F">
      <w:pPr>
        <w:rPr>
          <w:color w:val="000000" w:themeColor="text1"/>
        </w:rPr>
      </w:pPr>
      <w:r>
        <w:rPr>
          <w:rFonts w:hint="eastAsia"/>
          <w:color w:val="000000" w:themeColor="text1"/>
        </w:rPr>
        <w:t>其他说明：</w:t>
      </w:r>
    </w:p>
    <w:sdt>
      <w:sdtPr>
        <w:rPr>
          <w:color w:val="000000" w:themeColor="text1"/>
        </w:rPr>
        <w:alias w:val="是否适用：其他应付款的其他说明[双击切换]"/>
        <w:tag w:val="_GBC_c968ec386e144657884a6b5b483acbfd"/>
        <w:id w:val="146091003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397"/>
    <w:p w:rsidR="00156DD6" w:rsidRDefault="00D51F5F">
      <w:pPr>
        <w:pStyle w:val="TOC6"/>
        <w:numPr>
          <w:ilvl w:val="0"/>
          <w:numId w:val="53"/>
        </w:numPr>
        <w:rPr>
          <w:color w:val="000000" w:themeColor="text1"/>
          <w:sz w:val="21"/>
          <w:szCs w:val="22"/>
        </w:rPr>
      </w:pPr>
      <w:r>
        <w:rPr>
          <w:color w:val="000000" w:themeColor="text1"/>
          <w:sz w:val="21"/>
          <w:szCs w:val="22"/>
        </w:rPr>
        <w:t>持有待售负债</w:t>
      </w:r>
    </w:p>
    <w:sdt>
      <w:sdtPr>
        <w:rPr>
          <w:color w:val="000000" w:themeColor="text1"/>
        </w:rPr>
        <w:alias w:val="是否适用：划分为持有待售的负债[双击切换]"/>
        <w:tag w:val="_GBC_039b9e06b132407a89f578be468d6ec8"/>
        <w:id w:val="38615840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398" w:name="OLE_LINK12"/>
      <w:r>
        <w:rPr>
          <w:color w:val="000000" w:themeColor="text1"/>
          <w:sz w:val="21"/>
          <w:szCs w:val="22"/>
        </w:rPr>
        <w:t>1</w:t>
      </w:r>
      <w:r>
        <w:rPr>
          <w:color w:val="000000" w:themeColor="text1"/>
          <w:sz w:val="21"/>
          <w:szCs w:val="22"/>
        </w:rPr>
        <w:t>年内到期的非流动负债</w:t>
      </w:r>
    </w:p>
    <w:bookmarkEnd w:id="398" w:displacedByCustomXml="next"/>
    <w:sdt>
      <w:sdtPr>
        <w:rPr>
          <w:color w:val="000000" w:themeColor="text1"/>
        </w:rPr>
        <w:alias w:val="是否适用：1年内到期的非流动负债[双击切换]"/>
        <w:tag w:val="_GBC_9b606bc3f0cf4f77be9b0f299d212c73"/>
        <w:id w:val="21162380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1年内到期的非流动负债情况"/>
          <w:tag w:val="_GBC_7bad01766fa0485ea9c16109704ff32e"/>
          <w:id w:val="-9684254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1年内到期的非流动负债情况"/>
          <w:tag w:val="_GBC_25aa805434d340a6ade79870522c9640"/>
          <w:id w:val="17082178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61"/>
        <w:gridCol w:w="3026"/>
      </w:tblGrid>
      <w:tr w:rsidR="00156DD6">
        <w:sdt>
          <w:sdtPr>
            <w:tag w:val="_PLD_bf2815b84ebe4a1e94909ee96ec31ac1"/>
            <w:id w:val="732975111"/>
          </w:sdtPr>
          <w:sdtEndPr/>
          <w:sdtContent>
            <w:tc>
              <w:tcPr>
                <w:tcW w:w="1607" w:type="pct"/>
              </w:tcPr>
              <w:p w:rsidR="00156DD6" w:rsidRDefault="00D51F5F">
                <w:pPr>
                  <w:jc w:val="center"/>
                  <w:rPr>
                    <w:color w:val="000000" w:themeColor="text1"/>
                  </w:rPr>
                </w:pPr>
                <w:r>
                  <w:rPr>
                    <w:rFonts w:hint="eastAsia"/>
                    <w:color w:val="000000" w:themeColor="text1"/>
                  </w:rPr>
                  <w:t>项目</w:t>
                </w:r>
              </w:p>
            </w:tc>
          </w:sdtContent>
        </w:sdt>
        <w:sdt>
          <w:sdtPr>
            <w:tag w:val="_PLD_db7abcf611bc4296ad7bd9c8177202e0"/>
            <w:id w:val="1598206082"/>
          </w:sdtPr>
          <w:sdtEndPr/>
          <w:sdtContent>
            <w:tc>
              <w:tcPr>
                <w:tcW w:w="1678" w:type="pct"/>
              </w:tcPr>
              <w:p w:rsidR="00156DD6" w:rsidRDefault="00D51F5F">
                <w:pPr>
                  <w:jc w:val="center"/>
                  <w:rPr>
                    <w:color w:val="000000" w:themeColor="text1"/>
                  </w:rPr>
                </w:pPr>
                <w:r>
                  <w:rPr>
                    <w:rFonts w:hint="eastAsia"/>
                    <w:color w:val="000000" w:themeColor="text1"/>
                  </w:rPr>
                  <w:t>期末余额</w:t>
                </w:r>
              </w:p>
            </w:tc>
          </w:sdtContent>
        </w:sdt>
        <w:sdt>
          <w:sdtPr>
            <w:tag w:val="_PLD_371959274ef4493ca1fe426c930e0bf2"/>
            <w:id w:val="-872304570"/>
          </w:sdtPr>
          <w:sdtEndPr/>
          <w:sdtContent>
            <w:tc>
              <w:tcPr>
                <w:tcW w:w="1715" w:type="pct"/>
              </w:tcPr>
              <w:p w:rsidR="00156DD6" w:rsidRDefault="00D51F5F">
                <w:pPr>
                  <w:jc w:val="center"/>
                  <w:rPr>
                    <w:color w:val="000000" w:themeColor="text1"/>
                  </w:rPr>
                </w:pPr>
                <w:r>
                  <w:rPr>
                    <w:rFonts w:hint="eastAsia"/>
                    <w:color w:val="000000" w:themeColor="text1"/>
                  </w:rPr>
                  <w:t>期初余额</w:t>
                </w:r>
              </w:p>
            </w:tc>
          </w:sdtContent>
        </w:sdt>
      </w:tr>
      <w:tr w:rsidR="00156DD6">
        <w:tc>
          <w:tcPr>
            <w:tcW w:w="1607" w:type="pct"/>
          </w:tcPr>
          <w:p w:rsidR="00156DD6" w:rsidRDefault="00D51F5F">
            <w:pPr>
              <w:rPr>
                <w:color w:val="000000" w:themeColor="text1"/>
              </w:rPr>
            </w:pPr>
            <w:r>
              <w:rPr>
                <w:rFonts w:hint="eastAsia"/>
                <w:color w:val="000000" w:themeColor="text1"/>
              </w:rPr>
              <w:t>1</w:t>
            </w:r>
            <w:r>
              <w:rPr>
                <w:rFonts w:hint="eastAsia"/>
                <w:color w:val="000000" w:themeColor="text1"/>
              </w:rPr>
              <w:t>年内到期的长期借款</w:t>
            </w:r>
          </w:p>
        </w:tc>
        <w:tc>
          <w:tcPr>
            <w:tcW w:w="1678" w:type="pct"/>
            <w:vAlign w:val="center"/>
          </w:tcPr>
          <w:p w:rsidR="00156DD6" w:rsidRDefault="00D51F5F">
            <w:pPr>
              <w:jc w:val="right"/>
            </w:pPr>
            <w:r>
              <w:t xml:space="preserve"> 355,739,196.53 </w:t>
            </w:r>
          </w:p>
        </w:tc>
        <w:tc>
          <w:tcPr>
            <w:tcW w:w="1715" w:type="pct"/>
            <w:vAlign w:val="center"/>
          </w:tcPr>
          <w:p w:rsidR="00156DD6" w:rsidRDefault="00D51F5F">
            <w:pPr>
              <w:jc w:val="right"/>
            </w:pPr>
            <w:r>
              <w:t xml:space="preserve"> 496,047,235.70 </w:t>
            </w:r>
          </w:p>
        </w:tc>
      </w:tr>
      <w:tr w:rsidR="00156DD6">
        <w:tc>
          <w:tcPr>
            <w:tcW w:w="1607" w:type="pct"/>
          </w:tcPr>
          <w:p w:rsidR="00156DD6" w:rsidRDefault="00D51F5F">
            <w:pPr>
              <w:rPr>
                <w:color w:val="000000" w:themeColor="text1"/>
              </w:rPr>
            </w:pPr>
            <w:r>
              <w:rPr>
                <w:rFonts w:hint="eastAsia"/>
                <w:color w:val="000000" w:themeColor="text1"/>
              </w:rPr>
              <w:t>1</w:t>
            </w:r>
            <w:r>
              <w:rPr>
                <w:rFonts w:hint="eastAsia"/>
                <w:color w:val="000000" w:themeColor="text1"/>
              </w:rPr>
              <w:t>年内到期的长期应付款</w:t>
            </w:r>
          </w:p>
        </w:tc>
        <w:tc>
          <w:tcPr>
            <w:tcW w:w="1678" w:type="pct"/>
            <w:vAlign w:val="center"/>
          </w:tcPr>
          <w:p w:rsidR="00156DD6" w:rsidRDefault="00D51F5F">
            <w:pPr>
              <w:jc w:val="right"/>
            </w:pPr>
            <w:r>
              <w:t xml:space="preserve"> 40,419,623.49 </w:t>
            </w:r>
          </w:p>
        </w:tc>
        <w:tc>
          <w:tcPr>
            <w:tcW w:w="1715" w:type="pct"/>
            <w:vAlign w:val="center"/>
          </w:tcPr>
          <w:p w:rsidR="00156DD6" w:rsidRDefault="00156DD6">
            <w:pPr>
              <w:jc w:val="right"/>
            </w:pPr>
          </w:p>
        </w:tc>
      </w:tr>
      <w:tr w:rsidR="00156DD6">
        <w:tc>
          <w:tcPr>
            <w:tcW w:w="1607" w:type="pct"/>
          </w:tcPr>
          <w:p w:rsidR="00156DD6" w:rsidRDefault="00D51F5F">
            <w:pPr>
              <w:rPr>
                <w:color w:val="000000" w:themeColor="text1"/>
              </w:rPr>
            </w:pPr>
            <w:r>
              <w:rPr>
                <w:rFonts w:hint="eastAsia"/>
                <w:color w:val="000000" w:themeColor="text1"/>
              </w:rPr>
              <w:t>1</w:t>
            </w:r>
            <w:r>
              <w:rPr>
                <w:rFonts w:hint="eastAsia"/>
                <w:color w:val="000000" w:themeColor="text1"/>
              </w:rPr>
              <w:t>年内到期的租赁负债</w:t>
            </w:r>
          </w:p>
        </w:tc>
        <w:tc>
          <w:tcPr>
            <w:tcW w:w="1678" w:type="pct"/>
            <w:vAlign w:val="center"/>
          </w:tcPr>
          <w:p w:rsidR="00156DD6" w:rsidRDefault="00D51F5F">
            <w:pPr>
              <w:jc w:val="right"/>
            </w:pPr>
            <w:r>
              <w:t xml:space="preserve"> 4,134,370.47 </w:t>
            </w:r>
          </w:p>
        </w:tc>
        <w:tc>
          <w:tcPr>
            <w:tcW w:w="1715" w:type="pct"/>
            <w:vAlign w:val="center"/>
          </w:tcPr>
          <w:p w:rsidR="00156DD6" w:rsidRDefault="00D51F5F">
            <w:pPr>
              <w:jc w:val="right"/>
            </w:pPr>
            <w:r>
              <w:t xml:space="preserve"> 3,166,742.50 </w:t>
            </w:r>
          </w:p>
        </w:tc>
      </w:tr>
      <w:tr w:rsidR="00156DD6">
        <w:tc>
          <w:tcPr>
            <w:tcW w:w="1607" w:type="pct"/>
          </w:tcPr>
          <w:p w:rsidR="00156DD6" w:rsidRDefault="00D51F5F">
            <w:pPr>
              <w:jc w:val="center"/>
              <w:rPr>
                <w:color w:val="000000" w:themeColor="text1"/>
              </w:rPr>
            </w:pPr>
            <w:r>
              <w:rPr>
                <w:rFonts w:hint="eastAsia"/>
                <w:color w:val="000000" w:themeColor="text1"/>
              </w:rPr>
              <w:t>合计</w:t>
            </w:r>
          </w:p>
        </w:tc>
        <w:tc>
          <w:tcPr>
            <w:tcW w:w="1678" w:type="pct"/>
            <w:vAlign w:val="center"/>
          </w:tcPr>
          <w:p w:rsidR="00156DD6" w:rsidRDefault="00D51F5F">
            <w:pPr>
              <w:jc w:val="right"/>
            </w:pPr>
            <w:r>
              <w:t xml:space="preserve"> 400,293,190.49 </w:t>
            </w:r>
          </w:p>
        </w:tc>
        <w:tc>
          <w:tcPr>
            <w:tcW w:w="1715" w:type="pct"/>
            <w:vAlign w:val="center"/>
          </w:tcPr>
          <w:p w:rsidR="00156DD6" w:rsidRDefault="00D51F5F">
            <w:pPr>
              <w:jc w:val="right"/>
            </w:pPr>
            <w:r>
              <w:t xml:space="preserve"> 499,213,978.20 </w:t>
            </w:r>
          </w:p>
        </w:tc>
      </w:tr>
    </w:tbl>
    <w:p w:rsidR="00156DD6" w:rsidRDefault="00D51F5F">
      <w:pPr>
        <w:rPr>
          <w:color w:val="000000" w:themeColor="text1"/>
        </w:rPr>
      </w:pPr>
      <w:r>
        <w:rPr>
          <w:rFonts w:hint="eastAsia"/>
          <w:color w:val="000000" w:themeColor="text1"/>
        </w:rPr>
        <w:t>其他说明：</w:t>
      </w:r>
    </w:p>
    <w:sdt>
      <w:sdtPr>
        <w:rPr>
          <w:color w:val="000000" w:themeColor="text1"/>
        </w:rPr>
        <w:alias w:val="1年内到期的非流动负债说明"/>
        <w:tag w:val="_GBC_ae2cc1bff1994660ac9e57279493bfe6"/>
        <w:id w:val="-1090616370"/>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r>
        <w:rPr>
          <w:color w:val="000000" w:themeColor="text1"/>
          <w:sz w:val="21"/>
          <w:szCs w:val="22"/>
        </w:rPr>
        <w:t>其他流动负债</w:t>
      </w:r>
      <w:bookmarkStart w:id="399" w:name="_Hlk10536328"/>
    </w:p>
    <w:sdt>
      <w:sdtPr>
        <w:rPr>
          <w:rFonts w:hint="eastAsia"/>
          <w:color w:val="000000" w:themeColor="text1"/>
        </w:rPr>
        <w:alias w:val="是否适用：其他流动负债情况 [双击切换]"/>
        <w:tag w:val="_GBC_80907e3e53c44260b850f42646eb3d63"/>
        <w:id w:val="-776565800"/>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其他流动负债"/>
          <w:tag w:val="_GBC_6d31349460124941a4929421727aab0e"/>
          <w:id w:val="8388138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流动负债"/>
          <w:tag w:val="_GBC_7d8c93066ac541859a45d371953d3cdc"/>
          <w:id w:val="-3541192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3040"/>
        <w:gridCol w:w="3051"/>
      </w:tblGrid>
      <w:tr w:rsidR="00156DD6">
        <w:trPr>
          <w:jc w:val="center"/>
        </w:trPr>
        <w:sdt>
          <w:sdtPr>
            <w:tag w:val="_PLD_8fb682e3d6ad4a60b648ec38137fbf9d"/>
            <w:id w:val="1395938727"/>
          </w:sdt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156DD6" w:rsidRDefault="00D51F5F">
                <w:pPr>
                  <w:tabs>
                    <w:tab w:val="right" w:pos="3690"/>
                    <w:tab w:val="right" w:pos="5130"/>
                    <w:tab w:val="right" w:pos="6030"/>
                    <w:tab w:val="right" w:pos="7650"/>
                    <w:tab w:val="right" w:pos="9270"/>
                  </w:tabs>
                  <w:snapToGrid w:val="0"/>
                  <w:ind w:leftChars="-52" w:left="-109"/>
                  <w:jc w:val="center"/>
                  <w:rPr>
                    <w:color w:val="000000" w:themeColor="text1"/>
                  </w:rPr>
                </w:pPr>
                <w:r>
                  <w:rPr>
                    <w:rFonts w:hint="eastAsia"/>
                    <w:color w:val="000000" w:themeColor="text1"/>
                  </w:rPr>
                  <w:t>项目</w:t>
                </w:r>
              </w:p>
            </w:tc>
          </w:sdtContent>
        </w:sdt>
        <w:sdt>
          <w:sdtPr>
            <w:tag w:val="_PLD_0c0b762dc58f486f9f736b7ace21e9a0"/>
            <w:id w:val="1128207915"/>
          </w:sdtPr>
          <w:sdtEndPr/>
          <w:sdtContent>
            <w:tc>
              <w:tcPr>
                <w:tcW w:w="1723" w:type="pct"/>
                <w:tcBorders>
                  <w:top w:val="single" w:sz="4" w:space="0" w:color="auto"/>
                  <w:left w:val="single" w:sz="4" w:space="0" w:color="auto"/>
                  <w:bottom w:val="single" w:sz="4" w:space="0" w:color="auto"/>
                  <w:right w:val="single" w:sz="4" w:space="0" w:color="auto"/>
                </w:tcBorders>
              </w:tcPr>
              <w:p w:rsidR="00156DD6" w:rsidRDefault="00D51F5F">
                <w:pPr>
                  <w:adjustRightInd w:val="0"/>
                  <w:snapToGrid w:val="0"/>
                  <w:jc w:val="center"/>
                  <w:rPr>
                    <w:color w:val="000000" w:themeColor="text1"/>
                  </w:rPr>
                </w:pPr>
                <w:r>
                  <w:rPr>
                    <w:rFonts w:hint="eastAsia"/>
                    <w:color w:val="000000" w:themeColor="text1"/>
                  </w:rPr>
                  <w:t>期末余额</w:t>
                </w:r>
              </w:p>
            </w:tc>
          </w:sdtContent>
        </w:sdt>
        <w:sdt>
          <w:sdtPr>
            <w:tag w:val="_PLD_942d693f41424f82b813e282a8210643"/>
            <w:id w:val="-1232230534"/>
          </w:sdtPr>
          <w:sdtEndPr/>
          <w:sdtContent>
            <w:tc>
              <w:tcPr>
                <w:tcW w:w="1729" w:type="pct"/>
                <w:tcBorders>
                  <w:top w:val="single" w:sz="4" w:space="0" w:color="auto"/>
                  <w:left w:val="single" w:sz="4" w:space="0" w:color="auto"/>
                  <w:bottom w:val="single" w:sz="4" w:space="0" w:color="auto"/>
                  <w:right w:val="single" w:sz="4" w:space="0" w:color="auto"/>
                </w:tcBorders>
              </w:tcPr>
              <w:p w:rsidR="00156DD6" w:rsidRDefault="00D51F5F">
                <w:pPr>
                  <w:adjustRightInd w:val="0"/>
                  <w:snapToGrid w:val="0"/>
                  <w:jc w:val="center"/>
                  <w:rPr>
                    <w:color w:val="000000" w:themeColor="text1"/>
                  </w:rPr>
                </w:pPr>
                <w:r>
                  <w:rPr>
                    <w:rFonts w:hint="eastAsia"/>
                    <w:color w:val="000000" w:themeColor="text1"/>
                  </w:rPr>
                  <w:t>期初余额</w:t>
                </w:r>
              </w:p>
            </w:tc>
          </w:sdtContent>
        </w:sdt>
      </w:tr>
      <w:tr w:rsidR="00156DD6">
        <w:trPr>
          <w:jc w:val="center"/>
        </w:trPr>
        <w:tc>
          <w:tcPr>
            <w:tcW w:w="154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rPr>
              <w:t>未终止确认的商业票据</w:t>
            </w:r>
          </w:p>
        </w:tc>
        <w:tc>
          <w:tcPr>
            <w:tcW w:w="172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241,560,726.05 </w:t>
            </w:r>
          </w:p>
        </w:tc>
        <w:tc>
          <w:tcPr>
            <w:tcW w:w="172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248,607,895.47 </w:t>
            </w:r>
          </w:p>
        </w:tc>
      </w:tr>
      <w:tr w:rsidR="00156DD6">
        <w:trPr>
          <w:jc w:val="center"/>
        </w:trPr>
        <w:tc>
          <w:tcPr>
            <w:tcW w:w="154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rPr>
              <w:t>待转销项税额</w:t>
            </w:r>
          </w:p>
        </w:tc>
        <w:tc>
          <w:tcPr>
            <w:tcW w:w="172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12,363,305.80 </w:t>
            </w:r>
          </w:p>
        </w:tc>
        <w:tc>
          <w:tcPr>
            <w:tcW w:w="172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9,951,643.96 </w:t>
            </w:r>
          </w:p>
        </w:tc>
      </w:tr>
      <w:tr w:rsidR="00156DD6">
        <w:trPr>
          <w:jc w:val="center"/>
        </w:trPr>
        <w:tc>
          <w:tcPr>
            <w:tcW w:w="1548"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合计</w:t>
            </w:r>
          </w:p>
        </w:tc>
        <w:tc>
          <w:tcPr>
            <w:tcW w:w="172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253,924,031.85 </w:t>
            </w:r>
          </w:p>
        </w:tc>
        <w:tc>
          <w:tcPr>
            <w:tcW w:w="172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258,559,539.43 </w:t>
            </w:r>
          </w:p>
        </w:tc>
      </w:tr>
    </w:tbl>
    <w:p w:rsidR="00156DD6" w:rsidRDefault="00D51F5F">
      <w:pPr>
        <w:rPr>
          <w:color w:val="000000" w:themeColor="text1"/>
        </w:rPr>
      </w:pPr>
      <w:bookmarkStart w:id="400" w:name="_Hlk167968687"/>
      <w:bookmarkEnd w:id="399"/>
      <w:r>
        <w:rPr>
          <w:rFonts w:hint="eastAsia"/>
          <w:color w:val="000000" w:themeColor="text1"/>
        </w:rPr>
        <w:t>短期</w:t>
      </w:r>
      <w:r>
        <w:rPr>
          <w:color w:val="000000" w:themeColor="text1"/>
        </w:rPr>
        <w:t>应付债券的增减变动</w:t>
      </w:r>
      <w:r>
        <w:rPr>
          <w:rFonts w:hint="eastAsia"/>
          <w:color w:val="000000" w:themeColor="text1"/>
        </w:rPr>
        <w:t>：</w:t>
      </w:r>
    </w:p>
    <w:sdt>
      <w:sdtPr>
        <w:rPr>
          <w:color w:val="000000" w:themeColor="text1"/>
        </w:rPr>
        <w:alias w:val="是否适用：短期应付债券的增减变动[双击切换]"/>
        <w:tag w:val="_GBC_564144f89f7f4019bdcd86b0e624bfee"/>
        <w:id w:val="158395598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00"/>
    <w:p w:rsidR="00156DD6" w:rsidRDefault="00D51F5F">
      <w:pPr>
        <w:spacing w:before="60" w:after="60"/>
        <w:rPr>
          <w:color w:val="000000" w:themeColor="text1"/>
        </w:rPr>
      </w:pPr>
      <w:r>
        <w:rPr>
          <w:rFonts w:hint="eastAsia"/>
          <w:color w:val="000000" w:themeColor="text1"/>
        </w:rPr>
        <w:t>其他说明：</w:t>
      </w:r>
    </w:p>
    <w:sdt>
      <w:sdtPr>
        <w:rPr>
          <w:color w:val="000000" w:themeColor="text1"/>
        </w:rPr>
        <w:alias w:val="是否适用：其他流动负债说明[双击切换]"/>
        <w:tag w:val="_GBC_6ebc9e220fb04ea584ed56f756d92d59"/>
        <w:id w:val="-1372536201"/>
        <w:placeholder>
          <w:docPart w:val="GBC22222222222222222222222222222"/>
        </w:placeholder>
      </w:sdtPr>
      <w:sdtEndPr/>
      <w:sdtContent>
        <w:p w:rsidR="00156DD6" w:rsidRDefault="00D51F5F">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长期借款</w:t>
      </w:r>
    </w:p>
    <w:p w:rsidR="00156DD6" w:rsidRDefault="00D51F5F">
      <w:pPr>
        <w:pStyle w:val="Style47"/>
        <w:numPr>
          <w:ilvl w:val="0"/>
          <w:numId w:val="74"/>
        </w:numPr>
        <w:tabs>
          <w:tab w:val="left" w:pos="630"/>
        </w:tabs>
        <w:ind w:left="420"/>
        <w:rPr>
          <w:rFonts w:ascii="宋体" w:hAnsi="宋体"/>
          <w:color w:val="000000" w:themeColor="text1"/>
          <w:sz w:val="21"/>
          <w:szCs w:val="21"/>
        </w:rPr>
      </w:pPr>
      <w:r>
        <w:rPr>
          <w:rFonts w:ascii="宋体" w:hAnsi="宋体" w:hint="eastAsia"/>
          <w:color w:val="000000" w:themeColor="text1"/>
          <w:sz w:val="21"/>
          <w:szCs w:val="21"/>
        </w:rPr>
        <w:t>长期借款分类</w:t>
      </w:r>
    </w:p>
    <w:sdt>
      <w:sdtPr>
        <w:rPr>
          <w:color w:val="000000" w:themeColor="text1"/>
        </w:rPr>
        <w:alias w:val="是否适用：长期借款分类[双击切换]"/>
        <w:tag w:val="_GBC_6ef43a5268e7491db189883a31952469"/>
        <w:id w:val="-137230187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长期借款分类"/>
          <w:tag w:val="_GBC_146f044f7fd14a45bf9247f0af389a14"/>
          <w:id w:val="-6512096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借款分类"/>
          <w:tag w:val="_GBC_7570ad6f1fd04c3d939be649ce4cfc30"/>
          <w:id w:val="16766152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75"/>
        <w:gridCol w:w="2975"/>
        <w:gridCol w:w="2873"/>
      </w:tblGrid>
      <w:tr w:rsidR="00156DD6">
        <w:trPr>
          <w:cantSplit/>
        </w:trPr>
        <w:sdt>
          <w:sdtPr>
            <w:tag w:val="_PLD_3ee60507a6384334b819485e73faa1f4"/>
            <w:id w:val="2024127239"/>
          </w:sdtPr>
          <w:sdtEndPr/>
          <w:sdtContent>
            <w:tc>
              <w:tcPr>
                <w:tcW w:w="1686" w:type="pct"/>
              </w:tcPr>
              <w:p w:rsidR="00156DD6" w:rsidRDefault="00D51F5F">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d2a4fabfb296457384b1523a60233642"/>
            <w:id w:val="1556899773"/>
          </w:sdtPr>
          <w:sdtEndPr/>
          <w:sdtContent>
            <w:tc>
              <w:tcPr>
                <w:tcW w:w="1686" w:type="pct"/>
              </w:tcPr>
              <w:p w:rsidR="00156DD6" w:rsidRDefault="00D51F5F">
                <w:pPr>
                  <w:jc w:val="center"/>
                  <w:rPr>
                    <w:color w:val="000000" w:themeColor="text1"/>
                  </w:rPr>
                </w:pPr>
                <w:r>
                  <w:rPr>
                    <w:rFonts w:hint="eastAsia"/>
                    <w:color w:val="000000" w:themeColor="text1"/>
                  </w:rPr>
                  <w:t>期末余额</w:t>
                </w:r>
              </w:p>
            </w:tc>
          </w:sdtContent>
        </w:sdt>
        <w:sdt>
          <w:sdtPr>
            <w:tag w:val="_PLD_aab598d4b37f4953a2ee9b7475cb43e6"/>
            <w:id w:val="333496023"/>
          </w:sdtPr>
          <w:sdtEndPr/>
          <w:sdtContent>
            <w:tc>
              <w:tcPr>
                <w:tcW w:w="1628" w:type="pct"/>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1686" w:type="pct"/>
          </w:tcPr>
          <w:p w:rsidR="00156DD6" w:rsidRDefault="00D51F5F">
            <w:pPr>
              <w:autoSpaceDE w:val="0"/>
              <w:autoSpaceDN w:val="0"/>
              <w:adjustRightInd w:val="0"/>
              <w:snapToGrid w:val="0"/>
              <w:jc w:val="both"/>
            </w:pPr>
            <w:r>
              <w:rPr>
                <w:rFonts w:hint="eastAsia"/>
              </w:rPr>
              <w:t>信用借款</w:t>
            </w:r>
          </w:p>
        </w:tc>
        <w:tc>
          <w:tcPr>
            <w:tcW w:w="1686" w:type="pct"/>
            <w:vAlign w:val="center"/>
          </w:tcPr>
          <w:p w:rsidR="00156DD6" w:rsidRDefault="00D51F5F">
            <w:pPr>
              <w:autoSpaceDE w:val="0"/>
              <w:autoSpaceDN w:val="0"/>
              <w:adjustRightInd w:val="0"/>
              <w:snapToGrid w:val="0"/>
              <w:ind w:right="180"/>
              <w:jc w:val="right"/>
            </w:pPr>
            <w:r>
              <w:t xml:space="preserve"> 673,189,809.39 </w:t>
            </w:r>
          </w:p>
        </w:tc>
        <w:tc>
          <w:tcPr>
            <w:tcW w:w="1628" w:type="pct"/>
            <w:vAlign w:val="center"/>
          </w:tcPr>
          <w:p w:rsidR="00156DD6" w:rsidRDefault="00D51F5F">
            <w:pPr>
              <w:jc w:val="right"/>
            </w:pPr>
            <w:r>
              <w:t>490,210,739.45</w:t>
            </w:r>
          </w:p>
        </w:tc>
      </w:tr>
      <w:tr w:rsidR="00156DD6">
        <w:trPr>
          <w:cantSplit/>
        </w:trPr>
        <w:tc>
          <w:tcPr>
            <w:tcW w:w="1686" w:type="pct"/>
          </w:tcPr>
          <w:p w:rsidR="00156DD6" w:rsidRDefault="00D51F5F">
            <w:pPr>
              <w:autoSpaceDE w:val="0"/>
              <w:autoSpaceDN w:val="0"/>
              <w:adjustRightInd w:val="0"/>
              <w:snapToGrid w:val="0"/>
              <w:jc w:val="both"/>
            </w:pPr>
            <w:r>
              <w:rPr>
                <w:rFonts w:hint="eastAsia"/>
              </w:rPr>
              <w:t>质押借款</w:t>
            </w:r>
          </w:p>
        </w:tc>
        <w:tc>
          <w:tcPr>
            <w:tcW w:w="1686" w:type="pct"/>
            <w:vAlign w:val="center"/>
          </w:tcPr>
          <w:p w:rsidR="00156DD6" w:rsidRDefault="00D51F5F">
            <w:pPr>
              <w:autoSpaceDE w:val="0"/>
              <w:autoSpaceDN w:val="0"/>
              <w:adjustRightInd w:val="0"/>
              <w:snapToGrid w:val="0"/>
              <w:ind w:right="180"/>
              <w:jc w:val="right"/>
            </w:pPr>
            <w:r>
              <w:t xml:space="preserve"> 336,709,750.01 </w:t>
            </w:r>
          </w:p>
        </w:tc>
        <w:tc>
          <w:tcPr>
            <w:tcW w:w="1628" w:type="pct"/>
            <w:vAlign w:val="center"/>
          </w:tcPr>
          <w:p w:rsidR="00156DD6" w:rsidRDefault="00D51F5F">
            <w:pPr>
              <w:jc w:val="right"/>
            </w:pPr>
            <w:r>
              <w:t>300,293,333.34</w:t>
            </w:r>
          </w:p>
        </w:tc>
      </w:tr>
      <w:tr w:rsidR="00156DD6">
        <w:trPr>
          <w:cantSplit/>
        </w:trPr>
        <w:tc>
          <w:tcPr>
            <w:tcW w:w="1686" w:type="pct"/>
          </w:tcPr>
          <w:p w:rsidR="00156DD6" w:rsidRDefault="00D51F5F">
            <w:pPr>
              <w:autoSpaceDE w:val="0"/>
              <w:autoSpaceDN w:val="0"/>
              <w:adjustRightInd w:val="0"/>
              <w:snapToGrid w:val="0"/>
              <w:jc w:val="both"/>
            </w:pPr>
            <w:r>
              <w:rPr>
                <w:rFonts w:hint="eastAsia"/>
              </w:rPr>
              <w:t>抵押借款</w:t>
            </w:r>
          </w:p>
        </w:tc>
        <w:tc>
          <w:tcPr>
            <w:tcW w:w="1686" w:type="pct"/>
            <w:vAlign w:val="center"/>
          </w:tcPr>
          <w:p w:rsidR="00156DD6" w:rsidRDefault="00D51F5F">
            <w:pPr>
              <w:autoSpaceDE w:val="0"/>
              <w:autoSpaceDN w:val="0"/>
              <w:adjustRightInd w:val="0"/>
              <w:snapToGrid w:val="0"/>
              <w:ind w:right="180"/>
              <w:jc w:val="right"/>
            </w:pPr>
            <w:r>
              <w:t xml:space="preserve"> 241,664,565.56 </w:t>
            </w:r>
          </w:p>
        </w:tc>
        <w:tc>
          <w:tcPr>
            <w:tcW w:w="1628" w:type="pct"/>
            <w:vAlign w:val="center"/>
          </w:tcPr>
          <w:p w:rsidR="00156DD6" w:rsidRDefault="00D51F5F">
            <w:pPr>
              <w:jc w:val="right"/>
            </w:pPr>
            <w:r>
              <w:t>191,831,006.89</w:t>
            </w:r>
          </w:p>
        </w:tc>
      </w:tr>
      <w:tr w:rsidR="00156DD6">
        <w:trPr>
          <w:cantSplit/>
        </w:trPr>
        <w:tc>
          <w:tcPr>
            <w:tcW w:w="1686" w:type="pct"/>
          </w:tcPr>
          <w:p w:rsidR="00156DD6" w:rsidRDefault="00D51F5F">
            <w:pPr>
              <w:autoSpaceDE w:val="0"/>
              <w:autoSpaceDN w:val="0"/>
              <w:adjustRightInd w:val="0"/>
              <w:snapToGrid w:val="0"/>
              <w:jc w:val="both"/>
            </w:pPr>
            <w:r>
              <w:t>保证借款</w:t>
            </w:r>
          </w:p>
        </w:tc>
        <w:tc>
          <w:tcPr>
            <w:tcW w:w="1686" w:type="pct"/>
            <w:vAlign w:val="center"/>
          </w:tcPr>
          <w:p w:rsidR="00156DD6" w:rsidRDefault="00D51F5F">
            <w:pPr>
              <w:autoSpaceDE w:val="0"/>
              <w:autoSpaceDN w:val="0"/>
              <w:adjustRightInd w:val="0"/>
              <w:snapToGrid w:val="0"/>
              <w:ind w:right="180"/>
              <w:jc w:val="right"/>
            </w:pPr>
            <w:r>
              <w:t>162,604,724.32</w:t>
            </w:r>
          </w:p>
        </w:tc>
        <w:tc>
          <w:tcPr>
            <w:tcW w:w="1628" w:type="pct"/>
            <w:vAlign w:val="center"/>
          </w:tcPr>
          <w:p w:rsidR="00156DD6" w:rsidRDefault="00D51F5F">
            <w:pPr>
              <w:jc w:val="right"/>
            </w:pPr>
            <w:r>
              <w:t>10,000,000.00</w:t>
            </w:r>
          </w:p>
        </w:tc>
      </w:tr>
      <w:tr w:rsidR="00156DD6">
        <w:trPr>
          <w:cantSplit/>
        </w:trPr>
        <w:tc>
          <w:tcPr>
            <w:tcW w:w="1686" w:type="pct"/>
          </w:tcPr>
          <w:p w:rsidR="00156DD6" w:rsidRDefault="00D51F5F">
            <w:pPr>
              <w:autoSpaceDE w:val="0"/>
              <w:autoSpaceDN w:val="0"/>
              <w:adjustRightInd w:val="0"/>
              <w:snapToGrid w:val="0"/>
              <w:jc w:val="both"/>
            </w:pPr>
            <w:r>
              <w:rPr>
                <w:rFonts w:hint="eastAsia"/>
              </w:rPr>
              <w:t>保证及抵押借款</w:t>
            </w:r>
          </w:p>
        </w:tc>
        <w:tc>
          <w:tcPr>
            <w:tcW w:w="1686" w:type="pct"/>
            <w:vAlign w:val="center"/>
          </w:tcPr>
          <w:p w:rsidR="00156DD6" w:rsidRDefault="00D51F5F">
            <w:pPr>
              <w:autoSpaceDE w:val="0"/>
              <w:autoSpaceDN w:val="0"/>
              <w:adjustRightInd w:val="0"/>
              <w:snapToGrid w:val="0"/>
              <w:ind w:right="180"/>
              <w:jc w:val="right"/>
            </w:pPr>
            <w:r>
              <w:t xml:space="preserve"> 25,105,716.68 </w:t>
            </w:r>
          </w:p>
        </w:tc>
        <w:tc>
          <w:tcPr>
            <w:tcW w:w="1628" w:type="pct"/>
            <w:vAlign w:val="center"/>
          </w:tcPr>
          <w:p w:rsidR="00156DD6" w:rsidRDefault="00D51F5F">
            <w:pPr>
              <w:jc w:val="right"/>
            </w:pPr>
            <w:r>
              <w:t>111,236,386.20</w:t>
            </w:r>
          </w:p>
        </w:tc>
      </w:tr>
      <w:tr w:rsidR="00156DD6">
        <w:trPr>
          <w:cantSplit/>
        </w:trPr>
        <w:tc>
          <w:tcPr>
            <w:tcW w:w="1686"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合计</w:t>
            </w:r>
          </w:p>
        </w:tc>
        <w:tc>
          <w:tcPr>
            <w:tcW w:w="1686" w:type="pct"/>
            <w:vAlign w:val="center"/>
          </w:tcPr>
          <w:p w:rsidR="00156DD6" w:rsidRDefault="00D51F5F">
            <w:pPr>
              <w:autoSpaceDE w:val="0"/>
              <w:autoSpaceDN w:val="0"/>
              <w:adjustRightInd w:val="0"/>
              <w:snapToGrid w:val="0"/>
              <w:ind w:right="180"/>
              <w:jc w:val="right"/>
            </w:pPr>
            <w:r>
              <w:t xml:space="preserve"> 1,439,274,565.96 </w:t>
            </w:r>
          </w:p>
        </w:tc>
        <w:tc>
          <w:tcPr>
            <w:tcW w:w="1628" w:type="pct"/>
            <w:vAlign w:val="center"/>
          </w:tcPr>
          <w:p w:rsidR="00156DD6" w:rsidRDefault="00D51F5F">
            <w:pPr>
              <w:jc w:val="right"/>
            </w:pPr>
            <w:r>
              <w:t>1,103,571,465.88</w:t>
            </w:r>
          </w:p>
        </w:tc>
      </w:tr>
    </w:tbl>
    <w:p w:rsidR="00156DD6" w:rsidRDefault="00D51F5F">
      <w:pPr>
        <w:snapToGrid w:val="0"/>
        <w:spacing w:before="60" w:after="60" w:line="240" w:lineRule="atLeast"/>
        <w:rPr>
          <w:color w:val="000000" w:themeColor="text1"/>
        </w:rPr>
      </w:pPr>
      <w:r>
        <w:rPr>
          <w:rFonts w:hint="eastAsia"/>
          <w:color w:val="000000" w:themeColor="text1"/>
        </w:rPr>
        <w:t>长期借款分类的说明：</w:t>
      </w:r>
    </w:p>
    <w:sdt>
      <w:sdtPr>
        <w:rPr>
          <w:color w:val="000000" w:themeColor="text1"/>
        </w:rPr>
        <w:alias w:val="长期借款分类的说明"/>
        <w:tag w:val="_GBC_c93626a5eade42f48eca926da85f3afb"/>
        <w:id w:val="-1327279388"/>
        <w:placeholder>
          <w:docPart w:val="GBC22222222222222222222222222222"/>
        </w:placeholder>
      </w:sdtPr>
      <w:sdtEndPr/>
      <w:sdtContent>
        <w:p w:rsidR="00156DD6" w:rsidRDefault="00D51F5F">
          <w:pPr>
            <w:snapToGrid w:val="0"/>
            <w:spacing w:line="360" w:lineRule="exact"/>
            <w:ind w:firstLineChars="200" w:firstLine="420"/>
            <w:rPr>
              <w:rFonts w:cstheme="minorBidi"/>
              <w:color w:val="000000" w:themeColor="text1"/>
              <w:kern w:val="2"/>
            </w:rPr>
          </w:pPr>
          <w:r>
            <w:rPr>
              <w:rFonts w:hint="eastAsia"/>
              <w:color w:val="000000" w:themeColor="text1"/>
            </w:rPr>
            <w:t>质押借款系公司将云变电气</w:t>
          </w:r>
          <w:r>
            <w:rPr>
              <w:rFonts w:hint="eastAsia"/>
              <w:color w:val="000000" w:themeColor="text1"/>
            </w:rPr>
            <w:t>79.97%</w:t>
          </w:r>
          <w:r>
            <w:rPr>
              <w:rFonts w:hint="eastAsia"/>
              <w:color w:val="000000" w:themeColor="text1"/>
            </w:rPr>
            <w:t>股权出质给交通银行股份有限公司重庆市分行及中国进出口银行重庆分行。</w:t>
          </w:r>
        </w:p>
      </w:sdtContent>
    </w:sdt>
    <w:p w:rsidR="00156DD6" w:rsidRDefault="00D51F5F">
      <w:pPr>
        <w:snapToGrid w:val="0"/>
        <w:rPr>
          <w:color w:val="000000" w:themeColor="text1"/>
        </w:rPr>
      </w:pPr>
      <w:r>
        <w:rPr>
          <w:rFonts w:hint="eastAsia"/>
          <w:color w:val="000000" w:themeColor="text1"/>
        </w:rPr>
        <w:t>其他说明</w:t>
      </w:r>
      <w:r>
        <w:rPr>
          <w:color w:val="000000" w:themeColor="text1"/>
        </w:rPr>
        <w:t xml:space="preserve"> </w:t>
      </w:r>
    </w:p>
    <w:sdt>
      <w:sdtPr>
        <w:rPr>
          <w:color w:val="000000" w:themeColor="text1"/>
        </w:rPr>
        <w:alias w:val="是否适用：长期借款的说明[双击切换]"/>
        <w:tag w:val="_GBC_1dc67be6516c4de3956a80023674c75a"/>
        <w:id w:val="1235275255"/>
        <w:placeholder>
          <w:docPart w:val="GBC22222222222222222222222222222"/>
        </w:placeholder>
      </w:sdtPr>
      <w:sdtEndPr/>
      <w:sdtContent>
        <w:p w:rsidR="00156DD6" w:rsidRDefault="00D51F5F">
          <w:pPr>
            <w:snapToGrid w:val="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lastRenderedPageBreak/>
        <w:t>应付债券</w:t>
      </w:r>
    </w:p>
    <w:p w:rsidR="00156DD6" w:rsidRDefault="00D51F5F">
      <w:pPr>
        <w:pStyle w:val="Style47"/>
        <w:numPr>
          <w:ilvl w:val="0"/>
          <w:numId w:val="75"/>
        </w:numPr>
        <w:tabs>
          <w:tab w:val="left" w:pos="672"/>
        </w:tabs>
        <w:rPr>
          <w:rFonts w:ascii="宋体" w:hAnsi="宋体"/>
          <w:color w:val="000000" w:themeColor="text1"/>
          <w:sz w:val="21"/>
          <w:szCs w:val="21"/>
        </w:rPr>
      </w:pPr>
      <w:r>
        <w:rPr>
          <w:rFonts w:ascii="宋体" w:hAnsi="宋体" w:hint="eastAsia"/>
          <w:color w:val="000000" w:themeColor="text1"/>
          <w:sz w:val="21"/>
          <w:szCs w:val="21"/>
        </w:rPr>
        <w:t>应付债券</w:t>
      </w:r>
    </w:p>
    <w:sdt>
      <w:sdtPr>
        <w:rPr>
          <w:rFonts w:hint="eastAsia"/>
          <w:color w:val="000000" w:themeColor="text1"/>
        </w:rPr>
        <w:alias w:val="是否适用：应付债券[双击切换]"/>
        <w:tag w:val="_GBC_b07c291c892844efaca56bc1d52b1566"/>
        <w:id w:val="-17396346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5"/>
        </w:numPr>
        <w:tabs>
          <w:tab w:val="left" w:pos="672"/>
        </w:tabs>
        <w:rPr>
          <w:rFonts w:ascii="宋体" w:hAnsi="宋体"/>
          <w:color w:val="000000" w:themeColor="text1"/>
          <w:sz w:val="21"/>
          <w:szCs w:val="21"/>
        </w:rPr>
      </w:pPr>
      <w:bookmarkStart w:id="401" w:name="_Hlk167968813"/>
      <w:bookmarkStart w:id="402" w:name="OLE_LINK16"/>
      <w:bookmarkStart w:id="403" w:name="OLE_LINK18"/>
      <w:r>
        <w:rPr>
          <w:rFonts w:ascii="宋体" w:hAnsi="宋体" w:hint="eastAsia"/>
          <w:color w:val="000000" w:themeColor="text1"/>
          <w:sz w:val="21"/>
          <w:szCs w:val="21"/>
        </w:rPr>
        <w:t>应付债券的具体情况：（不包括划分为金融负债的优先股、永续债等其他金融工具）</w:t>
      </w:r>
    </w:p>
    <w:sdt>
      <w:sdtPr>
        <w:rPr>
          <w:color w:val="000000" w:themeColor="text1"/>
        </w:rPr>
        <w:alias w:val="是否适用：应付债券的增减变动[双击切换]"/>
        <w:tag w:val="_GBC_6610dc08d094426e9d4fdad85eee6da2"/>
        <w:id w:val="141712694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5"/>
        </w:numPr>
        <w:tabs>
          <w:tab w:val="left" w:pos="672"/>
        </w:tabs>
        <w:rPr>
          <w:rFonts w:ascii="宋体" w:hAnsi="宋体"/>
          <w:color w:val="000000" w:themeColor="text1"/>
          <w:sz w:val="21"/>
          <w:szCs w:val="21"/>
        </w:rPr>
      </w:pPr>
      <w:r>
        <w:rPr>
          <w:rFonts w:ascii="宋体" w:hAnsi="宋体" w:hint="eastAsia"/>
          <w:color w:val="000000" w:themeColor="text1"/>
          <w:sz w:val="21"/>
          <w:szCs w:val="21"/>
        </w:rPr>
        <w:t>可转换公司债券的说明</w:t>
      </w:r>
    </w:p>
    <w:sdt>
      <w:sdtPr>
        <w:rPr>
          <w:rFonts w:hint="eastAsia"/>
          <w:color w:val="000000" w:themeColor="text1"/>
        </w:rPr>
        <w:alias w:val="是否适用：可转换公司债券的转股条件、转股时间说明[双击切换]"/>
        <w:tag w:val="_GBC_ef63fc1297374c8b97a48c0c89422e8a"/>
        <w:id w:val="626589614"/>
        <w:placeholder>
          <w:docPart w:val="GBC22222222222222222222222222222"/>
        </w:placeholder>
      </w:sdtPr>
      <w:sdtEndPr/>
      <w:sdtContent>
        <w:p w:rsidR="00156DD6" w:rsidRDefault="00D51F5F">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pacing w:before="60" w:after="60"/>
        <w:rPr>
          <w:color w:val="000000" w:themeColor="text1"/>
        </w:rPr>
      </w:pPr>
      <w:r>
        <w:rPr>
          <w:rFonts w:hint="eastAsia"/>
          <w:color w:val="000000" w:themeColor="text1"/>
        </w:rPr>
        <w:t>转股权会计处理及判断依据</w:t>
      </w:r>
    </w:p>
    <w:sdt>
      <w:sdtPr>
        <w:rPr>
          <w:color w:val="000000" w:themeColor="text1"/>
        </w:rPr>
        <w:alias w:val="是否适用：转股权会计处理及判断依据[双击切换]"/>
        <w:tag w:val="_GBC_d91e0305ad39444cb4fea2f3671f7083"/>
        <w:id w:val="817695237"/>
        <w:placeholder>
          <w:docPart w:val="GBC22222222222222222222222222222"/>
        </w:placeholder>
      </w:sdtPr>
      <w:sdtEndPr/>
      <w:sdtContent>
        <w:p w:rsidR="00156DD6" w:rsidRDefault="00D51F5F">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01"/>
    <w:p w:rsidR="00156DD6" w:rsidRDefault="00D51F5F">
      <w:pPr>
        <w:pStyle w:val="Style47"/>
        <w:numPr>
          <w:ilvl w:val="0"/>
          <w:numId w:val="75"/>
        </w:numPr>
        <w:tabs>
          <w:tab w:val="left" w:pos="672"/>
        </w:tabs>
        <w:rPr>
          <w:rFonts w:ascii="宋体" w:hAnsi="宋体"/>
          <w:color w:val="000000" w:themeColor="text1"/>
          <w:sz w:val="21"/>
          <w:szCs w:val="21"/>
        </w:rPr>
      </w:pPr>
      <w:r>
        <w:rPr>
          <w:rFonts w:ascii="宋体" w:hAnsi="宋体" w:hint="eastAsia"/>
          <w:color w:val="000000" w:themeColor="text1"/>
          <w:sz w:val="21"/>
          <w:szCs w:val="21"/>
        </w:rPr>
        <w:t>划分为金融负债的其他金融工具说明</w:t>
      </w:r>
    </w:p>
    <w:p w:rsidR="00156DD6" w:rsidRDefault="00D51F5F">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61542231aba54618ab4bd6d781bfab05"/>
        <w:id w:val="-162399301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4cf6ed9dc37d42fc946f2268e90eee97"/>
        <w:id w:val="144935702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02"/>
    <w:bookmarkEnd w:id="403"/>
    <w:p w:rsidR="00156DD6" w:rsidRDefault="00D51F5F">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ec0ba7f99624a559a5f92bcd8e57e4f"/>
        <w:id w:val="-1267536884"/>
        <w:placeholder>
          <w:docPart w:val="GBC22222222222222222222222222222"/>
        </w:placeholder>
      </w:sdtPr>
      <w:sdtEndPr/>
      <w:sdtContent>
        <w:p w:rsidR="00156DD6" w:rsidRDefault="00D51F5F">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pacing w:before="60" w:after="60"/>
        <w:rPr>
          <w:color w:val="000000" w:themeColor="text1"/>
        </w:rPr>
      </w:pPr>
      <w:r>
        <w:rPr>
          <w:rFonts w:hint="eastAsia"/>
          <w:color w:val="000000" w:themeColor="text1"/>
        </w:rPr>
        <w:t>其他说明：</w:t>
      </w:r>
    </w:p>
    <w:sdt>
      <w:sdtPr>
        <w:rPr>
          <w:color w:val="000000" w:themeColor="text1"/>
        </w:rPr>
        <w:alias w:val="是否适用：应付债券的其他说明[双击切换]"/>
        <w:tag w:val="_GBC_34ea80305b6a4fafaf2943f684877d08"/>
        <w:id w:val="-292907706"/>
        <w:placeholder>
          <w:docPart w:val="GBC22222222222222222222222222222"/>
        </w:placeholder>
      </w:sdtPr>
      <w:sdtEndPr/>
      <w:sdtContent>
        <w:p w:rsidR="00156DD6" w:rsidRDefault="00D51F5F">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租赁负债</w:t>
      </w:r>
    </w:p>
    <w:sdt>
      <w:sdtPr>
        <w:rPr>
          <w:color w:val="000000" w:themeColor="text1"/>
        </w:rPr>
        <w:alias w:val="是否适用：租赁负债[双击切换]"/>
        <w:tag w:val="_GBC_cec9aedf0aa8427d9bd5dbf17e698298"/>
        <w:id w:val="-23432364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租赁负债"/>
          <w:tag w:val="_GBC_3f1d18295bfb4156905ee3935811bc9f"/>
          <w:id w:val="76950479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租赁负债"/>
          <w:tag w:val="_GBC_1ce63c76adb74c2f8d53dbdb5d73a87c"/>
          <w:id w:val="-9167789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125"/>
        <w:gridCol w:w="2848"/>
        <w:gridCol w:w="2850"/>
      </w:tblGrid>
      <w:tr w:rsidR="00156DD6">
        <w:trPr>
          <w:cantSplit/>
          <w:trHeight w:val="307"/>
        </w:trPr>
        <w:sdt>
          <w:sdtPr>
            <w:tag w:val="_PLD_27afd78cc4b04fa19a7adaa593b83cc4"/>
            <w:id w:val="-426425383"/>
          </w:sdtPr>
          <w:sdtEndPr/>
          <w:sdtContent>
            <w:tc>
              <w:tcPr>
                <w:tcW w:w="1771" w:type="pct"/>
                <w:vAlign w:val="center"/>
              </w:tcPr>
              <w:p w:rsidR="00156DD6" w:rsidRDefault="00D51F5F">
                <w:pPr>
                  <w:jc w:val="center"/>
                  <w:rPr>
                    <w:color w:val="000000" w:themeColor="text1"/>
                  </w:rPr>
                </w:pPr>
                <w:r>
                  <w:rPr>
                    <w:rFonts w:hint="eastAsia"/>
                    <w:color w:val="000000" w:themeColor="text1"/>
                  </w:rPr>
                  <w:t>项目</w:t>
                </w:r>
              </w:p>
            </w:tc>
          </w:sdtContent>
        </w:sdt>
        <w:sdt>
          <w:sdtPr>
            <w:tag w:val="_PLD_473fbb207ad34f58a8a0f0451332e555"/>
            <w:id w:val="979736715"/>
          </w:sdtPr>
          <w:sdtEndPr/>
          <w:sdtContent>
            <w:tc>
              <w:tcPr>
                <w:tcW w:w="1614"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81cf17ce1aff4bad8deb2792f3b6570d"/>
            <w:id w:val="1958987563"/>
          </w:sdtPr>
          <w:sdtEndPr/>
          <w:sdtContent>
            <w:tc>
              <w:tcPr>
                <w:tcW w:w="1615"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Height w:val="186"/>
        </w:trPr>
        <w:tc>
          <w:tcPr>
            <w:tcW w:w="1771" w:type="pct"/>
          </w:tcPr>
          <w:p w:rsidR="00156DD6" w:rsidRDefault="00D51F5F">
            <w:pPr>
              <w:pStyle w:val="Style43"/>
            </w:pPr>
            <w:r>
              <w:t>租赁付款额</w:t>
            </w:r>
          </w:p>
        </w:tc>
        <w:tc>
          <w:tcPr>
            <w:tcW w:w="1614" w:type="pct"/>
            <w:vAlign w:val="center"/>
          </w:tcPr>
          <w:p w:rsidR="00156DD6" w:rsidRDefault="00D51F5F">
            <w:pPr>
              <w:jc w:val="right"/>
            </w:pPr>
            <w:r>
              <w:t xml:space="preserve"> 4,271,521.26 </w:t>
            </w:r>
          </w:p>
        </w:tc>
        <w:tc>
          <w:tcPr>
            <w:tcW w:w="1615" w:type="pct"/>
            <w:vAlign w:val="center"/>
          </w:tcPr>
          <w:p w:rsidR="00156DD6" w:rsidRDefault="00D51F5F">
            <w:pPr>
              <w:jc w:val="right"/>
            </w:pPr>
            <w:r>
              <w:t>3,241,847.62</w:t>
            </w:r>
          </w:p>
        </w:tc>
      </w:tr>
      <w:tr w:rsidR="00156DD6">
        <w:trPr>
          <w:cantSplit/>
          <w:trHeight w:val="186"/>
        </w:trPr>
        <w:tc>
          <w:tcPr>
            <w:tcW w:w="1771" w:type="pct"/>
          </w:tcPr>
          <w:p w:rsidR="00156DD6" w:rsidRDefault="00D51F5F">
            <w:pPr>
              <w:pStyle w:val="Style43"/>
            </w:pPr>
            <w:r>
              <w:t>减：未确认融资费用</w:t>
            </w:r>
          </w:p>
        </w:tc>
        <w:tc>
          <w:tcPr>
            <w:tcW w:w="1614" w:type="pct"/>
            <w:vAlign w:val="center"/>
          </w:tcPr>
          <w:p w:rsidR="00156DD6" w:rsidRDefault="00D51F5F">
            <w:pPr>
              <w:jc w:val="right"/>
            </w:pPr>
            <w:r>
              <w:t xml:space="preserve"> 421,988.13 </w:t>
            </w:r>
          </w:p>
        </w:tc>
        <w:tc>
          <w:tcPr>
            <w:tcW w:w="1615" w:type="pct"/>
            <w:vAlign w:val="center"/>
          </w:tcPr>
          <w:p w:rsidR="00156DD6" w:rsidRDefault="00D51F5F">
            <w:pPr>
              <w:jc w:val="right"/>
            </w:pPr>
            <w:r>
              <w:t>186,357.12</w:t>
            </w:r>
          </w:p>
        </w:tc>
      </w:tr>
      <w:tr w:rsidR="00156DD6">
        <w:trPr>
          <w:cantSplit/>
          <w:trHeight w:val="186"/>
        </w:trPr>
        <w:tc>
          <w:tcPr>
            <w:tcW w:w="1771" w:type="pct"/>
          </w:tcPr>
          <w:p w:rsidR="00156DD6" w:rsidRDefault="00D51F5F">
            <w:pPr>
              <w:jc w:val="center"/>
              <w:rPr>
                <w:color w:val="000000" w:themeColor="text1"/>
              </w:rPr>
            </w:pPr>
            <w:r>
              <w:rPr>
                <w:rFonts w:hint="eastAsia"/>
                <w:color w:val="000000" w:themeColor="text1"/>
              </w:rPr>
              <w:t>合计</w:t>
            </w:r>
          </w:p>
        </w:tc>
        <w:tc>
          <w:tcPr>
            <w:tcW w:w="1614" w:type="pct"/>
            <w:vAlign w:val="center"/>
          </w:tcPr>
          <w:p w:rsidR="00156DD6" w:rsidRDefault="00D51F5F">
            <w:pPr>
              <w:jc w:val="right"/>
            </w:pPr>
            <w:r>
              <w:t xml:space="preserve"> 3,849,533.13 </w:t>
            </w:r>
          </w:p>
        </w:tc>
        <w:tc>
          <w:tcPr>
            <w:tcW w:w="1615" w:type="pct"/>
            <w:vAlign w:val="center"/>
          </w:tcPr>
          <w:p w:rsidR="00156DD6" w:rsidRDefault="00D51F5F">
            <w:pPr>
              <w:jc w:val="right"/>
            </w:pPr>
            <w:r>
              <w:t>3,055,490.50</w:t>
            </w:r>
          </w:p>
        </w:tc>
      </w:tr>
    </w:tbl>
    <w:p w:rsidR="00156DD6" w:rsidRDefault="00D51F5F">
      <w:pPr>
        <w:snapToGrid w:val="0"/>
        <w:spacing w:before="60" w:after="60" w:line="240" w:lineRule="atLeast"/>
        <w:rPr>
          <w:color w:val="000000" w:themeColor="text1"/>
        </w:rPr>
      </w:pPr>
      <w:r>
        <w:rPr>
          <w:rFonts w:hint="eastAsia"/>
          <w:color w:val="000000" w:themeColor="text1"/>
        </w:rPr>
        <w:t>其他说明：</w:t>
      </w:r>
    </w:p>
    <w:sdt>
      <w:sdtPr>
        <w:rPr>
          <w:color w:val="000000" w:themeColor="text1"/>
        </w:rPr>
        <w:alias w:val="租赁负债其他说明"/>
        <w:tag w:val="_GBC_cbaaaf9b0adf45f6a0dd93d6de03a6ea"/>
        <w:id w:val="513576396"/>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r>
        <w:rPr>
          <w:color w:val="000000" w:themeColor="text1"/>
          <w:sz w:val="21"/>
          <w:szCs w:val="22"/>
        </w:rPr>
        <w:t>长期应付款</w:t>
      </w:r>
    </w:p>
    <w:p w:rsidR="00156DD6" w:rsidRDefault="00D51F5F">
      <w:pPr>
        <w:pStyle w:val="Style47"/>
        <w:rPr>
          <w:rFonts w:ascii="宋体" w:hAnsi="宋体"/>
          <w:color w:val="000000" w:themeColor="text1"/>
          <w:sz w:val="21"/>
          <w:szCs w:val="21"/>
        </w:rPr>
      </w:pPr>
      <w:bookmarkStart w:id="404" w:name="_Hlk10536746"/>
      <w:r>
        <w:rPr>
          <w:rFonts w:ascii="宋体" w:hAnsi="宋体" w:hint="eastAsia"/>
          <w:color w:val="000000" w:themeColor="text1"/>
          <w:sz w:val="21"/>
          <w:szCs w:val="21"/>
        </w:rPr>
        <w:t>项目列示</w:t>
      </w:r>
    </w:p>
    <w:sdt>
      <w:sdtPr>
        <w:rPr>
          <w:color w:val="000000" w:themeColor="text1"/>
        </w:rPr>
        <w:alias w:val="是否适用：长期应付款分类列示[双击切换]"/>
        <w:tag w:val="_GBC_dc1496c33e4a4cabb259020dbf46be93"/>
        <w:id w:val="60107655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长期应付款分类列示"/>
          <w:tag w:val="_GBC_ebfc605e57a44e54b3e33ac2adbd49b3"/>
          <w:id w:val="-16616173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长期应付款分类列示"/>
          <w:tag w:val="_GBC_3e0811a7722a450c98b76253621cc253"/>
          <w:id w:val="20825639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156DD6">
        <w:sdt>
          <w:sdtPr>
            <w:tag w:val="_PLD_c3a93bba75a94d61a6bb41116821520d"/>
            <w:id w:val="-428814037"/>
          </w:sdtPr>
          <w:sdtEndPr/>
          <w:sdtContent>
            <w:tc>
              <w:tcPr>
                <w:tcW w:w="1828" w:type="pct"/>
                <w:vAlign w:val="center"/>
              </w:tcPr>
              <w:p w:rsidR="00156DD6" w:rsidRDefault="00D51F5F">
                <w:pPr>
                  <w:tabs>
                    <w:tab w:val="right" w:pos="3690"/>
                    <w:tab w:val="right" w:pos="5130"/>
                    <w:tab w:val="right" w:pos="6030"/>
                    <w:tab w:val="right" w:pos="7650"/>
                    <w:tab w:val="right" w:pos="9270"/>
                  </w:tabs>
                  <w:adjustRightInd w:val="0"/>
                  <w:snapToGrid w:val="0"/>
                  <w:jc w:val="center"/>
                  <w:rPr>
                    <w:color w:val="000000" w:themeColor="text1"/>
                  </w:rPr>
                </w:pPr>
                <w:r>
                  <w:rPr>
                    <w:rFonts w:hint="eastAsia"/>
                    <w:color w:val="000000" w:themeColor="text1"/>
                  </w:rPr>
                  <w:t>项目</w:t>
                </w:r>
              </w:p>
            </w:tc>
          </w:sdtContent>
        </w:sdt>
        <w:sdt>
          <w:sdtPr>
            <w:tag w:val="_PLD_4cef3b6e993d4efeab53c68db46274b8"/>
            <w:id w:val="-871842750"/>
          </w:sdtPr>
          <w:sdtEndPr/>
          <w:sdtContent>
            <w:tc>
              <w:tcPr>
                <w:tcW w:w="1582"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d7980fd6d7084f6bb108abf1cc53570a"/>
            <w:id w:val="-1699238723"/>
          </w:sdtPr>
          <w:sdtEndPr/>
          <w:sdtContent>
            <w:tc>
              <w:tcPr>
                <w:tcW w:w="1590"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c>
          <w:tcPr>
            <w:tcW w:w="1828"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长期应付款</w:t>
            </w:r>
          </w:p>
        </w:tc>
        <w:tc>
          <w:tcPr>
            <w:tcW w:w="1582" w:type="pct"/>
          </w:tcPr>
          <w:p w:rsidR="00156DD6" w:rsidRDefault="00D51F5F">
            <w:pPr>
              <w:tabs>
                <w:tab w:val="right" w:pos="3690"/>
                <w:tab w:val="right" w:pos="5130"/>
                <w:tab w:val="right" w:pos="6030"/>
                <w:tab w:val="right" w:pos="7650"/>
                <w:tab w:val="right" w:pos="9270"/>
              </w:tabs>
              <w:adjustRightInd w:val="0"/>
              <w:snapToGrid w:val="0"/>
              <w:jc w:val="right"/>
            </w:pPr>
            <w:r>
              <w:t>161,681,046.25</w:t>
            </w:r>
          </w:p>
        </w:tc>
        <w:tc>
          <w:tcPr>
            <w:tcW w:w="1590" w:type="pct"/>
          </w:tcPr>
          <w:p w:rsidR="00156DD6" w:rsidRDefault="00156DD6">
            <w:pPr>
              <w:tabs>
                <w:tab w:val="right" w:pos="3690"/>
                <w:tab w:val="right" w:pos="5130"/>
                <w:tab w:val="right" w:pos="6030"/>
                <w:tab w:val="right" w:pos="7650"/>
                <w:tab w:val="right" w:pos="9270"/>
              </w:tabs>
              <w:adjustRightInd w:val="0"/>
              <w:snapToGrid w:val="0"/>
              <w:jc w:val="right"/>
            </w:pPr>
          </w:p>
        </w:tc>
      </w:tr>
      <w:tr w:rsidR="00156DD6">
        <w:tc>
          <w:tcPr>
            <w:tcW w:w="1828" w:type="pct"/>
          </w:tcPr>
          <w:p w:rsidR="00156DD6" w:rsidRDefault="00D51F5F">
            <w:pPr>
              <w:tabs>
                <w:tab w:val="right" w:pos="3690"/>
                <w:tab w:val="right" w:pos="5130"/>
                <w:tab w:val="right" w:pos="6030"/>
                <w:tab w:val="right" w:pos="7650"/>
                <w:tab w:val="right" w:pos="9270"/>
              </w:tabs>
              <w:adjustRightInd w:val="0"/>
              <w:snapToGrid w:val="0"/>
              <w:rPr>
                <w:color w:val="000000" w:themeColor="text1"/>
              </w:rPr>
            </w:pPr>
            <w:r>
              <w:rPr>
                <w:rFonts w:hint="eastAsia"/>
                <w:color w:val="000000" w:themeColor="text1"/>
              </w:rPr>
              <w:t>合计</w:t>
            </w:r>
          </w:p>
        </w:tc>
        <w:tc>
          <w:tcPr>
            <w:tcW w:w="1582" w:type="pct"/>
          </w:tcPr>
          <w:p w:rsidR="00156DD6" w:rsidRDefault="00D51F5F">
            <w:pPr>
              <w:tabs>
                <w:tab w:val="right" w:pos="3690"/>
                <w:tab w:val="right" w:pos="5130"/>
                <w:tab w:val="right" w:pos="6030"/>
                <w:tab w:val="right" w:pos="7650"/>
                <w:tab w:val="right" w:pos="9270"/>
              </w:tabs>
              <w:adjustRightInd w:val="0"/>
              <w:snapToGrid w:val="0"/>
              <w:jc w:val="right"/>
            </w:pPr>
            <w:r>
              <w:t>161,681,046.25</w:t>
            </w:r>
          </w:p>
        </w:tc>
        <w:tc>
          <w:tcPr>
            <w:tcW w:w="1590" w:type="pct"/>
          </w:tcPr>
          <w:p w:rsidR="00156DD6" w:rsidRDefault="00156DD6">
            <w:pPr>
              <w:tabs>
                <w:tab w:val="right" w:pos="3690"/>
                <w:tab w:val="right" w:pos="5130"/>
                <w:tab w:val="right" w:pos="6030"/>
                <w:tab w:val="right" w:pos="7650"/>
                <w:tab w:val="right" w:pos="9270"/>
              </w:tabs>
              <w:adjustRightInd w:val="0"/>
              <w:snapToGrid w:val="0"/>
              <w:jc w:val="right"/>
            </w:pPr>
          </w:p>
        </w:tc>
      </w:tr>
    </w:tbl>
    <w:p w:rsidR="00156DD6" w:rsidRDefault="00D51F5F">
      <w:pPr>
        <w:rPr>
          <w:color w:val="000000" w:themeColor="text1"/>
        </w:rPr>
      </w:pPr>
      <w:bookmarkStart w:id="405" w:name="_Hlk532911057"/>
      <w:r>
        <w:rPr>
          <w:rFonts w:hint="eastAsia"/>
          <w:color w:val="000000" w:themeColor="text1"/>
        </w:rPr>
        <w:t>其他说明：</w:t>
      </w:r>
    </w:p>
    <w:sdt>
      <w:sdtPr>
        <w:rPr>
          <w:rFonts w:hint="eastAsia"/>
          <w:color w:val="000000" w:themeColor="text1"/>
        </w:rPr>
        <w:alias w:val="长期应付款分类列示其他说明"/>
        <w:tag w:val="_GBC_431a8b84aeeb4e0fa07aef9d9af1a46d"/>
        <w:id w:val="628210331"/>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Style47"/>
        <w:ind w:left="360" w:hanging="360"/>
        <w:rPr>
          <w:rFonts w:ascii="宋体" w:hAnsi="宋体"/>
          <w:color w:val="000000" w:themeColor="text1"/>
          <w:sz w:val="21"/>
          <w:szCs w:val="21"/>
        </w:rPr>
      </w:pPr>
      <w:bookmarkStart w:id="406" w:name="_Hlk10536806"/>
      <w:bookmarkStart w:id="407" w:name="_Hlk10536877"/>
      <w:bookmarkEnd w:id="404"/>
      <w:bookmarkEnd w:id="405"/>
      <w:r>
        <w:rPr>
          <w:rFonts w:ascii="宋体" w:hAnsi="宋体" w:hint="eastAsia"/>
          <w:color w:val="000000" w:themeColor="text1"/>
          <w:sz w:val="21"/>
          <w:szCs w:val="21"/>
        </w:rPr>
        <w:t>长期应付款</w:t>
      </w:r>
      <w:bookmarkEnd w:id="406"/>
    </w:p>
    <w:sdt>
      <w:sdtPr>
        <w:rPr>
          <w:color w:val="000000" w:themeColor="text1"/>
        </w:rPr>
        <w:alias w:val="是否适用：按款项性质列示长期应付款[双击切换]"/>
        <w:tag w:val="_GBC_a9fa9a5286484f4bb853b1eff824e621"/>
        <w:id w:val="62528753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长期应付款"/>
          <w:tag w:val="_GBC_8d90e4088fac4efe85a76cd0e30766e1"/>
          <w:id w:val="18798172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长期应付款"/>
          <w:tag w:val="_GBC_571b1adfcb634dcbb4fbdf0991f3e029"/>
          <w:id w:val="8031919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25"/>
        <w:gridCol w:w="2848"/>
        <w:gridCol w:w="2850"/>
      </w:tblGrid>
      <w:tr w:rsidR="00156DD6">
        <w:trPr>
          <w:cantSplit/>
          <w:trHeight w:val="307"/>
        </w:trPr>
        <w:sdt>
          <w:sdtPr>
            <w:tag w:val="_PLD_35c3ed078068475db04283d6d6c22bb5"/>
            <w:id w:val="-324436997"/>
          </w:sdtPr>
          <w:sdtEndPr/>
          <w:sdtContent>
            <w:tc>
              <w:tcPr>
                <w:tcW w:w="1771" w:type="pct"/>
                <w:vAlign w:val="center"/>
              </w:tcPr>
              <w:p w:rsidR="00156DD6" w:rsidRDefault="00D51F5F">
                <w:pPr>
                  <w:jc w:val="center"/>
                  <w:rPr>
                    <w:color w:val="000000" w:themeColor="text1"/>
                  </w:rPr>
                </w:pPr>
                <w:r>
                  <w:rPr>
                    <w:rFonts w:hint="eastAsia"/>
                    <w:color w:val="000000" w:themeColor="text1"/>
                  </w:rPr>
                  <w:t>项目</w:t>
                </w:r>
              </w:p>
            </w:tc>
          </w:sdtContent>
        </w:sdt>
        <w:sdt>
          <w:sdtPr>
            <w:tag w:val="_PLD_b59846bd1adb4f398cd1737332e81edb"/>
            <w:id w:val="-1488770564"/>
          </w:sdtPr>
          <w:sdtEndPr/>
          <w:sdtContent>
            <w:tc>
              <w:tcPr>
                <w:tcW w:w="1614"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184e30079df94f509e7e7ea9142928df"/>
            <w:id w:val="174235290"/>
          </w:sdtPr>
          <w:sdtEndPr/>
          <w:sdtContent>
            <w:tc>
              <w:tcPr>
                <w:tcW w:w="1615"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Height w:val="186"/>
        </w:trPr>
        <w:tc>
          <w:tcPr>
            <w:tcW w:w="1771" w:type="pct"/>
          </w:tcPr>
          <w:p w:rsidR="00156DD6" w:rsidRDefault="00D51F5F">
            <w:pPr>
              <w:pStyle w:val="Style43"/>
              <w:rPr>
                <w:sz w:val="21"/>
                <w:szCs w:val="21"/>
              </w:rPr>
            </w:pPr>
            <w:r>
              <w:rPr>
                <w:rFonts w:hint="eastAsia"/>
                <w:sz w:val="21"/>
                <w:szCs w:val="21"/>
              </w:rPr>
              <w:t>售后租回应付款</w:t>
            </w:r>
          </w:p>
        </w:tc>
        <w:tc>
          <w:tcPr>
            <w:tcW w:w="1614" w:type="pct"/>
            <w:vAlign w:val="center"/>
          </w:tcPr>
          <w:p w:rsidR="00156DD6" w:rsidRDefault="00D51F5F">
            <w:pPr>
              <w:jc w:val="right"/>
            </w:pPr>
            <w:r>
              <w:t xml:space="preserve"> 202,100,669.74 </w:t>
            </w:r>
          </w:p>
        </w:tc>
        <w:tc>
          <w:tcPr>
            <w:tcW w:w="1615" w:type="pct"/>
          </w:tcPr>
          <w:p w:rsidR="00156DD6" w:rsidRDefault="00156DD6">
            <w:pPr>
              <w:jc w:val="right"/>
            </w:pPr>
          </w:p>
        </w:tc>
      </w:tr>
      <w:tr w:rsidR="00156DD6">
        <w:trPr>
          <w:cantSplit/>
          <w:trHeight w:val="186"/>
        </w:trPr>
        <w:tc>
          <w:tcPr>
            <w:tcW w:w="1771" w:type="pct"/>
          </w:tcPr>
          <w:p w:rsidR="00156DD6" w:rsidRDefault="00D51F5F">
            <w:pPr>
              <w:pStyle w:val="Style43"/>
              <w:rPr>
                <w:sz w:val="21"/>
                <w:szCs w:val="21"/>
              </w:rPr>
            </w:pPr>
            <w:r>
              <w:rPr>
                <w:rFonts w:hint="eastAsia"/>
                <w:sz w:val="21"/>
                <w:szCs w:val="21"/>
              </w:rPr>
              <w:t>减：一年内到期的长期应付款</w:t>
            </w:r>
          </w:p>
        </w:tc>
        <w:tc>
          <w:tcPr>
            <w:tcW w:w="1614" w:type="pct"/>
            <w:vAlign w:val="center"/>
          </w:tcPr>
          <w:p w:rsidR="00156DD6" w:rsidRDefault="00D51F5F">
            <w:pPr>
              <w:jc w:val="right"/>
            </w:pPr>
            <w:r>
              <w:t xml:space="preserve"> 40,419,623.49 </w:t>
            </w:r>
          </w:p>
        </w:tc>
        <w:tc>
          <w:tcPr>
            <w:tcW w:w="1615" w:type="pct"/>
          </w:tcPr>
          <w:p w:rsidR="00156DD6" w:rsidRDefault="00156DD6">
            <w:pPr>
              <w:jc w:val="right"/>
            </w:pPr>
          </w:p>
        </w:tc>
      </w:tr>
      <w:tr w:rsidR="00156DD6">
        <w:trPr>
          <w:cantSplit/>
          <w:trHeight w:val="186"/>
        </w:trPr>
        <w:tc>
          <w:tcPr>
            <w:tcW w:w="1771" w:type="pct"/>
          </w:tcPr>
          <w:p w:rsidR="00156DD6" w:rsidRDefault="00D51F5F">
            <w:pPr>
              <w:jc w:val="center"/>
              <w:rPr>
                <w:color w:val="000000" w:themeColor="text1"/>
              </w:rPr>
            </w:pPr>
            <w:r>
              <w:rPr>
                <w:rFonts w:hint="eastAsia"/>
                <w:color w:val="000000" w:themeColor="text1"/>
              </w:rPr>
              <w:t>合计</w:t>
            </w:r>
          </w:p>
        </w:tc>
        <w:tc>
          <w:tcPr>
            <w:tcW w:w="1614" w:type="pct"/>
            <w:vAlign w:val="center"/>
          </w:tcPr>
          <w:p w:rsidR="00156DD6" w:rsidRDefault="00D51F5F">
            <w:pPr>
              <w:jc w:val="right"/>
            </w:pPr>
            <w:r>
              <w:t xml:space="preserve"> 161,681,046.25 </w:t>
            </w:r>
          </w:p>
        </w:tc>
        <w:tc>
          <w:tcPr>
            <w:tcW w:w="1615" w:type="pct"/>
          </w:tcPr>
          <w:p w:rsidR="00156DD6" w:rsidRDefault="00156DD6">
            <w:pPr>
              <w:jc w:val="right"/>
            </w:pPr>
          </w:p>
        </w:tc>
      </w:tr>
    </w:tbl>
    <w:p w:rsidR="00156DD6" w:rsidRDefault="00D51F5F">
      <w:pPr>
        <w:snapToGrid w:val="0"/>
        <w:spacing w:line="240" w:lineRule="atLeast"/>
        <w:rPr>
          <w:color w:val="000000" w:themeColor="text1"/>
        </w:rPr>
      </w:pPr>
      <w:r>
        <w:rPr>
          <w:rFonts w:hint="eastAsia"/>
          <w:color w:val="000000" w:themeColor="text1"/>
        </w:rPr>
        <w:t>其他说明：</w:t>
      </w:r>
    </w:p>
    <w:p w:rsidR="00156DD6" w:rsidRDefault="00D51F5F">
      <w:pPr>
        <w:snapToGrid w:val="0"/>
        <w:spacing w:line="240" w:lineRule="atLeast"/>
        <w:rPr>
          <w:color w:val="000000" w:themeColor="text1"/>
        </w:rPr>
      </w:pPr>
      <w:sdt>
        <w:sdtPr>
          <w:rPr>
            <w:color w:val="000000" w:themeColor="text1"/>
          </w:rPr>
          <w:alias w:val="长期应付款的说明"/>
          <w:tag w:val="_GBC_26dfebab321040728d621ff8ca8d9de0"/>
          <w:id w:val="-407073266"/>
          <w:placeholder>
            <w:docPart w:val="GBC22222222222222222222222222222"/>
          </w:placeholder>
        </w:sdtPr>
        <w:sdtEndPr/>
        <w:sdtContent>
          <w:r>
            <w:rPr>
              <w:rFonts w:hint="eastAsia"/>
              <w:color w:val="000000" w:themeColor="text1"/>
            </w:rPr>
            <w:t>无</w:t>
          </w:r>
        </w:sdtContent>
      </w:sdt>
    </w:p>
    <w:bookmarkEnd w:id="407"/>
    <w:p w:rsidR="00156DD6" w:rsidRDefault="00D51F5F">
      <w:pPr>
        <w:pStyle w:val="Style47"/>
        <w:rPr>
          <w:rFonts w:ascii="宋体" w:hAnsi="宋体"/>
          <w:color w:val="000000" w:themeColor="text1"/>
          <w:sz w:val="21"/>
          <w:szCs w:val="21"/>
        </w:rPr>
      </w:pPr>
      <w:r>
        <w:rPr>
          <w:rFonts w:ascii="宋体" w:hAnsi="宋体" w:hint="eastAsia"/>
          <w:color w:val="000000" w:themeColor="text1"/>
          <w:sz w:val="21"/>
          <w:szCs w:val="21"/>
        </w:rPr>
        <w:lastRenderedPageBreak/>
        <w:t>专项应付款</w:t>
      </w:r>
    </w:p>
    <w:sdt>
      <w:sdtPr>
        <w:rPr>
          <w:color w:val="000000" w:themeColor="text1"/>
        </w:rPr>
        <w:alias w:val="是否适用：专项应付款[双击切换]"/>
        <w:tag w:val="_GBC_f70a824e87784429a75fa648d7634cf8"/>
        <w:id w:val="53323165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长期应付职工薪酬</w:t>
      </w:r>
    </w:p>
    <w:sdt>
      <w:sdtPr>
        <w:rPr>
          <w:color w:val="000000" w:themeColor="text1"/>
        </w:rPr>
        <w:alias w:val="是否适用：长期应付职工薪酬[双击切换]"/>
        <w:tag w:val="_GBC_077559b601814bb38f16734f98e8c045"/>
        <w:id w:val="22080483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numPr>
          <w:ilvl w:val="0"/>
          <w:numId w:val="76"/>
        </w:numPr>
        <w:rPr>
          <w:rFonts w:ascii="宋体" w:hAnsi="宋体"/>
          <w:color w:val="000000" w:themeColor="text1"/>
          <w:szCs w:val="21"/>
        </w:rPr>
      </w:pPr>
      <w:r>
        <w:rPr>
          <w:rFonts w:ascii="宋体" w:hAnsi="宋体" w:hint="eastAsia"/>
          <w:color w:val="000000" w:themeColor="text1"/>
          <w:szCs w:val="21"/>
        </w:rPr>
        <w:t>长期应付职工薪酬表</w:t>
      </w:r>
    </w:p>
    <w:sdt>
      <w:sdtPr>
        <w:rPr>
          <w:color w:val="000000" w:themeColor="text1"/>
        </w:rPr>
        <w:alias w:val="是否适用：长期应付职工薪酬表[双击切换]"/>
        <w:tag w:val="_GBC_7391cd215aaf4a7595c44b639646aa7a"/>
        <w:id w:val="144171779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numPr>
          <w:ilvl w:val="0"/>
          <w:numId w:val="76"/>
        </w:numPr>
        <w:rPr>
          <w:rFonts w:ascii="宋体" w:hAnsi="宋体"/>
          <w:color w:val="000000" w:themeColor="text1"/>
          <w:szCs w:val="21"/>
        </w:rPr>
      </w:pPr>
      <w:r>
        <w:rPr>
          <w:rFonts w:ascii="宋体" w:hAnsi="宋体" w:hint="eastAsia"/>
          <w:color w:val="000000" w:themeColor="text1"/>
          <w:szCs w:val="21"/>
        </w:rPr>
        <w:t>设定受益计划变动情况</w:t>
      </w:r>
    </w:p>
    <w:p w:rsidR="00156DD6" w:rsidRDefault="00D51F5F">
      <w:pPr>
        <w:rPr>
          <w:color w:val="000000" w:themeColor="text1"/>
        </w:rPr>
      </w:pPr>
      <w:r>
        <w:rPr>
          <w:rFonts w:hint="eastAsia"/>
          <w:color w:val="000000" w:themeColor="text1"/>
        </w:rPr>
        <w:t>设定受益计划义务现值：</w:t>
      </w:r>
    </w:p>
    <w:sdt>
      <w:sdtPr>
        <w:rPr>
          <w:color w:val="000000" w:themeColor="text1"/>
        </w:rPr>
        <w:alias w:val="是否适用：设定受益计划义务现值[双击切换]"/>
        <w:tag w:val="_GBC_c4bc86b406e44d69b9ab0374bad05246"/>
        <w:id w:val="-54374879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计划资产：</w:t>
      </w:r>
    </w:p>
    <w:sdt>
      <w:sdtPr>
        <w:rPr>
          <w:color w:val="000000" w:themeColor="text1"/>
        </w:rPr>
        <w:alias w:val="是否适用：设定受益计划变动情况_计划资产[双击切换]"/>
        <w:tag w:val="_GBC_c2b590ce2cf24711a0d840605c251bba"/>
        <w:id w:val="-7668463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设定受益计划净负债（净资产）</w:t>
      </w:r>
    </w:p>
    <w:sdt>
      <w:sdtPr>
        <w:rPr>
          <w:color w:val="000000" w:themeColor="text1"/>
        </w:rPr>
        <w:alias w:val="是否适用：设定受益计划变动情况_设定受益计划净负债[双击切换]"/>
        <w:tag w:val="_GBC_c9a00f9cf02f40478b9c06d7ded58e74"/>
        <w:id w:val="-181263045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w:instrText>
          </w:r>
          <w:r>
            <w:rPr>
              <w:rFonts w:hint="eastAsia"/>
              <w:color w:val="000000" w:themeColor="text1"/>
            </w:rPr>
            <w:instrText xml:space="preserve">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设定受益计划的内容及与之相关风险、对公司未来现金流量、时间和不确定性的影响说明：</w:t>
      </w:r>
    </w:p>
    <w:sdt>
      <w:sdtPr>
        <w:rPr>
          <w:color w:val="000000" w:themeColor="text1"/>
        </w:rPr>
        <w:alias w:val="是否适用：设定受益计划的内容及与之相关风险、对公司未来现金流量、时间和不确定性的影响说明[双击切换]"/>
        <w:tag w:val="_GBC_2e34365c15bf476d97ccb2c983bcb127"/>
        <w:id w:val="-203248610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设定受益计划重大精算假设及敏感性分析结果说明</w:t>
      </w:r>
    </w:p>
    <w:sdt>
      <w:sdtPr>
        <w:rPr>
          <w:color w:val="000000" w:themeColor="text1"/>
        </w:rPr>
        <w:alias w:val="是否适用：设定受益计划重大精算假设及敏感性分析结果说明[双击切换]"/>
        <w:tag w:val="_GBC_ca3d6135d7d142dba45a1fa5a5c4591a"/>
        <w:id w:val="-33746609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w:t>
      </w:r>
      <w:r>
        <w:rPr>
          <w:rFonts w:hint="eastAsia"/>
          <w:color w:val="000000" w:themeColor="text1"/>
        </w:rPr>
        <w:t>他说明：</w:t>
      </w:r>
    </w:p>
    <w:sdt>
      <w:sdtPr>
        <w:rPr>
          <w:color w:val="000000" w:themeColor="text1"/>
        </w:rPr>
        <w:alias w:val="是否适用：长期应付职工薪酬的其他说明[双击切换]"/>
        <w:tag w:val="_GBC_9621d9da5c12475c9b0ae742a1372566"/>
        <w:id w:val="-168651765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408" w:name="_Hlk10537141"/>
      <w:r>
        <w:rPr>
          <w:color w:val="000000" w:themeColor="text1"/>
          <w:sz w:val="21"/>
          <w:szCs w:val="22"/>
        </w:rPr>
        <w:t>预计负债</w:t>
      </w:r>
    </w:p>
    <w:sdt>
      <w:sdtPr>
        <w:rPr>
          <w:color w:val="000000" w:themeColor="text1"/>
        </w:rPr>
        <w:alias w:val="是否适用：预计负债[双击切换]"/>
        <w:tag w:val="_GBC_1687da235caf410f866f00240cee7fdb"/>
        <w:id w:val="139962716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预计负债"/>
          <w:tag w:val="_GBC_cb4f52bf31e64f4c951a1d03c8737c2c"/>
          <w:id w:val="8480644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预计负债"/>
          <w:tag w:val="_GBC_c1e0a0d54ae34f37b10682c1542f4496"/>
          <w:id w:val="19294612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6"/>
        <w:gridCol w:w="2206"/>
        <w:gridCol w:w="2206"/>
      </w:tblGrid>
      <w:tr w:rsidR="00156DD6">
        <w:trPr>
          <w:cantSplit/>
        </w:trPr>
        <w:sdt>
          <w:sdtPr>
            <w:tag w:val="_PLD_fc927e21b7894351850a5341390e71f1"/>
            <w:id w:val="-1178497515"/>
          </w:sdtPr>
          <w:sdtEndPr/>
          <w:sdtContent>
            <w:tc>
              <w:tcPr>
                <w:tcW w:w="1250" w:type="pct"/>
                <w:vAlign w:val="center"/>
              </w:tcPr>
              <w:p w:rsidR="00156DD6" w:rsidRDefault="00D51F5F">
                <w:pPr>
                  <w:ind w:right="105"/>
                  <w:jc w:val="center"/>
                  <w:rPr>
                    <w:color w:val="000000" w:themeColor="text1"/>
                  </w:rPr>
                </w:pPr>
                <w:r>
                  <w:rPr>
                    <w:rFonts w:hint="eastAsia"/>
                    <w:color w:val="000000" w:themeColor="text1"/>
                  </w:rPr>
                  <w:t>项目</w:t>
                </w:r>
              </w:p>
            </w:tc>
          </w:sdtContent>
        </w:sdt>
        <w:sdt>
          <w:sdtPr>
            <w:tag w:val="_PLD_5448bfd35d2348cfac66de5cdfbc78a4"/>
            <w:id w:val="235832986"/>
          </w:sdtPr>
          <w:sdtEndPr/>
          <w:sdtContent>
            <w:tc>
              <w:tcPr>
                <w:tcW w:w="1250" w:type="pct"/>
              </w:tcPr>
              <w:p w:rsidR="00156DD6" w:rsidRDefault="00D51F5F">
                <w:pPr>
                  <w:jc w:val="center"/>
                  <w:rPr>
                    <w:color w:val="000000" w:themeColor="text1"/>
                  </w:rPr>
                </w:pPr>
                <w:r>
                  <w:rPr>
                    <w:rFonts w:hint="eastAsia"/>
                    <w:color w:val="000000" w:themeColor="text1"/>
                  </w:rPr>
                  <w:t>期末余额</w:t>
                </w:r>
              </w:p>
            </w:tc>
          </w:sdtContent>
        </w:sdt>
        <w:sdt>
          <w:sdtPr>
            <w:tag w:val="_PLD_6f816d98e70940cfbbbbb868b0aeb358"/>
            <w:id w:val="529619822"/>
          </w:sdtPr>
          <w:sdtEndPr/>
          <w:sdtContent>
            <w:tc>
              <w:tcPr>
                <w:tcW w:w="1250" w:type="pct"/>
              </w:tcPr>
              <w:p w:rsidR="00156DD6" w:rsidRDefault="00D51F5F">
                <w:pPr>
                  <w:jc w:val="center"/>
                  <w:rPr>
                    <w:color w:val="000000" w:themeColor="text1"/>
                  </w:rPr>
                </w:pPr>
                <w:r>
                  <w:rPr>
                    <w:rFonts w:hint="eastAsia"/>
                    <w:color w:val="000000" w:themeColor="text1"/>
                  </w:rPr>
                  <w:t>期初余额</w:t>
                </w:r>
              </w:p>
            </w:tc>
          </w:sdtContent>
        </w:sdt>
        <w:sdt>
          <w:sdtPr>
            <w:tag w:val="_PLD_987f713faa85401c883cbd6dd67e70b8"/>
            <w:id w:val="-703798011"/>
          </w:sdtPr>
          <w:sdtEndPr/>
          <w:sdtContent>
            <w:tc>
              <w:tcPr>
                <w:tcW w:w="1250" w:type="pct"/>
              </w:tcPr>
              <w:p w:rsidR="00156DD6" w:rsidRDefault="00D51F5F">
                <w:pPr>
                  <w:jc w:val="center"/>
                  <w:rPr>
                    <w:color w:val="000000" w:themeColor="text1"/>
                  </w:rPr>
                </w:pPr>
                <w:r>
                  <w:rPr>
                    <w:rFonts w:hint="eastAsia"/>
                    <w:color w:val="000000" w:themeColor="text1"/>
                  </w:rPr>
                  <w:t>形成原因</w:t>
                </w:r>
              </w:p>
            </w:tc>
          </w:sdtContent>
        </w:sdt>
      </w:tr>
      <w:tr w:rsidR="00156DD6">
        <w:trPr>
          <w:cantSplit/>
        </w:trPr>
        <w:tc>
          <w:tcPr>
            <w:tcW w:w="1250" w:type="pct"/>
            <w:vAlign w:val="center"/>
          </w:tcPr>
          <w:p w:rsidR="00156DD6" w:rsidRDefault="00D51F5F">
            <w:pPr>
              <w:pStyle w:val="Style43"/>
            </w:pPr>
            <w:r>
              <w:rPr>
                <w:rFonts w:ascii="宋体" w:hAnsi="宋体" w:cs="宋体"/>
                <w:bCs/>
                <w:sz w:val="21"/>
                <w:szCs w:val="21"/>
              </w:rPr>
              <w:t>产品质量保证</w:t>
            </w:r>
          </w:p>
        </w:tc>
        <w:tc>
          <w:tcPr>
            <w:tcW w:w="1250" w:type="pct"/>
            <w:vAlign w:val="center"/>
          </w:tcPr>
          <w:p w:rsidR="00156DD6" w:rsidRDefault="00D51F5F">
            <w:pPr>
              <w:jc w:val="right"/>
            </w:pPr>
            <w:r>
              <w:t xml:space="preserve"> 1,180,149.90 </w:t>
            </w:r>
          </w:p>
        </w:tc>
        <w:tc>
          <w:tcPr>
            <w:tcW w:w="1250" w:type="pct"/>
            <w:vAlign w:val="center"/>
          </w:tcPr>
          <w:p w:rsidR="00156DD6" w:rsidRDefault="00D51F5F">
            <w:pPr>
              <w:jc w:val="right"/>
            </w:pPr>
            <w:r>
              <w:t xml:space="preserve"> 1,104,687.52 </w:t>
            </w:r>
          </w:p>
        </w:tc>
        <w:tc>
          <w:tcPr>
            <w:tcW w:w="1250" w:type="pct"/>
            <w:vAlign w:val="center"/>
          </w:tcPr>
          <w:p w:rsidR="00156DD6" w:rsidRDefault="00D51F5F">
            <w:pPr>
              <w:ind w:right="73"/>
            </w:pPr>
            <w:r>
              <w:t>售后服务费</w:t>
            </w:r>
          </w:p>
        </w:tc>
      </w:tr>
      <w:tr w:rsidR="00156DD6">
        <w:trPr>
          <w:cantSplit/>
        </w:trPr>
        <w:tc>
          <w:tcPr>
            <w:tcW w:w="1250" w:type="pct"/>
            <w:vAlign w:val="center"/>
          </w:tcPr>
          <w:p w:rsidR="00156DD6" w:rsidRDefault="00D51F5F">
            <w:pPr>
              <w:ind w:right="105"/>
            </w:pPr>
            <w:r>
              <w:t>未决诉讼</w:t>
            </w:r>
          </w:p>
        </w:tc>
        <w:tc>
          <w:tcPr>
            <w:tcW w:w="1250" w:type="pct"/>
            <w:vAlign w:val="center"/>
          </w:tcPr>
          <w:p w:rsidR="00156DD6" w:rsidRDefault="00D51F5F">
            <w:pPr>
              <w:jc w:val="right"/>
            </w:pPr>
            <w:r>
              <w:t xml:space="preserve"> 120,000.00 </w:t>
            </w:r>
          </w:p>
        </w:tc>
        <w:tc>
          <w:tcPr>
            <w:tcW w:w="1250" w:type="pct"/>
            <w:vAlign w:val="center"/>
          </w:tcPr>
          <w:p w:rsidR="00156DD6" w:rsidRDefault="00D51F5F">
            <w:pPr>
              <w:jc w:val="right"/>
            </w:pPr>
            <w:r>
              <w:t xml:space="preserve"> 134,585.16 </w:t>
            </w:r>
          </w:p>
        </w:tc>
        <w:tc>
          <w:tcPr>
            <w:tcW w:w="1250" w:type="pct"/>
            <w:vAlign w:val="center"/>
          </w:tcPr>
          <w:p w:rsidR="00156DD6" w:rsidRDefault="00D51F5F">
            <w:pPr>
              <w:ind w:right="73"/>
            </w:pPr>
            <w:r>
              <w:t>诉讼</w:t>
            </w:r>
          </w:p>
        </w:tc>
      </w:tr>
      <w:tr w:rsidR="00156DD6">
        <w:trPr>
          <w:cantSplit/>
        </w:trPr>
        <w:tc>
          <w:tcPr>
            <w:tcW w:w="1250" w:type="pct"/>
            <w:vAlign w:val="center"/>
          </w:tcPr>
          <w:p w:rsidR="00156DD6" w:rsidRDefault="00D51F5F">
            <w:pPr>
              <w:ind w:right="105"/>
              <w:jc w:val="center"/>
              <w:rPr>
                <w:color w:val="000000" w:themeColor="text1"/>
              </w:rPr>
            </w:pPr>
            <w:r>
              <w:rPr>
                <w:rFonts w:hint="eastAsia"/>
                <w:color w:val="000000" w:themeColor="text1"/>
              </w:rPr>
              <w:t>合计</w:t>
            </w:r>
          </w:p>
        </w:tc>
        <w:tc>
          <w:tcPr>
            <w:tcW w:w="1250" w:type="pct"/>
            <w:vAlign w:val="center"/>
          </w:tcPr>
          <w:p w:rsidR="00156DD6" w:rsidRDefault="00D51F5F">
            <w:pPr>
              <w:jc w:val="right"/>
            </w:pPr>
            <w:r>
              <w:t xml:space="preserve"> 1,300,149.90 </w:t>
            </w:r>
          </w:p>
        </w:tc>
        <w:tc>
          <w:tcPr>
            <w:tcW w:w="1250" w:type="pct"/>
            <w:vAlign w:val="center"/>
          </w:tcPr>
          <w:p w:rsidR="00156DD6" w:rsidRDefault="00D51F5F">
            <w:pPr>
              <w:jc w:val="right"/>
            </w:pPr>
            <w:r>
              <w:t xml:space="preserve"> 1,239,272.68 </w:t>
            </w:r>
          </w:p>
        </w:tc>
        <w:tc>
          <w:tcPr>
            <w:tcW w:w="1250" w:type="pct"/>
          </w:tcPr>
          <w:p w:rsidR="00156DD6" w:rsidRDefault="00D51F5F">
            <w:pPr>
              <w:jc w:val="center"/>
              <w:rPr>
                <w:color w:val="000000" w:themeColor="text1"/>
              </w:rPr>
            </w:pPr>
            <w:r>
              <w:rPr>
                <w:rFonts w:hint="eastAsia"/>
                <w:color w:val="000000" w:themeColor="text1"/>
              </w:rPr>
              <w:t>/</w:t>
            </w:r>
          </w:p>
        </w:tc>
      </w:tr>
    </w:tbl>
    <w:p w:rsidR="00156DD6" w:rsidRDefault="00D51F5F">
      <w:pPr>
        <w:snapToGrid w:val="0"/>
        <w:spacing w:before="60" w:after="60"/>
        <w:rPr>
          <w:color w:val="000000" w:themeColor="text1"/>
        </w:rPr>
      </w:pPr>
      <w:r>
        <w:rPr>
          <w:rFonts w:hint="eastAsia"/>
          <w:color w:val="000000" w:themeColor="text1"/>
        </w:rPr>
        <w:t>其他说明，包括重要预计负债的相关重要假设、估计说明：</w:t>
      </w:r>
    </w:p>
    <w:sdt>
      <w:sdtPr>
        <w:rPr>
          <w:color w:val="000000" w:themeColor="text1"/>
        </w:rPr>
        <w:alias w:val="预计负债的说明"/>
        <w:tag w:val="_GBC_d674f22c00c1425092bd34d8a8834fad"/>
        <w:id w:val="1318451016"/>
        <w:placeholder>
          <w:docPart w:val="GBC22222222222222222222222222222"/>
        </w:placeholder>
      </w:sdtPr>
      <w:sdtEndPr/>
      <w:sdtContent>
        <w:p w:rsidR="00156DD6" w:rsidRDefault="00D51F5F">
          <w:pPr>
            <w:autoSpaceDE w:val="0"/>
            <w:autoSpaceDN w:val="0"/>
            <w:adjustRightInd w:val="0"/>
            <w:rPr>
              <w:color w:val="000000" w:themeColor="text1"/>
            </w:rPr>
          </w:pPr>
          <w:r>
            <w:rPr>
              <w:rFonts w:hint="eastAsia"/>
              <w:color w:val="000000" w:themeColor="text1"/>
            </w:rPr>
            <w:t>无</w:t>
          </w:r>
        </w:p>
      </w:sdtContent>
    </w:sdt>
    <w:bookmarkEnd w:id="408"/>
    <w:p w:rsidR="00156DD6" w:rsidRDefault="00D51F5F">
      <w:pPr>
        <w:pStyle w:val="TOC6"/>
        <w:numPr>
          <w:ilvl w:val="0"/>
          <w:numId w:val="53"/>
        </w:numPr>
        <w:rPr>
          <w:color w:val="000000" w:themeColor="text1"/>
          <w:sz w:val="21"/>
          <w:szCs w:val="22"/>
        </w:rPr>
      </w:pPr>
      <w:r>
        <w:rPr>
          <w:color w:val="000000" w:themeColor="text1"/>
          <w:sz w:val="21"/>
          <w:szCs w:val="22"/>
        </w:rPr>
        <w:t>递延收益</w:t>
      </w:r>
    </w:p>
    <w:p w:rsidR="00156DD6" w:rsidRDefault="00D51F5F">
      <w:pPr>
        <w:pStyle w:val="Style72"/>
        <w:ind w:firstLineChars="0" w:firstLine="0"/>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rPr>
        <w:t>递延收益情况</w:t>
      </w:r>
    </w:p>
    <w:sdt>
      <w:sdtPr>
        <w:rPr>
          <w:rFonts w:ascii="宋体" w:hAnsi="宋体" w:cs="宋体"/>
          <w:color w:val="000000" w:themeColor="text1"/>
          <w:kern w:val="0"/>
          <w:sz w:val="21"/>
          <w:szCs w:val="21"/>
        </w:rPr>
        <w:alias w:val="是否适用：递延收益情况 [双击切换]"/>
        <w:tag w:val="_GBC_2c1393684e764245824b2390014e92f1"/>
        <w:id w:val="-1160536427"/>
        <w:placeholder>
          <w:docPart w:val="GBC22222222222222222222222222222"/>
        </w:placeholder>
      </w:sdtPr>
      <w:sdtEndPr/>
      <w:sdtContent>
        <w:p w:rsidR="00156DD6" w:rsidRDefault="00D51F5F">
          <w:pPr>
            <w:pStyle w:val="Style72"/>
            <w:ind w:firstLineChars="0" w:firstLine="0"/>
            <w:jc w:val="left"/>
            <w:rPr>
              <w:rFonts w:ascii="宋体" w:hAnsi="宋体" w:cs="宋体"/>
              <w:color w:val="000000" w:themeColor="text1"/>
              <w:kern w:val="0"/>
              <w:sz w:val="21"/>
              <w:szCs w:val="21"/>
            </w:rPr>
          </w:pPr>
          <w:r>
            <w:rPr>
              <w:rFonts w:ascii="宋体" w:hAnsi="宋体" w:cs="宋体"/>
              <w:color w:val="000000" w:themeColor="text1"/>
              <w:kern w:val="0"/>
              <w:sz w:val="21"/>
              <w:szCs w:val="21"/>
            </w:rPr>
            <w:fldChar w:fldCharType="begin"/>
          </w:r>
          <w:r>
            <w:rPr>
              <w:rFonts w:ascii="宋体" w:hAnsi="宋体" w:cs="宋体"/>
              <w:color w:val="000000" w:themeColor="text1"/>
              <w:kern w:val="0"/>
              <w:sz w:val="21"/>
              <w:szCs w:val="21"/>
            </w:rPr>
            <w:instrText xml:space="preserve"> MACROBUTTON  SnrToggleCheckbox √</w:instrText>
          </w:r>
          <w:r>
            <w:rPr>
              <w:rFonts w:ascii="宋体" w:hAnsi="宋体" w:cs="宋体"/>
              <w:color w:val="000000" w:themeColor="text1"/>
              <w:kern w:val="0"/>
              <w:sz w:val="21"/>
              <w:szCs w:val="21"/>
            </w:rPr>
            <w:instrText>适用</w:instrText>
          </w:r>
          <w:r>
            <w:rPr>
              <w:rFonts w:ascii="宋体" w:hAnsi="宋体" w:cs="宋体"/>
              <w:color w:val="000000" w:themeColor="text1"/>
              <w:kern w:val="0"/>
              <w:sz w:val="21"/>
              <w:szCs w:val="21"/>
            </w:rPr>
            <w:instrText xml:space="preserve"> </w:instrText>
          </w:r>
          <w:r>
            <w:rPr>
              <w:rFonts w:ascii="宋体" w:hAnsi="宋体" w:cs="宋体"/>
              <w:color w:val="000000" w:themeColor="text1"/>
              <w:kern w:val="0"/>
              <w:sz w:val="21"/>
              <w:szCs w:val="21"/>
            </w:rPr>
            <w:fldChar w:fldCharType="end"/>
          </w:r>
          <w:r>
            <w:rPr>
              <w:rFonts w:ascii="宋体" w:hAnsi="宋体" w:cs="宋体"/>
              <w:color w:val="000000" w:themeColor="text1"/>
              <w:kern w:val="0"/>
              <w:sz w:val="21"/>
              <w:szCs w:val="21"/>
            </w:rPr>
            <w:fldChar w:fldCharType="begin"/>
          </w:r>
          <w:r>
            <w:rPr>
              <w:rFonts w:ascii="宋体" w:hAnsi="宋体" w:cs="宋体"/>
              <w:color w:val="000000" w:themeColor="text1"/>
              <w:kern w:val="0"/>
              <w:sz w:val="21"/>
              <w:szCs w:val="21"/>
            </w:rPr>
            <w:instrText xml:space="preserve"> MACROBUTTON  SnrToggleCheckbox □</w:instrText>
          </w:r>
          <w:r>
            <w:rPr>
              <w:rFonts w:ascii="宋体" w:hAnsi="宋体" w:cs="宋体"/>
              <w:color w:val="000000" w:themeColor="text1"/>
              <w:kern w:val="0"/>
              <w:sz w:val="21"/>
              <w:szCs w:val="21"/>
            </w:rPr>
            <w:instrText>不适用</w:instrText>
          </w:r>
          <w:r>
            <w:rPr>
              <w:rFonts w:ascii="宋体" w:hAnsi="宋体" w:cs="宋体"/>
              <w:color w:val="000000" w:themeColor="text1"/>
              <w:kern w:val="0"/>
              <w:sz w:val="21"/>
              <w:szCs w:val="21"/>
            </w:rPr>
            <w:instrText xml:space="preserve"> </w:instrText>
          </w:r>
          <w:r>
            <w:rPr>
              <w:rFonts w:ascii="宋体" w:hAnsi="宋体" w:cs="宋体"/>
              <w:color w:val="000000" w:themeColor="text1"/>
              <w:kern w:val="0"/>
              <w:sz w:val="21"/>
              <w:szCs w:val="21"/>
            </w:rPr>
            <w:fldChar w:fldCharType="end"/>
          </w:r>
        </w:p>
      </w:sdtContent>
    </w:sdt>
    <w:p w:rsidR="00156DD6" w:rsidRDefault="00D51F5F">
      <w:pPr>
        <w:pStyle w:val="Style72"/>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递延收益"/>
          <w:tag w:val="_GBC_cf9505178ef64cd8b1a42757a7aaf77d"/>
          <w:id w:val="6424771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财务附注：递延收益"/>
          <w:tag w:val="_GBC_b7ba9c3d835b413e83140a438bc5c413"/>
          <w:id w:val="-4735299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581"/>
        <w:gridCol w:w="1344"/>
        <w:gridCol w:w="1476"/>
        <w:gridCol w:w="1581"/>
        <w:gridCol w:w="1454"/>
      </w:tblGrid>
      <w:tr w:rsidR="00156DD6">
        <w:trPr>
          <w:cantSplit/>
          <w:trHeight w:val="335"/>
        </w:trPr>
        <w:sdt>
          <w:sdtPr>
            <w:tag w:val="_PLD_eeb45564af314089916105a5217e0ff6"/>
            <w:id w:val="1589963385"/>
          </w:sdtPr>
          <w:sdtEndPr/>
          <w:sdtContent>
            <w:tc>
              <w:tcPr>
                <w:tcW w:w="844" w:type="pct"/>
                <w:vAlign w:val="center"/>
              </w:tcPr>
              <w:p w:rsidR="00156DD6" w:rsidRDefault="00D51F5F">
                <w:pPr>
                  <w:jc w:val="center"/>
                  <w:rPr>
                    <w:color w:val="000000" w:themeColor="text1"/>
                  </w:rPr>
                </w:pPr>
                <w:r>
                  <w:rPr>
                    <w:rFonts w:hint="eastAsia"/>
                    <w:color w:val="000000" w:themeColor="text1"/>
                  </w:rPr>
                  <w:t>项目</w:t>
                </w:r>
              </w:p>
            </w:tc>
          </w:sdtContent>
        </w:sdt>
        <w:sdt>
          <w:sdtPr>
            <w:tag w:val="_PLD_e0613743f99d4af58a75406a4e2ba5a1"/>
            <w:id w:val="-2128142840"/>
          </w:sdtPr>
          <w:sdtEndPr/>
          <w:sdtContent>
            <w:tc>
              <w:tcPr>
                <w:tcW w:w="811" w:type="pct"/>
                <w:vAlign w:val="center"/>
              </w:tcPr>
              <w:p w:rsidR="00156DD6" w:rsidRDefault="00D51F5F">
                <w:pPr>
                  <w:jc w:val="center"/>
                  <w:rPr>
                    <w:color w:val="000000" w:themeColor="text1"/>
                  </w:rPr>
                </w:pPr>
                <w:r>
                  <w:rPr>
                    <w:rFonts w:hint="eastAsia"/>
                    <w:color w:val="000000" w:themeColor="text1"/>
                  </w:rPr>
                  <w:t>期初余额</w:t>
                </w:r>
              </w:p>
            </w:tc>
          </w:sdtContent>
        </w:sdt>
        <w:sdt>
          <w:sdtPr>
            <w:tag w:val="_PLD_a27f928ad4574fe594e5f995d7a37059"/>
            <w:id w:val="1764028357"/>
          </w:sdtPr>
          <w:sdtEndPr/>
          <w:sdtContent>
            <w:tc>
              <w:tcPr>
                <w:tcW w:w="819" w:type="pct"/>
                <w:vAlign w:val="center"/>
              </w:tcPr>
              <w:p w:rsidR="00156DD6" w:rsidRDefault="00D51F5F">
                <w:pPr>
                  <w:jc w:val="center"/>
                  <w:rPr>
                    <w:color w:val="000000" w:themeColor="text1"/>
                  </w:rPr>
                </w:pPr>
                <w:r>
                  <w:rPr>
                    <w:rFonts w:hint="eastAsia"/>
                    <w:color w:val="000000" w:themeColor="text1"/>
                  </w:rPr>
                  <w:t>本期增加</w:t>
                </w:r>
              </w:p>
            </w:tc>
          </w:sdtContent>
        </w:sdt>
        <w:sdt>
          <w:sdtPr>
            <w:tag w:val="_PLD_ed95bef3663d40fb90dd15d113f7f2c1"/>
            <w:id w:val="-662010247"/>
          </w:sdtPr>
          <w:sdtEndPr/>
          <w:sdtContent>
            <w:tc>
              <w:tcPr>
                <w:tcW w:w="810" w:type="pct"/>
                <w:vAlign w:val="center"/>
              </w:tcPr>
              <w:p w:rsidR="00156DD6" w:rsidRDefault="00D51F5F">
                <w:pPr>
                  <w:jc w:val="center"/>
                  <w:rPr>
                    <w:color w:val="000000" w:themeColor="text1"/>
                  </w:rPr>
                </w:pPr>
                <w:r>
                  <w:rPr>
                    <w:rFonts w:hint="eastAsia"/>
                    <w:color w:val="000000" w:themeColor="text1"/>
                  </w:rPr>
                  <w:t>本期减少</w:t>
                </w:r>
              </w:p>
            </w:tc>
          </w:sdtContent>
        </w:sdt>
        <w:bookmarkStart w:id="409" w:name="OLE_LINK66" w:displacedByCustomXml="next"/>
        <w:bookmarkStart w:id="410" w:name="OLE_LINK67" w:displacedByCustomXml="next"/>
        <w:sdt>
          <w:sdtPr>
            <w:tag w:val="_PLD_367cd0591009413e93857494eaf8170a"/>
            <w:id w:val="924841538"/>
          </w:sdtPr>
          <w:sdtEndPr/>
          <w:sdtContent>
            <w:tc>
              <w:tcPr>
                <w:tcW w:w="835" w:type="pct"/>
                <w:vAlign w:val="center"/>
              </w:tcPr>
              <w:p w:rsidR="00156DD6" w:rsidRDefault="00D51F5F">
                <w:pPr>
                  <w:jc w:val="center"/>
                  <w:rPr>
                    <w:color w:val="000000" w:themeColor="text1"/>
                  </w:rPr>
                </w:pPr>
                <w:r>
                  <w:rPr>
                    <w:rFonts w:hint="eastAsia"/>
                    <w:color w:val="000000" w:themeColor="text1"/>
                  </w:rPr>
                  <w:t>期末余额</w:t>
                </w:r>
              </w:p>
            </w:tc>
          </w:sdtContent>
        </w:sdt>
        <w:bookmarkEnd w:id="409" w:displacedByCustomXml="next"/>
        <w:bookmarkEnd w:id="410" w:displacedByCustomXml="next"/>
        <w:sdt>
          <w:sdtPr>
            <w:tag w:val="_PLD_d61ffc61194047d79611cccd8488aece"/>
            <w:id w:val="-1450540360"/>
          </w:sdtPr>
          <w:sdtEndPr/>
          <w:sdtContent>
            <w:tc>
              <w:tcPr>
                <w:tcW w:w="881" w:type="pct"/>
                <w:vAlign w:val="center"/>
              </w:tcPr>
              <w:p w:rsidR="00156DD6" w:rsidRDefault="00D51F5F">
                <w:pPr>
                  <w:jc w:val="center"/>
                  <w:rPr>
                    <w:color w:val="000000" w:themeColor="text1"/>
                  </w:rPr>
                </w:pPr>
                <w:r>
                  <w:rPr>
                    <w:rFonts w:hint="eastAsia"/>
                    <w:color w:val="000000" w:themeColor="text1"/>
                  </w:rPr>
                  <w:t>形成原因</w:t>
                </w:r>
              </w:p>
            </w:tc>
          </w:sdtContent>
        </w:sdt>
      </w:tr>
      <w:tr w:rsidR="00156DD6">
        <w:trPr>
          <w:cantSplit/>
        </w:trPr>
        <w:tc>
          <w:tcPr>
            <w:tcW w:w="844" w:type="pct"/>
            <w:vAlign w:val="center"/>
          </w:tcPr>
          <w:p w:rsidR="00156DD6" w:rsidRDefault="00D51F5F">
            <w:pPr>
              <w:rPr>
                <w:color w:val="000000" w:themeColor="text1"/>
              </w:rPr>
            </w:pPr>
            <w:r>
              <w:rPr>
                <w:rFonts w:hint="eastAsia"/>
                <w:color w:val="000000" w:themeColor="text1"/>
              </w:rPr>
              <w:t>政府补助</w:t>
            </w:r>
          </w:p>
        </w:tc>
        <w:tc>
          <w:tcPr>
            <w:tcW w:w="811" w:type="pct"/>
            <w:vAlign w:val="center"/>
          </w:tcPr>
          <w:p w:rsidR="00156DD6" w:rsidRDefault="00D51F5F">
            <w:pPr>
              <w:jc w:val="right"/>
            </w:pPr>
            <w:r>
              <w:t>73,234,976.95</w:t>
            </w:r>
          </w:p>
        </w:tc>
        <w:tc>
          <w:tcPr>
            <w:tcW w:w="819" w:type="pct"/>
            <w:vAlign w:val="center"/>
          </w:tcPr>
          <w:p w:rsidR="00156DD6" w:rsidRDefault="00D51F5F">
            <w:pPr>
              <w:jc w:val="right"/>
            </w:pPr>
            <w:r>
              <w:t xml:space="preserve">400,000.00 </w:t>
            </w:r>
          </w:p>
        </w:tc>
        <w:tc>
          <w:tcPr>
            <w:tcW w:w="810" w:type="pct"/>
            <w:vAlign w:val="center"/>
          </w:tcPr>
          <w:p w:rsidR="00156DD6" w:rsidRDefault="00D51F5F">
            <w:pPr>
              <w:jc w:val="right"/>
            </w:pPr>
            <w:r>
              <w:t>3,384,091.11</w:t>
            </w:r>
          </w:p>
        </w:tc>
        <w:tc>
          <w:tcPr>
            <w:tcW w:w="835" w:type="pct"/>
            <w:vAlign w:val="center"/>
          </w:tcPr>
          <w:p w:rsidR="00156DD6" w:rsidRDefault="00D51F5F">
            <w:pPr>
              <w:jc w:val="right"/>
            </w:pPr>
            <w:r>
              <w:t>70,250,885.84</w:t>
            </w:r>
          </w:p>
        </w:tc>
        <w:tc>
          <w:tcPr>
            <w:tcW w:w="881" w:type="pct"/>
          </w:tcPr>
          <w:p w:rsidR="00156DD6" w:rsidRDefault="00D51F5F">
            <w:pPr>
              <w:pStyle w:val="Style43"/>
            </w:pPr>
            <w:r>
              <w:rPr>
                <w:rFonts w:hint="eastAsia"/>
              </w:rPr>
              <w:t>与资产相关的政府补助</w:t>
            </w:r>
          </w:p>
        </w:tc>
      </w:tr>
      <w:tr w:rsidR="00156DD6">
        <w:trPr>
          <w:cantSplit/>
        </w:trPr>
        <w:tc>
          <w:tcPr>
            <w:tcW w:w="844" w:type="pct"/>
            <w:vAlign w:val="center"/>
          </w:tcPr>
          <w:p w:rsidR="00156DD6" w:rsidRDefault="00D51F5F">
            <w:pPr>
              <w:jc w:val="center"/>
              <w:rPr>
                <w:color w:val="000000" w:themeColor="text1"/>
              </w:rPr>
            </w:pPr>
            <w:r>
              <w:rPr>
                <w:rFonts w:hint="eastAsia"/>
                <w:color w:val="000000" w:themeColor="text1"/>
              </w:rPr>
              <w:t>合计</w:t>
            </w:r>
          </w:p>
        </w:tc>
        <w:tc>
          <w:tcPr>
            <w:tcW w:w="811" w:type="pct"/>
            <w:vAlign w:val="center"/>
          </w:tcPr>
          <w:p w:rsidR="00156DD6" w:rsidRDefault="00D51F5F">
            <w:pPr>
              <w:jc w:val="right"/>
            </w:pPr>
            <w:r>
              <w:t>73,234,976.95</w:t>
            </w:r>
          </w:p>
        </w:tc>
        <w:tc>
          <w:tcPr>
            <w:tcW w:w="819" w:type="pct"/>
            <w:vAlign w:val="center"/>
          </w:tcPr>
          <w:p w:rsidR="00156DD6" w:rsidRDefault="00D51F5F">
            <w:pPr>
              <w:jc w:val="right"/>
            </w:pPr>
            <w:r>
              <w:t xml:space="preserve">400,000.00 </w:t>
            </w:r>
          </w:p>
        </w:tc>
        <w:tc>
          <w:tcPr>
            <w:tcW w:w="810" w:type="pct"/>
            <w:vAlign w:val="center"/>
          </w:tcPr>
          <w:p w:rsidR="00156DD6" w:rsidRDefault="00D51F5F">
            <w:pPr>
              <w:jc w:val="right"/>
            </w:pPr>
            <w:r>
              <w:t xml:space="preserve">3,384,091.11 </w:t>
            </w:r>
          </w:p>
        </w:tc>
        <w:tc>
          <w:tcPr>
            <w:tcW w:w="835" w:type="pct"/>
            <w:vAlign w:val="center"/>
          </w:tcPr>
          <w:p w:rsidR="00156DD6" w:rsidRDefault="00D51F5F">
            <w:pPr>
              <w:jc w:val="right"/>
            </w:pPr>
            <w:r>
              <w:t xml:space="preserve">70,250,885.84 </w:t>
            </w:r>
          </w:p>
        </w:tc>
        <w:tc>
          <w:tcPr>
            <w:tcW w:w="881" w:type="pct"/>
          </w:tcPr>
          <w:p w:rsidR="00156DD6" w:rsidRDefault="00D51F5F">
            <w:pPr>
              <w:jc w:val="center"/>
              <w:rPr>
                <w:color w:val="000000" w:themeColor="text1"/>
              </w:rPr>
            </w:pPr>
            <w:r>
              <w:rPr>
                <w:rFonts w:hint="eastAsia"/>
                <w:color w:val="000000" w:themeColor="text1"/>
              </w:rPr>
              <w:t>/</w:t>
            </w:r>
          </w:p>
        </w:tc>
      </w:tr>
    </w:tbl>
    <w:p w:rsidR="00156DD6" w:rsidRDefault="00D51F5F">
      <w:pPr>
        <w:spacing w:before="60" w:after="60"/>
        <w:rPr>
          <w:color w:val="000000" w:themeColor="text1"/>
        </w:rPr>
      </w:pPr>
      <w:bookmarkStart w:id="411" w:name="_Hlk10537331"/>
      <w:bookmarkStart w:id="412" w:name="OLE_LINK85"/>
      <w:bookmarkStart w:id="413" w:name="OLE_LINK84"/>
      <w:bookmarkEnd w:id="411"/>
      <w:r>
        <w:rPr>
          <w:rFonts w:hint="eastAsia"/>
          <w:color w:val="000000" w:themeColor="text1"/>
        </w:rPr>
        <w:t>其他说明：</w:t>
      </w:r>
    </w:p>
    <w:sdt>
      <w:sdtPr>
        <w:rPr>
          <w:color w:val="000000" w:themeColor="text1"/>
        </w:rPr>
        <w:alias w:val="是否适用：递延收益的其他说明[双击切换]"/>
        <w:tag w:val="_GBC_da5e8f76ba934c9e8efb4ab4d41c9f8c"/>
        <w:id w:val="427397651"/>
        <w:placeholder>
          <w:docPart w:val="GBC22222222222222222222222222222"/>
        </w:placeholder>
      </w:sdtPr>
      <w:sdtEndPr/>
      <w:sdtContent>
        <w:p w:rsidR="00156DD6" w:rsidRDefault="00D51F5F">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414" w:name="_Hlk10537430"/>
      <w:bookmarkEnd w:id="412"/>
      <w:bookmarkEnd w:id="413"/>
      <w:r>
        <w:rPr>
          <w:color w:val="000000" w:themeColor="text1"/>
          <w:sz w:val="21"/>
          <w:szCs w:val="22"/>
        </w:rPr>
        <w:t>其他非流动负债</w:t>
      </w:r>
    </w:p>
    <w:sdt>
      <w:sdtPr>
        <w:rPr>
          <w:color w:val="000000" w:themeColor="text1"/>
        </w:rPr>
        <w:alias w:val="是否适用：其他非流动负债[双击切换]"/>
        <w:tag w:val="_GBC_bb8a5c7236564ec0823cbced5ea78e62"/>
        <w:id w:val="138182354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14"/>
    <w:p w:rsidR="00156DD6" w:rsidRDefault="00D51F5F">
      <w:pPr>
        <w:pStyle w:val="TOC6"/>
        <w:numPr>
          <w:ilvl w:val="0"/>
          <w:numId w:val="53"/>
        </w:numPr>
        <w:rPr>
          <w:color w:val="000000" w:themeColor="text1"/>
          <w:sz w:val="21"/>
          <w:szCs w:val="22"/>
        </w:rPr>
      </w:pPr>
      <w:r>
        <w:rPr>
          <w:color w:val="000000" w:themeColor="text1"/>
          <w:sz w:val="21"/>
          <w:szCs w:val="22"/>
        </w:rPr>
        <w:t>股本</w:t>
      </w:r>
    </w:p>
    <w:sdt>
      <w:sdtPr>
        <w:rPr>
          <w:color w:val="000000" w:themeColor="text1"/>
        </w:rPr>
        <w:alias w:val="是否适用：股本[双击切换]"/>
        <w:tag w:val="_GBC_a88b08589cbb4302b29839808faa8a3b"/>
        <w:id w:val="46300496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股本"/>
          <w:tag w:val="_GBC_cf915ea45a234de2a2455824dedc3c82"/>
          <w:id w:val="6494825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股本"/>
          <w:tag w:val="_GBC_2dcc7ff328cf480296bdddce64b88cf1"/>
          <w:id w:val="4723369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686"/>
        <w:gridCol w:w="811"/>
        <w:gridCol w:w="813"/>
        <w:gridCol w:w="882"/>
        <w:gridCol w:w="896"/>
        <w:gridCol w:w="867"/>
        <w:gridCol w:w="1686"/>
      </w:tblGrid>
      <w:tr w:rsidR="00156DD6">
        <w:trPr>
          <w:cantSplit/>
          <w:trHeight w:val="270"/>
        </w:trPr>
        <w:tc>
          <w:tcPr>
            <w:tcW w:w="720" w:type="pct"/>
            <w:vMerge w:val="restart"/>
          </w:tcPr>
          <w:p w:rsidR="00156DD6" w:rsidRDefault="00156DD6">
            <w:pPr>
              <w:jc w:val="center"/>
              <w:rPr>
                <w:color w:val="000000" w:themeColor="text1"/>
              </w:rPr>
            </w:pPr>
          </w:p>
        </w:tc>
        <w:sdt>
          <w:sdtPr>
            <w:tag w:val="_PLD_7ad9a0911e364e48bc565dc3ed809692"/>
            <w:id w:val="1802802018"/>
          </w:sdtPr>
          <w:sdtEndPr/>
          <w:sdtContent>
            <w:tc>
              <w:tcPr>
                <w:tcW w:w="743" w:type="pct"/>
                <w:vMerge w:val="restart"/>
                <w:vAlign w:val="center"/>
              </w:tcPr>
              <w:p w:rsidR="00156DD6" w:rsidRDefault="00D51F5F">
                <w:pPr>
                  <w:jc w:val="center"/>
                  <w:rPr>
                    <w:color w:val="000000" w:themeColor="text1"/>
                  </w:rPr>
                </w:pPr>
                <w:r>
                  <w:rPr>
                    <w:rFonts w:hint="eastAsia"/>
                    <w:color w:val="000000" w:themeColor="text1"/>
                  </w:rPr>
                  <w:t>期初余额</w:t>
                </w:r>
              </w:p>
            </w:tc>
          </w:sdtContent>
        </w:sdt>
        <w:sdt>
          <w:sdtPr>
            <w:tag w:val="_PLD_33945fdb28e344edaa7d118a9aa07d7d"/>
            <w:id w:val="1904860668"/>
          </w:sdtPr>
          <w:sdtEndPr/>
          <w:sdtContent>
            <w:tc>
              <w:tcPr>
                <w:tcW w:w="2670" w:type="pct"/>
                <w:gridSpan w:val="5"/>
                <w:vAlign w:val="center"/>
              </w:tcPr>
              <w:p w:rsidR="00156DD6" w:rsidRDefault="00D51F5F">
                <w:pPr>
                  <w:jc w:val="center"/>
                  <w:rPr>
                    <w:color w:val="000000" w:themeColor="text1"/>
                  </w:rPr>
                </w:pPr>
                <w:r>
                  <w:rPr>
                    <w:rFonts w:hint="eastAsia"/>
                    <w:color w:val="000000" w:themeColor="text1"/>
                  </w:rPr>
                  <w:t>本次变动增减（</w:t>
                </w:r>
                <w:r>
                  <w:rPr>
                    <w:rFonts w:hint="eastAsia"/>
                    <w:color w:val="000000" w:themeColor="text1"/>
                  </w:rPr>
                  <w:t>+</w:t>
                </w:r>
                <w:r>
                  <w:rPr>
                    <w:rFonts w:hint="eastAsia"/>
                    <w:color w:val="000000" w:themeColor="text1"/>
                  </w:rPr>
                  <w:t>、一）</w:t>
                </w:r>
              </w:p>
            </w:tc>
          </w:sdtContent>
        </w:sdt>
        <w:sdt>
          <w:sdtPr>
            <w:tag w:val="_PLD_a0390714e323429ab6e793f9a610df70"/>
            <w:id w:val="1894234057"/>
          </w:sdtPr>
          <w:sdtEndPr/>
          <w:sdtContent>
            <w:tc>
              <w:tcPr>
                <w:tcW w:w="866" w:type="pct"/>
                <w:vMerge w:val="restart"/>
                <w:vAlign w:val="center"/>
              </w:tcPr>
              <w:p w:rsidR="00156DD6" w:rsidRDefault="00D51F5F">
                <w:pPr>
                  <w:jc w:val="center"/>
                  <w:rPr>
                    <w:color w:val="000000" w:themeColor="text1"/>
                  </w:rPr>
                </w:pPr>
                <w:r>
                  <w:rPr>
                    <w:rFonts w:hint="eastAsia"/>
                    <w:color w:val="000000" w:themeColor="text1"/>
                  </w:rPr>
                  <w:t>期末余额</w:t>
                </w:r>
              </w:p>
            </w:tc>
          </w:sdtContent>
        </w:sdt>
      </w:tr>
      <w:tr w:rsidR="00156DD6">
        <w:trPr>
          <w:cantSplit/>
          <w:trHeight w:val="312"/>
        </w:trPr>
        <w:tc>
          <w:tcPr>
            <w:tcW w:w="720" w:type="pct"/>
            <w:vMerge/>
          </w:tcPr>
          <w:p w:rsidR="00156DD6" w:rsidRDefault="00156DD6">
            <w:pPr>
              <w:rPr>
                <w:color w:val="000000" w:themeColor="text1"/>
              </w:rPr>
            </w:pPr>
          </w:p>
        </w:tc>
        <w:tc>
          <w:tcPr>
            <w:tcW w:w="743" w:type="pct"/>
            <w:vMerge/>
          </w:tcPr>
          <w:p w:rsidR="00156DD6" w:rsidRDefault="00156DD6">
            <w:pPr>
              <w:ind w:leftChars="-119" w:left="-250" w:firstLineChars="119" w:firstLine="250"/>
              <w:rPr>
                <w:color w:val="000000" w:themeColor="text1"/>
              </w:rPr>
            </w:pPr>
          </w:p>
        </w:tc>
        <w:sdt>
          <w:sdtPr>
            <w:tag w:val="_PLD_fe0b182c33854e5bb51d2d2a3cd1dd7f"/>
            <w:id w:val="-72127264"/>
          </w:sdtPr>
          <w:sdtEndPr/>
          <w:sdtContent>
            <w:tc>
              <w:tcPr>
                <w:tcW w:w="510" w:type="pct"/>
                <w:vAlign w:val="center"/>
              </w:tcPr>
              <w:p w:rsidR="00156DD6" w:rsidRDefault="00D51F5F">
                <w:pPr>
                  <w:jc w:val="center"/>
                  <w:rPr>
                    <w:color w:val="000000" w:themeColor="text1"/>
                  </w:rPr>
                </w:pPr>
                <w:r>
                  <w:rPr>
                    <w:rFonts w:hint="eastAsia"/>
                    <w:color w:val="000000" w:themeColor="text1"/>
                  </w:rPr>
                  <w:t>发行新股</w:t>
                </w:r>
              </w:p>
            </w:tc>
          </w:sdtContent>
        </w:sdt>
        <w:sdt>
          <w:sdtPr>
            <w:tag w:val="_PLD_80e7c94a1831488d89d22be722443897"/>
            <w:id w:val="636772458"/>
          </w:sdtPr>
          <w:sdtEndPr/>
          <w:sdtContent>
            <w:tc>
              <w:tcPr>
                <w:tcW w:w="511" w:type="pct"/>
                <w:vAlign w:val="center"/>
              </w:tcPr>
              <w:p w:rsidR="00156DD6" w:rsidRDefault="00D51F5F">
                <w:pPr>
                  <w:jc w:val="center"/>
                  <w:rPr>
                    <w:color w:val="000000" w:themeColor="text1"/>
                  </w:rPr>
                </w:pPr>
                <w:r>
                  <w:rPr>
                    <w:rFonts w:hint="eastAsia"/>
                    <w:color w:val="000000" w:themeColor="text1"/>
                  </w:rPr>
                  <w:t>送股</w:t>
                </w:r>
              </w:p>
            </w:tc>
          </w:sdtContent>
        </w:sdt>
        <w:sdt>
          <w:sdtPr>
            <w:tag w:val="_PLD_c1d7f04883eb4aaa9c52067f145ec081"/>
            <w:id w:val="687644129"/>
          </w:sdtPr>
          <w:sdtEndPr/>
          <w:sdtContent>
            <w:tc>
              <w:tcPr>
                <w:tcW w:w="550" w:type="pct"/>
                <w:vAlign w:val="center"/>
              </w:tcPr>
              <w:p w:rsidR="00156DD6" w:rsidRDefault="00D51F5F">
                <w:pPr>
                  <w:jc w:val="center"/>
                  <w:rPr>
                    <w:color w:val="000000" w:themeColor="text1"/>
                  </w:rPr>
                </w:pPr>
                <w:r>
                  <w:rPr>
                    <w:rFonts w:hint="eastAsia"/>
                    <w:color w:val="000000" w:themeColor="text1"/>
                  </w:rPr>
                  <w:t>公积金转股</w:t>
                </w:r>
              </w:p>
            </w:tc>
          </w:sdtContent>
        </w:sdt>
        <w:sdt>
          <w:sdtPr>
            <w:tag w:val="_PLD_6e44c9cf090243e19b20f1e88e8231ef"/>
            <w:id w:val="637616365"/>
          </w:sdtPr>
          <w:sdtEndPr/>
          <w:sdtContent>
            <w:tc>
              <w:tcPr>
                <w:tcW w:w="558" w:type="pct"/>
                <w:vAlign w:val="center"/>
              </w:tcPr>
              <w:p w:rsidR="00156DD6" w:rsidRDefault="00D51F5F">
                <w:pPr>
                  <w:jc w:val="center"/>
                  <w:rPr>
                    <w:color w:val="000000" w:themeColor="text1"/>
                  </w:rPr>
                </w:pPr>
                <w:r>
                  <w:rPr>
                    <w:rFonts w:hint="eastAsia"/>
                    <w:color w:val="000000" w:themeColor="text1"/>
                  </w:rPr>
                  <w:t>其他</w:t>
                </w:r>
              </w:p>
            </w:tc>
          </w:sdtContent>
        </w:sdt>
        <w:sdt>
          <w:sdtPr>
            <w:tag w:val="_PLD_0cee72421f954c94ba296c709c84ef52"/>
            <w:id w:val="576946357"/>
          </w:sdtPr>
          <w:sdtEndPr/>
          <w:sdtContent>
            <w:tc>
              <w:tcPr>
                <w:tcW w:w="542" w:type="pct"/>
                <w:vAlign w:val="center"/>
              </w:tcPr>
              <w:p w:rsidR="00156DD6" w:rsidRDefault="00D51F5F">
                <w:pPr>
                  <w:jc w:val="center"/>
                  <w:rPr>
                    <w:color w:val="000000" w:themeColor="text1"/>
                  </w:rPr>
                </w:pPr>
                <w:r>
                  <w:rPr>
                    <w:rFonts w:hint="eastAsia"/>
                    <w:color w:val="000000" w:themeColor="text1"/>
                  </w:rPr>
                  <w:t>小计</w:t>
                </w:r>
              </w:p>
            </w:tc>
          </w:sdtContent>
        </w:sdt>
        <w:tc>
          <w:tcPr>
            <w:tcW w:w="866" w:type="pct"/>
            <w:vMerge/>
          </w:tcPr>
          <w:p w:rsidR="00156DD6" w:rsidRDefault="00156DD6">
            <w:pPr>
              <w:rPr>
                <w:color w:val="000000" w:themeColor="text1"/>
              </w:rPr>
            </w:pPr>
          </w:p>
        </w:tc>
      </w:tr>
      <w:tr w:rsidR="00156DD6">
        <w:trPr>
          <w:cantSplit/>
        </w:trPr>
        <w:tc>
          <w:tcPr>
            <w:tcW w:w="720" w:type="pct"/>
          </w:tcPr>
          <w:p w:rsidR="00156DD6" w:rsidRDefault="00D51F5F">
            <w:pPr>
              <w:jc w:val="center"/>
              <w:rPr>
                <w:color w:val="000000" w:themeColor="text1"/>
              </w:rPr>
            </w:pPr>
            <w:r>
              <w:rPr>
                <w:rFonts w:hint="eastAsia"/>
                <w:color w:val="000000" w:themeColor="text1"/>
              </w:rPr>
              <w:lastRenderedPageBreak/>
              <w:t>股份总数</w:t>
            </w:r>
          </w:p>
        </w:tc>
        <w:tc>
          <w:tcPr>
            <w:tcW w:w="743" w:type="pct"/>
          </w:tcPr>
          <w:p w:rsidR="00156DD6" w:rsidRDefault="00D51F5F">
            <w:pPr>
              <w:jc w:val="right"/>
            </w:pPr>
            <w:r>
              <w:t>333,167,407.00</w:t>
            </w:r>
          </w:p>
        </w:tc>
        <w:tc>
          <w:tcPr>
            <w:tcW w:w="510" w:type="pct"/>
          </w:tcPr>
          <w:p w:rsidR="00156DD6" w:rsidRDefault="00156DD6">
            <w:pPr>
              <w:jc w:val="right"/>
            </w:pPr>
          </w:p>
        </w:tc>
        <w:tc>
          <w:tcPr>
            <w:tcW w:w="511" w:type="pct"/>
          </w:tcPr>
          <w:p w:rsidR="00156DD6" w:rsidRDefault="00156DD6">
            <w:pPr>
              <w:jc w:val="right"/>
            </w:pPr>
          </w:p>
        </w:tc>
        <w:tc>
          <w:tcPr>
            <w:tcW w:w="550" w:type="pct"/>
          </w:tcPr>
          <w:p w:rsidR="00156DD6" w:rsidRDefault="00156DD6">
            <w:pPr>
              <w:jc w:val="right"/>
            </w:pPr>
          </w:p>
        </w:tc>
        <w:tc>
          <w:tcPr>
            <w:tcW w:w="558" w:type="pct"/>
          </w:tcPr>
          <w:p w:rsidR="00156DD6" w:rsidRDefault="00156DD6">
            <w:pPr>
              <w:jc w:val="right"/>
            </w:pPr>
          </w:p>
        </w:tc>
        <w:tc>
          <w:tcPr>
            <w:tcW w:w="542" w:type="pct"/>
          </w:tcPr>
          <w:p w:rsidR="00156DD6" w:rsidRDefault="00156DD6">
            <w:pPr>
              <w:jc w:val="right"/>
            </w:pPr>
          </w:p>
        </w:tc>
        <w:tc>
          <w:tcPr>
            <w:tcW w:w="866" w:type="pct"/>
          </w:tcPr>
          <w:p w:rsidR="00156DD6" w:rsidRDefault="00D51F5F">
            <w:pPr>
              <w:jc w:val="right"/>
            </w:pPr>
            <w:r>
              <w:t>333,167,407.00</w:t>
            </w:r>
          </w:p>
        </w:tc>
      </w:tr>
    </w:tbl>
    <w:p w:rsidR="00156DD6" w:rsidRDefault="00D51F5F">
      <w:pPr>
        <w:spacing w:before="60" w:after="60"/>
        <w:rPr>
          <w:color w:val="000000" w:themeColor="text1"/>
        </w:rPr>
      </w:pPr>
      <w:r>
        <w:rPr>
          <w:rFonts w:hint="eastAsia"/>
          <w:color w:val="000000" w:themeColor="text1"/>
        </w:rPr>
        <w:t>其他说明：</w:t>
      </w:r>
    </w:p>
    <w:sdt>
      <w:sdtPr>
        <w:rPr>
          <w:color w:val="000000" w:themeColor="text1"/>
        </w:rPr>
        <w:alias w:val="股本变动情况说明"/>
        <w:tag w:val="_GBC_752687f835754470ad7a125ef32391e4"/>
        <w:id w:val="-71739589"/>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r>
        <w:rPr>
          <w:color w:val="000000" w:themeColor="text1"/>
          <w:sz w:val="21"/>
          <w:szCs w:val="22"/>
        </w:rPr>
        <w:t>其他权益工具</w:t>
      </w:r>
    </w:p>
    <w:p w:rsidR="00156DD6" w:rsidRDefault="00D51F5F">
      <w:pPr>
        <w:pStyle w:val="Style47"/>
        <w:numPr>
          <w:ilvl w:val="0"/>
          <w:numId w:val="77"/>
        </w:numPr>
        <w:rPr>
          <w:rFonts w:ascii="宋体" w:hAnsi="宋体"/>
          <w:color w:val="000000" w:themeColor="text1"/>
          <w:sz w:val="21"/>
          <w:szCs w:val="21"/>
        </w:rPr>
      </w:pPr>
      <w:r>
        <w:rPr>
          <w:rFonts w:ascii="宋体" w:hAnsi="宋体" w:hint="eastAsia"/>
          <w:color w:val="000000" w:themeColor="text1"/>
          <w:sz w:val="21"/>
          <w:szCs w:val="21"/>
        </w:rPr>
        <w:t>期末发行在外的优先股、永续债等其他金融工具基本情况</w:t>
      </w:r>
    </w:p>
    <w:sdt>
      <w:sdtPr>
        <w:rPr>
          <w:color w:val="000000" w:themeColor="text1"/>
        </w:rPr>
        <w:alias w:val="是否适用：期末发行在外的优先股、永续债等其他金融工具基本情况[双击切换]"/>
        <w:tag w:val="_GBC_54d54ac45fe745e1aad9be61a846261f"/>
        <w:id w:val="-12317702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7"/>
        </w:numPr>
        <w:rPr>
          <w:rFonts w:ascii="宋体" w:hAnsi="宋体"/>
          <w:color w:val="000000" w:themeColor="text1"/>
          <w:sz w:val="21"/>
          <w:szCs w:val="21"/>
        </w:rPr>
      </w:pPr>
      <w:r>
        <w:rPr>
          <w:rFonts w:ascii="宋体" w:hAnsi="宋体" w:hint="eastAsia"/>
          <w:color w:val="000000" w:themeColor="text1"/>
          <w:sz w:val="21"/>
          <w:szCs w:val="21"/>
        </w:rPr>
        <w:t>期末发行在外的优先股、永续债等金融工具变动情况表</w:t>
      </w:r>
    </w:p>
    <w:sdt>
      <w:sdtPr>
        <w:rPr>
          <w:color w:val="000000" w:themeColor="text1"/>
        </w:rPr>
        <w:alias w:val="是否适用：期末发行在外的优先股、永续债等金融工具变动情况表_其他权益工具[双击切换]"/>
        <w:tag w:val="_GBC_e8c53693e19e485cba80f7cd2a15ab4c"/>
        <w:id w:val="7842365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其他权益工具本期增减变动情况、变动原因说明，以及相关会计处理的依据：</w:t>
      </w:r>
    </w:p>
    <w:sdt>
      <w:sdtPr>
        <w:rPr>
          <w:color w:val="000000" w:themeColor="text1"/>
        </w:rPr>
        <w:alias w:val="是否适用：其他权益工具本期增减变动情况、变动原因说明，以及相关会计处理的依据[双击切换]"/>
        <w:tag w:val="_GBC_6229f0070f0a4c838e1e39f678f8a7bb"/>
        <w:id w:val="-156617485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其他权益工具的其他说明[双击切换]"/>
        <w:tag w:val="_GBC_297d299126b041159b18d012f9a18c2e"/>
        <w:id w:val="195080643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资本公积</w:t>
      </w:r>
    </w:p>
    <w:sdt>
      <w:sdtPr>
        <w:rPr>
          <w:color w:val="000000" w:themeColor="text1"/>
        </w:rPr>
        <w:alias w:val="是否适用：资本公积[双击切换]"/>
        <w:tag w:val="_GBC_70f32b67ce344a03adfc93d4ed72949a"/>
        <w:id w:val="90912549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资本公积"/>
          <w:tag w:val="_GBC_88633009fdc64f4e8238c38541b33615"/>
          <w:id w:val="-4689750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资本公积"/>
          <w:tag w:val="_GBC_636aa96d47cb426abc64fc00b61c9353"/>
          <w:id w:val="19118782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773"/>
        <w:gridCol w:w="1807"/>
        <w:gridCol w:w="1791"/>
        <w:gridCol w:w="1789"/>
      </w:tblGrid>
      <w:tr w:rsidR="00156DD6">
        <w:sdt>
          <w:sdtPr>
            <w:tag w:val="_PLD_177c011500e64862903c4c16dbb2f31f"/>
            <w:id w:val="1878666221"/>
          </w:sdtPr>
          <w:sdtEndPr/>
          <w:sdtContent>
            <w:tc>
              <w:tcPr>
                <w:tcW w:w="942"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1519f0add67f49df9173f37c00215eef"/>
            <w:id w:val="1759172280"/>
          </w:sdtPr>
          <w:sdtEndPr/>
          <w:sdtContent>
            <w:tc>
              <w:tcPr>
                <w:tcW w:w="1005"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期初余额</w:t>
                </w:r>
              </w:p>
            </w:tc>
          </w:sdtContent>
        </w:sdt>
        <w:sdt>
          <w:sdtPr>
            <w:tag w:val="_PLD_dcbf1fd9bcaa41fc8ff4def2d0e55143"/>
            <w:id w:val="-1150051833"/>
          </w:sdtPr>
          <w:sdtEndPr/>
          <w:sdtContent>
            <w:tc>
              <w:tcPr>
                <w:tcW w:w="1024"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本期增加</w:t>
                </w:r>
              </w:p>
            </w:tc>
          </w:sdtContent>
        </w:sdt>
        <w:sdt>
          <w:sdtPr>
            <w:tag w:val="_PLD_9d88d0ce99474d389c660c414306497d"/>
            <w:id w:val="1720785001"/>
          </w:sdtPr>
          <w:sdtEndPr/>
          <w:sdtContent>
            <w:tc>
              <w:tcPr>
                <w:tcW w:w="1015"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本期减少</w:t>
                </w:r>
              </w:p>
            </w:tc>
          </w:sdtContent>
        </w:sdt>
        <w:sdt>
          <w:sdtPr>
            <w:tag w:val="_PLD_4c3f2255a4a24c1cae63eb0cc7781f12"/>
            <w:id w:val="-1372907042"/>
          </w:sdtPr>
          <w:sdtEndPr/>
          <w:sdtContent>
            <w:tc>
              <w:tcPr>
                <w:tcW w:w="1014"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期末余额</w:t>
                </w:r>
              </w:p>
            </w:tc>
          </w:sdtContent>
        </w:sdt>
      </w:tr>
      <w:tr w:rsidR="00156DD6">
        <w:tc>
          <w:tcPr>
            <w:tcW w:w="942" w:type="pct"/>
          </w:tcPr>
          <w:p w:rsidR="00156DD6" w:rsidRDefault="00D51F5F">
            <w:pPr>
              <w:autoSpaceDE w:val="0"/>
              <w:autoSpaceDN w:val="0"/>
              <w:adjustRightInd w:val="0"/>
              <w:snapToGrid w:val="0"/>
              <w:rPr>
                <w:color w:val="000000" w:themeColor="text1"/>
              </w:rPr>
            </w:pPr>
            <w:r>
              <w:rPr>
                <w:rFonts w:hint="eastAsia"/>
                <w:color w:val="000000" w:themeColor="text1"/>
              </w:rPr>
              <w:t>资本溢价（股本溢价）</w:t>
            </w:r>
          </w:p>
        </w:tc>
        <w:tc>
          <w:tcPr>
            <w:tcW w:w="1005" w:type="pct"/>
            <w:vAlign w:val="center"/>
          </w:tcPr>
          <w:p w:rsidR="00156DD6" w:rsidRDefault="00D51F5F">
            <w:pPr>
              <w:autoSpaceDE w:val="0"/>
              <w:autoSpaceDN w:val="0"/>
              <w:adjustRightInd w:val="0"/>
              <w:snapToGrid w:val="0"/>
              <w:jc w:val="right"/>
            </w:pPr>
            <w:r>
              <w:rPr>
                <w:rFonts w:hint="eastAsia"/>
              </w:rPr>
              <w:t xml:space="preserve">956,093,166.95 </w:t>
            </w:r>
          </w:p>
        </w:tc>
        <w:tc>
          <w:tcPr>
            <w:tcW w:w="1024" w:type="pct"/>
            <w:vAlign w:val="center"/>
          </w:tcPr>
          <w:p w:rsidR="00156DD6" w:rsidRDefault="00D51F5F">
            <w:pPr>
              <w:autoSpaceDE w:val="0"/>
              <w:autoSpaceDN w:val="0"/>
              <w:adjustRightInd w:val="0"/>
              <w:snapToGrid w:val="0"/>
              <w:jc w:val="right"/>
            </w:pPr>
            <w:r>
              <w:rPr>
                <w:rFonts w:hint="eastAsia"/>
              </w:rPr>
              <w:t xml:space="preserve"> 24,801,517.95 </w:t>
            </w:r>
          </w:p>
        </w:tc>
        <w:tc>
          <w:tcPr>
            <w:tcW w:w="1015" w:type="pct"/>
            <w:vAlign w:val="center"/>
          </w:tcPr>
          <w:p w:rsidR="00156DD6" w:rsidRDefault="00D51F5F">
            <w:pPr>
              <w:autoSpaceDE w:val="0"/>
              <w:autoSpaceDN w:val="0"/>
              <w:adjustRightInd w:val="0"/>
              <w:snapToGrid w:val="0"/>
              <w:jc w:val="right"/>
            </w:pPr>
            <w:r>
              <w:rPr>
                <w:rFonts w:hint="eastAsia"/>
              </w:rPr>
              <w:t xml:space="preserve"> 4,500,800.00 </w:t>
            </w:r>
          </w:p>
        </w:tc>
        <w:tc>
          <w:tcPr>
            <w:tcW w:w="1014" w:type="pct"/>
            <w:vAlign w:val="center"/>
          </w:tcPr>
          <w:p w:rsidR="00156DD6" w:rsidRDefault="00D51F5F">
            <w:pPr>
              <w:autoSpaceDE w:val="0"/>
              <w:autoSpaceDN w:val="0"/>
              <w:adjustRightInd w:val="0"/>
              <w:snapToGrid w:val="0"/>
              <w:jc w:val="right"/>
            </w:pPr>
            <w:r>
              <w:rPr>
                <w:rFonts w:hint="eastAsia"/>
              </w:rPr>
              <w:t xml:space="preserve">976,393,884.90 </w:t>
            </w:r>
          </w:p>
        </w:tc>
      </w:tr>
      <w:tr w:rsidR="00156DD6">
        <w:tc>
          <w:tcPr>
            <w:tcW w:w="942" w:type="pct"/>
          </w:tcPr>
          <w:p w:rsidR="00156DD6" w:rsidRDefault="00D51F5F">
            <w:pPr>
              <w:autoSpaceDE w:val="0"/>
              <w:autoSpaceDN w:val="0"/>
              <w:adjustRightInd w:val="0"/>
              <w:snapToGrid w:val="0"/>
              <w:rPr>
                <w:color w:val="000000" w:themeColor="text1"/>
              </w:rPr>
            </w:pPr>
            <w:r>
              <w:rPr>
                <w:rFonts w:hint="eastAsia"/>
                <w:color w:val="000000" w:themeColor="text1"/>
              </w:rPr>
              <w:t>其他资本公积</w:t>
            </w:r>
          </w:p>
        </w:tc>
        <w:tc>
          <w:tcPr>
            <w:tcW w:w="1005" w:type="pct"/>
            <w:vAlign w:val="center"/>
          </w:tcPr>
          <w:p w:rsidR="00156DD6" w:rsidRDefault="00D51F5F">
            <w:pPr>
              <w:autoSpaceDE w:val="0"/>
              <w:autoSpaceDN w:val="0"/>
              <w:adjustRightInd w:val="0"/>
              <w:snapToGrid w:val="0"/>
              <w:jc w:val="right"/>
            </w:pPr>
            <w:r>
              <w:rPr>
                <w:rFonts w:hint="eastAsia"/>
              </w:rPr>
              <w:t xml:space="preserve"> 4,780,555.56 </w:t>
            </w:r>
          </w:p>
        </w:tc>
        <w:tc>
          <w:tcPr>
            <w:tcW w:w="1024" w:type="pct"/>
            <w:vAlign w:val="center"/>
          </w:tcPr>
          <w:p w:rsidR="00156DD6" w:rsidRDefault="00D51F5F">
            <w:pPr>
              <w:autoSpaceDE w:val="0"/>
              <w:autoSpaceDN w:val="0"/>
              <w:adjustRightInd w:val="0"/>
              <w:snapToGrid w:val="0"/>
              <w:jc w:val="right"/>
            </w:pPr>
            <w:r>
              <w:rPr>
                <w:rFonts w:hint="eastAsia"/>
              </w:rPr>
              <w:t xml:space="preserve"> 3,417,145.10 </w:t>
            </w:r>
          </w:p>
        </w:tc>
        <w:tc>
          <w:tcPr>
            <w:tcW w:w="1015" w:type="pct"/>
            <w:vAlign w:val="center"/>
          </w:tcPr>
          <w:p w:rsidR="00156DD6" w:rsidRDefault="00D51F5F">
            <w:pPr>
              <w:autoSpaceDE w:val="0"/>
              <w:autoSpaceDN w:val="0"/>
              <w:adjustRightInd w:val="0"/>
              <w:snapToGrid w:val="0"/>
              <w:jc w:val="right"/>
            </w:pPr>
            <w:r>
              <w:rPr>
                <w:rFonts w:hint="eastAsia"/>
              </w:rPr>
              <w:t xml:space="preserve">  </w:t>
            </w:r>
          </w:p>
        </w:tc>
        <w:tc>
          <w:tcPr>
            <w:tcW w:w="1014" w:type="pct"/>
            <w:vAlign w:val="center"/>
          </w:tcPr>
          <w:p w:rsidR="00156DD6" w:rsidRDefault="00D51F5F">
            <w:pPr>
              <w:autoSpaceDE w:val="0"/>
              <w:autoSpaceDN w:val="0"/>
              <w:adjustRightInd w:val="0"/>
              <w:snapToGrid w:val="0"/>
              <w:jc w:val="right"/>
            </w:pPr>
            <w:r>
              <w:rPr>
                <w:rFonts w:hint="eastAsia"/>
              </w:rPr>
              <w:t xml:space="preserve"> 8,197,700.66 </w:t>
            </w:r>
          </w:p>
        </w:tc>
      </w:tr>
      <w:tr w:rsidR="00156DD6">
        <w:tc>
          <w:tcPr>
            <w:tcW w:w="942" w:type="pct"/>
            <w:vAlign w:val="center"/>
          </w:tcPr>
          <w:p w:rsidR="00156DD6" w:rsidRDefault="00D51F5F">
            <w:pPr>
              <w:autoSpaceDE w:val="0"/>
              <w:autoSpaceDN w:val="0"/>
              <w:adjustRightInd w:val="0"/>
              <w:snapToGrid w:val="0"/>
              <w:jc w:val="center"/>
              <w:rPr>
                <w:color w:val="000000" w:themeColor="text1"/>
              </w:rPr>
            </w:pPr>
            <w:r>
              <w:rPr>
                <w:rFonts w:hint="eastAsia"/>
                <w:color w:val="000000" w:themeColor="text1"/>
              </w:rPr>
              <w:t>合计</w:t>
            </w:r>
          </w:p>
        </w:tc>
        <w:tc>
          <w:tcPr>
            <w:tcW w:w="1005" w:type="pct"/>
            <w:vAlign w:val="center"/>
          </w:tcPr>
          <w:p w:rsidR="00156DD6" w:rsidRDefault="00D51F5F">
            <w:pPr>
              <w:autoSpaceDE w:val="0"/>
              <w:autoSpaceDN w:val="0"/>
              <w:adjustRightInd w:val="0"/>
              <w:snapToGrid w:val="0"/>
              <w:jc w:val="right"/>
            </w:pPr>
            <w:r>
              <w:rPr>
                <w:rFonts w:hint="eastAsia"/>
              </w:rPr>
              <w:t xml:space="preserve">960,873,722.51 </w:t>
            </w:r>
          </w:p>
        </w:tc>
        <w:tc>
          <w:tcPr>
            <w:tcW w:w="1024" w:type="pct"/>
            <w:vAlign w:val="center"/>
          </w:tcPr>
          <w:p w:rsidR="00156DD6" w:rsidRDefault="00D51F5F">
            <w:pPr>
              <w:autoSpaceDE w:val="0"/>
              <w:autoSpaceDN w:val="0"/>
              <w:adjustRightInd w:val="0"/>
              <w:snapToGrid w:val="0"/>
              <w:jc w:val="right"/>
            </w:pPr>
            <w:r>
              <w:rPr>
                <w:rFonts w:hint="eastAsia"/>
              </w:rPr>
              <w:t xml:space="preserve"> 28,218,663.05 </w:t>
            </w:r>
          </w:p>
        </w:tc>
        <w:tc>
          <w:tcPr>
            <w:tcW w:w="1015" w:type="pct"/>
            <w:vAlign w:val="center"/>
          </w:tcPr>
          <w:p w:rsidR="00156DD6" w:rsidRDefault="00D51F5F">
            <w:pPr>
              <w:autoSpaceDE w:val="0"/>
              <w:autoSpaceDN w:val="0"/>
              <w:adjustRightInd w:val="0"/>
              <w:snapToGrid w:val="0"/>
              <w:jc w:val="right"/>
            </w:pPr>
            <w:r>
              <w:rPr>
                <w:rFonts w:hint="eastAsia"/>
              </w:rPr>
              <w:t xml:space="preserve"> 4,500,800.00 </w:t>
            </w:r>
          </w:p>
        </w:tc>
        <w:tc>
          <w:tcPr>
            <w:tcW w:w="1014" w:type="pct"/>
            <w:vAlign w:val="center"/>
          </w:tcPr>
          <w:p w:rsidR="00156DD6" w:rsidRDefault="00D51F5F">
            <w:pPr>
              <w:autoSpaceDE w:val="0"/>
              <w:autoSpaceDN w:val="0"/>
              <w:adjustRightInd w:val="0"/>
              <w:snapToGrid w:val="0"/>
              <w:jc w:val="right"/>
            </w:pPr>
            <w:r>
              <w:rPr>
                <w:rFonts w:hint="eastAsia"/>
              </w:rPr>
              <w:t xml:space="preserve">984,591,585.56 </w:t>
            </w:r>
          </w:p>
        </w:tc>
      </w:tr>
    </w:tbl>
    <w:p w:rsidR="00156DD6" w:rsidRDefault="00D51F5F">
      <w:pPr>
        <w:rPr>
          <w:color w:val="000000" w:themeColor="text1"/>
        </w:rPr>
      </w:pPr>
      <w:r>
        <w:rPr>
          <w:rFonts w:hint="eastAsia"/>
          <w:color w:val="000000" w:themeColor="text1"/>
        </w:rPr>
        <w:t>其他说明，包括本期增减变动情况、变动原因说明：</w:t>
      </w:r>
    </w:p>
    <w:p w:rsidR="00156DD6" w:rsidRDefault="00D51F5F">
      <w:pPr>
        <w:spacing w:line="360" w:lineRule="exact"/>
        <w:ind w:firstLineChars="200" w:firstLine="420"/>
        <w:jc w:val="both"/>
        <w:rPr>
          <w:color w:val="000000" w:themeColor="text1"/>
        </w:rPr>
      </w:pPr>
      <w:sdt>
        <w:sdtPr>
          <w:rPr>
            <w:color w:val="000000" w:themeColor="text1"/>
          </w:rPr>
          <w:alias w:val="资本公积说明"/>
          <w:tag w:val="_GBC_014f0762b4274266bec2aa5231aa0981"/>
          <w:id w:val="-1644876490"/>
          <w:placeholder>
            <w:docPart w:val="GBC22222222222222222222222222222"/>
          </w:placeholder>
        </w:sdtPr>
        <w:sdtEndPr/>
        <w:sdtContent>
          <w:r>
            <w:rPr>
              <w:rFonts w:hint="eastAsia"/>
              <w:color w:val="000000" w:themeColor="text1"/>
            </w:rPr>
            <w:t>股本溢价本期增加</w:t>
          </w:r>
          <w:r>
            <w:rPr>
              <w:rFonts w:hint="eastAsia"/>
              <w:color w:val="000000" w:themeColor="text1"/>
            </w:rPr>
            <w:t>24,801,517.95</w:t>
          </w:r>
          <w:r>
            <w:rPr>
              <w:rFonts w:hint="eastAsia"/>
              <w:color w:val="000000" w:themeColor="text1"/>
            </w:rPr>
            <w:t>元，系本期公司收购控股子公司云变电气少数股东股权所致，本期减少</w:t>
          </w:r>
          <w:r>
            <w:rPr>
              <w:rFonts w:hint="eastAsia"/>
              <w:color w:val="000000" w:themeColor="text1"/>
            </w:rPr>
            <w:t>4,500,800.00</w:t>
          </w:r>
          <w:r>
            <w:rPr>
              <w:rFonts w:hint="eastAsia"/>
              <w:color w:val="000000" w:themeColor="text1"/>
            </w:rPr>
            <w:t>元，系本期实施股权激励计划，公司从二级市场回购股票价格与股权激励授予价差冲减资本公积；其他资本公积本期增加</w:t>
          </w:r>
          <w:r>
            <w:rPr>
              <w:rFonts w:hint="eastAsia"/>
              <w:color w:val="000000" w:themeColor="text1"/>
            </w:rPr>
            <w:t>3,417,145.10</w:t>
          </w:r>
          <w:r>
            <w:rPr>
              <w:rFonts w:hint="eastAsia"/>
              <w:color w:val="000000" w:themeColor="text1"/>
            </w:rPr>
            <w:t>元，系公司本期实施股权激励计划确认的股权激励费用。</w:t>
          </w:r>
        </w:sdtContent>
      </w:sdt>
    </w:p>
    <w:p w:rsidR="00156DD6" w:rsidRDefault="00D51F5F">
      <w:pPr>
        <w:pStyle w:val="TOC6"/>
        <w:numPr>
          <w:ilvl w:val="0"/>
          <w:numId w:val="53"/>
        </w:numPr>
        <w:rPr>
          <w:color w:val="000000" w:themeColor="text1"/>
          <w:sz w:val="21"/>
          <w:szCs w:val="22"/>
        </w:rPr>
      </w:pPr>
      <w:r>
        <w:rPr>
          <w:color w:val="000000" w:themeColor="text1"/>
          <w:sz w:val="21"/>
          <w:szCs w:val="22"/>
        </w:rPr>
        <w:t>库存股</w:t>
      </w:r>
    </w:p>
    <w:sdt>
      <w:sdtPr>
        <w:rPr>
          <w:color w:val="000000" w:themeColor="text1"/>
        </w:rPr>
        <w:alias w:val="是否适用：库存股[双击切换]"/>
        <w:tag w:val="_GBC_4aa47a6d9b1044aa8a049146d42c3e9c"/>
        <w:id w:val="-114296511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库存股"/>
          <w:tag w:val="_GBC_2ec7280618184a6dbf8764020927134a"/>
          <w:id w:val="6241282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财务附注：库存股"/>
          <w:tag w:val="_GBC_bcf1b0dc9f44435981af64b6d69d6045"/>
          <w:id w:val="704749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61"/>
        <w:gridCol w:w="1789"/>
        <w:gridCol w:w="1802"/>
        <w:gridCol w:w="1803"/>
      </w:tblGrid>
      <w:tr w:rsidR="00156DD6">
        <w:sdt>
          <w:sdtPr>
            <w:tag w:val="_PLD_b46e14f0143b428d91ebe5e1885be6ac"/>
            <w:id w:val="-1345938944"/>
          </w:sdtPr>
          <w:sdtEndPr/>
          <w:sdtContent>
            <w:tc>
              <w:tcPr>
                <w:tcW w:w="945" w:type="pct"/>
                <w:vAlign w:val="center"/>
              </w:tcPr>
              <w:p w:rsidR="00156DD6" w:rsidRDefault="00D51F5F">
                <w:pPr>
                  <w:jc w:val="center"/>
                  <w:rPr>
                    <w:color w:val="000000" w:themeColor="text1"/>
                  </w:rPr>
                </w:pPr>
                <w:r>
                  <w:rPr>
                    <w:rFonts w:hint="eastAsia"/>
                    <w:color w:val="000000" w:themeColor="text1"/>
                  </w:rPr>
                  <w:t>项目</w:t>
                </w:r>
              </w:p>
            </w:tc>
          </w:sdtContent>
        </w:sdt>
        <w:sdt>
          <w:sdtPr>
            <w:tag w:val="_PLD_6db0262d3f8842b4a7eba04e09be9d8a"/>
            <w:id w:val="1624804276"/>
          </w:sdtPr>
          <w:sdtEndPr/>
          <w:sdtContent>
            <w:tc>
              <w:tcPr>
                <w:tcW w:w="998" w:type="pct"/>
                <w:vAlign w:val="center"/>
              </w:tcPr>
              <w:p w:rsidR="00156DD6" w:rsidRDefault="00D51F5F">
                <w:pPr>
                  <w:jc w:val="center"/>
                  <w:rPr>
                    <w:color w:val="000000" w:themeColor="text1"/>
                  </w:rPr>
                </w:pPr>
                <w:r>
                  <w:rPr>
                    <w:rFonts w:hint="eastAsia"/>
                    <w:color w:val="000000" w:themeColor="text1"/>
                  </w:rPr>
                  <w:t>期初余额</w:t>
                </w:r>
              </w:p>
            </w:tc>
          </w:sdtContent>
        </w:sdt>
        <w:sdt>
          <w:sdtPr>
            <w:tag w:val="_PLD_6f585f2d8d254ed6a108b145b56ff7cc"/>
            <w:id w:val="-481386300"/>
          </w:sdtPr>
          <w:sdtEndPr/>
          <w:sdtContent>
            <w:tc>
              <w:tcPr>
                <w:tcW w:w="1014" w:type="pct"/>
                <w:vAlign w:val="center"/>
              </w:tcPr>
              <w:p w:rsidR="00156DD6" w:rsidRDefault="00D51F5F">
                <w:pPr>
                  <w:jc w:val="center"/>
                  <w:rPr>
                    <w:color w:val="000000" w:themeColor="text1"/>
                  </w:rPr>
                </w:pPr>
                <w:r>
                  <w:rPr>
                    <w:rFonts w:hint="eastAsia"/>
                    <w:color w:val="000000" w:themeColor="text1"/>
                  </w:rPr>
                  <w:t>本期增加</w:t>
                </w:r>
              </w:p>
            </w:tc>
          </w:sdtContent>
        </w:sdt>
        <w:sdt>
          <w:sdtPr>
            <w:tag w:val="_PLD_20354e1f567449a9b9021901b2252d15"/>
            <w:id w:val="-455328087"/>
          </w:sdtPr>
          <w:sdtEndPr/>
          <w:sdtContent>
            <w:tc>
              <w:tcPr>
                <w:tcW w:w="1021" w:type="pct"/>
                <w:vAlign w:val="center"/>
              </w:tcPr>
              <w:p w:rsidR="00156DD6" w:rsidRDefault="00D51F5F">
                <w:pPr>
                  <w:jc w:val="center"/>
                  <w:rPr>
                    <w:color w:val="000000" w:themeColor="text1"/>
                  </w:rPr>
                </w:pPr>
                <w:r>
                  <w:rPr>
                    <w:rFonts w:hint="eastAsia"/>
                    <w:color w:val="000000" w:themeColor="text1"/>
                  </w:rPr>
                  <w:t>本期减少</w:t>
                </w:r>
              </w:p>
            </w:tc>
          </w:sdtContent>
        </w:sdt>
        <w:sdt>
          <w:sdtPr>
            <w:tag w:val="_PLD_94daf05bbefc4d829f1bc3b83d11b6ca"/>
            <w:id w:val="1051962124"/>
          </w:sdtPr>
          <w:sdtEndPr/>
          <w:sdtContent>
            <w:tc>
              <w:tcPr>
                <w:tcW w:w="1022" w:type="pct"/>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945" w:type="pct"/>
          </w:tcPr>
          <w:p w:rsidR="00156DD6" w:rsidRDefault="00D51F5F">
            <w:pPr>
              <w:pStyle w:val="Style43"/>
            </w:pPr>
            <w:r>
              <w:rPr>
                <w:rFonts w:hint="eastAsia"/>
              </w:rPr>
              <w:t>库存股</w:t>
            </w:r>
          </w:p>
        </w:tc>
        <w:tc>
          <w:tcPr>
            <w:tcW w:w="998" w:type="pct"/>
            <w:vAlign w:val="center"/>
          </w:tcPr>
          <w:p w:rsidR="00156DD6" w:rsidRDefault="00D51F5F">
            <w:pPr>
              <w:jc w:val="right"/>
            </w:pPr>
            <w:r>
              <w:t xml:space="preserve"> 30,893,741.28 </w:t>
            </w:r>
          </w:p>
        </w:tc>
        <w:tc>
          <w:tcPr>
            <w:tcW w:w="1014" w:type="pct"/>
            <w:vAlign w:val="center"/>
          </w:tcPr>
          <w:p w:rsidR="00156DD6" w:rsidRDefault="00D51F5F">
            <w:pPr>
              <w:jc w:val="right"/>
            </w:pPr>
            <w:r>
              <w:t xml:space="preserve"> 4,605,200.00 </w:t>
            </w:r>
          </w:p>
        </w:tc>
        <w:tc>
          <w:tcPr>
            <w:tcW w:w="1021" w:type="pct"/>
            <w:vAlign w:val="center"/>
          </w:tcPr>
          <w:p w:rsidR="00156DD6" w:rsidRDefault="00D51F5F">
            <w:pPr>
              <w:jc w:val="right"/>
            </w:pPr>
            <w:r>
              <w:t>9,106,000.00</w:t>
            </w:r>
          </w:p>
        </w:tc>
        <w:tc>
          <w:tcPr>
            <w:tcW w:w="1022" w:type="pct"/>
            <w:vAlign w:val="center"/>
          </w:tcPr>
          <w:p w:rsidR="00156DD6" w:rsidRDefault="00D51F5F">
            <w:pPr>
              <w:jc w:val="right"/>
            </w:pPr>
            <w:r>
              <w:t>26,392,941.28</w:t>
            </w:r>
          </w:p>
        </w:tc>
      </w:tr>
      <w:tr w:rsidR="00156DD6">
        <w:tc>
          <w:tcPr>
            <w:tcW w:w="945" w:type="pct"/>
            <w:vAlign w:val="center"/>
          </w:tcPr>
          <w:p w:rsidR="00156DD6" w:rsidRDefault="00D51F5F">
            <w:pPr>
              <w:jc w:val="center"/>
              <w:rPr>
                <w:color w:val="000000" w:themeColor="text1"/>
              </w:rPr>
            </w:pPr>
            <w:r>
              <w:rPr>
                <w:rFonts w:hint="eastAsia"/>
                <w:color w:val="000000" w:themeColor="text1"/>
              </w:rPr>
              <w:t>合计</w:t>
            </w:r>
          </w:p>
        </w:tc>
        <w:tc>
          <w:tcPr>
            <w:tcW w:w="998" w:type="pct"/>
            <w:vAlign w:val="center"/>
          </w:tcPr>
          <w:p w:rsidR="00156DD6" w:rsidRDefault="00D51F5F">
            <w:pPr>
              <w:jc w:val="right"/>
            </w:pPr>
            <w:r>
              <w:t xml:space="preserve"> 30,893,741.28 </w:t>
            </w:r>
          </w:p>
        </w:tc>
        <w:tc>
          <w:tcPr>
            <w:tcW w:w="1014" w:type="pct"/>
            <w:vAlign w:val="center"/>
          </w:tcPr>
          <w:p w:rsidR="00156DD6" w:rsidRDefault="00D51F5F">
            <w:pPr>
              <w:jc w:val="right"/>
            </w:pPr>
            <w:r>
              <w:t xml:space="preserve"> 4,605,200.00 </w:t>
            </w:r>
          </w:p>
        </w:tc>
        <w:tc>
          <w:tcPr>
            <w:tcW w:w="1021" w:type="pct"/>
            <w:vAlign w:val="center"/>
          </w:tcPr>
          <w:p w:rsidR="00156DD6" w:rsidRDefault="00D51F5F">
            <w:pPr>
              <w:jc w:val="right"/>
            </w:pPr>
            <w:r>
              <w:t>9,106,000.00</w:t>
            </w:r>
          </w:p>
        </w:tc>
        <w:tc>
          <w:tcPr>
            <w:tcW w:w="1022" w:type="pct"/>
            <w:vAlign w:val="center"/>
          </w:tcPr>
          <w:p w:rsidR="00156DD6" w:rsidRDefault="00D51F5F">
            <w:pPr>
              <w:jc w:val="right"/>
            </w:pPr>
            <w:r>
              <w:t>26,392,941.28</w:t>
            </w:r>
          </w:p>
        </w:tc>
      </w:tr>
    </w:tbl>
    <w:p w:rsidR="00156DD6" w:rsidRDefault="00D51F5F">
      <w:pPr>
        <w:rPr>
          <w:color w:val="000000" w:themeColor="text1"/>
        </w:rPr>
      </w:pPr>
      <w:r>
        <w:rPr>
          <w:rFonts w:hint="eastAsia"/>
          <w:color w:val="000000" w:themeColor="text1"/>
        </w:rPr>
        <w:t>其他说明，包括本期增减变动情况、变动原因说明：</w:t>
      </w:r>
    </w:p>
    <w:p w:rsidR="00156DD6" w:rsidRDefault="00D51F5F">
      <w:pPr>
        <w:spacing w:line="360" w:lineRule="exact"/>
        <w:ind w:firstLineChars="200" w:firstLine="420"/>
        <w:jc w:val="both"/>
        <w:rPr>
          <w:b/>
          <w:color w:val="000000" w:themeColor="text1"/>
        </w:rPr>
      </w:pPr>
      <w:sdt>
        <w:sdtPr>
          <w:rPr>
            <w:color w:val="000000" w:themeColor="text1"/>
          </w:rPr>
          <w:alias w:val="库存股情况说明"/>
          <w:tag w:val="_GBC_aeb361adcbde44daaa852df07259812c"/>
          <w:id w:val="1232120245"/>
          <w:placeholder>
            <w:docPart w:val="GBC22222222222222222222222222222"/>
          </w:placeholder>
        </w:sdtPr>
        <w:sdtEndPr>
          <w:rPr>
            <w:highlight w:val="yellow"/>
          </w:rPr>
        </w:sdtEndPr>
        <w:sdtContent>
          <w:r>
            <w:rPr>
              <w:rFonts w:hint="eastAsia"/>
              <w:color w:val="000000" w:themeColor="text1"/>
            </w:rPr>
            <w:t>公司</w:t>
          </w:r>
          <w:r>
            <w:rPr>
              <w:rFonts w:hint="eastAsia"/>
              <w:color w:val="000000" w:themeColor="text1"/>
            </w:rPr>
            <w:t>2025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20</w:t>
          </w:r>
          <w:r>
            <w:rPr>
              <w:rFonts w:hint="eastAsia"/>
              <w:color w:val="000000" w:themeColor="text1"/>
            </w:rPr>
            <w:t>日第四届董事会第十次会议、第四届监事会第九次会议审议通过了《关于向</w:t>
          </w:r>
          <w:r>
            <w:rPr>
              <w:rFonts w:hint="eastAsia"/>
              <w:color w:val="000000" w:themeColor="text1"/>
            </w:rPr>
            <w:t>2024</w:t>
          </w:r>
          <w:r>
            <w:rPr>
              <w:rFonts w:hint="eastAsia"/>
              <w:color w:val="000000" w:themeColor="text1"/>
            </w:rPr>
            <w:t>年限制性股票激励计划激励对象授予预留部分限制性股票的议案》，公司向</w:t>
          </w:r>
          <w:r>
            <w:rPr>
              <w:rFonts w:hint="eastAsia"/>
              <w:color w:val="000000" w:themeColor="text1"/>
            </w:rPr>
            <w:t>31</w:t>
          </w:r>
          <w:r>
            <w:rPr>
              <w:rFonts w:hint="eastAsia"/>
              <w:color w:val="000000" w:themeColor="text1"/>
            </w:rPr>
            <w:t>名员工授予限制性股票</w:t>
          </w:r>
          <w:r>
            <w:rPr>
              <w:rFonts w:hint="eastAsia"/>
              <w:color w:val="000000" w:themeColor="text1"/>
            </w:rPr>
            <w:t>58</w:t>
          </w:r>
          <w:r>
            <w:rPr>
              <w:rFonts w:hint="eastAsia"/>
              <w:color w:val="000000" w:themeColor="text1"/>
            </w:rPr>
            <w:t>万股，授予价格</w:t>
          </w:r>
          <w:r>
            <w:rPr>
              <w:rFonts w:hint="eastAsia"/>
              <w:color w:val="000000" w:themeColor="text1"/>
            </w:rPr>
            <w:t>7.94</w:t>
          </w:r>
          <w:r>
            <w:rPr>
              <w:rFonts w:hint="eastAsia"/>
              <w:color w:val="000000" w:themeColor="text1"/>
            </w:rPr>
            <w:t>元</w:t>
          </w:r>
          <w:r>
            <w:rPr>
              <w:rFonts w:hint="eastAsia"/>
              <w:color w:val="000000" w:themeColor="text1"/>
            </w:rPr>
            <w:t>/</w:t>
          </w:r>
          <w:r>
            <w:rPr>
              <w:rFonts w:hint="eastAsia"/>
              <w:color w:val="000000" w:themeColor="text1"/>
            </w:rPr>
            <w:t>股，实际收到员工限制性股票激励款</w:t>
          </w:r>
          <w:r>
            <w:rPr>
              <w:rFonts w:hint="eastAsia"/>
              <w:color w:val="000000" w:themeColor="text1"/>
            </w:rPr>
            <w:t>4,605,200.00</w:t>
          </w:r>
          <w:r>
            <w:rPr>
              <w:rFonts w:hint="eastAsia"/>
              <w:color w:val="000000" w:themeColor="text1"/>
            </w:rPr>
            <w:t>元，增加库存股</w:t>
          </w:r>
          <w:r>
            <w:rPr>
              <w:rFonts w:hint="eastAsia"/>
              <w:color w:val="000000" w:themeColor="text1"/>
            </w:rPr>
            <w:t>4,605,200.00</w:t>
          </w:r>
          <w:r>
            <w:rPr>
              <w:rFonts w:hint="eastAsia"/>
              <w:color w:val="000000" w:themeColor="text1"/>
            </w:rPr>
            <w:t>元；从二级市场回购股票的成本均价为</w:t>
          </w:r>
          <w:r>
            <w:rPr>
              <w:rFonts w:hint="eastAsia"/>
              <w:color w:val="000000" w:themeColor="text1"/>
            </w:rPr>
            <w:t>15.70</w:t>
          </w:r>
          <w:r>
            <w:rPr>
              <w:rFonts w:hint="eastAsia"/>
              <w:color w:val="000000" w:themeColor="text1"/>
            </w:rPr>
            <w:t>元</w:t>
          </w:r>
          <w:r>
            <w:rPr>
              <w:rFonts w:hint="eastAsia"/>
              <w:color w:val="000000" w:themeColor="text1"/>
            </w:rPr>
            <w:t>/</w:t>
          </w:r>
          <w:r>
            <w:rPr>
              <w:rFonts w:hint="eastAsia"/>
              <w:color w:val="000000" w:themeColor="text1"/>
            </w:rPr>
            <w:t>股，授予员工限制性股票相应减少库存股</w:t>
          </w:r>
          <w:r>
            <w:rPr>
              <w:rFonts w:hint="eastAsia"/>
              <w:color w:val="000000" w:themeColor="text1"/>
            </w:rPr>
            <w:t>9,106,000.00</w:t>
          </w:r>
          <w:r>
            <w:rPr>
              <w:rFonts w:hint="eastAsia"/>
              <w:color w:val="000000" w:themeColor="text1"/>
            </w:rPr>
            <w:t>元。</w:t>
          </w:r>
        </w:sdtContent>
      </w:sdt>
    </w:p>
    <w:p w:rsidR="00156DD6" w:rsidRDefault="00156DD6">
      <w:pPr>
        <w:rPr>
          <w:color w:val="000000" w:themeColor="text1"/>
        </w:rPr>
      </w:pPr>
    </w:p>
    <w:p w:rsidR="00156DD6" w:rsidRDefault="00156DD6">
      <w:pPr>
        <w:pStyle w:val="TOC6"/>
        <w:numPr>
          <w:ilvl w:val="0"/>
          <w:numId w:val="43"/>
        </w:numPr>
        <w:tabs>
          <w:tab w:val="left" w:pos="504"/>
        </w:tabs>
        <w:rPr>
          <w:rFonts w:ascii="宋体" w:hAnsi="宋体"/>
          <w:color w:val="000000" w:themeColor="text1"/>
          <w:szCs w:val="21"/>
        </w:rPr>
        <w:sectPr w:rsidR="00156DD6">
          <w:pgSz w:w="11906" w:h="16838"/>
          <w:pgMar w:top="1525" w:right="1276" w:bottom="1440" w:left="1797" w:header="856" w:footer="992" w:gutter="0"/>
          <w:cols w:space="425"/>
          <w:docGrid w:linePitch="312"/>
        </w:sectPr>
      </w:pPr>
      <w:bookmarkStart w:id="415" w:name="_Hlk10537776"/>
    </w:p>
    <w:p w:rsidR="00156DD6" w:rsidRDefault="00D51F5F">
      <w:pPr>
        <w:pStyle w:val="TOC6"/>
        <w:numPr>
          <w:ilvl w:val="0"/>
          <w:numId w:val="53"/>
        </w:numPr>
        <w:rPr>
          <w:color w:val="000000" w:themeColor="text1"/>
          <w:sz w:val="21"/>
          <w:szCs w:val="22"/>
        </w:rPr>
      </w:pPr>
      <w:r>
        <w:rPr>
          <w:color w:val="000000" w:themeColor="text1"/>
          <w:sz w:val="21"/>
          <w:szCs w:val="22"/>
        </w:rPr>
        <w:lastRenderedPageBreak/>
        <w:t>其他综合收益</w:t>
      </w:r>
    </w:p>
    <w:sdt>
      <w:sdtPr>
        <w:rPr>
          <w:color w:val="000000" w:themeColor="text1"/>
        </w:rPr>
        <w:alias w:val="是否适用：其他综合收益[双击切换]"/>
        <w:tag w:val="_GBC_a53cc67f2be24dfbbe3af1b633d9bd6d"/>
        <w:id w:val="-39836139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其他综合收益情况"/>
          <w:tag w:val="_GBC_3fcad98da74248809a759048ca194814"/>
          <w:id w:val="-8761648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其他综合收益情况"/>
          <w:tag w:val="_GBC_3909f37aa0cc4eda82ff1503a6abe503"/>
          <w:id w:val="-4015955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541"/>
        <w:gridCol w:w="1541"/>
        <w:gridCol w:w="1542"/>
        <w:gridCol w:w="1542"/>
        <w:gridCol w:w="1542"/>
        <w:gridCol w:w="1542"/>
        <w:gridCol w:w="1544"/>
        <w:gridCol w:w="1528"/>
      </w:tblGrid>
      <w:tr w:rsidR="00156DD6">
        <w:trPr>
          <w:trHeight w:val="215"/>
        </w:trPr>
        <w:sdt>
          <w:sdtPr>
            <w:tag w:val="_PLD_965475dfd86e41c29d1b9f1fdff70ee0"/>
            <w:id w:val="2088104602"/>
          </w:sdtPr>
          <w:sdtEndPr/>
          <w:sdtContent>
            <w:tc>
              <w:tcPr>
                <w:tcW w:w="556" w:type="pct"/>
                <w:vMerge w:val="restart"/>
                <w:vAlign w:val="center"/>
              </w:tcPr>
              <w:p w:rsidR="00156DD6" w:rsidRDefault="00D51F5F">
                <w:pPr>
                  <w:jc w:val="center"/>
                  <w:rPr>
                    <w:color w:val="000000" w:themeColor="text1"/>
                  </w:rPr>
                </w:pPr>
                <w:r>
                  <w:rPr>
                    <w:rFonts w:hint="eastAsia"/>
                    <w:color w:val="000000" w:themeColor="text1"/>
                  </w:rPr>
                  <w:t>项目</w:t>
                </w:r>
              </w:p>
            </w:tc>
          </w:sdtContent>
        </w:sdt>
        <w:sdt>
          <w:sdtPr>
            <w:tag w:val="_PLD_8a675a3cac5041d29cfb92203b87e9a6"/>
            <w:id w:val="1943259005"/>
          </w:sdtPr>
          <w:sdtEndPr/>
          <w:sdtContent>
            <w:tc>
              <w:tcPr>
                <w:tcW w:w="556" w:type="pct"/>
                <w:vMerge w:val="restart"/>
                <w:vAlign w:val="center"/>
              </w:tcPr>
              <w:p w:rsidR="00156DD6" w:rsidRDefault="00D51F5F">
                <w:pPr>
                  <w:jc w:val="center"/>
                  <w:rPr>
                    <w:color w:val="000000" w:themeColor="text1"/>
                  </w:rPr>
                </w:pPr>
                <w:r>
                  <w:rPr>
                    <w:rFonts w:hint="eastAsia"/>
                    <w:color w:val="000000" w:themeColor="text1"/>
                  </w:rPr>
                  <w:t>期初</w:t>
                </w:r>
              </w:p>
              <w:p w:rsidR="00156DD6" w:rsidRDefault="00D51F5F">
                <w:pPr>
                  <w:jc w:val="center"/>
                  <w:rPr>
                    <w:color w:val="000000" w:themeColor="text1"/>
                  </w:rPr>
                </w:pPr>
                <w:r>
                  <w:rPr>
                    <w:rFonts w:hint="eastAsia"/>
                    <w:color w:val="000000" w:themeColor="text1"/>
                  </w:rPr>
                  <w:t>余额</w:t>
                </w:r>
              </w:p>
            </w:tc>
          </w:sdtContent>
        </w:sdt>
        <w:sdt>
          <w:sdtPr>
            <w:tag w:val="_PLD_5ff455f3c2164019b5e694c1e00e4104"/>
            <w:id w:val="1937478269"/>
          </w:sdtPr>
          <w:sdtEndPr/>
          <w:sdtContent>
            <w:tc>
              <w:tcPr>
                <w:tcW w:w="3337" w:type="pct"/>
                <w:gridSpan w:val="6"/>
                <w:vAlign w:val="center"/>
              </w:tcPr>
              <w:p w:rsidR="00156DD6" w:rsidRDefault="00D51F5F">
                <w:pPr>
                  <w:jc w:val="center"/>
                  <w:rPr>
                    <w:color w:val="000000" w:themeColor="text1"/>
                  </w:rPr>
                </w:pPr>
                <w:r>
                  <w:rPr>
                    <w:rFonts w:hint="eastAsia"/>
                    <w:color w:val="000000" w:themeColor="text1"/>
                  </w:rPr>
                  <w:t>本期发生金额</w:t>
                </w:r>
              </w:p>
            </w:tc>
          </w:sdtContent>
        </w:sdt>
        <w:sdt>
          <w:sdtPr>
            <w:tag w:val="_PLD_e74e1b8e6f7d453b8d88ebfc65c302f4"/>
            <w:id w:val="586502709"/>
          </w:sdtPr>
          <w:sdtEndPr/>
          <w:sdtContent>
            <w:tc>
              <w:tcPr>
                <w:tcW w:w="551" w:type="pct"/>
                <w:vMerge w:val="restart"/>
                <w:vAlign w:val="center"/>
              </w:tcPr>
              <w:p w:rsidR="00156DD6" w:rsidRDefault="00D51F5F">
                <w:pPr>
                  <w:jc w:val="center"/>
                  <w:rPr>
                    <w:color w:val="000000" w:themeColor="text1"/>
                  </w:rPr>
                </w:pPr>
                <w:r>
                  <w:rPr>
                    <w:rFonts w:hint="eastAsia"/>
                    <w:color w:val="000000" w:themeColor="text1"/>
                  </w:rPr>
                  <w:t>期末</w:t>
                </w:r>
              </w:p>
              <w:p w:rsidR="00156DD6" w:rsidRDefault="00D51F5F">
                <w:pPr>
                  <w:jc w:val="center"/>
                  <w:rPr>
                    <w:color w:val="000000" w:themeColor="text1"/>
                  </w:rPr>
                </w:pPr>
                <w:r>
                  <w:rPr>
                    <w:rFonts w:hint="eastAsia"/>
                    <w:color w:val="000000" w:themeColor="text1"/>
                  </w:rPr>
                  <w:t>余额</w:t>
                </w:r>
              </w:p>
            </w:tc>
          </w:sdtContent>
        </w:sdt>
      </w:tr>
      <w:tr w:rsidR="00156DD6">
        <w:tc>
          <w:tcPr>
            <w:tcW w:w="556" w:type="pct"/>
            <w:vMerge/>
          </w:tcPr>
          <w:p w:rsidR="00156DD6" w:rsidRDefault="00156DD6">
            <w:pPr>
              <w:jc w:val="center"/>
              <w:rPr>
                <w:color w:val="000000" w:themeColor="text1"/>
              </w:rPr>
            </w:pPr>
          </w:p>
        </w:tc>
        <w:tc>
          <w:tcPr>
            <w:tcW w:w="556" w:type="pct"/>
            <w:vMerge/>
          </w:tcPr>
          <w:p w:rsidR="00156DD6" w:rsidRDefault="00156DD6">
            <w:pPr>
              <w:jc w:val="center"/>
              <w:rPr>
                <w:color w:val="000000" w:themeColor="text1"/>
              </w:rPr>
            </w:pPr>
          </w:p>
        </w:tc>
        <w:sdt>
          <w:sdtPr>
            <w:tag w:val="_PLD_17c016c4311444368218ab16d2bc7a4c"/>
            <w:id w:val="317774642"/>
          </w:sdtPr>
          <w:sdtEndPr/>
          <w:sdtContent>
            <w:tc>
              <w:tcPr>
                <w:tcW w:w="556" w:type="pct"/>
                <w:vAlign w:val="center"/>
              </w:tcPr>
              <w:p w:rsidR="00156DD6" w:rsidRDefault="00D51F5F">
                <w:pPr>
                  <w:jc w:val="center"/>
                  <w:rPr>
                    <w:color w:val="000000" w:themeColor="text1"/>
                  </w:rPr>
                </w:pPr>
                <w:r>
                  <w:rPr>
                    <w:rFonts w:hint="eastAsia"/>
                    <w:color w:val="000000" w:themeColor="text1"/>
                  </w:rPr>
                  <w:t>本期所得税前发生额</w:t>
                </w:r>
              </w:p>
            </w:tc>
          </w:sdtContent>
        </w:sdt>
        <w:sdt>
          <w:sdtPr>
            <w:tag w:val="_PLD_8f95da21a802457ea1d7d10d5c90efb0"/>
            <w:id w:val="1758248393"/>
          </w:sdtPr>
          <w:sdtEndPr/>
          <w:sdtContent>
            <w:tc>
              <w:tcPr>
                <w:tcW w:w="556" w:type="pct"/>
                <w:vAlign w:val="center"/>
              </w:tcPr>
              <w:p w:rsidR="00156DD6" w:rsidRDefault="00D51F5F">
                <w:pPr>
                  <w:jc w:val="center"/>
                  <w:rPr>
                    <w:color w:val="000000" w:themeColor="text1"/>
                  </w:rPr>
                </w:pPr>
                <w:r>
                  <w:rPr>
                    <w:rFonts w:hint="eastAsia"/>
                    <w:color w:val="000000" w:themeColor="text1"/>
                  </w:rPr>
                  <w:t>减：前期计入其他综合收益当期转入损益</w:t>
                </w:r>
              </w:p>
            </w:tc>
          </w:sdtContent>
        </w:sdt>
        <w:tc>
          <w:tcPr>
            <w:tcW w:w="556" w:type="pct"/>
          </w:tcPr>
          <w:sdt>
            <w:sdtPr>
              <w:tag w:val="_PLD_7f99e647a5874f909c48e6c0bbc8d50a"/>
              <w:id w:val="652877030"/>
            </w:sdtPr>
            <w:sdtEndPr/>
            <w:sdtContent>
              <w:p w:rsidR="00156DD6" w:rsidRDefault="00D51F5F">
                <w:pPr>
                  <w:jc w:val="center"/>
                  <w:rPr>
                    <w:color w:val="000000" w:themeColor="text1"/>
                  </w:rPr>
                </w:pPr>
                <w:r>
                  <w:rPr>
                    <w:rFonts w:hint="eastAsia"/>
                    <w:color w:val="000000" w:themeColor="text1"/>
                  </w:rPr>
                  <w:t>减：前期计入其他综合收益当期转入留存收益</w:t>
                </w:r>
              </w:p>
            </w:sdtContent>
          </w:sdt>
        </w:tc>
        <w:sdt>
          <w:sdtPr>
            <w:tag w:val="_PLD_6ee499a1144a462687fb064cc4588343"/>
            <w:id w:val="-285359769"/>
          </w:sdtPr>
          <w:sdtEndPr/>
          <w:sdtContent>
            <w:tc>
              <w:tcPr>
                <w:tcW w:w="556" w:type="pct"/>
                <w:vAlign w:val="center"/>
              </w:tcPr>
              <w:p w:rsidR="00156DD6" w:rsidRDefault="00D51F5F">
                <w:pPr>
                  <w:jc w:val="center"/>
                  <w:rPr>
                    <w:color w:val="000000" w:themeColor="text1"/>
                  </w:rPr>
                </w:pPr>
                <w:r>
                  <w:rPr>
                    <w:rFonts w:hint="eastAsia"/>
                    <w:color w:val="000000" w:themeColor="text1"/>
                  </w:rPr>
                  <w:t>减：所得税费用</w:t>
                </w:r>
              </w:p>
            </w:tc>
          </w:sdtContent>
        </w:sdt>
        <w:sdt>
          <w:sdtPr>
            <w:tag w:val="_PLD_97d686c5a0f042d49d097afc52b9ab56"/>
            <w:id w:val="-154302770"/>
          </w:sdtPr>
          <w:sdtEndPr/>
          <w:sdtContent>
            <w:tc>
              <w:tcPr>
                <w:tcW w:w="556" w:type="pct"/>
                <w:vAlign w:val="center"/>
              </w:tcPr>
              <w:p w:rsidR="00156DD6" w:rsidRDefault="00D51F5F">
                <w:pPr>
                  <w:jc w:val="center"/>
                  <w:rPr>
                    <w:color w:val="000000" w:themeColor="text1"/>
                  </w:rPr>
                </w:pPr>
                <w:r>
                  <w:rPr>
                    <w:rFonts w:hint="eastAsia"/>
                    <w:color w:val="000000" w:themeColor="text1"/>
                  </w:rPr>
                  <w:t>税后归属于母公司</w:t>
                </w:r>
              </w:p>
            </w:tc>
          </w:sdtContent>
        </w:sdt>
        <w:sdt>
          <w:sdtPr>
            <w:tag w:val="_PLD_dc8c642f883f4ca1b1bbacf56198209b"/>
            <w:id w:val="-455253148"/>
          </w:sdtPr>
          <w:sdtEndPr/>
          <w:sdtContent>
            <w:tc>
              <w:tcPr>
                <w:tcW w:w="557" w:type="pct"/>
                <w:vAlign w:val="center"/>
              </w:tcPr>
              <w:p w:rsidR="00156DD6" w:rsidRDefault="00D51F5F">
                <w:pPr>
                  <w:jc w:val="center"/>
                  <w:rPr>
                    <w:color w:val="000000" w:themeColor="text1"/>
                  </w:rPr>
                </w:pPr>
                <w:r>
                  <w:rPr>
                    <w:rFonts w:hint="eastAsia"/>
                    <w:color w:val="000000" w:themeColor="text1"/>
                  </w:rPr>
                  <w:t>税后归属于少数股东</w:t>
                </w:r>
              </w:p>
            </w:tc>
          </w:sdtContent>
        </w:sdt>
        <w:tc>
          <w:tcPr>
            <w:tcW w:w="551" w:type="pct"/>
            <w:vMerge/>
          </w:tcPr>
          <w:p w:rsidR="00156DD6" w:rsidRDefault="00156DD6">
            <w:pPr>
              <w:jc w:val="center"/>
              <w:rPr>
                <w:color w:val="000000" w:themeColor="text1"/>
              </w:rPr>
            </w:pPr>
          </w:p>
        </w:tc>
      </w:tr>
      <w:tr w:rsidR="00156DD6">
        <w:tc>
          <w:tcPr>
            <w:tcW w:w="556" w:type="pct"/>
            <w:vAlign w:val="center"/>
          </w:tcPr>
          <w:p w:rsidR="00156DD6" w:rsidRDefault="00D51F5F">
            <w:pPr>
              <w:rPr>
                <w:color w:val="000000" w:themeColor="text1"/>
              </w:rPr>
            </w:pPr>
            <w:r>
              <w:rPr>
                <w:rFonts w:hint="eastAsia"/>
                <w:color w:val="000000" w:themeColor="text1"/>
              </w:rPr>
              <w:t>一、不能重分类进损益的其他综合收益</w:t>
            </w:r>
          </w:p>
        </w:tc>
        <w:tc>
          <w:tcPr>
            <w:tcW w:w="556" w:type="pct"/>
            <w:vAlign w:val="center"/>
          </w:tcPr>
          <w:p w:rsidR="00156DD6" w:rsidRDefault="00D51F5F">
            <w:pPr>
              <w:jc w:val="right"/>
            </w:pPr>
            <w:r>
              <w:t>2,027,597.71</w:t>
            </w:r>
          </w:p>
        </w:tc>
        <w:tc>
          <w:tcPr>
            <w:tcW w:w="556" w:type="pct"/>
            <w:vAlign w:val="center"/>
          </w:tcPr>
          <w:p w:rsidR="00156DD6" w:rsidRDefault="00D51F5F">
            <w:pPr>
              <w:jc w:val="right"/>
            </w:pPr>
            <w:r>
              <w:rPr>
                <w:rFonts w:hint="eastAsia"/>
              </w:rPr>
              <w:t>479,763.89</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D51F5F">
            <w:pPr>
              <w:jc w:val="right"/>
            </w:pPr>
            <w:r>
              <w:rPr>
                <w:rFonts w:hint="eastAsia"/>
              </w:rPr>
              <w:t>71,964.58</w:t>
            </w:r>
          </w:p>
        </w:tc>
        <w:tc>
          <w:tcPr>
            <w:tcW w:w="556" w:type="pct"/>
            <w:vAlign w:val="center"/>
          </w:tcPr>
          <w:p w:rsidR="00156DD6" w:rsidRDefault="00D51F5F">
            <w:pPr>
              <w:jc w:val="right"/>
            </w:pPr>
            <w:r>
              <w:t>326,117.11</w:t>
            </w:r>
          </w:p>
        </w:tc>
        <w:tc>
          <w:tcPr>
            <w:tcW w:w="557" w:type="pct"/>
            <w:vAlign w:val="center"/>
          </w:tcPr>
          <w:p w:rsidR="00156DD6" w:rsidRDefault="00D51F5F">
            <w:pPr>
              <w:jc w:val="right"/>
            </w:pPr>
            <w:r>
              <w:t xml:space="preserve"> 81,682.20 </w:t>
            </w:r>
          </w:p>
        </w:tc>
        <w:tc>
          <w:tcPr>
            <w:tcW w:w="551" w:type="pct"/>
            <w:vAlign w:val="center"/>
          </w:tcPr>
          <w:p w:rsidR="00156DD6" w:rsidRDefault="00D51F5F">
            <w:pPr>
              <w:jc w:val="right"/>
            </w:pPr>
            <w:r>
              <w:t xml:space="preserve">2,353,714.82 </w:t>
            </w:r>
          </w:p>
        </w:tc>
      </w:tr>
      <w:tr w:rsidR="00156DD6">
        <w:tc>
          <w:tcPr>
            <w:tcW w:w="556" w:type="pct"/>
            <w:vAlign w:val="center"/>
          </w:tcPr>
          <w:p w:rsidR="00156DD6" w:rsidRDefault="00D51F5F">
            <w:pPr>
              <w:rPr>
                <w:color w:val="000000" w:themeColor="text1"/>
              </w:rPr>
            </w:pPr>
            <w:r>
              <w:rPr>
                <w:rFonts w:hint="eastAsia"/>
                <w:color w:val="000000" w:themeColor="text1"/>
              </w:rPr>
              <w:t>其中：重新计量设定受益计划变动额</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vAlign w:val="center"/>
          </w:tcPr>
          <w:p w:rsidR="00156DD6" w:rsidRDefault="00D51F5F">
            <w:pPr>
              <w:rPr>
                <w:color w:val="000000" w:themeColor="text1"/>
              </w:rPr>
            </w:pPr>
            <w:r>
              <w:rPr>
                <w:rFonts w:hint="eastAsia"/>
                <w:color w:val="000000" w:themeColor="text1"/>
              </w:rPr>
              <w:t xml:space="preserve">  </w:t>
            </w:r>
            <w:r>
              <w:rPr>
                <w:rFonts w:hint="eastAsia"/>
                <w:color w:val="000000" w:themeColor="text1"/>
              </w:rPr>
              <w:t>权益法下不能转损益的其他综合收益</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vAlign w:val="center"/>
          </w:tcPr>
          <w:p w:rsidR="00156DD6" w:rsidRDefault="00D51F5F">
            <w:pPr>
              <w:ind w:firstLineChars="100" w:firstLine="210"/>
              <w:rPr>
                <w:color w:val="000000" w:themeColor="text1"/>
              </w:rPr>
            </w:pPr>
            <w:r>
              <w:rPr>
                <w:rFonts w:hint="eastAsia"/>
                <w:color w:val="000000" w:themeColor="text1"/>
              </w:rPr>
              <w:t>其他权益工具投资公允价值变动</w:t>
            </w:r>
          </w:p>
        </w:tc>
        <w:tc>
          <w:tcPr>
            <w:tcW w:w="556" w:type="pct"/>
            <w:vAlign w:val="center"/>
          </w:tcPr>
          <w:p w:rsidR="00156DD6" w:rsidRDefault="00D51F5F">
            <w:pPr>
              <w:jc w:val="right"/>
            </w:pPr>
            <w:r>
              <w:t>2,027,597.71</w:t>
            </w:r>
          </w:p>
        </w:tc>
        <w:tc>
          <w:tcPr>
            <w:tcW w:w="556" w:type="pct"/>
            <w:vAlign w:val="center"/>
          </w:tcPr>
          <w:p w:rsidR="00156DD6" w:rsidRDefault="00D51F5F">
            <w:pPr>
              <w:jc w:val="right"/>
            </w:pPr>
            <w:r>
              <w:rPr>
                <w:rFonts w:hint="eastAsia"/>
              </w:rPr>
              <w:t>479,763.89</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D51F5F">
            <w:pPr>
              <w:jc w:val="right"/>
            </w:pPr>
            <w:r>
              <w:rPr>
                <w:rFonts w:hint="eastAsia"/>
              </w:rPr>
              <w:t>71,964.58</w:t>
            </w:r>
          </w:p>
        </w:tc>
        <w:tc>
          <w:tcPr>
            <w:tcW w:w="556" w:type="pct"/>
            <w:vAlign w:val="center"/>
          </w:tcPr>
          <w:p w:rsidR="00156DD6" w:rsidRDefault="00D51F5F">
            <w:pPr>
              <w:jc w:val="right"/>
            </w:pPr>
            <w:r>
              <w:t>326,117.11</w:t>
            </w:r>
          </w:p>
        </w:tc>
        <w:tc>
          <w:tcPr>
            <w:tcW w:w="557" w:type="pct"/>
            <w:vAlign w:val="center"/>
          </w:tcPr>
          <w:p w:rsidR="00156DD6" w:rsidRDefault="00D51F5F">
            <w:pPr>
              <w:jc w:val="right"/>
            </w:pPr>
            <w:r>
              <w:t xml:space="preserve"> 81,682.20 </w:t>
            </w:r>
          </w:p>
        </w:tc>
        <w:tc>
          <w:tcPr>
            <w:tcW w:w="551" w:type="pct"/>
            <w:vAlign w:val="center"/>
          </w:tcPr>
          <w:p w:rsidR="00156DD6" w:rsidRDefault="00D51F5F">
            <w:pPr>
              <w:jc w:val="right"/>
            </w:pPr>
            <w:r>
              <w:t xml:space="preserve">2,353,714.82 </w:t>
            </w:r>
          </w:p>
        </w:tc>
      </w:tr>
      <w:tr w:rsidR="00156DD6">
        <w:tc>
          <w:tcPr>
            <w:tcW w:w="556" w:type="pct"/>
            <w:vAlign w:val="center"/>
          </w:tcPr>
          <w:p w:rsidR="00156DD6" w:rsidRDefault="00D51F5F">
            <w:pPr>
              <w:ind w:firstLineChars="100" w:firstLine="210"/>
              <w:rPr>
                <w:color w:val="000000" w:themeColor="text1"/>
              </w:rPr>
            </w:pPr>
            <w:r>
              <w:rPr>
                <w:rFonts w:hint="eastAsia"/>
                <w:color w:val="000000" w:themeColor="text1"/>
              </w:rPr>
              <w:t>企业自身信用风险公允价值变动</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tcPr>
          <w:p w:rsidR="00156DD6" w:rsidRDefault="00D51F5F">
            <w:pPr>
              <w:rPr>
                <w:color w:val="000000" w:themeColor="text1"/>
              </w:rPr>
            </w:pPr>
            <w:r>
              <w:rPr>
                <w:rFonts w:hint="eastAsia"/>
                <w:color w:val="000000" w:themeColor="text1"/>
              </w:rPr>
              <w:t>二、将重分类进损益的其他综合收益</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tcPr>
          <w:p w:rsidR="00156DD6" w:rsidRDefault="00D51F5F">
            <w:pPr>
              <w:rPr>
                <w:color w:val="000000" w:themeColor="text1"/>
              </w:rPr>
            </w:pPr>
            <w:r>
              <w:rPr>
                <w:rFonts w:hint="eastAsia"/>
                <w:color w:val="000000" w:themeColor="text1"/>
              </w:rPr>
              <w:t>其中：权益法下可转损益的其他综合收益</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tcPr>
          <w:p w:rsidR="00156DD6" w:rsidRDefault="00D51F5F">
            <w:pPr>
              <w:ind w:firstLineChars="100" w:firstLine="210"/>
              <w:rPr>
                <w:color w:val="000000" w:themeColor="text1"/>
              </w:rPr>
            </w:pPr>
            <w:r>
              <w:rPr>
                <w:rFonts w:hint="eastAsia"/>
                <w:color w:val="000000" w:themeColor="text1"/>
              </w:rPr>
              <w:lastRenderedPageBreak/>
              <w:t>其他债权投资公允价值变动</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tcPr>
          <w:p w:rsidR="00156DD6" w:rsidRDefault="00D51F5F">
            <w:pPr>
              <w:ind w:firstLineChars="100" w:firstLine="210"/>
              <w:rPr>
                <w:color w:val="000000" w:themeColor="text1"/>
              </w:rPr>
            </w:pPr>
            <w:r>
              <w:rPr>
                <w:rFonts w:hint="eastAsia"/>
                <w:color w:val="000000" w:themeColor="text1"/>
              </w:rPr>
              <w:t>金融资产重分类计入其他综合收益的金额</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tcPr>
          <w:p w:rsidR="00156DD6" w:rsidRDefault="00D51F5F">
            <w:pPr>
              <w:ind w:firstLineChars="100" w:firstLine="210"/>
              <w:rPr>
                <w:color w:val="000000" w:themeColor="text1"/>
              </w:rPr>
            </w:pPr>
            <w:r>
              <w:rPr>
                <w:rFonts w:hint="eastAsia"/>
                <w:color w:val="000000" w:themeColor="text1"/>
              </w:rPr>
              <w:t>其他债权投资信用减值准备</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tcPr>
          <w:p w:rsidR="00156DD6" w:rsidRDefault="00D51F5F">
            <w:pPr>
              <w:rPr>
                <w:color w:val="000000" w:themeColor="text1"/>
              </w:rPr>
            </w:pPr>
            <w:r>
              <w:rPr>
                <w:rFonts w:hint="eastAsia"/>
                <w:color w:val="000000" w:themeColor="text1"/>
              </w:rPr>
              <w:t xml:space="preserve">  </w:t>
            </w:r>
            <w:r>
              <w:rPr>
                <w:color w:val="000000" w:themeColor="text1"/>
              </w:rPr>
              <w:t>现金流量套期储备</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tcPr>
          <w:p w:rsidR="00156DD6" w:rsidRDefault="00D51F5F">
            <w:pPr>
              <w:rPr>
                <w:color w:val="000000" w:themeColor="text1"/>
              </w:rPr>
            </w:pPr>
            <w:r>
              <w:rPr>
                <w:rFonts w:hint="eastAsia"/>
                <w:color w:val="000000" w:themeColor="text1"/>
              </w:rPr>
              <w:t xml:space="preserve">  </w:t>
            </w:r>
            <w:r>
              <w:rPr>
                <w:rFonts w:hint="eastAsia"/>
                <w:color w:val="000000" w:themeColor="text1"/>
              </w:rPr>
              <w:t>外币财务报表折算差额</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7" w:type="pct"/>
            <w:vAlign w:val="center"/>
          </w:tcPr>
          <w:p w:rsidR="00156DD6" w:rsidRDefault="00156DD6">
            <w:pPr>
              <w:jc w:val="right"/>
            </w:pPr>
          </w:p>
        </w:tc>
        <w:tc>
          <w:tcPr>
            <w:tcW w:w="551" w:type="pct"/>
            <w:vAlign w:val="center"/>
          </w:tcPr>
          <w:p w:rsidR="00156DD6" w:rsidRDefault="00156DD6">
            <w:pPr>
              <w:jc w:val="right"/>
            </w:pPr>
          </w:p>
        </w:tc>
      </w:tr>
      <w:tr w:rsidR="00156DD6">
        <w:tc>
          <w:tcPr>
            <w:tcW w:w="556" w:type="pct"/>
            <w:vAlign w:val="center"/>
          </w:tcPr>
          <w:p w:rsidR="00156DD6" w:rsidRDefault="00D51F5F">
            <w:pPr>
              <w:rPr>
                <w:color w:val="000000" w:themeColor="text1"/>
              </w:rPr>
            </w:pPr>
            <w:r>
              <w:rPr>
                <w:rFonts w:hint="eastAsia"/>
                <w:color w:val="000000" w:themeColor="text1"/>
              </w:rPr>
              <w:t>其他综合收益合计</w:t>
            </w:r>
          </w:p>
        </w:tc>
        <w:tc>
          <w:tcPr>
            <w:tcW w:w="556" w:type="pct"/>
            <w:vAlign w:val="center"/>
          </w:tcPr>
          <w:p w:rsidR="00156DD6" w:rsidRDefault="00D51F5F">
            <w:pPr>
              <w:jc w:val="right"/>
            </w:pPr>
            <w:r>
              <w:t>2,027,597.71</w:t>
            </w:r>
          </w:p>
        </w:tc>
        <w:tc>
          <w:tcPr>
            <w:tcW w:w="556" w:type="pct"/>
            <w:vAlign w:val="center"/>
          </w:tcPr>
          <w:p w:rsidR="00156DD6" w:rsidRDefault="00D51F5F">
            <w:pPr>
              <w:jc w:val="right"/>
            </w:pPr>
            <w:r>
              <w:rPr>
                <w:rFonts w:hint="eastAsia"/>
              </w:rPr>
              <w:t>479,763.89</w:t>
            </w:r>
          </w:p>
        </w:tc>
        <w:tc>
          <w:tcPr>
            <w:tcW w:w="556" w:type="pct"/>
            <w:vAlign w:val="center"/>
          </w:tcPr>
          <w:p w:rsidR="00156DD6" w:rsidRDefault="00156DD6">
            <w:pPr>
              <w:jc w:val="right"/>
            </w:pPr>
          </w:p>
        </w:tc>
        <w:tc>
          <w:tcPr>
            <w:tcW w:w="556" w:type="pct"/>
            <w:vAlign w:val="center"/>
          </w:tcPr>
          <w:p w:rsidR="00156DD6" w:rsidRDefault="00156DD6">
            <w:pPr>
              <w:jc w:val="right"/>
            </w:pPr>
          </w:p>
        </w:tc>
        <w:tc>
          <w:tcPr>
            <w:tcW w:w="556" w:type="pct"/>
            <w:vAlign w:val="center"/>
          </w:tcPr>
          <w:p w:rsidR="00156DD6" w:rsidRDefault="00D51F5F">
            <w:pPr>
              <w:jc w:val="right"/>
            </w:pPr>
            <w:r>
              <w:rPr>
                <w:rFonts w:hint="eastAsia"/>
              </w:rPr>
              <w:t>71,964.58</w:t>
            </w:r>
          </w:p>
        </w:tc>
        <w:tc>
          <w:tcPr>
            <w:tcW w:w="556" w:type="pct"/>
            <w:vAlign w:val="center"/>
          </w:tcPr>
          <w:p w:rsidR="00156DD6" w:rsidRDefault="00D51F5F">
            <w:pPr>
              <w:jc w:val="right"/>
            </w:pPr>
            <w:r>
              <w:t>326,117.11</w:t>
            </w:r>
          </w:p>
        </w:tc>
        <w:tc>
          <w:tcPr>
            <w:tcW w:w="557" w:type="pct"/>
            <w:vAlign w:val="center"/>
          </w:tcPr>
          <w:p w:rsidR="00156DD6" w:rsidRDefault="00D51F5F">
            <w:pPr>
              <w:jc w:val="right"/>
            </w:pPr>
            <w:r>
              <w:t xml:space="preserve"> 81,682.20 </w:t>
            </w:r>
          </w:p>
        </w:tc>
        <w:tc>
          <w:tcPr>
            <w:tcW w:w="551" w:type="pct"/>
            <w:vAlign w:val="center"/>
          </w:tcPr>
          <w:p w:rsidR="00156DD6" w:rsidRDefault="00D51F5F">
            <w:pPr>
              <w:jc w:val="right"/>
            </w:pPr>
            <w:r>
              <w:t xml:space="preserve">2,353,714.82 </w:t>
            </w:r>
          </w:p>
        </w:tc>
      </w:tr>
    </w:tbl>
    <w:p w:rsidR="00156DD6" w:rsidRDefault="00D51F5F">
      <w:pPr>
        <w:spacing w:before="60" w:after="60"/>
        <w:rPr>
          <w:b/>
          <w:color w:val="000000" w:themeColor="text1"/>
        </w:rPr>
      </w:pPr>
      <w:r>
        <w:rPr>
          <w:rFonts w:hint="eastAsia"/>
          <w:color w:val="000000" w:themeColor="text1"/>
        </w:rPr>
        <w:t>其他说明，包括对现金流量套期损益的有效部分转为被套期项目初始确认金额调整：</w:t>
      </w:r>
    </w:p>
    <w:sdt>
      <w:sdtPr>
        <w:rPr>
          <w:rFonts w:hint="eastAsia"/>
          <w:color w:val="000000" w:themeColor="text1"/>
        </w:rPr>
        <w:alias w:val="综合收益情况"/>
        <w:tag w:val="_GBC_c389c92b3ef04746a88c157ed2e05698"/>
        <w:id w:val="1532770205"/>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bookmarkEnd w:id="415"/>
    <w:p w:rsidR="00156DD6" w:rsidRDefault="00156DD6">
      <w:pPr>
        <w:rPr>
          <w:color w:val="000000" w:themeColor="text1"/>
        </w:rPr>
      </w:pPr>
    </w:p>
    <w:p w:rsidR="00156DD6" w:rsidRDefault="00156DD6">
      <w:pPr>
        <w:pStyle w:val="TOC6"/>
        <w:numPr>
          <w:ilvl w:val="0"/>
          <w:numId w:val="43"/>
        </w:numPr>
        <w:tabs>
          <w:tab w:val="left" w:pos="504"/>
        </w:tabs>
        <w:rPr>
          <w:rFonts w:ascii="宋体" w:hAnsi="宋体"/>
          <w:color w:val="000000" w:themeColor="text1"/>
          <w:szCs w:val="21"/>
        </w:rPr>
        <w:sectPr w:rsidR="00156DD6">
          <w:pgSz w:w="16838" w:h="11906" w:orient="landscape"/>
          <w:pgMar w:top="1797" w:right="1525" w:bottom="1276" w:left="1440" w:header="856" w:footer="992" w:gutter="0"/>
          <w:cols w:space="425"/>
          <w:docGrid w:linePitch="312"/>
        </w:sectPr>
      </w:pPr>
    </w:p>
    <w:p w:rsidR="00156DD6" w:rsidRDefault="00D51F5F">
      <w:pPr>
        <w:pStyle w:val="TOC6"/>
        <w:numPr>
          <w:ilvl w:val="0"/>
          <w:numId w:val="53"/>
        </w:numPr>
        <w:rPr>
          <w:color w:val="000000" w:themeColor="text1"/>
          <w:sz w:val="21"/>
          <w:szCs w:val="22"/>
        </w:rPr>
      </w:pPr>
      <w:r>
        <w:rPr>
          <w:color w:val="000000" w:themeColor="text1"/>
          <w:sz w:val="21"/>
          <w:szCs w:val="22"/>
        </w:rPr>
        <w:lastRenderedPageBreak/>
        <w:t>专项储备</w:t>
      </w:r>
    </w:p>
    <w:sdt>
      <w:sdtPr>
        <w:rPr>
          <w:color w:val="000000" w:themeColor="text1"/>
        </w:rPr>
        <w:alias w:val="是否适用：专项储备[双击切换]"/>
        <w:tag w:val="_GBC_291ec3c1c38144a3ac0bde67edb318cc"/>
        <w:id w:val="-75204629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专项储备"/>
          <w:tag w:val="_GBC_98a0a00169d7461b91b431ef8a517eb1"/>
          <w:id w:val="-4146281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财务附注：专项储备"/>
          <w:tag w:val="_GBC_95059903151b47a0a2c8b7569f80df5e"/>
          <w:id w:val="8553156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75"/>
        <w:gridCol w:w="1775"/>
        <w:gridCol w:w="1816"/>
        <w:gridCol w:w="1789"/>
      </w:tblGrid>
      <w:tr w:rsidR="00156DD6">
        <w:sdt>
          <w:sdtPr>
            <w:tag w:val="_PLD_10185f3f00484e34ab2fc5b633938a01"/>
            <w:id w:val="-1141417095"/>
          </w:sdtPr>
          <w:sdtEndPr/>
          <w:sdtContent>
            <w:tc>
              <w:tcPr>
                <w:tcW w:w="945" w:type="pct"/>
                <w:vAlign w:val="center"/>
              </w:tcPr>
              <w:p w:rsidR="00156DD6" w:rsidRDefault="00D51F5F">
                <w:pPr>
                  <w:jc w:val="center"/>
                  <w:rPr>
                    <w:color w:val="000000" w:themeColor="text1"/>
                  </w:rPr>
                </w:pPr>
                <w:r>
                  <w:rPr>
                    <w:rFonts w:hint="eastAsia"/>
                    <w:color w:val="000000" w:themeColor="text1"/>
                  </w:rPr>
                  <w:t>项目</w:t>
                </w:r>
              </w:p>
            </w:tc>
          </w:sdtContent>
        </w:sdt>
        <w:sdt>
          <w:sdtPr>
            <w:tag w:val="_PLD_3a7d7c052d7c403a8ae004d68db8fa4c"/>
            <w:id w:val="2095281209"/>
          </w:sdtPr>
          <w:sdtEndPr/>
          <w:sdtContent>
            <w:tc>
              <w:tcPr>
                <w:tcW w:w="1006" w:type="pct"/>
                <w:vAlign w:val="center"/>
              </w:tcPr>
              <w:p w:rsidR="00156DD6" w:rsidRDefault="00D51F5F">
                <w:pPr>
                  <w:jc w:val="center"/>
                  <w:rPr>
                    <w:color w:val="000000" w:themeColor="text1"/>
                  </w:rPr>
                </w:pPr>
                <w:r>
                  <w:rPr>
                    <w:rFonts w:hint="eastAsia"/>
                    <w:color w:val="000000" w:themeColor="text1"/>
                  </w:rPr>
                  <w:t>期初余额</w:t>
                </w:r>
              </w:p>
            </w:tc>
          </w:sdtContent>
        </w:sdt>
        <w:sdt>
          <w:sdtPr>
            <w:tag w:val="_PLD_e06fab4ca3b8451eb31df81e9b4922ec"/>
            <w:id w:val="386694006"/>
          </w:sdtPr>
          <w:sdtEndPr/>
          <w:sdtContent>
            <w:tc>
              <w:tcPr>
                <w:tcW w:w="1006" w:type="pct"/>
                <w:vAlign w:val="center"/>
              </w:tcPr>
              <w:p w:rsidR="00156DD6" w:rsidRDefault="00D51F5F">
                <w:pPr>
                  <w:jc w:val="center"/>
                  <w:rPr>
                    <w:color w:val="000000" w:themeColor="text1"/>
                  </w:rPr>
                </w:pPr>
                <w:r>
                  <w:rPr>
                    <w:rFonts w:hint="eastAsia"/>
                    <w:color w:val="000000" w:themeColor="text1"/>
                  </w:rPr>
                  <w:t>本期增加</w:t>
                </w:r>
              </w:p>
            </w:tc>
          </w:sdtContent>
        </w:sdt>
        <w:sdt>
          <w:sdtPr>
            <w:tag w:val="_PLD_2900f17d2ba041e9a7331e5ca367f7b9"/>
            <w:id w:val="-943539713"/>
          </w:sdtPr>
          <w:sdtEndPr/>
          <w:sdtContent>
            <w:tc>
              <w:tcPr>
                <w:tcW w:w="1029" w:type="pct"/>
                <w:vAlign w:val="center"/>
              </w:tcPr>
              <w:p w:rsidR="00156DD6" w:rsidRDefault="00D51F5F">
                <w:pPr>
                  <w:jc w:val="center"/>
                  <w:rPr>
                    <w:color w:val="000000" w:themeColor="text1"/>
                  </w:rPr>
                </w:pPr>
                <w:r>
                  <w:rPr>
                    <w:rFonts w:hint="eastAsia"/>
                    <w:color w:val="000000" w:themeColor="text1"/>
                  </w:rPr>
                  <w:t>本期减少</w:t>
                </w:r>
              </w:p>
            </w:tc>
          </w:sdtContent>
        </w:sdt>
        <w:sdt>
          <w:sdtPr>
            <w:tag w:val="_PLD_7fcbcb783b95484a87e1a335f06dfcc3"/>
            <w:id w:val="-776176743"/>
          </w:sdtPr>
          <w:sdtEndPr/>
          <w:sdtContent>
            <w:tc>
              <w:tcPr>
                <w:tcW w:w="1014" w:type="pct"/>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945" w:type="pct"/>
          </w:tcPr>
          <w:p w:rsidR="00156DD6" w:rsidRDefault="00D51F5F">
            <w:pPr>
              <w:rPr>
                <w:color w:val="000000" w:themeColor="text1"/>
              </w:rPr>
            </w:pPr>
            <w:r>
              <w:rPr>
                <w:rFonts w:hint="eastAsia"/>
                <w:color w:val="000000" w:themeColor="text1"/>
              </w:rPr>
              <w:t>安全生产费</w:t>
            </w:r>
          </w:p>
        </w:tc>
        <w:tc>
          <w:tcPr>
            <w:tcW w:w="1006" w:type="pct"/>
          </w:tcPr>
          <w:p w:rsidR="00156DD6" w:rsidRDefault="00D51F5F">
            <w:pPr>
              <w:jc w:val="right"/>
            </w:pPr>
            <w:r>
              <w:t xml:space="preserve"> 22,440,561.28 </w:t>
            </w:r>
          </w:p>
        </w:tc>
        <w:tc>
          <w:tcPr>
            <w:tcW w:w="1006" w:type="pct"/>
          </w:tcPr>
          <w:p w:rsidR="00156DD6" w:rsidRDefault="00D51F5F">
            <w:pPr>
              <w:jc w:val="right"/>
            </w:pPr>
            <w:r>
              <w:t xml:space="preserve"> 6,376,638.16 </w:t>
            </w:r>
          </w:p>
        </w:tc>
        <w:tc>
          <w:tcPr>
            <w:tcW w:w="1029" w:type="pct"/>
          </w:tcPr>
          <w:p w:rsidR="00156DD6" w:rsidRDefault="00D51F5F">
            <w:pPr>
              <w:jc w:val="right"/>
            </w:pPr>
            <w:r>
              <w:t xml:space="preserve"> 4,876,443.66 </w:t>
            </w:r>
          </w:p>
        </w:tc>
        <w:tc>
          <w:tcPr>
            <w:tcW w:w="1014" w:type="pct"/>
          </w:tcPr>
          <w:p w:rsidR="00156DD6" w:rsidRDefault="00D51F5F">
            <w:pPr>
              <w:jc w:val="right"/>
            </w:pPr>
            <w:r>
              <w:t xml:space="preserve"> 23,940,755.78 </w:t>
            </w:r>
          </w:p>
        </w:tc>
      </w:tr>
      <w:tr w:rsidR="00156DD6">
        <w:tc>
          <w:tcPr>
            <w:tcW w:w="945" w:type="pct"/>
            <w:vAlign w:val="center"/>
          </w:tcPr>
          <w:p w:rsidR="00156DD6" w:rsidRDefault="00D51F5F">
            <w:pPr>
              <w:jc w:val="center"/>
              <w:rPr>
                <w:color w:val="000000" w:themeColor="text1"/>
              </w:rPr>
            </w:pPr>
            <w:r>
              <w:rPr>
                <w:rFonts w:hint="eastAsia"/>
                <w:color w:val="000000" w:themeColor="text1"/>
              </w:rPr>
              <w:t>合计</w:t>
            </w:r>
          </w:p>
        </w:tc>
        <w:tc>
          <w:tcPr>
            <w:tcW w:w="1006" w:type="pct"/>
          </w:tcPr>
          <w:p w:rsidR="00156DD6" w:rsidRDefault="00D51F5F">
            <w:pPr>
              <w:jc w:val="right"/>
            </w:pPr>
            <w:r>
              <w:t xml:space="preserve"> 22,440,561.28 </w:t>
            </w:r>
          </w:p>
        </w:tc>
        <w:tc>
          <w:tcPr>
            <w:tcW w:w="1006" w:type="pct"/>
          </w:tcPr>
          <w:p w:rsidR="00156DD6" w:rsidRDefault="00D51F5F">
            <w:pPr>
              <w:jc w:val="right"/>
            </w:pPr>
            <w:r>
              <w:t xml:space="preserve"> 6,376,638.16 </w:t>
            </w:r>
          </w:p>
        </w:tc>
        <w:tc>
          <w:tcPr>
            <w:tcW w:w="1029" w:type="pct"/>
          </w:tcPr>
          <w:p w:rsidR="00156DD6" w:rsidRDefault="00D51F5F">
            <w:pPr>
              <w:jc w:val="right"/>
            </w:pPr>
            <w:r>
              <w:t xml:space="preserve"> 4,876,443.66 </w:t>
            </w:r>
          </w:p>
        </w:tc>
        <w:tc>
          <w:tcPr>
            <w:tcW w:w="1014" w:type="pct"/>
          </w:tcPr>
          <w:p w:rsidR="00156DD6" w:rsidRDefault="00D51F5F">
            <w:pPr>
              <w:jc w:val="right"/>
            </w:pPr>
            <w:r>
              <w:t xml:space="preserve"> 23,940,755.78 </w:t>
            </w:r>
          </w:p>
        </w:tc>
      </w:tr>
    </w:tbl>
    <w:p w:rsidR="00156DD6" w:rsidRDefault="00D51F5F">
      <w:pPr>
        <w:rPr>
          <w:color w:val="000000" w:themeColor="text1"/>
        </w:rPr>
      </w:pPr>
      <w:r>
        <w:rPr>
          <w:rFonts w:hint="eastAsia"/>
          <w:color w:val="000000" w:themeColor="text1"/>
        </w:rPr>
        <w:t>其他说明，包括本期增减变动情况、变动原因说明：</w:t>
      </w:r>
    </w:p>
    <w:p w:rsidR="00156DD6" w:rsidRDefault="00D51F5F">
      <w:pPr>
        <w:spacing w:line="360" w:lineRule="exact"/>
        <w:ind w:firstLineChars="200" w:firstLine="420"/>
        <w:rPr>
          <w:color w:val="000000" w:themeColor="text1"/>
        </w:rPr>
      </w:pPr>
      <w:sdt>
        <w:sdtPr>
          <w:rPr>
            <w:color w:val="000000" w:themeColor="text1"/>
          </w:rPr>
          <w:alias w:val="专项储备情况说明"/>
          <w:tag w:val="_GBC_758f99495b434b96aea70b74014caac7"/>
          <w:id w:val="161679756"/>
          <w:placeholder>
            <w:docPart w:val="GBC22222222222222222222222222222"/>
          </w:placeholder>
        </w:sdtPr>
        <w:sdtEndPr/>
        <w:sdtContent>
          <w:r>
            <w:rPr>
              <w:rFonts w:hint="eastAsia"/>
              <w:color w:val="000000" w:themeColor="text1"/>
            </w:rPr>
            <w:t>本公司安全生产费按照财政部、应急部</w:t>
          </w:r>
          <w:r>
            <w:rPr>
              <w:rFonts w:hint="eastAsia"/>
              <w:color w:val="000000" w:themeColor="text1"/>
            </w:rPr>
            <w:t>2022</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21</w:t>
          </w:r>
          <w:r>
            <w:rPr>
              <w:rFonts w:hint="eastAsia"/>
              <w:color w:val="000000" w:themeColor="text1"/>
            </w:rPr>
            <w:t>日发布的《企业安全生产费用提取和使用管理办法》（财资〔</w:t>
          </w:r>
          <w:r>
            <w:rPr>
              <w:rFonts w:hint="eastAsia"/>
              <w:color w:val="000000" w:themeColor="text1"/>
            </w:rPr>
            <w:t>2022</w:t>
          </w:r>
          <w:r>
            <w:rPr>
              <w:rFonts w:hint="eastAsia"/>
              <w:color w:val="000000" w:themeColor="text1"/>
            </w:rPr>
            <w:t>〕</w:t>
          </w:r>
          <w:r>
            <w:rPr>
              <w:rFonts w:hint="eastAsia"/>
              <w:color w:val="000000" w:themeColor="text1"/>
            </w:rPr>
            <w:t>136</w:t>
          </w:r>
          <w:r>
            <w:rPr>
              <w:rFonts w:hint="eastAsia"/>
              <w:color w:val="000000" w:themeColor="text1"/>
            </w:rPr>
            <w:t>号）执行。</w:t>
          </w:r>
        </w:sdtContent>
      </w:sdt>
    </w:p>
    <w:p w:rsidR="00156DD6" w:rsidRDefault="00D51F5F">
      <w:pPr>
        <w:pStyle w:val="TOC6"/>
        <w:numPr>
          <w:ilvl w:val="0"/>
          <w:numId w:val="53"/>
        </w:numPr>
        <w:rPr>
          <w:color w:val="000000" w:themeColor="text1"/>
          <w:sz w:val="21"/>
          <w:szCs w:val="22"/>
        </w:rPr>
      </w:pPr>
      <w:r>
        <w:rPr>
          <w:color w:val="000000" w:themeColor="text1"/>
          <w:sz w:val="21"/>
          <w:szCs w:val="22"/>
        </w:rPr>
        <w:t>盈余公积</w:t>
      </w:r>
    </w:p>
    <w:sdt>
      <w:sdtPr>
        <w:rPr>
          <w:color w:val="000000" w:themeColor="text1"/>
        </w:rPr>
        <w:alias w:val="是否适用：盈余公积[双击切换]"/>
        <w:tag w:val="_GBC_52b9917fb423490bb32a9d6648a07db9"/>
        <w:id w:val="-204011730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盈余公积"/>
          <w:tag w:val="_GBC_ea3204141ce3498eaccd14c833f64973"/>
          <w:id w:val="-4010608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盈余公积"/>
          <w:tag w:val="_GBC_f5c6664d47b9454d919a38095dd3c48d"/>
          <w:id w:val="-9090778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9"/>
        <w:gridCol w:w="1784"/>
        <w:gridCol w:w="1789"/>
        <w:gridCol w:w="1802"/>
        <w:gridCol w:w="1789"/>
      </w:tblGrid>
      <w:tr w:rsidR="00156DD6">
        <w:sdt>
          <w:sdtPr>
            <w:tag w:val="_PLD_70f0cea3df9b4646bf8f9454719b4599"/>
            <w:id w:val="1902792194"/>
          </w:sdtPr>
          <w:sdtEndPr/>
          <w:sdtContent>
            <w:tc>
              <w:tcPr>
                <w:tcW w:w="940" w:type="pct"/>
              </w:tcPr>
              <w:p w:rsidR="00156DD6" w:rsidRDefault="00D51F5F">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5466d5e3c2b64aeb9abc2e1a21f2e6c0"/>
            <w:id w:val="-77295979"/>
          </w:sdtPr>
          <w:sdtEndPr/>
          <w:sdtContent>
            <w:tc>
              <w:tcPr>
                <w:tcW w:w="1011" w:type="pct"/>
              </w:tcPr>
              <w:p w:rsidR="00156DD6" w:rsidRDefault="00D51F5F">
                <w:pPr>
                  <w:autoSpaceDE w:val="0"/>
                  <w:autoSpaceDN w:val="0"/>
                  <w:adjustRightInd w:val="0"/>
                  <w:snapToGrid w:val="0"/>
                  <w:jc w:val="center"/>
                  <w:rPr>
                    <w:color w:val="000000" w:themeColor="text1"/>
                  </w:rPr>
                </w:pPr>
                <w:r>
                  <w:rPr>
                    <w:rFonts w:hint="eastAsia"/>
                    <w:color w:val="000000" w:themeColor="text1"/>
                  </w:rPr>
                  <w:t>期初余额</w:t>
                </w:r>
              </w:p>
            </w:tc>
          </w:sdtContent>
        </w:sdt>
        <w:sdt>
          <w:sdtPr>
            <w:tag w:val="_PLD_44b0c825c55949b98cff671f8777dd39"/>
            <w:id w:val="918985272"/>
          </w:sdtPr>
          <w:sdtEndPr/>
          <w:sdtContent>
            <w:tc>
              <w:tcPr>
                <w:tcW w:w="1014" w:type="pct"/>
              </w:tcPr>
              <w:p w:rsidR="00156DD6" w:rsidRDefault="00D51F5F">
                <w:pPr>
                  <w:autoSpaceDE w:val="0"/>
                  <w:autoSpaceDN w:val="0"/>
                  <w:adjustRightInd w:val="0"/>
                  <w:snapToGrid w:val="0"/>
                  <w:jc w:val="center"/>
                  <w:rPr>
                    <w:color w:val="000000" w:themeColor="text1"/>
                  </w:rPr>
                </w:pPr>
                <w:r>
                  <w:rPr>
                    <w:rFonts w:hint="eastAsia"/>
                    <w:color w:val="000000" w:themeColor="text1"/>
                  </w:rPr>
                  <w:t>本期增加</w:t>
                </w:r>
              </w:p>
            </w:tc>
          </w:sdtContent>
        </w:sdt>
        <w:sdt>
          <w:sdtPr>
            <w:tag w:val="_PLD_111b02bee52f4f1a879468aa2243106f"/>
            <w:id w:val="-1083755746"/>
          </w:sdtPr>
          <w:sdtEndPr/>
          <w:sdtContent>
            <w:tc>
              <w:tcPr>
                <w:tcW w:w="1021" w:type="pct"/>
              </w:tcPr>
              <w:p w:rsidR="00156DD6" w:rsidRDefault="00D51F5F">
                <w:pPr>
                  <w:autoSpaceDE w:val="0"/>
                  <w:autoSpaceDN w:val="0"/>
                  <w:adjustRightInd w:val="0"/>
                  <w:snapToGrid w:val="0"/>
                  <w:jc w:val="center"/>
                  <w:rPr>
                    <w:color w:val="000000" w:themeColor="text1"/>
                  </w:rPr>
                </w:pPr>
                <w:r>
                  <w:rPr>
                    <w:rFonts w:hint="eastAsia"/>
                    <w:color w:val="000000" w:themeColor="text1"/>
                  </w:rPr>
                  <w:t>本期减少</w:t>
                </w:r>
              </w:p>
            </w:tc>
          </w:sdtContent>
        </w:sdt>
        <w:sdt>
          <w:sdtPr>
            <w:tag w:val="_PLD_e6d9dff1341d44c99d9c3f51d8fd2c2f"/>
            <w:id w:val="1135599526"/>
          </w:sdtPr>
          <w:sdtEndPr/>
          <w:sdtContent>
            <w:tc>
              <w:tcPr>
                <w:tcW w:w="1014" w:type="pct"/>
              </w:tcPr>
              <w:p w:rsidR="00156DD6" w:rsidRDefault="00D51F5F">
                <w:pPr>
                  <w:autoSpaceDE w:val="0"/>
                  <w:autoSpaceDN w:val="0"/>
                  <w:adjustRightInd w:val="0"/>
                  <w:snapToGrid w:val="0"/>
                  <w:jc w:val="center"/>
                  <w:rPr>
                    <w:color w:val="000000" w:themeColor="text1"/>
                  </w:rPr>
                </w:pPr>
                <w:r>
                  <w:rPr>
                    <w:rFonts w:hint="eastAsia"/>
                    <w:color w:val="000000" w:themeColor="text1"/>
                  </w:rPr>
                  <w:t>期末余额</w:t>
                </w:r>
              </w:p>
            </w:tc>
          </w:sdtContent>
        </w:sdt>
      </w:tr>
      <w:tr w:rsidR="00156DD6">
        <w:tc>
          <w:tcPr>
            <w:tcW w:w="940" w:type="pct"/>
            <w:vAlign w:val="center"/>
          </w:tcPr>
          <w:p w:rsidR="00156DD6" w:rsidRDefault="00D51F5F">
            <w:pPr>
              <w:autoSpaceDE w:val="0"/>
              <w:autoSpaceDN w:val="0"/>
              <w:adjustRightInd w:val="0"/>
              <w:snapToGrid w:val="0"/>
              <w:jc w:val="both"/>
              <w:rPr>
                <w:color w:val="000000" w:themeColor="text1"/>
              </w:rPr>
            </w:pPr>
            <w:r>
              <w:rPr>
                <w:rFonts w:hint="eastAsia"/>
                <w:color w:val="000000" w:themeColor="text1"/>
              </w:rPr>
              <w:t>法定盈余公积</w:t>
            </w:r>
          </w:p>
        </w:tc>
        <w:tc>
          <w:tcPr>
            <w:tcW w:w="1011" w:type="pct"/>
            <w:vAlign w:val="center"/>
          </w:tcPr>
          <w:p w:rsidR="00156DD6" w:rsidRDefault="00D51F5F">
            <w:pPr>
              <w:autoSpaceDE w:val="0"/>
              <w:autoSpaceDN w:val="0"/>
              <w:adjustRightInd w:val="0"/>
              <w:snapToGrid w:val="0"/>
              <w:ind w:right="180"/>
              <w:jc w:val="right"/>
            </w:pPr>
            <w:r>
              <w:t>122,195,454.42</w:t>
            </w:r>
          </w:p>
        </w:tc>
        <w:tc>
          <w:tcPr>
            <w:tcW w:w="1014" w:type="pct"/>
          </w:tcPr>
          <w:p w:rsidR="00156DD6" w:rsidRDefault="00156DD6">
            <w:pPr>
              <w:autoSpaceDE w:val="0"/>
              <w:autoSpaceDN w:val="0"/>
              <w:adjustRightInd w:val="0"/>
              <w:snapToGrid w:val="0"/>
              <w:ind w:right="180"/>
              <w:jc w:val="right"/>
            </w:pPr>
          </w:p>
        </w:tc>
        <w:tc>
          <w:tcPr>
            <w:tcW w:w="1021" w:type="pct"/>
          </w:tcPr>
          <w:p w:rsidR="00156DD6" w:rsidRDefault="00156DD6">
            <w:pPr>
              <w:autoSpaceDE w:val="0"/>
              <w:autoSpaceDN w:val="0"/>
              <w:adjustRightInd w:val="0"/>
              <w:snapToGrid w:val="0"/>
              <w:ind w:right="180"/>
              <w:jc w:val="right"/>
            </w:pPr>
          </w:p>
        </w:tc>
        <w:tc>
          <w:tcPr>
            <w:tcW w:w="1014" w:type="pct"/>
          </w:tcPr>
          <w:p w:rsidR="00156DD6" w:rsidRDefault="00D51F5F">
            <w:pPr>
              <w:autoSpaceDE w:val="0"/>
              <w:autoSpaceDN w:val="0"/>
              <w:adjustRightInd w:val="0"/>
              <w:snapToGrid w:val="0"/>
              <w:ind w:right="180"/>
              <w:jc w:val="right"/>
            </w:pPr>
            <w:r>
              <w:t>122,195,454.42</w:t>
            </w:r>
          </w:p>
        </w:tc>
      </w:tr>
      <w:tr w:rsidR="00156DD6">
        <w:tc>
          <w:tcPr>
            <w:tcW w:w="940" w:type="pct"/>
          </w:tcPr>
          <w:p w:rsidR="00156DD6" w:rsidRDefault="00D51F5F">
            <w:pPr>
              <w:autoSpaceDE w:val="0"/>
              <w:autoSpaceDN w:val="0"/>
              <w:adjustRightInd w:val="0"/>
              <w:snapToGrid w:val="0"/>
              <w:jc w:val="center"/>
              <w:rPr>
                <w:color w:val="000000" w:themeColor="text1"/>
              </w:rPr>
            </w:pPr>
            <w:r>
              <w:rPr>
                <w:rFonts w:hint="eastAsia"/>
                <w:color w:val="000000" w:themeColor="text1"/>
              </w:rPr>
              <w:t>合计</w:t>
            </w:r>
          </w:p>
        </w:tc>
        <w:tc>
          <w:tcPr>
            <w:tcW w:w="1011" w:type="pct"/>
            <w:vAlign w:val="center"/>
          </w:tcPr>
          <w:p w:rsidR="00156DD6" w:rsidRDefault="00D51F5F">
            <w:pPr>
              <w:autoSpaceDE w:val="0"/>
              <w:autoSpaceDN w:val="0"/>
              <w:adjustRightInd w:val="0"/>
              <w:snapToGrid w:val="0"/>
              <w:ind w:right="180"/>
              <w:jc w:val="right"/>
            </w:pPr>
            <w:r>
              <w:t>122,195,454.42</w:t>
            </w:r>
          </w:p>
        </w:tc>
        <w:tc>
          <w:tcPr>
            <w:tcW w:w="1014" w:type="pct"/>
          </w:tcPr>
          <w:p w:rsidR="00156DD6" w:rsidRDefault="00156DD6">
            <w:pPr>
              <w:autoSpaceDE w:val="0"/>
              <w:autoSpaceDN w:val="0"/>
              <w:adjustRightInd w:val="0"/>
              <w:snapToGrid w:val="0"/>
              <w:ind w:right="180"/>
              <w:jc w:val="right"/>
            </w:pPr>
          </w:p>
        </w:tc>
        <w:tc>
          <w:tcPr>
            <w:tcW w:w="1021" w:type="pct"/>
          </w:tcPr>
          <w:p w:rsidR="00156DD6" w:rsidRDefault="00156DD6">
            <w:pPr>
              <w:autoSpaceDE w:val="0"/>
              <w:autoSpaceDN w:val="0"/>
              <w:adjustRightInd w:val="0"/>
              <w:snapToGrid w:val="0"/>
              <w:ind w:right="180"/>
              <w:jc w:val="right"/>
            </w:pPr>
          </w:p>
        </w:tc>
        <w:tc>
          <w:tcPr>
            <w:tcW w:w="1014" w:type="pct"/>
          </w:tcPr>
          <w:p w:rsidR="00156DD6" w:rsidRDefault="00D51F5F">
            <w:pPr>
              <w:autoSpaceDE w:val="0"/>
              <w:autoSpaceDN w:val="0"/>
              <w:adjustRightInd w:val="0"/>
              <w:snapToGrid w:val="0"/>
              <w:ind w:right="180"/>
              <w:jc w:val="right"/>
            </w:pPr>
            <w:r>
              <w:t>122,195,454.42</w:t>
            </w:r>
          </w:p>
        </w:tc>
      </w:tr>
    </w:tbl>
    <w:p w:rsidR="00156DD6" w:rsidRDefault="00D51F5F">
      <w:pPr>
        <w:spacing w:before="60" w:after="60"/>
        <w:rPr>
          <w:color w:val="000000" w:themeColor="text1"/>
        </w:rPr>
      </w:pPr>
      <w:r>
        <w:rPr>
          <w:rFonts w:hint="eastAsia"/>
          <w:color w:val="000000" w:themeColor="text1"/>
        </w:rPr>
        <w:t>盈余公积说明，包括本期增减变动情况、变动原因说明：</w:t>
      </w:r>
    </w:p>
    <w:p w:rsidR="00156DD6" w:rsidRDefault="00D51F5F">
      <w:pPr>
        <w:autoSpaceDE w:val="0"/>
        <w:autoSpaceDN w:val="0"/>
        <w:adjustRightInd w:val="0"/>
        <w:rPr>
          <w:color w:val="000000" w:themeColor="text1"/>
        </w:rPr>
      </w:pPr>
      <w:sdt>
        <w:sdtPr>
          <w:rPr>
            <w:color w:val="000000" w:themeColor="text1"/>
          </w:rPr>
          <w:alias w:val="盈余公积说明"/>
          <w:tag w:val="_GBC_33c5d1ed862f4b36950b5ea2188f5b09"/>
          <w:id w:val="1114477266"/>
          <w:placeholder>
            <w:docPart w:val="GBC22222222222222222222222222222"/>
          </w:placeholder>
        </w:sdtPr>
        <w:sdtEndPr>
          <w:rPr>
            <w:rFonts w:hint="eastAsia"/>
          </w:rPr>
        </w:sdtEndPr>
        <w:sdtContent>
          <w:r>
            <w:rPr>
              <w:rFonts w:hint="eastAsia"/>
              <w:color w:val="000000" w:themeColor="text1"/>
            </w:rPr>
            <w:t>无</w:t>
          </w:r>
        </w:sdtContent>
      </w:sdt>
    </w:p>
    <w:p w:rsidR="00156DD6" w:rsidRDefault="00D51F5F">
      <w:pPr>
        <w:pStyle w:val="TOC6"/>
        <w:numPr>
          <w:ilvl w:val="0"/>
          <w:numId w:val="53"/>
        </w:numPr>
        <w:rPr>
          <w:color w:val="000000" w:themeColor="text1"/>
          <w:sz w:val="21"/>
          <w:szCs w:val="22"/>
        </w:rPr>
      </w:pPr>
      <w:r>
        <w:rPr>
          <w:color w:val="000000" w:themeColor="text1"/>
          <w:sz w:val="21"/>
          <w:szCs w:val="22"/>
        </w:rPr>
        <w:t>未分配利润</w:t>
      </w:r>
    </w:p>
    <w:p w:rsidR="00156DD6" w:rsidRDefault="00D51F5F">
      <w:pPr>
        <w:rPr>
          <w:color w:val="000000" w:themeColor="text1"/>
        </w:rPr>
      </w:pPr>
      <w:sdt>
        <w:sdtPr>
          <w:rPr>
            <w:color w:val="000000" w:themeColor="text1"/>
          </w:rPr>
          <w:alias w:val="是否适用：未分配利润[双击切换]"/>
          <w:tag w:val="_GBC_32c558bdbb77445cabeee783e5ff910e"/>
          <w:id w:val="-262453727"/>
          <w:lock w:val="contentLocked"/>
          <w:placeholder>
            <w:docPart w:val="GBC22222222222222222222222222222"/>
          </w:placeholder>
        </w:sdtPr>
        <w:sdtEndPr/>
        <w:sdtContent>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未分配利润"/>
          <w:tag w:val="_GBC_cfb07ff3eded4b49916cfc42d821bab6"/>
          <w:id w:val="-11991556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未分配利润"/>
          <w:tag w:val="_GBC_55c70fe731be4b84be72ea88afd989b8"/>
          <w:id w:val="-13622736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2755"/>
        <w:gridCol w:w="2668"/>
      </w:tblGrid>
      <w:tr w:rsidR="00156DD6">
        <w:trPr>
          <w:cantSplit/>
        </w:trPr>
        <w:sdt>
          <w:sdtPr>
            <w:tag w:val="_PLD_b6dc2bd7eebb4e6d9f1ccea8d86e6f47"/>
            <w:id w:val="-615136229"/>
          </w:sdtPr>
          <w:sdtEndPr/>
          <w:sdtContent>
            <w:tc>
              <w:tcPr>
                <w:tcW w:w="1927" w:type="pct"/>
                <w:vAlign w:val="center"/>
              </w:tcPr>
              <w:p w:rsidR="00156DD6" w:rsidRDefault="00D51F5F">
                <w:pPr>
                  <w:jc w:val="center"/>
                  <w:rPr>
                    <w:color w:val="000000" w:themeColor="text1"/>
                  </w:rPr>
                </w:pPr>
                <w:r>
                  <w:rPr>
                    <w:rFonts w:hint="eastAsia"/>
                    <w:color w:val="000000" w:themeColor="text1"/>
                  </w:rPr>
                  <w:t>项目</w:t>
                </w:r>
              </w:p>
            </w:tc>
          </w:sdtContent>
        </w:sdt>
        <w:sdt>
          <w:sdtPr>
            <w:tag w:val="_PLD_6e60054e3c3747d1a0ffc87edacae2b6"/>
            <w:id w:val="-1486310323"/>
          </w:sdtPr>
          <w:sdtEndPr/>
          <w:sdtContent>
            <w:tc>
              <w:tcPr>
                <w:tcW w:w="1561" w:type="pct"/>
                <w:vAlign w:val="center"/>
              </w:tcPr>
              <w:p w:rsidR="00156DD6" w:rsidRDefault="00D51F5F">
                <w:pPr>
                  <w:jc w:val="center"/>
                  <w:rPr>
                    <w:color w:val="000000" w:themeColor="text1"/>
                  </w:rPr>
                </w:pPr>
                <w:r>
                  <w:rPr>
                    <w:rFonts w:hint="eastAsia"/>
                    <w:color w:val="000000" w:themeColor="text1"/>
                  </w:rPr>
                  <w:t>本期</w:t>
                </w:r>
              </w:p>
            </w:tc>
          </w:sdtContent>
        </w:sdt>
        <w:sdt>
          <w:sdtPr>
            <w:tag w:val="_PLD_9afd54e9959d4b22b00bfe92596a2a16"/>
            <w:id w:val="1490599311"/>
          </w:sdtPr>
          <w:sdtEndPr/>
          <w:sdtContent>
            <w:tc>
              <w:tcPr>
                <w:tcW w:w="1512" w:type="pct"/>
                <w:vAlign w:val="center"/>
              </w:tcPr>
              <w:p w:rsidR="00156DD6" w:rsidRDefault="00D51F5F">
                <w:pPr>
                  <w:jc w:val="center"/>
                  <w:rPr>
                    <w:color w:val="000000" w:themeColor="text1"/>
                  </w:rPr>
                </w:pPr>
                <w:r>
                  <w:rPr>
                    <w:rFonts w:hint="eastAsia"/>
                    <w:color w:val="000000" w:themeColor="text1"/>
                  </w:rPr>
                  <w:t>上年度</w:t>
                </w:r>
              </w:p>
            </w:tc>
          </w:sdtContent>
        </w:sdt>
      </w:tr>
      <w:tr w:rsidR="00156DD6">
        <w:trPr>
          <w:cantSplit/>
        </w:trPr>
        <w:tc>
          <w:tcPr>
            <w:tcW w:w="1927" w:type="pct"/>
          </w:tcPr>
          <w:p w:rsidR="00156DD6" w:rsidRDefault="00D51F5F">
            <w:pPr>
              <w:rPr>
                <w:color w:val="000000" w:themeColor="text1"/>
              </w:rPr>
            </w:pPr>
            <w:r>
              <w:rPr>
                <w:rFonts w:hint="eastAsia"/>
                <w:color w:val="000000" w:themeColor="text1"/>
              </w:rPr>
              <w:t>调整前上期末未分配利润</w:t>
            </w:r>
          </w:p>
        </w:tc>
        <w:tc>
          <w:tcPr>
            <w:tcW w:w="1561" w:type="pct"/>
            <w:vAlign w:val="center"/>
          </w:tcPr>
          <w:p w:rsidR="00156DD6" w:rsidRDefault="00D51F5F">
            <w:pPr>
              <w:ind w:right="6"/>
              <w:jc w:val="right"/>
            </w:pPr>
            <w:r>
              <w:rPr>
                <w:rFonts w:hint="eastAsia"/>
              </w:rPr>
              <w:t xml:space="preserve"> 1,003,432,341.75 </w:t>
            </w:r>
          </w:p>
        </w:tc>
        <w:tc>
          <w:tcPr>
            <w:tcW w:w="1512" w:type="pct"/>
            <w:vAlign w:val="center"/>
          </w:tcPr>
          <w:p w:rsidR="00156DD6" w:rsidRDefault="00D51F5F">
            <w:pPr>
              <w:jc w:val="right"/>
            </w:pPr>
            <w:r>
              <w:t xml:space="preserve"> 992,249,846.86 </w:t>
            </w:r>
          </w:p>
        </w:tc>
      </w:tr>
      <w:tr w:rsidR="00156DD6">
        <w:trPr>
          <w:cantSplit/>
        </w:trPr>
        <w:tc>
          <w:tcPr>
            <w:tcW w:w="1927" w:type="pct"/>
          </w:tcPr>
          <w:p w:rsidR="00156DD6" w:rsidRDefault="00D51F5F">
            <w:pPr>
              <w:rPr>
                <w:color w:val="000000" w:themeColor="text1"/>
              </w:rPr>
            </w:pPr>
            <w:r>
              <w:rPr>
                <w:rFonts w:hint="eastAsia"/>
                <w:color w:val="000000" w:themeColor="text1"/>
              </w:rPr>
              <w:t>调整期初未分配利润合计数（调增</w:t>
            </w:r>
            <w:r>
              <w:rPr>
                <w:color w:val="000000" w:themeColor="text1"/>
              </w:rPr>
              <w:t>+</w:t>
            </w:r>
            <w:r>
              <w:rPr>
                <w:rFonts w:hint="eastAsia"/>
                <w:color w:val="000000" w:themeColor="text1"/>
              </w:rPr>
              <w:t>，调减－）</w:t>
            </w:r>
          </w:p>
        </w:tc>
        <w:tc>
          <w:tcPr>
            <w:tcW w:w="1561" w:type="pct"/>
            <w:vAlign w:val="center"/>
          </w:tcPr>
          <w:p w:rsidR="00156DD6" w:rsidRDefault="00156DD6">
            <w:pPr>
              <w:ind w:right="6"/>
              <w:jc w:val="right"/>
            </w:pPr>
          </w:p>
        </w:tc>
        <w:tc>
          <w:tcPr>
            <w:tcW w:w="1512" w:type="pct"/>
            <w:vAlign w:val="center"/>
          </w:tcPr>
          <w:p w:rsidR="00156DD6" w:rsidRDefault="00156DD6">
            <w:pPr>
              <w:ind w:right="6"/>
              <w:jc w:val="right"/>
            </w:pPr>
          </w:p>
        </w:tc>
      </w:tr>
      <w:tr w:rsidR="00156DD6">
        <w:trPr>
          <w:cantSplit/>
        </w:trPr>
        <w:tc>
          <w:tcPr>
            <w:tcW w:w="1927" w:type="pct"/>
          </w:tcPr>
          <w:p w:rsidR="00156DD6" w:rsidRDefault="00D51F5F">
            <w:pPr>
              <w:rPr>
                <w:color w:val="000000" w:themeColor="text1"/>
              </w:rPr>
            </w:pPr>
            <w:r>
              <w:rPr>
                <w:rFonts w:hint="eastAsia"/>
                <w:color w:val="000000" w:themeColor="text1"/>
              </w:rPr>
              <w:t>调整后期初未分配利润</w:t>
            </w:r>
          </w:p>
        </w:tc>
        <w:tc>
          <w:tcPr>
            <w:tcW w:w="1561" w:type="pct"/>
            <w:vAlign w:val="center"/>
          </w:tcPr>
          <w:p w:rsidR="00156DD6" w:rsidRDefault="00D51F5F">
            <w:pPr>
              <w:ind w:right="6"/>
              <w:jc w:val="right"/>
            </w:pPr>
            <w:r>
              <w:rPr>
                <w:rFonts w:hint="eastAsia"/>
              </w:rPr>
              <w:t xml:space="preserve"> 1,003,432,341.75 </w:t>
            </w:r>
          </w:p>
        </w:tc>
        <w:tc>
          <w:tcPr>
            <w:tcW w:w="1512" w:type="pct"/>
            <w:vAlign w:val="center"/>
          </w:tcPr>
          <w:p w:rsidR="00156DD6" w:rsidRDefault="00D51F5F">
            <w:pPr>
              <w:ind w:right="6"/>
              <w:jc w:val="right"/>
            </w:pPr>
            <w:r>
              <w:t xml:space="preserve"> 992,249,846.86 </w:t>
            </w:r>
          </w:p>
        </w:tc>
      </w:tr>
      <w:tr w:rsidR="00156DD6">
        <w:trPr>
          <w:cantSplit/>
        </w:trPr>
        <w:tc>
          <w:tcPr>
            <w:tcW w:w="1927" w:type="pct"/>
          </w:tcPr>
          <w:p w:rsidR="00156DD6" w:rsidRDefault="00D51F5F">
            <w:pPr>
              <w:ind w:right="6"/>
              <w:rPr>
                <w:color w:val="000000" w:themeColor="text1"/>
              </w:rPr>
            </w:pPr>
            <w:r>
              <w:rPr>
                <w:rFonts w:hint="eastAsia"/>
                <w:color w:val="000000" w:themeColor="text1"/>
              </w:rPr>
              <w:t>加：本期归属于母公司所有者的净利润</w:t>
            </w:r>
          </w:p>
        </w:tc>
        <w:tc>
          <w:tcPr>
            <w:tcW w:w="1561" w:type="pct"/>
            <w:vAlign w:val="center"/>
          </w:tcPr>
          <w:p w:rsidR="00156DD6" w:rsidRDefault="00D51F5F">
            <w:pPr>
              <w:ind w:right="6"/>
              <w:jc w:val="right"/>
            </w:pPr>
            <w:r>
              <w:rPr>
                <w:rFonts w:hint="eastAsia"/>
              </w:rPr>
              <w:t xml:space="preserve"> 54,632,217.78 </w:t>
            </w:r>
          </w:p>
        </w:tc>
        <w:tc>
          <w:tcPr>
            <w:tcW w:w="1512" w:type="pct"/>
            <w:vAlign w:val="center"/>
          </w:tcPr>
          <w:p w:rsidR="00156DD6" w:rsidRDefault="00D51F5F">
            <w:pPr>
              <w:ind w:right="6"/>
              <w:jc w:val="right"/>
            </w:pPr>
            <w:r>
              <w:t xml:space="preserve"> 65,166,472.45 </w:t>
            </w:r>
          </w:p>
        </w:tc>
      </w:tr>
      <w:tr w:rsidR="00156DD6">
        <w:trPr>
          <w:cantSplit/>
        </w:trPr>
        <w:tc>
          <w:tcPr>
            <w:tcW w:w="1927" w:type="pct"/>
          </w:tcPr>
          <w:p w:rsidR="00156DD6" w:rsidRDefault="00D51F5F">
            <w:pPr>
              <w:autoSpaceDE w:val="0"/>
              <w:autoSpaceDN w:val="0"/>
              <w:adjustRightInd w:val="0"/>
              <w:rPr>
                <w:color w:val="000000" w:themeColor="text1"/>
              </w:rPr>
            </w:pPr>
            <w:r>
              <w:rPr>
                <w:rFonts w:hint="eastAsia"/>
                <w:color w:val="000000" w:themeColor="text1"/>
              </w:rPr>
              <w:t>减：提取法定盈余公积</w:t>
            </w:r>
          </w:p>
        </w:tc>
        <w:tc>
          <w:tcPr>
            <w:tcW w:w="1561" w:type="pct"/>
            <w:vAlign w:val="center"/>
          </w:tcPr>
          <w:p w:rsidR="00156DD6" w:rsidRDefault="00156DD6">
            <w:pPr>
              <w:jc w:val="right"/>
            </w:pPr>
          </w:p>
        </w:tc>
        <w:tc>
          <w:tcPr>
            <w:tcW w:w="1512" w:type="pct"/>
            <w:vAlign w:val="center"/>
          </w:tcPr>
          <w:p w:rsidR="00156DD6" w:rsidRDefault="00D51F5F">
            <w:pPr>
              <w:ind w:right="6"/>
              <w:jc w:val="right"/>
            </w:pPr>
            <w:r>
              <w:t xml:space="preserve"> 4,106,781.71 </w:t>
            </w:r>
          </w:p>
        </w:tc>
      </w:tr>
      <w:tr w:rsidR="00156DD6">
        <w:trPr>
          <w:cantSplit/>
        </w:trPr>
        <w:tc>
          <w:tcPr>
            <w:tcW w:w="1927" w:type="pct"/>
          </w:tcPr>
          <w:p w:rsidR="00156DD6" w:rsidRDefault="00D51F5F">
            <w:pPr>
              <w:autoSpaceDE w:val="0"/>
              <w:autoSpaceDN w:val="0"/>
              <w:adjustRightInd w:val="0"/>
              <w:ind w:firstLine="420"/>
              <w:rPr>
                <w:color w:val="000000" w:themeColor="text1"/>
              </w:rPr>
            </w:pPr>
            <w:r>
              <w:rPr>
                <w:rFonts w:hint="eastAsia"/>
                <w:color w:val="000000" w:themeColor="text1"/>
              </w:rPr>
              <w:t>提取任意盈余公积</w:t>
            </w:r>
          </w:p>
        </w:tc>
        <w:tc>
          <w:tcPr>
            <w:tcW w:w="1561" w:type="pct"/>
            <w:vAlign w:val="center"/>
          </w:tcPr>
          <w:p w:rsidR="00156DD6" w:rsidRDefault="00156DD6">
            <w:pPr>
              <w:jc w:val="right"/>
            </w:pPr>
          </w:p>
        </w:tc>
        <w:tc>
          <w:tcPr>
            <w:tcW w:w="1512" w:type="pct"/>
            <w:vAlign w:val="center"/>
          </w:tcPr>
          <w:p w:rsidR="00156DD6" w:rsidRDefault="00156DD6">
            <w:pPr>
              <w:ind w:right="6"/>
              <w:jc w:val="right"/>
            </w:pPr>
          </w:p>
        </w:tc>
      </w:tr>
      <w:tr w:rsidR="00156DD6">
        <w:trPr>
          <w:cantSplit/>
        </w:trPr>
        <w:tc>
          <w:tcPr>
            <w:tcW w:w="1927" w:type="pct"/>
          </w:tcPr>
          <w:p w:rsidR="00156DD6" w:rsidRDefault="00D51F5F">
            <w:pPr>
              <w:autoSpaceDE w:val="0"/>
              <w:autoSpaceDN w:val="0"/>
              <w:adjustRightInd w:val="0"/>
              <w:ind w:firstLine="420"/>
              <w:rPr>
                <w:color w:val="000000" w:themeColor="text1"/>
              </w:rPr>
            </w:pPr>
            <w:r>
              <w:rPr>
                <w:rFonts w:hint="eastAsia"/>
                <w:color w:val="000000" w:themeColor="text1"/>
              </w:rPr>
              <w:t>提取一般风险准备</w:t>
            </w:r>
          </w:p>
        </w:tc>
        <w:tc>
          <w:tcPr>
            <w:tcW w:w="1561" w:type="pct"/>
            <w:vAlign w:val="center"/>
          </w:tcPr>
          <w:p w:rsidR="00156DD6" w:rsidRDefault="00156DD6">
            <w:pPr>
              <w:jc w:val="right"/>
            </w:pPr>
          </w:p>
        </w:tc>
        <w:tc>
          <w:tcPr>
            <w:tcW w:w="1512" w:type="pct"/>
            <w:vAlign w:val="center"/>
          </w:tcPr>
          <w:p w:rsidR="00156DD6" w:rsidRDefault="00156DD6">
            <w:pPr>
              <w:ind w:right="6"/>
              <w:jc w:val="right"/>
            </w:pPr>
          </w:p>
        </w:tc>
      </w:tr>
      <w:tr w:rsidR="00156DD6">
        <w:trPr>
          <w:cantSplit/>
        </w:trPr>
        <w:tc>
          <w:tcPr>
            <w:tcW w:w="1927" w:type="pct"/>
          </w:tcPr>
          <w:p w:rsidR="00156DD6" w:rsidRDefault="00D51F5F">
            <w:pPr>
              <w:autoSpaceDE w:val="0"/>
              <w:autoSpaceDN w:val="0"/>
              <w:adjustRightInd w:val="0"/>
              <w:ind w:firstLine="420"/>
              <w:rPr>
                <w:color w:val="000000" w:themeColor="text1"/>
              </w:rPr>
            </w:pPr>
            <w:r>
              <w:rPr>
                <w:rFonts w:hint="eastAsia"/>
                <w:color w:val="000000" w:themeColor="text1"/>
              </w:rPr>
              <w:t>应付普通股股利</w:t>
            </w:r>
          </w:p>
        </w:tc>
        <w:tc>
          <w:tcPr>
            <w:tcW w:w="1561" w:type="pct"/>
            <w:vAlign w:val="center"/>
          </w:tcPr>
          <w:p w:rsidR="00156DD6" w:rsidRDefault="00D51F5F">
            <w:pPr>
              <w:jc w:val="right"/>
            </w:pPr>
            <w:r>
              <w:rPr>
                <w:rFonts w:hint="eastAsia"/>
              </w:rPr>
              <w:t xml:space="preserve"> 16,614,031.95 </w:t>
            </w:r>
          </w:p>
        </w:tc>
        <w:tc>
          <w:tcPr>
            <w:tcW w:w="1512" w:type="pct"/>
            <w:vAlign w:val="center"/>
          </w:tcPr>
          <w:p w:rsidR="00156DD6" w:rsidRDefault="00D51F5F">
            <w:pPr>
              <w:ind w:right="6"/>
              <w:jc w:val="right"/>
            </w:pPr>
            <w:r>
              <w:t xml:space="preserve"> 49,877,195.85 </w:t>
            </w:r>
          </w:p>
        </w:tc>
      </w:tr>
      <w:tr w:rsidR="00156DD6">
        <w:trPr>
          <w:cantSplit/>
        </w:trPr>
        <w:tc>
          <w:tcPr>
            <w:tcW w:w="1927" w:type="pct"/>
          </w:tcPr>
          <w:p w:rsidR="00156DD6" w:rsidRDefault="00D51F5F">
            <w:pPr>
              <w:autoSpaceDE w:val="0"/>
              <w:autoSpaceDN w:val="0"/>
              <w:adjustRightInd w:val="0"/>
              <w:ind w:firstLine="420"/>
              <w:rPr>
                <w:color w:val="000000" w:themeColor="text1"/>
              </w:rPr>
            </w:pPr>
            <w:r>
              <w:rPr>
                <w:rFonts w:hint="eastAsia"/>
                <w:color w:val="000000" w:themeColor="text1"/>
              </w:rPr>
              <w:t>转作股本的普通股股利</w:t>
            </w:r>
          </w:p>
        </w:tc>
        <w:tc>
          <w:tcPr>
            <w:tcW w:w="1561" w:type="pct"/>
            <w:vAlign w:val="center"/>
          </w:tcPr>
          <w:p w:rsidR="00156DD6" w:rsidRDefault="00156DD6">
            <w:pPr>
              <w:jc w:val="right"/>
            </w:pPr>
          </w:p>
        </w:tc>
        <w:tc>
          <w:tcPr>
            <w:tcW w:w="1512" w:type="pct"/>
            <w:vAlign w:val="center"/>
          </w:tcPr>
          <w:p w:rsidR="00156DD6" w:rsidRDefault="00156DD6">
            <w:pPr>
              <w:ind w:right="6"/>
              <w:jc w:val="right"/>
            </w:pPr>
          </w:p>
        </w:tc>
      </w:tr>
      <w:tr w:rsidR="00156DD6">
        <w:trPr>
          <w:cantSplit/>
        </w:trPr>
        <w:tc>
          <w:tcPr>
            <w:tcW w:w="1927" w:type="pct"/>
          </w:tcPr>
          <w:p w:rsidR="00156DD6" w:rsidRDefault="00D51F5F">
            <w:pPr>
              <w:autoSpaceDE w:val="0"/>
              <w:autoSpaceDN w:val="0"/>
              <w:adjustRightInd w:val="0"/>
              <w:rPr>
                <w:color w:val="000000" w:themeColor="text1"/>
              </w:rPr>
            </w:pPr>
            <w:r>
              <w:rPr>
                <w:rFonts w:hint="eastAsia"/>
                <w:color w:val="000000" w:themeColor="text1"/>
              </w:rPr>
              <w:t>期末未分配利润</w:t>
            </w:r>
          </w:p>
        </w:tc>
        <w:tc>
          <w:tcPr>
            <w:tcW w:w="1561" w:type="pct"/>
            <w:vAlign w:val="center"/>
          </w:tcPr>
          <w:p w:rsidR="00156DD6" w:rsidRDefault="00D51F5F">
            <w:pPr>
              <w:jc w:val="right"/>
            </w:pPr>
            <w:r>
              <w:rPr>
                <w:rFonts w:hint="eastAsia"/>
              </w:rPr>
              <w:t xml:space="preserve"> 1,041,450,527.58 </w:t>
            </w:r>
          </w:p>
        </w:tc>
        <w:tc>
          <w:tcPr>
            <w:tcW w:w="1512" w:type="pct"/>
            <w:vAlign w:val="center"/>
          </w:tcPr>
          <w:p w:rsidR="00156DD6" w:rsidRDefault="00D51F5F">
            <w:pPr>
              <w:ind w:right="6"/>
              <w:jc w:val="right"/>
            </w:pPr>
            <w:r>
              <w:t xml:space="preserve"> 1,003,432,341.75 </w:t>
            </w:r>
          </w:p>
        </w:tc>
      </w:tr>
    </w:tbl>
    <w:p w:rsidR="00156DD6" w:rsidRDefault="00D51F5F">
      <w:pPr>
        <w:spacing w:before="60" w:after="60"/>
        <w:rPr>
          <w:color w:val="000000" w:themeColor="text1"/>
        </w:rPr>
      </w:pPr>
      <w:r>
        <w:rPr>
          <w:rFonts w:hint="eastAsia"/>
          <w:color w:val="000000" w:themeColor="text1"/>
        </w:rPr>
        <w:t>调整期初未分配利润明细：</w:t>
      </w:r>
    </w:p>
    <w:p w:rsidR="00156DD6" w:rsidRDefault="00D51F5F">
      <w:pPr>
        <w:rPr>
          <w:color w:val="000000" w:themeColor="text1"/>
        </w:rPr>
      </w:pPr>
      <w:r>
        <w:rPr>
          <w:rFonts w:hint="eastAsia"/>
          <w:color w:val="000000" w:themeColor="text1"/>
        </w:rPr>
        <w:t>1</w:t>
      </w:r>
      <w:r>
        <w:rPr>
          <w:rFonts w:hint="eastAsia"/>
          <w:color w:val="000000" w:themeColor="text1"/>
        </w:rPr>
        <w:t>、由于《企业会计准则》及其相关新规定进行追溯调整，影响期初未分配利润</w:t>
      </w:r>
      <w:sdt>
        <w:sdtPr>
          <w:rPr>
            <w:rFonts w:hint="eastAsia"/>
            <w:color w:val="000000" w:themeColor="text1"/>
          </w:rPr>
          <w:alias w:val="依据《企业会计准则》及其相关规定进行追溯调整影响年初未分配利润合计"/>
          <w:tag w:val="_GBC_a54a245e74754754a6239606b5ebbb06"/>
          <w:id w:val="1969010772"/>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rsidR="00156DD6" w:rsidRDefault="00D51F5F">
      <w:pPr>
        <w:rPr>
          <w:color w:val="000000" w:themeColor="text1"/>
        </w:rPr>
      </w:pPr>
      <w:r>
        <w:rPr>
          <w:rFonts w:hint="eastAsia"/>
          <w:color w:val="000000" w:themeColor="text1"/>
        </w:rPr>
        <w:t>2</w:t>
      </w:r>
      <w:r>
        <w:rPr>
          <w:rFonts w:hint="eastAsia"/>
          <w:color w:val="000000" w:themeColor="text1"/>
        </w:rPr>
        <w:t>、由于会计政策变更，影响期初未分配利润</w:t>
      </w:r>
      <w:sdt>
        <w:sdtPr>
          <w:rPr>
            <w:rFonts w:hint="eastAsia"/>
            <w:color w:val="000000" w:themeColor="text1"/>
          </w:rPr>
          <w:alias w:val="由于会计政策变更影响年初未分配利润"/>
          <w:tag w:val="_GBC_8295d6891c8842f58b58e4223b4e1700"/>
          <w:id w:val="-780648247"/>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rsidR="00156DD6" w:rsidRDefault="00D51F5F">
      <w:pPr>
        <w:rPr>
          <w:color w:val="000000" w:themeColor="text1"/>
        </w:rPr>
      </w:pPr>
      <w:r>
        <w:rPr>
          <w:rFonts w:hint="eastAsia"/>
          <w:color w:val="000000" w:themeColor="text1"/>
        </w:rPr>
        <w:t>3</w:t>
      </w:r>
      <w:r>
        <w:rPr>
          <w:rFonts w:hint="eastAsia"/>
          <w:color w:val="000000" w:themeColor="text1"/>
        </w:rPr>
        <w:t>、由于重大会计差错更正，影响期初未分配利润</w:t>
      </w:r>
      <w:sdt>
        <w:sdtPr>
          <w:rPr>
            <w:rFonts w:hint="eastAsia"/>
            <w:color w:val="000000" w:themeColor="text1"/>
          </w:rPr>
          <w:alias w:val="由于重大会计差错更正影响年初未分配利润"/>
          <w:tag w:val="_GBC_34728ea6faff41218abab9b8fede268c"/>
          <w:id w:val="-1591161997"/>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rsidR="00156DD6" w:rsidRDefault="00D51F5F">
      <w:pPr>
        <w:rPr>
          <w:color w:val="000000" w:themeColor="text1"/>
        </w:rPr>
      </w:pPr>
      <w:r>
        <w:rPr>
          <w:rFonts w:hint="eastAsia"/>
          <w:color w:val="000000" w:themeColor="text1"/>
        </w:rPr>
        <w:t>4</w:t>
      </w:r>
      <w:r>
        <w:rPr>
          <w:rFonts w:hint="eastAsia"/>
          <w:color w:val="000000" w:themeColor="text1"/>
        </w:rPr>
        <w:t>、由于同一控制导致的合并范围变更，影响期初未分配利润</w:t>
      </w:r>
      <w:sdt>
        <w:sdtPr>
          <w:rPr>
            <w:rFonts w:hint="eastAsia"/>
            <w:color w:val="000000" w:themeColor="text1"/>
          </w:rPr>
          <w:alias w:val="同一控制导致的合并范围变更影响年初未分配利润"/>
          <w:tag w:val="_GBC_4d9b7a873cb94aba9044210a45f81108"/>
          <w:id w:val="1638999688"/>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rsidR="00156DD6" w:rsidRDefault="00D51F5F">
      <w:pPr>
        <w:rPr>
          <w:color w:val="000000" w:themeColor="text1"/>
        </w:rPr>
      </w:pPr>
      <w:r>
        <w:rPr>
          <w:rFonts w:hint="eastAsia"/>
          <w:color w:val="000000" w:themeColor="text1"/>
        </w:rPr>
        <w:t>5</w:t>
      </w:r>
      <w:r>
        <w:rPr>
          <w:rFonts w:hint="eastAsia"/>
          <w:color w:val="000000" w:themeColor="text1"/>
        </w:rPr>
        <w:t>、其他调整合计影响期初未分配利润</w:t>
      </w:r>
      <w:sdt>
        <w:sdtPr>
          <w:rPr>
            <w:rFonts w:hint="eastAsia"/>
            <w:color w:val="000000" w:themeColor="text1"/>
          </w:rPr>
          <w:alias w:val="其他调整合计影响年初未分配利润"/>
          <w:tag w:val="_GBC_ccd86b3788e04a70a2e6a2167027d7cb"/>
          <w:id w:val="2126349594"/>
          <w:placeholder>
            <w:docPart w:val="GBC22222222222222222222222222222"/>
          </w:placeholder>
        </w:sdtPr>
        <w:sdtEndPr/>
        <w:sdtContent>
          <w:r>
            <w:rPr>
              <w:rFonts w:hint="eastAsia"/>
              <w:color w:val="000000" w:themeColor="text1"/>
            </w:rPr>
            <w:t>0</w:t>
          </w:r>
        </w:sdtContent>
      </w:sdt>
      <w:r>
        <w:rPr>
          <w:rFonts w:hint="eastAsia"/>
          <w:color w:val="000000" w:themeColor="text1"/>
        </w:rPr>
        <w:t xml:space="preserve"> </w:t>
      </w:r>
      <w:r>
        <w:rPr>
          <w:rFonts w:hint="eastAsia"/>
          <w:color w:val="000000" w:themeColor="text1"/>
        </w:rPr>
        <w:t>元。</w:t>
      </w:r>
    </w:p>
    <w:p w:rsidR="00156DD6" w:rsidRDefault="00D51F5F">
      <w:pPr>
        <w:pStyle w:val="TOC6"/>
        <w:numPr>
          <w:ilvl w:val="0"/>
          <w:numId w:val="53"/>
        </w:numPr>
        <w:rPr>
          <w:color w:val="000000" w:themeColor="text1"/>
          <w:sz w:val="21"/>
          <w:szCs w:val="22"/>
        </w:rPr>
      </w:pPr>
      <w:r>
        <w:rPr>
          <w:color w:val="000000" w:themeColor="text1"/>
          <w:sz w:val="21"/>
          <w:szCs w:val="22"/>
        </w:rPr>
        <w:t>营业收入和营业成本</w:t>
      </w:r>
    </w:p>
    <w:p w:rsidR="00156DD6" w:rsidRDefault="00D51F5F">
      <w:pPr>
        <w:pStyle w:val="Style47"/>
        <w:numPr>
          <w:ilvl w:val="0"/>
          <w:numId w:val="78"/>
        </w:numPr>
        <w:ind w:left="426" w:hanging="426"/>
        <w:rPr>
          <w:rFonts w:ascii="宋体" w:hAnsi="宋体"/>
          <w:color w:val="000000" w:themeColor="text1"/>
          <w:sz w:val="21"/>
          <w:szCs w:val="32"/>
        </w:rPr>
      </w:pPr>
      <w:r>
        <w:rPr>
          <w:rFonts w:ascii="宋体" w:hAnsi="宋体" w:hint="eastAsia"/>
          <w:color w:val="000000" w:themeColor="text1"/>
          <w:sz w:val="21"/>
          <w:szCs w:val="32"/>
        </w:rPr>
        <w:t>营业收入和营业成本情况</w:t>
      </w:r>
    </w:p>
    <w:sdt>
      <w:sdtPr>
        <w:rPr>
          <w:color w:val="000000" w:themeColor="text1"/>
        </w:rPr>
        <w:alias w:val="是否适用：营业收入和营业成本[双击切换]"/>
        <w:tag w:val="_GBC_876680c4ba6b433896b625efff84d599"/>
        <w:id w:val="-210240560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营业收入"/>
          <w:tag w:val="_GBC_611ed6dd25a247cf86a0fb98cd86e68f"/>
          <w:id w:val="-1063528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营业收入"/>
          <w:tag w:val="_GBC_ba5cd3776b804cc291ae4c216c605f02"/>
          <w:id w:val="10734691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896"/>
        <w:gridCol w:w="1896"/>
        <w:gridCol w:w="1896"/>
        <w:gridCol w:w="1897"/>
      </w:tblGrid>
      <w:tr w:rsidR="00156DD6">
        <w:sdt>
          <w:sdtPr>
            <w:tag w:val="_PLD_d41752618c6a4ee08ca01f5944b34b81"/>
            <w:id w:val="-1617280400"/>
          </w:sdtPr>
          <w:sdtEndPr/>
          <w:sdtContent>
            <w:tc>
              <w:tcPr>
                <w:tcW w:w="702"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项目</w:t>
                </w:r>
              </w:p>
            </w:tc>
          </w:sdtContent>
        </w:sdt>
        <w:sdt>
          <w:sdtPr>
            <w:tag w:val="_PLD_f88658ae6cb94ea390736e112b0d5ffc"/>
            <w:id w:val="640776648"/>
          </w:sdtPr>
          <w:sdtEndPr/>
          <w:sdtContent>
            <w:tc>
              <w:tcPr>
                <w:tcW w:w="2149"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本期发生额</w:t>
                </w:r>
              </w:p>
            </w:tc>
          </w:sdtContent>
        </w:sdt>
        <w:sdt>
          <w:sdtPr>
            <w:tag w:val="_PLD_0840d72efce94f22bdf4d566046b2e87"/>
            <w:id w:val="1493063920"/>
          </w:sdtPr>
          <w:sdtEndPr/>
          <w:sdtContent>
            <w:tc>
              <w:tcPr>
                <w:tcW w:w="2149"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上期发生额</w:t>
                </w:r>
              </w:p>
            </w:tc>
          </w:sdtContent>
        </w:sdt>
      </w:tr>
      <w:tr w:rsidR="00156DD6">
        <w:tc>
          <w:tcPr>
            <w:tcW w:w="702"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sdt>
          <w:sdtPr>
            <w:tag w:val="_PLD_39942ac1f2654fa6bda80d7116d83859"/>
            <w:id w:val="893694198"/>
          </w:sdtPr>
          <w:sdtEndPr/>
          <w:sdtContent>
            <w:tc>
              <w:tcPr>
                <w:tcW w:w="1074"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收入</w:t>
                </w:r>
              </w:p>
            </w:tc>
          </w:sdtContent>
        </w:sdt>
        <w:sdt>
          <w:sdtPr>
            <w:tag w:val="_PLD_5075262c52564bf09f90a67ee6a84b17"/>
            <w:id w:val="858084833"/>
          </w:sdtPr>
          <w:sdtEndPr/>
          <w:sdtContent>
            <w:tc>
              <w:tcPr>
                <w:tcW w:w="1074"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成本</w:t>
                </w:r>
              </w:p>
            </w:tc>
          </w:sdtContent>
        </w:sdt>
        <w:sdt>
          <w:sdtPr>
            <w:tag w:val="_PLD_33a1015c666d49cba108bce6aafea1f7"/>
            <w:id w:val="-115064559"/>
          </w:sdtPr>
          <w:sdtEndPr/>
          <w:sdtContent>
            <w:tc>
              <w:tcPr>
                <w:tcW w:w="1074"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收入</w:t>
                </w:r>
              </w:p>
            </w:tc>
          </w:sdtContent>
        </w:sdt>
        <w:sdt>
          <w:sdtPr>
            <w:tag w:val="_PLD_d09deaa2e4d443459a3584a1d7e92203"/>
            <w:id w:val="-2070334684"/>
          </w:sdtPr>
          <w:sdtEndPr/>
          <w:sdtContent>
            <w:tc>
              <w:tcPr>
                <w:tcW w:w="1075"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成本</w:t>
                </w:r>
              </w:p>
            </w:tc>
          </w:sdtContent>
        </w:sdt>
      </w:tr>
      <w:tr w:rsidR="00156DD6">
        <w:tc>
          <w:tcPr>
            <w:tcW w:w="702"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主营业务</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1,778,755,560.36 </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1,546,900,917.59 </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1,381,748,428.03 </w:t>
            </w:r>
          </w:p>
        </w:tc>
        <w:tc>
          <w:tcPr>
            <w:tcW w:w="1075"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1,235,512,347.03 </w:t>
            </w:r>
          </w:p>
        </w:tc>
      </w:tr>
      <w:tr w:rsidR="00156DD6">
        <w:tc>
          <w:tcPr>
            <w:tcW w:w="702"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lastRenderedPageBreak/>
              <w:t>其他业务</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57,227,529.47 </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55,450,226.26 </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43,646,949.39 </w:t>
            </w:r>
          </w:p>
        </w:tc>
        <w:tc>
          <w:tcPr>
            <w:tcW w:w="1075"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38,172,812.22 </w:t>
            </w:r>
          </w:p>
        </w:tc>
      </w:tr>
      <w:tr w:rsidR="00156DD6">
        <w:tc>
          <w:tcPr>
            <w:tcW w:w="70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1,835,983,089.83 </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1,602,351,143.85 </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1,425,395,377.42 </w:t>
            </w:r>
          </w:p>
        </w:tc>
        <w:tc>
          <w:tcPr>
            <w:tcW w:w="1075"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1,273,685,159.25 </w:t>
            </w:r>
          </w:p>
        </w:tc>
      </w:tr>
    </w:tbl>
    <w:bookmarkStart w:id="416" w:name="_Hlk167969685" w:displacedByCustomXml="next"/>
    <w:bookmarkStart w:id="417" w:name="_Hlk533756233" w:displacedByCustomXml="next"/>
    <w:sdt>
      <w:sdtPr>
        <w:rPr>
          <w:rFonts w:ascii="宋体" w:hAnsi="宋体" w:cs="宋体" w:hint="eastAsia"/>
          <w:b w:val="0"/>
          <w:bCs w:val="0"/>
          <w:color w:val="000000" w:themeColor="text1"/>
          <w:kern w:val="0"/>
          <w:sz w:val="21"/>
          <w:szCs w:val="24"/>
        </w:rPr>
        <w:alias w:val="模块:合同产生的收入的情况"/>
        <w:tag w:val="_SEC_c4e8c6d213eb4da9850e04355e0aa292"/>
        <w:id w:val="1893304478"/>
        <w:placeholder>
          <w:docPart w:val="GBC22222222222222222222222222222"/>
        </w:placeholder>
      </w:sdtPr>
      <w:sdtEndPr>
        <w:rPr>
          <w:rFonts w:ascii="Times New Roman" w:hAnsi="Times New Roman" w:hint="default"/>
          <w:szCs w:val="21"/>
        </w:rPr>
      </w:sdtEndPr>
      <w:sdtContent>
        <w:p w:rsidR="00156DD6" w:rsidRDefault="00D51F5F">
          <w:pPr>
            <w:pStyle w:val="Style47"/>
            <w:numPr>
              <w:ilvl w:val="0"/>
              <w:numId w:val="78"/>
            </w:numPr>
            <w:ind w:left="426" w:hanging="426"/>
            <w:rPr>
              <w:rFonts w:ascii="宋体" w:hAnsi="宋体"/>
              <w:color w:val="000000" w:themeColor="text1"/>
              <w:sz w:val="21"/>
              <w:szCs w:val="32"/>
            </w:rPr>
          </w:pPr>
          <w:r>
            <w:rPr>
              <w:rFonts w:ascii="宋体" w:hAnsi="宋体" w:hint="eastAsia"/>
              <w:color w:val="000000" w:themeColor="text1"/>
              <w:sz w:val="21"/>
              <w:szCs w:val="32"/>
            </w:rPr>
            <w:t>营业收入、营业成本的分解信息</w:t>
          </w:r>
        </w:p>
        <w:sdt>
          <w:sdtPr>
            <w:rPr>
              <w:rFonts w:ascii="宋体" w:hAnsi="宋体"/>
              <w:color w:val="000000" w:themeColor="text1"/>
              <w:sz w:val="21"/>
            </w:rPr>
            <w:alias w:val="是否适用：营业收入、营业成本的分解信息 [双击切换]"/>
            <w:tag w:val="_GBC_efc78032c33b40119a8d8db1511a7505"/>
            <w:id w:val="1108317872"/>
            <w:placeholder>
              <w:docPart w:val="GBC22222222222222222222222222222"/>
            </w:placeholder>
          </w:sdtPr>
          <w:sdtEndPr/>
          <w:sdtContent>
            <w:p w:rsidR="00156DD6" w:rsidRDefault="00D51F5F">
              <w:pPr>
                <w:pStyle w:val="Style72"/>
                <w:ind w:firstLineChars="0" w:firstLine="0"/>
                <w:jc w:val="left"/>
                <w:rPr>
                  <w:rFonts w:ascii="宋体" w:hAnsi="宋体"/>
                  <w:color w:val="000000" w:themeColor="text1"/>
                  <w:sz w:val="21"/>
                </w:rPr>
              </w:pPr>
              <w:r>
                <w:rPr>
                  <w:rFonts w:ascii="宋体" w:hAnsi="宋体"/>
                  <w:color w:val="000000" w:themeColor="text1"/>
                  <w:sz w:val="21"/>
                </w:rPr>
                <w:fldChar w:fldCharType="begin"/>
              </w:r>
              <w:r>
                <w:rPr>
                  <w:rFonts w:ascii="宋体" w:hAnsi="宋体"/>
                  <w:color w:val="000000" w:themeColor="text1"/>
                  <w:sz w:val="21"/>
                </w:rPr>
                <w:instrText xml:space="preserve"> MACROBUTTON  SnrToggleCheckbox √</w:instrText>
              </w:r>
              <w:r>
                <w:rPr>
                  <w:rFonts w:ascii="宋体" w:hAnsi="宋体"/>
                  <w:color w:val="000000" w:themeColor="text1"/>
                  <w:sz w:val="21"/>
                </w:rPr>
                <w:instrText>适用</w:instrText>
              </w:r>
              <w:r>
                <w:rPr>
                  <w:rFonts w:ascii="宋体" w:hAnsi="宋体"/>
                  <w:color w:val="000000" w:themeColor="text1"/>
                  <w:sz w:val="21"/>
                </w:rPr>
                <w:instrText xml:space="preserve"> </w:instrText>
              </w:r>
              <w:r>
                <w:rPr>
                  <w:rFonts w:ascii="宋体" w:hAnsi="宋体"/>
                  <w:color w:val="000000" w:themeColor="text1"/>
                  <w:sz w:val="21"/>
                </w:rPr>
                <w:fldChar w:fldCharType="end"/>
              </w:r>
              <w:r>
                <w:rPr>
                  <w:rFonts w:ascii="宋体" w:hAnsi="宋体"/>
                  <w:color w:val="000000" w:themeColor="text1"/>
                  <w:sz w:val="21"/>
                </w:rPr>
                <w:fldChar w:fldCharType="begin"/>
              </w:r>
              <w:r>
                <w:rPr>
                  <w:rFonts w:ascii="宋体" w:hAnsi="宋体"/>
                  <w:color w:val="000000" w:themeColor="text1"/>
                  <w:sz w:val="21"/>
                </w:rPr>
                <w:instrText xml:space="preserve"> MACROBUTTON  SnrToggleCheckbox □</w:instrText>
              </w:r>
              <w:r>
                <w:rPr>
                  <w:rFonts w:ascii="宋体" w:hAnsi="宋体"/>
                  <w:color w:val="000000" w:themeColor="text1"/>
                  <w:sz w:val="21"/>
                </w:rPr>
                <w:instrText>不适用</w:instrText>
              </w:r>
              <w:r>
                <w:rPr>
                  <w:rFonts w:ascii="宋体" w:hAnsi="宋体"/>
                  <w:color w:val="000000" w:themeColor="text1"/>
                  <w:sz w:val="21"/>
                </w:rPr>
                <w:instrText xml:space="preserve"> </w:instrText>
              </w:r>
              <w:r>
                <w:rPr>
                  <w:rFonts w:ascii="宋体" w:hAnsi="宋体"/>
                  <w:color w:val="000000" w:themeColor="text1"/>
                  <w:sz w:val="21"/>
                </w:rPr>
                <w:fldChar w:fldCharType="end"/>
              </w:r>
            </w:p>
          </w:sdtContent>
        </w:sdt>
        <w:p w:rsidR="00156DD6" w:rsidRDefault="00D51F5F">
          <w:pPr>
            <w:pStyle w:val="Style72"/>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营业收入、营业成本的分解信息 "/>
              <w:tag w:val="_GBC_3ccd36a6a17f4de6846b5579f456e2eb"/>
              <w:id w:val="10551916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营业收入、营业成本的分解信息 "/>
              <w:tag w:val="_GBC_4476d84f223c43caad2810c5a30db364"/>
              <w:id w:val="-18961157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2158"/>
            <w:gridCol w:w="2943"/>
          </w:tblGrid>
          <w:tr w:rsidR="00156DD6">
            <w:sdt>
              <w:sdtPr>
                <w:tag w:val="_PLD_c4e262a708374d868aa4623ec11e26b7"/>
                <w:id w:val="-1907524359"/>
              </w:sdtPr>
              <w:sdtEndPr/>
              <w:sdtContent>
                <w:tc>
                  <w:tcPr>
                    <w:tcW w:w="2109"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合同分类</w:t>
                    </w:r>
                  </w:p>
                </w:tc>
              </w:sdtContent>
            </w:sdt>
            <w:sdt>
              <w:sdtPr>
                <w:tag w:val="_PLD_2383d04a4c7d404b94d983ebd7656098"/>
                <w:id w:val="-1031954535"/>
              </w:sdtPr>
              <w:sdtEndPr/>
              <w:sdtContent>
                <w:tc>
                  <w:tcPr>
                    <w:tcW w:w="2891"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sdtContent>
            </w:sdt>
          </w:tr>
          <w:tr w:rsidR="00156DD6">
            <w:tc>
              <w:tcPr>
                <w:tcW w:w="2109"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sdt>
              <w:sdtPr>
                <w:tag w:val="_PLD_58de911da1324e8586f84ab9937bcdeb"/>
                <w:id w:val="167219389"/>
              </w:sdtPr>
              <w:sdtEndPr/>
              <w:sdtContent>
                <w:tc>
                  <w:tcPr>
                    <w:tcW w:w="1223"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营业收入</w:t>
                    </w:r>
                  </w:p>
                </w:tc>
              </w:sdtContent>
            </w:sdt>
            <w:sdt>
              <w:sdtPr>
                <w:tag w:val="_PLD_b60d678e181949d998ae7d21f7dd9556"/>
                <w:id w:val="-188298940"/>
              </w:sdtPr>
              <w:sdtEndPr/>
              <w:sdtContent>
                <w:tc>
                  <w:tcPr>
                    <w:tcW w:w="166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营业成本</w:t>
                    </w:r>
                  </w:p>
                </w:tc>
              </w:sdtContent>
            </w:sdt>
          </w:tr>
          <w:tr w:rsidR="00156DD6">
            <w:tc>
              <w:tcPr>
                <w:tcW w:w="2109"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商品类型</w:t>
                </w:r>
              </w:p>
            </w:tc>
            <w:tc>
              <w:tcPr>
                <w:tcW w:w="1223"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 xml:space="preserve">　</w:t>
                </w:r>
              </w:p>
            </w:tc>
            <w:tc>
              <w:tcPr>
                <w:tcW w:w="1668"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 xml:space="preserve">　</w:t>
                </w:r>
              </w:p>
            </w:tc>
          </w:tr>
          <w:tr w:rsidR="00156DD6">
            <w:tc>
              <w:tcPr>
                <w:tcW w:w="2109"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rPr>
                    <w:rFonts w:hint="eastAsia"/>
                  </w:rPr>
                  <w:t>输配电及控制设备</w:t>
                </w:r>
              </w:p>
            </w:tc>
            <w:tc>
              <w:tcPr>
                <w:tcW w:w="122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1,142,519,882.86 </w:t>
                </w:r>
              </w:p>
            </w:tc>
            <w:tc>
              <w:tcPr>
                <w:tcW w:w="166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979,680,901.27 </w:t>
                </w:r>
              </w:p>
            </w:tc>
          </w:tr>
          <w:tr w:rsidR="00156DD6">
            <w:tc>
              <w:tcPr>
                <w:tcW w:w="2109"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rPr>
                    <w:rFonts w:hint="eastAsia"/>
                  </w:rPr>
                  <w:t>取向硅钢</w:t>
                </w:r>
              </w:p>
            </w:tc>
            <w:tc>
              <w:tcPr>
                <w:tcW w:w="122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636,235,677.50 </w:t>
                </w:r>
              </w:p>
            </w:tc>
            <w:tc>
              <w:tcPr>
                <w:tcW w:w="166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567,220,016.32 </w:t>
                </w:r>
              </w:p>
            </w:tc>
          </w:tr>
          <w:tr w:rsidR="00156DD6">
            <w:tc>
              <w:tcPr>
                <w:tcW w:w="2109"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rPr>
                    <w:rFonts w:hint="eastAsia"/>
                  </w:rPr>
                  <w:t>其他业务</w:t>
                </w:r>
              </w:p>
            </w:tc>
            <w:tc>
              <w:tcPr>
                <w:tcW w:w="1223"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57,227,529.47 </w:t>
                </w:r>
              </w:p>
            </w:tc>
            <w:tc>
              <w:tcPr>
                <w:tcW w:w="1668"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55,450,226.26 </w:t>
                </w:r>
              </w:p>
            </w:tc>
          </w:tr>
          <w:tr w:rsidR="00156DD6">
            <w:tc>
              <w:tcPr>
                <w:tcW w:w="2109"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按商品转让的时间分类</w:t>
                </w:r>
              </w:p>
            </w:tc>
            <w:tc>
              <w:tcPr>
                <w:tcW w:w="1223" w:type="pct"/>
                <w:tcBorders>
                  <w:top w:val="single" w:sz="4" w:space="0" w:color="auto"/>
                  <w:left w:val="single" w:sz="4" w:space="0" w:color="auto"/>
                  <w:bottom w:val="single" w:sz="4" w:space="0" w:color="auto"/>
                  <w:right w:val="single" w:sz="4" w:space="0" w:color="auto"/>
                </w:tcBorders>
              </w:tcPr>
              <w:p w:rsidR="00156DD6" w:rsidRDefault="00156DD6">
                <w:pPr>
                  <w:jc w:val="right"/>
                  <w:rPr>
                    <w:color w:val="000000" w:themeColor="text1"/>
                  </w:rPr>
                </w:pPr>
              </w:p>
            </w:tc>
            <w:tc>
              <w:tcPr>
                <w:tcW w:w="1668" w:type="pct"/>
                <w:tcBorders>
                  <w:top w:val="single" w:sz="4" w:space="0" w:color="auto"/>
                  <w:left w:val="single" w:sz="4" w:space="0" w:color="auto"/>
                  <w:bottom w:val="single" w:sz="4" w:space="0" w:color="auto"/>
                  <w:right w:val="single" w:sz="4" w:space="0" w:color="auto"/>
                </w:tcBorders>
              </w:tcPr>
              <w:p w:rsidR="00156DD6" w:rsidRDefault="00156DD6">
                <w:pPr>
                  <w:jc w:val="right"/>
                  <w:rPr>
                    <w:color w:val="000000" w:themeColor="text1"/>
                  </w:rPr>
                </w:pPr>
              </w:p>
            </w:tc>
          </w:tr>
          <w:tr w:rsidR="00156DD6">
            <w:tc>
              <w:tcPr>
                <w:tcW w:w="2109"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rPr>
                    <w:rFonts w:hint="eastAsia"/>
                  </w:rPr>
                  <w:t>在某一时点确认收入</w:t>
                </w:r>
              </w:p>
            </w:tc>
            <w:tc>
              <w:tcPr>
                <w:tcW w:w="1223"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1,835,983,089.83 </w:t>
                </w:r>
              </w:p>
            </w:tc>
            <w:tc>
              <w:tcPr>
                <w:tcW w:w="166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1,602,351,143.85 </w:t>
                </w:r>
              </w:p>
            </w:tc>
          </w:tr>
          <w:tr w:rsidR="00156DD6">
            <w:tc>
              <w:tcPr>
                <w:tcW w:w="2109"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rPr>
                    <w:rFonts w:hint="eastAsia"/>
                  </w:rPr>
                  <w:t>在某一时段内确认收入</w:t>
                </w:r>
              </w:p>
            </w:tc>
            <w:tc>
              <w:tcPr>
                <w:tcW w:w="1223" w:type="pct"/>
                <w:tcBorders>
                  <w:top w:val="single" w:sz="4" w:space="0" w:color="auto"/>
                  <w:left w:val="single" w:sz="4" w:space="0" w:color="auto"/>
                  <w:bottom w:val="single" w:sz="4" w:space="0" w:color="auto"/>
                  <w:right w:val="single" w:sz="4" w:space="0" w:color="auto"/>
                </w:tcBorders>
              </w:tcPr>
              <w:p w:rsidR="00156DD6" w:rsidRDefault="00156DD6">
                <w:pPr>
                  <w:jc w:val="right"/>
                  <w:rPr>
                    <w:color w:val="000000" w:themeColor="text1"/>
                  </w:rPr>
                </w:pPr>
              </w:p>
            </w:tc>
            <w:tc>
              <w:tcPr>
                <w:tcW w:w="1668" w:type="pct"/>
                <w:tcBorders>
                  <w:top w:val="single" w:sz="4" w:space="0" w:color="auto"/>
                  <w:left w:val="single" w:sz="4" w:space="0" w:color="auto"/>
                  <w:bottom w:val="single" w:sz="4" w:space="0" w:color="auto"/>
                  <w:right w:val="single" w:sz="4" w:space="0" w:color="auto"/>
                </w:tcBorders>
              </w:tcPr>
              <w:p w:rsidR="00156DD6" w:rsidRDefault="00156DD6">
                <w:pPr>
                  <w:jc w:val="right"/>
                  <w:rPr>
                    <w:color w:val="000000" w:themeColor="text1"/>
                  </w:rPr>
                </w:pPr>
              </w:p>
            </w:tc>
          </w:tr>
          <w:tr w:rsidR="00156DD6">
            <w:tc>
              <w:tcPr>
                <w:tcW w:w="2109"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合计</w:t>
                </w:r>
              </w:p>
            </w:tc>
            <w:tc>
              <w:tcPr>
                <w:tcW w:w="1223"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1,835,983,089.83 </w:t>
                </w:r>
              </w:p>
            </w:tc>
            <w:tc>
              <w:tcPr>
                <w:tcW w:w="1668"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1,602,351,143.85 </w:t>
                </w:r>
              </w:p>
            </w:tc>
          </w:tr>
        </w:tbl>
        <w:p w:rsidR="00156DD6" w:rsidRDefault="00D51F5F">
          <w:pPr>
            <w:rPr>
              <w:color w:val="000000" w:themeColor="text1"/>
            </w:rPr>
          </w:pPr>
          <w:r>
            <w:rPr>
              <w:rFonts w:hint="eastAsia"/>
              <w:color w:val="000000" w:themeColor="text1"/>
            </w:rPr>
            <w:t>其他说明</w:t>
          </w:r>
        </w:p>
        <w:sdt>
          <w:sdtPr>
            <w:rPr>
              <w:color w:val="000000" w:themeColor="text1"/>
            </w:rPr>
            <w:alias w:val="是否适用：营业收入、营业成本的分解信息说明 [双击切换]"/>
            <w:tag w:val="_GBC_04602e125f9d4f519cbc5efd2f4ee0ea"/>
            <w:id w:val="-178588319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sdtContent>
    </w:sdt>
    <w:p w:rsidR="00156DD6" w:rsidRDefault="00D51F5F">
      <w:pPr>
        <w:pStyle w:val="Style47"/>
        <w:numPr>
          <w:ilvl w:val="0"/>
          <w:numId w:val="78"/>
        </w:numPr>
        <w:ind w:left="426" w:hanging="426"/>
        <w:rPr>
          <w:rFonts w:ascii="宋体" w:hAnsi="宋体"/>
          <w:color w:val="000000" w:themeColor="text1"/>
          <w:sz w:val="21"/>
          <w:szCs w:val="21"/>
        </w:rPr>
      </w:pPr>
      <w:bookmarkStart w:id="418" w:name="_Hlk533670431"/>
      <w:bookmarkEnd w:id="417"/>
      <w:r>
        <w:rPr>
          <w:rFonts w:ascii="宋体" w:hAnsi="宋体" w:hint="eastAsia"/>
          <w:color w:val="000000" w:themeColor="text1"/>
          <w:sz w:val="21"/>
          <w:szCs w:val="21"/>
        </w:rPr>
        <w:t>履约义务的说明</w:t>
      </w:r>
    </w:p>
    <w:sdt>
      <w:sdtPr>
        <w:rPr>
          <w:color w:val="000000" w:themeColor="text1"/>
        </w:rPr>
        <w:alias w:val="是否适用：履约义务的说明[双击切换]"/>
        <w:tag w:val="_GBC_ec22242632ae490ba6bc8afe3b2e35bc"/>
        <w:id w:val="211161714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8"/>
        </w:numPr>
        <w:ind w:left="426" w:hanging="426"/>
        <w:rPr>
          <w:rFonts w:ascii="宋体" w:hAnsi="宋体"/>
          <w:color w:val="000000" w:themeColor="text1"/>
          <w:sz w:val="21"/>
          <w:szCs w:val="21"/>
        </w:rPr>
      </w:pPr>
      <w:bookmarkStart w:id="419" w:name="_Hlk10538107"/>
      <w:bookmarkStart w:id="420" w:name="_Hlk10538117"/>
      <w:bookmarkEnd w:id="416"/>
      <w:bookmarkEnd w:id="418"/>
      <w:r>
        <w:rPr>
          <w:rFonts w:ascii="宋体" w:hAnsi="宋体" w:hint="eastAsia"/>
          <w:color w:val="000000" w:themeColor="text1"/>
          <w:sz w:val="21"/>
          <w:szCs w:val="21"/>
        </w:rPr>
        <w:t>分摊至剩余履约义务的说明</w:t>
      </w:r>
      <w:bookmarkEnd w:id="419"/>
    </w:p>
    <w:sdt>
      <w:sdtPr>
        <w:rPr>
          <w:color w:val="000000" w:themeColor="text1"/>
        </w:rPr>
        <w:alias w:val="是否适用：分摊至剩余履约义务的说明[双击切换]"/>
        <w:tag w:val="_GBC_3e12eb65fc9e4c7b80815a7392be58f2"/>
        <w:id w:val="-164603711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78"/>
        </w:numPr>
        <w:ind w:left="426" w:hanging="426"/>
        <w:rPr>
          <w:rFonts w:ascii="宋体" w:hAnsi="宋体"/>
          <w:color w:val="000000" w:themeColor="text1"/>
          <w:sz w:val="21"/>
          <w:szCs w:val="21"/>
        </w:rPr>
      </w:pPr>
      <w:bookmarkStart w:id="421" w:name="_Hlk167969793"/>
      <w:bookmarkEnd w:id="420"/>
      <w:r>
        <w:rPr>
          <w:rFonts w:ascii="宋体" w:hAnsi="宋体" w:hint="eastAsia"/>
          <w:color w:val="000000" w:themeColor="text1"/>
          <w:sz w:val="21"/>
          <w:szCs w:val="21"/>
        </w:rPr>
        <w:t>重大合同变更或重大交易价格调整</w:t>
      </w:r>
    </w:p>
    <w:sdt>
      <w:sdtPr>
        <w:rPr>
          <w:color w:val="000000" w:themeColor="text1"/>
        </w:rPr>
        <w:alias w:val="是否适用：重大合同变更或重大交易价格调整[双击切换]"/>
        <w:tag w:val="_GBC_4ff195f785f7474ba9def45795b4e11c"/>
        <w:id w:val="39948491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w:instrText>
          </w:r>
          <w:r>
            <w:rPr>
              <w:rFonts w:hint="eastAsia"/>
              <w:color w:val="000000" w:themeColor="text1"/>
            </w:rPr>
            <w:instrText xml:space="preserve">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pacing w:before="60" w:after="60"/>
        <w:rPr>
          <w:color w:val="000000" w:themeColor="text1"/>
        </w:rPr>
      </w:pPr>
      <w:bookmarkStart w:id="422" w:name="_Hlk26364697"/>
      <w:bookmarkStart w:id="423" w:name="_Hlk41487523"/>
      <w:bookmarkEnd w:id="421"/>
      <w:r>
        <w:rPr>
          <w:rFonts w:hint="eastAsia"/>
          <w:color w:val="000000" w:themeColor="text1"/>
        </w:rPr>
        <w:t>其他说明：</w:t>
      </w:r>
    </w:p>
    <w:p w:rsidR="00156DD6" w:rsidRDefault="00D51F5F">
      <w:pPr>
        <w:rPr>
          <w:color w:val="000000" w:themeColor="text1"/>
        </w:rPr>
      </w:pPr>
      <w:sdt>
        <w:sdtPr>
          <w:rPr>
            <w:color w:val="000000" w:themeColor="text1"/>
          </w:rPr>
          <w:alias w:val="主营业务说明"/>
          <w:tag w:val="_GBC_72a96250960e4e188d2fa1097869655e"/>
          <w:id w:val="-422731478"/>
          <w:placeholder>
            <w:docPart w:val="GBC22222222222222222222222222222"/>
          </w:placeholder>
        </w:sdtPr>
        <w:sdtEndPr/>
        <w:sdtContent>
          <w:r>
            <w:rPr>
              <w:rFonts w:hint="eastAsia"/>
              <w:color w:val="000000" w:themeColor="text1"/>
            </w:rPr>
            <w:t>无</w:t>
          </w:r>
        </w:sdtContent>
      </w:sdt>
      <w:bookmarkEnd w:id="422"/>
    </w:p>
    <w:bookmarkEnd w:id="423"/>
    <w:p w:rsidR="00156DD6" w:rsidRDefault="00D51F5F">
      <w:pPr>
        <w:pStyle w:val="TOC6"/>
        <w:numPr>
          <w:ilvl w:val="0"/>
          <w:numId w:val="53"/>
        </w:numPr>
        <w:rPr>
          <w:color w:val="000000" w:themeColor="text1"/>
          <w:sz w:val="21"/>
          <w:szCs w:val="22"/>
        </w:rPr>
      </w:pPr>
      <w:r>
        <w:rPr>
          <w:color w:val="000000" w:themeColor="text1"/>
          <w:sz w:val="21"/>
          <w:szCs w:val="22"/>
        </w:rPr>
        <w:t>税金及附加</w:t>
      </w:r>
    </w:p>
    <w:sdt>
      <w:sdtPr>
        <w:rPr>
          <w:color w:val="000000" w:themeColor="text1"/>
        </w:rPr>
        <w:alias w:val="是否适用：税金及附加[双击切换]"/>
        <w:tag w:val="_GBC_e6e37ca7fd2a435e8e042586945bb4d2"/>
        <w:id w:val="62043123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b/>
          <w:color w:val="000000" w:themeColor="text1"/>
        </w:rPr>
      </w:pPr>
      <w:r>
        <w:rPr>
          <w:rFonts w:hint="eastAsia"/>
          <w:color w:val="000000" w:themeColor="text1"/>
        </w:rPr>
        <w:t>单位：</w:t>
      </w:r>
      <w:sdt>
        <w:sdtPr>
          <w:rPr>
            <w:rFonts w:hint="eastAsia"/>
            <w:color w:val="000000" w:themeColor="text1"/>
          </w:rPr>
          <w:alias w:val="单位：财务附注：税金及附加"/>
          <w:tag w:val="_GBC_bdd382ceb0b74413bcc8ce354afae4a8"/>
          <w:id w:val="9222317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税金及附加"/>
          <w:tag w:val="_GBC_ecf8b53c11ec4336b91007df3f6b5f78"/>
          <w:id w:val="13306330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2995"/>
        <w:gridCol w:w="2995"/>
      </w:tblGrid>
      <w:tr w:rsidR="00156DD6">
        <w:sdt>
          <w:sdtPr>
            <w:tag w:val="_PLD_444bcf5500dc4f7f9041afd20c147408"/>
            <w:id w:val="2051186993"/>
          </w:sdtPr>
          <w:sdtEndPr/>
          <w:sdtContent>
            <w:tc>
              <w:tcPr>
                <w:tcW w:w="1605"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986496e04f5841889074687e953bf8a9"/>
            <w:id w:val="1015969066"/>
          </w:sdtPr>
          <w:sdtEndPr/>
          <w:sdtContent>
            <w:tc>
              <w:tcPr>
                <w:tcW w:w="1697" w:type="pct"/>
              </w:tcPr>
              <w:p w:rsidR="00156DD6" w:rsidRDefault="00D51F5F">
                <w:pPr>
                  <w:jc w:val="center"/>
                  <w:rPr>
                    <w:color w:val="000000" w:themeColor="text1"/>
                  </w:rPr>
                </w:pPr>
                <w:r>
                  <w:rPr>
                    <w:rFonts w:hint="eastAsia"/>
                    <w:color w:val="000000" w:themeColor="text1"/>
                  </w:rPr>
                  <w:t>本期发生额</w:t>
                </w:r>
              </w:p>
            </w:tc>
          </w:sdtContent>
        </w:sdt>
        <w:sdt>
          <w:sdtPr>
            <w:tag w:val="_PLD_4ab1376344dc484195a5459c78069a64"/>
            <w:id w:val="614411144"/>
          </w:sdtPr>
          <w:sdtEndPr/>
          <w:sdtContent>
            <w:tc>
              <w:tcPr>
                <w:tcW w:w="1697" w:type="pct"/>
                <w:vAlign w:val="center"/>
              </w:tcPr>
              <w:p w:rsidR="00156DD6" w:rsidRDefault="00D51F5F">
                <w:pPr>
                  <w:jc w:val="center"/>
                  <w:rPr>
                    <w:color w:val="000000" w:themeColor="text1"/>
                  </w:rPr>
                </w:pPr>
                <w:r>
                  <w:rPr>
                    <w:rFonts w:hint="eastAsia"/>
                    <w:color w:val="000000" w:themeColor="text1"/>
                  </w:rPr>
                  <w:t>上期发生额</w:t>
                </w:r>
              </w:p>
            </w:tc>
          </w:sdtContent>
        </w:sdt>
      </w:tr>
      <w:tr w:rsidR="00156DD6">
        <w:tc>
          <w:tcPr>
            <w:tcW w:w="1605" w:type="pct"/>
          </w:tcPr>
          <w:p w:rsidR="00156DD6" w:rsidRDefault="00D51F5F">
            <w:pPr>
              <w:autoSpaceDE w:val="0"/>
              <w:autoSpaceDN w:val="0"/>
              <w:adjustRightInd w:val="0"/>
              <w:snapToGrid w:val="0"/>
              <w:spacing w:line="240" w:lineRule="atLeast"/>
            </w:pPr>
            <w:r>
              <w:rPr>
                <w:rFonts w:hint="eastAsia"/>
              </w:rPr>
              <w:t>房产税</w:t>
            </w:r>
          </w:p>
        </w:tc>
        <w:tc>
          <w:tcPr>
            <w:tcW w:w="1697" w:type="pct"/>
          </w:tcPr>
          <w:p w:rsidR="00156DD6" w:rsidRDefault="00D51F5F">
            <w:pPr>
              <w:autoSpaceDE w:val="0"/>
              <w:autoSpaceDN w:val="0"/>
              <w:adjustRightInd w:val="0"/>
              <w:snapToGrid w:val="0"/>
              <w:spacing w:line="240" w:lineRule="atLeast"/>
              <w:jc w:val="right"/>
            </w:pPr>
            <w:r>
              <w:t xml:space="preserve"> 4,540,684.96 </w:t>
            </w:r>
          </w:p>
        </w:tc>
        <w:tc>
          <w:tcPr>
            <w:tcW w:w="1697" w:type="pct"/>
          </w:tcPr>
          <w:p w:rsidR="00156DD6" w:rsidRDefault="00D51F5F">
            <w:pPr>
              <w:jc w:val="right"/>
            </w:pPr>
            <w:r>
              <w:t xml:space="preserve"> 2,690,445.36 </w:t>
            </w:r>
          </w:p>
        </w:tc>
      </w:tr>
      <w:tr w:rsidR="00156DD6">
        <w:tc>
          <w:tcPr>
            <w:tcW w:w="1605" w:type="pct"/>
          </w:tcPr>
          <w:p w:rsidR="00156DD6" w:rsidRDefault="00D51F5F">
            <w:pPr>
              <w:autoSpaceDE w:val="0"/>
              <w:autoSpaceDN w:val="0"/>
              <w:adjustRightInd w:val="0"/>
              <w:snapToGrid w:val="0"/>
              <w:spacing w:line="240" w:lineRule="atLeast"/>
            </w:pPr>
            <w:r>
              <w:rPr>
                <w:rFonts w:hint="eastAsia"/>
              </w:rPr>
              <w:t>土地使用税</w:t>
            </w:r>
          </w:p>
        </w:tc>
        <w:tc>
          <w:tcPr>
            <w:tcW w:w="1697" w:type="pct"/>
          </w:tcPr>
          <w:p w:rsidR="00156DD6" w:rsidRDefault="00D51F5F">
            <w:pPr>
              <w:autoSpaceDE w:val="0"/>
              <w:autoSpaceDN w:val="0"/>
              <w:adjustRightInd w:val="0"/>
              <w:snapToGrid w:val="0"/>
              <w:spacing w:line="240" w:lineRule="atLeast"/>
              <w:jc w:val="right"/>
            </w:pPr>
            <w:r>
              <w:t xml:space="preserve"> 2,197,318.61 </w:t>
            </w:r>
          </w:p>
        </w:tc>
        <w:tc>
          <w:tcPr>
            <w:tcW w:w="1697" w:type="pct"/>
          </w:tcPr>
          <w:p w:rsidR="00156DD6" w:rsidRDefault="00D51F5F">
            <w:pPr>
              <w:jc w:val="right"/>
            </w:pPr>
            <w:r>
              <w:t xml:space="preserve"> 1,849,370.48 </w:t>
            </w:r>
          </w:p>
        </w:tc>
      </w:tr>
      <w:tr w:rsidR="00156DD6">
        <w:tc>
          <w:tcPr>
            <w:tcW w:w="1605" w:type="pct"/>
          </w:tcPr>
          <w:p w:rsidR="00156DD6" w:rsidRDefault="00D51F5F">
            <w:pPr>
              <w:autoSpaceDE w:val="0"/>
              <w:autoSpaceDN w:val="0"/>
              <w:adjustRightInd w:val="0"/>
              <w:snapToGrid w:val="0"/>
              <w:spacing w:line="240" w:lineRule="atLeast"/>
            </w:pPr>
            <w:r>
              <w:t>城市维护建设税</w:t>
            </w:r>
          </w:p>
        </w:tc>
        <w:tc>
          <w:tcPr>
            <w:tcW w:w="1697" w:type="pct"/>
          </w:tcPr>
          <w:p w:rsidR="00156DD6" w:rsidRDefault="00D51F5F">
            <w:pPr>
              <w:autoSpaceDE w:val="0"/>
              <w:autoSpaceDN w:val="0"/>
              <w:adjustRightInd w:val="0"/>
              <w:snapToGrid w:val="0"/>
              <w:spacing w:line="240" w:lineRule="atLeast"/>
              <w:jc w:val="right"/>
            </w:pPr>
            <w:r>
              <w:t>1,279,551.38</w:t>
            </w:r>
          </w:p>
        </w:tc>
        <w:tc>
          <w:tcPr>
            <w:tcW w:w="1697" w:type="pct"/>
          </w:tcPr>
          <w:p w:rsidR="00156DD6" w:rsidRDefault="00D51F5F">
            <w:pPr>
              <w:jc w:val="right"/>
            </w:pPr>
            <w:r>
              <w:t>110,554.06</w:t>
            </w:r>
          </w:p>
        </w:tc>
      </w:tr>
      <w:tr w:rsidR="00156DD6">
        <w:tc>
          <w:tcPr>
            <w:tcW w:w="1605" w:type="pct"/>
          </w:tcPr>
          <w:p w:rsidR="00156DD6" w:rsidRDefault="00D51F5F">
            <w:pPr>
              <w:autoSpaceDE w:val="0"/>
              <w:autoSpaceDN w:val="0"/>
              <w:adjustRightInd w:val="0"/>
              <w:snapToGrid w:val="0"/>
              <w:spacing w:line="240" w:lineRule="atLeast"/>
            </w:pPr>
            <w:r>
              <w:rPr>
                <w:rFonts w:hint="eastAsia"/>
              </w:rPr>
              <w:t>印花税</w:t>
            </w:r>
          </w:p>
        </w:tc>
        <w:tc>
          <w:tcPr>
            <w:tcW w:w="1697" w:type="pct"/>
          </w:tcPr>
          <w:p w:rsidR="00156DD6" w:rsidRDefault="00D51F5F">
            <w:pPr>
              <w:autoSpaceDE w:val="0"/>
              <w:autoSpaceDN w:val="0"/>
              <w:adjustRightInd w:val="0"/>
              <w:snapToGrid w:val="0"/>
              <w:spacing w:line="240" w:lineRule="atLeast"/>
              <w:jc w:val="right"/>
            </w:pPr>
            <w:r>
              <w:t xml:space="preserve"> 1,147,223.79 </w:t>
            </w:r>
          </w:p>
        </w:tc>
        <w:tc>
          <w:tcPr>
            <w:tcW w:w="1697" w:type="pct"/>
          </w:tcPr>
          <w:p w:rsidR="00156DD6" w:rsidRDefault="00D51F5F">
            <w:pPr>
              <w:jc w:val="right"/>
            </w:pPr>
            <w:r>
              <w:t xml:space="preserve"> 782,898.23 </w:t>
            </w:r>
          </w:p>
        </w:tc>
      </w:tr>
      <w:tr w:rsidR="00156DD6">
        <w:tc>
          <w:tcPr>
            <w:tcW w:w="1605" w:type="pct"/>
          </w:tcPr>
          <w:p w:rsidR="00156DD6" w:rsidRDefault="00D51F5F">
            <w:pPr>
              <w:autoSpaceDE w:val="0"/>
              <w:autoSpaceDN w:val="0"/>
              <w:adjustRightInd w:val="0"/>
              <w:snapToGrid w:val="0"/>
              <w:spacing w:line="240" w:lineRule="atLeast"/>
            </w:pPr>
            <w:r>
              <w:rPr>
                <w:rFonts w:hint="eastAsia"/>
              </w:rPr>
              <w:t>教育费附加</w:t>
            </w:r>
          </w:p>
        </w:tc>
        <w:tc>
          <w:tcPr>
            <w:tcW w:w="1697" w:type="pct"/>
          </w:tcPr>
          <w:p w:rsidR="00156DD6" w:rsidRDefault="00D51F5F">
            <w:pPr>
              <w:autoSpaceDE w:val="0"/>
              <w:autoSpaceDN w:val="0"/>
              <w:adjustRightInd w:val="0"/>
              <w:snapToGrid w:val="0"/>
              <w:spacing w:line="240" w:lineRule="atLeast"/>
              <w:jc w:val="right"/>
            </w:pPr>
            <w:r>
              <w:t xml:space="preserve"> 548,424.83 </w:t>
            </w:r>
          </w:p>
        </w:tc>
        <w:tc>
          <w:tcPr>
            <w:tcW w:w="1697" w:type="pct"/>
          </w:tcPr>
          <w:p w:rsidR="00156DD6" w:rsidRDefault="00D51F5F">
            <w:pPr>
              <w:jc w:val="right"/>
            </w:pPr>
            <w:r>
              <w:t xml:space="preserve"> 47,419.17 </w:t>
            </w:r>
          </w:p>
        </w:tc>
      </w:tr>
      <w:tr w:rsidR="00156DD6">
        <w:tc>
          <w:tcPr>
            <w:tcW w:w="1605" w:type="pct"/>
          </w:tcPr>
          <w:p w:rsidR="00156DD6" w:rsidRDefault="00D51F5F">
            <w:pPr>
              <w:autoSpaceDE w:val="0"/>
              <w:autoSpaceDN w:val="0"/>
              <w:adjustRightInd w:val="0"/>
              <w:snapToGrid w:val="0"/>
              <w:spacing w:line="240" w:lineRule="atLeast"/>
            </w:pPr>
            <w:r>
              <w:rPr>
                <w:rFonts w:hint="eastAsia"/>
              </w:rPr>
              <w:t>地方教育附加</w:t>
            </w:r>
          </w:p>
        </w:tc>
        <w:tc>
          <w:tcPr>
            <w:tcW w:w="1697" w:type="pct"/>
          </w:tcPr>
          <w:p w:rsidR="00156DD6" w:rsidRDefault="00D51F5F">
            <w:pPr>
              <w:autoSpaceDE w:val="0"/>
              <w:autoSpaceDN w:val="0"/>
              <w:adjustRightInd w:val="0"/>
              <w:snapToGrid w:val="0"/>
              <w:spacing w:line="240" w:lineRule="atLeast"/>
              <w:jc w:val="right"/>
            </w:pPr>
            <w:r>
              <w:t xml:space="preserve"> 365,616.55 </w:t>
            </w:r>
          </w:p>
        </w:tc>
        <w:tc>
          <w:tcPr>
            <w:tcW w:w="1697" w:type="pct"/>
          </w:tcPr>
          <w:p w:rsidR="00156DD6" w:rsidRDefault="00D51F5F">
            <w:pPr>
              <w:jc w:val="right"/>
            </w:pPr>
            <w:r>
              <w:t xml:space="preserve"> 31,612.78 </w:t>
            </w:r>
          </w:p>
        </w:tc>
      </w:tr>
      <w:tr w:rsidR="00156DD6">
        <w:tc>
          <w:tcPr>
            <w:tcW w:w="1605" w:type="pct"/>
          </w:tcPr>
          <w:p w:rsidR="00156DD6" w:rsidRDefault="00D51F5F">
            <w:pPr>
              <w:autoSpaceDE w:val="0"/>
              <w:autoSpaceDN w:val="0"/>
              <w:adjustRightInd w:val="0"/>
              <w:snapToGrid w:val="0"/>
              <w:spacing w:line="240" w:lineRule="atLeast"/>
            </w:pPr>
            <w:r>
              <w:rPr>
                <w:rFonts w:hint="eastAsia"/>
              </w:rPr>
              <w:t>环境保护税</w:t>
            </w:r>
          </w:p>
        </w:tc>
        <w:tc>
          <w:tcPr>
            <w:tcW w:w="1697" w:type="pct"/>
          </w:tcPr>
          <w:p w:rsidR="00156DD6" w:rsidRDefault="00D51F5F">
            <w:pPr>
              <w:autoSpaceDE w:val="0"/>
              <w:autoSpaceDN w:val="0"/>
              <w:adjustRightInd w:val="0"/>
              <w:snapToGrid w:val="0"/>
              <w:spacing w:line="240" w:lineRule="atLeast"/>
              <w:jc w:val="right"/>
            </w:pPr>
            <w:r>
              <w:t xml:space="preserve"> 188,184.78 </w:t>
            </w:r>
          </w:p>
        </w:tc>
        <w:tc>
          <w:tcPr>
            <w:tcW w:w="1697" w:type="pct"/>
          </w:tcPr>
          <w:p w:rsidR="00156DD6" w:rsidRDefault="00D51F5F">
            <w:pPr>
              <w:jc w:val="right"/>
            </w:pPr>
            <w:r>
              <w:t xml:space="preserve"> 137,219.23 </w:t>
            </w:r>
          </w:p>
        </w:tc>
      </w:tr>
      <w:tr w:rsidR="00156DD6">
        <w:tc>
          <w:tcPr>
            <w:tcW w:w="1605" w:type="pct"/>
          </w:tcPr>
          <w:p w:rsidR="00156DD6" w:rsidRDefault="00D51F5F">
            <w:pPr>
              <w:autoSpaceDE w:val="0"/>
              <w:autoSpaceDN w:val="0"/>
              <w:adjustRightInd w:val="0"/>
              <w:snapToGrid w:val="0"/>
              <w:spacing w:line="240" w:lineRule="atLeast"/>
            </w:pPr>
            <w:r>
              <w:rPr>
                <w:rFonts w:hint="eastAsia"/>
              </w:rPr>
              <w:t>车船税</w:t>
            </w:r>
          </w:p>
        </w:tc>
        <w:tc>
          <w:tcPr>
            <w:tcW w:w="1697" w:type="pct"/>
          </w:tcPr>
          <w:p w:rsidR="00156DD6" w:rsidRDefault="00D51F5F">
            <w:pPr>
              <w:autoSpaceDE w:val="0"/>
              <w:autoSpaceDN w:val="0"/>
              <w:adjustRightInd w:val="0"/>
              <w:snapToGrid w:val="0"/>
              <w:spacing w:line="240" w:lineRule="atLeast"/>
              <w:jc w:val="right"/>
            </w:pPr>
            <w:r>
              <w:t xml:space="preserve"> 23,405.70 </w:t>
            </w:r>
          </w:p>
        </w:tc>
        <w:tc>
          <w:tcPr>
            <w:tcW w:w="1697" w:type="pct"/>
          </w:tcPr>
          <w:p w:rsidR="00156DD6" w:rsidRDefault="00D51F5F">
            <w:pPr>
              <w:jc w:val="right"/>
            </w:pPr>
            <w:r>
              <w:t xml:space="preserve"> 21,022.80 </w:t>
            </w:r>
          </w:p>
        </w:tc>
      </w:tr>
      <w:tr w:rsidR="00156DD6">
        <w:tc>
          <w:tcPr>
            <w:tcW w:w="1605" w:type="pct"/>
            <w:vAlign w:val="center"/>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697" w:type="pct"/>
          </w:tcPr>
          <w:p w:rsidR="00156DD6" w:rsidRDefault="00D51F5F">
            <w:pPr>
              <w:autoSpaceDE w:val="0"/>
              <w:autoSpaceDN w:val="0"/>
              <w:adjustRightInd w:val="0"/>
              <w:snapToGrid w:val="0"/>
              <w:spacing w:line="240" w:lineRule="atLeast"/>
              <w:jc w:val="right"/>
            </w:pPr>
            <w:r>
              <w:t xml:space="preserve"> 10,290,410.60 </w:t>
            </w:r>
          </w:p>
        </w:tc>
        <w:tc>
          <w:tcPr>
            <w:tcW w:w="1697" w:type="pct"/>
          </w:tcPr>
          <w:p w:rsidR="00156DD6" w:rsidRDefault="00D51F5F">
            <w:pPr>
              <w:jc w:val="right"/>
            </w:pPr>
            <w:r>
              <w:t xml:space="preserve"> 5,670,542.11 </w:t>
            </w:r>
          </w:p>
        </w:tc>
      </w:tr>
    </w:tbl>
    <w:p w:rsidR="00156DD6" w:rsidRDefault="00D51F5F">
      <w:pPr>
        <w:spacing w:before="60" w:after="60"/>
        <w:rPr>
          <w:color w:val="000000" w:themeColor="text1"/>
        </w:rPr>
      </w:pPr>
      <w:r>
        <w:rPr>
          <w:rFonts w:hint="eastAsia"/>
          <w:color w:val="000000" w:themeColor="text1"/>
        </w:rPr>
        <w:t>其他说明：</w:t>
      </w:r>
    </w:p>
    <w:sdt>
      <w:sdtPr>
        <w:rPr>
          <w:rFonts w:hint="eastAsia"/>
          <w:color w:val="000000" w:themeColor="text1"/>
        </w:rPr>
        <w:alias w:val="税金及附加说明"/>
        <w:tag w:val="_GBC_f78e413320ad4d20a3dab91dff935491"/>
        <w:id w:val="1658339514"/>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r>
        <w:rPr>
          <w:color w:val="000000" w:themeColor="text1"/>
          <w:sz w:val="21"/>
          <w:szCs w:val="22"/>
        </w:rPr>
        <w:t>销售费用</w:t>
      </w:r>
    </w:p>
    <w:sdt>
      <w:sdtPr>
        <w:rPr>
          <w:color w:val="000000" w:themeColor="text1"/>
        </w:rPr>
        <w:alias w:val="是否适用：销售费用[双击切换]"/>
        <w:tag w:val="_GBC_5302d6af48674660a2279c7c8a87bb8c"/>
        <w:id w:val="-214202572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ind w:firstLineChars="0" w:firstLine="0"/>
        <w:jc w:val="right"/>
        <w:rPr>
          <w:rFonts w:ascii="宋体" w:hAnsi="宋体"/>
          <w:color w:val="000000" w:themeColor="text1"/>
          <w:sz w:val="21"/>
        </w:rPr>
      </w:pPr>
      <w:r>
        <w:rPr>
          <w:rFonts w:ascii="宋体" w:hAnsi="宋体" w:hint="eastAsia"/>
          <w:color w:val="000000" w:themeColor="text1"/>
          <w:sz w:val="21"/>
        </w:rPr>
        <w:t>单位：</w:t>
      </w:r>
      <w:sdt>
        <w:sdtPr>
          <w:rPr>
            <w:rFonts w:ascii="宋体" w:hAnsi="宋体" w:hint="eastAsia"/>
            <w:color w:val="000000" w:themeColor="text1"/>
            <w:sz w:val="21"/>
          </w:rPr>
          <w:alias w:val="单位：销售费用"/>
          <w:tag w:val="_GBC_893203a5a3df44649aef388407d22c68"/>
          <w:id w:val="-19823719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 w:val="21"/>
            </w:rPr>
            <w:t>元</w:t>
          </w:r>
        </w:sdtContent>
      </w:sdt>
      <w:r>
        <w:rPr>
          <w:rFonts w:ascii="宋体" w:hAnsi="宋体" w:hint="eastAsia"/>
          <w:color w:val="000000" w:themeColor="text1"/>
          <w:sz w:val="21"/>
        </w:rPr>
        <w:t xml:space="preserve">  </w:t>
      </w:r>
      <w:r>
        <w:rPr>
          <w:rFonts w:ascii="宋体" w:hAnsi="宋体" w:hint="eastAsia"/>
          <w:color w:val="000000" w:themeColor="text1"/>
          <w:sz w:val="21"/>
        </w:rPr>
        <w:t>币种：</w:t>
      </w:r>
      <w:sdt>
        <w:sdtPr>
          <w:rPr>
            <w:rFonts w:ascii="宋体" w:hAnsi="宋体" w:hint="eastAsia"/>
            <w:color w:val="000000" w:themeColor="text1"/>
            <w:sz w:val="21"/>
          </w:rPr>
          <w:alias w:val="币种：销售费用"/>
          <w:tag w:val="_GBC_4954a9fca98d4f279270fb28f987aa6f"/>
          <w:id w:val="-5202481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626"/>
        <w:gridCol w:w="2359"/>
      </w:tblGrid>
      <w:tr w:rsidR="00156DD6">
        <w:sdt>
          <w:sdtPr>
            <w:tag w:val="_PLD_16c47970a3b145c98f438f3cb34ff636"/>
            <w:id w:val="-870148246"/>
          </w:sdtPr>
          <w:sdtEndPr/>
          <w:sdtContent>
            <w:tc>
              <w:tcPr>
                <w:tcW w:w="2175"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项目</w:t>
                </w:r>
              </w:p>
            </w:tc>
          </w:sdtContent>
        </w:sdt>
        <w:sdt>
          <w:sdtPr>
            <w:tag w:val="_PLD_b3ce435531054240b373e649bc9ae7a1"/>
            <w:id w:val="436642571"/>
          </w:sdtPr>
          <w:sdtEndPr/>
          <w:sdtContent>
            <w:tc>
              <w:tcPr>
                <w:tcW w:w="148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本期发生额</w:t>
                </w:r>
              </w:p>
            </w:tc>
          </w:sdtContent>
        </w:sdt>
        <w:sdt>
          <w:sdtPr>
            <w:tag w:val="_PLD_9480cd5806624557b975b5d0ce06575b"/>
            <w:id w:val="1191568972"/>
          </w:sdtPr>
          <w:sdtEndPr/>
          <w:sdtContent>
            <w:tc>
              <w:tcPr>
                <w:tcW w:w="133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上期发生额</w:t>
                </w:r>
              </w:p>
            </w:tc>
          </w:sdtContent>
        </w:sdt>
      </w:tr>
      <w:tr w:rsidR="00156DD6">
        <w:tc>
          <w:tcPr>
            <w:tcW w:w="2175"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职工薪酬</w:t>
            </w:r>
          </w:p>
        </w:tc>
        <w:tc>
          <w:tcPr>
            <w:tcW w:w="148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27,643,281.28 </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21,701,707.06 </w:t>
            </w:r>
          </w:p>
        </w:tc>
      </w:tr>
      <w:tr w:rsidR="00156DD6">
        <w:tc>
          <w:tcPr>
            <w:tcW w:w="2175"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业务招待费</w:t>
            </w:r>
          </w:p>
        </w:tc>
        <w:tc>
          <w:tcPr>
            <w:tcW w:w="148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14,349,437.73 </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9,958,798.31 </w:t>
            </w:r>
          </w:p>
        </w:tc>
      </w:tr>
      <w:tr w:rsidR="00156DD6">
        <w:tc>
          <w:tcPr>
            <w:tcW w:w="2175"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lastRenderedPageBreak/>
              <w:t>办公费</w:t>
            </w:r>
          </w:p>
        </w:tc>
        <w:tc>
          <w:tcPr>
            <w:tcW w:w="1488" w:type="pct"/>
            <w:tcBorders>
              <w:top w:val="single" w:sz="4" w:space="0" w:color="auto"/>
              <w:left w:val="single" w:sz="4" w:space="0" w:color="auto"/>
              <w:bottom w:val="single" w:sz="4" w:space="0" w:color="auto"/>
              <w:right w:val="single" w:sz="4" w:space="0" w:color="auto"/>
            </w:tcBorders>
          </w:tcPr>
          <w:p w:rsidR="00156DD6" w:rsidRDefault="00D51F5F">
            <w:pPr>
              <w:jc w:val="right"/>
            </w:pPr>
            <w:r>
              <w:t>5,534,560.33</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t>3,142,102.77</w:t>
            </w:r>
          </w:p>
        </w:tc>
      </w:tr>
      <w:tr w:rsidR="00156DD6">
        <w:tc>
          <w:tcPr>
            <w:tcW w:w="2175"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t>投标服务费</w:t>
            </w:r>
          </w:p>
        </w:tc>
        <w:tc>
          <w:tcPr>
            <w:tcW w:w="1488" w:type="pct"/>
            <w:tcBorders>
              <w:top w:val="single" w:sz="4" w:space="0" w:color="auto"/>
              <w:left w:val="single" w:sz="4" w:space="0" w:color="auto"/>
              <w:bottom w:val="single" w:sz="4" w:space="0" w:color="auto"/>
              <w:right w:val="single" w:sz="4" w:space="0" w:color="auto"/>
            </w:tcBorders>
          </w:tcPr>
          <w:p w:rsidR="00156DD6" w:rsidRDefault="00D51F5F">
            <w:pPr>
              <w:jc w:val="right"/>
            </w:pPr>
            <w:r>
              <w:t>4,826,682.94</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t>3,859,181.41</w:t>
            </w:r>
          </w:p>
        </w:tc>
      </w:tr>
      <w:tr w:rsidR="00156DD6">
        <w:tc>
          <w:tcPr>
            <w:tcW w:w="2175"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差旅费</w:t>
            </w:r>
          </w:p>
        </w:tc>
        <w:tc>
          <w:tcPr>
            <w:tcW w:w="148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4,202,641.08 </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4,709,830.27 </w:t>
            </w:r>
          </w:p>
        </w:tc>
      </w:tr>
      <w:tr w:rsidR="00156DD6">
        <w:tc>
          <w:tcPr>
            <w:tcW w:w="2175"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其他</w:t>
            </w:r>
          </w:p>
        </w:tc>
        <w:tc>
          <w:tcPr>
            <w:tcW w:w="148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2,934,843.17 </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6,824,061.86 </w:t>
            </w:r>
          </w:p>
        </w:tc>
      </w:tr>
      <w:tr w:rsidR="00156DD6">
        <w:tc>
          <w:tcPr>
            <w:tcW w:w="2175"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148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59,491,446.53 </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50,195,681.68 </w:t>
            </w:r>
          </w:p>
        </w:tc>
      </w:tr>
    </w:tbl>
    <w:p w:rsidR="00156DD6" w:rsidRDefault="00D51F5F">
      <w:pPr>
        <w:spacing w:before="60" w:after="60"/>
        <w:rPr>
          <w:color w:val="000000" w:themeColor="text1"/>
        </w:rPr>
      </w:pPr>
      <w:r>
        <w:rPr>
          <w:rFonts w:hint="eastAsia"/>
          <w:color w:val="000000" w:themeColor="text1"/>
        </w:rPr>
        <w:t>其他说明：</w:t>
      </w:r>
    </w:p>
    <w:sdt>
      <w:sdtPr>
        <w:rPr>
          <w:color w:val="000000" w:themeColor="text1"/>
        </w:rPr>
        <w:alias w:val="销售费用的其他说明事项"/>
        <w:tag w:val="_GBC_42921bca5478449e9dd3932a8303975a"/>
        <w:id w:val="1439179441"/>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r>
        <w:rPr>
          <w:color w:val="000000" w:themeColor="text1"/>
          <w:sz w:val="21"/>
          <w:szCs w:val="22"/>
        </w:rPr>
        <w:t>管理费用</w:t>
      </w:r>
    </w:p>
    <w:sdt>
      <w:sdtPr>
        <w:rPr>
          <w:color w:val="000000" w:themeColor="text1"/>
        </w:rPr>
        <w:alias w:val="是否适用：管理费用[双击切换]"/>
        <w:tag w:val="_GBC_864c9dd9adce435698261f1da02ab8fb"/>
        <w:id w:val="62551348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管理费用"/>
          <w:tag w:val="_GBC_b8198aec3f7748d28785c1eebbf02df7"/>
          <w:id w:val="-422025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管理费用"/>
          <w:tag w:val="_GBC_f92af61f8b3b45ba9ec818ede9725428"/>
          <w:id w:val="-6788825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156DD6">
        <w:sdt>
          <w:sdtPr>
            <w:tag w:val="_PLD_249fd0c096ba421285089a0fada9d43a"/>
            <w:id w:val="-140590139"/>
          </w:sdtPr>
          <w:sdtEndPr/>
          <w:sdtContent>
            <w:tc>
              <w:tcPr>
                <w:tcW w:w="2213"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项目</w:t>
                </w:r>
              </w:p>
            </w:tc>
          </w:sdtContent>
        </w:sdt>
        <w:sdt>
          <w:sdtPr>
            <w:tag w:val="_PLD_acf5bcbf929244268be56ad5d0f3ea18"/>
            <w:id w:val="-1015376728"/>
          </w:sdtPr>
          <w:sdtEndPr/>
          <w:sdtContent>
            <w:tc>
              <w:tcPr>
                <w:tcW w:w="1439"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本期发生额</w:t>
                </w:r>
              </w:p>
            </w:tc>
          </w:sdtContent>
        </w:sdt>
        <w:sdt>
          <w:sdtPr>
            <w:tag w:val="_PLD_d37d8a59d4d74c26ac22dc33983efa29"/>
            <w:id w:val="1344602183"/>
          </w:sdtPr>
          <w:sdtEndPr/>
          <w:sdtContent>
            <w:tc>
              <w:tcPr>
                <w:tcW w:w="1348"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上期发生额</w:t>
                </w:r>
              </w:p>
            </w:tc>
          </w:sdtContent>
        </w:sdt>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29,369,803.37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22,693,782.98 </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t>折旧及摊销</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t>12,002,098.77</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t>8,598,007.47</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安全生产费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6,375,888.16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6,893,271.02 </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t>业务招待费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t>5,446,944.83</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t>2,972,006.13</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中介机构服务费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2,577,120.50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6,716,210.35 </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t>物业费用</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t>1,652,446.11</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t>1,063,608.08</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办公费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1,244,939.69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1,599,422.27 </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差旅费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837,557.06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580,309.11 </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snapToGrid w:val="0"/>
              <w:spacing w:line="240" w:lineRule="atLeast"/>
            </w:pPr>
            <w:r>
              <w:rPr>
                <w:rFonts w:hint="eastAsia"/>
              </w:rPr>
              <w:t>其他</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3,669,418.86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3,048,194.17 </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63,176,217.35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54,164,811.58 </w:t>
            </w:r>
          </w:p>
        </w:tc>
      </w:tr>
    </w:tbl>
    <w:p w:rsidR="00156DD6" w:rsidRDefault="00D51F5F">
      <w:pPr>
        <w:rPr>
          <w:color w:val="000000" w:themeColor="text1"/>
        </w:rPr>
      </w:pPr>
      <w:r>
        <w:rPr>
          <w:rFonts w:hint="eastAsia"/>
          <w:color w:val="000000" w:themeColor="text1"/>
        </w:rPr>
        <w:t>其他说明：</w:t>
      </w:r>
    </w:p>
    <w:sdt>
      <w:sdtPr>
        <w:rPr>
          <w:color w:val="000000" w:themeColor="text1"/>
        </w:rPr>
        <w:alias w:val="管理费用的其他说明事项"/>
        <w:tag w:val="_GBC_2ddba7c397f842b2a457e4f7fe020aca"/>
        <w:id w:val="-812869142"/>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bookmarkStart w:id="424" w:name="_Hlk10538261"/>
      <w:r>
        <w:rPr>
          <w:color w:val="000000" w:themeColor="text1"/>
          <w:sz w:val="21"/>
          <w:szCs w:val="22"/>
        </w:rPr>
        <w:t>研发费用</w:t>
      </w:r>
    </w:p>
    <w:sdt>
      <w:sdtPr>
        <w:rPr>
          <w:color w:val="000000" w:themeColor="text1"/>
        </w:rPr>
        <w:alias w:val="是否适用：研发费用[双击切换]"/>
        <w:tag w:val="_GBC_48b4a6beb6f54c3ba7c01af3727337bb"/>
        <w:id w:val="471523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ind w:left="420"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研发费用"/>
          <w:tag w:val="_GBC_a0292321d82f46b8823ab163b1084fea"/>
          <w:id w:val="-14066877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研发费用"/>
          <w:tag w:val="_GBC_a0b2b92cacc24641a2d69fc025b920ea"/>
          <w:id w:val="-2450319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156DD6">
        <w:sdt>
          <w:sdtPr>
            <w:tag w:val="_PLD_878c2bf88dff43e8bf48fe187921cf85"/>
            <w:id w:val="1435631383"/>
          </w:sdtPr>
          <w:sdtEndPr/>
          <w:sdtContent>
            <w:tc>
              <w:tcPr>
                <w:tcW w:w="2213"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项目</w:t>
                </w:r>
              </w:p>
            </w:tc>
          </w:sdtContent>
        </w:sdt>
        <w:sdt>
          <w:sdtPr>
            <w:tag w:val="_PLD_043e1c3ae76a497c9be9c1eef3db33c6"/>
            <w:id w:val="-1840461365"/>
          </w:sdtPr>
          <w:sdtEndPr/>
          <w:sdtContent>
            <w:tc>
              <w:tcPr>
                <w:tcW w:w="1439"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本期发生额</w:t>
                </w:r>
              </w:p>
            </w:tc>
          </w:sdtContent>
        </w:sdt>
        <w:sdt>
          <w:sdtPr>
            <w:tag w:val="_PLD_d0588c88282b4dae9e42d7ffd38d27c6"/>
            <w:id w:val="-635110705"/>
          </w:sdtPr>
          <w:sdtEndPr/>
          <w:sdtContent>
            <w:tc>
              <w:tcPr>
                <w:tcW w:w="1348"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上期发生额</w:t>
                </w:r>
              </w:p>
            </w:tc>
          </w:sdtContent>
        </w:sdt>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职工薪酬</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8,424,753.77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7,538,402.47 </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材料费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t>5,768,168.87</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t>8,079,531.12</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检测费及委外研究费用</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2,762,514.20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2,679,953.32 </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折旧费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2,213,805.27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1,633,550.48 </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燃料及动力</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158,929.24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42,223.63 </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其他</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1,236,872.69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640,113.43 </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20,565,044.04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20,613,774.45 </w:t>
            </w:r>
          </w:p>
        </w:tc>
      </w:tr>
    </w:tbl>
    <w:p w:rsidR="00156DD6" w:rsidRDefault="00D51F5F">
      <w:pPr>
        <w:rPr>
          <w:color w:val="000000" w:themeColor="text1"/>
        </w:rPr>
      </w:pPr>
      <w:r>
        <w:rPr>
          <w:rFonts w:hint="eastAsia"/>
          <w:color w:val="000000" w:themeColor="text1"/>
        </w:rPr>
        <w:t>其他说明：</w:t>
      </w:r>
    </w:p>
    <w:sdt>
      <w:sdtPr>
        <w:rPr>
          <w:color w:val="000000" w:themeColor="text1"/>
        </w:rPr>
        <w:alias w:val="研发费用其他说明"/>
        <w:tag w:val="_GBC_f09ad1e9748e43059f8db34f9454426c"/>
        <w:id w:val="170463603"/>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bookmarkEnd w:id="424"/>
    <w:p w:rsidR="00156DD6" w:rsidRDefault="00D51F5F">
      <w:pPr>
        <w:pStyle w:val="TOC6"/>
        <w:numPr>
          <w:ilvl w:val="0"/>
          <w:numId w:val="53"/>
        </w:numPr>
        <w:rPr>
          <w:color w:val="000000" w:themeColor="text1"/>
          <w:sz w:val="21"/>
          <w:szCs w:val="22"/>
        </w:rPr>
      </w:pPr>
      <w:r>
        <w:rPr>
          <w:color w:val="000000" w:themeColor="text1"/>
          <w:sz w:val="21"/>
          <w:szCs w:val="22"/>
        </w:rPr>
        <w:t>财务费用</w:t>
      </w:r>
    </w:p>
    <w:sdt>
      <w:sdtPr>
        <w:rPr>
          <w:color w:val="000000" w:themeColor="text1"/>
        </w:rPr>
        <w:alias w:val="是否适用：财务费用[双击切换]"/>
        <w:tag w:val="_GBC_699d8bdb2f1f4504a0ea4ccbc8889cfa"/>
        <w:id w:val="-134584699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费用"/>
          <w:tag w:val="_GBC_eb9e02dce68144759561a3427fb3099a"/>
          <w:id w:val="1223504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费用"/>
          <w:tag w:val="_GBC_8e992a76854b4bd0a3f5cd49b31a4604"/>
          <w:id w:val="-18067611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156DD6">
        <w:sdt>
          <w:sdtPr>
            <w:tag w:val="_PLD_c57c227174f044c4bfa2c0fda1e37156"/>
            <w:id w:val="-1485079439"/>
          </w:sdtPr>
          <w:sdtEndPr/>
          <w:sdtContent>
            <w:tc>
              <w:tcPr>
                <w:tcW w:w="2213"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项目</w:t>
                </w:r>
              </w:p>
            </w:tc>
          </w:sdtContent>
        </w:sdt>
        <w:sdt>
          <w:sdtPr>
            <w:tag w:val="_PLD_d7b23aa0bcb6433894875c858270ab7f"/>
            <w:id w:val="1362318951"/>
          </w:sdtPr>
          <w:sdtEndPr/>
          <w:sdtContent>
            <w:tc>
              <w:tcPr>
                <w:tcW w:w="1439"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本期发生额</w:t>
                </w:r>
              </w:p>
            </w:tc>
          </w:sdtContent>
        </w:sdt>
        <w:sdt>
          <w:sdtPr>
            <w:tag w:val="_PLD_d79245f93e3d475b953b3e44bb1c6425"/>
            <w:id w:val="162826583"/>
          </w:sdtPr>
          <w:sdtEndPr/>
          <w:sdtContent>
            <w:tc>
              <w:tcPr>
                <w:tcW w:w="1348"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上期发生额</w:t>
                </w:r>
              </w:p>
            </w:tc>
          </w:sdtContent>
        </w:sdt>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利息支出</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26,894,497.85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19,499,842.54 </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减：利息收入</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18,082,394.86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17,601,283.27 </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汇兑损益</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182,450.58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-2,605,308.90 </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snapToGrid w:val="0"/>
              <w:spacing w:line="240" w:lineRule="atLeast"/>
            </w:pPr>
            <w:r>
              <w:t>手续费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622,818.28 </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672,049.12 </w:t>
            </w:r>
          </w:p>
        </w:tc>
      </w:tr>
      <w:tr w:rsidR="00156DD6">
        <w:tc>
          <w:tcPr>
            <w:tcW w:w="2213"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9,617,371.85</w:t>
            </w:r>
          </w:p>
        </w:tc>
        <w:tc>
          <w:tcPr>
            <w:tcW w:w="1348"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-34,700.51 </w:t>
            </w:r>
          </w:p>
        </w:tc>
      </w:tr>
    </w:tbl>
    <w:p w:rsidR="00156DD6" w:rsidRDefault="00D51F5F">
      <w:pPr>
        <w:rPr>
          <w:color w:val="000000" w:themeColor="text1"/>
        </w:rPr>
      </w:pPr>
      <w:r>
        <w:rPr>
          <w:rFonts w:hint="eastAsia"/>
          <w:color w:val="000000" w:themeColor="text1"/>
        </w:rPr>
        <w:t>其他说明：</w:t>
      </w:r>
    </w:p>
    <w:sdt>
      <w:sdtPr>
        <w:rPr>
          <w:color w:val="000000" w:themeColor="text1"/>
        </w:rPr>
        <w:alias w:val="财务费用的其他说明事项"/>
        <w:tag w:val="_GBC_5bd15645edcc4a51b94ddca48ee9be98"/>
        <w:id w:val="518895994"/>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r>
        <w:rPr>
          <w:color w:val="000000" w:themeColor="text1"/>
          <w:sz w:val="21"/>
          <w:szCs w:val="22"/>
        </w:rPr>
        <w:lastRenderedPageBreak/>
        <w:t>其他收益</w:t>
      </w:r>
    </w:p>
    <w:sdt>
      <w:sdtPr>
        <w:rPr>
          <w:color w:val="000000" w:themeColor="text1"/>
        </w:rPr>
        <w:alias w:val="是否适用：财务报表其他收益[双击切换]"/>
        <w:tag w:val="_GBC_86fde94b0d4e4b1f997adc6f063babf7"/>
        <w:id w:val="-18568416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rFonts w:cstheme="minorBidi"/>
          <w:color w:val="000000" w:themeColor="text1"/>
          <w:szCs w:val="22"/>
        </w:rPr>
      </w:pPr>
      <w:r>
        <w:rPr>
          <w:rFonts w:cstheme="minorBidi"/>
          <w:color w:val="000000" w:themeColor="text1"/>
          <w:szCs w:val="22"/>
        </w:rPr>
        <w:t>单位：</w:t>
      </w:r>
      <w:sdt>
        <w:sdtPr>
          <w:rPr>
            <w:rFonts w:cstheme="minorBidi"/>
            <w:color w:val="000000" w:themeColor="text1"/>
            <w:szCs w:val="22"/>
          </w:rPr>
          <w:alias w:val="单位：财务报表其他收益明细"/>
          <w:tag w:val="_GBC_12755937dc3b48a489abda6cc5cda8d6"/>
          <w:id w:val="120706853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theme="minorBidi"/>
              <w:color w:val="000000" w:themeColor="text1"/>
              <w:szCs w:val="22"/>
            </w:rPr>
            <w:t>元</w:t>
          </w:r>
        </w:sdtContent>
      </w:sdt>
      <w:r>
        <w:rPr>
          <w:rFonts w:cstheme="minorBidi"/>
          <w:color w:val="000000" w:themeColor="text1"/>
          <w:szCs w:val="22"/>
        </w:rPr>
        <w:t xml:space="preserve">  </w:t>
      </w:r>
      <w:r>
        <w:rPr>
          <w:rFonts w:cstheme="minorBidi"/>
          <w:color w:val="000000" w:themeColor="text1"/>
          <w:szCs w:val="22"/>
        </w:rPr>
        <w:t>币种：</w:t>
      </w:r>
      <w:sdt>
        <w:sdtPr>
          <w:rPr>
            <w:rFonts w:cstheme="minorBidi"/>
            <w:color w:val="000000" w:themeColor="text1"/>
            <w:szCs w:val="22"/>
          </w:rPr>
          <w:alias w:val="币种：财务报表其他收益明细"/>
          <w:tag w:val="_GBC_3daaaf66c73e4201b067378f3d17e13f"/>
          <w:id w:val="-18626676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theme="minorBidi"/>
              <w:color w:val="000000" w:themeColor="text1"/>
              <w:szCs w:val="22"/>
            </w:rPr>
            <w:t>人民币</w:t>
          </w:r>
        </w:sdtContent>
      </w:sdt>
    </w:p>
    <w:tbl>
      <w:tblPr>
        <w:tblStyle w:val="g2"/>
        <w:tblW w:w="0" w:type="auto"/>
        <w:tblInd w:w="0" w:type="dxa"/>
        <w:tblLook w:val="04A0" w:firstRow="1" w:lastRow="0" w:firstColumn="1" w:lastColumn="0" w:noHBand="0" w:noVBand="1"/>
      </w:tblPr>
      <w:tblGrid>
        <w:gridCol w:w="3971"/>
        <w:gridCol w:w="2490"/>
        <w:gridCol w:w="2362"/>
      </w:tblGrid>
      <w:tr w:rsidR="00156DD6">
        <w:tc>
          <w:tcPr>
            <w:tcW w:w="3971" w:type="dxa"/>
          </w:tcPr>
          <w:sdt>
            <w:sdtPr>
              <w:tag w:val="_PLD_92b33ced889140b7b84894c5f486f4e6"/>
              <w:id w:val="2107610679"/>
            </w:sdtPr>
            <w:sdtEndPr/>
            <w:sdtContent>
              <w:p w:rsidR="00156DD6" w:rsidRDefault="00D51F5F">
                <w:pPr>
                  <w:jc w:val="center"/>
                  <w:rPr>
                    <w:color w:val="000000" w:themeColor="text1"/>
                  </w:rPr>
                </w:pPr>
                <w:r>
                  <w:rPr>
                    <w:rFonts w:hint="eastAsia"/>
                    <w:color w:val="000000" w:themeColor="text1"/>
                  </w:rPr>
                  <w:t>按性质分类</w:t>
                </w:r>
              </w:p>
            </w:sdtContent>
          </w:sdt>
        </w:tc>
        <w:tc>
          <w:tcPr>
            <w:tcW w:w="2490" w:type="dxa"/>
          </w:tcPr>
          <w:sdt>
            <w:sdtPr>
              <w:tag w:val="_PLD_73b3023fbaed423bbb8ca1ec42a2eaf9"/>
              <w:id w:val="284169096"/>
            </w:sdtPr>
            <w:sdtEndPr/>
            <w:sdtContent>
              <w:p w:rsidR="00156DD6" w:rsidRDefault="00D51F5F">
                <w:pPr>
                  <w:jc w:val="center"/>
                  <w:rPr>
                    <w:color w:val="000000" w:themeColor="text1"/>
                  </w:rPr>
                </w:pPr>
                <w:r>
                  <w:rPr>
                    <w:rFonts w:hint="eastAsia"/>
                    <w:color w:val="000000" w:themeColor="text1"/>
                  </w:rPr>
                  <w:t>本期发生额</w:t>
                </w:r>
              </w:p>
            </w:sdtContent>
          </w:sdt>
        </w:tc>
        <w:tc>
          <w:tcPr>
            <w:tcW w:w="2362" w:type="dxa"/>
          </w:tcPr>
          <w:sdt>
            <w:sdtPr>
              <w:tag w:val="_PLD_9f39351a333c497da22a0955aff07b4c"/>
              <w:id w:val="-1633241985"/>
            </w:sdtPr>
            <w:sdtEndPr/>
            <w:sdtContent>
              <w:p w:rsidR="00156DD6" w:rsidRDefault="00D51F5F">
                <w:pPr>
                  <w:jc w:val="center"/>
                  <w:rPr>
                    <w:color w:val="000000" w:themeColor="text1"/>
                  </w:rPr>
                </w:pPr>
                <w:r>
                  <w:rPr>
                    <w:rFonts w:hint="eastAsia"/>
                    <w:color w:val="000000" w:themeColor="text1"/>
                  </w:rPr>
                  <w:t>上期发生额</w:t>
                </w:r>
              </w:p>
            </w:sdtContent>
          </w:sdt>
        </w:tc>
      </w:tr>
      <w:tr w:rsidR="00156DD6">
        <w:tc>
          <w:tcPr>
            <w:tcW w:w="3971" w:type="dxa"/>
          </w:tcPr>
          <w:p w:rsidR="00156DD6" w:rsidRDefault="00D51F5F">
            <w:pPr>
              <w:autoSpaceDE w:val="0"/>
              <w:autoSpaceDN w:val="0"/>
              <w:adjustRightInd w:val="0"/>
              <w:snapToGrid w:val="0"/>
              <w:spacing w:line="240" w:lineRule="atLeast"/>
            </w:pPr>
            <w:r>
              <w:t>与资产相关的政府补助</w:t>
            </w:r>
          </w:p>
        </w:tc>
        <w:tc>
          <w:tcPr>
            <w:tcW w:w="2490" w:type="dxa"/>
          </w:tcPr>
          <w:p w:rsidR="00156DD6" w:rsidRDefault="00D51F5F">
            <w:pPr>
              <w:jc w:val="right"/>
            </w:pPr>
            <w:r>
              <w:t xml:space="preserve"> 3,384,091.14 </w:t>
            </w:r>
          </w:p>
        </w:tc>
        <w:tc>
          <w:tcPr>
            <w:tcW w:w="2362" w:type="dxa"/>
          </w:tcPr>
          <w:p w:rsidR="00156DD6" w:rsidRDefault="00D51F5F">
            <w:pPr>
              <w:jc w:val="right"/>
            </w:pPr>
            <w:r>
              <w:t xml:space="preserve"> 2,940,912.45 </w:t>
            </w:r>
          </w:p>
        </w:tc>
      </w:tr>
      <w:tr w:rsidR="00156DD6">
        <w:tc>
          <w:tcPr>
            <w:tcW w:w="3971" w:type="dxa"/>
          </w:tcPr>
          <w:p w:rsidR="00156DD6" w:rsidRDefault="00D51F5F">
            <w:pPr>
              <w:autoSpaceDE w:val="0"/>
              <w:autoSpaceDN w:val="0"/>
              <w:adjustRightInd w:val="0"/>
              <w:snapToGrid w:val="0"/>
              <w:spacing w:line="240" w:lineRule="atLeast"/>
            </w:pPr>
            <w:r>
              <w:t>与收益相关的政府补助</w:t>
            </w:r>
          </w:p>
        </w:tc>
        <w:tc>
          <w:tcPr>
            <w:tcW w:w="2490" w:type="dxa"/>
          </w:tcPr>
          <w:p w:rsidR="00156DD6" w:rsidRDefault="00D51F5F">
            <w:pPr>
              <w:jc w:val="right"/>
            </w:pPr>
            <w:r>
              <w:t xml:space="preserve"> 4,001,045.46 </w:t>
            </w:r>
          </w:p>
        </w:tc>
        <w:tc>
          <w:tcPr>
            <w:tcW w:w="2362" w:type="dxa"/>
          </w:tcPr>
          <w:p w:rsidR="00156DD6" w:rsidRDefault="00D51F5F">
            <w:pPr>
              <w:jc w:val="right"/>
            </w:pPr>
            <w:r>
              <w:t xml:space="preserve"> 40,581,629.38 </w:t>
            </w:r>
          </w:p>
        </w:tc>
      </w:tr>
      <w:tr w:rsidR="00156DD6">
        <w:tc>
          <w:tcPr>
            <w:tcW w:w="3971" w:type="dxa"/>
          </w:tcPr>
          <w:p w:rsidR="00156DD6" w:rsidRDefault="00D51F5F">
            <w:pPr>
              <w:autoSpaceDE w:val="0"/>
              <w:autoSpaceDN w:val="0"/>
              <w:adjustRightInd w:val="0"/>
              <w:snapToGrid w:val="0"/>
              <w:spacing w:line="240" w:lineRule="atLeast"/>
            </w:pPr>
            <w:r>
              <w:t>增值税加计抵减</w:t>
            </w:r>
          </w:p>
        </w:tc>
        <w:tc>
          <w:tcPr>
            <w:tcW w:w="2490" w:type="dxa"/>
          </w:tcPr>
          <w:p w:rsidR="00156DD6" w:rsidRDefault="00D51F5F">
            <w:pPr>
              <w:jc w:val="right"/>
            </w:pPr>
            <w:r>
              <w:t xml:space="preserve"> 8,821,964.04 </w:t>
            </w:r>
          </w:p>
        </w:tc>
        <w:tc>
          <w:tcPr>
            <w:tcW w:w="2362" w:type="dxa"/>
          </w:tcPr>
          <w:p w:rsidR="00156DD6" w:rsidRDefault="00D51F5F">
            <w:pPr>
              <w:jc w:val="right"/>
            </w:pPr>
            <w:r>
              <w:t xml:space="preserve"> 8,428,670.79 </w:t>
            </w:r>
          </w:p>
        </w:tc>
      </w:tr>
      <w:tr w:rsidR="00156DD6">
        <w:tc>
          <w:tcPr>
            <w:tcW w:w="3971" w:type="dxa"/>
          </w:tcPr>
          <w:p w:rsidR="00156DD6" w:rsidRDefault="00D51F5F">
            <w:pPr>
              <w:autoSpaceDE w:val="0"/>
              <w:autoSpaceDN w:val="0"/>
              <w:adjustRightInd w:val="0"/>
              <w:snapToGrid w:val="0"/>
              <w:spacing w:line="240" w:lineRule="atLeast"/>
            </w:pPr>
            <w:r>
              <w:t>代扣个人所得税手续费返还</w:t>
            </w:r>
          </w:p>
        </w:tc>
        <w:tc>
          <w:tcPr>
            <w:tcW w:w="2490" w:type="dxa"/>
          </w:tcPr>
          <w:p w:rsidR="00156DD6" w:rsidRDefault="00D51F5F">
            <w:pPr>
              <w:jc w:val="right"/>
            </w:pPr>
            <w:r>
              <w:t xml:space="preserve"> 204,486.41 </w:t>
            </w:r>
          </w:p>
        </w:tc>
        <w:tc>
          <w:tcPr>
            <w:tcW w:w="2362" w:type="dxa"/>
          </w:tcPr>
          <w:p w:rsidR="00156DD6" w:rsidRDefault="00D51F5F">
            <w:pPr>
              <w:jc w:val="right"/>
            </w:pPr>
            <w:r>
              <w:t xml:space="preserve"> 148,930.25 </w:t>
            </w:r>
          </w:p>
        </w:tc>
      </w:tr>
      <w:tr w:rsidR="00156DD6">
        <w:tc>
          <w:tcPr>
            <w:tcW w:w="3971" w:type="dxa"/>
          </w:tcPr>
          <w:p w:rsidR="00156DD6" w:rsidRDefault="00D51F5F">
            <w:pPr>
              <w:jc w:val="center"/>
              <w:rPr>
                <w:color w:val="000000" w:themeColor="text1"/>
              </w:rPr>
            </w:pPr>
            <w:r>
              <w:rPr>
                <w:rFonts w:hint="eastAsia"/>
                <w:color w:val="000000" w:themeColor="text1"/>
              </w:rPr>
              <w:t>合计</w:t>
            </w:r>
          </w:p>
        </w:tc>
        <w:tc>
          <w:tcPr>
            <w:tcW w:w="2490" w:type="dxa"/>
          </w:tcPr>
          <w:p w:rsidR="00156DD6" w:rsidRDefault="00D51F5F">
            <w:pPr>
              <w:jc w:val="right"/>
            </w:pPr>
            <w:r>
              <w:t xml:space="preserve"> 16,411,587.05 </w:t>
            </w:r>
          </w:p>
        </w:tc>
        <w:tc>
          <w:tcPr>
            <w:tcW w:w="2362" w:type="dxa"/>
          </w:tcPr>
          <w:p w:rsidR="00156DD6" w:rsidRDefault="00D51F5F">
            <w:pPr>
              <w:jc w:val="right"/>
            </w:pPr>
            <w:r>
              <w:t xml:space="preserve"> 52,100,142.87 </w:t>
            </w:r>
          </w:p>
        </w:tc>
      </w:tr>
    </w:tbl>
    <w:p w:rsidR="00156DD6" w:rsidRDefault="00D51F5F">
      <w:pPr>
        <w:rPr>
          <w:color w:val="000000" w:themeColor="text1"/>
        </w:rPr>
      </w:pPr>
      <w:r>
        <w:rPr>
          <w:rFonts w:hint="eastAsia"/>
          <w:color w:val="000000" w:themeColor="text1"/>
        </w:rPr>
        <w:t>其他</w:t>
      </w:r>
      <w:r>
        <w:rPr>
          <w:color w:val="000000" w:themeColor="text1"/>
        </w:rPr>
        <w:t>说明：</w:t>
      </w:r>
    </w:p>
    <w:sdt>
      <w:sdtPr>
        <w:rPr>
          <w:color w:val="000000" w:themeColor="text1"/>
        </w:rPr>
        <w:alias w:val="财务报表其他收益其他说明"/>
        <w:tag w:val="_GBC_9489a93c45754a9ea78d3a872093a735"/>
        <w:id w:val="-953486689"/>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bookmarkStart w:id="425" w:name="_Hlk11857276"/>
      <w:r>
        <w:rPr>
          <w:color w:val="000000" w:themeColor="text1"/>
          <w:sz w:val="21"/>
          <w:szCs w:val="22"/>
        </w:rPr>
        <w:t>投资收益</w:t>
      </w:r>
    </w:p>
    <w:sdt>
      <w:sdtPr>
        <w:rPr>
          <w:color w:val="000000" w:themeColor="text1"/>
        </w:rPr>
        <w:alias w:val="是否适用：投资收益[双击切换]"/>
        <w:tag w:val="_GBC_39356fd9dd9e4f5497d61d781210b2fe"/>
        <w:id w:val="103237517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b/>
          <w:color w:val="000000" w:themeColor="text1"/>
        </w:rPr>
      </w:pPr>
      <w:bookmarkStart w:id="426" w:name="_Hlk10538462"/>
      <w:r>
        <w:rPr>
          <w:color w:val="000000" w:themeColor="text1"/>
        </w:rPr>
        <w:t>单位</w:t>
      </w:r>
      <w:r>
        <w:rPr>
          <w:rFonts w:hint="eastAsia"/>
          <w:color w:val="000000" w:themeColor="text1"/>
        </w:rPr>
        <w:t>：</w:t>
      </w:r>
      <w:sdt>
        <w:sdtPr>
          <w:rPr>
            <w:rFonts w:hint="eastAsia"/>
            <w:color w:val="000000" w:themeColor="text1"/>
          </w:rPr>
          <w:alias w:val="单位：财务附注：会计报表中的投资收益项目增加"/>
          <w:tag w:val="_GBC_8785b82a02ca4b0db1de3227128775b4"/>
          <w:id w:val="7654986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w:t>
      </w:r>
      <w:r>
        <w:rPr>
          <w:color w:val="000000" w:themeColor="text1"/>
        </w:rPr>
        <w:t>币种</w:t>
      </w:r>
      <w:r>
        <w:rPr>
          <w:rFonts w:hint="eastAsia"/>
          <w:color w:val="000000" w:themeColor="text1"/>
        </w:rPr>
        <w:t>：</w:t>
      </w:r>
      <w:sdt>
        <w:sdtPr>
          <w:rPr>
            <w:rFonts w:hint="eastAsia"/>
            <w:color w:val="000000" w:themeColor="text1"/>
          </w:rPr>
          <w:alias w:val="币种：财务附注：会计报表中的投资收益项目增加"/>
          <w:tag w:val="_GBC_c4394dc445a94e9a8a4b83889c79fcb1"/>
          <w:id w:val="20322941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506"/>
        <w:gridCol w:w="2636"/>
      </w:tblGrid>
      <w:tr w:rsidR="00156DD6">
        <w:bookmarkStart w:id="427" w:name="OLE_LINK14" w:displacedByCustomXml="next"/>
        <w:sdt>
          <w:sdtPr>
            <w:tag w:val="_PLD_2fef67a5db2c453288257a2dfe03fd6e"/>
            <w:id w:val="-1774627201"/>
          </w:sdtPr>
          <w:sdtEndPr/>
          <w:sdtContent>
            <w:tc>
              <w:tcPr>
                <w:tcW w:w="2086" w:type="pct"/>
                <w:vAlign w:val="center"/>
              </w:tcPr>
              <w:p w:rsidR="00156DD6" w:rsidRDefault="00D51F5F">
                <w:pPr>
                  <w:ind w:left="420" w:hanging="420"/>
                  <w:jc w:val="center"/>
                  <w:rPr>
                    <w:color w:val="000000" w:themeColor="text1"/>
                  </w:rPr>
                </w:pPr>
                <w:r>
                  <w:rPr>
                    <w:rFonts w:hint="eastAsia"/>
                    <w:color w:val="000000" w:themeColor="text1"/>
                  </w:rPr>
                  <w:t>项目</w:t>
                </w:r>
              </w:p>
            </w:tc>
          </w:sdtContent>
        </w:sdt>
        <w:sdt>
          <w:sdtPr>
            <w:tag w:val="_PLD_3f927d0ff25c47abb0f9b18794554af6"/>
            <w:id w:val="-1777941089"/>
          </w:sdtPr>
          <w:sdtEndPr/>
          <w:sdtContent>
            <w:tc>
              <w:tcPr>
                <w:tcW w:w="1420" w:type="pct"/>
                <w:vAlign w:val="center"/>
              </w:tcPr>
              <w:p w:rsidR="00156DD6" w:rsidRDefault="00D51F5F">
                <w:pPr>
                  <w:jc w:val="center"/>
                  <w:rPr>
                    <w:color w:val="000000" w:themeColor="text1"/>
                  </w:rPr>
                </w:pPr>
                <w:r>
                  <w:rPr>
                    <w:rFonts w:hint="eastAsia"/>
                    <w:color w:val="000000" w:themeColor="text1"/>
                  </w:rPr>
                  <w:t>本期发生额</w:t>
                </w:r>
              </w:p>
            </w:tc>
          </w:sdtContent>
        </w:sdt>
        <w:sdt>
          <w:sdtPr>
            <w:tag w:val="_PLD_a6cbfed1438f48b7947079a5821a9eba"/>
            <w:id w:val="-583064919"/>
          </w:sdtPr>
          <w:sdtEndPr/>
          <w:sdtContent>
            <w:tc>
              <w:tcPr>
                <w:tcW w:w="1494" w:type="pct"/>
                <w:vAlign w:val="center"/>
              </w:tcPr>
              <w:p w:rsidR="00156DD6" w:rsidRDefault="00D51F5F">
                <w:pPr>
                  <w:jc w:val="center"/>
                  <w:rPr>
                    <w:color w:val="000000" w:themeColor="text1"/>
                  </w:rPr>
                </w:pPr>
                <w:r>
                  <w:rPr>
                    <w:rFonts w:hint="eastAsia"/>
                    <w:color w:val="000000" w:themeColor="text1"/>
                  </w:rPr>
                  <w:t>上期发生额</w:t>
                </w:r>
              </w:p>
            </w:tc>
          </w:sdtContent>
        </w:sdt>
      </w:tr>
      <w:tr w:rsidR="00156DD6">
        <w:tc>
          <w:tcPr>
            <w:tcW w:w="2086" w:type="pct"/>
          </w:tcPr>
          <w:p w:rsidR="00156DD6" w:rsidRDefault="00D51F5F">
            <w:pPr>
              <w:rPr>
                <w:color w:val="000000" w:themeColor="text1"/>
              </w:rPr>
            </w:pPr>
            <w:r>
              <w:rPr>
                <w:rFonts w:hint="eastAsia"/>
                <w:color w:val="000000" w:themeColor="text1"/>
              </w:rPr>
              <w:t>权益法核算的长期股权投资收益</w:t>
            </w:r>
          </w:p>
        </w:tc>
        <w:tc>
          <w:tcPr>
            <w:tcW w:w="1420" w:type="pct"/>
            <w:vAlign w:val="center"/>
          </w:tcPr>
          <w:p w:rsidR="00156DD6" w:rsidRDefault="00D51F5F">
            <w:pPr>
              <w:jc w:val="right"/>
            </w:pPr>
            <w:r>
              <w:t xml:space="preserve"> -1,373,937.85 </w:t>
            </w:r>
          </w:p>
        </w:tc>
        <w:tc>
          <w:tcPr>
            <w:tcW w:w="1494" w:type="pct"/>
            <w:vAlign w:val="center"/>
          </w:tcPr>
          <w:p w:rsidR="00156DD6" w:rsidRDefault="00D51F5F">
            <w:pPr>
              <w:jc w:val="right"/>
            </w:pPr>
            <w:r>
              <w:t xml:space="preserve"> -74,502.67 </w:t>
            </w:r>
          </w:p>
        </w:tc>
      </w:tr>
      <w:tr w:rsidR="00156DD6">
        <w:tc>
          <w:tcPr>
            <w:tcW w:w="2086" w:type="pct"/>
          </w:tcPr>
          <w:p w:rsidR="00156DD6" w:rsidRDefault="00D51F5F">
            <w:pPr>
              <w:rPr>
                <w:color w:val="000000" w:themeColor="text1"/>
              </w:rPr>
            </w:pPr>
            <w:r>
              <w:rPr>
                <w:rFonts w:hint="eastAsia"/>
                <w:color w:val="000000" w:themeColor="text1"/>
              </w:rPr>
              <w:t>其他权益工具投资在持有期间取得的股利收入</w:t>
            </w:r>
          </w:p>
        </w:tc>
        <w:tc>
          <w:tcPr>
            <w:tcW w:w="1420" w:type="pct"/>
            <w:vAlign w:val="center"/>
          </w:tcPr>
          <w:p w:rsidR="00156DD6" w:rsidRDefault="00D51F5F">
            <w:pPr>
              <w:jc w:val="right"/>
            </w:pPr>
            <w:r>
              <w:rPr>
                <w:rFonts w:hint="eastAsia"/>
              </w:rPr>
              <w:t>790,567.47</w:t>
            </w:r>
          </w:p>
        </w:tc>
        <w:tc>
          <w:tcPr>
            <w:tcW w:w="1494" w:type="pct"/>
            <w:vAlign w:val="center"/>
          </w:tcPr>
          <w:p w:rsidR="00156DD6" w:rsidRDefault="00156DD6">
            <w:pPr>
              <w:jc w:val="right"/>
            </w:pPr>
          </w:p>
        </w:tc>
      </w:tr>
      <w:tr w:rsidR="00156DD6">
        <w:tc>
          <w:tcPr>
            <w:tcW w:w="2086" w:type="pct"/>
          </w:tcPr>
          <w:p w:rsidR="00156DD6" w:rsidRDefault="00D51F5F">
            <w:pPr>
              <w:rPr>
                <w:color w:val="000000" w:themeColor="text1"/>
              </w:rPr>
            </w:pPr>
            <w:r>
              <w:rPr>
                <w:rFonts w:hint="eastAsia"/>
                <w:color w:val="000000" w:themeColor="text1"/>
              </w:rPr>
              <w:t>处置交易性金融资产取得的投资收益</w:t>
            </w:r>
          </w:p>
        </w:tc>
        <w:tc>
          <w:tcPr>
            <w:tcW w:w="1420" w:type="pct"/>
            <w:vAlign w:val="center"/>
          </w:tcPr>
          <w:p w:rsidR="00156DD6" w:rsidRDefault="00D51F5F">
            <w:pPr>
              <w:jc w:val="right"/>
            </w:pPr>
            <w:r>
              <w:t>70,897.54</w:t>
            </w:r>
          </w:p>
        </w:tc>
        <w:tc>
          <w:tcPr>
            <w:tcW w:w="1494" w:type="pct"/>
            <w:vAlign w:val="center"/>
          </w:tcPr>
          <w:p w:rsidR="00156DD6" w:rsidRDefault="00156DD6">
            <w:pPr>
              <w:jc w:val="right"/>
            </w:pPr>
          </w:p>
        </w:tc>
      </w:tr>
      <w:tr w:rsidR="00156DD6">
        <w:tc>
          <w:tcPr>
            <w:tcW w:w="2086" w:type="pct"/>
            <w:vAlign w:val="center"/>
          </w:tcPr>
          <w:p w:rsidR="00156DD6" w:rsidRDefault="00D51F5F">
            <w:pPr>
              <w:jc w:val="center"/>
              <w:rPr>
                <w:color w:val="000000" w:themeColor="text1"/>
              </w:rPr>
            </w:pPr>
            <w:r>
              <w:rPr>
                <w:rFonts w:hint="eastAsia"/>
                <w:color w:val="000000" w:themeColor="text1"/>
              </w:rPr>
              <w:t>合计</w:t>
            </w:r>
          </w:p>
        </w:tc>
        <w:tc>
          <w:tcPr>
            <w:tcW w:w="1420" w:type="pct"/>
            <w:vAlign w:val="center"/>
          </w:tcPr>
          <w:p w:rsidR="00156DD6" w:rsidRDefault="00D51F5F">
            <w:pPr>
              <w:jc w:val="right"/>
            </w:pPr>
            <w:r>
              <w:t xml:space="preserve"> </w:t>
            </w:r>
            <w:r>
              <w:rPr>
                <w:rFonts w:hint="eastAsia"/>
              </w:rPr>
              <w:t xml:space="preserve"> -512,472.84 </w:t>
            </w:r>
            <w:r>
              <w:t xml:space="preserve"> </w:t>
            </w:r>
          </w:p>
        </w:tc>
        <w:tc>
          <w:tcPr>
            <w:tcW w:w="1494" w:type="pct"/>
            <w:vAlign w:val="center"/>
          </w:tcPr>
          <w:p w:rsidR="00156DD6" w:rsidRDefault="00D51F5F">
            <w:pPr>
              <w:jc w:val="right"/>
            </w:pPr>
            <w:r>
              <w:t xml:space="preserve"> -74,502.67 </w:t>
            </w:r>
          </w:p>
        </w:tc>
      </w:tr>
    </w:tbl>
    <w:bookmarkEnd w:id="426"/>
    <w:bookmarkEnd w:id="427"/>
    <w:p w:rsidR="00156DD6" w:rsidRDefault="00D51F5F">
      <w:pPr>
        <w:spacing w:before="60" w:after="60" w:line="360" w:lineRule="exact"/>
        <w:rPr>
          <w:color w:val="000000" w:themeColor="text1"/>
        </w:rPr>
      </w:pPr>
      <w:r>
        <w:rPr>
          <w:rFonts w:hint="eastAsia"/>
          <w:color w:val="000000" w:themeColor="text1"/>
        </w:rPr>
        <w:t>其他说明：</w:t>
      </w:r>
    </w:p>
    <w:sdt>
      <w:sdtPr>
        <w:rPr>
          <w:rFonts w:hint="eastAsia"/>
          <w:color w:val="000000" w:themeColor="text1"/>
        </w:rPr>
        <w:alias w:val="投资收益说明"/>
        <w:tag w:val="_GBC_911712f239a14e98b4c6c89180ceef27"/>
        <w:id w:val="-71819451"/>
        <w:placeholder>
          <w:docPart w:val="GBC22222222222222222222222222222"/>
        </w:placeholder>
      </w:sdtPr>
      <w:sdtEndPr/>
      <w:sdtContent>
        <w:p w:rsidR="00156DD6" w:rsidRDefault="00D51F5F">
          <w:pPr>
            <w:autoSpaceDE w:val="0"/>
            <w:autoSpaceDN w:val="0"/>
            <w:adjustRightInd w:val="0"/>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bookmarkStart w:id="428" w:name="_Hlk10538831"/>
      <w:bookmarkEnd w:id="425"/>
      <w:r>
        <w:rPr>
          <w:color w:val="000000" w:themeColor="text1"/>
          <w:sz w:val="21"/>
          <w:szCs w:val="22"/>
        </w:rPr>
        <w:t>净敞口套期收益</w:t>
      </w:r>
    </w:p>
    <w:sdt>
      <w:sdtPr>
        <w:rPr>
          <w:color w:val="000000" w:themeColor="text1"/>
        </w:rPr>
        <w:alias w:val="是否适用：净敞口套期收益[双击切换]"/>
        <w:tag w:val="_GBC_33e106b71ec640cd9126570421557bda"/>
        <w:id w:val="-12069056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429" w:name="_Hlk10538896"/>
      <w:bookmarkEnd w:id="428"/>
      <w:r>
        <w:rPr>
          <w:color w:val="000000" w:themeColor="text1"/>
          <w:sz w:val="21"/>
          <w:szCs w:val="22"/>
        </w:rPr>
        <w:t>公允价值变动收益</w:t>
      </w:r>
    </w:p>
    <w:sdt>
      <w:sdtPr>
        <w:rPr>
          <w:color w:val="000000" w:themeColor="text1"/>
        </w:rPr>
        <w:alias w:val="是否适用：公允价值变动收益[双击切换]"/>
        <w:tag w:val="_GBC_21669fdeb74c4273a55facece1a56109"/>
        <w:id w:val="-52796094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bookmarkStart w:id="430" w:name="_Hlk167969990"/>
      <w:bookmarkEnd w:id="429"/>
      <w:r>
        <w:rPr>
          <w:color w:val="000000" w:themeColor="text1"/>
          <w:sz w:val="21"/>
          <w:szCs w:val="22"/>
        </w:rPr>
        <w:t>信用减值损失</w:t>
      </w:r>
    </w:p>
    <w:sdt>
      <w:sdtPr>
        <w:rPr>
          <w:color w:val="000000" w:themeColor="text1"/>
        </w:rPr>
        <w:alias w:val="是否适用：信用减值损失[双击切换]"/>
        <w:tag w:val="_GBC_7f51453d7f2c4601a61d6f9899836b88"/>
        <w:id w:val="-46998450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ind w:left="420" w:firstLineChars="0" w:firstLine="0"/>
        <w:jc w:val="right"/>
        <w:rPr>
          <w:color w:val="000000" w:themeColor="text1"/>
        </w:rPr>
      </w:pPr>
      <w:r>
        <w:rPr>
          <w:rFonts w:hint="eastAsia"/>
          <w:color w:val="000000" w:themeColor="text1"/>
        </w:rPr>
        <w:t>单位：</w:t>
      </w:r>
      <w:sdt>
        <w:sdtPr>
          <w:rPr>
            <w:rFonts w:hint="eastAsia"/>
            <w:color w:val="000000" w:themeColor="text1"/>
          </w:rPr>
          <w:alias w:val="单位：信用减值损失"/>
          <w:tag w:val="_GBC_04574a815f0f459c8817f0fb84a3e2d6"/>
          <w:id w:val="21007603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信用减值损失"/>
          <w:tag w:val="_GBC_5ba737d77bb34cc79c6966984148e6e6"/>
          <w:id w:val="20231959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156DD6">
        <w:sdt>
          <w:sdtPr>
            <w:tag w:val="_PLD_2cc5ebd0cdc447b691d0c5739979c390"/>
            <w:id w:val="1865175063"/>
          </w:sdtPr>
          <w:sdtEndPr/>
          <w:sdtContent>
            <w:tc>
              <w:tcPr>
                <w:tcW w:w="2017" w:type="pct"/>
                <w:vAlign w:val="center"/>
              </w:tcPr>
              <w:p w:rsidR="00156DD6" w:rsidRDefault="00D51F5F">
                <w:pPr>
                  <w:jc w:val="center"/>
                  <w:rPr>
                    <w:color w:val="000000" w:themeColor="text1"/>
                  </w:rPr>
                </w:pPr>
                <w:r>
                  <w:rPr>
                    <w:rFonts w:hint="eastAsia"/>
                    <w:color w:val="000000" w:themeColor="text1"/>
                  </w:rPr>
                  <w:t>项目</w:t>
                </w:r>
              </w:p>
            </w:tc>
          </w:sdtContent>
        </w:sdt>
        <w:sdt>
          <w:sdtPr>
            <w:tag w:val="_PLD_667ef9498e104cfdabeee4ef172c6ab3"/>
            <w:id w:val="-620997940"/>
          </w:sdtPr>
          <w:sdtEndPr/>
          <w:sdtContent>
            <w:tc>
              <w:tcPr>
                <w:tcW w:w="1485" w:type="pct"/>
                <w:vAlign w:val="center"/>
              </w:tcPr>
              <w:p w:rsidR="00156DD6" w:rsidRDefault="00D51F5F">
                <w:pPr>
                  <w:jc w:val="center"/>
                  <w:rPr>
                    <w:color w:val="000000" w:themeColor="text1"/>
                  </w:rPr>
                </w:pPr>
                <w:r>
                  <w:rPr>
                    <w:rFonts w:hint="eastAsia"/>
                    <w:color w:val="000000" w:themeColor="text1"/>
                  </w:rPr>
                  <w:t>本期发生额</w:t>
                </w:r>
              </w:p>
            </w:tc>
          </w:sdtContent>
        </w:sdt>
        <w:sdt>
          <w:sdtPr>
            <w:tag w:val="_PLD_8c64052cb7e64d9095f4b7e849e06d53"/>
            <w:id w:val="-1268074855"/>
          </w:sdtPr>
          <w:sdtEndPr/>
          <w:sdtContent>
            <w:tc>
              <w:tcPr>
                <w:tcW w:w="1498" w:type="pct"/>
                <w:vAlign w:val="center"/>
              </w:tcPr>
              <w:p w:rsidR="00156DD6" w:rsidRDefault="00D51F5F">
                <w:pPr>
                  <w:jc w:val="center"/>
                  <w:rPr>
                    <w:color w:val="000000" w:themeColor="text1"/>
                  </w:rPr>
                </w:pPr>
                <w:r>
                  <w:rPr>
                    <w:rFonts w:hint="eastAsia"/>
                    <w:color w:val="000000" w:themeColor="text1"/>
                  </w:rPr>
                  <w:t>上期发生额</w:t>
                </w:r>
              </w:p>
            </w:tc>
          </w:sdtContent>
        </w:sdt>
      </w:tr>
      <w:tr w:rsidR="00156DD6">
        <w:tc>
          <w:tcPr>
            <w:tcW w:w="2017" w:type="pct"/>
          </w:tcPr>
          <w:p w:rsidR="00156DD6" w:rsidRDefault="00D51F5F">
            <w:pPr>
              <w:widowControl w:val="0"/>
              <w:autoSpaceDE w:val="0"/>
              <w:autoSpaceDN w:val="0"/>
              <w:adjustRightInd w:val="0"/>
              <w:snapToGrid w:val="0"/>
              <w:spacing w:line="240" w:lineRule="atLeast"/>
              <w:jc w:val="both"/>
            </w:pPr>
            <w:r>
              <w:rPr>
                <w:rFonts w:hint="eastAsia"/>
              </w:rPr>
              <w:t>应收票据坏账损失</w:t>
            </w:r>
          </w:p>
        </w:tc>
        <w:tc>
          <w:tcPr>
            <w:tcW w:w="1485" w:type="pct"/>
          </w:tcPr>
          <w:p w:rsidR="00156DD6" w:rsidRDefault="00D51F5F">
            <w:pPr>
              <w:jc w:val="right"/>
            </w:pPr>
            <w:r>
              <w:rPr>
                <w:rFonts w:hint="eastAsia"/>
              </w:rPr>
              <w:t xml:space="preserve"> 3,306,269.47 </w:t>
            </w:r>
          </w:p>
        </w:tc>
        <w:tc>
          <w:tcPr>
            <w:tcW w:w="1498" w:type="pct"/>
          </w:tcPr>
          <w:p w:rsidR="00156DD6" w:rsidRDefault="00D51F5F">
            <w:pPr>
              <w:jc w:val="right"/>
            </w:pPr>
            <w:r>
              <w:rPr>
                <w:rFonts w:hint="eastAsia"/>
              </w:rPr>
              <w:t xml:space="preserve"> -4,274,185.16 </w:t>
            </w:r>
          </w:p>
        </w:tc>
      </w:tr>
      <w:tr w:rsidR="00156DD6">
        <w:tc>
          <w:tcPr>
            <w:tcW w:w="2017" w:type="pct"/>
          </w:tcPr>
          <w:p w:rsidR="00156DD6" w:rsidRDefault="00D51F5F">
            <w:pPr>
              <w:widowControl w:val="0"/>
              <w:autoSpaceDE w:val="0"/>
              <w:autoSpaceDN w:val="0"/>
              <w:adjustRightInd w:val="0"/>
              <w:snapToGrid w:val="0"/>
              <w:spacing w:line="240" w:lineRule="atLeast"/>
              <w:jc w:val="both"/>
            </w:pPr>
            <w:r>
              <w:rPr>
                <w:rFonts w:hint="eastAsia"/>
              </w:rPr>
              <w:t>应收账款坏账损失</w:t>
            </w:r>
          </w:p>
        </w:tc>
        <w:tc>
          <w:tcPr>
            <w:tcW w:w="1485" w:type="pct"/>
          </w:tcPr>
          <w:p w:rsidR="00156DD6" w:rsidRDefault="00D51F5F">
            <w:pPr>
              <w:jc w:val="right"/>
            </w:pPr>
            <w:r>
              <w:rPr>
                <w:rFonts w:hint="eastAsia"/>
              </w:rPr>
              <w:t xml:space="preserve"> -7,290,501.46 </w:t>
            </w:r>
          </w:p>
        </w:tc>
        <w:tc>
          <w:tcPr>
            <w:tcW w:w="1498" w:type="pct"/>
          </w:tcPr>
          <w:p w:rsidR="00156DD6" w:rsidRDefault="00D51F5F">
            <w:pPr>
              <w:jc w:val="right"/>
            </w:pPr>
            <w:r>
              <w:rPr>
                <w:rFonts w:hint="eastAsia"/>
              </w:rPr>
              <w:t xml:space="preserve"> -4,906,325.65 </w:t>
            </w:r>
          </w:p>
        </w:tc>
      </w:tr>
      <w:tr w:rsidR="00156DD6">
        <w:tc>
          <w:tcPr>
            <w:tcW w:w="2017" w:type="pct"/>
          </w:tcPr>
          <w:p w:rsidR="00156DD6" w:rsidRDefault="00D51F5F">
            <w:pPr>
              <w:widowControl w:val="0"/>
              <w:autoSpaceDE w:val="0"/>
              <w:autoSpaceDN w:val="0"/>
              <w:adjustRightInd w:val="0"/>
              <w:snapToGrid w:val="0"/>
              <w:spacing w:line="240" w:lineRule="atLeast"/>
              <w:jc w:val="both"/>
            </w:pPr>
            <w:r>
              <w:rPr>
                <w:rFonts w:hint="eastAsia"/>
              </w:rPr>
              <w:t>应收款项融资坏账损失</w:t>
            </w:r>
          </w:p>
        </w:tc>
        <w:tc>
          <w:tcPr>
            <w:tcW w:w="1485" w:type="pct"/>
          </w:tcPr>
          <w:p w:rsidR="00156DD6" w:rsidRDefault="00D51F5F">
            <w:pPr>
              <w:jc w:val="right"/>
            </w:pPr>
            <w:r>
              <w:rPr>
                <w:rFonts w:hint="eastAsia"/>
              </w:rPr>
              <w:t xml:space="preserve"> -45,157.14 </w:t>
            </w:r>
          </w:p>
        </w:tc>
        <w:tc>
          <w:tcPr>
            <w:tcW w:w="1498" w:type="pct"/>
          </w:tcPr>
          <w:p w:rsidR="00156DD6" w:rsidRDefault="00D51F5F">
            <w:pPr>
              <w:jc w:val="right"/>
            </w:pPr>
            <w:r>
              <w:rPr>
                <w:rFonts w:hint="eastAsia"/>
              </w:rPr>
              <w:t xml:space="preserve"> -43,795.55 </w:t>
            </w:r>
          </w:p>
        </w:tc>
      </w:tr>
      <w:tr w:rsidR="00156DD6">
        <w:tc>
          <w:tcPr>
            <w:tcW w:w="2017" w:type="pct"/>
          </w:tcPr>
          <w:p w:rsidR="00156DD6" w:rsidRDefault="00D51F5F">
            <w:pPr>
              <w:widowControl w:val="0"/>
              <w:autoSpaceDE w:val="0"/>
              <w:autoSpaceDN w:val="0"/>
              <w:adjustRightInd w:val="0"/>
              <w:snapToGrid w:val="0"/>
              <w:spacing w:line="240" w:lineRule="atLeast"/>
              <w:jc w:val="both"/>
            </w:pPr>
            <w:r>
              <w:rPr>
                <w:rFonts w:hint="eastAsia"/>
              </w:rPr>
              <w:t>其他应收款坏账损失</w:t>
            </w:r>
          </w:p>
        </w:tc>
        <w:tc>
          <w:tcPr>
            <w:tcW w:w="1485" w:type="pct"/>
          </w:tcPr>
          <w:p w:rsidR="00156DD6" w:rsidRDefault="00D51F5F">
            <w:pPr>
              <w:jc w:val="right"/>
            </w:pPr>
            <w:r>
              <w:rPr>
                <w:rFonts w:hint="eastAsia"/>
              </w:rPr>
              <w:t xml:space="preserve"> -542,653.00 </w:t>
            </w:r>
          </w:p>
        </w:tc>
        <w:tc>
          <w:tcPr>
            <w:tcW w:w="1498" w:type="pct"/>
          </w:tcPr>
          <w:p w:rsidR="00156DD6" w:rsidRDefault="00D51F5F">
            <w:pPr>
              <w:jc w:val="right"/>
            </w:pPr>
            <w:r>
              <w:rPr>
                <w:rFonts w:hint="eastAsia"/>
              </w:rPr>
              <w:t xml:space="preserve"> -264,921.23 </w:t>
            </w:r>
          </w:p>
        </w:tc>
      </w:tr>
      <w:tr w:rsidR="00156DD6">
        <w:tc>
          <w:tcPr>
            <w:tcW w:w="2017" w:type="pct"/>
          </w:tcPr>
          <w:p w:rsidR="00156DD6" w:rsidRDefault="00D51F5F">
            <w:pPr>
              <w:widowControl w:val="0"/>
              <w:autoSpaceDE w:val="0"/>
              <w:autoSpaceDN w:val="0"/>
              <w:adjustRightInd w:val="0"/>
              <w:snapToGrid w:val="0"/>
              <w:spacing w:line="240" w:lineRule="atLeast"/>
              <w:jc w:val="both"/>
            </w:pPr>
            <w:r>
              <w:rPr>
                <w:rFonts w:hint="eastAsia"/>
              </w:rPr>
              <w:t>长期应收款坏账损失</w:t>
            </w:r>
          </w:p>
        </w:tc>
        <w:tc>
          <w:tcPr>
            <w:tcW w:w="1485" w:type="pct"/>
          </w:tcPr>
          <w:p w:rsidR="00156DD6" w:rsidRDefault="00D51F5F">
            <w:pPr>
              <w:jc w:val="right"/>
            </w:pPr>
            <w:r>
              <w:rPr>
                <w:rFonts w:hint="eastAsia"/>
              </w:rPr>
              <w:t xml:space="preserve"> -635,776.34 </w:t>
            </w:r>
          </w:p>
        </w:tc>
        <w:tc>
          <w:tcPr>
            <w:tcW w:w="1498" w:type="pct"/>
            <w:vAlign w:val="center"/>
          </w:tcPr>
          <w:p w:rsidR="00156DD6" w:rsidRDefault="00156DD6">
            <w:pPr>
              <w:jc w:val="right"/>
            </w:pPr>
          </w:p>
        </w:tc>
      </w:tr>
      <w:tr w:rsidR="00156DD6">
        <w:tc>
          <w:tcPr>
            <w:tcW w:w="2017" w:type="pct"/>
          </w:tcPr>
          <w:p w:rsidR="00156DD6" w:rsidRDefault="00D51F5F">
            <w:pPr>
              <w:widowControl w:val="0"/>
              <w:autoSpaceDE w:val="0"/>
              <w:autoSpaceDN w:val="0"/>
              <w:adjustRightInd w:val="0"/>
              <w:snapToGrid w:val="0"/>
              <w:spacing w:line="240" w:lineRule="atLeast"/>
              <w:jc w:val="both"/>
            </w:pPr>
            <w:r>
              <w:rPr>
                <w:rFonts w:hint="eastAsia"/>
              </w:rPr>
              <w:t>一年内到期的非流动资产坏账损失</w:t>
            </w:r>
          </w:p>
        </w:tc>
        <w:tc>
          <w:tcPr>
            <w:tcW w:w="1485" w:type="pct"/>
          </w:tcPr>
          <w:p w:rsidR="00156DD6" w:rsidRDefault="00156DD6">
            <w:pPr>
              <w:jc w:val="right"/>
            </w:pPr>
          </w:p>
        </w:tc>
        <w:tc>
          <w:tcPr>
            <w:tcW w:w="1498" w:type="pct"/>
            <w:vAlign w:val="center"/>
          </w:tcPr>
          <w:p w:rsidR="00156DD6" w:rsidRDefault="00D51F5F">
            <w:pPr>
              <w:jc w:val="right"/>
            </w:pPr>
            <w:r>
              <w:rPr>
                <w:rFonts w:hint="eastAsia"/>
              </w:rPr>
              <w:t>6,868.39</w:t>
            </w:r>
          </w:p>
        </w:tc>
      </w:tr>
      <w:tr w:rsidR="00156DD6">
        <w:tc>
          <w:tcPr>
            <w:tcW w:w="2017" w:type="pct"/>
            <w:vAlign w:val="center"/>
          </w:tcPr>
          <w:p w:rsidR="00156DD6" w:rsidRDefault="00D51F5F">
            <w:pPr>
              <w:jc w:val="center"/>
              <w:rPr>
                <w:color w:val="000000" w:themeColor="text1"/>
              </w:rPr>
            </w:pPr>
            <w:r>
              <w:rPr>
                <w:rFonts w:hint="eastAsia"/>
                <w:color w:val="000000" w:themeColor="text1"/>
              </w:rPr>
              <w:t>合计</w:t>
            </w:r>
          </w:p>
        </w:tc>
        <w:tc>
          <w:tcPr>
            <w:tcW w:w="1485" w:type="pct"/>
          </w:tcPr>
          <w:p w:rsidR="00156DD6" w:rsidRDefault="00D51F5F">
            <w:pPr>
              <w:jc w:val="right"/>
            </w:pPr>
            <w:r>
              <w:rPr>
                <w:rFonts w:hint="eastAsia"/>
              </w:rPr>
              <w:t xml:space="preserve">-5,207,818.47  </w:t>
            </w:r>
          </w:p>
        </w:tc>
        <w:tc>
          <w:tcPr>
            <w:tcW w:w="1498" w:type="pct"/>
          </w:tcPr>
          <w:p w:rsidR="00156DD6" w:rsidRDefault="00D51F5F">
            <w:pPr>
              <w:jc w:val="right"/>
            </w:pPr>
            <w:r>
              <w:rPr>
                <w:rFonts w:hint="eastAsia"/>
              </w:rPr>
              <w:t xml:space="preserve"> -9,482,359.20 </w:t>
            </w:r>
          </w:p>
        </w:tc>
      </w:tr>
    </w:tbl>
    <w:p w:rsidR="00156DD6" w:rsidRDefault="00D51F5F">
      <w:pPr>
        <w:rPr>
          <w:color w:val="000000" w:themeColor="text1"/>
        </w:rPr>
      </w:pPr>
      <w:r>
        <w:rPr>
          <w:rFonts w:hint="eastAsia"/>
          <w:color w:val="000000" w:themeColor="text1"/>
        </w:rPr>
        <w:t>其他</w:t>
      </w:r>
      <w:r>
        <w:rPr>
          <w:color w:val="000000" w:themeColor="text1"/>
        </w:rPr>
        <w:t>说明</w:t>
      </w:r>
      <w:r>
        <w:rPr>
          <w:rFonts w:hint="eastAsia"/>
          <w:color w:val="000000" w:themeColor="text1"/>
        </w:rPr>
        <w:t>：</w:t>
      </w:r>
    </w:p>
    <w:sdt>
      <w:sdtPr>
        <w:rPr>
          <w:color w:val="000000" w:themeColor="text1"/>
        </w:rPr>
        <w:alias w:val="信用减值损失其他说明"/>
        <w:tag w:val="_GBC_9228576c4e3741acb19023ad6b79421f"/>
        <w:id w:val="1618016592"/>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2"/>
        </w:rPr>
      </w:pPr>
      <w:bookmarkStart w:id="431" w:name="_Hlk167970079"/>
      <w:bookmarkEnd w:id="430"/>
      <w:r>
        <w:rPr>
          <w:color w:val="000000" w:themeColor="text1"/>
          <w:sz w:val="21"/>
          <w:szCs w:val="22"/>
        </w:rPr>
        <w:t>资产减值损失</w:t>
      </w:r>
    </w:p>
    <w:sdt>
      <w:sdtPr>
        <w:rPr>
          <w:color w:val="000000" w:themeColor="text1"/>
        </w:rPr>
        <w:alias w:val="是否适用：资产减值损失[双击切换]"/>
        <w:tag w:val="_GBC_d729834ad00147fc807d3aad7ca8698d"/>
        <w:id w:val="-33383688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资产减值损失"/>
          <w:tag w:val="_GBC_5d74a968092c4c99a3fdb43c04a992ef"/>
          <w:id w:val="-17114059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资产减值损失"/>
          <w:tag w:val="_GBC_9cac437936ec413c943d5e1475abfd21"/>
          <w:id w:val="-18921105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509"/>
        <w:gridCol w:w="3000"/>
      </w:tblGrid>
      <w:tr w:rsidR="00156DD6">
        <w:sdt>
          <w:sdtPr>
            <w:tag w:val="_PLD_3f6f45e6360d44d4b7b42549a3560832"/>
            <w:id w:val="984286425"/>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项目</w:t>
                </w:r>
              </w:p>
            </w:tc>
          </w:sdtContent>
        </w:sdt>
        <w:sdt>
          <w:sdtPr>
            <w:tag w:val="_PLD_3f2aa2c829b6428e99a0c7c8da36e428"/>
            <w:id w:val="997234383"/>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本期发生额</w:t>
                </w:r>
              </w:p>
            </w:tc>
          </w:sdtContent>
        </w:sdt>
        <w:sdt>
          <w:sdtPr>
            <w:tag w:val="_PLD_071b09715e3b43be922c6fbde3b45eb6"/>
            <w:id w:val="-401595844"/>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上期发生额</w:t>
                </w:r>
              </w:p>
            </w:tc>
          </w:sdtContent>
        </w:sdt>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一、合同资产减值损失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w:t>
            </w:r>
            <w:r>
              <w:rPr>
                <w:rFonts w:hint="eastAsia"/>
              </w:rPr>
              <w:t xml:space="preserve">-9,228,094.05  </w:t>
            </w:r>
            <w:r>
              <w:t xml:space="preserve"> </w:t>
            </w:r>
          </w:p>
        </w:tc>
        <w:tc>
          <w:tcPr>
            <w:tcW w:w="170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-2,866,850.71 </w:t>
            </w: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lastRenderedPageBreak/>
              <w:t>三、长期股权投资减值损失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autoSpaceDE w:val="0"/>
              <w:autoSpaceDN w:val="0"/>
              <w:adjustRightInd w:val="0"/>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autoSpaceDE w:val="0"/>
              <w:autoSpaceDN w:val="0"/>
              <w:adjustRightInd w:val="0"/>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四、投资性房地产减值损失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五、固定资产减值损失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六、工程物资减值损失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七、在建工程减值损失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八、生产性生物资产减值损失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九、油气资产减值损失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十、无形资产减值损失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十一、商誉减值损失</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十二、其他</w:t>
            </w:r>
          </w:p>
        </w:tc>
        <w:tc>
          <w:tcPr>
            <w:tcW w:w="142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0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878"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jc w:val="center"/>
              <w:rPr>
                <w:color w:val="000000" w:themeColor="text1"/>
              </w:rPr>
            </w:pPr>
            <w:r>
              <w:rPr>
                <w:rFonts w:hint="eastAsia"/>
                <w:color w:val="000000" w:themeColor="text1"/>
              </w:rPr>
              <w:t>合计</w:t>
            </w:r>
          </w:p>
        </w:tc>
        <w:tc>
          <w:tcPr>
            <w:tcW w:w="142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-9,228,094.05</w:t>
            </w:r>
          </w:p>
        </w:tc>
        <w:tc>
          <w:tcPr>
            <w:tcW w:w="170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-2,866,850.71</w:t>
            </w:r>
          </w:p>
        </w:tc>
      </w:tr>
    </w:tbl>
    <w:p w:rsidR="00156DD6" w:rsidRDefault="00D51F5F">
      <w:pPr>
        <w:spacing w:before="60" w:after="60"/>
        <w:rPr>
          <w:color w:val="000000" w:themeColor="text1"/>
        </w:rPr>
      </w:pPr>
      <w:r>
        <w:rPr>
          <w:rFonts w:hint="eastAsia"/>
          <w:color w:val="000000" w:themeColor="text1"/>
        </w:rPr>
        <w:t>其他说明：</w:t>
      </w:r>
    </w:p>
    <w:sdt>
      <w:sdtPr>
        <w:rPr>
          <w:color w:val="000000" w:themeColor="text1"/>
        </w:rPr>
        <w:alias w:val="资产减值损失的说明"/>
        <w:tag w:val="_GBC_72181df9e6ac4b4492c9dfa445964871"/>
        <w:id w:val="-1250263215"/>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bookmarkEnd w:id="431"/>
    <w:p w:rsidR="00156DD6" w:rsidRDefault="00D51F5F">
      <w:pPr>
        <w:pStyle w:val="TOC6"/>
        <w:numPr>
          <w:ilvl w:val="0"/>
          <w:numId w:val="53"/>
        </w:numPr>
        <w:rPr>
          <w:color w:val="000000" w:themeColor="text1"/>
          <w:sz w:val="21"/>
          <w:szCs w:val="22"/>
        </w:rPr>
      </w:pPr>
      <w:r>
        <w:rPr>
          <w:color w:val="000000" w:themeColor="text1"/>
          <w:sz w:val="21"/>
          <w:szCs w:val="22"/>
        </w:rPr>
        <w:t>资产处置收益</w:t>
      </w:r>
    </w:p>
    <w:sdt>
      <w:sdtPr>
        <w:rPr>
          <w:rFonts w:hint="eastAsia"/>
          <w:color w:val="000000" w:themeColor="text1"/>
        </w:rPr>
        <w:alias w:val="是否适用：资产处置收益[双击切换]"/>
        <w:tag w:val="_GBC_9e584d6f46c648d195946caa434a4619"/>
        <w:id w:val="-184122082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color w:val="000000" w:themeColor="text1"/>
        </w:rPr>
        <w:t>单位：</w:t>
      </w:r>
      <w:sdt>
        <w:sdtPr>
          <w:rPr>
            <w:color w:val="000000" w:themeColor="text1"/>
          </w:rPr>
          <w:alias w:val="单位：资产处置收益明细"/>
          <w:tag w:val="_GBC_72dc168499e249b988d6753a6df1ce44"/>
          <w:id w:val="78971708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资产处置收益明细"/>
          <w:tag w:val="_GBC_d68880ec5b074fdc8846b703ead631e2"/>
          <w:id w:val="21068395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g2"/>
        <w:tblW w:w="0" w:type="auto"/>
        <w:tblInd w:w="0" w:type="dxa"/>
        <w:tblLook w:val="04A0" w:firstRow="1" w:lastRow="0" w:firstColumn="1" w:lastColumn="0" w:noHBand="0" w:noVBand="1"/>
      </w:tblPr>
      <w:tblGrid>
        <w:gridCol w:w="2940"/>
        <w:gridCol w:w="2941"/>
        <w:gridCol w:w="2942"/>
      </w:tblGrid>
      <w:tr w:rsidR="00156DD6">
        <w:tc>
          <w:tcPr>
            <w:tcW w:w="2940" w:type="dxa"/>
          </w:tcPr>
          <w:sdt>
            <w:sdtPr>
              <w:tag w:val="_PLD_5ae5d7d7d48342e7bc1da8d90a245459"/>
              <w:id w:val="-32117396"/>
            </w:sdtPr>
            <w:sdtEndPr/>
            <w:sdtContent>
              <w:p w:rsidR="00156DD6" w:rsidRDefault="00D51F5F">
                <w:pPr>
                  <w:jc w:val="center"/>
                  <w:rPr>
                    <w:color w:val="000000" w:themeColor="text1"/>
                  </w:rPr>
                </w:pPr>
                <w:r>
                  <w:rPr>
                    <w:rFonts w:hint="eastAsia"/>
                    <w:color w:val="000000" w:themeColor="text1"/>
                  </w:rPr>
                  <w:t>项目</w:t>
                </w:r>
              </w:p>
            </w:sdtContent>
          </w:sdt>
        </w:tc>
        <w:tc>
          <w:tcPr>
            <w:tcW w:w="2941" w:type="dxa"/>
          </w:tcPr>
          <w:sdt>
            <w:sdtPr>
              <w:tag w:val="_PLD_879cf215b86c45c790218e646c831e7d"/>
              <w:id w:val="-1178811094"/>
            </w:sdtPr>
            <w:sdtEndPr/>
            <w:sdtContent>
              <w:p w:rsidR="00156DD6" w:rsidRDefault="00D51F5F">
                <w:pPr>
                  <w:jc w:val="center"/>
                  <w:rPr>
                    <w:color w:val="000000" w:themeColor="text1"/>
                  </w:rPr>
                </w:pPr>
                <w:r>
                  <w:rPr>
                    <w:rFonts w:hint="eastAsia"/>
                    <w:color w:val="000000" w:themeColor="text1"/>
                  </w:rPr>
                  <w:t>本期发生额</w:t>
                </w:r>
              </w:p>
            </w:sdtContent>
          </w:sdt>
        </w:tc>
        <w:tc>
          <w:tcPr>
            <w:tcW w:w="2942" w:type="dxa"/>
          </w:tcPr>
          <w:sdt>
            <w:sdtPr>
              <w:tag w:val="_PLD_8860a002ccc44e14bf36aa3e10fb5d70"/>
              <w:id w:val="1390765776"/>
            </w:sdtPr>
            <w:sdtEndPr/>
            <w:sdtContent>
              <w:p w:rsidR="00156DD6" w:rsidRDefault="00D51F5F">
                <w:pPr>
                  <w:jc w:val="center"/>
                  <w:rPr>
                    <w:color w:val="000000" w:themeColor="text1"/>
                  </w:rPr>
                </w:pPr>
                <w:r>
                  <w:rPr>
                    <w:rFonts w:hint="eastAsia"/>
                    <w:color w:val="000000" w:themeColor="text1"/>
                  </w:rPr>
                  <w:t>上期发生额</w:t>
                </w:r>
              </w:p>
            </w:sdtContent>
          </w:sdt>
        </w:tc>
      </w:tr>
      <w:tr w:rsidR="00156DD6">
        <w:tc>
          <w:tcPr>
            <w:tcW w:w="2940" w:type="dxa"/>
          </w:tcPr>
          <w:p w:rsidR="00156DD6" w:rsidRDefault="00D51F5F">
            <w:pPr>
              <w:autoSpaceDE w:val="0"/>
              <w:autoSpaceDN w:val="0"/>
              <w:adjustRightInd w:val="0"/>
              <w:snapToGrid w:val="0"/>
              <w:spacing w:line="240" w:lineRule="atLeast"/>
            </w:pPr>
            <w:r>
              <w:rPr>
                <w:rFonts w:hint="eastAsia"/>
              </w:rPr>
              <w:t>固定资产处置收益</w:t>
            </w:r>
          </w:p>
        </w:tc>
        <w:tc>
          <w:tcPr>
            <w:tcW w:w="2941" w:type="dxa"/>
          </w:tcPr>
          <w:p w:rsidR="00156DD6" w:rsidRDefault="00D51F5F">
            <w:pPr>
              <w:jc w:val="right"/>
            </w:pPr>
            <w:r>
              <w:t xml:space="preserve"> 96,562.33 </w:t>
            </w:r>
          </w:p>
        </w:tc>
        <w:tc>
          <w:tcPr>
            <w:tcW w:w="2942" w:type="dxa"/>
          </w:tcPr>
          <w:p w:rsidR="00156DD6" w:rsidRDefault="00D51F5F">
            <w:pPr>
              <w:jc w:val="right"/>
            </w:pPr>
            <w:r>
              <w:t xml:space="preserve"> 39,219.18 </w:t>
            </w:r>
          </w:p>
        </w:tc>
      </w:tr>
      <w:tr w:rsidR="00156DD6">
        <w:tc>
          <w:tcPr>
            <w:tcW w:w="2940" w:type="dxa"/>
          </w:tcPr>
          <w:p w:rsidR="00156DD6" w:rsidRDefault="00D51F5F">
            <w:pPr>
              <w:jc w:val="center"/>
              <w:rPr>
                <w:color w:val="000000" w:themeColor="text1"/>
              </w:rPr>
            </w:pPr>
            <w:r>
              <w:rPr>
                <w:rFonts w:hint="eastAsia"/>
                <w:color w:val="000000" w:themeColor="text1"/>
              </w:rPr>
              <w:t>合计</w:t>
            </w:r>
          </w:p>
        </w:tc>
        <w:tc>
          <w:tcPr>
            <w:tcW w:w="2941" w:type="dxa"/>
          </w:tcPr>
          <w:p w:rsidR="00156DD6" w:rsidRDefault="00D51F5F">
            <w:pPr>
              <w:jc w:val="right"/>
            </w:pPr>
            <w:r>
              <w:t xml:space="preserve"> 96,562.33 </w:t>
            </w:r>
          </w:p>
        </w:tc>
        <w:tc>
          <w:tcPr>
            <w:tcW w:w="2942" w:type="dxa"/>
          </w:tcPr>
          <w:p w:rsidR="00156DD6" w:rsidRDefault="00D51F5F">
            <w:pPr>
              <w:jc w:val="right"/>
            </w:pPr>
            <w:r>
              <w:t xml:space="preserve"> 39,219.18 </w:t>
            </w:r>
          </w:p>
        </w:tc>
      </w:tr>
    </w:tbl>
    <w:p w:rsidR="00156DD6" w:rsidRDefault="00D51F5F">
      <w:pPr>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资产处置收益其他说明[双击切换]"/>
        <w:tag w:val="_GBC_15965d17bc0a4e6788b5c6faf8c51b58"/>
        <w:id w:val="-155993300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营业外收入</w:t>
      </w:r>
    </w:p>
    <w:sdt>
      <w:sdtPr>
        <w:rPr>
          <w:rFonts w:cstheme="minorBidi" w:hint="eastAsia"/>
          <w:color w:val="000000" w:themeColor="text1"/>
          <w:szCs w:val="22"/>
        </w:rPr>
        <w:alias w:val="是否适用：营业外收入情况 [双击切换]"/>
        <w:tag w:val="_GBC_b6e9df1124844122abb2dde58392c605"/>
        <w:id w:val="631361512"/>
        <w:lock w:val="contentLocked"/>
        <w:placeholder>
          <w:docPart w:val="GBC22222222222222222222222222222"/>
        </w:placeholder>
      </w:sdtPr>
      <w:sdtEndPr/>
      <w:sdtContent>
        <w:p w:rsidR="00156DD6" w:rsidRDefault="00D51F5F">
          <w:pPr>
            <w:rPr>
              <w:rFonts w:cstheme="minorBidi"/>
              <w:color w:val="000000" w:themeColor="text1"/>
              <w:szCs w:val="22"/>
            </w:rPr>
          </w:pPr>
          <w:r>
            <w:rPr>
              <w:rFonts w:cstheme="minorBidi"/>
              <w:color w:val="000000" w:themeColor="text1"/>
              <w:szCs w:val="22"/>
            </w:rPr>
            <w:fldChar w:fldCharType="begin"/>
          </w:r>
          <w:r>
            <w:rPr>
              <w:rFonts w:cstheme="minorBidi"/>
              <w:color w:val="000000" w:themeColor="text1"/>
              <w:szCs w:val="22"/>
            </w:rPr>
            <w:instrText xml:space="preserve"> </w:instrText>
          </w:r>
          <w:r>
            <w:rPr>
              <w:rFonts w:cstheme="minorBidi" w:hint="eastAsia"/>
              <w:color w:val="000000" w:themeColor="text1"/>
              <w:szCs w:val="22"/>
            </w:rPr>
            <w:instrText xml:space="preserve">MACROBUTTON  SnrToggleCheckbox </w:instrText>
          </w:r>
          <w:r>
            <w:rPr>
              <w:rFonts w:cstheme="minorBidi" w:hint="eastAsia"/>
              <w:color w:val="000000" w:themeColor="text1"/>
              <w:szCs w:val="22"/>
            </w:rPr>
            <w:instrText>√适用</w:instrText>
          </w:r>
          <w:r>
            <w:rPr>
              <w:rFonts w:cstheme="minorBidi"/>
              <w:color w:val="000000" w:themeColor="text1"/>
              <w:szCs w:val="22"/>
            </w:rPr>
            <w:instrText xml:space="preserve"> </w:instrText>
          </w:r>
          <w:r>
            <w:rPr>
              <w:rFonts w:cstheme="minorBidi"/>
              <w:color w:val="000000" w:themeColor="text1"/>
              <w:szCs w:val="22"/>
            </w:rPr>
            <w:fldChar w:fldCharType="end"/>
          </w:r>
          <w:r>
            <w:rPr>
              <w:rFonts w:cstheme="minorBidi"/>
              <w:color w:val="000000" w:themeColor="text1"/>
              <w:szCs w:val="22"/>
            </w:rPr>
            <w:fldChar w:fldCharType="begin"/>
          </w:r>
          <w:r>
            <w:rPr>
              <w:rFonts w:cstheme="minorBidi"/>
              <w:color w:val="000000" w:themeColor="text1"/>
              <w:szCs w:val="22"/>
            </w:rPr>
            <w:instrText xml:space="preserve"> MACROBUTTON  SnrToggleCheckbox □</w:instrText>
          </w:r>
          <w:r>
            <w:rPr>
              <w:rFonts w:cstheme="minorBidi"/>
              <w:color w:val="000000" w:themeColor="text1"/>
              <w:szCs w:val="22"/>
            </w:rPr>
            <w:instrText>不适用</w:instrText>
          </w:r>
          <w:r>
            <w:rPr>
              <w:rFonts w:cstheme="minorBidi"/>
              <w:color w:val="000000" w:themeColor="text1"/>
              <w:szCs w:val="22"/>
            </w:rPr>
            <w:instrText xml:space="preserve"> </w:instrText>
          </w:r>
          <w:r>
            <w:rPr>
              <w:rFonts w:cstheme="minorBidi"/>
              <w:color w:val="000000" w:themeColor="text1"/>
              <w:szCs w:val="22"/>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营业外收入"/>
          <w:tag w:val="_GBC_dd93a692e0c045038f9ddf46f86e7289"/>
          <w:id w:val="16752928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营业外收入"/>
          <w:tag w:val="_GBC_598cac7504eb4ef39ddc19fb969bdd53"/>
          <w:id w:val="-7670027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8"/>
        <w:gridCol w:w="2257"/>
        <w:gridCol w:w="2259"/>
      </w:tblGrid>
      <w:tr w:rsidR="00156DD6">
        <w:sdt>
          <w:sdtPr>
            <w:tag w:val="_PLD_d649e0d07dd047a497e69591bf3e322c"/>
            <w:id w:val="-375312923"/>
          </w:sdtPr>
          <w:sdtEndPr/>
          <w:sdtContent>
            <w:tc>
              <w:tcPr>
                <w:tcW w:w="1167"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项目</w:t>
                </w:r>
              </w:p>
            </w:tc>
          </w:sdtContent>
        </w:sdt>
        <w:sdt>
          <w:sdtPr>
            <w:tag w:val="_PLD_eabf358cb2c947a9b4e7bacb394074db"/>
            <w:id w:val="47888928"/>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本期发生额</w:t>
                </w:r>
              </w:p>
            </w:tc>
          </w:sdtContent>
        </w:sdt>
        <w:sdt>
          <w:sdtPr>
            <w:tag w:val="_PLD_0469d808d7334ff0ab3460273b0c8f8f"/>
            <w:id w:val="-878164782"/>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上期发生额</w:t>
                </w:r>
              </w:p>
            </w:tc>
          </w:sdtContent>
        </w:sdt>
        <w:sdt>
          <w:sdtPr>
            <w:tag w:val="_PLD_121bda757dda46918753fabf9329298f"/>
            <w:id w:val="-2030481153"/>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计入当期非经常性损益的金额</w:t>
                </w:r>
              </w:p>
            </w:tc>
          </w:sdtContent>
        </w:sdt>
      </w:tr>
      <w:tr w:rsidR="00156DD6">
        <w:tc>
          <w:tcPr>
            <w:tcW w:w="1167"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非流动资产处置利得合计</w:t>
            </w:r>
          </w:p>
        </w:tc>
        <w:tc>
          <w:tcPr>
            <w:tcW w:w="127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4,259.50 </w:t>
            </w:r>
          </w:p>
        </w:tc>
        <w:tc>
          <w:tcPr>
            <w:tcW w:w="127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523,284.75 </w:t>
            </w:r>
          </w:p>
        </w:tc>
        <w:tc>
          <w:tcPr>
            <w:tcW w:w="128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 4,259.50 </w:t>
            </w:r>
          </w:p>
        </w:tc>
      </w:tr>
      <w:tr w:rsidR="00156DD6">
        <w:tc>
          <w:tcPr>
            <w:tcW w:w="1167"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其中：固定资产处置利得</w:t>
            </w:r>
          </w:p>
        </w:tc>
        <w:tc>
          <w:tcPr>
            <w:tcW w:w="127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4,259.50 </w:t>
            </w:r>
          </w:p>
        </w:tc>
        <w:tc>
          <w:tcPr>
            <w:tcW w:w="127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523,284.75 </w:t>
            </w:r>
          </w:p>
        </w:tc>
        <w:tc>
          <w:tcPr>
            <w:tcW w:w="128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 4,259.50 </w:t>
            </w:r>
          </w:p>
        </w:tc>
      </w:tr>
      <w:tr w:rsidR="00156DD6">
        <w:tc>
          <w:tcPr>
            <w:tcW w:w="1167"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ind w:firstLineChars="300" w:firstLine="630"/>
              <w:rPr>
                <w:color w:val="000000" w:themeColor="text1"/>
              </w:rPr>
            </w:pPr>
            <w:r>
              <w:rPr>
                <w:rFonts w:hint="eastAsia"/>
                <w:color w:val="000000" w:themeColor="text1"/>
              </w:rPr>
              <w:t>无形资产处置利得</w:t>
            </w:r>
          </w:p>
        </w:tc>
        <w:tc>
          <w:tcPr>
            <w:tcW w:w="1274"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80" w:type="pct"/>
            <w:tcBorders>
              <w:top w:val="single" w:sz="4" w:space="0" w:color="auto"/>
              <w:left w:val="single" w:sz="4" w:space="0" w:color="auto"/>
              <w:bottom w:val="single" w:sz="4" w:space="0" w:color="auto"/>
              <w:right w:val="single" w:sz="4" w:space="0" w:color="auto"/>
            </w:tcBorders>
          </w:tcPr>
          <w:p w:rsidR="00156DD6" w:rsidRDefault="00156DD6">
            <w:pPr>
              <w:autoSpaceDE w:val="0"/>
              <w:autoSpaceDN w:val="0"/>
              <w:adjustRightInd w:val="0"/>
              <w:jc w:val="right"/>
            </w:pPr>
          </w:p>
        </w:tc>
      </w:tr>
      <w:tr w:rsidR="00156DD6">
        <w:tc>
          <w:tcPr>
            <w:tcW w:w="1167"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债务重组利得</w:t>
            </w:r>
          </w:p>
        </w:tc>
        <w:tc>
          <w:tcPr>
            <w:tcW w:w="1274"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80" w:type="pct"/>
            <w:tcBorders>
              <w:top w:val="single" w:sz="4" w:space="0" w:color="auto"/>
              <w:left w:val="single" w:sz="4" w:space="0" w:color="auto"/>
              <w:bottom w:val="single" w:sz="4" w:space="0" w:color="auto"/>
              <w:right w:val="single" w:sz="4" w:space="0" w:color="auto"/>
            </w:tcBorders>
          </w:tcPr>
          <w:p w:rsidR="00156DD6" w:rsidRDefault="00156DD6">
            <w:pPr>
              <w:autoSpaceDE w:val="0"/>
              <w:autoSpaceDN w:val="0"/>
              <w:adjustRightInd w:val="0"/>
              <w:jc w:val="right"/>
            </w:pPr>
          </w:p>
        </w:tc>
      </w:tr>
      <w:tr w:rsidR="00156DD6">
        <w:tc>
          <w:tcPr>
            <w:tcW w:w="1167"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非货币性资产交换利得</w:t>
            </w:r>
          </w:p>
        </w:tc>
        <w:tc>
          <w:tcPr>
            <w:tcW w:w="1274"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80" w:type="pct"/>
            <w:tcBorders>
              <w:top w:val="single" w:sz="4" w:space="0" w:color="auto"/>
              <w:left w:val="single" w:sz="4" w:space="0" w:color="auto"/>
              <w:bottom w:val="single" w:sz="4" w:space="0" w:color="auto"/>
              <w:right w:val="single" w:sz="4" w:space="0" w:color="auto"/>
            </w:tcBorders>
          </w:tcPr>
          <w:p w:rsidR="00156DD6" w:rsidRDefault="00156DD6">
            <w:pPr>
              <w:autoSpaceDE w:val="0"/>
              <w:autoSpaceDN w:val="0"/>
              <w:adjustRightInd w:val="0"/>
              <w:jc w:val="right"/>
            </w:pPr>
          </w:p>
        </w:tc>
      </w:tr>
      <w:tr w:rsidR="00156DD6">
        <w:tc>
          <w:tcPr>
            <w:tcW w:w="1167"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接受捐赠</w:t>
            </w:r>
          </w:p>
        </w:tc>
        <w:tc>
          <w:tcPr>
            <w:tcW w:w="1274"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80" w:type="pct"/>
            <w:tcBorders>
              <w:top w:val="single" w:sz="4" w:space="0" w:color="auto"/>
              <w:left w:val="single" w:sz="4" w:space="0" w:color="auto"/>
              <w:bottom w:val="single" w:sz="4" w:space="0" w:color="auto"/>
              <w:right w:val="single" w:sz="4" w:space="0" w:color="auto"/>
            </w:tcBorders>
          </w:tcPr>
          <w:p w:rsidR="00156DD6" w:rsidRDefault="00156DD6">
            <w:pPr>
              <w:autoSpaceDE w:val="0"/>
              <w:autoSpaceDN w:val="0"/>
              <w:adjustRightInd w:val="0"/>
              <w:jc w:val="right"/>
            </w:pPr>
          </w:p>
        </w:tc>
      </w:tr>
      <w:tr w:rsidR="00156DD6">
        <w:tc>
          <w:tcPr>
            <w:tcW w:w="1167" w:type="pct"/>
            <w:tcBorders>
              <w:top w:val="single" w:sz="4" w:space="0" w:color="auto"/>
              <w:left w:val="single" w:sz="4" w:space="0" w:color="auto"/>
              <w:bottom w:val="single" w:sz="4" w:space="0" w:color="auto"/>
              <w:right w:val="single" w:sz="4" w:space="0" w:color="auto"/>
            </w:tcBorders>
          </w:tcPr>
          <w:p w:rsidR="00156DD6" w:rsidRDefault="00D51F5F">
            <w:pPr>
              <w:ind w:right="6"/>
              <w:rPr>
                <w:color w:val="000000" w:themeColor="text1"/>
              </w:rPr>
            </w:pPr>
            <w:r>
              <w:rPr>
                <w:rFonts w:hint="eastAsia"/>
                <w:color w:val="000000" w:themeColor="text1"/>
              </w:rPr>
              <w:t>政府补助</w:t>
            </w:r>
          </w:p>
        </w:tc>
        <w:tc>
          <w:tcPr>
            <w:tcW w:w="1274"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776,660.00 </w:t>
            </w:r>
          </w:p>
        </w:tc>
        <w:tc>
          <w:tcPr>
            <w:tcW w:w="1280" w:type="pct"/>
            <w:tcBorders>
              <w:top w:val="single" w:sz="4" w:space="0" w:color="auto"/>
              <w:left w:val="single" w:sz="4" w:space="0" w:color="auto"/>
              <w:bottom w:val="single" w:sz="4" w:space="0" w:color="auto"/>
              <w:right w:val="single" w:sz="4" w:space="0" w:color="auto"/>
            </w:tcBorders>
          </w:tcPr>
          <w:p w:rsidR="00156DD6" w:rsidRDefault="00156DD6">
            <w:pPr>
              <w:autoSpaceDE w:val="0"/>
              <w:autoSpaceDN w:val="0"/>
              <w:adjustRightInd w:val="0"/>
              <w:jc w:val="right"/>
            </w:pPr>
          </w:p>
        </w:tc>
      </w:tr>
      <w:tr w:rsidR="00156DD6">
        <w:tc>
          <w:tcPr>
            <w:tcW w:w="1167" w:type="pct"/>
            <w:tcBorders>
              <w:top w:val="single" w:sz="4" w:space="0" w:color="auto"/>
              <w:left w:val="single" w:sz="4" w:space="0" w:color="auto"/>
              <w:bottom w:val="single" w:sz="4" w:space="0" w:color="auto"/>
              <w:right w:val="single" w:sz="4" w:space="0" w:color="auto"/>
            </w:tcBorders>
          </w:tcPr>
          <w:p w:rsidR="00156DD6" w:rsidRDefault="00D51F5F">
            <w:pPr>
              <w:pStyle w:val="Style43"/>
            </w:pPr>
            <w:r>
              <w:rPr>
                <w:rFonts w:hint="eastAsia"/>
              </w:rPr>
              <w:t>其他</w:t>
            </w:r>
          </w:p>
        </w:tc>
        <w:tc>
          <w:tcPr>
            <w:tcW w:w="1274"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7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8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16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127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w:t>
            </w:r>
            <w:bookmarkStart w:id="432" w:name="OLE_LINK2"/>
            <w:r>
              <w:t>4,259.50</w:t>
            </w:r>
            <w:bookmarkEnd w:id="432"/>
            <w:r>
              <w:t xml:space="preserve"> </w:t>
            </w:r>
          </w:p>
        </w:tc>
        <w:tc>
          <w:tcPr>
            <w:tcW w:w="127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1,299,944.75 </w:t>
            </w:r>
          </w:p>
        </w:tc>
        <w:tc>
          <w:tcPr>
            <w:tcW w:w="1280"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jc w:val="right"/>
            </w:pPr>
            <w:r>
              <w:t>4,259.50</w:t>
            </w:r>
          </w:p>
        </w:tc>
      </w:tr>
    </w:tbl>
    <w:p w:rsidR="00156DD6" w:rsidRDefault="00D51F5F">
      <w:pPr>
        <w:spacing w:line="360" w:lineRule="exact"/>
        <w:rPr>
          <w:color w:val="000000" w:themeColor="text1"/>
        </w:rPr>
      </w:pPr>
      <w:r>
        <w:rPr>
          <w:rFonts w:hint="eastAsia"/>
          <w:color w:val="000000" w:themeColor="text1"/>
        </w:rPr>
        <w:t>其他说明：</w:t>
      </w:r>
    </w:p>
    <w:sdt>
      <w:sdtPr>
        <w:rPr>
          <w:color w:val="000000" w:themeColor="text1"/>
        </w:rPr>
        <w:alias w:val="是否适用：营业外收入说明[双击切换]"/>
        <w:tag w:val="_GBC_9bd4fc9f0fcc4e85bee85b3ce60c8b2c"/>
        <w:id w:val="-139773420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2"/>
        </w:rPr>
      </w:pPr>
      <w:r>
        <w:rPr>
          <w:color w:val="000000" w:themeColor="text1"/>
          <w:sz w:val="21"/>
          <w:szCs w:val="22"/>
        </w:rPr>
        <w:t>营业外支出</w:t>
      </w:r>
    </w:p>
    <w:sdt>
      <w:sdtPr>
        <w:rPr>
          <w:color w:val="000000" w:themeColor="text1"/>
        </w:rPr>
        <w:alias w:val="是否适用：营业外支出[双击切换]"/>
        <w:tag w:val="_GBC_6d4b8ac674ce425b8c798e92aa1fe455"/>
        <w:id w:val="193839769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营业外支出"/>
          <w:tag w:val="_GBC_f8678a9a1bbf4b0697744c5d21146839"/>
          <w:id w:val="-7495747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营业外支出"/>
          <w:tag w:val="_GBC_61e3e82ad5404a9987623525ac03d95e"/>
          <w:id w:val="-3870305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317"/>
        <w:gridCol w:w="2271"/>
        <w:gridCol w:w="2259"/>
      </w:tblGrid>
      <w:tr w:rsidR="00156DD6">
        <w:sdt>
          <w:sdtPr>
            <w:tag w:val="_PLD_6abf292cb0a7463788e39d1bdabb85fc"/>
            <w:id w:val="165612875"/>
          </w:sdtPr>
          <w:sdtEndPr/>
          <w:sdtContent>
            <w:tc>
              <w:tcPr>
                <w:tcW w:w="112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项目</w:t>
                </w:r>
              </w:p>
            </w:tc>
          </w:sdtContent>
        </w:sdt>
        <w:sdt>
          <w:sdtPr>
            <w:tag w:val="_PLD_36a30142728e41bb9c215b73cfe3204c"/>
            <w:id w:val="1324552369"/>
          </w:sdtPr>
          <w:sdtEndPr/>
          <w:sdtContent>
            <w:tc>
              <w:tcPr>
                <w:tcW w:w="13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本期发生额</w:t>
                </w:r>
              </w:p>
            </w:tc>
          </w:sdtContent>
        </w:sdt>
        <w:sdt>
          <w:sdtPr>
            <w:tag w:val="_PLD_16b0936bf8024bdf99cf883b1827419f"/>
            <w:id w:val="-1826508696"/>
          </w:sdtPr>
          <w:sdtEndPr/>
          <w:sdtContent>
            <w:tc>
              <w:tcPr>
                <w:tcW w:w="1287"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上期发生额</w:t>
                </w:r>
              </w:p>
            </w:tc>
          </w:sdtContent>
        </w:sdt>
        <w:sdt>
          <w:sdtPr>
            <w:tag w:val="_PLD_92014506c2824f6fbe79731f91aa61bc"/>
            <w:id w:val="-458877528"/>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rPr>
                </w:pPr>
                <w:r>
                  <w:rPr>
                    <w:rFonts w:hint="eastAsia"/>
                    <w:color w:val="000000" w:themeColor="text1"/>
                  </w:rPr>
                  <w:t>计入当期非经常性损益的金额</w:t>
                </w:r>
              </w:p>
            </w:tc>
          </w:sdtContent>
        </w:sdt>
      </w:tr>
      <w:tr w:rsidR="00156DD6">
        <w:tc>
          <w:tcPr>
            <w:tcW w:w="1120"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lastRenderedPageBreak/>
              <w:t>非流动资产处置损失合计</w:t>
            </w:r>
          </w:p>
        </w:tc>
        <w:tc>
          <w:tcPr>
            <w:tcW w:w="131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6,388.04 </w:t>
            </w:r>
          </w:p>
        </w:tc>
        <w:tc>
          <w:tcPr>
            <w:tcW w:w="128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1,858,296.12 </w:t>
            </w:r>
          </w:p>
        </w:tc>
        <w:tc>
          <w:tcPr>
            <w:tcW w:w="128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rPr>
                <w:rFonts w:hint="eastAsia"/>
              </w:rPr>
              <w:t xml:space="preserve"> 6,388.04 </w:t>
            </w:r>
          </w:p>
        </w:tc>
      </w:tr>
      <w:tr w:rsidR="00156DD6">
        <w:tc>
          <w:tcPr>
            <w:tcW w:w="1120"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其中：固定资产处置损失</w:t>
            </w:r>
          </w:p>
        </w:tc>
        <w:tc>
          <w:tcPr>
            <w:tcW w:w="131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6,388.04 </w:t>
            </w:r>
          </w:p>
        </w:tc>
        <w:tc>
          <w:tcPr>
            <w:tcW w:w="128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1,858,296.12 </w:t>
            </w:r>
          </w:p>
        </w:tc>
        <w:tc>
          <w:tcPr>
            <w:tcW w:w="128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rPr>
                <w:rFonts w:hint="eastAsia"/>
              </w:rPr>
              <w:t xml:space="preserve"> 6,388.04 </w:t>
            </w:r>
          </w:p>
        </w:tc>
      </w:tr>
      <w:tr w:rsidR="00156DD6">
        <w:tc>
          <w:tcPr>
            <w:tcW w:w="1120"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ind w:firstLineChars="300" w:firstLine="630"/>
              <w:rPr>
                <w:color w:val="000000" w:themeColor="text1"/>
              </w:rPr>
            </w:pPr>
            <w:r>
              <w:rPr>
                <w:rFonts w:hint="eastAsia"/>
                <w:color w:val="000000" w:themeColor="text1"/>
              </w:rPr>
              <w:t>无形资产处置损失</w:t>
            </w:r>
          </w:p>
        </w:tc>
        <w:tc>
          <w:tcPr>
            <w:tcW w:w="1313"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87"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156DD6" w:rsidRDefault="00156DD6">
            <w:pPr>
              <w:autoSpaceDE w:val="0"/>
              <w:autoSpaceDN w:val="0"/>
              <w:adjustRightInd w:val="0"/>
              <w:jc w:val="right"/>
            </w:pPr>
          </w:p>
        </w:tc>
      </w:tr>
      <w:tr w:rsidR="00156DD6">
        <w:tc>
          <w:tcPr>
            <w:tcW w:w="1120"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非货币性资产交换损失</w:t>
            </w:r>
          </w:p>
        </w:tc>
        <w:tc>
          <w:tcPr>
            <w:tcW w:w="1313"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87"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rsidR="00156DD6" w:rsidRDefault="00156DD6">
            <w:pPr>
              <w:autoSpaceDE w:val="0"/>
              <w:autoSpaceDN w:val="0"/>
              <w:adjustRightInd w:val="0"/>
              <w:jc w:val="right"/>
            </w:pPr>
          </w:p>
        </w:tc>
      </w:tr>
      <w:tr w:rsidR="00156DD6">
        <w:tc>
          <w:tcPr>
            <w:tcW w:w="1120"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rPr>
                <w:color w:val="000000" w:themeColor="text1"/>
              </w:rPr>
            </w:pPr>
            <w:r>
              <w:rPr>
                <w:rFonts w:hint="eastAsia"/>
                <w:color w:val="000000" w:themeColor="text1"/>
              </w:rPr>
              <w:t>对外捐赠</w:t>
            </w:r>
          </w:p>
        </w:tc>
        <w:tc>
          <w:tcPr>
            <w:tcW w:w="131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2,253,000.00 </w:t>
            </w:r>
          </w:p>
        </w:tc>
        <w:tc>
          <w:tcPr>
            <w:tcW w:w="128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20,000,000.00 </w:t>
            </w:r>
          </w:p>
        </w:tc>
        <w:tc>
          <w:tcPr>
            <w:tcW w:w="128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rPr>
                <w:rFonts w:hint="eastAsia"/>
              </w:rPr>
              <w:t xml:space="preserve"> 2,253,000.00 </w:t>
            </w:r>
          </w:p>
        </w:tc>
      </w:tr>
      <w:tr w:rsidR="00156DD6">
        <w:tc>
          <w:tcPr>
            <w:tcW w:w="1120" w:type="pct"/>
            <w:tcBorders>
              <w:top w:val="single" w:sz="4" w:space="0" w:color="auto"/>
              <w:left w:val="single" w:sz="4" w:space="0" w:color="auto"/>
              <w:bottom w:val="single" w:sz="4" w:space="0" w:color="auto"/>
              <w:right w:val="single" w:sz="4" w:space="0" w:color="auto"/>
            </w:tcBorders>
          </w:tcPr>
          <w:p w:rsidR="00156DD6" w:rsidRDefault="00D51F5F">
            <w:pPr>
              <w:pStyle w:val="Style43"/>
            </w:pPr>
            <w:r>
              <w:rPr>
                <w:rFonts w:hint="eastAsia"/>
              </w:rPr>
              <w:t>其他</w:t>
            </w:r>
          </w:p>
        </w:tc>
        <w:tc>
          <w:tcPr>
            <w:tcW w:w="131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4,178.35 </w:t>
            </w:r>
          </w:p>
        </w:tc>
        <w:tc>
          <w:tcPr>
            <w:tcW w:w="128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506,243.27 </w:t>
            </w:r>
          </w:p>
        </w:tc>
        <w:tc>
          <w:tcPr>
            <w:tcW w:w="1280"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4,178.35 </w:t>
            </w:r>
          </w:p>
        </w:tc>
      </w:tr>
      <w:tr w:rsidR="00156DD6">
        <w:tc>
          <w:tcPr>
            <w:tcW w:w="1120" w:type="pct"/>
            <w:tcBorders>
              <w:top w:val="single" w:sz="4" w:space="0" w:color="auto"/>
              <w:left w:val="single" w:sz="4" w:space="0" w:color="auto"/>
              <w:bottom w:val="single" w:sz="4" w:space="0" w:color="auto"/>
              <w:right w:val="single" w:sz="4" w:space="0" w:color="auto"/>
            </w:tcBorders>
          </w:tcPr>
          <w:p w:rsidR="00156DD6" w:rsidRDefault="00D51F5F">
            <w:pPr>
              <w:ind w:right="6"/>
              <w:jc w:val="center"/>
              <w:rPr>
                <w:color w:val="000000" w:themeColor="text1"/>
              </w:rPr>
            </w:pPr>
            <w:r>
              <w:rPr>
                <w:rFonts w:hint="eastAsia"/>
                <w:color w:val="000000" w:themeColor="text1"/>
              </w:rPr>
              <w:t>合计</w:t>
            </w:r>
          </w:p>
        </w:tc>
        <w:tc>
          <w:tcPr>
            <w:tcW w:w="131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2,263,566.39 </w:t>
            </w:r>
          </w:p>
        </w:tc>
        <w:tc>
          <w:tcPr>
            <w:tcW w:w="128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22,364,539.39 </w:t>
            </w:r>
          </w:p>
        </w:tc>
        <w:tc>
          <w:tcPr>
            <w:tcW w:w="1280"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rPr>
                <w:rFonts w:hint="eastAsia"/>
              </w:rPr>
              <w:t xml:space="preserve"> 2,263,566.39 </w:t>
            </w:r>
          </w:p>
        </w:tc>
      </w:tr>
    </w:tbl>
    <w:p w:rsidR="00156DD6" w:rsidRDefault="00D51F5F">
      <w:pPr>
        <w:spacing w:before="60" w:after="60"/>
        <w:rPr>
          <w:color w:val="000000" w:themeColor="text1"/>
        </w:rPr>
      </w:pPr>
      <w:r>
        <w:rPr>
          <w:rFonts w:hint="eastAsia"/>
          <w:color w:val="000000" w:themeColor="text1"/>
        </w:rPr>
        <w:t>其他说明：</w:t>
      </w:r>
    </w:p>
    <w:sdt>
      <w:sdtPr>
        <w:rPr>
          <w:rFonts w:hint="eastAsia"/>
          <w:color w:val="000000" w:themeColor="text1"/>
        </w:rPr>
        <w:alias w:val="营业外支出说明"/>
        <w:tag w:val="_GBC_948d4d2c5cfc43b999d968de3476bc75"/>
        <w:id w:val="579493971"/>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53"/>
        </w:numPr>
        <w:rPr>
          <w:color w:val="000000" w:themeColor="text1"/>
          <w:sz w:val="21"/>
          <w:szCs w:val="21"/>
        </w:rPr>
      </w:pPr>
      <w:r>
        <w:rPr>
          <w:color w:val="000000" w:themeColor="text1"/>
          <w:sz w:val="21"/>
          <w:szCs w:val="21"/>
        </w:rPr>
        <w:t>所得税费用</w:t>
      </w:r>
    </w:p>
    <w:p w:rsidR="00156DD6" w:rsidRDefault="00D51F5F">
      <w:pPr>
        <w:pStyle w:val="Style47"/>
        <w:numPr>
          <w:ilvl w:val="0"/>
          <w:numId w:val="79"/>
        </w:numPr>
        <w:rPr>
          <w:rFonts w:ascii="宋体" w:hAnsi="宋体"/>
          <w:color w:val="000000" w:themeColor="text1"/>
          <w:sz w:val="21"/>
          <w:szCs w:val="21"/>
        </w:rPr>
      </w:pPr>
      <w:bookmarkStart w:id="433" w:name="OLE_LINK15"/>
      <w:r>
        <w:rPr>
          <w:rFonts w:ascii="宋体" w:hAnsi="宋体" w:hint="eastAsia"/>
          <w:color w:val="000000" w:themeColor="text1"/>
          <w:sz w:val="21"/>
          <w:szCs w:val="21"/>
        </w:rPr>
        <w:t>所得税费用表</w:t>
      </w:r>
    </w:p>
    <w:bookmarkEnd w:id="433" w:displacedByCustomXml="next"/>
    <w:sdt>
      <w:sdtPr>
        <w:rPr>
          <w:color w:val="000000" w:themeColor="text1"/>
        </w:rPr>
        <w:alias w:val="是否适用：所得税费用表[双击切换]"/>
        <w:tag w:val="_GBC_61ff35087b014685a6e03347957ab922"/>
        <w:id w:val="-169214731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wordWrap w:val="0"/>
        <w:jc w:val="right"/>
        <w:rPr>
          <w:color w:val="000000" w:themeColor="text1"/>
        </w:rPr>
      </w:pPr>
      <w:r>
        <w:rPr>
          <w:rFonts w:hint="eastAsia"/>
          <w:color w:val="000000" w:themeColor="text1"/>
        </w:rPr>
        <w:t>单位：</w:t>
      </w:r>
      <w:sdt>
        <w:sdtPr>
          <w:rPr>
            <w:rFonts w:hint="eastAsia"/>
            <w:color w:val="000000" w:themeColor="text1"/>
          </w:rPr>
          <w:alias w:val="单位：财务附注：所得税费用"/>
          <w:tag w:val="_GBC_18ed8ed511fe4791a90ee25fc956bd2b"/>
          <w:id w:val="-9417620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所得税费用"/>
          <w:tag w:val="_GBC_ecc6df02f1744ff084d6c0d30045219a"/>
          <w:id w:val="-17886522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31"/>
        <w:gridCol w:w="2854"/>
        <w:gridCol w:w="2838"/>
      </w:tblGrid>
      <w:tr w:rsidR="00156DD6">
        <w:trPr>
          <w:trHeight w:val="87"/>
        </w:trPr>
        <w:bookmarkStart w:id="434" w:name="OLE_LINK17" w:displacedByCustomXml="next"/>
        <w:sdt>
          <w:sdtPr>
            <w:tag w:val="_PLD_951f380ec376457cb80126c7d6018f65"/>
            <w:id w:val="223882193"/>
          </w:sdtPr>
          <w:sdtEndPr/>
          <w:sdtContent>
            <w:tc>
              <w:tcPr>
                <w:tcW w:w="1774" w:type="pct"/>
                <w:vAlign w:val="center"/>
              </w:tcPr>
              <w:p w:rsidR="00156DD6" w:rsidRDefault="00D51F5F">
                <w:pPr>
                  <w:ind w:right="6"/>
                  <w:jc w:val="center"/>
                  <w:rPr>
                    <w:color w:val="000000" w:themeColor="text1"/>
                  </w:rPr>
                </w:pPr>
                <w:r>
                  <w:rPr>
                    <w:rFonts w:hint="eastAsia"/>
                    <w:color w:val="000000" w:themeColor="text1"/>
                  </w:rPr>
                  <w:t>项目</w:t>
                </w:r>
              </w:p>
            </w:tc>
          </w:sdtContent>
        </w:sdt>
        <w:sdt>
          <w:sdtPr>
            <w:tag w:val="_PLD_1e59791ce9d340b7b60e63b833f13708"/>
            <w:id w:val="827018607"/>
          </w:sdtPr>
          <w:sdtEndPr/>
          <w:sdtContent>
            <w:tc>
              <w:tcPr>
                <w:tcW w:w="1617" w:type="pct"/>
                <w:vAlign w:val="center"/>
              </w:tcPr>
              <w:p w:rsidR="00156DD6" w:rsidRDefault="00D51F5F">
                <w:pPr>
                  <w:ind w:right="6"/>
                  <w:jc w:val="center"/>
                  <w:rPr>
                    <w:color w:val="000000" w:themeColor="text1"/>
                  </w:rPr>
                </w:pPr>
                <w:r>
                  <w:rPr>
                    <w:rFonts w:hint="eastAsia"/>
                    <w:color w:val="000000" w:themeColor="text1"/>
                  </w:rPr>
                  <w:t>本期发生额</w:t>
                </w:r>
              </w:p>
            </w:tc>
          </w:sdtContent>
        </w:sdt>
        <w:sdt>
          <w:sdtPr>
            <w:tag w:val="_PLD_23c0825dcbc74481a17a7811dee40e02"/>
            <w:id w:val="-478146932"/>
          </w:sdtPr>
          <w:sdtEndPr/>
          <w:sdtContent>
            <w:tc>
              <w:tcPr>
                <w:tcW w:w="1608" w:type="pct"/>
                <w:vAlign w:val="center"/>
              </w:tcPr>
              <w:p w:rsidR="00156DD6" w:rsidRDefault="00D51F5F">
                <w:pPr>
                  <w:ind w:right="6"/>
                  <w:jc w:val="center"/>
                  <w:rPr>
                    <w:color w:val="000000" w:themeColor="text1"/>
                  </w:rPr>
                </w:pPr>
                <w:r>
                  <w:rPr>
                    <w:rFonts w:hint="eastAsia"/>
                    <w:color w:val="000000" w:themeColor="text1"/>
                  </w:rPr>
                  <w:t>上期发生额</w:t>
                </w:r>
              </w:p>
            </w:tc>
          </w:sdtContent>
        </w:sdt>
      </w:tr>
      <w:tr w:rsidR="00156DD6">
        <w:tc>
          <w:tcPr>
            <w:tcW w:w="1774" w:type="pct"/>
          </w:tcPr>
          <w:p w:rsidR="00156DD6" w:rsidRDefault="00D51F5F">
            <w:pPr>
              <w:ind w:right="6"/>
              <w:rPr>
                <w:b/>
                <w:color w:val="000000" w:themeColor="text1"/>
              </w:rPr>
            </w:pPr>
            <w:r>
              <w:rPr>
                <w:rFonts w:hint="eastAsia"/>
                <w:color w:val="000000" w:themeColor="text1"/>
              </w:rPr>
              <w:t>当期所得税费用</w:t>
            </w:r>
          </w:p>
        </w:tc>
        <w:tc>
          <w:tcPr>
            <w:tcW w:w="1617" w:type="pct"/>
          </w:tcPr>
          <w:p w:rsidR="00156DD6" w:rsidRDefault="00D51F5F">
            <w:pPr>
              <w:jc w:val="right"/>
            </w:pPr>
            <w:r>
              <w:rPr>
                <w:rFonts w:hint="eastAsia"/>
              </w:rPr>
              <w:t xml:space="preserve"> 6,567,686.14 </w:t>
            </w:r>
          </w:p>
        </w:tc>
        <w:tc>
          <w:tcPr>
            <w:tcW w:w="1608" w:type="pct"/>
          </w:tcPr>
          <w:p w:rsidR="00156DD6" w:rsidRDefault="00D51F5F">
            <w:pPr>
              <w:ind w:right="6"/>
              <w:jc w:val="right"/>
            </w:pPr>
            <w:r>
              <w:rPr>
                <w:rFonts w:hint="eastAsia"/>
              </w:rPr>
              <w:t xml:space="preserve"> -3,123,506.24 </w:t>
            </w:r>
          </w:p>
        </w:tc>
      </w:tr>
      <w:tr w:rsidR="00156DD6">
        <w:tc>
          <w:tcPr>
            <w:tcW w:w="1774" w:type="pct"/>
          </w:tcPr>
          <w:p w:rsidR="00156DD6" w:rsidRDefault="00D51F5F">
            <w:pPr>
              <w:ind w:right="6"/>
              <w:rPr>
                <w:color w:val="000000" w:themeColor="text1"/>
              </w:rPr>
            </w:pPr>
            <w:r>
              <w:rPr>
                <w:rFonts w:hint="eastAsia"/>
                <w:color w:val="000000" w:themeColor="text1"/>
              </w:rPr>
              <w:t>递延所得税费用</w:t>
            </w:r>
          </w:p>
        </w:tc>
        <w:tc>
          <w:tcPr>
            <w:tcW w:w="1617" w:type="pct"/>
          </w:tcPr>
          <w:p w:rsidR="00156DD6" w:rsidRDefault="00D51F5F">
            <w:pPr>
              <w:jc w:val="right"/>
            </w:pPr>
            <w:r>
              <w:rPr>
                <w:rFonts w:hint="eastAsia"/>
              </w:rPr>
              <w:t xml:space="preserve"> 3,558,601.23 </w:t>
            </w:r>
          </w:p>
        </w:tc>
        <w:tc>
          <w:tcPr>
            <w:tcW w:w="1608" w:type="pct"/>
          </w:tcPr>
          <w:p w:rsidR="00156DD6" w:rsidRDefault="00D51F5F">
            <w:pPr>
              <w:ind w:right="6"/>
              <w:jc w:val="right"/>
            </w:pPr>
            <w:r>
              <w:rPr>
                <w:rFonts w:hint="eastAsia"/>
              </w:rPr>
              <w:t xml:space="preserve"> 6,017,097.87 </w:t>
            </w:r>
          </w:p>
        </w:tc>
      </w:tr>
      <w:tr w:rsidR="00156DD6">
        <w:tc>
          <w:tcPr>
            <w:tcW w:w="1774" w:type="pct"/>
          </w:tcPr>
          <w:p w:rsidR="00156DD6" w:rsidRDefault="00D51F5F">
            <w:pPr>
              <w:ind w:right="6"/>
              <w:jc w:val="center"/>
              <w:rPr>
                <w:color w:val="000000" w:themeColor="text1"/>
              </w:rPr>
            </w:pPr>
            <w:r>
              <w:rPr>
                <w:rFonts w:hint="eastAsia"/>
                <w:color w:val="000000" w:themeColor="text1"/>
              </w:rPr>
              <w:t>合计</w:t>
            </w:r>
          </w:p>
        </w:tc>
        <w:tc>
          <w:tcPr>
            <w:tcW w:w="1617" w:type="pct"/>
          </w:tcPr>
          <w:p w:rsidR="00156DD6" w:rsidRDefault="00D51F5F">
            <w:pPr>
              <w:ind w:right="6"/>
              <w:jc w:val="right"/>
            </w:pPr>
            <w:r>
              <w:rPr>
                <w:rFonts w:hint="eastAsia"/>
              </w:rPr>
              <w:t xml:space="preserve"> 10,126,287.37 </w:t>
            </w:r>
          </w:p>
        </w:tc>
        <w:tc>
          <w:tcPr>
            <w:tcW w:w="1608" w:type="pct"/>
          </w:tcPr>
          <w:p w:rsidR="00156DD6" w:rsidRDefault="00D51F5F">
            <w:pPr>
              <w:ind w:right="6"/>
              <w:jc w:val="right"/>
            </w:pPr>
            <w:r>
              <w:rPr>
                <w:rFonts w:hint="eastAsia"/>
              </w:rPr>
              <w:t xml:space="preserve"> 2,893,591.63 </w:t>
            </w:r>
          </w:p>
        </w:tc>
      </w:tr>
    </w:tbl>
    <w:bookmarkEnd w:id="434"/>
    <w:p w:rsidR="00156DD6" w:rsidRDefault="00D51F5F">
      <w:pPr>
        <w:pStyle w:val="Style47"/>
        <w:numPr>
          <w:ilvl w:val="0"/>
          <w:numId w:val="79"/>
        </w:numPr>
        <w:rPr>
          <w:rFonts w:ascii="宋体" w:hAnsi="宋体"/>
          <w:color w:val="000000" w:themeColor="text1"/>
          <w:sz w:val="21"/>
          <w:szCs w:val="21"/>
        </w:rPr>
      </w:pPr>
      <w:r>
        <w:rPr>
          <w:rFonts w:ascii="宋体" w:hAnsi="宋体" w:hint="eastAsia"/>
          <w:color w:val="000000" w:themeColor="text1"/>
          <w:sz w:val="21"/>
          <w:szCs w:val="21"/>
        </w:rPr>
        <w:t>会计利润与所得税费用调整过程</w:t>
      </w:r>
    </w:p>
    <w:sdt>
      <w:sdtPr>
        <w:rPr>
          <w:color w:val="000000" w:themeColor="text1"/>
        </w:rPr>
        <w:alias w:val="是否适用：会计利润与所得税费用调整过程[双击切换]"/>
        <w:tag w:val="_GBC_92a49ce6320645cc9101c809f426c9db"/>
        <w:id w:val="183625168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会计利润与所得税费用调整过程"/>
          <w:tag w:val="_GBC_8b3d0d6296b944dcbc6077158d5eb7ca"/>
          <w:id w:val="-10173064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会计利润与所得税费用调整过程"/>
          <w:tag w:val="_GBC_f07b399def8f4b49bdebcbb56994fb61"/>
          <w:id w:val="-1428961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267"/>
        <w:gridCol w:w="4552"/>
      </w:tblGrid>
      <w:tr w:rsidR="00156DD6">
        <w:sdt>
          <w:sdtPr>
            <w:tag w:val="_PLD_762c770e68ab4734ab4b1455db567f92"/>
            <w:id w:val="-1970040541"/>
          </w:sdtPr>
          <w:sdtEndPr/>
          <w:sdtContent>
            <w:tc>
              <w:tcPr>
                <w:tcW w:w="2419" w:type="pct"/>
              </w:tcPr>
              <w:p w:rsidR="00156DD6" w:rsidRDefault="00D51F5F">
                <w:pPr>
                  <w:jc w:val="center"/>
                  <w:rPr>
                    <w:color w:val="000000" w:themeColor="text1"/>
                  </w:rPr>
                </w:pPr>
                <w:r>
                  <w:rPr>
                    <w:rFonts w:hint="eastAsia"/>
                    <w:color w:val="000000" w:themeColor="text1"/>
                  </w:rPr>
                  <w:t>项目</w:t>
                </w:r>
              </w:p>
            </w:tc>
          </w:sdtContent>
        </w:sdt>
        <w:sdt>
          <w:sdtPr>
            <w:tag w:val="_PLD_dbffde77b3344828a64e53b9962d0e3a"/>
            <w:id w:val="1255169027"/>
          </w:sdtPr>
          <w:sdtEndPr/>
          <w:sdtContent>
            <w:tc>
              <w:tcPr>
                <w:tcW w:w="2581" w:type="pct"/>
              </w:tcPr>
              <w:p w:rsidR="00156DD6" w:rsidRDefault="00D51F5F">
                <w:pPr>
                  <w:jc w:val="center"/>
                  <w:rPr>
                    <w:color w:val="000000" w:themeColor="text1"/>
                  </w:rPr>
                </w:pPr>
                <w:r>
                  <w:rPr>
                    <w:rFonts w:hint="eastAsia"/>
                    <w:color w:val="000000" w:themeColor="text1"/>
                  </w:rPr>
                  <w:t>本期发生额</w:t>
                </w:r>
              </w:p>
            </w:tc>
          </w:sdtContent>
        </w:sdt>
      </w:tr>
      <w:tr w:rsidR="00156DD6">
        <w:tc>
          <w:tcPr>
            <w:tcW w:w="2419" w:type="pct"/>
          </w:tcPr>
          <w:p w:rsidR="00156DD6" w:rsidRDefault="00D51F5F">
            <w:pPr>
              <w:ind w:right="6"/>
              <w:rPr>
                <w:b/>
                <w:color w:val="000000" w:themeColor="text1"/>
              </w:rPr>
            </w:pPr>
            <w:r>
              <w:rPr>
                <w:rFonts w:hint="eastAsia"/>
                <w:color w:val="000000" w:themeColor="text1"/>
              </w:rPr>
              <w:t>利润总额</w:t>
            </w:r>
          </w:p>
        </w:tc>
        <w:tc>
          <w:tcPr>
            <w:tcW w:w="2581" w:type="pct"/>
          </w:tcPr>
          <w:p w:rsidR="00156DD6" w:rsidRDefault="00D51F5F">
            <w:pPr>
              <w:jc w:val="right"/>
            </w:pPr>
            <w:r>
              <w:rPr>
                <w:rFonts w:hint="eastAsia"/>
              </w:rPr>
              <w:t xml:space="preserve"> 69,791,912.74 </w:t>
            </w:r>
          </w:p>
        </w:tc>
      </w:tr>
      <w:tr w:rsidR="00156DD6">
        <w:tc>
          <w:tcPr>
            <w:tcW w:w="2419" w:type="pct"/>
          </w:tcPr>
          <w:p w:rsidR="00156DD6" w:rsidRDefault="00D51F5F">
            <w:pPr>
              <w:ind w:right="6"/>
              <w:rPr>
                <w:color w:val="000000" w:themeColor="text1"/>
              </w:rPr>
            </w:pPr>
            <w:r>
              <w:rPr>
                <w:rFonts w:hint="eastAsia"/>
                <w:color w:val="000000" w:themeColor="text1"/>
              </w:rPr>
              <w:t>按法定</w:t>
            </w:r>
            <w:r>
              <w:rPr>
                <w:color w:val="000000" w:themeColor="text1"/>
              </w:rPr>
              <w:t>/</w:t>
            </w:r>
            <w:r>
              <w:rPr>
                <w:rFonts w:hint="eastAsia"/>
                <w:color w:val="000000" w:themeColor="text1"/>
              </w:rPr>
              <w:t>适用税率计算的所得税费用</w:t>
            </w:r>
          </w:p>
        </w:tc>
        <w:tc>
          <w:tcPr>
            <w:tcW w:w="2581" w:type="pct"/>
          </w:tcPr>
          <w:p w:rsidR="00156DD6" w:rsidRDefault="00D51F5F">
            <w:pPr>
              <w:jc w:val="right"/>
            </w:pPr>
            <w:r>
              <w:rPr>
                <w:rFonts w:hint="eastAsia"/>
              </w:rPr>
              <w:t xml:space="preserve"> 10,468,786.91 </w:t>
            </w:r>
          </w:p>
        </w:tc>
      </w:tr>
      <w:tr w:rsidR="00156DD6">
        <w:trPr>
          <w:trHeight w:val="139"/>
        </w:trPr>
        <w:tc>
          <w:tcPr>
            <w:tcW w:w="2419" w:type="pct"/>
          </w:tcPr>
          <w:p w:rsidR="00156DD6" w:rsidRDefault="00D51F5F">
            <w:pPr>
              <w:ind w:right="6"/>
              <w:rPr>
                <w:color w:val="000000" w:themeColor="text1"/>
              </w:rPr>
            </w:pPr>
            <w:r>
              <w:rPr>
                <w:rFonts w:hint="eastAsia"/>
                <w:color w:val="000000" w:themeColor="text1"/>
              </w:rPr>
              <w:t>子公司适用不同税率的影响</w:t>
            </w:r>
          </w:p>
        </w:tc>
        <w:tc>
          <w:tcPr>
            <w:tcW w:w="2581" w:type="pct"/>
          </w:tcPr>
          <w:p w:rsidR="00156DD6" w:rsidRDefault="00D51F5F">
            <w:pPr>
              <w:jc w:val="right"/>
            </w:pPr>
            <w:r>
              <w:rPr>
                <w:rFonts w:hint="eastAsia"/>
              </w:rPr>
              <w:t xml:space="preserve"> -220,788.76 </w:t>
            </w:r>
          </w:p>
        </w:tc>
      </w:tr>
      <w:tr w:rsidR="00156DD6">
        <w:tc>
          <w:tcPr>
            <w:tcW w:w="2419" w:type="pct"/>
          </w:tcPr>
          <w:p w:rsidR="00156DD6" w:rsidRDefault="00D51F5F">
            <w:pPr>
              <w:ind w:right="6"/>
              <w:rPr>
                <w:color w:val="000000" w:themeColor="text1"/>
              </w:rPr>
            </w:pPr>
            <w:r>
              <w:rPr>
                <w:rFonts w:hint="eastAsia"/>
                <w:color w:val="000000" w:themeColor="text1"/>
              </w:rPr>
              <w:t>调整以前期间所得税的影响</w:t>
            </w:r>
          </w:p>
        </w:tc>
        <w:tc>
          <w:tcPr>
            <w:tcW w:w="2581" w:type="pct"/>
          </w:tcPr>
          <w:p w:rsidR="00156DD6" w:rsidRDefault="00156DD6">
            <w:pPr>
              <w:jc w:val="right"/>
            </w:pPr>
          </w:p>
        </w:tc>
      </w:tr>
      <w:tr w:rsidR="00156DD6">
        <w:tc>
          <w:tcPr>
            <w:tcW w:w="2419" w:type="pct"/>
          </w:tcPr>
          <w:p w:rsidR="00156DD6" w:rsidRDefault="00D51F5F">
            <w:pPr>
              <w:ind w:right="6"/>
              <w:rPr>
                <w:color w:val="000000" w:themeColor="text1"/>
              </w:rPr>
            </w:pPr>
            <w:r>
              <w:rPr>
                <w:rFonts w:hint="eastAsia"/>
                <w:color w:val="000000" w:themeColor="text1"/>
              </w:rPr>
              <w:t>非应税收入的影响</w:t>
            </w:r>
          </w:p>
        </w:tc>
        <w:tc>
          <w:tcPr>
            <w:tcW w:w="2581" w:type="pct"/>
          </w:tcPr>
          <w:p w:rsidR="00156DD6" w:rsidRDefault="00156DD6">
            <w:pPr>
              <w:jc w:val="right"/>
            </w:pPr>
          </w:p>
        </w:tc>
      </w:tr>
      <w:tr w:rsidR="00156DD6">
        <w:tc>
          <w:tcPr>
            <w:tcW w:w="2419" w:type="pct"/>
          </w:tcPr>
          <w:p w:rsidR="00156DD6" w:rsidRDefault="00D51F5F">
            <w:pPr>
              <w:ind w:right="6"/>
              <w:rPr>
                <w:color w:val="000000" w:themeColor="text1"/>
              </w:rPr>
            </w:pPr>
            <w:r>
              <w:rPr>
                <w:rFonts w:hint="eastAsia"/>
                <w:color w:val="000000" w:themeColor="text1"/>
              </w:rPr>
              <w:t>研发费用等加计扣除项目的影响</w:t>
            </w:r>
          </w:p>
        </w:tc>
        <w:tc>
          <w:tcPr>
            <w:tcW w:w="2581" w:type="pct"/>
          </w:tcPr>
          <w:p w:rsidR="00156DD6" w:rsidRDefault="00D51F5F">
            <w:pPr>
              <w:jc w:val="right"/>
            </w:pPr>
            <w:r>
              <w:rPr>
                <w:rFonts w:hint="eastAsia"/>
              </w:rPr>
              <w:t xml:space="preserve"> -2,245,962.63 </w:t>
            </w:r>
          </w:p>
        </w:tc>
      </w:tr>
      <w:tr w:rsidR="00156DD6">
        <w:tc>
          <w:tcPr>
            <w:tcW w:w="2419" w:type="pct"/>
          </w:tcPr>
          <w:p w:rsidR="00156DD6" w:rsidRDefault="00D51F5F">
            <w:pPr>
              <w:ind w:right="6"/>
              <w:rPr>
                <w:color w:val="000000" w:themeColor="text1"/>
              </w:rPr>
            </w:pPr>
            <w:r>
              <w:rPr>
                <w:rFonts w:hint="eastAsia"/>
                <w:color w:val="000000" w:themeColor="text1"/>
              </w:rPr>
              <w:t>不可抵扣的成本、费用和损失的影响</w:t>
            </w:r>
          </w:p>
        </w:tc>
        <w:tc>
          <w:tcPr>
            <w:tcW w:w="2581" w:type="pct"/>
          </w:tcPr>
          <w:p w:rsidR="00156DD6" w:rsidRDefault="00D51F5F">
            <w:pPr>
              <w:jc w:val="right"/>
            </w:pPr>
            <w:r>
              <w:rPr>
                <w:rFonts w:hint="eastAsia"/>
              </w:rPr>
              <w:t xml:space="preserve"> 2,124,251.85 </w:t>
            </w:r>
          </w:p>
        </w:tc>
      </w:tr>
      <w:tr w:rsidR="00156DD6">
        <w:tc>
          <w:tcPr>
            <w:tcW w:w="2419" w:type="pct"/>
          </w:tcPr>
          <w:p w:rsidR="00156DD6" w:rsidRDefault="00D51F5F">
            <w:pPr>
              <w:ind w:right="6"/>
              <w:rPr>
                <w:color w:val="000000" w:themeColor="text1"/>
              </w:rPr>
            </w:pPr>
            <w:r>
              <w:rPr>
                <w:rFonts w:hint="eastAsia"/>
                <w:color w:val="000000" w:themeColor="text1"/>
              </w:rPr>
              <w:t>使用前期未确认递延所得税资产的可抵扣亏损的影响</w:t>
            </w:r>
          </w:p>
        </w:tc>
        <w:tc>
          <w:tcPr>
            <w:tcW w:w="2581" w:type="pct"/>
          </w:tcPr>
          <w:p w:rsidR="00156DD6" w:rsidRDefault="00156DD6">
            <w:pPr>
              <w:jc w:val="right"/>
            </w:pPr>
          </w:p>
        </w:tc>
      </w:tr>
      <w:tr w:rsidR="00156DD6">
        <w:tc>
          <w:tcPr>
            <w:tcW w:w="2419" w:type="pct"/>
          </w:tcPr>
          <w:p w:rsidR="00156DD6" w:rsidRDefault="00D51F5F">
            <w:pPr>
              <w:ind w:right="6"/>
              <w:rPr>
                <w:color w:val="000000" w:themeColor="text1"/>
              </w:rPr>
            </w:pPr>
            <w:r>
              <w:rPr>
                <w:rFonts w:hint="eastAsia"/>
                <w:color w:val="000000" w:themeColor="text1"/>
              </w:rPr>
              <w:t>本期未确认递延所得税资产的可抵扣暂时性差异或可抵扣亏损的影响</w:t>
            </w:r>
          </w:p>
        </w:tc>
        <w:tc>
          <w:tcPr>
            <w:tcW w:w="2581" w:type="pct"/>
          </w:tcPr>
          <w:p w:rsidR="00156DD6" w:rsidRDefault="00156DD6">
            <w:pPr>
              <w:jc w:val="right"/>
            </w:pPr>
          </w:p>
        </w:tc>
      </w:tr>
      <w:tr w:rsidR="00156DD6">
        <w:tc>
          <w:tcPr>
            <w:tcW w:w="2419" w:type="pct"/>
            <w:vAlign w:val="center"/>
          </w:tcPr>
          <w:p w:rsidR="00156DD6" w:rsidRDefault="00D51F5F">
            <w:pPr>
              <w:pStyle w:val="Style43"/>
            </w:pPr>
            <w:r>
              <w:rPr>
                <w:rFonts w:hint="eastAsia"/>
              </w:rPr>
              <w:t>税率调整导致期初递延所得税资产</w:t>
            </w:r>
            <w:r>
              <w:rPr>
                <w:rFonts w:hint="eastAsia"/>
              </w:rPr>
              <w:t>/</w:t>
            </w:r>
            <w:r>
              <w:rPr>
                <w:rFonts w:hint="eastAsia"/>
              </w:rPr>
              <w:t>负债余额的变化</w:t>
            </w:r>
          </w:p>
        </w:tc>
        <w:tc>
          <w:tcPr>
            <w:tcW w:w="2581" w:type="pct"/>
          </w:tcPr>
          <w:p w:rsidR="00156DD6" w:rsidRDefault="00156DD6">
            <w:pPr>
              <w:jc w:val="right"/>
            </w:pPr>
          </w:p>
        </w:tc>
      </w:tr>
      <w:tr w:rsidR="00156DD6">
        <w:tc>
          <w:tcPr>
            <w:tcW w:w="2419" w:type="pct"/>
          </w:tcPr>
          <w:p w:rsidR="00156DD6" w:rsidRDefault="00D51F5F">
            <w:pPr>
              <w:rPr>
                <w:color w:val="000000" w:themeColor="text1"/>
              </w:rPr>
            </w:pPr>
            <w:r>
              <w:rPr>
                <w:rFonts w:hint="eastAsia"/>
                <w:color w:val="000000" w:themeColor="text1"/>
              </w:rPr>
              <w:t>所得税费用</w:t>
            </w:r>
          </w:p>
        </w:tc>
        <w:tc>
          <w:tcPr>
            <w:tcW w:w="2581" w:type="pct"/>
          </w:tcPr>
          <w:p w:rsidR="00156DD6" w:rsidRDefault="00D51F5F">
            <w:pPr>
              <w:jc w:val="right"/>
            </w:pPr>
            <w:r>
              <w:rPr>
                <w:rFonts w:hint="eastAsia"/>
              </w:rPr>
              <w:t>10,126,287.37</w:t>
            </w:r>
          </w:p>
        </w:tc>
      </w:tr>
    </w:tbl>
    <w:p w:rsidR="00156DD6" w:rsidRDefault="00D51F5F">
      <w:pPr>
        <w:spacing w:before="60" w:after="60"/>
        <w:rPr>
          <w:color w:val="000000" w:themeColor="text1"/>
        </w:rPr>
      </w:pPr>
      <w:r>
        <w:rPr>
          <w:rFonts w:hint="eastAsia"/>
          <w:color w:val="000000" w:themeColor="text1"/>
        </w:rPr>
        <w:t>其他说明：</w:t>
      </w:r>
    </w:p>
    <w:sdt>
      <w:sdtPr>
        <w:rPr>
          <w:color w:val="000000" w:themeColor="text1"/>
        </w:rPr>
        <w:alias w:val="是否适用：所得税费用的说明[双击切换]"/>
        <w:tag w:val="_GBC_0363d79a647b4d96aa5d7b72c93b1e45"/>
        <w:id w:val="876438196"/>
        <w:placeholder>
          <w:docPart w:val="GBC22222222222222222222222222222"/>
        </w:placeholder>
      </w:sdtPr>
      <w:sdtEndPr/>
      <w:sdtContent>
        <w:p w:rsidR="00156DD6" w:rsidRDefault="00D51F5F">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1"/>
        </w:rPr>
      </w:pPr>
      <w:r>
        <w:rPr>
          <w:color w:val="000000" w:themeColor="text1"/>
          <w:sz w:val="21"/>
          <w:szCs w:val="21"/>
        </w:rPr>
        <w:t>其他综合收益</w:t>
      </w:r>
    </w:p>
    <w:sdt>
      <w:sdtPr>
        <w:rPr>
          <w:color w:val="000000" w:themeColor="text1"/>
        </w:rPr>
        <w:alias w:val="是否适用：其他综合收益[双击切换]"/>
        <w:tag w:val="_GBC_bef6c47936994e5e94c77d5dd812be30"/>
        <w:id w:val="-35118265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其他综合收益详见附注"/>
        <w:tag w:val="_GBC_6f59ae7e2b78472ea4fa736cbb8f062d"/>
        <w:id w:val="320464752"/>
        <w:placeholder>
          <w:docPart w:val="GBC22222222222222222222222222222"/>
        </w:placeholder>
      </w:sdtPr>
      <w:sdtEndPr/>
      <w:sdtContent>
        <w:p w:rsidR="00156DD6" w:rsidRDefault="00D51F5F">
          <w:r>
            <w:rPr>
              <w:rFonts w:hint="eastAsia"/>
            </w:rPr>
            <w:t>详见“</w:t>
          </w:r>
          <w:bookmarkStart w:id="435" w:name="OLE_LINK99"/>
          <w:r>
            <w:rPr>
              <w:rFonts w:hint="eastAsia"/>
            </w:rPr>
            <w:t>第八节</w:t>
          </w:r>
          <w:r>
            <w:rPr>
              <w:rFonts w:hint="eastAsia"/>
            </w:rPr>
            <w:t>.</w:t>
          </w:r>
          <w:r>
            <w:rPr>
              <w:rFonts w:hint="eastAsia"/>
            </w:rPr>
            <w:t>七、合并财务报表项目注释</w:t>
          </w:r>
          <w:r>
            <w:rPr>
              <w:rFonts w:hint="eastAsia"/>
            </w:rPr>
            <w:t>.57</w:t>
          </w:r>
          <w:r>
            <w:rPr>
              <w:rFonts w:hint="eastAsia"/>
            </w:rPr>
            <w:t>、其他综合收益</w:t>
          </w:r>
          <w:bookmarkEnd w:id="435"/>
          <w:r>
            <w:rPr>
              <w:rFonts w:hint="eastAsia"/>
            </w:rPr>
            <w:t>”。</w:t>
          </w:r>
        </w:p>
      </w:sdtContent>
    </w:sdt>
    <w:p w:rsidR="00156DD6" w:rsidRDefault="00D51F5F">
      <w:pPr>
        <w:pStyle w:val="TOC6"/>
        <w:numPr>
          <w:ilvl w:val="0"/>
          <w:numId w:val="53"/>
        </w:numPr>
        <w:rPr>
          <w:color w:val="000000" w:themeColor="text1"/>
          <w:sz w:val="21"/>
          <w:szCs w:val="21"/>
        </w:rPr>
      </w:pPr>
      <w:r>
        <w:rPr>
          <w:color w:val="000000" w:themeColor="text1"/>
          <w:sz w:val="21"/>
          <w:szCs w:val="21"/>
        </w:rPr>
        <w:lastRenderedPageBreak/>
        <w:t>现金流量表项目</w:t>
      </w:r>
    </w:p>
    <w:p w:rsidR="00156DD6" w:rsidRDefault="00D51F5F">
      <w:pPr>
        <w:pStyle w:val="Style47"/>
        <w:numPr>
          <w:ilvl w:val="0"/>
          <w:numId w:val="80"/>
        </w:numPr>
        <w:rPr>
          <w:color w:val="000000" w:themeColor="text1"/>
          <w:sz w:val="21"/>
          <w:szCs w:val="21"/>
        </w:rPr>
      </w:pPr>
      <w:r>
        <w:rPr>
          <w:rFonts w:hint="eastAsia"/>
          <w:color w:val="000000" w:themeColor="text1"/>
          <w:sz w:val="21"/>
          <w:szCs w:val="21"/>
        </w:rPr>
        <w:t>与经营活动有关的现金</w:t>
      </w:r>
    </w:p>
    <w:p w:rsidR="00156DD6" w:rsidRDefault="00D51F5F">
      <w:pPr>
        <w:rPr>
          <w:color w:val="000000" w:themeColor="text1"/>
        </w:rPr>
      </w:pPr>
      <w:r>
        <w:rPr>
          <w:rFonts w:hint="eastAsia"/>
          <w:color w:val="000000" w:themeColor="text1"/>
        </w:rPr>
        <w:t>收到的其他与经营活动有关的现金</w:t>
      </w:r>
    </w:p>
    <w:sdt>
      <w:sdtPr>
        <w:rPr>
          <w:color w:val="000000" w:themeColor="text1"/>
        </w:rPr>
        <w:alias w:val="是否适用：收到的其他与经营活动有关的现金[双击切换]"/>
        <w:tag w:val="_GBC_c5c1fd7856fd40f88e814da378eb1220"/>
        <w:id w:val="25009166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收到的其他与经营活动有关的现金"/>
          <w:tag w:val="_GBC_5ccae82b68484e708f12fda90762616a"/>
          <w:id w:val="-14951048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收到的其他与经营活动有关的现金"/>
          <w:tag w:val="_GBC_fab1e143b1314991a3aebb857ed68a09"/>
          <w:id w:val="-17205882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56"/>
        <w:gridCol w:w="2746"/>
      </w:tblGrid>
      <w:tr w:rsidR="00156DD6">
        <w:sdt>
          <w:sdtPr>
            <w:tag w:val="_PLD_37a08d49f8e14506929ae8c9544c259e"/>
            <w:id w:val="1233977806"/>
          </w:sdtPr>
          <w:sdtEndPr/>
          <w:sdtContent>
            <w:tc>
              <w:tcPr>
                <w:tcW w:w="1882"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f6cb8d17057e4de79000a7b7c263b07e"/>
            <w:id w:val="1995368405"/>
          </w:sdtPr>
          <w:sdtEndPr/>
          <w:sdtContent>
            <w:tc>
              <w:tcPr>
                <w:tcW w:w="1562"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tag w:val="_PLD_28d6db3ec51c43eb8751b53e93c8f270"/>
            <w:id w:val="1323617274"/>
          </w:sdtPr>
          <w:sdtEndPr/>
          <w:sdtContent>
            <w:tc>
              <w:tcPr>
                <w:tcW w:w="1556"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156DD6">
        <w:tc>
          <w:tcPr>
            <w:tcW w:w="1882" w:type="pct"/>
          </w:tcPr>
          <w:p w:rsidR="00156DD6" w:rsidRDefault="00D51F5F">
            <w:pPr>
              <w:autoSpaceDE w:val="0"/>
              <w:autoSpaceDN w:val="0"/>
              <w:adjustRightInd w:val="0"/>
              <w:snapToGrid w:val="0"/>
              <w:spacing w:line="240" w:lineRule="atLeast"/>
            </w:pPr>
            <w:r>
              <w:rPr>
                <w:rFonts w:hint="eastAsia"/>
              </w:rPr>
              <w:t>收到政府补助</w:t>
            </w:r>
          </w:p>
        </w:tc>
        <w:tc>
          <w:tcPr>
            <w:tcW w:w="1562" w:type="pct"/>
          </w:tcPr>
          <w:p w:rsidR="00156DD6" w:rsidRDefault="00D51F5F">
            <w:pPr>
              <w:jc w:val="right"/>
            </w:pPr>
            <w:r>
              <w:rPr>
                <w:rFonts w:hint="eastAsia"/>
              </w:rPr>
              <w:t xml:space="preserve"> 5,456,350.96 </w:t>
            </w:r>
          </w:p>
        </w:tc>
        <w:tc>
          <w:tcPr>
            <w:tcW w:w="1556" w:type="pct"/>
          </w:tcPr>
          <w:p w:rsidR="00156DD6" w:rsidRDefault="00D51F5F">
            <w:pPr>
              <w:jc w:val="right"/>
            </w:pPr>
            <w:r>
              <w:rPr>
                <w:rFonts w:hint="eastAsia"/>
              </w:rPr>
              <w:t xml:space="preserve"> 40,730,559.63 </w:t>
            </w:r>
          </w:p>
        </w:tc>
      </w:tr>
      <w:tr w:rsidR="00156DD6">
        <w:tc>
          <w:tcPr>
            <w:tcW w:w="1882" w:type="pct"/>
          </w:tcPr>
          <w:p w:rsidR="00156DD6" w:rsidRDefault="00D51F5F">
            <w:pPr>
              <w:autoSpaceDE w:val="0"/>
              <w:autoSpaceDN w:val="0"/>
              <w:adjustRightInd w:val="0"/>
              <w:snapToGrid w:val="0"/>
              <w:spacing w:line="240" w:lineRule="atLeast"/>
            </w:pPr>
            <w:r>
              <w:rPr>
                <w:rFonts w:hint="eastAsia"/>
              </w:rPr>
              <w:t>收到银行利息收入</w:t>
            </w:r>
          </w:p>
        </w:tc>
        <w:tc>
          <w:tcPr>
            <w:tcW w:w="1562" w:type="pct"/>
          </w:tcPr>
          <w:p w:rsidR="00156DD6" w:rsidRDefault="00D51F5F">
            <w:pPr>
              <w:jc w:val="right"/>
            </w:pPr>
            <w:r>
              <w:rPr>
                <w:rFonts w:hint="eastAsia"/>
              </w:rPr>
              <w:t xml:space="preserve"> 18,082,394.86 </w:t>
            </w:r>
          </w:p>
        </w:tc>
        <w:tc>
          <w:tcPr>
            <w:tcW w:w="1556" w:type="pct"/>
          </w:tcPr>
          <w:p w:rsidR="00156DD6" w:rsidRDefault="00D51F5F">
            <w:pPr>
              <w:jc w:val="right"/>
            </w:pPr>
            <w:r>
              <w:rPr>
                <w:rFonts w:hint="eastAsia"/>
              </w:rPr>
              <w:t xml:space="preserve"> 17,601,283.27 </w:t>
            </w:r>
          </w:p>
        </w:tc>
      </w:tr>
      <w:tr w:rsidR="00156DD6">
        <w:tc>
          <w:tcPr>
            <w:tcW w:w="1882" w:type="pct"/>
          </w:tcPr>
          <w:p w:rsidR="00156DD6" w:rsidRDefault="00D51F5F">
            <w:pPr>
              <w:autoSpaceDE w:val="0"/>
              <w:autoSpaceDN w:val="0"/>
              <w:adjustRightInd w:val="0"/>
              <w:snapToGrid w:val="0"/>
              <w:spacing w:line="240" w:lineRule="atLeast"/>
            </w:pPr>
            <w:r>
              <w:rPr>
                <w:rFonts w:hint="eastAsia"/>
              </w:rPr>
              <w:t>收到保证金及押金净额</w:t>
            </w:r>
          </w:p>
        </w:tc>
        <w:tc>
          <w:tcPr>
            <w:tcW w:w="1562" w:type="pct"/>
          </w:tcPr>
          <w:p w:rsidR="00156DD6" w:rsidRDefault="00D51F5F">
            <w:pPr>
              <w:jc w:val="right"/>
            </w:pPr>
            <w:r>
              <w:rPr>
                <w:rFonts w:hint="eastAsia"/>
              </w:rPr>
              <w:t xml:space="preserve"> 18,423,960.02 </w:t>
            </w:r>
          </w:p>
        </w:tc>
        <w:tc>
          <w:tcPr>
            <w:tcW w:w="1556" w:type="pct"/>
          </w:tcPr>
          <w:p w:rsidR="00156DD6" w:rsidRDefault="00D51F5F">
            <w:pPr>
              <w:jc w:val="right"/>
            </w:pPr>
            <w:r>
              <w:rPr>
                <w:rFonts w:hint="eastAsia"/>
              </w:rPr>
              <w:t xml:space="preserve"> 36,850,508.01 </w:t>
            </w:r>
          </w:p>
        </w:tc>
      </w:tr>
      <w:tr w:rsidR="00156DD6">
        <w:tc>
          <w:tcPr>
            <w:tcW w:w="1882" w:type="pct"/>
          </w:tcPr>
          <w:p w:rsidR="00156DD6" w:rsidRDefault="00D51F5F">
            <w:pPr>
              <w:autoSpaceDE w:val="0"/>
              <w:autoSpaceDN w:val="0"/>
              <w:adjustRightInd w:val="0"/>
              <w:snapToGrid w:val="0"/>
              <w:spacing w:line="240" w:lineRule="atLeast"/>
            </w:pPr>
            <w:r>
              <w:rPr>
                <w:rFonts w:hint="eastAsia"/>
              </w:rPr>
              <w:t>收到其他</w:t>
            </w:r>
          </w:p>
        </w:tc>
        <w:tc>
          <w:tcPr>
            <w:tcW w:w="1562" w:type="pct"/>
          </w:tcPr>
          <w:p w:rsidR="00156DD6" w:rsidRDefault="00D51F5F">
            <w:pPr>
              <w:jc w:val="right"/>
            </w:pPr>
            <w:r>
              <w:rPr>
                <w:rFonts w:hint="eastAsia"/>
              </w:rPr>
              <w:t xml:space="preserve"> 18,039,027.96 </w:t>
            </w:r>
          </w:p>
        </w:tc>
        <w:tc>
          <w:tcPr>
            <w:tcW w:w="1556" w:type="pct"/>
          </w:tcPr>
          <w:p w:rsidR="00156DD6" w:rsidRDefault="00D51F5F">
            <w:pPr>
              <w:jc w:val="right"/>
            </w:pPr>
            <w:r>
              <w:rPr>
                <w:rFonts w:hint="eastAsia"/>
              </w:rPr>
              <w:t xml:space="preserve"> 12,164,189.49 </w:t>
            </w:r>
          </w:p>
        </w:tc>
      </w:tr>
      <w:tr w:rsidR="00156DD6">
        <w:tc>
          <w:tcPr>
            <w:tcW w:w="1882"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562" w:type="pct"/>
          </w:tcPr>
          <w:p w:rsidR="00156DD6" w:rsidRDefault="00D51F5F">
            <w:pPr>
              <w:jc w:val="right"/>
            </w:pPr>
            <w:r>
              <w:rPr>
                <w:rFonts w:hint="eastAsia"/>
              </w:rPr>
              <w:t xml:space="preserve"> 60,001,733.80 </w:t>
            </w:r>
          </w:p>
        </w:tc>
        <w:tc>
          <w:tcPr>
            <w:tcW w:w="1556" w:type="pct"/>
          </w:tcPr>
          <w:p w:rsidR="00156DD6" w:rsidRDefault="00D51F5F">
            <w:pPr>
              <w:jc w:val="right"/>
            </w:pPr>
            <w:r>
              <w:rPr>
                <w:rFonts w:hint="eastAsia"/>
              </w:rPr>
              <w:t xml:space="preserve"> 107,346,540.40 </w:t>
            </w:r>
          </w:p>
        </w:tc>
      </w:tr>
    </w:tbl>
    <w:p w:rsidR="00156DD6" w:rsidRDefault="00D51F5F">
      <w:pPr>
        <w:snapToGrid w:val="0"/>
        <w:spacing w:before="60" w:after="60" w:line="240" w:lineRule="atLeast"/>
        <w:rPr>
          <w:color w:val="000000" w:themeColor="text1"/>
        </w:rPr>
      </w:pPr>
      <w:r>
        <w:rPr>
          <w:rFonts w:hint="eastAsia"/>
          <w:color w:val="000000" w:themeColor="text1"/>
        </w:rPr>
        <w:t>收到的其他与经营活动有关的现金说明：</w:t>
      </w:r>
    </w:p>
    <w:sdt>
      <w:sdtPr>
        <w:rPr>
          <w:color w:val="000000" w:themeColor="text1"/>
        </w:rPr>
        <w:alias w:val="收到的其他与经营活动有关的现金说明"/>
        <w:tag w:val="_GBC_1204b17e37bf4cc187a1ffb6f9463f05"/>
        <w:id w:val="-1505364596"/>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rPr>
          <w:color w:val="000000" w:themeColor="text1"/>
        </w:rPr>
      </w:pPr>
      <w:r>
        <w:rPr>
          <w:rFonts w:hint="eastAsia"/>
          <w:color w:val="000000" w:themeColor="text1"/>
        </w:rPr>
        <w:t>支付的其他与经营活动有关的现金</w:t>
      </w:r>
    </w:p>
    <w:sdt>
      <w:sdtPr>
        <w:rPr>
          <w:color w:val="000000" w:themeColor="text1"/>
        </w:rPr>
        <w:alias w:val="是否适用：支付的其他与经营活动有关的现金[双击切换]"/>
        <w:tag w:val="_GBC_73331002c48743d9a4438c6eb4a07c95"/>
        <w:id w:val="202674155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支付的其他与经营活动有关的现金"/>
          <w:tag w:val="_GBC_8252d4ac9be64f04b08b1dc08e270310"/>
          <w:id w:val="828827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支付的其他与经营活动有关的现金"/>
          <w:tag w:val="_GBC_37de812db19b41c8a01d10d8b0365268"/>
          <w:id w:val="15165788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37"/>
        <w:gridCol w:w="2765"/>
      </w:tblGrid>
      <w:tr w:rsidR="00156DD6">
        <w:sdt>
          <w:sdtPr>
            <w:tag w:val="_PLD_164da6d2b96e42688b06fe557d996ac2"/>
            <w:id w:val="-428964002"/>
          </w:sdtPr>
          <w:sdtEndPr/>
          <w:sdtContent>
            <w:tc>
              <w:tcPr>
                <w:tcW w:w="1882" w:type="pct"/>
              </w:tcPr>
              <w:p w:rsidR="00156DD6" w:rsidRDefault="00D51F5F">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69d21b5f023448adbd8c69a7e96e585d"/>
            <w:id w:val="-2069256122"/>
          </w:sdtPr>
          <w:sdtEndPr/>
          <w:sdtContent>
            <w:tc>
              <w:tcPr>
                <w:tcW w:w="1551" w:type="pct"/>
              </w:tcPr>
              <w:p w:rsidR="00156DD6" w:rsidRDefault="00D51F5F">
                <w:pPr>
                  <w:autoSpaceDE w:val="0"/>
                  <w:autoSpaceDN w:val="0"/>
                  <w:adjustRightInd w:val="0"/>
                  <w:snapToGrid w:val="0"/>
                  <w:jc w:val="center"/>
                  <w:rPr>
                    <w:color w:val="000000" w:themeColor="text1"/>
                  </w:rPr>
                </w:pPr>
                <w:r>
                  <w:rPr>
                    <w:rFonts w:hint="eastAsia"/>
                    <w:color w:val="000000" w:themeColor="text1"/>
                  </w:rPr>
                  <w:t>本期发生额</w:t>
                </w:r>
              </w:p>
            </w:tc>
          </w:sdtContent>
        </w:sdt>
        <w:sdt>
          <w:sdtPr>
            <w:tag w:val="_PLD_fccf4811cdbb443297a0ce875715525f"/>
            <w:id w:val="-115525974"/>
          </w:sdtPr>
          <w:sdtEndPr/>
          <w:sdtContent>
            <w:tc>
              <w:tcPr>
                <w:tcW w:w="1567" w:type="pct"/>
              </w:tcPr>
              <w:p w:rsidR="00156DD6" w:rsidRDefault="00D51F5F">
                <w:pPr>
                  <w:autoSpaceDE w:val="0"/>
                  <w:autoSpaceDN w:val="0"/>
                  <w:adjustRightInd w:val="0"/>
                  <w:snapToGrid w:val="0"/>
                  <w:jc w:val="center"/>
                  <w:rPr>
                    <w:color w:val="000000" w:themeColor="text1"/>
                  </w:rPr>
                </w:pPr>
                <w:r>
                  <w:rPr>
                    <w:rFonts w:hint="eastAsia"/>
                    <w:color w:val="000000" w:themeColor="text1"/>
                  </w:rPr>
                  <w:t>上期发生额</w:t>
                </w:r>
              </w:p>
            </w:tc>
          </w:sdtContent>
        </w:sdt>
      </w:tr>
      <w:tr w:rsidR="00156DD6">
        <w:tc>
          <w:tcPr>
            <w:tcW w:w="1882" w:type="pct"/>
          </w:tcPr>
          <w:p w:rsidR="00156DD6" w:rsidRDefault="00D51F5F">
            <w:pPr>
              <w:autoSpaceDE w:val="0"/>
              <w:autoSpaceDN w:val="0"/>
              <w:adjustRightInd w:val="0"/>
              <w:snapToGrid w:val="0"/>
            </w:pPr>
            <w:r>
              <w:rPr>
                <w:rFonts w:hint="eastAsia"/>
              </w:rPr>
              <w:t>支付期间费用</w:t>
            </w:r>
          </w:p>
        </w:tc>
        <w:tc>
          <w:tcPr>
            <w:tcW w:w="1551" w:type="pct"/>
          </w:tcPr>
          <w:p w:rsidR="00156DD6" w:rsidRDefault="00D51F5F">
            <w:pPr>
              <w:jc w:val="right"/>
            </w:pPr>
            <w:r>
              <w:rPr>
                <w:rFonts w:hint="eastAsia"/>
              </w:rPr>
              <w:t xml:space="preserve"> 58,794,673.76 </w:t>
            </w:r>
          </w:p>
        </w:tc>
        <w:tc>
          <w:tcPr>
            <w:tcW w:w="1567" w:type="pct"/>
          </w:tcPr>
          <w:p w:rsidR="00156DD6" w:rsidRDefault="00D51F5F">
            <w:pPr>
              <w:jc w:val="right"/>
            </w:pPr>
            <w:r>
              <w:rPr>
                <w:rFonts w:hint="eastAsia"/>
              </w:rPr>
              <w:t xml:space="preserve"> 52,293,005.26 </w:t>
            </w:r>
          </w:p>
        </w:tc>
      </w:tr>
      <w:tr w:rsidR="00156DD6">
        <w:tc>
          <w:tcPr>
            <w:tcW w:w="1882" w:type="pct"/>
          </w:tcPr>
          <w:p w:rsidR="00156DD6" w:rsidRDefault="00D51F5F">
            <w:pPr>
              <w:autoSpaceDE w:val="0"/>
              <w:autoSpaceDN w:val="0"/>
              <w:adjustRightInd w:val="0"/>
              <w:snapToGrid w:val="0"/>
            </w:pPr>
            <w:r>
              <w:rPr>
                <w:rFonts w:hint="eastAsia"/>
              </w:rPr>
              <w:t>支付保证金及押金净额</w:t>
            </w:r>
          </w:p>
        </w:tc>
        <w:tc>
          <w:tcPr>
            <w:tcW w:w="1551" w:type="pct"/>
          </w:tcPr>
          <w:p w:rsidR="00156DD6" w:rsidRDefault="00D51F5F">
            <w:pPr>
              <w:jc w:val="right"/>
            </w:pPr>
            <w:r>
              <w:rPr>
                <w:rFonts w:hint="eastAsia"/>
              </w:rPr>
              <w:t xml:space="preserve"> 51,792,118.14 </w:t>
            </w:r>
          </w:p>
        </w:tc>
        <w:tc>
          <w:tcPr>
            <w:tcW w:w="1567" w:type="pct"/>
          </w:tcPr>
          <w:p w:rsidR="00156DD6" w:rsidRDefault="00D51F5F">
            <w:pPr>
              <w:jc w:val="right"/>
            </w:pPr>
            <w:r>
              <w:rPr>
                <w:rFonts w:hint="eastAsia"/>
              </w:rPr>
              <w:t xml:space="preserve"> 65,901,055.26 </w:t>
            </w:r>
          </w:p>
        </w:tc>
      </w:tr>
      <w:tr w:rsidR="00156DD6">
        <w:tc>
          <w:tcPr>
            <w:tcW w:w="1882" w:type="pct"/>
          </w:tcPr>
          <w:p w:rsidR="00156DD6" w:rsidRDefault="00D51F5F">
            <w:pPr>
              <w:autoSpaceDE w:val="0"/>
              <w:autoSpaceDN w:val="0"/>
              <w:adjustRightInd w:val="0"/>
              <w:snapToGrid w:val="0"/>
            </w:pPr>
            <w:r>
              <w:rPr>
                <w:rFonts w:hint="eastAsia"/>
              </w:rPr>
              <w:t>支付捐赠款</w:t>
            </w:r>
          </w:p>
        </w:tc>
        <w:tc>
          <w:tcPr>
            <w:tcW w:w="1551" w:type="pct"/>
          </w:tcPr>
          <w:p w:rsidR="00156DD6" w:rsidRDefault="00D51F5F">
            <w:pPr>
              <w:jc w:val="right"/>
            </w:pPr>
            <w:r>
              <w:rPr>
                <w:rFonts w:hint="eastAsia"/>
              </w:rPr>
              <w:t xml:space="preserve"> 2,253,000.00 </w:t>
            </w:r>
          </w:p>
        </w:tc>
        <w:tc>
          <w:tcPr>
            <w:tcW w:w="1567" w:type="pct"/>
          </w:tcPr>
          <w:p w:rsidR="00156DD6" w:rsidRDefault="00D51F5F">
            <w:pPr>
              <w:jc w:val="right"/>
            </w:pPr>
            <w:r>
              <w:rPr>
                <w:rFonts w:hint="eastAsia"/>
              </w:rPr>
              <w:t xml:space="preserve"> 20,000,000.00 </w:t>
            </w:r>
          </w:p>
        </w:tc>
      </w:tr>
      <w:tr w:rsidR="00156DD6">
        <w:tc>
          <w:tcPr>
            <w:tcW w:w="1882" w:type="pct"/>
          </w:tcPr>
          <w:p w:rsidR="00156DD6" w:rsidRDefault="00D51F5F">
            <w:pPr>
              <w:autoSpaceDE w:val="0"/>
              <w:autoSpaceDN w:val="0"/>
              <w:adjustRightInd w:val="0"/>
              <w:snapToGrid w:val="0"/>
            </w:pPr>
            <w:r>
              <w:rPr>
                <w:rFonts w:hint="eastAsia"/>
              </w:rPr>
              <w:t>支付其他</w:t>
            </w:r>
          </w:p>
        </w:tc>
        <w:tc>
          <w:tcPr>
            <w:tcW w:w="1551" w:type="pct"/>
          </w:tcPr>
          <w:p w:rsidR="00156DD6" w:rsidRDefault="00D51F5F">
            <w:pPr>
              <w:jc w:val="right"/>
            </w:pPr>
            <w:r>
              <w:rPr>
                <w:rFonts w:hint="eastAsia"/>
              </w:rPr>
              <w:t xml:space="preserve"> 270,036.59 </w:t>
            </w:r>
          </w:p>
        </w:tc>
        <w:tc>
          <w:tcPr>
            <w:tcW w:w="1567" w:type="pct"/>
          </w:tcPr>
          <w:p w:rsidR="00156DD6" w:rsidRDefault="00D51F5F">
            <w:pPr>
              <w:jc w:val="right"/>
            </w:pPr>
            <w:r>
              <w:rPr>
                <w:rFonts w:hint="eastAsia"/>
              </w:rPr>
              <w:t xml:space="preserve"> 2,134,163.10 </w:t>
            </w:r>
          </w:p>
        </w:tc>
      </w:tr>
      <w:tr w:rsidR="00156DD6">
        <w:tc>
          <w:tcPr>
            <w:tcW w:w="1882" w:type="pct"/>
          </w:tcPr>
          <w:p w:rsidR="00156DD6" w:rsidRDefault="00D51F5F">
            <w:pPr>
              <w:autoSpaceDE w:val="0"/>
              <w:autoSpaceDN w:val="0"/>
              <w:adjustRightInd w:val="0"/>
              <w:snapToGrid w:val="0"/>
              <w:jc w:val="center"/>
              <w:rPr>
                <w:color w:val="000000" w:themeColor="text1"/>
              </w:rPr>
            </w:pPr>
            <w:r>
              <w:rPr>
                <w:rFonts w:hint="eastAsia"/>
                <w:color w:val="000000" w:themeColor="text1"/>
              </w:rPr>
              <w:t>合计</w:t>
            </w:r>
          </w:p>
        </w:tc>
        <w:tc>
          <w:tcPr>
            <w:tcW w:w="1551" w:type="pct"/>
          </w:tcPr>
          <w:p w:rsidR="00156DD6" w:rsidRDefault="00D51F5F">
            <w:pPr>
              <w:jc w:val="right"/>
            </w:pPr>
            <w:r>
              <w:rPr>
                <w:rFonts w:hint="eastAsia"/>
              </w:rPr>
              <w:t xml:space="preserve"> 113,109,828.49 </w:t>
            </w:r>
          </w:p>
        </w:tc>
        <w:tc>
          <w:tcPr>
            <w:tcW w:w="1567" w:type="pct"/>
          </w:tcPr>
          <w:p w:rsidR="00156DD6" w:rsidRDefault="00D51F5F">
            <w:pPr>
              <w:jc w:val="right"/>
            </w:pPr>
            <w:r>
              <w:rPr>
                <w:rFonts w:hint="eastAsia"/>
              </w:rPr>
              <w:t xml:space="preserve"> 140,328,223.62 </w:t>
            </w:r>
          </w:p>
        </w:tc>
      </w:tr>
    </w:tbl>
    <w:p w:rsidR="00156DD6" w:rsidRDefault="00D51F5F">
      <w:pPr>
        <w:spacing w:before="60" w:after="60"/>
        <w:rPr>
          <w:color w:val="000000" w:themeColor="text1"/>
        </w:rPr>
      </w:pPr>
      <w:r>
        <w:rPr>
          <w:rFonts w:hint="eastAsia"/>
          <w:color w:val="000000" w:themeColor="text1"/>
        </w:rPr>
        <w:t>支付的其他与经营活动有关的现金说明：</w:t>
      </w:r>
    </w:p>
    <w:sdt>
      <w:sdtPr>
        <w:rPr>
          <w:rFonts w:hint="eastAsia"/>
          <w:color w:val="000000" w:themeColor="text1"/>
        </w:rPr>
        <w:alias w:val="支付的其他与经营活动有关的现金说明"/>
        <w:tag w:val="_GBC_632dc3caefd547b5b57f9340a021af22"/>
        <w:id w:val="2022977711"/>
        <w:placeholder>
          <w:docPart w:val="GBC22222222222222222222222222222"/>
        </w:placeholder>
      </w:sdtPr>
      <w:sdtEndPr/>
      <w:sdtContent>
        <w:p w:rsidR="00156DD6" w:rsidRDefault="00D51F5F">
          <w:pPr>
            <w:ind w:right="5"/>
            <w:rPr>
              <w:color w:val="000000" w:themeColor="text1"/>
            </w:rPr>
          </w:pPr>
          <w:r>
            <w:rPr>
              <w:rFonts w:hint="eastAsia"/>
              <w:color w:val="000000" w:themeColor="text1"/>
            </w:rPr>
            <w:t>无</w:t>
          </w:r>
        </w:p>
      </w:sdtContent>
    </w:sdt>
    <w:p w:rsidR="00156DD6" w:rsidRDefault="00D51F5F">
      <w:pPr>
        <w:pStyle w:val="Style47"/>
        <w:numPr>
          <w:ilvl w:val="0"/>
          <w:numId w:val="80"/>
        </w:numPr>
        <w:rPr>
          <w:color w:val="000000" w:themeColor="text1"/>
          <w:sz w:val="21"/>
          <w:szCs w:val="21"/>
        </w:rPr>
      </w:pPr>
      <w:bookmarkStart w:id="436" w:name="_Hlk167970426"/>
      <w:r>
        <w:rPr>
          <w:rFonts w:hint="eastAsia"/>
          <w:color w:val="000000" w:themeColor="text1"/>
          <w:sz w:val="21"/>
          <w:szCs w:val="21"/>
        </w:rPr>
        <w:t>与投资活动有关的现金</w:t>
      </w:r>
    </w:p>
    <w:p w:rsidR="00156DD6" w:rsidRDefault="00D51F5F">
      <w:pPr>
        <w:rPr>
          <w:color w:val="000000" w:themeColor="text1"/>
        </w:rPr>
      </w:pPr>
      <w:r>
        <w:rPr>
          <w:rFonts w:hint="eastAsia"/>
          <w:color w:val="000000" w:themeColor="text1"/>
        </w:rPr>
        <w:t>收到的重要的投资活动有关的现金</w:t>
      </w:r>
    </w:p>
    <w:sdt>
      <w:sdtPr>
        <w:rPr>
          <w:color w:val="000000" w:themeColor="text1"/>
        </w:rPr>
        <w:alias w:val="是否适用：收到的重要的投资活动有关的现金[双击切换]"/>
        <w:tag w:val="_GBC_f56d2779677b47b3ba2b7e5e0b1d3d89"/>
        <w:id w:val="-30763358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支付的重要的投资活动有关的现金</w:t>
      </w:r>
    </w:p>
    <w:sdt>
      <w:sdtPr>
        <w:rPr>
          <w:color w:val="000000" w:themeColor="text1"/>
        </w:rPr>
        <w:alias w:val="是否适用：支付的重要的投资活动有关的现金[双击切换]"/>
        <w:tag w:val="_GBC_e489b143c5a245a9bd1fb9c8c46d7528"/>
        <w:id w:val="-18476236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 xml:space="preserve">  </w:t>
      </w:r>
      <w:r>
        <w:rPr>
          <w:rFonts w:hint="eastAsia"/>
          <w:color w:val="000000" w:themeColor="text1"/>
        </w:rPr>
        <w:t>单位：</w:t>
      </w:r>
      <w:sdt>
        <w:sdtPr>
          <w:rPr>
            <w:rFonts w:hint="eastAsia"/>
            <w:color w:val="000000" w:themeColor="text1"/>
          </w:rPr>
          <w:alias w:val="单位：支付的重要的投资活动有关的现金"/>
          <w:tag w:val="_GBC_dd865b1779ff4e65a600058244346633"/>
          <w:id w:val="-201283247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w:t>
      </w:r>
      <w:r>
        <w:rPr>
          <w:rFonts w:hint="eastAsia"/>
          <w:color w:val="000000" w:themeColor="text1"/>
        </w:rPr>
        <w:t>种：</w:t>
      </w:r>
      <w:sdt>
        <w:sdtPr>
          <w:rPr>
            <w:rFonts w:hint="eastAsia"/>
            <w:color w:val="000000" w:themeColor="text1"/>
          </w:rPr>
          <w:alias w:val="币种：支付的重要的投资活动有关的现金"/>
          <w:tag w:val="_GBC_b2be4d7fd00f4a1d873d8c3b35ece58d"/>
          <w:id w:val="20183491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56"/>
        <w:gridCol w:w="2746"/>
      </w:tblGrid>
      <w:tr w:rsidR="00156DD6">
        <w:sdt>
          <w:sdtPr>
            <w:tag w:val="_PLD_6fd2a5f2ac0244d08f803c4693ced7de"/>
            <w:id w:val="-662541205"/>
          </w:sdtPr>
          <w:sdtEndPr/>
          <w:sdtContent>
            <w:tc>
              <w:tcPr>
                <w:tcW w:w="1882"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3f2d6bba65494492af2cde1da634a814"/>
            <w:id w:val="-1755196658"/>
          </w:sdtPr>
          <w:sdtEndPr/>
          <w:sdtContent>
            <w:tc>
              <w:tcPr>
                <w:tcW w:w="1562"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tag w:val="_PLD_4535b64933e04581a81ff0c2f6d60aee"/>
            <w:id w:val="952668284"/>
          </w:sdtPr>
          <w:sdtEndPr/>
          <w:sdtContent>
            <w:tc>
              <w:tcPr>
                <w:tcW w:w="1556"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156DD6">
        <w:tc>
          <w:tcPr>
            <w:tcW w:w="1882" w:type="pct"/>
          </w:tcPr>
          <w:p w:rsidR="00156DD6" w:rsidRDefault="00D51F5F">
            <w:pPr>
              <w:autoSpaceDE w:val="0"/>
              <w:autoSpaceDN w:val="0"/>
              <w:adjustRightInd w:val="0"/>
              <w:snapToGrid w:val="0"/>
              <w:spacing w:line="240" w:lineRule="atLeast"/>
            </w:pPr>
            <w:r>
              <w:rPr>
                <w:rFonts w:hint="eastAsia"/>
              </w:rPr>
              <w:t>购建固定资产和其他长期资产支付的现金</w:t>
            </w:r>
          </w:p>
        </w:tc>
        <w:tc>
          <w:tcPr>
            <w:tcW w:w="1562" w:type="pct"/>
            <w:vAlign w:val="center"/>
          </w:tcPr>
          <w:p w:rsidR="00156DD6" w:rsidRDefault="00D51F5F">
            <w:pPr>
              <w:jc w:val="right"/>
            </w:pPr>
            <w:r>
              <w:rPr>
                <w:rFonts w:hint="eastAsia"/>
              </w:rPr>
              <w:t xml:space="preserve"> 57,251,389.13 </w:t>
            </w:r>
          </w:p>
        </w:tc>
        <w:tc>
          <w:tcPr>
            <w:tcW w:w="1556" w:type="pct"/>
            <w:vAlign w:val="center"/>
          </w:tcPr>
          <w:p w:rsidR="00156DD6" w:rsidRDefault="00D51F5F">
            <w:pPr>
              <w:jc w:val="right"/>
            </w:pPr>
            <w:r>
              <w:rPr>
                <w:rFonts w:hint="eastAsia"/>
              </w:rPr>
              <w:t xml:space="preserve"> 129,909,886.32 </w:t>
            </w:r>
          </w:p>
        </w:tc>
      </w:tr>
      <w:tr w:rsidR="00156DD6">
        <w:tc>
          <w:tcPr>
            <w:tcW w:w="1882" w:type="pct"/>
          </w:tcPr>
          <w:p w:rsidR="00156DD6" w:rsidRDefault="00D51F5F">
            <w:pPr>
              <w:autoSpaceDE w:val="0"/>
              <w:autoSpaceDN w:val="0"/>
              <w:adjustRightInd w:val="0"/>
              <w:snapToGrid w:val="0"/>
              <w:spacing w:line="240" w:lineRule="atLeast"/>
            </w:pPr>
            <w:r>
              <w:rPr>
                <w:rFonts w:hint="eastAsia"/>
              </w:rPr>
              <w:t>取得云变电气支付的现金净额</w:t>
            </w:r>
          </w:p>
        </w:tc>
        <w:tc>
          <w:tcPr>
            <w:tcW w:w="1562" w:type="pct"/>
            <w:vAlign w:val="center"/>
          </w:tcPr>
          <w:p w:rsidR="00156DD6" w:rsidRDefault="00156DD6">
            <w:pPr>
              <w:jc w:val="right"/>
            </w:pPr>
          </w:p>
        </w:tc>
        <w:tc>
          <w:tcPr>
            <w:tcW w:w="1556" w:type="pct"/>
            <w:vAlign w:val="center"/>
          </w:tcPr>
          <w:p w:rsidR="00156DD6" w:rsidRDefault="00D51F5F">
            <w:pPr>
              <w:jc w:val="right"/>
            </w:pPr>
            <w:r>
              <w:rPr>
                <w:rFonts w:hint="eastAsia"/>
              </w:rPr>
              <w:t xml:space="preserve"> 430,947,890.50 </w:t>
            </w:r>
          </w:p>
        </w:tc>
      </w:tr>
      <w:tr w:rsidR="00156DD6">
        <w:tc>
          <w:tcPr>
            <w:tcW w:w="1882"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562" w:type="pct"/>
            <w:vAlign w:val="center"/>
          </w:tcPr>
          <w:p w:rsidR="00156DD6" w:rsidRDefault="00D51F5F">
            <w:pPr>
              <w:jc w:val="right"/>
            </w:pPr>
            <w:r>
              <w:rPr>
                <w:rFonts w:hint="eastAsia"/>
              </w:rPr>
              <w:t xml:space="preserve"> 57,251,389.13 </w:t>
            </w:r>
          </w:p>
        </w:tc>
        <w:tc>
          <w:tcPr>
            <w:tcW w:w="1556" w:type="pct"/>
            <w:vAlign w:val="center"/>
          </w:tcPr>
          <w:p w:rsidR="00156DD6" w:rsidRDefault="00D51F5F">
            <w:pPr>
              <w:jc w:val="right"/>
            </w:pPr>
            <w:r>
              <w:rPr>
                <w:rFonts w:hint="eastAsia"/>
              </w:rPr>
              <w:t xml:space="preserve"> 560,857,776.82 </w:t>
            </w:r>
          </w:p>
        </w:tc>
      </w:tr>
    </w:tbl>
    <w:p w:rsidR="00156DD6" w:rsidRDefault="00D51F5F">
      <w:pPr>
        <w:rPr>
          <w:color w:val="000000" w:themeColor="text1"/>
        </w:rPr>
      </w:pPr>
      <w:r>
        <w:rPr>
          <w:rFonts w:hint="eastAsia"/>
          <w:color w:val="000000" w:themeColor="text1"/>
        </w:rPr>
        <w:t>支付的重要的投资活动有关的现金说明</w:t>
      </w:r>
    </w:p>
    <w:sdt>
      <w:sdtPr>
        <w:rPr>
          <w:color w:val="000000" w:themeColor="text1"/>
        </w:rPr>
        <w:alias w:val="支付的重要的投资活动有关的现金的说明"/>
        <w:tag w:val="_GBC_0d5eb9a515964348b1a6a780e6c2e850"/>
        <w:id w:val="1111862537"/>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bookmarkEnd w:id="436"/>
    <w:p w:rsidR="00156DD6" w:rsidRDefault="00D51F5F">
      <w:pPr>
        <w:rPr>
          <w:color w:val="000000" w:themeColor="text1"/>
        </w:rPr>
      </w:pPr>
      <w:r>
        <w:rPr>
          <w:rFonts w:hint="eastAsia"/>
          <w:color w:val="000000" w:themeColor="text1"/>
        </w:rPr>
        <w:t>收到的其他与投资活动有关的现金</w:t>
      </w:r>
    </w:p>
    <w:sdt>
      <w:sdtPr>
        <w:rPr>
          <w:color w:val="000000" w:themeColor="text1"/>
        </w:rPr>
        <w:alias w:val="是否适用：收到的其他与投资活动有关的现金[双击切换]"/>
        <w:tag w:val="_GBC_ae3b1cf9e3aa408a8867e76d71769712"/>
        <w:id w:val="-17852570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收到的其他与投资活动有关的现金"/>
          <w:tag w:val="_GBC_864c08420ed74aa18dcf838d10153475"/>
          <w:id w:val="931866209"/>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收到的其他与投资活动有关的现金"/>
          <w:tag w:val="_GBC_557bfe9cc4b045ff8684fc828911efc1"/>
          <w:id w:val="-122421427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39"/>
        <w:gridCol w:w="2663"/>
      </w:tblGrid>
      <w:tr w:rsidR="00156DD6">
        <w:sdt>
          <w:sdtPr>
            <w:tag w:val="_PLD_fe329b3300fe449c869fda5c957ed9e6"/>
            <w:id w:val="-952545929"/>
          </w:sdtPr>
          <w:sdtEndPr/>
          <w:sdtContent>
            <w:tc>
              <w:tcPr>
                <w:tcW w:w="1882"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e828a524680d4faeb14e148b152d9982"/>
            <w:id w:val="286403981"/>
          </w:sdtPr>
          <w:sdtEndPr/>
          <w:sdtContent>
            <w:tc>
              <w:tcPr>
                <w:tcW w:w="1609"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tag w:val="_PLD_a8eb20dbb1b143d399d3bde1f6e00fa3"/>
            <w:id w:val="-1060547305"/>
          </w:sdtPr>
          <w:sdtEndPr/>
          <w:sdtContent>
            <w:tc>
              <w:tcPr>
                <w:tcW w:w="1509"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156DD6">
        <w:tc>
          <w:tcPr>
            <w:tcW w:w="1882" w:type="pct"/>
          </w:tcPr>
          <w:p w:rsidR="00156DD6" w:rsidRDefault="00D51F5F">
            <w:pPr>
              <w:autoSpaceDE w:val="0"/>
              <w:autoSpaceDN w:val="0"/>
              <w:adjustRightInd w:val="0"/>
              <w:snapToGrid w:val="0"/>
              <w:spacing w:line="240" w:lineRule="atLeast"/>
            </w:pPr>
            <w:r>
              <w:rPr>
                <w:rFonts w:hint="eastAsia"/>
              </w:rPr>
              <w:t>收回投资保证金</w:t>
            </w:r>
          </w:p>
        </w:tc>
        <w:tc>
          <w:tcPr>
            <w:tcW w:w="1609" w:type="pct"/>
          </w:tcPr>
          <w:p w:rsidR="00156DD6" w:rsidRDefault="00156DD6">
            <w:pPr>
              <w:jc w:val="right"/>
            </w:pPr>
          </w:p>
        </w:tc>
        <w:tc>
          <w:tcPr>
            <w:tcW w:w="1509" w:type="pct"/>
          </w:tcPr>
          <w:p w:rsidR="00156DD6" w:rsidRDefault="00D51F5F">
            <w:pPr>
              <w:jc w:val="right"/>
            </w:pPr>
            <w:r>
              <w:rPr>
                <w:rFonts w:hint="eastAsia"/>
              </w:rPr>
              <w:t xml:space="preserve"> 10,000,000.00 </w:t>
            </w:r>
          </w:p>
        </w:tc>
      </w:tr>
      <w:tr w:rsidR="00156DD6">
        <w:tc>
          <w:tcPr>
            <w:tcW w:w="1882" w:type="pct"/>
          </w:tcPr>
          <w:p w:rsidR="00156DD6" w:rsidRDefault="00D51F5F">
            <w:pPr>
              <w:autoSpaceDE w:val="0"/>
              <w:autoSpaceDN w:val="0"/>
              <w:adjustRightInd w:val="0"/>
              <w:snapToGrid w:val="0"/>
              <w:spacing w:line="240" w:lineRule="atLeast"/>
            </w:pPr>
            <w:r>
              <w:rPr>
                <w:rFonts w:hint="eastAsia"/>
              </w:rPr>
              <w:t>收到融资租赁款</w:t>
            </w:r>
          </w:p>
        </w:tc>
        <w:tc>
          <w:tcPr>
            <w:tcW w:w="1609" w:type="pct"/>
          </w:tcPr>
          <w:p w:rsidR="00156DD6" w:rsidRDefault="00156DD6">
            <w:pPr>
              <w:jc w:val="right"/>
            </w:pPr>
          </w:p>
        </w:tc>
        <w:tc>
          <w:tcPr>
            <w:tcW w:w="1509" w:type="pct"/>
          </w:tcPr>
          <w:p w:rsidR="00156DD6" w:rsidRDefault="00D51F5F">
            <w:pPr>
              <w:jc w:val="right"/>
            </w:pPr>
            <w:r>
              <w:rPr>
                <w:rFonts w:hint="eastAsia"/>
              </w:rPr>
              <w:t xml:space="preserve"> 68,683.87 </w:t>
            </w:r>
          </w:p>
        </w:tc>
      </w:tr>
      <w:tr w:rsidR="00156DD6">
        <w:tc>
          <w:tcPr>
            <w:tcW w:w="1882" w:type="pct"/>
          </w:tcPr>
          <w:p w:rsidR="00156DD6" w:rsidRDefault="00D51F5F">
            <w:pPr>
              <w:autoSpaceDE w:val="0"/>
              <w:autoSpaceDN w:val="0"/>
              <w:adjustRightInd w:val="0"/>
              <w:snapToGrid w:val="0"/>
              <w:spacing w:line="240" w:lineRule="atLeast"/>
            </w:pPr>
            <w:r>
              <w:rPr>
                <w:rFonts w:hint="eastAsia"/>
              </w:rPr>
              <w:t>收到证券户利息</w:t>
            </w:r>
          </w:p>
        </w:tc>
        <w:tc>
          <w:tcPr>
            <w:tcW w:w="1609" w:type="pct"/>
          </w:tcPr>
          <w:p w:rsidR="00156DD6" w:rsidRDefault="00156DD6">
            <w:pPr>
              <w:jc w:val="right"/>
            </w:pPr>
          </w:p>
        </w:tc>
        <w:tc>
          <w:tcPr>
            <w:tcW w:w="1509" w:type="pct"/>
          </w:tcPr>
          <w:p w:rsidR="00156DD6" w:rsidRDefault="00D51F5F">
            <w:pPr>
              <w:jc w:val="right"/>
            </w:pPr>
            <w:r>
              <w:rPr>
                <w:rFonts w:hint="eastAsia"/>
              </w:rPr>
              <w:t xml:space="preserve"> 1.01 </w:t>
            </w:r>
          </w:p>
        </w:tc>
      </w:tr>
      <w:tr w:rsidR="00156DD6">
        <w:tc>
          <w:tcPr>
            <w:tcW w:w="1882" w:type="pct"/>
          </w:tcPr>
          <w:p w:rsidR="00156DD6" w:rsidRDefault="00D51F5F">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609" w:type="pct"/>
            <w:vAlign w:val="bottom"/>
          </w:tcPr>
          <w:p w:rsidR="00156DD6" w:rsidRDefault="00156DD6">
            <w:pPr>
              <w:jc w:val="right"/>
            </w:pPr>
          </w:p>
        </w:tc>
        <w:tc>
          <w:tcPr>
            <w:tcW w:w="1509" w:type="pct"/>
          </w:tcPr>
          <w:p w:rsidR="00156DD6" w:rsidRDefault="00D51F5F">
            <w:pPr>
              <w:jc w:val="right"/>
            </w:pPr>
            <w:r>
              <w:t>10,068,684.88</w:t>
            </w:r>
          </w:p>
        </w:tc>
      </w:tr>
    </w:tbl>
    <w:p w:rsidR="00156DD6" w:rsidRDefault="00D51F5F">
      <w:pPr>
        <w:snapToGrid w:val="0"/>
        <w:spacing w:before="60" w:after="60"/>
        <w:rPr>
          <w:color w:val="000000" w:themeColor="text1"/>
        </w:rPr>
      </w:pPr>
      <w:r>
        <w:rPr>
          <w:rFonts w:hint="eastAsia"/>
          <w:color w:val="000000" w:themeColor="text1"/>
        </w:rPr>
        <w:t>收到的其他与投资活动有关的现金说明：</w:t>
      </w:r>
    </w:p>
    <w:sdt>
      <w:sdtPr>
        <w:rPr>
          <w:color w:val="000000" w:themeColor="text1"/>
          <w:sz w:val="21"/>
          <w:szCs w:val="21"/>
        </w:rPr>
        <w:alias w:val="收到的其他与投资活动有关的现金说明"/>
        <w:tag w:val="_GBC_10ad2bcf624d4c49924f65fcffdeebbc"/>
        <w:id w:val="-1182266287"/>
      </w:sdtPr>
      <w:sdtEndPr/>
      <w:sdtContent>
        <w:p w:rsidR="00156DD6" w:rsidRDefault="00D51F5F">
          <w:pPr>
            <w:pStyle w:val="Style43"/>
            <w:rPr>
              <w:sz w:val="21"/>
              <w:szCs w:val="21"/>
            </w:rPr>
          </w:pPr>
          <w:r>
            <w:rPr>
              <w:rFonts w:hint="eastAsia"/>
              <w:color w:val="000000" w:themeColor="text1"/>
              <w:sz w:val="21"/>
              <w:szCs w:val="21"/>
            </w:rPr>
            <w:t>无</w:t>
          </w:r>
        </w:p>
      </w:sdtContent>
    </w:sdt>
    <w:p w:rsidR="00156DD6" w:rsidRDefault="00D51F5F">
      <w:pPr>
        <w:rPr>
          <w:color w:val="000000" w:themeColor="text1"/>
        </w:rPr>
      </w:pPr>
      <w:r>
        <w:rPr>
          <w:rFonts w:hint="eastAsia"/>
          <w:color w:val="000000" w:themeColor="text1"/>
        </w:rPr>
        <w:lastRenderedPageBreak/>
        <w:t>支付的其他与投资活动有关的现金</w:t>
      </w:r>
    </w:p>
    <w:sdt>
      <w:sdtPr>
        <w:rPr>
          <w:color w:val="000000" w:themeColor="text1"/>
        </w:rPr>
        <w:alias w:val="是否适用：支付的其他与投资活动有关的现金[双击切换]"/>
        <w:tag w:val="_GBC_8862c0a38548482cb3b55a82757e3e33"/>
        <w:id w:val="-106894840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80"/>
        </w:numPr>
        <w:rPr>
          <w:color w:val="000000" w:themeColor="text1"/>
          <w:sz w:val="21"/>
          <w:szCs w:val="21"/>
        </w:rPr>
      </w:pPr>
      <w:r>
        <w:rPr>
          <w:rFonts w:hint="eastAsia"/>
          <w:color w:val="000000" w:themeColor="text1"/>
          <w:sz w:val="21"/>
          <w:szCs w:val="21"/>
        </w:rPr>
        <w:t>与筹资活动有关的现金</w:t>
      </w:r>
    </w:p>
    <w:p w:rsidR="00156DD6" w:rsidRDefault="00D51F5F">
      <w:pPr>
        <w:rPr>
          <w:color w:val="000000" w:themeColor="text1"/>
        </w:rPr>
      </w:pPr>
      <w:r>
        <w:rPr>
          <w:rFonts w:hint="eastAsia"/>
          <w:color w:val="000000" w:themeColor="text1"/>
        </w:rPr>
        <w:t>收到的其他与筹资活动有关的现金</w:t>
      </w:r>
    </w:p>
    <w:sdt>
      <w:sdtPr>
        <w:rPr>
          <w:color w:val="000000" w:themeColor="text1"/>
        </w:rPr>
        <w:alias w:val="是否适用：收到的其他与筹资活动有关的现金[双击切换]"/>
        <w:tag w:val="_GBC_6e82da4b55134cf6aacd6132e71f2c27"/>
        <w:id w:val="74938530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收到的其他与筹资活动有关的现金"/>
          <w:tag w:val="_GBC_54c629439974499c9df52a114b0272b9"/>
          <w:id w:val="-20907614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收到的其他与筹资活动有关的现金"/>
          <w:tag w:val="_GBC_0d3b28d58a83411db264b55c970f7fc6"/>
          <w:id w:val="-3600563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156DD6">
        <w:sdt>
          <w:sdtPr>
            <w:tag w:val="_PLD_45e71f75634d40e399bff943b12676a7"/>
            <w:id w:val="1154423512"/>
          </w:sdtPr>
          <w:sdtEndPr/>
          <w:sdtContent>
            <w:tc>
              <w:tcPr>
                <w:tcW w:w="1882" w:type="pct"/>
              </w:tcPr>
              <w:p w:rsidR="00156DD6" w:rsidRDefault="00D51F5F">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f7b1d7d1151a486eb8533f96d22cda73"/>
            <w:id w:val="666528125"/>
          </w:sdtPr>
          <w:sdtEndPr/>
          <w:sdtContent>
            <w:tc>
              <w:tcPr>
                <w:tcW w:w="1610" w:type="pct"/>
              </w:tcPr>
              <w:p w:rsidR="00156DD6" w:rsidRDefault="00D51F5F">
                <w:pPr>
                  <w:autoSpaceDE w:val="0"/>
                  <w:autoSpaceDN w:val="0"/>
                  <w:adjustRightInd w:val="0"/>
                  <w:snapToGrid w:val="0"/>
                  <w:jc w:val="center"/>
                  <w:rPr>
                    <w:color w:val="000000" w:themeColor="text1"/>
                  </w:rPr>
                </w:pPr>
                <w:r>
                  <w:rPr>
                    <w:rFonts w:hint="eastAsia"/>
                    <w:color w:val="000000" w:themeColor="text1"/>
                  </w:rPr>
                  <w:t>本期发生额</w:t>
                </w:r>
              </w:p>
            </w:tc>
          </w:sdtContent>
        </w:sdt>
        <w:sdt>
          <w:sdtPr>
            <w:tag w:val="_PLD_fcd73629839441d485ad661b0568d6af"/>
            <w:id w:val="1272967028"/>
          </w:sdtPr>
          <w:sdtEndPr/>
          <w:sdtContent>
            <w:tc>
              <w:tcPr>
                <w:tcW w:w="1508" w:type="pct"/>
              </w:tcPr>
              <w:p w:rsidR="00156DD6" w:rsidRDefault="00D51F5F">
                <w:pPr>
                  <w:autoSpaceDE w:val="0"/>
                  <w:autoSpaceDN w:val="0"/>
                  <w:adjustRightInd w:val="0"/>
                  <w:snapToGrid w:val="0"/>
                  <w:jc w:val="center"/>
                  <w:rPr>
                    <w:color w:val="000000" w:themeColor="text1"/>
                  </w:rPr>
                </w:pPr>
                <w:r>
                  <w:rPr>
                    <w:rFonts w:hint="eastAsia"/>
                    <w:color w:val="000000" w:themeColor="text1"/>
                  </w:rPr>
                  <w:t>上期发生额</w:t>
                </w:r>
              </w:p>
            </w:tc>
          </w:sdtContent>
        </w:sdt>
      </w:tr>
      <w:tr w:rsidR="00156DD6">
        <w:tc>
          <w:tcPr>
            <w:tcW w:w="1882" w:type="pct"/>
          </w:tcPr>
          <w:p w:rsidR="00156DD6" w:rsidRDefault="00D51F5F">
            <w:pPr>
              <w:autoSpaceDE w:val="0"/>
              <w:autoSpaceDN w:val="0"/>
              <w:adjustRightInd w:val="0"/>
              <w:snapToGrid w:val="0"/>
            </w:pPr>
            <w:r>
              <w:rPr>
                <w:rFonts w:hint="eastAsia"/>
              </w:rPr>
              <w:t>融资租赁</w:t>
            </w:r>
          </w:p>
        </w:tc>
        <w:tc>
          <w:tcPr>
            <w:tcW w:w="1610" w:type="pct"/>
          </w:tcPr>
          <w:p w:rsidR="00156DD6" w:rsidRDefault="00D51F5F">
            <w:pPr>
              <w:jc w:val="right"/>
            </w:pPr>
            <w:r>
              <w:rPr>
                <w:rFonts w:hint="eastAsia"/>
              </w:rPr>
              <w:t xml:space="preserve"> 200,000,000.00 </w:t>
            </w:r>
          </w:p>
        </w:tc>
        <w:tc>
          <w:tcPr>
            <w:tcW w:w="1508" w:type="pct"/>
          </w:tcPr>
          <w:p w:rsidR="00156DD6" w:rsidRDefault="00156DD6">
            <w:pPr>
              <w:jc w:val="right"/>
            </w:pPr>
          </w:p>
        </w:tc>
      </w:tr>
      <w:tr w:rsidR="00156DD6">
        <w:tc>
          <w:tcPr>
            <w:tcW w:w="1882" w:type="pct"/>
          </w:tcPr>
          <w:p w:rsidR="00156DD6" w:rsidRDefault="00D51F5F">
            <w:pPr>
              <w:autoSpaceDE w:val="0"/>
              <w:autoSpaceDN w:val="0"/>
              <w:adjustRightInd w:val="0"/>
              <w:snapToGrid w:val="0"/>
            </w:pPr>
            <w:r>
              <w:rPr>
                <w:rFonts w:hint="eastAsia"/>
              </w:rPr>
              <w:t>票据贴现</w:t>
            </w:r>
          </w:p>
        </w:tc>
        <w:tc>
          <w:tcPr>
            <w:tcW w:w="1610" w:type="pct"/>
          </w:tcPr>
          <w:p w:rsidR="00156DD6" w:rsidRDefault="00156DD6">
            <w:pPr>
              <w:jc w:val="right"/>
            </w:pPr>
          </w:p>
        </w:tc>
        <w:tc>
          <w:tcPr>
            <w:tcW w:w="1508" w:type="pct"/>
          </w:tcPr>
          <w:p w:rsidR="00156DD6" w:rsidRDefault="00D51F5F">
            <w:pPr>
              <w:jc w:val="right"/>
            </w:pPr>
            <w:r>
              <w:rPr>
                <w:rFonts w:hint="eastAsia"/>
              </w:rPr>
              <w:t xml:space="preserve"> 10,419,177.32 </w:t>
            </w:r>
          </w:p>
        </w:tc>
      </w:tr>
      <w:tr w:rsidR="00156DD6">
        <w:tc>
          <w:tcPr>
            <w:tcW w:w="1882" w:type="pct"/>
          </w:tcPr>
          <w:p w:rsidR="00156DD6" w:rsidRDefault="00D51F5F">
            <w:pPr>
              <w:autoSpaceDE w:val="0"/>
              <w:autoSpaceDN w:val="0"/>
              <w:adjustRightInd w:val="0"/>
              <w:snapToGrid w:val="0"/>
            </w:pPr>
            <w:r>
              <w:rPr>
                <w:rFonts w:hint="eastAsia"/>
              </w:rPr>
              <w:t>收到员工股权激励款</w:t>
            </w:r>
          </w:p>
        </w:tc>
        <w:tc>
          <w:tcPr>
            <w:tcW w:w="1610" w:type="pct"/>
          </w:tcPr>
          <w:p w:rsidR="00156DD6" w:rsidRDefault="00D51F5F">
            <w:pPr>
              <w:jc w:val="right"/>
            </w:pPr>
            <w:r>
              <w:rPr>
                <w:rFonts w:hint="eastAsia"/>
              </w:rPr>
              <w:t xml:space="preserve"> 4,605,200.00 </w:t>
            </w:r>
          </w:p>
        </w:tc>
        <w:tc>
          <w:tcPr>
            <w:tcW w:w="1508" w:type="pct"/>
          </w:tcPr>
          <w:p w:rsidR="00156DD6" w:rsidRDefault="00D51F5F">
            <w:pPr>
              <w:jc w:val="right"/>
            </w:pPr>
            <w:r>
              <w:rPr>
                <w:rFonts w:hint="eastAsia"/>
              </w:rPr>
              <w:t xml:space="preserve"> 20,629,500.00 </w:t>
            </w:r>
          </w:p>
        </w:tc>
      </w:tr>
      <w:tr w:rsidR="00156DD6">
        <w:tc>
          <w:tcPr>
            <w:tcW w:w="1882" w:type="pct"/>
          </w:tcPr>
          <w:p w:rsidR="00156DD6" w:rsidRDefault="00D51F5F">
            <w:pPr>
              <w:autoSpaceDE w:val="0"/>
              <w:autoSpaceDN w:val="0"/>
              <w:adjustRightInd w:val="0"/>
              <w:snapToGrid w:val="0"/>
              <w:jc w:val="center"/>
              <w:rPr>
                <w:color w:val="000000" w:themeColor="text1"/>
              </w:rPr>
            </w:pPr>
            <w:r>
              <w:rPr>
                <w:rFonts w:hint="eastAsia"/>
                <w:color w:val="000000" w:themeColor="text1"/>
              </w:rPr>
              <w:t>合计</w:t>
            </w:r>
          </w:p>
        </w:tc>
        <w:tc>
          <w:tcPr>
            <w:tcW w:w="1610" w:type="pct"/>
          </w:tcPr>
          <w:p w:rsidR="00156DD6" w:rsidRDefault="00D51F5F">
            <w:pPr>
              <w:jc w:val="right"/>
            </w:pPr>
            <w:r>
              <w:rPr>
                <w:rFonts w:hint="eastAsia"/>
              </w:rPr>
              <w:t xml:space="preserve"> 204,605,200.00 </w:t>
            </w:r>
          </w:p>
        </w:tc>
        <w:tc>
          <w:tcPr>
            <w:tcW w:w="1508" w:type="pct"/>
          </w:tcPr>
          <w:p w:rsidR="00156DD6" w:rsidRDefault="00D51F5F">
            <w:pPr>
              <w:jc w:val="right"/>
            </w:pPr>
            <w:r>
              <w:rPr>
                <w:rFonts w:hint="eastAsia"/>
              </w:rPr>
              <w:t xml:space="preserve"> 31,048,677.32 </w:t>
            </w:r>
          </w:p>
        </w:tc>
      </w:tr>
    </w:tbl>
    <w:p w:rsidR="00156DD6" w:rsidRDefault="00D51F5F">
      <w:pPr>
        <w:spacing w:before="60" w:after="60"/>
        <w:rPr>
          <w:color w:val="000000" w:themeColor="text1"/>
        </w:rPr>
      </w:pPr>
      <w:r>
        <w:rPr>
          <w:rFonts w:hint="eastAsia"/>
          <w:color w:val="000000" w:themeColor="text1"/>
        </w:rPr>
        <w:t>收到的其他与筹资活动有关的现金说明：</w:t>
      </w:r>
    </w:p>
    <w:sdt>
      <w:sdtPr>
        <w:rPr>
          <w:rFonts w:hint="eastAsia"/>
          <w:color w:val="000000" w:themeColor="text1"/>
        </w:rPr>
        <w:alias w:val="收到的其他与筹资活动有关的现金说明"/>
        <w:tag w:val="_GBC_cf160106b6d34224a1fbd183426812af"/>
        <w:id w:val="-1730224034"/>
        <w:placeholder>
          <w:docPart w:val="GBC22222222222222222222222222222"/>
        </w:placeholder>
      </w:sdtPr>
      <w:sdtEndPr>
        <w:rPr>
          <w:szCs w:val="22"/>
        </w:rPr>
      </w:sdtEndPr>
      <w:sdtContent>
        <w:p w:rsidR="00156DD6" w:rsidRDefault="00D51F5F">
          <w:pPr>
            <w:rPr>
              <w:color w:val="000000" w:themeColor="text1"/>
            </w:rPr>
          </w:pPr>
          <w:r>
            <w:rPr>
              <w:rFonts w:hint="eastAsia"/>
              <w:color w:val="000000" w:themeColor="text1"/>
            </w:rPr>
            <w:t>无</w:t>
          </w:r>
        </w:p>
      </w:sdtContent>
    </w:sdt>
    <w:p w:rsidR="00156DD6" w:rsidRDefault="00D51F5F">
      <w:pPr>
        <w:rPr>
          <w:color w:val="000000" w:themeColor="text1"/>
        </w:rPr>
      </w:pPr>
      <w:r>
        <w:rPr>
          <w:rFonts w:hint="eastAsia"/>
          <w:color w:val="000000" w:themeColor="text1"/>
        </w:rPr>
        <w:t>支付的其他与筹资活动有关的现金</w:t>
      </w:r>
    </w:p>
    <w:sdt>
      <w:sdtPr>
        <w:rPr>
          <w:color w:val="000000" w:themeColor="text1"/>
        </w:rPr>
        <w:alias w:val="是否适用：支付的其他与筹资活动有关的现金[双击切换]"/>
        <w:tag w:val="_GBC_cf7fd4869f8d4d98a07243e22bf22793"/>
        <w:id w:val="-24720543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支付的其他与筹资活动有关的现金"/>
          <w:tag w:val="_GBC_323ca3d874214911880818d387e0c63b"/>
          <w:id w:val="-621048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支付的其他与筹资活动有关的现金"/>
          <w:tag w:val="_GBC_d6726952256941209f32bac8fffa568d"/>
          <w:id w:val="-10232407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156DD6">
        <w:sdt>
          <w:sdtPr>
            <w:tag w:val="_PLD_2b9da6111f3f4cacb3afcfc0de00e1e9"/>
            <w:id w:val="-53547876"/>
          </w:sdtPr>
          <w:sdtEndPr/>
          <w:sdtContent>
            <w:tc>
              <w:tcPr>
                <w:tcW w:w="1882" w:type="pct"/>
              </w:tcPr>
              <w:p w:rsidR="00156DD6" w:rsidRDefault="00D51F5F">
                <w:pPr>
                  <w:autoSpaceDE w:val="0"/>
                  <w:autoSpaceDN w:val="0"/>
                  <w:adjustRightInd w:val="0"/>
                  <w:snapToGrid w:val="0"/>
                  <w:jc w:val="center"/>
                  <w:rPr>
                    <w:color w:val="000000" w:themeColor="text1"/>
                  </w:rPr>
                </w:pPr>
                <w:r>
                  <w:rPr>
                    <w:rFonts w:hint="eastAsia"/>
                    <w:color w:val="000000" w:themeColor="text1"/>
                  </w:rPr>
                  <w:t>项目</w:t>
                </w:r>
              </w:p>
            </w:tc>
          </w:sdtContent>
        </w:sdt>
        <w:sdt>
          <w:sdtPr>
            <w:tag w:val="_PLD_b6791a7f5c234d80be8964d8fb7b3ce6"/>
            <w:id w:val="2094205707"/>
          </w:sdtPr>
          <w:sdtEndPr/>
          <w:sdtContent>
            <w:tc>
              <w:tcPr>
                <w:tcW w:w="1610" w:type="pct"/>
              </w:tcPr>
              <w:p w:rsidR="00156DD6" w:rsidRDefault="00D51F5F">
                <w:pPr>
                  <w:autoSpaceDE w:val="0"/>
                  <w:autoSpaceDN w:val="0"/>
                  <w:adjustRightInd w:val="0"/>
                  <w:snapToGrid w:val="0"/>
                  <w:jc w:val="center"/>
                  <w:rPr>
                    <w:color w:val="000000" w:themeColor="text1"/>
                  </w:rPr>
                </w:pPr>
                <w:r>
                  <w:rPr>
                    <w:rFonts w:hint="eastAsia"/>
                    <w:color w:val="000000" w:themeColor="text1"/>
                  </w:rPr>
                  <w:t>本期发生额</w:t>
                </w:r>
              </w:p>
            </w:tc>
          </w:sdtContent>
        </w:sdt>
        <w:sdt>
          <w:sdtPr>
            <w:tag w:val="_PLD_b4a33da4012d47bd8013a6c570bcad87"/>
            <w:id w:val="14202668"/>
          </w:sdtPr>
          <w:sdtEndPr/>
          <w:sdtContent>
            <w:tc>
              <w:tcPr>
                <w:tcW w:w="1508" w:type="pct"/>
              </w:tcPr>
              <w:p w:rsidR="00156DD6" w:rsidRDefault="00D51F5F">
                <w:pPr>
                  <w:autoSpaceDE w:val="0"/>
                  <w:autoSpaceDN w:val="0"/>
                  <w:adjustRightInd w:val="0"/>
                  <w:snapToGrid w:val="0"/>
                  <w:jc w:val="center"/>
                  <w:rPr>
                    <w:color w:val="000000" w:themeColor="text1"/>
                  </w:rPr>
                </w:pPr>
                <w:r>
                  <w:rPr>
                    <w:rFonts w:hint="eastAsia"/>
                    <w:color w:val="000000" w:themeColor="text1"/>
                  </w:rPr>
                  <w:t>上期发生额</w:t>
                </w:r>
              </w:p>
            </w:tc>
          </w:sdtContent>
        </w:sdt>
      </w:tr>
      <w:tr w:rsidR="00156DD6">
        <w:tc>
          <w:tcPr>
            <w:tcW w:w="1882" w:type="pct"/>
          </w:tcPr>
          <w:p w:rsidR="00156DD6" w:rsidRDefault="00D51F5F">
            <w:pPr>
              <w:autoSpaceDE w:val="0"/>
              <w:autoSpaceDN w:val="0"/>
              <w:adjustRightInd w:val="0"/>
              <w:snapToGrid w:val="0"/>
            </w:pPr>
            <w:r>
              <w:rPr>
                <w:rFonts w:hint="eastAsia"/>
              </w:rPr>
              <w:t>收购云变电气少数股东股权支付的现金</w:t>
            </w:r>
          </w:p>
        </w:tc>
        <w:tc>
          <w:tcPr>
            <w:tcW w:w="1610" w:type="pct"/>
            <w:vAlign w:val="center"/>
          </w:tcPr>
          <w:p w:rsidR="00156DD6" w:rsidRDefault="00D51F5F">
            <w:pPr>
              <w:jc w:val="right"/>
            </w:pPr>
            <w:r>
              <w:rPr>
                <w:rFonts w:hint="eastAsia"/>
              </w:rPr>
              <w:t xml:space="preserve"> 128,412,481.68 </w:t>
            </w:r>
          </w:p>
        </w:tc>
        <w:tc>
          <w:tcPr>
            <w:tcW w:w="1508" w:type="pct"/>
            <w:vAlign w:val="center"/>
          </w:tcPr>
          <w:p w:rsidR="00156DD6" w:rsidRDefault="00156DD6">
            <w:pPr>
              <w:jc w:val="right"/>
            </w:pPr>
          </w:p>
        </w:tc>
      </w:tr>
      <w:tr w:rsidR="00156DD6">
        <w:tc>
          <w:tcPr>
            <w:tcW w:w="1882" w:type="pct"/>
          </w:tcPr>
          <w:p w:rsidR="00156DD6" w:rsidRDefault="00D51F5F">
            <w:pPr>
              <w:autoSpaceDE w:val="0"/>
              <w:autoSpaceDN w:val="0"/>
              <w:adjustRightInd w:val="0"/>
              <w:snapToGrid w:val="0"/>
            </w:pPr>
            <w:r>
              <w:rPr>
                <w:rFonts w:hint="eastAsia"/>
              </w:rPr>
              <w:t>支付使用权资产租赁费</w:t>
            </w:r>
          </w:p>
        </w:tc>
        <w:tc>
          <w:tcPr>
            <w:tcW w:w="1610" w:type="pct"/>
          </w:tcPr>
          <w:p w:rsidR="00156DD6" w:rsidRDefault="00D51F5F">
            <w:pPr>
              <w:jc w:val="right"/>
            </w:pPr>
            <w:r>
              <w:rPr>
                <w:rFonts w:hint="eastAsia"/>
              </w:rPr>
              <w:t xml:space="preserve"> 2,852,392.57 </w:t>
            </w:r>
          </w:p>
        </w:tc>
        <w:tc>
          <w:tcPr>
            <w:tcW w:w="1508" w:type="pct"/>
          </w:tcPr>
          <w:p w:rsidR="00156DD6" w:rsidRDefault="00D51F5F">
            <w:pPr>
              <w:jc w:val="right"/>
            </w:pPr>
            <w:r>
              <w:rPr>
                <w:rFonts w:hint="eastAsia"/>
              </w:rPr>
              <w:t xml:space="preserve"> 2,652,904.18 </w:t>
            </w:r>
          </w:p>
        </w:tc>
      </w:tr>
      <w:tr w:rsidR="00156DD6">
        <w:tc>
          <w:tcPr>
            <w:tcW w:w="1882" w:type="pct"/>
          </w:tcPr>
          <w:p w:rsidR="00156DD6" w:rsidRDefault="00D51F5F">
            <w:pPr>
              <w:autoSpaceDE w:val="0"/>
              <w:autoSpaceDN w:val="0"/>
              <w:adjustRightInd w:val="0"/>
              <w:snapToGrid w:val="0"/>
            </w:pPr>
            <w:r>
              <w:rPr>
                <w:rFonts w:hint="eastAsia"/>
              </w:rPr>
              <w:t>支付银行借款保证金</w:t>
            </w:r>
          </w:p>
        </w:tc>
        <w:tc>
          <w:tcPr>
            <w:tcW w:w="1610" w:type="pct"/>
          </w:tcPr>
          <w:p w:rsidR="00156DD6" w:rsidRDefault="00D51F5F">
            <w:pPr>
              <w:jc w:val="right"/>
            </w:pPr>
            <w:r>
              <w:rPr>
                <w:rFonts w:hint="eastAsia"/>
              </w:rPr>
              <w:t xml:space="preserve"> 20,979,544.99 </w:t>
            </w:r>
          </w:p>
        </w:tc>
        <w:tc>
          <w:tcPr>
            <w:tcW w:w="1508" w:type="pct"/>
          </w:tcPr>
          <w:p w:rsidR="00156DD6" w:rsidRDefault="00156DD6">
            <w:pPr>
              <w:jc w:val="right"/>
            </w:pPr>
          </w:p>
        </w:tc>
      </w:tr>
      <w:tr w:rsidR="00156DD6">
        <w:tc>
          <w:tcPr>
            <w:tcW w:w="1882" w:type="pct"/>
          </w:tcPr>
          <w:p w:rsidR="00156DD6" w:rsidRDefault="00D51F5F">
            <w:pPr>
              <w:autoSpaceDE w:val="0"/>
              <w:autoSpaceDN w:val="0"/>
              <w:adjustRightInd w:val="0"/>
              <w:snapToGrid w:val="0"/>
            </w:pPr>
            <w:r>
              <w:rPr>
                <w:rFonts w:hint="eastAsia"/>
              </w:rPr>
              <w:t>支付应收票据贴现息</w:t>
            </w:r>
          </w:p>
        </w:tc>
        <w:tc>
          <w:tcPr>
            <w:tcW w:w="1610" w:type="pct"/>
            <w:vAlign w:val="center"/>
          </w:tcPr>
          <w:p w:rsidR="00156DD6" w:rsidRDefault="00D51F5F">
            <w:pPr>
              <w:jc w:val="right"/>
            </w:pPr>
            <w:r>
              <w:rPr>
                <w:rFonts w:hint="eastAsia"/>
              </w:rPr>
              <w:t xml:space="preserve">   </w:t>
            </w:r>
          </w:p>
        </w:tc>
        <w:tc>
          <w:tcPr>
            <w:tcW w:w="1508" w:type="pct"/>
            <w:vAlign w:val="center"/>
          </w:tcPr>
          <w:p w:rsidR="00156DD6" w:rsidRDefault="00D51F5F">
            <w:pPr>
              <w:jc w:val="right"/>
            </w:pPr>
            <w:r>
              <w:rPr>
                <w:rFonts w:hint="eastAsia"/>
              </w:rPr>
              <w:t xml:space="preserve"> 48,309.07 </w:t>
            </w:r>
          </w:p>
        </w:tc>
      </w:tr>
      <w:tr w:rsidR="00156DD6">
        <w:tc>
          <w:tcPr>
            <w:tcW w:w="1882" w:type="pct"/>
          </w:tcPr>
          <w:p w:rsidR="00156DD6" w:rsidRDefault="00D51F5F">
            <w:pPr>
              <w:autoSpaceDE w:val="0"/>
              <w:autoSpaceDN w:val="0"/>
              <w:adjustRightInd w:val="0"/>
              <w:snapToGrid w:val="0"/>
            </w:pPr>
            <w:r>
              <w:rPr>
                <w:rFonts w:hint="eastAsia"/>
              </w:rPr>
              <w:t>支付红利手续费</w:t>
            </w:r>
          </w:p>
        </w:tc>
        <w:tc>
          <w:tcPr>
            <w:tcW w:w="1610" w:type="pct"/>
            <w:vAlign w:val="center"/>
          </w:tcPr>
          <w:p w:rsidR="00156DD6" w:rsidRDefault="00D51F5F">
            <w:pPr>
              <w:jc w:val="right"/>
            </w:pPr>
            <w:r>
              <w:rPr>
                <w:rFonts w:hint="eastAsia"/>
              </w:rPr>
              <w:t xml:space="preserve"> 5,005.39 </w:t>
            </w:r>
          </w:p>
        </w:tc>
        <w:tc>
          <w:tcPr>
            <w:tcW w:w="1508" w:type="pct"/>
            <w:vAlign w:val="center"/>
          </w:tcPr>
          <w:p w:rsidR="00156DD6" w:rsidRDefault="00D51F5F">
            <w:pPr>
              <w:jc w:val="right"/>
            </w:pPr>
            <w:r>
              <w:rPr>
                <w:rFonts w:hint="eastAsia"/>
              </w:rPr>
              <w:t xml:space="preserve"> 26,722.61 </w:t>
            </w:r>
          </w:p>
        </w:tc>
      </w:tr>
      <w:tr w:rsidR="00156DD6">
        <w:tc>
          <w:tcPr>
            <w:tcW w:w="1882" w:type="pct"/>
          </w:tcPr>
          <w:p w:rsidR="00156DD6" w:rsidRDefault="00D51F5F">
            <w:pPr>
              <w:autoSpaceDE w:val="0"/>
              <w:autoSpaceDN w:val="0"/>
              <w:adjustRightInd w:val="0"/>
              <w:snapToGrid w:val="0"/>
            </w:pPr>
            <w:r>
              <w:rPr>
                <w:rFonts w:hint="eastAsia"/>
              </w:rPr>
              <w:t>其他</w:t>
            </w:r>
          </w:p>
        </w:tc>
        <w:tc>
          <w:tcPr>
            <w:tcW w:w="1610" w:type="pct"/>
            <w:vAlign w:val="center"/>
          </w:tcPr>
          <w:p w:rsidR="00156DD6" w:rsidRDefault="00D51F5F">
            <w:pPr>
              <w:jc w:val="right"/>
            </w:pPr>
            <w:r>
              <w:rPr>
                <w:rFonts w:hint="eastAsia"/>
              </w:rPr>
              <w:t xml:space="preserve"> 158,800.00 </w:t>
            </w:r>
          </w:p>
        </w:tc>
        <w:tc>
          <w:tcPr>
            <w:tcW w:w="1508" w:type="pct"/>
            <w:vAlign w:val="center"/>
          </w:tcPr>
          <w:p w:rsidR="00156DD6" w:rsidRDefault="00156DD6">
            <w:pPr>
              <w:jc w:val="right"/>
            </w:pPr>
          </w:p>
        </w:tc>
      </w:tr>
      <w:tr w:rsidR="00156DD6">
        <w:tc>
          <w:tcPr>
            <w:tcW w:w="1882" w:type="pct"/>
          </w:tcPr>
          <w:p w:rsidR="00156DD6" w:rsidRDefault="00D51F5F">
            <w:pPr>
              <w:autoSpaceDE w:val="0"/>
              <w:autoSpaceDN w:val="0"/>
              <w:adjustRightInd w:val="0"/>
              <w:snapToGrid w:val="0"/>
              <w:jc w:val="center"/>
              <w:rPr>
                <w:color w:val="000000" w:themeColor="text1"/>
              </w:rPr>
            </w:pPr>
            <w:r>
              <w:rPr>
                <w:rFonts w:hint="eastAsia"/>
                <w:color w:val="000000" w:themeColor="text1"/>
              </w:rPr>
              <w:t>合计</w:t>
            </w:r>
          </w:p>
        </w:tc>
        <w:tc>
          <w:tcPr>
            <w:tcW w:w="1610" w:type="pct"/>
          </w:tcPr>
          <w:p w:rsidR="00156DD6" w:rsidRDefault="00D51F5F">
            <w:pPr>
              <w:jc w:val="right"/>
            </w:pPr>
            <w:r>
              <w:rPr>
                <w:rFonts w:hint="eastAsia"/>
              </w:rPr>
              <w:t xml:space="preserve"> 152,408,224.63 </w:t>
            </w:r>
          </w:p>
        </w:tc>
        <w:tc>
          <w:tcPr>
            <w:tcW w:w="1508" w:type="pct"/>
          </w:tcPr>
          <w:p w:rsidR="00156DD6" w:rsidRDefault="00D51F5F">
            <w:pPr>
              <w:jc w:val="right"/>
            </w:pPr>
            <w:r>
              <w:rPr>
                <w:rFonts w:hint="eastAsia"/>
              </w:rPr>
              <w:t xml:space="preserve"> 2,727,935.86 </w:t>
            </w:r>
          </w:p>
        </w:tc>
      </w:tr>
    </w:tbl>
    <w:p w:rsidR="00156DD6" w:rsidRDefault="00D51F5F">
      <w:pPr>
        <w:spacing w:before="60" w:after="60"/>
        <w:rPr>
          <w:color w:val="000000" w:themeColor="text1"/>
        </w:rPr>
      </w:pPr>
      <w:r>
        <w:rPr>
          <w:rFonts w:hint="eastAsia"/>
          <w:color w:val="000000" w:themeColor="text1"/>
        </w:rPr>
        <w:t>支付的其他与筹资活动有关的现金说明：</w:t>
      </w:r>
    </w:p>
    <w:sdt>
      <w:sdtPr>
        <w:rPr>
          <w:rFonts w:hint="eastAsia"/>
          <w:color w:val="000000" w:themeColor="text1"/>
        </w:rPr>
        <w:alias w:val="支付的其他与筹资活动有关的现金说明"/>
        <w:tag w:val="_GBC_7240a9be12a64ca5b011a2561db068a1"/>
        <w:id w:val="-2022303653"/>
        <w:placeholder>
          <w:docPart w:val="GBC22222222222222222222222222222"/>
        </w:placeholder>
      </w:sdtPr>
      <w:sdtEndPr/>
      <w:sdtContent>
        <w:p w:rsidR="00156DD6" w:rsidRDefault="00D51F5F">
          <w:pPr>
            <w:ind w:right="5"/>
            <w:rPr>
              <w:color w:val="000000" w:themeColor="text1"/>
            </w:rPr>
          </w:pPr>
          <w:r>
            <w:rPr>
              <w:rFonts w:hint="eastAsia"/>
              <w:color w:val="000000" w:themeColor="text1"/>
            </w:rPr>
            <w:t>无</w:t>
          </w:r>
        </w:p>
      </w:sdtContent>
    </w:sdt>
    <w:p w:rsidR="00156DD6" w:rsidRDefault="00D51F5F">
      <w:pPr>
        <w:ind w:right="5"/>
        <w:rPr>
          <w:color w:val="000000" w:themeColor="text1"/>
        </w:rPr>
      </w:pPr>
      <w:bookmarkStart w:id="437" w:name="_Hlk167970634"/>
      <w:r>
        <w:rPr>
          <w:rFonts w:hint="eastAsia"/>
          <w:color w:val="000000" w:themeColor="text1"/>
        </w:rPr>
        <w:t>筹资活动产生的各项负债变动情况</w:t>
      </w:r>
    </w:p>
    <w:sdt>
      <w:sdtPr>
        <w:rPr>
          <w:color w:val="000000" w:themeColor="text1"/>
        </w:rPr>
        <w:alias w:val="是否适用：筹资活动产生的各项负债变动情况[双击切换]"/>
        <w:tag w:val="_GBC_48125ca45f014b0db6560676c7f940e6"/>
        <w:id w:val="-150235432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筹资活动产生的各项负债变动情况"/>
          <w:tag w:val="_GBC_b2115f4b0ede479da8748ac4d1759102"/>
          <w:id w:val="-102833645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筹资活动产生的各项负债变动情况"/>
          <w:tag w:val="_GBC_4afc8b10e1f7417d98697a1f635a7718"/>
          <w:id w:val="-689754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792"/>
        <w:gridCol w:w="1426"/>
        <w:gridCol w:w="1426"/>
        <w:gridCol w:w="1276"/>
        <w:gridCol w:w="1276"/>
        <w:gridCol w:w="1201"/>
        <w:gridCol w:w="1426"/>
      </w:tblGrid>
      <w:tr w:rsidR="00156DD6">
        <w:trPr>
          <w:trHeight w:val="135"/>
        </w:trPr>
        <w:sdt>
          <w:sdtPr>
            <w:rPr>
              <w:rFonts w:asciiTheme="minorEastAsia" w:eastAsiaTheme="minorEastAsia" w:hAnsiTheme="minorEastAsia"/>
              <w:sz w:val="15"/>
              <w:szCs w:val="15"/>
            </w:rPr>
            <w:tag w:val="_PLD_5a6b6a267e0e40e3bc26d2b61cac8198"/>
            <w:id w:val="961460922"/>
          </w:sdtPr>
          <w:sdtEndPr/>
          <w:sdtContent>
            <w:tc>
              <w:tcPr>
                <w:tcW w:w="0" w:type="auto"/>
                <w:vMerge w:val="restart"/>
                <w:vAlign w:val="center"/>
              </w:tcPr>
              <w:p w:rsidR="00156DD6" w:rsidRDefault="00D51F5F">
                <w:pPr>
                  <w:autoSpaceDE w:val="0"/>
                  <w:autoSpaceDN w:val="0"/>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项目</w:t>
                </w:r>
              </w:p>
            </w:tc>
          </w:sdtContent>
        </w:sdt>
        <w:sdt>
          <w:sdtPr>
            <w:rPr>
              <w:rFonts w:asciiTheme="minorEastAsia" w:eastAsiaTheme="minorEastAsia" w:hAnsiTheme="minorEastAsia"/>
              <w:sz w:val="15"/>
              <w:szCs w:val="15"/>
            </w:rPr>
            <w:tag w:val="_PLD_36925a1427f44fc9ad2d6b19462366bd"/>
            <w:id w:val="-486856172"/>
          </w:sdtPr>
          <w:sdtEndPr/>
          <w:sdtContent>
            <w:tc>
              <w:tcPr>
                <w:tcW w:w="0" w:type="auto"/>
                <w:vMerge w:val="restart"/>
                <w:vAlign w:val="center"/>
              </w:tcPr>
              <w:p w:rsidR="00156DD6" w:rsidRDefault="00D51F5F">
                <w:pPr>
                  <w:autoSpaceDE w:val="0"/>
                  <w:autoSpaceDN w:val="0"/>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期初余额</w:t>
                </w:r>
              </w:p>
            </w:tc>
          </w:sdtContent>
        </w:sdt>
        <w:sdt>
          <w:sdtPr>
            <w:rPr>
              <w:rFonts w:asciiTheme="minorEastAsia" w:eastAsiaTheme="minorEastAsia" w:hAnsiTheme="minorEastAsia"/>
              <w:sz w:val="15"/>
              <w:szCs w:val="15"/>
            </w:rPr>
            <w:tag w:val="_PLD_176eed8443cb4d22bd65c7b5b358dc6c"/>
            <w:id w:val="2133746330"/>
          </w:sdtPr>
          <w:sdtEndPr/>
          <w:sdtContent>
            <w:tc>
              <w:tcPr>
                <w:tcW w:w="0" w:type="auto"/>
                <w:gridSpan w:val="2"/>
                <w:vAlign w:val="center"/>
              </w:tcPr>
              <w:p w:rsidR="00156DD6" w:rsidRDefault="00D51F5F">
                <w:pPr>
                  <w:autoSpaceDE w:val="0"/>
                  <w:autoSpaceDN w:val="0"/>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本期增加</w:t>
                </w:r>
              </w:p>
            </w:tc>
          </w:sdtContent>
        </w:sdt>
        <w:sdt>
          <w:sdtPr>
            <w:rPr>
              <w:rFonts w:asciiTheme="minorEastAsia" w:eastAsiaTheme="minorEastAsia" w:hAnsiTheme="minorEastAsia"/>
              <w:sz w:val="15"/>
              <w:szCs w:val="15"/>
            </w:rPr>
            <w:tag w:val="_PLD_cac06696e80c47f5b5568a75d3febe74"/>
            <w:id w:val="-95795379"/>
          </w:sdtPr>
          <w:sdtEndPr/>
          <w:sdtContent>
            <w:tc>
              <w:tcPr>
                <w:tcW w:w="0" w:type="auto"/>
                <w:gridSpan w:val="2"/>
                <w:vAlign w:val="center"/>
              </w:tcPr>
              <w:p w:rsidR="00156DD6" w:rsidRDefault="00D51F5F">
                <w:pPr>
                  <w:autoSpaceDE w:val="0"/>
                  <w:autoSpaceDN w:val="0"/>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本期减少</w:t>
                </w:r>
              </w:p>
            </w:tc>
          </w:sdtContent>
        </w:sdt>
        <w:sdt>
          <w:sdtPr>
            <w:rPr>
              <w:rFonts w:asciiTheme="minorEastAsia" w:eastAsiaTheme="minorEastAsia" w:hAnsiTheme="minorEastAsia"/>
              <w:sz w:val="15"/>
              <w:szCs w:val="15"/>
            </w:rPr>
            <w:tag w:val="_PLD_e21e0332db6f456baa78cdaed3e13bfb"/>
            <w:id w:val="-1257358856"/>
          </w:sdtPr>
          <w:sdtEndPr/>
          <w:sdtContent>
            <w:tc>
              <w:tcPr>
                <w:tcW w:w="0" w:type="auto"/>
                <w:vMerge w:val="restart"/>
                <w:vAlign w:val="center"/>
              </w:tcPr>
              <w:p w:rsidR="00156DD6" w:rsidRDefault="00D51F5F">
                <w:pPr>
                  <w:autoSpaceDE w:val="0"/>
                  <w:autoSpaceDN w:val="0"/>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期末余额</w:t>
                </w:r>
              </w:p>
            </w:tc>
          </w:sdtContent>
        </w:sdt>
      </w:tr>
      <w:tr w:rsidR="00156DD6">
        <w:trPr>
          <w:trHeight w:val="135"/>
        </w:trPr>
        <w:tc>
          <w:tcPr>
            <w:tcW w:w="0" w:type="auto"/>
            <w:vMerge/>
          </w:tcPr>
          <w:p w:rsidR="00156DD6" w:rsidRDefault="00156DD6">
            <w:pPr>
              <w:autoSpaceDE w:val="0"/>
              <w:autoSpaceDN w:val="0"/>
              <w:adjustRightInd w:val="0"/>
              <w:snapToGrid w:val="0"/>
              <w:jc w:val="center"/>
              <w:rPr>
                <w:rFonts w:asciiTheme="minorEastAsia" w:eastAsiaTheme="minorEastAsia" w:hAnsiTheme="minorEastAsia"/>
                <w:color w:val="000000" w:themeColor="text1"/>
                <w:sz w:val="15"/>
                <w:szCs w:val="15"/>
              </w:rPr>
            </w:pPr>
          </w:p>
        </w:tc>
        <w:tc>
          <w:tcPr>
            <w:tcW w:w="0" w:type="auto"/>
            <w:vMerge/>
          </w:tcPr>
          <w:p w:rsidR="00156DD6" w:rsidRDefault="00156DD6">
            <w:pPr>
              <w:autoSpaceDE w:val="0"/>
              <w:autoSpaceDN w:val="0"/>
              <w:adjustRightInd w:val="0"/>
              <w:snapToGrid w:val="0"/>
              <w:jc w:val="center"/>
              <w:rPr>
                <w:rFonts w:asciiTheme="minorEastAsia" w:eastAsiaTheme="minorEastAsia" w:hAnsiTheme="minorEastAsia"/>
                <w:color w:val="000000" w:themeColor="text1"/>
                <w:sz w:val="15"/>
                <w:szCs w:val="15"/>
              </w:rPr>
            </w:pPr>
          </w:p>
        </w:tc>
        <w:sdt>
          <w:sdtPr>
            <w:rPr>
              <w:rFonts w:asciiTheme="minorEastAsia" w:eastAsiaTheme="minorEastAsia" w:hAnsiTheme="minorEastAsia"/>
              <w:sz w:val="15"/>
              <w:szCs w:val="15"/>
            </w:rPr>
            <w:tag w:val="_PLD_91886e77e3aa45f593f23a58a4371259"/>
            <w:id w:val="1046952432"/>
          </w:sdtPr>
          <w:sdtEndPr/>
          <w:sdtContent>
            <w:tc>
              <w:tcPr>
                <w:tcW w:w="0" w:type="auto"/>
              </w:tcPr>
              <w:p w:rsidR="00156DD6" w:rsidRDefault="00D51F5F">
                <w:pPr>
                  <w:autoSpaceDE w:val="0"/>
                  <w:autoSpaceDN w:val="0"/>
                  <w:adjustRightInd w:val="0"/>
                  <w:snapToGrid w:val="0"/>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现金变动</w:t>
                </w:r>
              </w:p>
            </w:tc>
          </w:sdtContent>
        </w:sdt>
        <w:sdt>
          <w:sdtPr>
            <w:rPr>
              <w:rFonts w:asciiTheme="minorEastAsia" w:eastAsiaTheme="minorEastAsia" w:hAnsiTheme="minorEastAsia"/>
              <w:sz w:val="15"/>
              <w:szCs w:val="15"/>
            </w:rPr>
            <w:tag w:val="_PLD_bb55d31edc784a1a9201d9cfc35cfb0a"/>
            <w:id w:val="-142971363"/>
          </w:sdtPr>
          <w:sdtEndPr/>
          <w:sdtContent>
            <w:tc>
              <w:tcPr>
                <w:tcW w:w="0" w:type="auto"/>
              </w:tcPr>
              <w:p w:rsidR="00156DD6" w:rsidRDefault="00D51F5F">
                <w:pPr>
                  <w:autoSpaceDE w:val="0"/>
                  <w:autoSpaceDN w:val="0"/>
                  <w:adjustRightInd w:val="0"/>
                  <w:snapToGrid w:val="0"/>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非现金变动</w:t>
                </w:r>
              </w:p>
            </w:tc>
          </w:sdtContent>
        </w:sdt>
        <w:sdt>
          <w:sdtPr>
            <w:rPr>
              <w:rFonts w:asciiTheme="minorEastAsia" w:eastAsiaTheme="minorEastAsia" w:hAnsiTheme="minorEastAsia"/>
              <w:sz w:val="15"/>
              <w:szCs w:val="15"/>
            </w:rPr>
            <w:tag w:val="_PLD_54bb1edd4a3647d0b36572ae06e87dcc"/>
            <w:id w:val="-1389801739"/>
          </w:sdtPr>
          <w:sdtEndPr/>
          <w:sdtContent>
            <w:tc>
              <w:tcPr>
                <w:tcW w:w="0" w:type="auto"/>
              </w:tcPr>
              <w:p w:rsidR="00156DD6" w:rsidRDefault="00D51F5F">
                <w:pPr>
                  <w:autoSpaceDE w:val="0"/>
                  <w:autoSpaceDN w:val="0"/>
                  <w:adjustRightInd w:val="0"/>
                  <w:snapToGrid w:val="0"/>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现金变动</w:t>
                </w:r>
              </w:p>
            </w:tc>
          </w:sdtContent>
        </w:sdt>
        <w:sdt>
          <w:sdtPr>
            <w:rPr>
              <w:rFonts w:asciiTheme="minorEastAsia" w:eastAsiaTheme="minorEastAsia" w:hAnsiTheme="minorEastAsia"/>
              <w:sz w:val="15"/>
              <w:szCs w:val="15"/>
            </w:rPr>
            <w:tag w:val="_PLD_d089b8baa83c4cc6b03f3dd0078bbdbc"/>
            <w:id w:val="1471633801"/>
          </w:sdtPr>
          <w:sdtEndPr/>
          <w:sdtContent>
            <w:tc>
              <w:tcPr>
                <w:tcW w:w="0" w:type="auto"/>
              </w:tcPr>
              <w:p w:rsidR="00156DD6" w:rsidRDefault="00D51F5F">
                <w:pPr>
                  <w:autoSpaceDE w:val="0"/>
                  <w:autoSpaceDN w:val="0"/>
                  <w:adjustRightInd w:val="0"/>
                  <w:snapToGrid w:val="0"/>
                  <w:rPr>
                    <w:rFonts w:asciiTheme="minorEastAsia" w:eastAsiaTheme="minorEastAsia" w:hAnsiTheme="minorEastAsia"/>
                    <w:color w:val="000000" w:themeColor="text1"/>
                    <w:sz w:val="15"/>
                    <w:szCs w:val="15"/>
                  </w:rPr>
                </w:pPr>
                <w:r>
                  <w:rPr>
                    <w:rFonts w:asciiTheme="minorEastAsia" w:eastAsiaTheme="minorEastAsia" w:hAnsiTheme="minorEastAsia"/>
                    <w:color w:val="000000" w:themeColor="text1"/>
                    <w:sz w:val="15"/>
                    <w:szCs w:val="15"/>
                  </w:rPr>
                  <w:t>非现金变动</w:t>
                </w:r>
              </w:p>
            </w:tc>
          </w:sdtContent>
        </w:sdt>
        <w:tc>
          <w:tcPr>
            <w:tcW w:w="0" w:type="auto"/>
            <w:vMerge/>
          </w:tcPr>
          <w:p w:rsidR="00156DD6" w:rsidRDefault="00156DD6">
            <w:pPr>
              <w:autoSpaceDE w:val="0"/>
              <w:autoSpaceDN w:val="0"/>
              <w:adjustRightInd w:val="0"/>
              <w:snapToGrid w:val="0"/>
              <w:jc w:val="center"/>
              <w:rPr>
                <w:rFonts w:asciiTheme="minorEastAsia" w:eastAsiaTheme="minorEastAsia" w:hAnsiTheme="minorEastAsia"/>
                <w:color w:val="000000" w:themeColor="text1"/>
                <w:sz w:val="15"/>
                <w:szCs w:val="15"/>
              </w:rPr>
            </w:pPr>
          </w:p>
        </w:tc>
      </w:tr>
      <w:tr w:rsidR="00156DD6">
        <w:tc>
          <w:tcPr>
            <w:tcW w:w="0" w:type="auto"/>
          </w:tcPr>
          <w:p w:rsidR="00156DD6" w:rsidRDefault="00D51F5F">
            <w:pPr>
              <w:autoSpaceDE w:val="0"/>
              <w:autoSpaceDN w:val="0"/>
              <w:adjustRightInd w:val="0"/>
              <w:snapToGrid w:val="0"/>
              <w:rPr>
                <w:rFonts w:asciiTheme="minorEastAsia" w:eastAsiaTheme="minorEastAsia" w:hAnsiTheme="minorEastAsia"/>
                <w:sz w:val="15"/>
                <w:szCs w:val="15"/>
              </w:rPr>
            </w:pPr>
            <w:r>
              <w:rPr>
                <w:rFonts w:asciiTheme="minorEastAsia" w:eastAsiaTheme="minorEastAsia" w:hAnsiTheme="minorEastAsia"/>
                <w:sz w:val="15"/>
                <w:szCs w:val="15"/>
              </w:rPr>
              <w:t>短期借款</w:t>
            </w:r>
          </w:p>
        </w:tc>
        <w:tc>
          <w:tcPr>
            <w:tcW w:w="0" w:type="auto"/>
            <w:vAlign w:val="center"/>
          </w:tcPr>
          <w:p w:rsidR="00156DD6" w:rsidRDefault="00D51F5F">
            <w:pPr>
              <w:jc w:val="right"/>
              <w:rPr>
                <w:rFonts w:asciiTheme="minorEastAsia" w:eastAsiaTheme="minorEastAsia" w:hAnsiTheme="minorEastAsia" w:cs="Times New Roman"/>
                <w:sz w:val="15"/>
                <w:szCs w:val="15"/>
              </w:rPr>
            </w:pPr>
            <w:r>
              <w:rPr>
                <w:rFonts w:hint="eastAsia"/>
                <w:sz w:val="15"/>
                <w:szCs w:val="15"/>
              </w:rPr>
              <w:t xml:space="preserve"> 270,060,922.08 </w:t>
            </w:r>
          </w:p>
        </w:tc>
        <w:tc>
          <w:tcPr>
            <w:tcW w:w="0" w:type="auto"/>
            <w:vAlign w:val="center"/>
          </w:tcPr>
          <w:p w:rsidR="00156DD6" w:rsidRDefault="00D51F5F">
            <w:pPr>
              <w:jc w:val="right"/>
              <w:rPr>
                <w:sz w:val="15"/>
                <w:szCs w:val="15"/>
              </w:rPr>
            </w:pPr>
            <w:r>
              <w:rPr>
                <w:rFonts w:hint="eastAsia"/>
                <w:sz w:val="15"/>
                <w:szCs w:val="15"/>
              </w:rPr>
              <w:t xml:space="preserve"> 41,822,000.00 </w:t>
            </w:r>
          </w:p>
        </w:tc>
        <w:tc>
          <w:tcPr>
            <w:tcW w:w="0" w:type="auto"/>
            <w:vAlign w:val="center"/>
          </w:tcPr>
          <w:p w:rsidR="00156DD6" w:rsidRDefault="00D51F5F">
            <w:pPr>
              <w:jc w:val="right"/>
              <w:rPr>
                <w:sz w:val="15"/>
                <w:szCs w:val="15"/>
              </w:rPr>
            </w:pPr>
            <w:r>
              <w:rPr>
                <w:rFonts w:hint="eastAsia"/>
                <w:sz w:val="15"/>
                <w:szCs w:val="15"/>
              </w:rPr>
              <w:t>137,121,184.71</w:t>
            </w:r>
          </w:p>
        </w:tc>
        <w:tc>
          <w:tcPr>
            <w:tcW w:w="0" w:type="auto"/>
            <w:vAlign w:val="center"/>
          </w:tcPr>
          <w:p w:rsidR="00156DD6" w:rsidRDefault="00D51F5F">
            <w:pPr>
              <w:jc w:val="right"/>
              <w:rPr>
                <w:sz w:val="15"/>
                <w:szCs w:val="15"/>
              </w:rPr>
            </w:pPr>
            <w:r>
              <w:rPr>
                <w:rFonts w:hint="eastAsia"/>
                <w:sz w:val="15"/>
                <w:szCs w:val="15"/>
              </w:rPr>
              <w:t>181,128,657.54</w:t>
            </w:r>
          </w:p>
        </w:tc>
        <w:tc>
          <w:tcPr>
            <w:tcW w:w="0" w:type="auto"/>
            <w:vAlign w:val="center"/>
          </w:tcPr>
          <w:p w:rsidR="00156DD6" w:rsidRDefault="00D51F5F">
            <w:pPr>
              <w:jc w:val="right"/>
              <w:rPr>
                <w:sz w:val="15"/>
                <w:szCs w:val="15"/>
              </w:rPr>
            </w:pPr>
            <w:r>
              <w:rPr>
                <w:rFonts w:hint="eastAsia"/>
                <w:sz w:val="15"/>
                <w:szCs w:val="15"/>
              </w:rPr>
              <w:t>18,794,248.37</w:t>
            </w:r>
          </w:p>
        </w:tc>
        <w:tc>
          <w:tcPr>
            <w:tcW w:w="0" w:type="auto"/>
            <w:vAlign w:val="center"/>
          </w:tcPr>
          <w:p w:rsidR="00156DD6" w:rsidRDefault="00D51F5F">
            <w:pPr>
              <w:jc w:val="right"/>
              <w:rPr>
                <w:sz w:val="15"/>
                <w:szCs w:val="15"/>
              </w:rPr>
            </w:pPr>
            <w:r>
              <w:rPr>
                <w:rFonts w:hint="eastAsia"/>
                <w:sz w:val="15"/>
                <w:szCs w:val="15"/>
              </w:rPr>
              <w:t>249,081,200.88</w:t>
            </w:r>
          </w:p>
        </w:tc>
      </w:tr>
      <w:tr w:rsidR="00156DD6">
        <w:tc>
          <w:tcPr>
            <w:tcW w:w="0" w:type="auto"/>
          </w:tcPr>
          <w:p w:rsidR="00156DD6" w:rsidRDefault="00D51F5F">
            <w:pPr>
              <w:autoSpaceDE w:val="0"/>
              <w:autoSpaceDN w:val="0"/>
              <w:adjustRightInd w:val="0"/>
              <w:snapToGrid w:val="0"/>
              <w:rPr>
                <w:rFonts w:asciiTheme="minorEastAsia" w:eastAsiaTheme="minorEastAsia" w:hAnsiTheme="minorEastAsia"/>
                <w:sz w:val="15"/>
                <w:szCs w:val="15"/>
              </w:rPr>
            </w:pPr>
            <w:r>
              <w:rPr>
                <w:rFonts w:asciiTheme="minorEastAsia" w:eastAsiaTheme="minorEastAsia" w:hAnsiTheme="minorEastAsia"/>
                <w:sz w:val="15"/>
                <w:szCs w:val="15"/>
              </w:rPr>
              <w:t>长期借款</w:t>
            </w:r>
          </w:p>
        </w:tc>
        <w:tc>
          <w:tcPr>
            <w:tcW w:w="0" w:type="auto"/>
            <w:vAlign w:val="center"/>
          </w:tcPr>
          <w:p w:rsidR="00156DD6" w:rsidRDefault="00D51F5F">
            <w:pPr>
              <w:jc w:val="right"/>
              <w:rPr>
                <w:rFonts w:asciiTheme="minorEastAsia" w:eastAsiaTheme="minorEastAsia" w:hAnsiTheme="minorEastAsia" w:cs="Times New Roman"/>
                <w:sz w:val="15"/>
                <w:szCs w:val="15"/>
              </w:rPr>
            </w:pPr>
            <w:r>
              <w:rPr>
                <w:rFonts w:hint="eastAsia"/>
                <w:sz w:val="15"/>
                <w:szCs w:val="15"/>
              </w:rPr>
              <w:t xml:space="preserve">1,599,618,701.58 </w:t>
            </w:r>
          </w:p>
        </w:tc>
        <w:tc>
          <w:tcPr>
            <w:tcW w:w="0" w:type="auto"/>
            <w:vAlign w:val="center"/>
          </w:tcPr>
          <w:p w:rsidR="00156DD6" w:rsidRDefault="00D51F5F">
            <w:pPr>
              <w:jc w:val="right"/>
              <w:rPr>
                <w:sz w:val="15"/>
                <w:szCs w:val="15"/>
              </w:rPr>
            </w:pPr>
            <w:r>
              <w:rPr>
                <w:rFonts w:hint="eastAsia"/>
                <w:sz w:val="15"/>
                <w:szCs w:val="15"/>
              </w:rPr>
              <w:t xml:space="preserve"> 808,501,220.51 </w:t>
            </w:r>
          </w:p>
        </w:tc>
        <w:tc>
          <w:tcPr>
            <w:tcW w:w="0" w:type="auto"/>
            <w:vAlign w:val="center"/>
          </w:tcPr>
          <w:p w:rsidR="00156DD6" w:rsidRDefault="00D51F5F">
            <w:pPr>
              <w:jc w:val="right"/>
              <w:rPr>
                <w:sz w:val="15"/>
                <w:szCs w:val="15"/>
              </w:rPr>
            </w:pPr>
            <w:r>
              <w:rPr>
                <w:rFonts w:hint="eastAsia"/>
                <w:sz w:val="15"/>
                <w:szCs w:val="15"/>
              </w:rPr>
              <w:t>22,778,849.39</w:t>
            </w:r>
          </w:p>
        </w:tc>
        <w:tc>
          <w:tcPr>
            <w:tcW w:w="0" w:type="auto"/>
            <w:vAlign w:val="center"/>
          </w:tcPr>
          <w:p w:rsidR="00156DD6" w:rsidRDefault="00D51F5F">
            <w:pPr>
              <w:jc w:val="right"/>
              <w:rPr>
                <w:sz w:val="15"/>
                <w:szCs w:val="15"/>
              </w:rPr>
            </w:pPr>
            <w:r>
              <w:rPr>
                <w:rFonts w:hint="eastAsia"/>
                <w:sz w:val="15"/>
                <w:szCs w:val="15"/>
              </w:rPr>
              <w:t>635,885,008.99</w:t>
            </w:r>
          </w:p>
        </w:tc>
        <w:tc>
          <w:tcPr>
            <w:tcW w:w="0" w:type="auto"/>
            <w:vAlign w:val="center"/>
          </w:tcPr>
          <w:p w:rsidR="00156DD6" w:rsidRDefault="00156DD6">
            <w:pPr>
              <w:jc w:val="right"/>
              <w:rPr>
                <w:sz w:val="15"/>
                <w:szCs w:val="15"/>
              </w:rPr>
            </w:pPr>
          </w:p>
        </w:tc>
        <w:tc>
          <w:tcPr>
            <w:tcW w:w="0" w:type="auto"/>
            <w:vAlign w:val="center"/>
          </w:tcPr>
          <w:p w:rsidR="00156DD6" w:rsidRDefault="00D51F5F">
            <w:pPr>
              <w:jc w:val="right"/>
              <w:rPr>
                <w:sz w:val="15"/>
                <w:szCs w:val="15"/>
              </w:rPr>
            </w:pPr>
            <w:r>
              <w:rPr>
                <w:rFonts w:hint="eastAsia"/>
                <w:sz w:val="15"/>
                <w:szCs w:val="15"/>
              </w:rPr>
              <w:t>1,795,013,762.49</w:t>
            </w:r>
          </w:p>
        </w:tc>
      </w:tr>
      <w:tr w:rsidR="00156DD6">
        <w:tc>
          <w:tcPr>
            <w:tcW w:w="0" w:type="auto"/>
          </w:tcPr>
          <w:p w:rsidR="00156DD6" w:rsidRDefault="00D51F5F">
            <w:pPr>
              <w:autoSpaceDE w:val="0"/>
              <w:autoSpaceDN w:val="0"/>
              <w:adjustRightInd w:val="0"/>
              <w:snapToGrid w:val="0"/>
              <w:rPr>
                <w:rFonts w:asciiTheme="minorEastAsia" w:eastAsiaTheme="minorEastAsia" w:hAnsiTheme="minorEastAsia"/>
                <w:sz w:val="15"/>
                <w:szCs w:val="15"/>
              </w:rPr>
            </w:pPr>
            <w:r>
              <w:rPr>
                <w:rFonts w:asciiTheme="minorEastAsia" w:eastAsiaTheme="minorEastAsia" w:hAnsiTheme="minorEastAsia"/>
                <w:sz w:val="15"/>
                <w:szCs w:val="15"/>
              </w:rPr>
              <w:t>租赁负债</w:t>
            </w:r>
          </w:p>
        </w:tc>
        <w:tc>
          <w:tcPr>
            <w:tcW w:w="0" w:type="auto"/>
            <w:vAlign w:val="center"/>
          </w:tcPr>
          <w:p w:rsidR="00156DD6" w:rsidRDefault="00D51F5F">
            <w:pPr>
              <w:jc w:val="right"/>
              <w:rPr>
                <w:rFonts w:asciiTheme="minorEastAsia" w:eastAsiaTheme="minorEastAsia" w:hAnsiTheme="minorEastAsia" w:cs="Times New Roman"/>
                <w:sz w:val="15"/>
                <w:szCs w:val="15"/>
              </w:rPr>
            </w:pPr>
            <w:r>
              <w:rPr>
                <w:rFonts w:hint="eastAsia"/>
                <w:sz w:val="15"/>
                <w:szCs w:val="15"/>
              </w:rPr>
              <w:t xml:space="preserve"> 6,222,233.00 </w:t>
            </w:r>
          </w:p>
        </w:tc>
        <w:tc>
          <w:tcPr>
            <w:tcW w:w="0" w:type="auto"/>
            <w:vAlign w:val="center"/>
          </w:tcPr>
          <w:p w:rsidR="00156DD6" w:rsidRDefault="00156DD6">
            <w:pPr>
              <w:jc w:val="right"/>
              <w:rPr>
                <w:sz w:val="15"/>
                <w:szCs w:val="15"/>
              </w:rPr>
            </w:pPr>
          </w:p>
        </w:tc>
        <w:tc>
          <w:tcPr>
            <w:tcW w:w="0" w:type="auto"/>
            <w:vAlign w:val="center"/>
          </w:tcPr>
          <w:p w:rsidR="00156DD6" w:rsidRDefault="00D51F5F">
            <w:pPr>
              <w:jc w:val="right"/>
              <w:rPr>
                <w:sz w:val="15"/>
                <w:szCs w:val="15"/>
              </w:rPr>
            </w:pPr>
            <w:r>
              <w:rPr>
                <w:rFonts w:hint="eastAsia"/>
                <w:sz w:val="15"/>
                <w:szCs w:val="15"/>
              </w:rPr>
              <w:t>4,764,491.58</w:t>
            </w:r>
          </w:p>
        </w:tc>
        <w:tc>
          <w:tcPr>
            <w:tcW w:w="0" w:type="auto"/>
            <w:vAlign w:val="center"/>
          </w:tcPr>
          <w:p w:rsidR="00156DD6" w:rsidRDefault="00D51F5F">
            <w:pPr>
              <w:jc w:val="right"/>
              <w:rPr>
                <w:sz w:val="15"/>
                <w:szCs w:val="15"/>
              </w:rPr>
            </w:pPr>
            <w:r>
              <w:rPr>
                <w:rFonts w:hint="eastAsia"/>
                <w:sz w:val="15"/>
                <w:szCs w:val="15"/>
              </w:rPr>
              <w:t>2,451,885.98</w:t>
            </w:r>
          </w:p>
        </w:tc>
        <w:tc>
          <w:tcPr>
            <w:tcW w:w="0" w:type="auto"/>
            <w:vAlign w:val="center"/>
          </w:tcPr>
          <w:p w:rsidR="00156DD6" w:rsidRDefault="00D51F5F">
            <w:pPr>
              <w:jc w:val="right"/>
              <w:rPr>
                <w:sz w:val="15"/>
                <w:szCs w:val="15"/>
              </w:rPr>
            </w:pPr>
            <w:r>
              <w:rPr>
                <w:rFonts w:hint="eastAsia"/>
                <w:sz w:val="15"/>
                <w:szCs w:val="15"/>
              </w:rPr>
              <w:t xml:space="preserve"> 550,935.00 </w:t>
            </w:r>
          </w:p>
        </w:tc>
        <w:tc>
          <w:tcPr>
            <w:tcW w:w="0" w:type="auto"/>
            <w:vAlign w:val="center"/>
          </w:tcPr>
          <w:p w:rsidR="00156DD6" w:rsidRDefault="00D51F5F">
            <w:pPr>
              <w:jc w:val="right"/>
              <w:rPr>
                <w:sz w:val="15"/>
                <w:szCs w:val="15"/>
              </w:rPr>
            </w:pPr>
            <w:r>
              <w:rPr>
                <w:rFonts w:hint="eastAsia"/>
                <w:sz w:val="15"/>
                <w:szCs w:val="15"/>
              </w:rPr>
              <w:t>7,983,903.60</w:t>
            </w:r>
          </w:p>
        </w:tc>
      </w:tr>
      <w:tr w:rsidR="00156DD6">
        <w:tc>
          <w:tcPr>
            <w:tcW w:w="0" w:type="auto"/>
          </w:tcPr>
          <w:p w:rsidR="00156DD6" w:rsidRDefault="00D51F5F">
            <w:pPr>
              <w:autoSpaceDE w:val="0"/>
              <w:autoSpaceDN w:val="0"/>
              <w:adjustRightInd w:val="0"/>
              <w:snapToGrid w:val="0"/>
              <w:rPr>
                <w:rFonts w:asciiTheme="minorEastAsia" w:eastAsiaTheme="minorEastAsia" w:hAnsiTheme="minorEastAsia"/>
                <w:sz w:val="15"/>
                <w:szCs w:val="15"/>
              </w:rPr>
            </w:pPr>
            <w:r>
              <w:rPr>
                <w:rFonts w:asciiTheme="minorEastAsia" w:eastAsiaTheme="minorEastAsia" w:hAnsiTheme="minorEastAsia" w:hint="eastAsia"/>
                <w:sz w:val="15"/>
                <w:szCs w:val="15"/>
              </w:rPr>
              <w:t>长期应付款</w:t>
            </w:r>
          </w:p>
        </w:tc>
        <w:tc>
          <w:tcPr>
            <w:tcW w:w="0" w:type="auto"/>
            <w:vAlign w:val="center"/>
          </w:tcPr>
          <w:p w:rsidR="00156DD6" w:rsidRDefault="00156DD6">
            <w:pPr>
              <w:jc w:val="right"/>
              <w:rPr>
                <w:rFonts w:asciiTheme="minorEastAsia" w:eastAsiaTheme="minorEastAsia" w:hAnsiTheme="minorEastAsia" w:cs="Times New Roman"/>
                <w:sz w:val="15"/>
                <w:szCs w:val="15"/>
              </w:rPr>
            </w:pPr>
          </w:p>
        </w:tc>
        <w:tc>
          <w:tcPr>
            <w:tcW w:w="0" w:type="auto"/>
            <w:vAlign w:val="center"/>
          </w:tcPr>
          <w:p w:rsidR="00156DD6" w:rsidRDefault="00D51F5F">
            <w:pPr>
              <w:jc w:val="right"/>
              <w:rPr>
                <w:sz w:val="15"/>
                <w:szCs w:val="15"/>
              </w:rPr>
            </w:pPr>
            <w:r>
              <w:rPr>
                <w:rFonts w:hint="eastAsia"/>
                <w:sz w:val="15"/>
                <w:szCs w:val="15"/>
              </w:rPr>
              <w:t xml:space="preserve"> 200,000,000.00 </w:t>
            </w:r>
          </w:p>
        </w:tc>
        <w:tc>
          <w:tcPr>
            <w:tcW w:w="0" w:type="auto"/>
            <w:vAlign w:val="center"/>
          </w:tcPr>
          <w:p w:rsidR="00156DD6" w:rsidRDefault="00D51F5F">
            <w:pPr>
              <w:jc w:val="right"/>
              <w:rPr>
                <w:sz w:val="15"/>
                <w:szCs w:val="15"/>
              </w:rPr>
            </w:pPr>
            <w:r>
              <w:rPr>
                <w:rFonts w:hint="eastAsia"/>
                <w:sz w:val="15"/>
                <w:szCs w:val="15"/>
              </w:rPr>
              <w:t>2,100,669.74</w:t>
            </w:r>
          </w:p>
        </w:tc>
        <w:tc>
          <w:tcPr>
            <w:tcW w:w="0" w:type="auto"/>
            <w:vAlign w:val="center"/>
          </w:tcPr>
          <w:p w:rsidR="00156DD6" w:rsidRDefault="00156DD6">
            <w:pPr>
              <w:jc w:val="right"/>
              <w:rPr>
                <w:sz w:val="15"/>
                <w:szCs w:val="15"/>
              </w:rPr>
            </w:pPr>
          </w:p>
        </w:tc>
        <w:tc>
          <w:tcPr>
            <w:tcW w:w="0" w:type="auto"/>
            <w:vAlign w:val="center"/>
          </w:tcPr>
          <w:p w:rsidR="00156DD6" w:rsidRDefault="00156DD6">
            <w:pPr>
              <w:jc w:val="right"/>
              <w:rPr>
                <w:sz w:val="15"/>
                <w:szCs w:val="15"/>
              </w:rPr>
            </w:pPr>
          </w:p>
        </w:tc>
        <w:tc>
          <w:tcPr>
            <w:tcW w:w="0" w:type="auto"/>
            <w:vAlign w:val="center"/>
          </w:tcPr>
          <w:p w:rsidR="00156DD6" w:rsidRDefault="00D51F5F">
            <w:pPr>
              <w:jc w:val="right"/>
              <w:rPr>
                <w:sz w:val="15"/>
                <w:szCs w:val="15"/>
              </w:rPr>
            </w:pPr>
            <w:r>
              <w:rPr>
                <w:rFonts w:hint="eastAsia"/>
                <w:sz w:val="15"/>
                <w:szCs w:val="15"/>
              </w:rPr>
              <w:t>202,100,669.74</w:t>
            </w:r>
          </w:p>
        </w:tc>
      </w:tr>
      <w:tr w:rsidR="00156DD6">
        <w:tc>
          <w:tcPr>
            <w:tcW w:w="0" w:type="auto"/>
          </w:tcPr>
          <w:p w:rsidR="00156DD6" w:rsidRDefault="00D51F5F">
            <w:pPr>
              <w:autoSpaceDE w:val="0"/>
              <w:autoSpaceDN w:val="0"/>
              <w:adjustRightInd w:val="0"/>
              <w:snapToGrid w:val="0"/>
              <w:jc w:val="center"/>
              <w:rPr>
                <w:rFonts w:asciiTheme="minorEastAsia" w:eastAsiaTheme="minorEastAsia" w:hAnsiTheme="minorEastAsia"/>
                <w:color w:val="000000" w:themeColor="text1"/>
                <w:sz w:val="15"/>
                <w:szCs w:val="15"/>
              </w:rPr>
            </w:pPr>
            <w:r>
              <w:rPr>
                <w:rFonts w:asciiTheme="minorEastAsia" w:eastAsiaTheme="minorEastAsia" w:hAnsiTheme="minorEastAsia" w:hint="eastAsia"/>
                <w:color w:val="000000" w:themeColor="text1"/>
                <w:sz w:val="15"/>
                <w:szCs w:val="15"/>
              </w:rPr>
              <w:t>合计</w:t>
            </w:r>
          </w:p>
        </w:tc>
        <w:tc>
          <w:tcPr>
            <w:tcW w:w="0" w:type="auto"/>
            <w:vAlign w:val="center"/>
          </w:tcPr>
          <w:p w:rsidR="00156DD6" w:rsidRDefault="00D51F5F">
            <w:pPr>
              <w:jc w:val="right"/>
              <w:rPr>
                <w:rFonts w:asciiTheme="minorEastAsia" w:eastAsiaTheme="minorEastAsia" w:hAnsiTheme="minorEastAsia" w:cs="Times New Roman"/>
                <w:sz w:val="15"/>
                <w:szCs w:val="15"/>
              </w:rPr>
            </w:pPr>
            <w:r>
              <w:rPr>
                <w:rFonts w:hint="eastAsia"/>
                <w:sz w:val="15"/>
                <w:szCs w:val="15"/>
              </w:rPr>
              <w:t xml:space="preserve">1,875,901,856.66 </w:t>
            </w:r>
          </w:p>
        </w:tc>
        <w:tc>
          <w:tcPr>
            <w:tcW w:w="0" w:type="auto"/>
            <w:vAlign w:val="center"/>
          </w:tcPr>
          <w:p w:rsidR="00156DD6" w:rsidRDefault="00D51F5F">
            <w:pPr>
              <w:jc w:val="right"/>
              <w:rPr>
                <w:sz w:val="15"/>
                <w:szCs w:val="15"/>
              </w:rPr>
            </w:pPr>
            <w:r>
              <w:rPr>
                <w:rFonts w:hint="eastAsia"/>
                <w:sz w:val="15"/>
                <w:szCs w:val="15"/>
              </w:rPr>
              <w:t xml:space="preserve">1,050,323,220.51 </w:t>
            </w:r>
          </w:p>
        </w:tc>
        <w:tc>
          <w:tcPr>
            <w:tcW w:w="0" w:type="auto"/>
            <w:vAlign w:val="center"/>
          </w:tcPr>
          <w:p w:rsidR="00156DD6" w:rsidRDefault="00D51F5F">
            <w:pPr>
              <w:jc w:val="right"/>
              <w:rPr>
                <w:sz w:val="15"/>
                <w:szCs w:val="15"/>
              </w:rPr>
            </w:pPr>
            <w:r>
              <w:rPr>
                <w:rFonts w:hint="eastAsia"/>
                <w:sz w:val="15"/>
                <w:szCs w:val="15"/>
              </w:rPr>
              <w:t xml:space="preserve">166,765,195.42 </w:t>
            </w:r>
          </w:p>
        </w:tc>
        <w:tc>
          <w:tcPr>
            <w:tcW w:w="0" w:type="auto"/>
            <w:vAlign w:val="center"/>
          </w:tcPr>
          <w:p w:rsidR="00156DD6" w:rsidRDefault="00D51F5F">
            <w:pPr>
              <w:jc w:val="right"/>
              <w:rPr>
                <w:sz w:val="15"/>
                <w:szCs w:val="15"/>
              </w:rPr>
            </w:pPr>
            <w:r>
              <w:rPr>
                <w:rFonts w:hint="eastAsia"/>
                <w:sz w:val="15"/>
                <w:szCs w:val="15"/>
              </w:rPr>
              <w:t xml:space="preserve">819,465,552.51 </w:t>
            </w:r>
          </w:p>
        </w:tc>
        <w:tc>
          <w:tcPr>
            <w:tcW w:w="0" w:type="auto"/>
            <w:vAlign w:val="center"/>
          </w:tcPr>
          <w:p w:rsidR="00156DD6" w:rsidRDefault="00D51F5F">
            <w:pPr>
              <w:jc w:val="right"/>
              <w:rPr>
                <w:sz w:val="15"/>
                <w:szCs w:val="15"/>
              </w:rPr>
            </w:pPr>
            <w:r>
              <w:rPr>
                <w:rFonts w:hint="eastAsia"/>
                <w:sz w:val="15"/>
                <w:szCs w:val="15"/>
              </w:rPr>
              <w:t xml:space="preserve">19,345,183.37 </w:t>
            </w:r>
          </w:p>
        </w:tc>
        <w:tc>
          <w:tcPr>
            <w:tcW w:w="0" w:type="auto"/>
            <w:vAlign w:val="center"/>
          </w:tcPr>
          <w:p w:rsidR="00156DD6" w:rsidRDefault="00D51F5F">
            <w:pPr>
              <w:jc w:val="right"/>
              <w:rPr>
                <w:sz w:val="15"/>
                <w:szCs w:val="15"/>
              </w:rPr>
            </w:pPr>
            <w:r>
              <w:rPr>
                <w:rFonts w:hint="eastAsia"/>
                <w:sz w:val="15"/>
                <w:szCs w:val="15"/>
              </w:rPr>
              <w:t>2,254,179,536.71</w:t>
            </w:r>
          </w:p>
        </w:tc>
      </w:tr>
    </w:tbl>
    <w:p w:rsidR="00156DD6" w:rsidRDefault="00D51F5F">
      <w:pPr>
        <w:spacing w:line="360" w:lineRule="exact"/>
        <w:ind w:firstLineChars="200" w:firstLine="420"/>
        <w:jc w:val="both"/>
      </w:pPr>
      <w:r>
        <w:rPr>
          <w:rFonts w:hint="eastAsia"/>
        </w:rPr>
        <w:t>长期借款、租赁负债、长期应付款分别包含了重分类至一年内到期的非流动负债列报的部分；短期借款非现金变动系：供应商融资安排转入短期借款</w:t>
      </w:r>
      <w:r>
        <w:rPr>
          <w:rFonts w:hint="eastAsia"/>
        </w:rPr>
        <w:t>134,387,776.00</w:t>
      </w:r>
      <w:r>
        <w:rPr>
          <w:rFonts w:hint="eastAsia"/>
        </w:rPr>
        <w:t>元，计提短期借款利息</w:t>
      </w:r>
      <w:r>
        <w:rPr>
          <w:rFonts w:hint="eastAsia"/>
        </w:rPr>
        <w:t>2,733,408.71</w:t>
      </w:r>
      <w:r>
        <w:rPr>
          <w:rFonts w:hint="eastAsia"/>
        </w:rPr>
        <w:t>元，同时票据融资到期</w:t>
      </w:r>
      <w:r>
        <w:rPr>
          <w:rFonts w:hint="eastAsia"/>
        </w:rPr>
        <w:t>18,794,248.37</w:t>
      </w:r>
      <w:r>
        <w:rPr>
          <w:rFonts w:hint="eastAsia"/>
        </w:rPr>
        <w:t>元；长期借款非现金变动系：计提长期借款利息</w:t>
      </w:r>
      <w:r>
        <w:rPr>
          <w:rFonts w:hint="eastAsia"/>
        </w:rPr>
        <w:t>22,778,849.39</w:t>
      </w:r>
      <w:r>
        <w:rPr>
          <w:rFonts w:hint="eastAsia"/>
        </w:rPr>
        <w:t>元；租赁负债非现金变动系：新增租赁资产及摊销</w:t>
      </w:r>
      <w:r>
        <w:rPr>
          <w:rFonts w:hint="eastAsia"/>
        </w:rPr>
        <w:t>4,764,491.58</w:t>
      </w:r>
      <w:r>
        <w:rPr>
          <w:rFonts w:hint="eastAsia"/>
        </w:rPr>
        <w:t>元，同时票据支付租金</w:t>
      </w:r>
      <w:r>
        <w:rPr>
          <w:rFonts w:hint="eastAsia"/>
        </w:rPr>
        <w:t>550,935.00</w:t>
      </w:r>
      <w:r>
        <w:rPr>
          <w:rFonts w:hint="eastAsia"/>
        </w:rPr>
        <w:t>元；长期应付款非现金变动系：本期摊销</w:t>
      </w:r>
      <w:r>
        <w:rPr>
          <w:rFonts w:hint="eastAsia"/>
        </w:rPr>
        <w:t>2,100,669.74</w:t>
      </w:r>
      <w:r>
        <w:rPr>
          <w:rFonts w:hint="eastAsia"/>
        </w:rPr>
        <w:t>元。</w:t>
      </w:r>
    </w:p>
    <w:p w:rsidR="00156DD6" w:rsidRDefault="00D51F5F">
      <w:pPr>
        <w:pStyle w:val="Style47"/>
        <w:numPr>
          <w:ilvl w:val="0"/>
          <w:numId w:val="80"/>
        </w:numPr>
        <w:rPr>
          <w:color w:val="000000" w:themeColor="text1"/>
          <w:sz w:val="21"/>
          <w:szCs w:val="32"/>
        </w:rPr>
      </w:pPr>
      <w:r>
        <w:rPr>
          <w:rFonts w:hint="eastAsia"/>
          <w:color w:val="000000" w:themeColor="text1"/>
          <w:sz w:val="21"/>
          <w:szCs w:val="32"/>
        </w:rPr>
        <w:t>以净额列报现金流量的说</w:t>
      </w:r>
      <w:r>
        <w:rPr>
          <w:rFonts w:hint="eastAsia"/>
          <w:color w:val="000000" w:themeColor="text1"/>
          <w:sz w:val="21"/>
          <w:szCs w:val="32"/>
        </w:rPr>
        <w:t>明</w:t>
      </w:r>
    </w:p>
    <w:sdt>
      <w:sdtPr>
        <w:rPr>
          <w:color w:val="000000" w:themeColor="text1"/>
        </w:rPr>
        <w:alias w:val="是否适用：以净额列报现金流量的说明[双击切换]"/>
        <w:tag w:val="_GBC_7e5edd2dccad4675a4426511c2fa01e0"/>
        <w:id w:val="103531277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Style5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209"/>
        <w:gridCol w:w="2209"/>
        <w:gridCol w:w="2203"/>
      </w:tblGrid>
      <w:tr w:rsidR="00156DD6">
        <w:sdt>
          <w:sdtPr>
            <w:tag w:val="_PLD_6a10a220deb04ef5b8ece130e7c5d2f4"/>
            <w:id w:val="1590121698"/>
          </w:sdtPr>
          <w:sdtEndPr/>
          <w:sdtContent>
            <w:tc>
              <w:tcPr>
                <w:tcW w:w="2202" w:type="dxa"/>
              </w:tcPr>
              <w:p w:rsidR="00156DD6" w:rsidRDefault="00D51F5F">
                <w:pPr>
                  <w:ind w:right="5"/>
                  <w:jc w:val="center"/>
                  <w:rPr>
                    <w:color w:val="000000" w:themeColor="text1"/>
                  </w:rPr>
                </w:pPr>
                <w:r>
                  <w:rPr>
                    <w:color w:val="000000" w:themeColor="text1"/>
                  </w:rPr>
                  <w:t>项目</w:t>
                </w:r>
              </w:p>
            </w:tc>
          </w:sdtContent>
        </w:sdt>
        <w:sdt>
          <w:sdtPr>
            <w:tag w:val="_PLD_20f0712dadc64c4181a8d4e6feffec90"/>
            <w:id w:val="-1107732576"/>
          </w:sdtPr>
          <w:sdtEndPr/>
          <w:sdtContent>
            <w:tc>
              <w:tcPr>
                <w:tcW w:w="2209" w:type="dxa"/>
              </w:tcPr>
              <w:p w:rsidR="00156DD6" w:rsidRDefault="00D51F5F">
                <w:pPr>
                  <w:ind w:right="5"/>
                  <w:jc w:val="center"/>
                  <w:rPr>
                    <w:color w:val="000000" w:themeColor="text1"/>
                  </w:rPr>
                </w:pPr>
                <w:r>
                  <w:rPr>
                    <w:rFonts w:hint="eastAsia"/>
                    <w:color w:val="000000" w:themeColor="text1"/>
                  </w:rPr>
                  <w:t>相关事实情况</w:t>
                </w:r>
              </w:p>
            </w:tc>
          </w:sdtContent>
        </w:sdt>
        <w:sdt>
          <w:sdtPr>
            <w:tag w:val="_PLD_05f5c1ef5c964d4a8a59230cf6322f6f"/>
            <w:id w:val="-387104824"/>
          </w:sdtPr>
          <w:sdtEndPr/>
          <w:sdtContent>
            <w:tc>
              <w:tcPr>
                <w:tcW w:w="2209" w:type="dxa"/>
              </w:tcPr>
              <w:p w:rsidR="00156DD6" w:rsidRDefault="00D51F5F">
                <w:pPr>
                  <w:ind w:right="5"/>
                  <w:jc w:val="center"/>
                  <w:rPr>
                    <w:color w:val="000000" w:themeColor="text1"/>
                  </w:rPr>
                </w:pPr>
                <w:r>
                  <w:rPr>
                    <w:rFonts w:hint="eastAsia"/>
                    <w:color w:val="000000" w:themeColor="text1"/>
                  </w:rPr>
                  <w:t>采用净额列报的依据</w:t>
                </w:r>
              </w:p>
            </w:tc>
          </w:sdtContent>
        </w:sdt>
        <w:sdt>
          <w:sdtPr>
            <w:tag w:val="_PLD_857618e07f284dbdbeaf13864837b199"/>
            <w:id w:val="1078331718"/>
          </w:sdtPr>
          <w:sdtEndPr/>
          <w:sdtContent>
            <w:tc>
              <w:tcPr>
                <w:tcW w:w="2203" w:type="dxa"/>
              </w:tcPr>
              <w:p w:rsidR="00156DD6" w:rsidRDefault="00D51F5F">
                <w:pPr>
                  <w:ind w:right="5"/>
                  <w:jc w:val="center"/>
                  <w:rPr>
                    <w:color w:val="000000" w:themeColor="text1"/>
                  </w:rPr>
                </w:pPr>
                <w:r>
                  <w:rPr>
                    <w:rFonts w:hint="eastAsia"/>
                    <w:color w:val="000000" w:themeColor="text1"/>
                  </w:rPr>
                  <w:t>财务影响</w:t>
                </w:r>
              </w:p>
            </w:tc>
          </w:sdtContent>
        </w:sdt>
      </w:tr>
      <w:tr w:rsidR="00156DD6">
        <w:tc>
          <w:tcPr>
            <w:tcW w:w="2202" w:type="dxa"/>
            <w:vAlign w:val="center"/>
          </w:tcPr>
          <w:p w:rsidR="00156DD6" w:rsidRDefault="00D51F5F">
            <w:pPr>
              <w:ind w:right="5"/>
              <w:jc w:val="both"/>
            </w:pPr>
            <w:r>
              <w:lastRenderedPageBreak/>
              <w:t>收到其他与经营活动有关的现金</w:t>
            </w:r>
          </w:p>
        </w:tc>
        <w:tc>
          <w:tcPr>
            <w:tcW w:w="2209" w:type="dxa"/>
            <w:vAlign w:val="center"/>
          </w:tcPr>
          <w:p w:rsidR="00156DD6" w:rsidRDefault="00D51F5F">
            <w:pPr>
              <w:ind w:right="5"/>
              <w:jc w:val="both"/>
            </w:pPr>
            <w:r>
              <w:t>相关现金流系向客户收取和支付的周转快、金额大、期限短的现金流入和流出</w:t>
            </w:r>
          </w:p>
        </w:tc>
        <w:tc>
          <w:tcPr>
            <w:tcW w:w="2209" w:type="dxa"/>
            <w:vAlign w:val="center"/>
          </w:tcPr>
          <w:p w:rsidR="00156DD6" w:rsidRDefault="00D51F5F">
            <w:pPr>
              <w:ind w:right="5"/>
              <w:jc w:val="both"/>
            </w:pPr>
            <w:r>
              <w:t>以净额列报更能反映公司现金流情况，更有助于评价公司的支付能力和偿债能力、分析公司的现金流量</w:t>
            </w:r>
          </w:p>
        </w:tc>
        <w:tc>
          <w:tcPr>
            <w:tcW w:w="2203" w:type="dxa"/>
            <w:vAlign w:val="center"/>
          </w:tcPr>
          <w:p w:rsidR="00156DD6" w:rsidRDefault="00D51F5F">
            <w:pPr>
              <w:ind w:right="5"/>
              <w:jc w:val="right"/>
            </w:pPr>
            <w:r>
              <w:t>184,801,398.31</w:t>
            </w:r>
          </w:p>
        </w:tc>
      </w:tr>
      <w:tr w:rsidR="00156DD6">
        <w:tc>
          <w:tcPr>
            <w:tcW w:w="2202" w:type="dxa"/>
            <w:vAlign w:val="center"/>
          </w:tcPr>
          <w:p w:rsidR="00156DD6" w:rsidRDefault="00D51F5F">
            <w:pPr>
              <w:ind w:right="5"/>
              <w:jc w:val="both"/>
            </w:pPr>
            <w:r>
              <w:t>支付其他与经营活动有关的现金</w:t>
            </w:r>
          </w:p>
        </w:tc>
        <w:tc>
          <w:tcPr>
            <w:tcW w:w="2209" w:type="dxa"/>
            <w:vAlign w:val="center"/>
          </w:tcPr>
          <w:p w:rsidR="00156DD6" w:rsidRDefault="00D51F5F">
            <w:pPr>
              <w:ind w:right="5"/>
              <w:jc w:val="both"/>
            </w:pPr>
            <w:r>
              <w:t>相关现金流系向客户收取和支付的周转快、金额大、期限短的现金流入和流出</w:t>
            </w:r>
          </w:p>
        </w:tc>
        <w:tc>
          <w:tcPr>
            <w:tcW w:w="2209" w:type="dxa"/>
            <w:vAlign w:val="center"/>
          </w:tcPr>
          <w:p w:rsidR="00156DD6" w:rsidRDefault="00D51F5F">
            <w:pPr>
              <w:ind w:right="5"/>
              <w:jc w:val="both"/>
            </w:pPr>
            <w:r>
              <w:t>以净额列报更能反映公司现金流情况，更有助于评价公司的支付能力和偿债能力、分析公司的现金流量</w:t>
            </w:r>
          </w:p>
        </w:tc>
        <w:tc>
          <w:tcPr>
            <w:tcW w:w="2203" w:type="dxa"/>
            <w:vAlign w:val="center"/>
          </w:tcPr>
          <w:p w:rsidR="00156DD6" w:rsidRDefault="00D51F5F">
            <w:pPr>
              <w:ind w:right="5"/>
              <w:jc w:val="right"/>
            </w:pPr>
            <w:r>
              <w:t>184,801,398.31</w:t>
            </w:r>
          </w:p>
        </w:tc>
      </w:tr>
    </w:tbl>
    <w:p w:rsidR="00156DD6" w:rsidRDefault="00D51F5F">
      <w:pPr>
        <w:pStyle w:val="Style47"/>
        <w:numPr>
          <w:ilvl w:val="0"/>
          <w:numId w:val="80"/>
        </w:numPr>
        <w:rPr>
          <w:color w:val="000000" w:themeColor="text1"/>
          <w:sz w:val="21"/>
          <w:szCs w:val="32"/>
        </w:rPr>
      </w:pPr>
      <w:r>
        <w:rPr>
          <w:rFonts w:hint="eastAsia"/>
          <w:color w:val="000000" w:themeColor="text1"/>
          <w:sz w:val="21"/>
          <w:szCs w:val="32"/>
        </w:rPr>
        <w:t>不涉及当期现金收支、但影响企业财务状况或在未来可能影响企业现金流量的重大活动及财务影响</w:t>
      </w:r>
    </w:p>
    <w:sdt>
      <w:sdtPr>
        <w:rPr>
          <w:color w:val="000000" w:themeColor="text1"/>
        </w:rPr>
        <w:alias w:val="是否适用：不涉及当期现金收支、但影响企业财务状况或在未来可能影响企业现金流量的重大活动及财务影响[双击切换]"/>
        <w:tag w:val="_GBC_07ea2264f8804cb2922afb33860595fb"/>
        <w:id w:val="-6402772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不涉及当期现金收支、但影响企业财务状况或在未来可能影响企业现金流量的重大活动及财务影响"/>
        <w:tag w:val="_GBC_43c4123be30e494ba7abfd0dcb4fee1b"/>
        <w:id w:val="839590397"/>
        <w:placeholder>
          <w:docPart w:val="GBC22222222222222222222222222222"/>
        </w:placeholder>
      </w:sdtPr>
      <w:sdtEndPr/>
      <w:sdtContent>
        <w:p w:rsidR="00156DD6" w:rsidRDefault="00D51F5F">
          <w:pPr>
            <w:ind w:right="6" w:firstLineChars="200" w:firstLine="420"/>
          </w:pPr>
          <w:r>
            <w:rPr>
              <w:rFonts w:hint="eastAsia"/>
            </w:rPr>
            <w:t>1</w:t>
          </w:r>
          <w:r>
            <w:rPr>
              <w:rFonts w:hint="eastAsia"/>
            </w:rPr>
            <w:t>）不涉及现金收支的重大投资和筹资活动详见“第八节</w:t>
          </w:r>
          <w:r>
            <w:rPr>
              <w:rFonts w:hint="eastAsia"/>
            </w:rPr>
            <w:t>.</w:t>
          </w:r>
          <w:r>
            <w:rPr>
              <w:rFonts w:hint="eastAsia"/>
            </w:rPr>
            <w:t>七、合并财务报表项目注释</w:t>
          </w:r>
          <w:r>
            <w:rPr>
              <w:rFonts w:hint="eastAsia"/>
            </w:rPr>
            <w:t>.79</w:t>
          </w:r>
          <w:r>
            <w:rPr>
              <w:rFonts w:hint="eastAsia"/>
            </w:rPr>
            <w:t>、现金流量表补充资料”</w:t>
          </w:r>
        </w:p>
        <w:p w:rsidR="00156DD6" w:rsidRDefault="00D51F5F">
          <w:pPr>
            <w:ind w:right="210" w:firstLineChars="200" w:firstLine="420"/>
          </w:pPr>
          <w:r>
            <w:rPr>
              <w:rFonts w:hint="eastAsia"/>
            </w:rPr>
            <w:t>2</w:t>
          </w:r>
          <w:r>
            <w:rPr>
              <w:rFonts w:hint="eastAsia"/>
            </w:rPr>
            <w:t>）不涉及现金收支的商业汇票背书转让金额</w:t>
          </w:r>
          <w:r>
            <w:rPr>
              <w:rFonts w:hint="eastAsia"/>
            </w:rPr>
            <w:t xml:space="preserve"> </w:t>
          </w:r>
          <w:r>
            <w:t xml:space="preserve">                    </w:t>
          </w:r>
        </w:p>
        <w:p w:rsidR="00156DD6" w:rsidRDefault="00D51F5F">
          <w:pPr>
            <w:ind w:right="210" w:firstLineChars="200" w:firstLine="420"/>
            <w:jc w:val="right"/>
          </w:pPr>
          <w:r>
            <w:rPr>
              <w:rFonts w:hint="eastAsia"/>
            </w:rPr>
            <w:t>单位：元</w:t>
          </w:r>
          <w:r>
            <w:rPr>
              <w:rFonts w:hint="eastAsia"/>
            </w:rPr>
            <w:t xml:space="preserve">  </w:t>
          </w:r>
          <w:r>
            <w:rPr>
              <w:rFonts w:hint="eastAsia"/>
            </w:rPr>
            <w:t>币种：人民币</w:t>
          </w:r>
        </w:p>
        <w:tbl>
          <w:tblPr>
            <w:tblStyle w:val="g2"/>
            <w:tblW w:w="0" w:type="auto"/>
            <w:tblInd w:w="0" w:type="dxa"/>
            <w:tblLook w:val="04A0" w:firstRow="1" w:lastRow="0" w:firstColumn="1" w:lastColumn="0" w:noHBand="0" w:noVBand="1"/>
          </w:tblPr>
          <w:tblGrid>
            <w:gridCol w:w="2941"/>
            <w:gridCol w:w="2941"/>
            <w:gridCol w:w="2941"/>
          </w:tblGrid>
          <w:tr w:rsidR="00156DD6">
            <w:trPr>
              <w:tblHeader/>
            </w:trPr>
            <w:tc>
              <w:tcPr>
                <w:tcW w:w="2941" w:type="dxa"/>
              </w:tcPr>
              <w:p w:rsidR="00156DD6" w:rsidRDefault="00D51F5F">
                <w:pPr>
                  <w:ind w:right="5"/>
                  <w:jc w:val="center"/>
                </w:pPr>
                <w:r>
                  <w:rPr>
                    <w:rFonts w:hint="eastAsia"/>
                  </w:rPr>
                  <w:t>项目</w:t>
                </w:r>
              </w:p>
            </w:tc>
            <w:tc>
              <w:tcPr>
                <w:tcW w:w="2941" w:type="dxa"/>
              </w:tcPr>
              <w:p w:rsidR="00156DD6" w:rsidRDefault="00D51F5F">
                <w:pPr>
                  <w:ind w:right="5"/>
                  <w:jc w:val="center"/>
                </w:pPr>
                <w:r>
                  <w:rPr>
                    <w:rFonts w:hint="eastAsia"/>
                  </w:rPr>
                  <w:t>本期数</w:t>
                </w:r>
              </w:p>
            </w:tc>
            <w:tc>
              <w:tcPr>
                <w:tcW w:w="2941" w:type="dxa"/>
              </w:tcPr>
              <w:p w:rsidR="00156DD6" w:rsidRDefault="00D51F5F">
                <w:pPr>
                  <w:ind w:right="5"/>
                  <w:jc w:val="center"/>
                </w:pPr>
                <w:r>
                  <w:rPr>
                    <w:rFonts w:hint="eastAsia"/>
                  </w:rPr>
                  <w:t>上年同期数</w:t>
                </w:r>
              </w:p>
            </w:tc>
          </w:tr>
          <w:tr w:rsidR="00156DD6">
            <w:tc>
              <w:tcPr>
                <w:tcW w:w="2941" w:type="dxa"/>
              </w:tcPr>
              <w:p w:rsidR="00156DD6" w:rsidRDefault="00D51F5F">
                <w:pPr>
                  <w:ind w:right="5"/>
                </w:pPr>
                <w:r>
                  <w:rPr>
                    <w:rFonts w:hint="eastAsia"/>
                  </w:rPr>
                  <w:t>背书转让的商业汇票金额</w:t>
                </w:r>
              </w:p>
            </w:tc>
            <w:tc>
              <w:tcPr>
                <w:tcW w:w="2941" w:type="dxa"/>
                <w:vAlign w:val="center"/>
              </w:tcPr>
              <w:p w:rsidR="00156DD6" w:rsidRDefault="00D51F5F">
                <w:pPr>
                  <w:ind w:right="5"/>
                  <w:jc w:val="right"/>
                </w:pPr>
                <w:r>
                  <w:t xml:space="preserve"> 364,587,183.41 </w:t>
                </w:r>
              </w:p>
            </w:tc>
            <w:tc>
              <w:tcPr>
                <w:tcW w:w="2941" w:type="dxa"/>
                <w:vAlign w:val="center"/>
              </w:tcPr>
              <w:p w:rsidR="00156DD6" w:rsidRDefault="00D51F5F">
                <w:pPr>
                  <w:ind w:right="5"/>
                  <w:jc w:val="right"/>
                </w:pPr>
                <w:r>
                  <w:t xml:space="preserve"> 256,995,492.03 </w:t>
                </w:r>
              </w:p>
            </w:tc>
          </w:tr>
          <w:tr w:rsidR="00156DD6">
            <w:tc>
              <w:tcPr>
                <w:tcW w:w="2941" w:type="dxa"/>
              </w:tcPr>
              <w:p w:rsidR="00156DD6" w:rsidRDefault="00D51F5F">
                <w:pPr>
                  <w:ind w:right="5"/>
                </w:pPr>
                <w:r>
                  <w:rPr>
                    <w:rFonts w:hint="eastAsia"/>
                  </w:rPr>
                  <w:t>其中：支付货款</w:t>
                </w:r>
              </w:p>
            </w:tc>
            <w:tc>
              <w:tcPr>
                <w:tcW w:w="2941" w:type="dxa"/>
                <w:vAlign w:val="center"/>
              </w:tcPr>
              <w:p w:rsidR="00156DD6" w:rsidRDefault="00D51F5F">
                <w:pPr>
                  <w:ind w:right="5"/>
                  <w:jc w:val="right"/>
                </w:pPr>
                <w:r>
                  <w:t xml:space="preserve"> 343,769,996.73 </w:t>
                </w:r>
              </w:p>
            </w:tc>
            <w:tc>
              <w:tcPr>
                <w:tcW w:w="2941" w:type="dxa"/>
                <w:vAlign w:val="center"/>
              </w:tcPr>
              <w:p w:rsidR="00156DD6" w:rsidRDefault="00D51F5F">
                <w:pPr>
                  <w:ind w:right="5"/>
                  <w:jc w:val="right"/>
                </w:pPr>
                <w:r>
                  <w:t xml:space="preserve"> 178,854,564.35 </w:t>
                </w:r>
              </w:p>
            </w:tc>
          </w:tr>
          <w:tr w:rsidR="00156DD6">
            <w:tc>
              <w:tcPr>
                <w:tcW w:w="2941" w:type="dxa"/>
              </w:tcPr>
              <w:p w:rsidR="00156DD6" w:rsidRDefault="00D51F5F">
                <w:pPr>
                  <w:ind w:right="5" w:firstLineChars="300" w:firstLine="630"/>
                </w:pPr>
                <w:r>
                  <w:rPr>
                    <w:rFonts w:hint="eastAsia"/>
                  </w:rPr>
                  <w:t>支付固定资产等长期资产购置款</w:t>
                </w:r>
              </w:p>
            </w:tc>
            <w:tc>
              <w:tcPr>
                <w:tcW w:w="2941" w:type="dxa"/>
                <w:vAlign w:val="center"/>
              </w:tcPr>
              <w:p w:rsidR="00156DD6" w:rsidRDefault="00D51F5F">
                <w:pPr>
                  <w:ind w:right="5"/>
                  <w:jc w:val="right"/>
                </w:pPr>
                <w:r>
                  <w:t xml:space="preserve"> 20,817,186.68 </w:t>
                </w:r>
              </w:p>
            </w:tc>
            <w:tc>
              <w:tcPr>
                <w:tcW w:w="2941" w:type="dxa"/>
                <w:vAlign w:val="center"/>
              </w:tcPr>
              <w:p w:rsidR="00156DD6" w:rsidRDefault="00D51F5F">
                <w:pPr>
                  <w:ind w:right="5"/>
                  <w:jc w:val="right"/>
                </w:pPr>
                <w:r>
                  <w:t xml:space="preserve"> 78,140,927.68 </w:t>
                </w:r>
              </w:p>
            </w:tc>
          </w:tr>
        </w:tbl>
        <w:p w:rsidR="00156DD6" w:rsidRDefault="00D51F5F">
          <w:pPr>
            <w:ind w:right="5"/>
            <w:rPr>
              <w:color w:val="000000" w:themeColor="text1"/>
            </w:rPr>
          </w:pPr>
        </w:p>
      </w:sdtContent>
    </w:sdt>
    <w:bookmarkEnd w:id="437"/>
    <w:p w:rsidR="00156DD6" w:rsidRDefault="00D51F5F">
      <w:pPr>
        <w:pStyle w:val="TOC6"/>
        <w:numPr>
          <w:ilvl w:val="0"/>
          <w:numId w:val="53"/>
        </w:numPr>
        <w:rPr>
          <w:color w:val="000000" w:themeColor="text1"/>
          <w:sz w:val="21"/>
          <w:szCs w:val="21"/>
        </w:rPr>
      </w:pPr>
      <w:r>
        <w:rPr>
          <w:color w:val="000000" w:themeColor="text1"/>
          <w:sz w:val="21"/>
          <w:szCs w:val="21"/>
        </w:rPr>
        <w:t>现金流量表补充资料</w:t>
      </w:r>
    </w:p>
    <w:p w:rsidR="00156DD6" w:rsidRDefault="00D51F5F">
      <w:pPr>
        <w:pStyle w:val="Style47"/>
        <w:numPr>
          <w:ilvl w:val="0"/>
          <w:numId w:val="81"/>
        </w:numPr>
        <w:rPr>
          <w:rFonts w:ascii="宋体" w:hAnsi="宋体"/>
          <w:color w:val="000000" w:themeColor="text1"/>
          <w:sz w:val="21"/>
          <w:szCs w:val="21"/>
        </w:rPr>
      </w:pPr>
      <w:r>
        <w:rPr>
          <w:rFonts w:ascii="宋体" w:hAnsi="宋体" w:hint="eastAsia"/>
          <w:color w:val="000000" w:themeColor="text1"/>
          <w:sz w:val="21"/>
          <w:szCs w:val="21"/>
        </w:rPr>
        <w:t>现金流量表补充资料</w:t>
      </w:r>
    </w:p>
    <w:sdt>
      <w:sdtPr>
        <w:rPr>
          <w:color w:val="000000" w:themeColor="text1"/>
        </w:rPr>
        <w:alias w:val="是否适用：现金流量表补充资料[双击切换]"/>
        <w:tag w:val="_GBC_3ee8e178479245ea907bff86e4dcd54a"/>
        <w:id w:val="84476071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现金流量表补充资料"/>
          <w:tag w:val="_GBC_ba7cd13a54fa44929e0fd4c276876d0e"/>
          <w:id w:val="-1374880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现金流量表补充资料"/>
          <w:tag w:val="_GBC_715164ef2f2b4f258a0908b254229361"/>
          <w:id w:val="-8625841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2730"/>
        <w:gridCol w:w="2698"/>
      </w:tblGrid>
      <w:tr w:rsidR="00156DD6">
        <w:sdt>
          <w:sdtPr>
            <w:tag w:val="_PLD_a6ea455751354381bc869d5865ef3d8f"/>
            <w:id w:val="333584281"/>
          </w:sdtPr>
          <w:sdtEndPr/>
          <w:sdtContent>
            <w:tc>
              <w:tcPr>
                <w:tcW w:w="1924" w:type="pct"/>
                <w:vAlign w:val="center"/>
              </w:tcPr>
              <w:p w:rsidR="00156DD6" w:rsidRDefault="00D51F5F">
                <w:pPr>
                  <w:jc w:val="center"/>
                  <w:rPr>
                    <w:color w:val="000000" w:themeColor="text1"/>
                  </w:rPr>
                </w:pPr>
                <w:r>
                  <w:rPr>
                    <w:rFonts w:hint="eastAsia"/>
                    <w:color w:val="000000" w:themeColor="text1"/>
                  </w:rPr>
                  <w:t>补充资料</w:t>
                </w:r>
              </w:p>
            </w:tc>
          </w:sdtContent>
        </w:sdt>
        <w:sdt>
          <w:sdtPr>
            <w:tag w:val="_PLD_0687e3743a4e4e2db7b08855f23641e8"/>
            <w:id w:val="-1906750295"/>
          </w:sdtPr>
          <w:sdtEndPr/>
          <w:sdtContent>
            <w:tc>
              <w:tcPr>
                <w:tcW w:w="1547" w:type="pct"/>
                <w:vAlign w:val="center"/>
              </w:tcPr>
              <w:p w:rsidR="00156DD6" w:rsidRDefault="00D51F5F">
                <w:pPr>
                  <w:jc w:val="center"/>
                  <w:rPr>
                    <w:color w:val="000000" w:themeColor="text1"/>
                  </w:rPr>
                </w:pPr>
                <w:r>
                  <w:rPr>
                    <w:rFonts w:hint="eastAsia"/>
                    <w:color w:val="000000" w:themeColor="text1"/>
                  </w:rPr>
                  <w:t>本期金额</w:t>
                </w:r>
              </w:p>
            </w:tc>
          </w:sdtContent>
        </w:sdt>
        <w:sdt>
          <w:sdtPr>
            <w:tag w:val="_PLD_f90342638d124edea40aa264bbe65e8e"/>
            <w:id w:val="1085806335"/>
          </w:sdtPr>
          <w:sdtEndPr/>
          <w:sdtContent>
            <w:tc>
              <w:tcPr>
                <w:tcW w:w="1529" w:type="pct"/>
                <w:vAlign w:val="center"/>
              </w:tcPr>
              <w:p w:rsidR="00156DD6" w:rsidRDefault="00D51F5F">
                <w:pPr>
                  <w:jc w:val="center"/>
                  <w:rPr>
                    <w:color w:val="000000" w:themeColor="text1"/>
                  </w:rPr>
                </w:pPr>
                <w:r>
                  <w:rPr>
                    <w:rFonts w:hint="eastAsia"/>
                    <w:color w:val="000000" w:themeColor="text1"/>
                  </w:rPr>
                  <w:t>上期金额</w:t>
                </w:r>
              </w:p>
            </w:tc>
          </w:sdtContent>
        </w:sdt>
      </w:tr>
      <w:tr w:rsidR="00156DD6">
        <w:sdt>
          <w:sdtPr>
            <w:tag w:val="_PLD_0a799a1250f946df9181881c4b1f3829"/>
            <w:id w:val="2036764034"/>
          </w:sdtPr>
          <w:sdtEndPr/>
          <w:sdtContent>
            <w:tc>
              <w:tcPr>
                <w:tcW w:w="5000" w:type="pct"/>
                <w:gridSpan w:val="3"/>
              </w:tcPr>
              <w:p w:rsidR="00156DD6" w:rsidRDefault="00D51F5F">
                <w:pPr>
                  <w:jc w:val="both"/>
                  <w:rPr>
                    <w:b/>
                    <w:color w:val="000000" w:themeColor="text1"/>
                  </w:rPr>
                </w:pPr>
                <w:r>
                  <w:rPr>
                    <w:b/>
                    <w:color w:val="000000" w:themeColor="text1"/>
                  </w:rPr>
                  <w:t>1</w:t>
                </w:r>
                <w:r>
                  <w:rPr>
                    <w:rFonts w:hint="eastAsia"/>
                    <w:b/>
                    <w:color w:val="000000" w:themeColor="text1"/>
                  </w:rPr>
                  <w:t>．将净利润调节为经营活动现金流量：</w:t>
                </w:r>
              </w:p>
            </w:tc>
          </w:sdtContent>
        </w:sdt>
      </w:tr>
      <w:tr w:rsidR="00156DD6">
        <w:tc>
          <w:tcPr>
            <w:tcW w:w="1924" w:type="pct"/>
          </w:tcPr>
          <w:p w:rsidR="00156DD6" w:rsidRDefault="00D51F5F">
            <w:pPr>
              <w:rPr>
                <w:color w:val="000000" w:themeColor="text1"/>
              </w:rPr>
            </w:pPr>
            <w:r>
              <w:rPr>
                <w:rFonts w:hint="eastAsia"/>
                <w:color w:val="000000" w:themeColor="text1"/>
              </w:rPr>
              <w:t>净利润</w:t>
            </w:r>
          </w:p>
        </w:tc>
        <w:tc>
          <w:tcPr>
            <w:tcW w:w="1547" w:type="pct"/>
            <w:vAlign w:val="center"/>
          </w:tcPr>
          <w:p w:rsidR="00156DD6" w:rsidRDefault="00D51F5F">
            <w:pPr>
              <w:jc w:val="right"/>
            </w:pPr>
            <w:r>
              <w:rPr>
                <w:rFonts w:hint="eastAsia"/>
              </w:rPr>
              <w:t xml:space="preserve"> 59,665,625.37 </w:t>
            </w:r>
          </w:p>
        </w:tc>
        <w:tc>
          <w:tcPr>
            <w:tcW w:w="1529" w:type="pct"/>
            <w:vAlign w:val="center"/>
          </w:tcPr>
          <w:p w:rsidR="00156DD6" w:rsidRDefault="00D51F5F">
            <w:pPr>
              <w:jc w:val="right"/>
            </w:pPr>
            <w:r>
              <w:rPr>
                <w:rFonts w:hint="eastAsia"/>
              </w:rPr>
              <w:t xml:space="preserve"> 36,857,572.06 </w:t>
            </w:r>
          </w:p>
        </w:tc>
      </w:tr>
      <w:tr w:rsidR="00156DD6">
        <w:tc>
          <w:tcPr>
            <w:tcW w:w="1924" w:type="pct"/>
          </w:tcPr>
          <w:p w:rsidR="00156DD6" w:rsidRDefault="00D51F5F">
            <w:pPr>
              <w:rPr>
                <w:color w:val="000000" w:themeColor="text1"/>
              </w:rPr>
            </w:pPr>
            <w:r>
              <w:rPr>
                <w:rFonts w:hint="eastAsia"/>
                <w:color w:val="000000" w:themeColor="text1"/>
              </w:rPr>
              <w:t>加：资产减值准备</w:t>
            </w:r>
          </w:p>
        </w:tc>
        <w:tc>
          <w:tcPr>
            <w:tcW w:w="1547" w:type="pct"/>
            <w:vAlign w:val="center"/>
          </w:tcPr>
          <w:p w:rsidR="00156DD6" w:rsidRDefault="00D51F5F">
            <w:pPr>
              <w:jc w:val="right"/>
            </w:pPr>
            <w:r>
              <w:rPr>
                <w:rFonts w:hint="eastAsia"/>
              </w:rPr>
              <w:t xml:space="preserve"> 9,228,094.05 </w:t>
            </w:r>
          </w:p>
        </w:tc>
        <w:tc>
          <w:tcPr>
            <w:tcW w:w="1529" w:type="pct"/>
            <w:vAlign w:val="center"/>
          </w:tcPr>
          <w:p w:rsidR="00156DD6" w:rsidRDefault="00D51F5F">
            <w:pPr>
              <w:jc w:val="right"/>
            </w:pPr>
            <w:r>
              <w:rPr>
                <w:rFonts w:hint="eastAsia"/>
              </w:rPr>
              <w:t xml:space="preserve"> 2,866,850.71 </w:t>
            </w:r>
          </w:p>
        </w:tc>
      </w:tr>
      <w:tr w:rsidR="00156DD6">
        <w:tc>
          <w:tcPr>
            <w:tcW w:w="1924" w:type="pct"/>
          </w:tcPr>
          <w:p w:rsidR="00156DD6" w:rsidRDefault="00D51F5F">
            <w:pPr>
              <w:rPr>
                <w:color w:val="000000" w:themeColor="text1"/>
              </w:rPr>
            </w:pPr>
            <w:r>
              <w:rPr>
                <w:rFonts w:hint="eastAsia"/>
                <w:color w:val="000000" w:themeColor="text1"/>
              </w:rPr>
              <w:t>信用减值损失</w:t>
            </w:r>
          </w:p>
        </w:tc>
        <w:tc>
          <w:tcPr>
            <w:tcW w:w="1547" w:type="pct"/>
            <w:vAlign w:val="center"/>
          </w:tcPr>
          <w:p w:rsidR="00156DD6" w:rsidRDefault="00D51F5F">
            <w:pPr>
              <w:jc w:val="right"/>
            </w:pPr>
            <w:r>
              <w:rPr>
                <w:rFonts w:hint="eastAsia"/>
              </w:rPr>
              <w:t xml:space="preserve"> 5,207,818.47 </w:t>
            </w:r>
          </w:p>
        </w:tc>
        <w:tc>
          <w:tcPr>
            <w:tcW w:w="1529" w:type="pct"/>
            <w:vAlign w:val="center"/>
          </w:tcPr>
          <w:p w:rsidR="00156DD6" w:rsidRDefault="00D51F5F">
            <w:pPr>
              <w:jc w:val="right"/>
            </w:pPr>
            <w:r>
              <w:rPr>
                <w:rFonts w:hint="eastAsia"/>
              </w:rPr>
              <w:t xml:space="preserve"> 9,482,359.20 </w:t>
            </w:r>
          </w:p>
        </w:tc>
      </w:tr>
      <w:tr w:rsidR="00156DD6">
        <w:tc>
          <w:tcPr>
            <w:tcW w:w="1924" w:type="pct"/>
          </w:tcPr>
          <w:p w:rsidR="00156DD6" w:rsidRDefault="00D51F5F">
            <w:pPr>
              <w:rPr>
                <w:color w:val="000000" w:themeColor="text1"/>
              </w:rPr>
            </w:pPr>
            <w:r>
              <w:rPr>
                <w:rFonts w:hint="eastAsia"/>
                <w:color w:val="000000" w:themeColor="text1"/>
              </w:rPr>
              <w:t>固定资产折旧、油气资产折耗、生产性生物资产折旧</w:t>
            </w:r>
          </w:p>
        </w:tc>
        <w:tc>
          <w:tcPr>
            <w:tcW w:w="1547" w:type="pct"/>
            <w:vAlign w:val="center"/>
          </w:tcPr>
          <w:p w:rsidR="00156DD6" w:rsidRDefault="00D51F5F">
            <w:pPr>
              <w:jc w:val="right"/>
            </w:pPr>
            <w:r>
              <w:rPr>
                <w:rFonts w:hint="eastAsia"/>
              </w:rPr>
              <w:t xml:space="preserve"> 99,005,256.98 </w:t>
            </w:r>
          </w:p>
        </w:tc>
        <w:tc>
          <w:tcPr>
            <w:tcW w:w="1529" w:type="pct"/>
            <w:vAlign w:val="center"/>
          </w:tcPr>
          <w:p w:rsidR="00156DD6" w:rsidRDefault="00D51F5F">
            <w:pPr>
              <w:jc w:val="right"/>
            </w:pPr>
            <w:r>
              <w:rPr>
                <w:rFonts w:hint="eastAsia"/>
              </w:rPr>
              <w:t xml:space="preserve"> 66,626,153.02 </w:t>
            </w:r>
          </w:p>
        </w:tc>
      </w:tr>
      <w:tr w:rsidR="00156DD6">
        <w:tc>
          <w:tcPr>
            <w:tcW w:w="1924" w:type="pct"/>
          </w:tcPr>
          <w:p w:rsidR="00156DD6" w:rsidRDefault="00D51F5F">
            <w:pPr>
              <w:rPr>
                <w:color w:val="000000" w:themeColor="text1"/>
              </w:rPr>
            </w:pPr>
            <w:r>
              <w:rPr>
                <w:rFonts w:hint="eastAsia"/>
                <w:color w:val="000000" w:themeColor="text1"/>
              </w:rPr>
              <w:t>使用权资产摊销</w:t>
            </w:r>
          </w:p>
        </w:tc>
        <w:tc>
          <w:tcPr>
            <w:tcW w:w="1547" w:type="pct"/>
            <w:vAlign w:val="center"/>
          </w:tcPr>
          <w:p w:rsidR="00156DD6" w:rsidRDefault="00D51F5F">
            <w:pPr>
              <w:jc w:val="right"/>
            </w:pPr>
            <w:r>
              <w:rPr>
                <w:rFonts w:hint="eastAsia"/>
              </w:rPr>
              <w:t xml:space="preserve"> 2,012,976.51 </w:t>
            </w:r>
          </w:p>
        </w:tc>
        <w:tc>
          <w:tcPr>
            <w:tcW w:w="1529" w:type="pct"/>
            <w:vAlign w:val="center"/>
          </w:tcPr>
          <w:p w:rsidR="00156DD6" w:rsidRDefault="00D51F5F">
            <w:pPr>
              <w:jc w:val="right"/>
            </w:pPr>
            <w:r>
              <w:rPr>
                <w:rFonts w:hint="eastAsia"/>
              </w:rPr>
              <w:t xml:space="preserve"> 1,906,368.18 </w:t>
            </w:r>
          </w:p>
        </w:tc>
      </w:tr>
      <w:tr w:rsidR="00156DD6">
        <w:tc>
          <w:tcPr>
            <w:tcW w:w="1924" w:type="pct"/>
          </w:tcPr>
          <w:p w:rsidR="00156DD6" w:rsidRDefault="00D51F5F">
            <w:pPr>
              <w:rPr>
                <w:color w:val="000000" w:themeColor="text1"/>
              </w:rPr>
            </w:pPr>
            <w:r>
              <w:rPr>
                <w:rFonts w:hint="eastAsia"/>
                <w:color w:val="000000" w:themeColor="text1"/>
              </w:rPr>
              <w:t>无形资产摊销</w:t>
            </w:r>
          </w:p>
        </w:tc>
        <w:tc>
          <w:tcPr>
            <w:tcW w:w="1547" w:type="pct"/>
            <w:vAlign w:val="center"/>
          </w:tcPr>
          <w:p w:rsidR="00156DD6" w:rsidRDefault="00D51F5F">
            <w:pPr>
              <w:jc w:val="right"/>
            </w:pPr>
            <w:r>
              <w:rPr>
                <w:rFonts w:hint="eastAsia"/>
              </w:rPr>
              <w:t xml:space="preserve"> 3,847,868.58 </w:t>
            </w:r>
          </w:p>
        </w:tc>
        <w:tc>
          <w:tcPr>
            <w:tcW w:w="1529" w:type="pct"/>
            <w:vAlign w:val="center"/>
          </w:tcPr>
          <w:p w:rsidR="00156DD6" w:rsidRDefault="00D51F5F">
            <w:pPr>
              <w:jc w:val="right"/>
            </w:pPr>
            <w:r>
              <w:rPr>
                <w:rFonts w:hint="eastAsia"/>
              </w:rPr>
              <w:t xml:space="preserve"> 3,654,938.09 </w:t>
            </w:r>
          </w:p>
        </w:tc>
      </w:tr>
      <w:tr w:rsidR="00156DD6">
        <w:tc>
          <w:tcPr>
            <w:tcW w:w="1924" w:type="pct"/>
          </w:tcPr>
          <w:p w:rsidR="00156DD6" w:rsidRDefault="00D51F5F">
            <w:pPr>
              <w:rPr>
                <w:color w:val="000000" w:themeColor="text1"/>
              </w:rPr>
            </w:pPr>
            <w:r>
              <w:rPr>
                <w:rFonts w:hint="eastAsia"/>
                <w:color w:val="000000" w:themeColor="text1"/>
              </w:rPr>
              <w:t>长期待摊费用摊销</w:t>
            </w:r>
          </w:p>
        </w:tc>
        <w:tc>
          <w:tcPr>
            <w:tcW w:w="1547" w:type="pct"/>
            <w:vAlign w:val="center"/>
          </w:tcPr>
          <w:p w:rsidR="00156DD6" w:rsidRDefault="00D51F5F">
            <w:pPr>
              <w:jc w:val="right"/>
            </w:pPr>
            <w:r>
              <w:rPr>
                <w:rFonts w:hint="eastAsia"/>
              </w:rPr>
              <w:t xml:space="preserve"> 664,922.67 </w:t>
            </w:r>
          </w:p>
        </w:tc>
        <w:tc>
          <w:tcPr>
            <w:tcW w:w="1529" w:type="pct"/>
            <w:vAlign w:val="center"/>
          </w:tcPr>
          <w:p w:rsidR="00156DD6" w:rsidRDefault="00D51F5F">
            <w:pPr>
              <w:jc w:val="right"/>
            </w:pPr>
            <w:r>
              <w:rPr>
                <w:rFonts w:hint="eastAsia"/>
              </w:rPr>
              <w:t xml:space="preserve"> 1,081,849.32 </w:t>
            </w:r>
          </w:p>
        </w:tc>
      </w:tr>
      <w:tr w:rsidR="00156DD6">
        <w:tc>
          <w:tcPr>
            <w:tcW w:w="1924" w:type="pct"/>
          </w:tcPr>
          <w:p w:rsidR="00156DD6" w:rsidRDefault="00D51F5F">
            <w:pPr>
              <w:rPr>
                <w:color w:val="000000" w:themeColor="text1"/>
              </w:rPr>
            </w:pPr>
            <w:r>
              <w:rPr>
                <w:rFonts w:hint="eastAsia"/>
                <w:color w:val="000000" w:themeColor="text1"/>
              </w:rPr>
              <w:t>处置固定资产、无形资产和其他长期资产的损失（收益以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-96,562.33 </w:t>
            </w:r>
          </w:p>
        </w:tc>
        <w:tc>
          <w:tcPr>
            <w:tcW w:w="1529" w:type="pct"/>
            <w:vAlign w:val="center"/>
          </w:tcPr>
          <w:p w:rsidR="00156DD6" w:rsidRDefault="00D51F5F">
            <w:pPr>
              <w:jc w:val="right"/>
            </w:pPr>
            <w:r>
              <w:rPr>
                <w:rFonts w:hint="eastAsia"/>
              </w:rPr>
              <w:t xml:space="preserve"> 39,219.18 </w:t>
            </w:r>
          </w:p>
        </w:tc>
      </w:tr>
      <w:tr w:rsidR="00156DD6">
        <w:tc>
          <w:tcPr>
            <w:tcW w:w="1924" w:type="pct"/>
          </w:tcPr>
          <w:p w:rsidR="00156DD6" w:rsidRDefault="00D51F5F">
            <w:pPr>
              <w:rPr>
                <w:color w:val="000000" w:themeColor="text1"/>
              </w:rPr>
            </w:pPr>
            <w:r>
              <w:rPr>
                <w:rFonts w:hint="eastAsia"/>
                <w:color w:val="000000" w:themeColor="text1"/>
              </w:rPr>
              <w:t>固定资产报废损失（收益以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2,128.54 </w:t>
            </w:r>
          </w:p>
        </w:tc>
        <w:tc>
          <w:tcPr>
            <w:tcW w:w="1529" w:type="pct"/>
            <w:vAlign w:val="center"/>
          </w:tcPr>
          <w:p w:rsidR="00156DD6" w:rsidRDefault="00D51F5F">
            <w:pPr>
              <w:jc w:val="right"/>
            </w:pPr>
            <w:r>
              <w:rPr>
                <w:rFonts w:hint="eastAsia"/>
              </w:rPr>
              <w:t xml:space="preserve"> 1,335,011.37 </w:t>
            </w:r>
          </w:p>
        </w:tc>
      </w:tr>
      <w:tr w:rsidR="00156DD6">
        <w:tc>
          <w:tcPr>
            <w:tcW w:w="1924" w:type="pct"/>
          </w:tcPr>
          <w:p w:rsidR="00156DD6" w:rsidRDefault="00D51F5F">
            <w:pPr>
              <w:rPr>
                <w:color w:val="000000" w:themeColor="text1"/>
              </w:rPr>
            </w:pPr>
            <w:r>
              <w:rPr>
                <w:rFonts w:hint="eastAsia"/>
                <w:color w:val="000000" w:themeColor="text1"/>
              </w:rPr>
              <w:t>公允价值变动损失（收益以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w:t>
            </w:r>
          </w:p>
        </w:tc>
        <w:tc>
          <w:tcPr>
            <w:tcW w:w="1529" w:type="pct"/>
            <w:vAlign w:val="center"/>
          </w:tcPr>
          <w:p w:rsidR="00156DD6" w:rsidRDefault="00156DD6">
            <w:pPr>
              <w:jc w:val="right"/>
            </w:pPr>
          </w:p>
        </w:tc>
      </w:tr>
      <w:tr w:rsidR="00156DD6">
        <w:tc>
          <w:tcPr>
            <w:tcW w:w="1924" w:type="pct"/>
          </w:tcPr>
          <w:p w:rsidR="00156DD6" w:rsidRDefault="00D51F5F">
            <w:pPr>
              <w:rPr>
                <w:color w:val="000000" w:themeColor="text1"/>
              </w:rPr>
            </w:pPr>
            <w:r>
              <w:rPr>
                <w:rFonts w:hint="eastAsia"/>
                <w:color w:val="000000" w:themeColor="text1"/>
              </w:rPr>
              <w:t>财务费用（收益以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26,582,761.21 </w:t>
            </w:r>
          </w:p>
        </w:tc>
        <w:tc>
          <w:tcPr>
            <w:tcW w:w="1529" w:type="pct"/>
            <w:vAlign w:val="center"/>
          </w:tcPr>
          <w:p w:rsidR="00156DD6" w:rsidRDefault="00D51F5F">
            <w:pPr>
              <w:jc w:val="right"/>
            </w:pPr>
            <w:r>
              <w:rPr>
                <w:rFonts w:hint="eastAsia"/>
              </w:rPr>
              <w:t xml:space="preserve"> 16,894,533.64 </w:t>
            </w:r>
          </w:p>
        </w:tc>
      </w:tr>
      <w:tr w:rsidR="00156DD6">
        <w:tc>
          <w:tcPr>
            <w:tcW w:w="1924" w:type="pct"/>
          </w:tcPr>
          <w:p w:rsidR="00156DD6" w:rsidRDefault="00D51F5F">
            <w:pPr>
              <w:rPr>
                <w:color w:val="000000" w:themeColor="text1"/>
              </w:rPr>
            </w:pPr>
            <w:r>
              <w:rPr>
                <w:rFonts w:hint="eastAsia"/>
                <w:color w:val="000000" w:themeColor="text1"/>
              </w:rPr>
              <w:t>投资损失（收益以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512,472.84 </w:t>
            </w:r>
          </w:p>
        </w:tc>
        <w:tc>
          <w:tcPr>
            <w:tcW w:w="1529" w:type="pct"/>
            <w:vAlign w:val="center"/>
          </w:tcPr>
          <w:p w:rsidR="00156DD6" w:rsidRDefault="00D51F5F">
            <w:pPr>
              <w:jc w:val="right"/>
            </w:pPr>
            <w:r>
              <w:rPr>
                <w:rFonts w:hint="eastAsia"/>
              </w:rPr>
              <w:t xml:space="preserve"> 74,502.67 </w:t>
            </w:r>
          </w:p>
        </w:tc>
      </w:tr>
      <w:tr w:rsidR="00156DD6">
        <w:tc>
          <w:tcPr>
            <w:tcW w:w="1924" w:type="pct"/>
          </w:tcPr>
          <w:p w:rsidR="00156DD6" w:rsidRDefault="00D51F5F">
            <w:pPr>
              <w:rPr>
                <w:color w:val="000000" w:themeColor="text1"/>
              </w:rPr>
            </w:pPr>
            <w:r>
              <w:rPr>
                <w:rFonts w:hint="eastAsia"/>
                <w:color w:val="000000" w:themeColor="text1"/>
              </w:rPr>
              <w:t>递延所得税资产减少（增加以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-2,533,284.30 </w:t>
            </w:r>
          </w:p>
        </w:tc>
        <w:tc>
          <w:tcPr>
            <w:tcW w:w="1529" w:type="pct"/>
            <w:vAlign w:val="center"/>
          </w:tcPr>
          <w:p w:rsidR="00156DD6" w:rsidRDefault="00D51F5F">
            <w:pPr>
              <w:jc w:val="right"/>
            </w:pPr>
            <w:r>
              <w:rPr>
                <w:rFonts w:hint="eastAsia"/>
              </w:rPr>
              <w:t xml:space="preserve"> -2,238,234.84 </w:t>
            </w:r>
          </w:p>
        </w:tc>
      </w:tr>
      <w:tr w:rsidR="00156DD6">
        <w:tc>
          <w:tcPr>
            <w:tcW w:w="1924" w:type="pct"/>
          </w:tcPr>
          <w:p w:rsidR="00156DD6" w:rsidRDefault="00D51F5F">
            <w:pPr>
              <w:rPr>
                <w:color w:val="000000" w:themeColor="text1"/>
              </w:rPr>
            </w:pPr>
            <w:r>
              <w:rPr>
                <w:rFonts w:hint="eastAsia"/>
                <w:color w:val="000000" w:themeColor="text1"/>
              </w:rPr>
              <w:lastRenderedPageBreak/>
              <w:t>递延所得税负债增加（减少以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5,873,638.83 </w:t>
            </w:r>
          </w:p>
        </w:tc>
        <w:tc>
          <w:tcPr>
            <w:tcW w:w="1529" w:type="pct"/>
            <w:vAlign w:val="center"/>
          </w:tcPr>
          <w:p w:rsidR="00156DD6" w:rsidRDefault="00D51F5F">
            <w:pPr>
              <w:jc w:val="right"/>
            </w:pPr>
            <w:r>
              <w:rPr>
                <w:rFonts w:hint="eastAsia"/>
              </w:rPr>
              <w:t xml:space="preserve"> 8,483,767.52 </w:t>
            </w:r>
          </w:p>
        </w:tc>
      </w:tr>
      <w:tr w:rsidR="00156DD6">
        <w:tc>
          <w:tcPr>
            <w:tcW w:w="1924" w:type="pct"/>
          </w:tcPr>
          <w:p w:rsidR="00156DD6" w:rsidRDefault="00D51F5F">
            <w:pPr>
              <w:rPr>
                <w:color w:val="000000" w:themeColor="text1"/>
              </w:rPr>
            </w:pPr>
            <w:r>
              <w:rPr>
                <w:rFonts w:hint="eastAsia"/>
                <w:color w:val="000000" w:themeColor="text1"/>
              </w:rPr>
              <w:t>存货的减少（增加以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-98,906,612.03 </w:t>
            </w:r>
          </w:p>
        </w:tc>
        <w:tc>
          <w:tcPr>
            <w:tcW w:w="1529" w:type="pct"/>
            <w:vAlign w:val="center"/>
          </w:tcPr>
          <w:p w:rsidR="00156DD6" w:rsidRDefault="00D51F5F">
            <w:pPr>
              <w:jc w:val="right"/>
            </w:pPr>
            <w:r>
              <w:rPr>
                <w:rFonts w:hint="eastAsia"/>
              </w:rPr>
              <w:t xml:space="preserve"> -62,481,881.70 </w:t>
            </w:r>
          </w:p>
        </w:tc>
      </w:tr>
      <w:tr w:rsidR="00156DD6">
        <w:tc>
          <w:tcPr>
            <w:tcW w:w="1924" w:type="pct"/>
          </w:tcPr>
          <w:p w:rsidR="00156DD6" w:rsidRDefault="00D51F5F">
            <w:pPr>
              <w:rPr>
                <w:color w:val="000000" w:themeColor="text1"/>
              </w:rPr>
            </w:pPr>
            <w:r>
              <w:rPr>
                <w:rFonts w:hint="eastAsia"/>
                <w:color w:val="000000" w:themeColor="text1"/>
              </w:rPr>
              <w:t>经营性应收项目的减少（增加以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-145,755,574.11 </w:t>
            </w:r>
          </w:p>
        </w:tc>
        <w:tc>
          <w:tcPr>
            <w:tcW w:w="1529" w:type="pct"/>
            <w:vAlign w:val="center"/>
          </w:tcPr>
          <w:p w:rsidR="00156DD6" w:rsidRDefault="00D51F5F">
            <w:pPr>
              <w:jc w:val="right"/>
            </w:pPr>
            <w:r>
              <w:rPr>
                <w:rFonts w:hint="eastAsia"/>
              </w:rPr>
              <w:t xml:space="preserve"> -293,936,558.06 </w:t>
            </w:r>
          </w:p>
        </w:tc>
      </w:tr>
      <w:tr w:rsidR="00156DD6">
        <w:tc>
          <w:tcPr>
            <w:tcW w:w="1924" w:type="pct"/>
          </w:tcPr>
          <w:p w:rsidR="00156DD6" w:rsidRDefault="00D51F5F">
            <w:pPr>
              <w:rPr>
                <w:color w:val="000000" w:themeColor="text1"/>
              </w:rPr>
            </w:pPr>
            <w:r>
              <w:rPr>
                <w:rFonts w:hint="eastAsia"/>
                <w:color w:val="000000" w:themeColor="text1"/>
              </w:rPr>
              <w:t>经营性应付项目的增加（减少以</w:t>
            </w:r>
            <w:r>
              <w:rPr>
                <w:color w:val="000000" w:themeColor="text1"/>
              </w:rPr>
              <w:t>“</w:t>
            </w:r>
            <w:r>
              <w:rPr>
                <w:rFonts w:hint="eastAsia"/>
                <w:color w:val="000000" w:themeColor="text1"/>
              </w:rPr>
              <w:t>－</w:t>
            </w:r>
            <w:r>
              <w:rPr>
                <w:color w:val="000000" w:themeColor="text1"/>
              </w:rPr>
              <w:t>”</w:t>
            </w:r>
            <w:r>
              <w:rPr>
                <w:rFonts w:hint="eastAsia"/>
                <w:color w:val="000000" w:themeColor="text1"/>
              </w:rPr>
              <w:t>号填列）</w:t>
            </w:r>
          </w:p>
        </w:tc>
        <w:tc>
          <w:tcPr>
            <w:tcW w:w="1547" w:type="pct"/>
            <w:vAlign w:val="center"/>
          </w:tcPr>
          <w:p w:rsidR="00156DD6" w:rsidRDefault="00D51F5F">
            <w:pPr>
              <w:jc w:val="right"/>
            </w:pPr>
            <w:r>
              <w:rPr>
                <w:rFonts w:hint="eastAsia"/>
              </w:rPr>
              <w:t xml:space="preserve"> 50,938,876.58 </w:t>
            </w:r>
          </w:p>
        </w:tc>
        <w:tc>
          <w:tcPr>
            <w:tcW w:w="1529" w:type="pct"/>
            <w:vAlign w:val="center"/>
          </w:tcPr>
          <w:p w:rsidR="00156DD6" w:rsidRDefault="00D51F5F">
            <w:pPr>
              <w:jc w:val="right"/>
            </w:pPr>
            <w:r>
              <w:rPr>
                <w:rFonts w:hint="eastAsia"/>
              </w:rPr>
              <w:t xml:space="preserve"> -93,645,031.87 </w:t>
            </w:r>
          </w:p>
        </w:tc>
      </w:tr>
      <w:tr w:rsidR="00156DD6">
        <w:tc>
          <w:tcPr>
            <w:tcW w:w="1924" w:type="pct"/>
          </w:tcPr>
          <w:p w:rsidR="00156DD6" w:rsidRDefault="00D51F5F">
            <w:pPr>
              <w:rPr>
                <w:color w:val="000000" w:themeColor="text1"/>
              </w:rPr>
            </w:pPr>
            <w:r>
              <w:rPr>
                <w:rFonts w:hint="eastAsia"/>
                <w:color w:val="000000" w:themeColor="text1"/>
              </w:rPr>
              <w:t>其他</w:t>
            </w:r>
          </w:p>
        </w:tc>
        <w:tc>
          <w:tcPr>
            <w:tcW w:w="1547" w:type="pct"/>
            <w:vAlign w:val="center"/>
          </w:tcPr>
          <w:p w:rsidR="00156DD6" w:rsidRDefault="00D51F5F">
            <w:pPr>
              <w:jc w:val="right"/>
            </w:pPr>
            <w:r>
              <w:rPr>
                <w:rFonts w:hint="eastAsia"/>
              </w:rPr>
              <w:t xml:space="preserve"> 3,580,781.36 </w:t>
            </w:r>
          </w:p>
        </w:tc>
        <w:tc>
          <w:tcPr>
            <w:tcW w:w="1529" w:type="pct"/>
            <w:vAlign w:val="center"/>
          </w:tcPr>
          <w:p w:rsidR="00156DD6" w:rsidRDefault="00D51F5F">
            <w:pPr>
              <w:jc w:val="right"/>
            </w:pPr>
            <w:r>
              <w:rPr>
                <w:rFonts w:hint="eastAsia"/>
              </w:rPr>
              <w:t xml:space="preserve"> 7,626,907.20 </w:t>
            </w:r>
          </w:p>
        </w:tc>
      </w:tr>
      <w:tr w:rsidR="00156DD6">
        <w:tc>
          <w:tcPr>
            <w:tcW w:w="1924" w:type="pct"/>
          </w:tcPr>
          <w:p w:rsidR="00156DD6" w:rsidRDefault="00D51F5F">
            <w:pPr>
              <w:rPr>
                <w:color w:val="000000" w:themeColor="text1"/>
              </w:rPr>
            </w:pPr>
            <w:r>
              <w:rPr>
                <w:rFonts w:hint="eastAsia"/>
                <w:color w:val="000000" w:themeColor="text1"/>
              </w:rPr>
              <w:t>经营活动产生的现金流量净额</w:t>
            </w:r>
          </w:p>
        </w:tc>
        <w:tc>
          <w:tcPr>
            <w:tcW w:w="1547" w:type="pct"/>
            <w:vAlign w:val="center"/>
          </w:tcPr>
          <w:p w:rsidR="00156DD6" w:rsidRDefault="00D51F5F">
            <w:pPr>
              <w:jc w:val="right"/>
            </w:pPr>
            <w:r>
              <w:rPr>
                <w:rFonts w:hint="eastAsia"/>
              </w:rPr>
              <w:t xml:space="preserve"> 19,831,189.23 </w:t>
            </w:r>
          </w:p>
        </w:tc>
        <w:tc>
          <w:tcPr>
            <w:tcW w:w="1529" w:type="pct"/>
            <w:vAlign w:val="center"/>
          </w:tcPr>
          <w:p w:rsidR="00156DD6" w:rsidRDefault="00D51F5F">
            <w:pPr>
              <w:jc w:val="right"/>
            </w:pPr>
            <w:r>
              <w:rPr>
                <w:rFonts w:hint="eastAsia"/>
              </w:rPr>
              <w:t xml:space="preserve"> -295,371,674.31 </w:t>
            </w:r>
          </w:p>
        </w:tc>
      </w:tr>
      <w:tr w:rsidR="00156DD6">
        <w:sdt>
          <w:sdtPr>
            <w:tag w:val="_PLD_db693429a97d44a2848da029ca6a724c"/>
            <w:id w:val="2043784698"/>
          </w:sdtPr>
          <w:sdtEndPr/>
          <w:sdtContent>
            <w:tc>
              <w:tcPr>
                <w:tcW w:w="5000" w:type="pct"/>
                <w:gridSpan w:val="3"/>
              </w:tcPr>
              <w:p w:rsidR="00156DD6" w:rsidRDefault="00D51F5F">
                <w:pPr>
                  <w:rPr>
                    <w:color w:val="000000" w:themeColor="text1"/>
                  </w:rPr>
                </w:pPr>
                <w:r>
                  <w:rPr>
                    <w:b/>
                    <w:color w:val="000000" w:themeColor="text1"/>
                  </w:rPr>
                  <w:t>2</w:t>
                </w:r>
                <w:r>
                  <w:rPr>
                    <w:rFonts w:hint="eastAsia"/>
                    <w:b/>
                    <w:color w:val="000000" w:themeColor="text1"/>
                  </w:rPr>
                  <w:t>．不涉及现金收支的重大投资和筹资活动：</w:t>
                </w:r>
              </w:p>
            </w:tc>
          </w:sdtContent>
        </w:sdt>
      </w:tr>
      <w:tr w:rsidR="00156DD6">
        <w:tc>
          <w:tcPr>
            <w:tcW w:w="1924" w:type="pct"/>
          </w:tcPr>
          <w:p w:rsidR="00156DD6" w:rsidRDefault="00D51F5F">
            <w:pPr>
              <w:rPr>
                <w:color w:val="000000" w:themeColor="text1"/>
              </w:rPr>
            </w:pPr>
            <w:r>
              <w:rPr>
                <w:rFonts w:hint="eastAsia"/>
                <w:color w:val="000000" w:themeColor="text1"/>
              </w:rPr>
              <w:t>债务转为资本</w:t>
            </w:r>
          </w:p>
        </w:tc>
        <w:tc>
          <w:tcPr>
            <w:tcW w:w="1547" w:type="pct"/>
          </w:tcPr>
          <w:p w:rsidR="00156DD6" w:rsidRDefault="00156DD6">
            <w:pPr>
              <w:jc w:val="right"/>
            </w:pPr>
          </w:p>
        </w:tc>
        <w:tc>
          <w:tcPr>
            <w:tcW w:w="1529" w:type="pct"/>
          </w:tcPr>
          <w:p w:rsidR="00156DD6" w:rsidRDefault="00156DD6">
            <w:pPr>
              <w:jc w:val="right"/>
            </w:pPr>
          </w:p>
        </w:tc>
      </w:tr>
      <w:tr w:rsidR="00156DD6">
        <w:tc>
          <w:tcPr>
            <w:tcW w:w="1924" w:type="pct"/>
          </w:tcPr>
          <w:p w:rsidR="00156DD6" w:rsidRDefault="00D51F5F">
            <w:pPr>
              <w:rPr>
                <w:color w:val="000000" w:themeColor="text1"/>
              </w:rPr>
            </w:pPr>
            <w:r>
              <w:rPr>
                <w:rFonts w:hint="eastAsia"/>
                <w:color w:val="000000" w:themeColor="text1"/>
              </w:rPr>
              <w:t>一年内到期的可转换公司债券</w:t>
            </w:r>
          </w:p>
        </w:tc>
        <w:tc>
          <w:tcPr>
            <w:tcW w:w="1547" w:type="pct"/>
          </w:tcPr>
          <w:p w:rsidR="00156DD6" w:rsidRDefault="00156DD6">
            <w:pPr>
              <w:jc w:val="right"/>
            </w:pPr>
          </w:p>
        </w:tc>
        <w:tc>
          <w:tcPr>
            <w:tcW w:w="1529" w:type="pct"/>
          </w:tcPr>
          <w:p w:rsidR="00156DD6" w:rsidRDefault="00156DD6">
            <w:pPr>
              <w:jc w:val="right"/>
            </w:pPr>
          </w:p>
        </w:tc>
      </w:tr>
      <w:tr w:rsidR="00156DD6">
        <w:tc>
          <w:tcPr>
            <w:tcW w:w="1924" w:type="pct"/>
          </w:tcPr>
          <w:p w:rsidR="00156DD6" w:rsidRDefault="00D51F5F">
            <w:pPr>
              <w:rPr>
                <w:color w:val="000000" w:themeColor="text1"/>
              </w:rPr>
            </w:pPr>
            <w:r>
              <w:rPr>
                <w:rFonts w:hint="eastAsia"/>
                <w:color w:val="000000" w:themeColor="text1"/>
              </w:rPr>
              <w:t>融资租入固定资产</w:t>
            </w:r>
          </w:p>
        </w:tc>
        <w:tc>
          <w:tcPr>
            <w:tcW w:w="1547" w:type="pct"/>
          </w:tcPr>
          <w:p w:rsidR="00156DD6" w:rsidRDefault="00156DD6">
            <w:pPr>
              <w:jc w:val="right"/>
            </w:pPr>
          </w:p>
        </w:tc>
        <w:tc>
          <w:tcPr>
            <w:tcW w:w="1529" w:type="pct"/>
          </w:tcPr>
          <w:p w:rsidR="00156DD6" w:rsidRDefault="00156DD6">
            <w:pPr>
              <w:jc w:val="right"/>
            </w:pPr>
          </w:p>
        </w:tc>
      </w:tr>
      <w:tr w:rsidR="00156DD6">
        <w:sdt>
          <w:sdtPr>
            <w:tag w:val="_PLD_1294459fe7ee46638b8d4b78b8d8c436"/>
            <w:id w:val="-1568104162"/>
          </w:sdtPr>
          <w:sdtEndPr/>
          <w:sdtContent>
            <w:tc>
              <w:tcPr>
                <w:tcW w:w="5000" w:type="pct"/>
                <w:gridSpan w:val="3"/>
              </w:tcPr>
              <w:p w:rsidR="00156DD6" w:rsidRDefault="00D51F5F">
                <w:pPr>
                  <w:rPr>
                    <w:color w:val="000000" w:themeColor="text1"/>
                  </w:rPr>
                </w:pPr>
                <w:r>
                  <w:rPr>
                    <w:b/>
                    <w:color w:val="000000" w:themeColor="text1"/>
                  </w:rPr>
                  <w:t>3</w:t>
                </w:r>
                <w:r>
                  <w:rPr>
                    <w:rFonts w:hint="eastAsia"/>
                    <w:b/>
                    <w:color w:val="000000" w:themeColor="text1"/>
                  </w:rPr>
                  <w:t>．现金及现金等价物净变动情况：</w:t>
                </w:r>
              </w:p>
            </w:tc>
          </w:sdtContent>
        </w:sdt>
      </w:tr>
      <w:tr w:rsidR="00156DD6">
        <w:tc>
          <w:tcPr>
            <w:tcW w:w="1924" w:type="pct"/>
          </w:tcPr>
          <w:p w:rsidR="00156DD6" w:rsidRDefault="00D51F5F">
            <w:pPr>
              <w:rPr>
                <w:color w:val="000000" w:themeColor="text1"/>
              </w:rPr>
            </w:pPr>
            <w:r>
              <w:rPr>
                <w:rFonts w:hint="eastAsia"/>
                <w:color w:val="000000" w:themeColor="text1"/>
              </w:rPr>
              <w:t>现金的期末余额</w:t>
            </w:r>
          </w:p>
        </w:tc>
        <w:tc>
          <w:tcPr>
            <w:tcW w:w="1547" w:type="pct"/>
          </w:tcPr>
          <w:p w:rsidR="00156DD6" w:rsidRDefault="00D51F5F">
            <w:pPr>
              <w:jc w:val="right"/>
            </w:pPr>
            <w:r>
              <w:rPr>
                <w:rFonts w:hint="eastAsia"/>
              </w:rPr>
              <w:t xml:space="preserve"> 1,054,683,435.41 </w:t>
            </w:r>
          </w:p>
        </w:tc>
        <w:tc>
          <w:tcPr>
            <w:tcW w:w="1529" w:type="pct"/>
          </w:tcPr>
          <w:p w:rsidR="00156DD6" w:rsidRDefault="00D51F5F">
            <w:pPr>
              <w:jc w:val="right"/>
            </w:pPr>
            <w:r>
              <w:rPr>
                <w:rFonts w:hint="eastAsia"/>
              </w:rPr>
              <w:t xml:space="preserve"> 878,823,115.67 </w:t>
            </w:r>
          </w:p>
        </w:tc>
      </w:tr>
      <w:tr w:rsidR="00156DD6">
        <w:tc>
          <w:tcPr>
            <w:tcW w:w="1924" w:type="pct"/>
          </w:tcPr>
          <w:p w:rsidR="00156DD6" w:rsidRDefault="00D51F5F">
            <w:pPr>
              <w:rPr>
                <w:color w:val="000000" w:themeColor="text1"/>
              </w:rPr>
            </w:pPr>
            <w:r>
              <w:rPr>
                <w:rFonts w:hint="eastAsia"/>
                <w:color w:val="000000" w:themeColor="text1"/>
              </w:rPr>
              <w:t>减：现金的期初余额</w:t>
            </w:r>
          </w:p>
        </w:tc>
        <w:tc>
          <w:tcPr>
            <w:tcW w:w="1547" w:type="pct"/>
          </w:tcPr>
          <w:p w:rsidR="00156DD6" w:rsidRDefault="00D51F5F">
            <w:pPr>
              <w:jc w:val="right"/>
            </w:pPr>
            <w:r>
              <w:rPr>
                <w:rFonts w:hint="eastAsia"/>
              </w:rPr>
              <w:t xml:space="preserve"> 996,421,333.80 </w:t>
            </w:r>
          </w:p>
        </w:tc>
        <w:tc>
          <w:tcPr>
            <w:tcW w:w="1529" w:type="pct"/>
          </w:tcPr>
          <w:p w:rsidR="00156DD6" w:rsidRDefault="00D51F5F">
            <w:pPr>
              <w:jc w:val="right"/>
            </w:pPr>
            <w:r>
              <w:rPr>
                <w:rFonts w:hint="eastAsia"/>
              </w:rPr>
              <w:t xml:space="preserve"> 1,226,642,655.20 </w:t>
            </w:r>
          </w:p>
        </w:tc>
      </w:tr>
      <w:tr w:rsidR="00156DD6">
        <w:tc>
          <w:tcPr>
            <w:tcW w:w="1924" w:type="pct"/>
          </w:tcPr>
          <w:p w:rsidR="00156DD6" w:rsidRDefault="00D51F5F">
            <w:pPr>
              <w:rPr>
                <w:color w:val="000000" w:themeColor="text1"/>
              </w:rPr>
            </w:pPr>
            <w:r>
              <w:rPr>
                <w:rFonts w:hint="eastAsia"/>
                <w:color w:val="000000" w:themeColor="text1"/>
              </w:rPr>
              <w:t>加：现金等价物的期末余额</w:t>
            </w:r>
          </w:p>
        </w:tc>
        <w:tc>
          <w:tcPr>
            <w:tcW w:w="1547" w:type="pct"/>
          </w:tcPr>
          <w:p w:rsidR="00156DD6" w:rsidRDefault="00156DD6">
            <w:pPr>
              <w:jc w:val="right"/>
            </w:pPr>
          </w:p>
        </w:tc>
        <w:tc>
          <w:tcPr>
            <w:tcW w:w="1529" w:type="pct"/>
          </w:tcPr>
          <w:p w:rsidR="00156DD6" w:rsidRDefault="00156DD6">
            <w:pPr>
              <w:jc w:val="right"/>
            </w:pPr>
          </w:p>
        </w:tc>
      </w:tr>
      <w:tr w:rsidR="00156DD6">
        <w:tc>
          <w:tcPr>
            <w:tcW w:w="1924" w:type="pct"/>
          </w:tcPr>
          <w:p w:rsidR="00156DD6" w:rsidRDefault="00D51F5F">
            <w:pPr>
              <w:rPr>
                <w:color w:val="000000" w:themeColor="text1"/>
              </w:rPr>
            </w:pPr>
            <w:r>
              <w:rPr>
                <w:rFonts w:hint="eastAsia"/>
                <w:color w:val="000000" w:themeColor="text1"/>
              </w:rPr>
              <w:t>减：现金等价物的期初余额</w:t>
            </w:r>
          </w:p>
        </w:tc>
        <w:tc>
          <w:tcPr>
            <w:tcW w:w="1547" w:type="pct"/>
          </w:tcPr>
          <w:p w:rsidR="00156DD6" w:rsidRDefault="00156DD6">
            <w:pPr>
              <w:jc w:val="right"/>
            </w:pPr>
          </w:p>
        </w:tc>
        <w:tc>
          <w:tcPr>
            <w:tcW w:w="1529" w:type="pct"/>
          </w:tcPr>
          <w:p w:rsidR="00156DD6" w:rsidRDefault="00156DD6">
            <w:pPr>
              <w:jc w:val="right"/>
            </w:pPr>
          </w:p>
        </w:tc>
      </w:tr>
      <w:tr w:rsidR="00156DD6">
        <w:tc>
          <w:tcPr>
            <w:tcW w:w="1924" w:type="pct"/>
          </w:tcPr>
          <w:p w:rsidR="00156DD6" w:rsidRDefault="00D51F5F">
            <w:pPr>
              <w:rPr>
                <w:color w:val="000000" w:themeColor="text1"/>
              </w:rPr>
            </w:pPr>
            <w:r>
              <w:rPr>
                <w:rFonts w:hint="eastAsia"/>
                <w:color w:val="000000" w:themeColor="text1"/>
              </w:rPr>
              <w:t>现金及现金等价物净增加额</w:t>
            </w:r>
          </w:p>
        </w:tc>
        <w:tc>
          <w:tcPr>
            <w:tcW w:w="1547" w:type="pct"/>
          </w:tcPr>
          <w:p w:rsidR="00156DD6" w:rsidRDefault="00D51F5F">
            <w:pPr>
              <w:jc w:val="right"/>
            </w:pPr>
            <w:r>
              <w:rPr>
                <w:rFonts w:hint="eastAsia"/>
              </w:rPr>
              <w:t xml:space="preserve"> 58,262,101.61 </w:t>
            </w:r>
          </w:p>
        </w:tc>
        <w:tc>
          <w:tcPr>
            <w:tcW w:w="1529" w:type="pct"/>
          </w:tcPr>
          <w:p w:rsidR="00156DD6" w:rsidRDefault="00D51F5F">
            <w:pPr>
              <w:jc w:val="right"/>
            </w:pPr>
            <w:r>
              <w:rPr>
                <w:rFonts w:hint="eastAsia"/>
              </w:rPr>
              <w:t xml:space="preserve"> -347,819,539.53 </w:t>
            </w:r>
          </w:p>
        </w:tc>
      </w:tr>
    </w:tbl>
    <w:p w:rsidR="00156DD6" w:rsidRDefault="00D51F5F">
      <w:pPr>
        <w:pStyle w:val="Style47"/>
        <w:numPr>
          <w:ilvl w:val="0"/>
          <w:numId w:val="81"/>
        </w:numPr>
        <w:rPr>
          <w:rFonts w:ascii="宋体" w:hAnsi="宋体"/>
          <w:color w:val="000000" w:themeColor="text1"/>
          <w:sz w:val="21"/>
          <w:szCs w:val="21"/>
        </w:rPr>
      </w:pPr>
      <w:r>
        <w:rPr>
          <w:rFonts w:ascii="宋体" w:hAnsi="宋体" w:hint="eastAsia"/>
          <w:color w:val="000000" w:themeColor="text1"/>
          <w:sz w:val="21"/>
          <w:szCs w:val="21"/>
        </w:rPr>
        <w:t>本期支付的取得子公司的现金净额</w:t>
      </w:r>
    </w:p>
    <w:sdt>
      <w:sdtPr>
        <w:rPr>
          <w:color w:val="000000" w:themeColor="text1"/>
        </w:rPr>
        <w:alias w:val="是否适用：本期支付的取得子公司的现金净额[双击切换]"/>
        <w:tag w:val="_GBC_903abae67cad448caac446eb8c11fd79"/>
        <w:id w:val="141420405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81"/>
        </w:numPr>
        <w:rPr>
          <w:rFonts w:ascii="宋体" w:hAnsi="宋体"/>
          <w:color w:val="000000" w:themeColor="text1"/>
          <w:sz w:val="21"/>
          <w:szCs w:val="21"/>
        </w:rPr>
      </w:pPr>
      <w:r>
        <w:rPr>
          <w:rFonts w:ascii="宋体" w:hAnsi="宋体" w:hint="eastAsia"/>
          <w:color w:val="000000" w:themeColor="text1"/>
          <w:sz w:val="21"/>
          <w:szCs w:val="21"/>
        </w:rPr>
        <w:t>本期收到的处置子公司的现金净额</w:t>
      </w:r>
    </w:p>
    <w:sdt>
      <w:sdtPr>
        <w:rPr>
          <w:color w:val="000000" w:themeColor="text1"/>
        </w:rPr>
        <w:alias w:val="是否适用：本期收到的处置子公司的现金净额[双击切换]"/>
        <w:tag w:val="_GBC_2b4b13c85bb94d13bb7b7edebe0a9f5a"/>
        <w:id w:val="-11174885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81"/>
        </w:numPr>
        <w:rPr>
          <w:rFonts w:ascii="宋体" w:hAnsi="宋体"/>
          <w:color w:val="000000" w:themeColor="text1"/>
          <w:sz w:val="21"/>
          <w:szCs w:val="21"/>
        </w:rPr>
      </w:pPr>
      <w:r>
        <w:rPr>
          <w:rFonts w:ascii="宋体" w:hAnsi="宋体" w:hint="eastAsia"/>
          <w:color w:val="000000" w:themeColor="text1"/>
          <w:sz w:val="21"/>
          <w:szCs w:val="21"/>
        </w:rPr>
        <w:t>现金和现金等价物的构成</w:t>
      </w:r>
    </w:p>
    <w:sdt>
      <w:sdtPr>
        <w:rPr>
          <w:color w:val="000000" w:themeColor="text1"/>
        </w:rPr>
        <w:alias w:val="是否适用：现金和现金等价物的构成[双击切换]"/>
        <w:tag w:val="_GBC_4f1d477972634410a6ea7bdfaf766947"/>
        <w:id w:val="-22784004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b/>
          <w:color w:val="000000" w:themeColor="text1"/>
        </w:rPr>
      </w:pPr>
      <w:r>
        <w:rPr>
          <w:rFonts w:hint="eastAsia"/>
          <w:color w:val="000000" w:themeColor="text1"/>
        </w:rPr>
        <w:t>单位：</w:t>
      </w:r>
      <w:sdt>
        <w:sdtPr>
          <w:rPr>
            <w:rFonts w:hint="eastAsia"/>
            <w:color w:val="000000" w:themeColor="text1"/>
          </w:rPr>
          <w:alias w:val="单位：财务附注：现金和现金等价物的构成"/>
          <w:tag w:val="_GBC_b65333ba6aec402382c4acbbb6696560"/>
          <w:id w:val="18085846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现金和现金等价物的构成"/>
          <w:tag w:val="_GBC_15cada3a52264083942ef83a40fa25a0"/>
          <w:id w:val="-12116485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156DD6">
        <w:trPr>
          <w:trHeight w:val="285"/>
        </w:trPr>
        <w:sdt>
          <w:sdtPr>
            <w:tag w:val="_PLD_d5bf85e9303e4843a7623f09eae933c6"/>
            <w:id w:val="815149833"/>
          </w:sdtPr>
          <w:sdtEndPr/>
          <w:sdtContent>
            <w:tc>
              <w:tcPr>
                <w:tcW w:w="1875" w:type="pct"/>
                <w:tcBorders>
                  <w:bottom w:val="single" w:sz="4" w:space="0" w:color="auto"/>
                </w:tcBorders>
                <w:vAlign w:val="center"/>
              </w:tcPr>
              <w:p w:rsidR="00156DD6" w:rsidRDefault="00D51F5F">
                <w:pPr>
                  <w:ind w:leftChars="-51" w:left="-107"/>
                  <w:jc w:val="center"/>
                  <w:rPr>
                    <w:color w:val="000000" w:themeColor="text1"/>
                  </w:rPr>
                </w:pPr>
                <w:r>
                  <w:rPr>
                    <w:rFonts w:hint="eastAsia"/>
                    <w:color w:val="000000" w:themeColor="text1"/>
                  </w:rPr>
                  <w:t>项目</w:t>
                </w:r>
              </w:p>
            </w:tc>
          </w:sdtContent>
        </w:sdt>
        <w:sdt>
          <w:sdtPr>
            <w:tag w:val="_PLD_e3a960d2f6474687b9cbaec3f1075e19"/>
            <w:id w:val="655875827"/>
          </w:sdtPr>
          <w:sdtEndPr/>
          <w:sdtContent>
            <w:tc>
              <w:tcPr>
                <w:tcW w:w="1614"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0d0909eba9344c8ab96c7fb88f0b117a"/>
            <w:id w:val="1791315794"/>
          </w:sdtPr>
          <w:sdtEndPr/>
          <w:sdtContent>
            <w:tc>
              <w:tcPr>
                <w:tcW w:w="1511" w:type="pct"/>
              </w:tcPr>
              <w:p w:rsidR="00156DD6" w:rsidRDefault="00D51F5F">
                <w:pPr>
                  <w:jc w:val="center"/>
                  <w:rPr>
                    <w:color w:val="000000" w:themeColor="text1"/>
                  </w:rPr>
                </w:pPr>
                <w:r>
                  <w:rPr>
                    <w:rFonts w:hint="eastAsia"/>
                    <w:color w:val="000000" w:themeColor="text1"/>
                  </w:rPr>
                  <w:t>期初余额</w:t>
                </w:r>
              </w:p>
            </w:tc>
          </w:sdtContent>
        </w:sdt>
      </w:tr>
      <w:tr w:rsidR="00156DD6">
        <w:trPr>
          <w:trHeight w:val="285"/>
        </w:trPr>
        <w:tc>
          <w:tcPr>
            <w:tcW w:w="1875" w:type="pct"/>
            <w:vAlign w:val="center"/>
          </w:tcPr>
          <w:p w:rsidR="00156DD6" w:rsidRDefault="00D51F5F">
            <w:pPr>
              <w:rPr>
                <w:color w:val="000000" w:themeColor="text1"/>
              </w:rPr>
            </w:pPr>
            <w:r>
              <w:rPr>
                <w:rFonts w:hint="eastAsia"/>
                <w:color w:val="000000" w:themeColor="text1"/>
              </w:rPr>
              <w:t>一、现金</w:t>
            </w:r>
          </w:p>
        </w:tc>
        <w:tc>
          <w:tcPr>
            <w:tcW w:w="1614" w:type="pct"/>
            <w:vAlign w:val="center"/>
          </w:tcPr>
          <w:p w:rsidR="00156DD6" w:rsidRDefault="00D51F5F">
            <w:pPr>
              <w:jc w:val="right"/>
            </w:pPr>
            <w:r>
              <w:rPr>
                <w:rFonts w:hint="eastAsia"/>
              </w:rPr>
              <w:t xml:space="preserve"> 1,054,683,435.41 </w:t>
            </w:r>
          </w:p>
        </w:tc>
        <w:tc>
          <w:tcPr>
            <w:tcW w:w="1511" w:type="pct"/>
            <w:vAlign w:val="center"/>
          </w:tcPr>
          <w:p w:rsidR="00156DD6" w:rsidRDefault="00D51F5F">
            <w:pPr>
              <w:jc w:val="right"/>
            </w:pPr>
            <w:r>
              <w:rPr>
                <w:rFonts w:hint="eastAsia"/>
              </w:rPr>
              <w:t xml:space="preserve"> 996,421,333.80 </w:t>
            </w:r>
          </w:p>
        </w:tc>
      </w:tr>
      <w:tr w:rsidR="00156DD6">
        <w:trPr>
          <w:trHeight w:val="285"/>
        </w:trPr>
        <w:tc>
          <w:tcPr>
            <w:tcW w:w="1875" w:type="pct"/>
            <w:vAlign w:val="center"/>
          </w:tcPr>
          <w:p w:rsidR="00156DD6" w:rsidRDefault="00D51F5F">
            <w:pPr>
              <w:rPr>
                <w:color w:val="000000" w:themeColor="text1"/>
              </w:rPr>
            </w:pPr>
            <w:r>
              <w:rPr>
                <w:rFonts w:hint="eastAsia"/>
                <w:color w:val="000000" w:themeColor="text1"/>
              </w:rPr>
              <w:t>其中：库存现金</w:t>
            </w:r>
          </w:p>
        </w:tc>
        <w:tc>
          <w:tcPr>
            <w:tcW w:w="1614" w:type="pct"/>
            <w:vAlign w:val="center"/>
          </w:tcPr>
          <w:p w:rsidR="00156DD6" w:rsidRDefault="00D51F5F">
            <w:pPr>
              <w:jc w:val="right"/>
            </w:pPr>
            <w:r>
              <w:rPr>
                <w:rFonts w:hint="eastAsia"/>
              </w:rPr>
              <w:t xml:space="preserve"> 111,778.50 </w:t>
            </w:r>
          </w:p>
        </w:tc>
        <w:tc>
          <w:tcPr>
            <w:tcW w:w="1511" w:type="pct"/>
            <w:vAlign w:val="center"/>
          </w:tcPr>
          <w:p w:rsidR="00156DD6" w:rsidRDefault="00D51F5F">
            <w:pPr>
              <w:jc w:val="right"/>
            </w:pPr>
            <w:r>
              <w:rPr>
                <w:rFonts w:hint="eastAsia"/>
              </w:rPr>
              <w:t xml:space="preserve"> 33,414.30 </w:t>
            </w:r>
          </w:p>
        </w:tc>
      </w:tr>
      <w:tr w:rsidR="00156DD6">
        <w:trPr>
          <w:trHeight w:val="285"/>
        </w:trPr>
        <w:tc>
          <w:tcPr>
            <w:tcW w:w="1875" w:type="pct"/>
            <w:vAlign w:val="center"/>
          </w:tcPr>
          <w:p w:rsidR="00156DD6" w:rsidRDefault="00D51F5F">
            <w:pPr>
              <w:ind w:firstLineChars="300" w:firstLine="630"/>
              <w:rPr>
                <w:color w:val="000000" w:themeColor="text1"/>
              </w:rPr>
            </w:pPr>
            <w:r>
              <w:rPr>
                <w:rFonts w:hint="eastAsia"/>
                <w:color w:val="000000" w:themeColor="text1"/>
              </w:rPr>
              <w:t>可随时用于支付的银行存款</w:t>
            </w:r>
          </w:p>
        </w:tc>
        <w:tc>
          <w:tcPr>
            <w:tcW w:w="1614" w:type="pct"/>
            <w:vAlign w:val="center"/>
          </w:tcPr>
          <w:p w:rsidR="00156DD6" w:rsidRDefault="00D51F5F">
            <w:pPr>
              <w:jc w:val="right"/>
            </w:pPr>
            <w:r>
              <w:rPr>
                <w:rFonts w:hint="eastAsia"/>
              </w:rPr>
              <w:t xml:space="preserve"> 1,053,780,370.61 </w:t>
            </w:r>
          </w:p>
        </w:tc>
        <w:tc>
          <w:tcPr>
            <w:tcW w:w="1511" w:type="pct"/>
            <w:vAlign w:val="center"/>
          </w:tcPr>
          <w:p w:rsidR="00156DD6" w:rsidRDefault="00D51F5F">
            <w:pPr>
              <w:jc w:val="right"/>
            </w:pPr>
            <w:r>
              <w:rPr>
                <w:rFonts w:hint="eastAsia"/>
              </w:rPr>
              <w:t xml:space="preserve"> 996,387,425.67 </w:t>
            </w:r>
          </w:p>
        </w:tc>
      </w:tr>
      <w:tr w:rsidR="00156DD6">
        <w:trPr>
          <w:trHeight w:val="285"/>
        </w:trPr>
        <w:tc>
          <w:tcPr>
            <w:tcW w:w="1875" w:type="pct"/>
            <w:vAlign w:val="center"/>
          </w:tcPr>
          <w:p w:rsidR="00156DD6" w:rsidRDefault="00D51F5F">
            <w:pPr>
              <w:ind w:firstLineChars="300" w:firstLine="630"/>
              <w:rPr>
                <w:color w:val="000000" w:themeColor="text1"/>
              </w:rPr>
            </w:pPr>
            <w:r>
              <w:rPr>
                <w:rFonts w:hint="eastAsia"/>
                <w:color w:val="000000" w:themeColor="text1"/>
              </w:rPr>
              <w:t>可随时用于支付的其他货币资金</w:t>
            </w:r>
          </w:p>
        </w:tc>
        <w:tc>
          <w:tcPr>
            <w:tcW w:w="1614" w:type="pct"/>
            <w:vAlign w:val="center"/>
          </w:tcPr>
          <w:p w:rsidR="00156DD6" w:rsidRDefault="00D51F5F">
            <w:pPr>
              <w:jc w:val="right"/>
            </w:pPr>
            <w:r>
              <w:rPr>
                <w:rFonts w:hint="eastAsia"/>
              </w:rPr>
              <w:t xml:space="preserve"> 791,286.30 </w:t>
            </w:r>
          </w:p>
        </w:tc>
        <w:tc>
          <w:tcPr>
            <w:tcW w:w="1511" w:type="pct"/>
            <w:vAlign w:val="center"/>
          </w:tcPr>
          <w:p w:rsidR="00156DD6" w:rsidRDefault="00D51F5F">
            <w:pPr>
              <w:jc w:val="right"/>
            </w:pPr>
            <w:r>
              <w:rPr>
                <w:rFonts w:hint="eastAsia"/>
              </w:rPr>
              <w:t xml:space="preserve"> 493.83 </w:t>
            </w:r>
          </w:p>
        </w:tc>
      </w:tr>
      <w:tr w:rsidR="00156DD6">
        <w:trPr>
          <w:trHeight w:val="285"/>
        </w:trPr>
        <w:tc>
          <w:tcPr>
            <w:tcW w:w="1875" w:type="pct"/>
            <w:vAlign w:val="center"/>
          </w:tcPr>
          <w:p w:rsidR="00156DD6" w:rsidRDefault="00D51F5F">
            <w:pPr>
              <w:rPr>
                <w:color w:val="000000" w:themeColor="text1"/>
              </w:rPr>
            </w:pPr>
            <w:r>
              <w:rPr>
                <w:rFonts w:hint="eastAsia"/>
                <w:color w:val="000000" w:themeColor="text1"/>
              </w:rPr>
              <w:t>二、现金等价物</w:t>
            </w:r>
          </w:p>
        </w:tc>
        <w:tc>
          <w:tcPr>
            <w:tcW w:w="1614" w:type="pct"/>
            <w:vAlign w:val="center"/>
          </w:tcPr>
          <w:p w:rsidR="00156DD6" w:rsidRDefault="00156DD6">
            <w:pPr>
              <w:jc w:val="right"/>
            </w:pPr>
          </w:p>
        </w:tc>
        <w:tc>
          <w:tcPr>
            <w:tcW w:w="1511" w:type="pct"/>
            <w:vAlign w:val="center"/>
          </w:tcPr>
          <w:p w:rsidR="00156DD6" w:rsidRDefault="00156DD6">
            <w:pPr>
              <w:jc w:val="right"/>
            </w:pPr>
          </w:p>
        </w:tc>
      </w:tr>
      <w:tr w:rsidR="00156DD6">
        <w:trPr>
          <w:trHeight w:val="285"/>
        </w:trPr>
        <w:tc>
          <w:tcPr>
            <w:tcW w:w="1875" w:type="pct"/>
            <w:tcBorders>
              <w:bottom w:val="single" w:sz="4" w:space="0" w:color="auto"/>
            </w:tcBorders>
            <w:vAlign w:val="center"/>
          </w:tcPr>
          <w:p w:rsidR="00156DD6" w:rsidRDefault="00D51F5F">
            <w:pPr>
              <w:rPr>
                <w:color w:val="000000" w:themeColor="text1"/>
              </w:rPr>
            </w:pPr>
            <w:r>
              <w:rPr>
                <w:rFonts w:hint="eastAsia"/>
                <w:color w:val="000000" w:themeColor="text1"/>
              </w:rPr>
              <w:t>其中：三个月内到期的债券投资</w:t>
            </w:r>
          </w:p>
        </w:tc>
        <w:tc>
          <w:tcPr>
            <w:tcW w:w="1614" w:type="pct"/>
            <w:tcBorders>
              <w:bottom w:val="single" w:sz="4" w:space="0" w:color="auto"/>
            </w:tcBorders>
            <w:vAlign w:val="center"/>
          </w:tcPr>
          <w:p w:rsidR="00156DD6" w:rsidRDefault="00156DD6">
            <w:pPr>
              <w:jc w:val="right"/>
            </w:pPr>
          </w:p>
        </w:tc>
        <w:tc>
          <w:tcPr>
            <w:tcW w:w="1511" w:type="pct"/>
            <w:tcBorders>
              <w:bottom w:val="single" w:sz="4" w:space="0" w:color="auto"/>
            </w:tcBorders>
            <w:vAlign w:val="center"/>
          </w:tcPr>
          <w:p w:rsidR="00156DD6" w:rsidRDefault="00156DD6">
            <w:pPr>
              <w:jc w:val="right"/>
            </w:pPr>
          </w:p>
        </w:tc>
      </w:tr>
      <w:tr w:rsidR="00156DD6">
        <w:trPr>
          <w:trHeight w:val="285"/>
        </w:trPr>
        <w:tc>
          <w:tcPr>
            <w:tcW w:w="1875" w:type="pct"/>
            <w:vAlign w:val="center"/>
          </w:tcPr>
          <w:p w:rsidR="00156DD6" w:rsidRDefault="00D51F5F">
            <w:pPr>
              <w:rPr>
                <w:color w:val="000000" w:themeColor="text1"/>
              </w:rPr>
            </w:pPr>
            <w:r>
              <w:rPr>
                <w:rFonts w:hint="eastAsia"/>
                <w:color w:val="000000" w:themeColor="text1"/>
              </w:rPr>
              <w:t>三、期末现金及现金等价物余额</w:t>
            </w:r>
          </w:p>
        </w:tc>
        <w:tc>
          <w:tcPr>
            <w:tcW w:w="1614" w:type="pct"/>
            <w:vAlign w:val="center"/>
          </w:tcPr>
          <w:p w:rsidR="00156DD6" w:rsidRDefault="00D51F5F">
            <w:pPr>
              <w:jc w:val="right"/>
            </w:pPr>
            <w:r>
              <w:rPr>
                <w:rFonts w:hint="eastAsia"/>
              </w:rPr>
              <w:t xml:space="preserve"> 1,054,683,435.41 </w:t>
            </w:r>
          </w:p>
        </w:tc>
        <w:tc>
          <w:tcPr>
            <w:tcW w:w="1511" w:type="pct"/>
            <w:vAlign w:val="center"/>
          </w:tcPr>
          <w:p w:rsidR="00156DD6" w:rsidRDefault="00D51F5F">
            <w:pPr>
              <w:jc w:val="right"/>
            </w:pPr>
            <w:r>
              <w:rPr>
                <w:rFonts w:hint="eastAsia"/>
              </w:rPr>
              <w:t xml:space="preserve"> 996,421,333.80 </w:t>
            </w:r>
          </w:p>
        </w:tc>
      </w:tr>
      <w:tr w:rsidR="00156DD6">
        <w:trPr>
          <w:trHeight w:val="285"/>
        </w:trPr>
        <w:tc>
          <w:tcPr>
            <w:tcW w:w="1875" w:type="pct"/>
            <w:vAlign w:val="center"/>
          </w:tcPr>
          <w:p w:rsidR="00156DD6" w:rsidRDefault="00D51F5F">
            <w:pPr>
              <w:rPr>
                <w:color w:val="000000" w:themeColor="text1"/>
              </w:rPr>
            </w:pPr>
            <w:r>
              <w:rPr>
                <w:rFonts w:hint="eastAsia"/>
                <w:color w:val="000000" w:themeColor="text1"/>
              </w:rPr>
              <w:t>其中：母公司或集团内子公司使用受限制的现金和现金等价物</w:t>
            </w:r>
          </w:p>
        </w:tc>
        <w:tc>
          <w:tcPr>
            <w:tcW w:w="1614" w:type="pct"/>
            <w:vAlign w:val="center"/>
          </w:tcPr>
          <w:p w:rsidR="00156DD6" w:rsidRDefault="00156DD6">
            <w:pPr>
              <w:jc w:val="right"/>
            </w:pPr>
          </w:p>
        </w:tc>
        <w:tc>
          <w:tcPr>
            <w:tcW w:w="1511" w:type="pct"/>
            <w:vAlign w:val="center"/>
          </w:tcPr>
          <w:p w:rsidR="00156DD6" w:rsidRDefault="00156DD6">
            <w:pPr>
              <w:jc w:val="right"/>
            </w:pPr>
          </w:p>
        </w:tc>
      </w:tr>
    </w:tbl>
    <w:p w:rsidR="00156DD6" w:rsidRDefault="00D51F5F">
      <w:pPr>
        <w:pStyle w:val="Style47"/>
        <w:numPr>
          <w:ilvl w:val="0"/>
          <w:numId w:val="81"/>
        </w:numPr>
        <w:rPr>
          <w:rFonts w:ascii="宋体" w:hAnsi="宋体"/>
          <w:color w:val="000000" w:themeColor="text1"/>
          <w:sz w:val="21"/>
          <w:szCs w:val="32"/>
        </w:rPr>
      </w:pPr>
      <w:bookmarkStart w:id="438" w:name="_Hlk167970923"/>
      <w:r>
        <w:rPr>
          <w:rFonts w:ascii="宋体" w:hAnsi="宋体" w:hint="eastAsia"/>
          <w:color w:val="000000" w:themeColor="text1"/>
          <w:sz w:val="21"/>
          <w:szCs w:val="32"/>
        </w:rPr>
        <w:t>使用范围受限但仍作为现金和现金等价物列示的情况</w:t>
      </w:r>
    </w:p>
    <w:sdt>
      <w:sdtPr>
        <w:rPr>
          <w:color w:val="000000" w:themeColor="text1"/>
        </w:rPr>
        <w:alias w:val="是否适用：使用范围受限但仍作为现金和现金等价物列示的情况[双击切换]"/>
        <w:tag w:val="_GBC_dcbbdbc5a8524c8299b810908077aebe"/>
        <w:id w:val="153577348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b/>
          <w:color w:val="000000" w:themeColor="text1"/>
        </w:rPr>
      </w:pPr>
      <w:r>
        <w:rPr>
          <w:rFonts w:hint="eastAsia"/>
          <w:color w:val="000000" w:themeColor="text1"/>
        </w:rPr>
        <w:t>单位：</w:t>
      </w:r>
      <w:sdt>
        <w:sdtPr>
          <w:rPr>
            <w:rFonts w:hint="eastAsia"/>
            <w:color w:val="000000" w:themeColor="text1"/>
          </w:rPr>
          <w:alias w:val="单位：使用范围受限但仍作为现金和现金等价物列示的情况"/>
          <w:tag w:val="_GBC_bd79f0fe0b7d4fbfbf36345c9398046f"/>
          <w:id w:val="-40923288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使用范围受限但仍作为现金和现金等价物列示的情况"/>
          <w:tag w:val="_GBC_acdb06d025684887bd548965c105079c"/>
          <w:id w:val="19785672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156DD6">
        <w:trPr>
          <w:trHeight w:val="285"/>
        </w:trPr>
        <w:sdt>
          <w:sdtPr>
            <w:tag w:val="_PLD_3058da5971b74e5db203c5cc150fc1b3"/>
            <w:id w:val="2045480431"/>
          </w:sdtPr>
          <w:sdtEndPr/>
          <w:sdtContent>
            <w:tc>
              <w:tcPr>
                <w:tcW w:w="1875" w:type="pct"/>
                <w:tcBorders>
                  <w:bottom w:val="single" w:sz="4" w:space="0" w:color="auto"/>
                </w:tcBorders>
                <w:vAlign w:val="center"/>
              </w:tcPr>
              <w:p w:rsidR="00156DD6" w:rsidRDefault="00D51F5F">
                <w:pPr>
                  <w:ind w:leftChars="-51" w:left="-107"/>
                  <w:jc w:val="center"/>
                  <w:rPr>
                    <w:color w:val="000000" w:themeColor="text1"/>
                  </w:rPr>
                </w:pPr>
                <w:r>
                  <w:rPr>
                    <w:rFonts w:hint="eastAsia"/>
                    <w:color w:val="000000" w:themeColor="text1"/>
                  </w:rPr>
                  <w:t>项目</w:t>
                </w:r>
              </w:p>
            </w:tc>
          </w:sdtContent>
        </w:sdt>
        <w:sdt>
          <w:sdtPr>
            <w:tag w:val="_PLD_2da2f061ed5b48c189174df0381e4f1c"/>
            <w:id w:val="1655648147"/>
          </w:sdtPr>
          <w:sdtEndPr/>
          <w:sdtContent>
            <w:tc>
              <w:tcPr>
                <w:tcW w:w="1614"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9153fcb394ee4eefb03ac09326ff45f0"/>
            <w:id w:val="1745987919"/>
          </w:sdtPr>
          <w:sdtEndPr/>
          <w:sdtContent>
            <w:tc>
              <w:tcPr>
                <w:tcW w:w="1511" w:type="pct"/>
              </w:tcPr>
              <w:p w:rsidR="00156DD6" w:rsidRDefault="00D51F5F">
                <w:pPr>
                  <w:jc w:val="center"/>
                  <w:rPr>
                    <w:color w:val="000000" w:themeColor="text1"/>
                  </w:rPr>
                </w:pPr>
                <w:r>
                  <w:rPr>
                    <w:rFonts w:hint="eastAsia"/>
                    <w:color w:val="000000" w:themeColor="text1"/>
                  </w:rPr>
                  <w:t>理由</w:t>
                </w:r>
              </w:p>
            </w:tc>
          </w:sdtContent>
        </w:sdt>
      </w:tr>
      <w:tr w:rsidR="00156DD6">
        <w:trPr>
          <w:trHeight w:val="143"/>
        </w:trPr>
        <w:tc>
          <w:tcPr>
            <w:tcW w:w="1875" w:type="pct"/>
            <w:vAlign w:val="center"/>
          </w:tcPr>
          <w:p w:rsidR="00156DD6" w:rsidRDefault="00D51F5F">
            <w:pPr>
              <w:pStyle w:val="Style43"/>
            </w:pPr>
            <w:r>
              <w:rPr>
                <w:rFonts w:hint="eastAsia"/>
              </w:rPr>
              <w:t>货币资金</w:t>
            </w:r>
          </w:p>
        </w:tc>
        <w:tc>
          <w:tcPr>
            <w:tcW w:w="1614" w:type="pct"/>
          </w:tcPr>
          <w:p w:rsidR="00156DD6" w:rsidRDefault="00D51F5F">
            <w:pPr>
              <w:jc w:val="right"/>
            </w:pPr>
            <w:r>
              <w:t>65,319,548.96</w:t>
            </w:r>
          </w:p>
        </w:tc>
        <w:tc>
          <w:tcPr>
            <w:tcW w:w="1511" w:type="pct"/>
          </w:tcPr>
          <w:p w:rsidR="00156DD6" w:rsidRDefault="00D51F5F">
            <w:pPr>
              <w:pStyle w:val="Style43"/>
            </w:pPr>
            <w:r>
              <w:rPr>
                <w:rFonts w:hint="eastAsia"/>
              </w:rPr>
              <w:t>募集资金账户</w:t>
            </w:r>
          </w:p>
        </w:tc>
      </w:tr>
      <w:tr w:rsidR="00156DD6">
        <w:trPr>
          <w:trHeight w:val="285"/>
        </w:trPr>
        <w:tc>
          <w:tcPr>
            <w:tcW w:w="1875" w:type="pct"/>
            <w:vAlign w:val="center"/>
          </w:tcPr>
          <w:p w:rsidR="00156DD6" w:rsidRDefault="00D51F5F">
            <w:pPr>
              <w:jc w:val="center"/>
              <w:rPr>
                <w:color w:val="000000" w:themeColor="text1"/>
              </w:rPr>
            </w:pPr>
            <w:r>
              <w:rPr>
                <w:color w:val="000000" w:themeColor="text1"/>
              </w:rPr>
              <w:t>合计</w:t>
            </w:r>
          </w:p>
        </w:tc>
        <w:tc>
          <w:tcPr>
            <w:tcW w:w="1614" w:type="pct"/>
          </w:tcPr>
          <w:p w:rsidR="00156DD6" w:rsidRDefault="00D51F5F">
            <w:pPr>
              <w:jc w:val="right"/>
            </w:pPr>
            <w:r>
              <w:t>65,319,548.96</w:t>
            </w:r>
          </w:p>
        </w:tc>
        <w:tc>
          <w:tcPr>
            <w:tcW w:w="1511" w:type="pct"/>
          </w:tcPr>
          <w:p w:rsidR="00156DD6" w:rsidRDefault="00D51F5F">
            <w:pPr>
              <w:jc w:val="center"/>
              <w:rPr>
                <w:color w:val="000000" w:themeColor="text1"/>
              </w:rPr>
            </w:pPr>
            <w:r>
              <w:rPr>
                <w:rFonts w:hint="eastAsia"/>
                <w:color w:val="000000" w:themeColor="text1"/>
              </w:rPr>
              <w:t>/</w:t>
            </w:r>
          </w:p>
        </w:tc>
      </w:tr>
    </w:tbl>
    <w:p w:rsidR="00156DD6" w:rsidRDefault="00D51F5F">
      <w:pPr>
        <w:pStyle w:val="Style47"/>
        <w:numPr>
          <w:ilvl w:val="0"/>
          <w:numId w:val="81"/>
        </w:numPr>
        <w:rPr>
          <w:rFonts w:ascii="宋体" w:hAnsi="宋体"/>
          <w:color w:val="000000" w:themeColor="text1"/>
          <w:sz w:val="21"/>
          <w:szCs w:val="32"/>
        </w:rPr>
      </w:pPr>
      <w:r>
        <w:rPr>
          <w:rFonts w:ascii="宋体" w:hAnsi="宋体" w:hint="eastAsia"/>
          <w:color w:val="000000" w:themeColor="text1"/>
          <w:sz w:val="21"/>
          <w:szCs w:val="32"/>
        </w:rPr>
        <w:t>不属于现金及现金等价物的货币资金</w:t>
      </w:r>
    </w:p>
    <w:sdt>
      <w:sdtPr>
        <w:rPr>
          <w:color w:val="000000" w:themeColor="text1"/>
        </w:rPr>
        <w:alias w:val="是否适用：不属于现金及现金等价物的货币资金[双击切换]"/>
        <w:tag w:val="_GBC_191a966fa63441a7bf4a17ba6bb3802a"/>
        <w:id w:val="-166115699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b/>
          <w:color w:val="000000" w:themeColor="text1"/>
        </w:rPr>
      </w:pPr>
      <w:r>
        <w:rPr>
          <w:rFonts w:hint="eastAsia"/>
          <w:color w:val="000000" w:themeColor="text1"/>
        </w:rPr>
        <w:lastRenderedPageBreak/>
        <w:t>单位：</w:t>
      </w:r>
      <w:sdt>
        <w:sdtPr>
          <w:rPr>
            <w:rFonts w:hint="eastAsia"/>
            <w:color w:val="000000" w:themeColor="text1"/>
          </w:rPr>
          <w:alias w:val="单位：不属于现金及现金等价物的货币资金"/>
          <w:tag w:val="_GBC_f61896005e924ae38677ec69b7155f61"/>
          <w:id w:val="-11962227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不属于现金及现金等价物的货币资金"/>
          <w:tag w:val="_GBC_0a0043c6530c4ab2bc30ec98d82b63cf"/>
          <w:id w:val="6995107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17"/>
        <w:gridCol w:w="2017"/>
        <w:gridCol w:w="2772"/>
      </w:tblGrid>
      <w:tr w:rsidR="00156DD6">
        <w:trPr>
          <w:trHeight w:val="196"/>
        </w:trPr>
        <w:bookmarkEnd w:id="438" w:displacedByCustomXml="next"/>
        <w:sdt>
          <w:sdtPr>
            <w:tag w:val="_PLD_edb7da4f96fd483da0db9e51774f40a2"/>
            <w:id w:val="1667597204"/>
          </w:sdtPr>
          <w:sdtEndPr/>
          <w:sdtContent>
            <w:tc>
              <w:tcPr>
                <w:tcW w:w="1143" w:type="pct"/>
                <w:tcBorders>
                  <w:bottom w:val="single" w:sz="4" w:space="0" w:color="auto"/>
                </w:tcBorders>
                <w:vAlign w:val="center"/>
              </w:tcPr>
              <w:p w:rsidR="00156DD6" w:rsidRDefault="00D51F5F">
                <w:pPr>
                  <w:ind w:leftChars="-51" w:left="-107"/>
                  <w:jc w:val="center"/>
                  <w:rPr>
                    <w:color w:val="000000" w:themeColor="text1"/>
                  </w:rPr>
                </w:pPr>
                <w:r>
                  <w:rPr>
                    <w:rFonts w:hint="eastAsia"/>
                    <w:color w:val="000000" w:themeColor="text1"/>
                  </w:rPr>
                  <w:t>项目</w:t>
                </w:r>
              </w:p>
            </w:tc>
          </w:sdtContent>
        </w:sdt>
        <w:sdt>
          <w:sdtPr>
            <w:tag w:val="_PLD_50a645135c3c4998a58aa2994c543dfe"/>
            <w:id w:val="295967334"/>
          </w:sdtPr>
          <w:sdtEndPr/>
          <w:sdtContent>
            <w:tc>
              <w:tcPr>
                <w:tcW w:w="1143"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2c47585cf5e64606bc9eaa265f16279c"/>
            <w:id w:val="115260375"/>
          </w:sdtPr>
          <w:sdtEndPr/>
          <w:sdtContent>
            <w:tc>
              <w:tcPr>
                <w:tcW w:w="1143" w:type="pct"/>
                <w:vAlign w:val="center"/>
              </w:tcPr>
              <w:p w:rsidR="00156DD6" w:rsidRDefault="00D51F5F">
                <w:pPr>
                  <w:jc w:val="center"/>
                  <w:rPr>
                    <w:color w:val="000000" w:themeColor="text1"/>
                  </w:rPr>
                </w:pPr>
                <w:r>
                  <w:rPr>
                    <w:rFonts w:hint="eastAsia"/>
                    <w:color w:val="000000" w:themeColor="text1"/>
                  </w:rPr>
                  <w:t>期初余额</w:t>
                </w:r>
              </w:p>
            </w:tc>
          </w:sdtContent>
        </w:sdt>
        <w:sdt>
          <w:sdtPr>
            <w:tag w:val="_PLD_60a5c86051274f1fa875f5d9c6ee937b"/>
            <w:id w:val="-1904362978"/>
          </w:sdtPr>
          <w:sdtEndPr/>
          <w:sdtContent>
            <w:tc>
              <w:tcPr>
                <w:tcW w:w="1571" w:type="pct"/>
                <w:vAlign w:val="center"/>
              </w:tcPr>
              <w:p w:rsidR="00156DD6" w:rsidRDefault="00D51F5F">
                <w:pPr>
                  <w:jc w:val="center"/>
                  <w:rPr>
                    <w:color w:val="000000" w:themeColor="text1"/>
                  </w:rPr>
                </w:pPr>
                <w:r>
                  <w:rPr>
                    <w:rFonts w:hint="eastAsia"/>
                    <w:color w:val="000000" w:themeColor="text1"/>
                  </w:rPr>
                  <w:t>理由</w:t>
                </w:r>
              </w:p>
            </w:tc>
          </w:sdtContent>
        </w:sdt>
      </w:tr>
      <w:tr w:rsidR="00156DD6">
        <w:trPr>
          <w:trHeight w:val="121"/>
        </w:trPr>
        <w:tc>
          <w:tcPr>
            <w:tcW w:w="1143" w:type="pct"/>
          </w:tcPr>
          <w:p w:rsidR="00156DD6" w:rsidRDefault="00D51F5F">
            <w:pPr>
              <w:pStyle w:val="Style43"/>
            </w:pPr>
            <w:r>
              <w:rPr>
                <w:rFonts w:hint="eastAsia"/>
              </w:rPr>
              <w:t>货币资金</w:t>
            </w:r>
          </w:p>
        </w:tc>
        <w:tc>
          <w:tcPr>
            <w:tcW w:w="1143" w:type="pct"/>
          </w:tcPr>
          <w:p w:rsidR="00156DD6" w:rsidRDefault="00D51F5F">
            <w:pPr>
              <w:jc w:val="right"/>
            </w:pPr>
            <w:r>
              <w:rPr>
                <w:rFonts w:hint="eastAsia"/>
              </w:rPr>
              <w:t xml:space="preserve"> 134,530,491.23 </w:t>
            </w:r>
          </w:p>
        </w:tc>
        <w:tc>
          <w:tcPr>
            <w:tcW w:w="1143" w:type="pct"/>
          </w:tcPr>
          <w:p w:rsidR="00156DD6" w:rsidRDefault="00D51F5F">
            <w:pPr>
              <w:jc w:val="right"/>
            </w:pPr>
            <w:r>
              <w:rPr>
                <w:rFonts w:hint="eastAsia"/>
              </w:rPr>
              <w:t>126,542,379.63</w:t>
            </w:r>
          </w:p>
        </w:tc>
        <w:tc>
          <w:tcPr>
            <w:tcW w:w="1571" w:type="pct"/>
            <w:vAlign w:val="center"/>
          </w:tcPr>
          <w:p w:rsidR="00156DD6" w:rsidRDefault="00D51F5F">
            <w:pPr>
              <w:pStyle w:val="Style43"/>
            </w:pPr>
            <w:r>
              <w:t>银行承兑汇票保证金</w:t>
            </w:r>
          </w:p>
        </w:tc>
      </w:tr>
      <w:tr w:rsidR="00156DD6">
        <w:trPr>
          <w:trHeight w:val="121"/>
        </w:trPr>
        <w:tc>
          <w:tcPr>
            <w:tcW w:w="1143" w:type="pct"/>
          </w:tcPr>
          <w:p w:rsidR="00156DD6" w:rsidRDefault="00D51F5F">
            <w:pPr>
              <w:pStyle w:val="Style43"/>
            </w:pPr>
            <w:r>
              <w:rPr>
                <w:rFonts w:hint="eastAsia"/>
              </w:rPr>
              <w:t>货币资金</w:t>
            </w:r>
          </w:p>
        </w:tc>
        <w:tc>
          <w:tcPr>
            <w:tcW w:w="1143" w:type="pct"/>
          </w:tcPr>
          <w:p w:rsidR="00156DD6" w:rsidRDefault="00D51F5F">
            <w:pPr>
              <w:jc w:val="right"/>
            </w:pPr>
            <w:r>
              <w:rPr>
                <w:rFonts w:hint="eastAsia"/>
              </w:rPr>
              <w:t xml:space="preserve"> 27,689,600.62 </w:t>
            </w:r>
          </w:p>
        </w:tc>
        <w:tc>
          <w:tcPr>
            <w:tcW w:w="1143" w:type="pct"/>
          </w:tcPr>
          <w:p w:rsidR="00156DD6" w:rsidRDefault="00D51F5F">
            <w:pPr>
              <w:jc w:val="right"/>
            </w:pPr>
            <w:r>
              <w:rPr>
                <w:rFonts w:hint="eastAsia"/>
              </w:rPr>
              <w:t>28,392,916.28</w:t>
            </w:r>
          </w:p>
        </w:tc>
        <w:tc>
          <w:tcPr>
            <w:tcW w:w="1571" w:type="pct"/>
            <w:vAlign w:val="center"/>
          </w:tcPr>
          <w:p w:rsidR="00156DD6" w:rsidRDefault="00D51F5F">
            <w:pPr>
              <w:pStyle w:val="Style43"/>
            </w:pPr>
            <w:r>
              <w:t>保函保证金</w:t>
            </w:r>
          </w:p>
        </w:tc>
      </w:tr>
      <w:tr w:rsidR="00156DD6">
        <w:trPr>
          <w:trHeight w:val="121"/>
        </w:trPr>
        <w:tc>
          <w:tcPr>
            <w:tcW w:w="1143" w:type="pct"/>
          </w:tcPr>
          <w:p w:rsidR="00156DD6" w:rsidRDefault="00D51F5F">
            <w:pPr>
              <w:pStyle w:val="Style43"/>
            </w:pPr>
            <w:r>
              <w:rPr>
                <w:rFonts w:hint="eastAsia"/>
              </w:rPr>
              <w:t>货币资金</w:t>
            </w:r>
          </w:p>
        </w:tc>
        <w:tc>
          <w:tcPr>
            <w:tcW w:w="1143" w:type="pct"/>
          </w:tcPr>
          <w:p w:rsidR="00156DD6" w:rsidRDefault="00D51F5F">
            <w:pPr>
              <w:jc w:val="right"/>
            </w:pPr>
            <w:r>
              <w:rPr>
                <w:rFonts w:hint="eastAsia"/>
              </w:rPr>
              <w:t xml:space="preserve"> 3,918,882.48 </w:t>
            </w:r>
          </w:p>
        </w:tc>
        <w:tc>
          <w:tcPr>
            <w:tcW w:w="1143" w:type="pct"/>
          </w:tcPr>
          <w:p w:rsidR="00156DD6" w:rsidRDefault="00D51F5F">
            <w:pPr>
              <w:jc w:val="right"/>
            </w:pPr>
            <w:r>
              <w:rPr>
                <w:rFonts w:hint="eastAsia"/>
              </w:rPr>
              <w:t>3,917,422.72</w:t>
            </w:r>
          </w:p>
        </w:tc>
        <w:tc>
          <w:tcPr>
            <w:tcW w:w="1571" w:type="pct"/>
            <w:vAlign w:val="center"/>
          </w:tcPr>
          <w:p w:rsidR="00156DD6" w:rsidRDefault="00D51F5F">
            <w:pPr>
              <w:pStyle w:val="Style43"/>
            </w:pPr>
            <w:r>
              <w:t>代管住房公积金</w:t>
            </w:r>
          </w:p>
        </w:tc>
      </w:tr>
      <w:tr w:rsidR="00156DD6">
        <w:trPr>
          <w:trHeight w:val="121"/>
        </w:trPr>
        <w:tc>
          <w:tcPr>
            <w:tcW w:w="1143" w:type="pct"/>
          </w:tcPr>
          <w:p w:rsidR="00156DD6" w:rsidRDefault="00D51F5F">
            <w:pPr>
              <w:pStyle w:val="Style43"/>
            </w:pPr>
            <w:r>
              <w:rPr>
                <w:rFonts w:hint="eastAsia"/>
              </w:rPr>
              <w:t>货币资金</w:t>
            </w:r>
          </w:p>
        </w:tc>
        <w:tc>
          <w:tcPr>
            <w:tcW w:w="1143" w:type="pct"/>
          </w:tcPr>
          <w:p w:rsidR="00156DD6" w:rsidRDefault="00D51F5F">
            <w:pPr>
              <w:jc w:val="right"/>
            </w:pPr>
            <w:r>
              <w:rPr>
                <w:rFonts w:hint="eastAsia"/>
              </w:rPr>
              <w:t xml:space="preserve"> 12,000,000.00 </w:t>
            </w:r>
          </w:p>
        </w:tc>
        <w:tc>
          <w:tcPr>
            <w:tcW w:w="1143" w:type="pct"/>
          </w:tcPr>
          <w:p w:rsidR="00156DD6" w:rsidRDefault="00156DD6">
            <w:pPr>
              <w:jc w:val="right"/>
            </w:pPr>
          </w:p>
        </w:tc>
        <w:tc>
          <w:tcPr>
            <w:tcW w:w="1571" w:type="pct"/>
            <w:vAlign w:val="center"/>
          </w:tcPr>
          <w:p w:rsidR="00156DD6" w:rsidRDefault="00D51F5F">
            <w:pPr>
              <w:pStyle w:val="Style43"/>
            </w:pPr>
            <w:r>
              <w:rPr>
                <w:rFonts w:hint="eastAsia"/>
              </w:rPr>
              <w:t>在途资金</w:t>
            </w:r>
          </w:p>
        </w:tc>
      </w:tr>
      <w:tr w:rsidR="00156DD6">
        <w:trPr>
          <w:trHeight w:val="125"/>
        </w:trPr>
        <w:tc>
          <w:tcPr>
            <w:tcW w:w="1143" w:type="pct"/>
            <w:vAlign w:val="center"/>
          </w:tcPr>
          <w:p w:rsidR="00156DD6" w:rsidRDefault="00D51F5F">
            <w:pPr>
              <w:jc w:val="center"/>
              <w:rPr>
                <w:color w:val="000000" w:themeColor="text1"/>
              </w:rPr>
            </w:pPr>
            <w:r>
              <w:rPr>
                <w:color w:val="000000" w:themeColor="text1"/>
              </w:rPr>
              <w:t>合计</w:t>
            </w:r>
          </w:p>
        </w:tc>
        <w:tc>
          <w:tcPr>
            <w:tcW w:w="1143" w:type="pct"/>
          </w:tcPr>
          <w:p w:rsidR="00156DD6" w:rsidRDefault="00D51F5F">
            <w:pPr>
              <w:jc w:val="right"/>
            </w:pPr>
            <w:r>
              <w:rPr>
                <w:rFonts w:hint="eastAsia"/>
              </w:rPr>
              <w:t xml:space="preserve"> 178,138,974.33 </w:t>
            </w:r>
          </w:p>
        </w:tc>
        <w:tc>
          <w:tcPr>
            <w:tcW w:w="1143" w:type="pct"/>
          </w:tcPr>
          <w:p w:rsidR="00156DD6" w:rsidRDefault="00D51F5F">
            <w:pPr>
              <w:jc w:val="right"/>
            </w:pPr>
            <w:r>
              <w:rPr>
                <w:rFonts w:hint="eastAsia"/>
              </w:rPr>
              <w:t>158,852,718.63</w:t>
            </w:r>
          </w:p>
        </w:tc>
        <w:tc>
          <w:tcPr>
            <w:tcW w:w="1571" w:type="pct"/>
          </w:tcPr>
          <w:p w:rsidR="00156DD6" w:rsidRDefault="00D51F5F">
            <w:pPr>
              <w:jc w:val="center"/>
              <w:rPr>
                <w:color w:val="000000" w:themeColor="text1"/>
              </w:rPr>
            </w:pPr>
            <w:r>
              <w:rPr>
                <w:rFonts w:hint="eastAsia"/>
                <w:color w:val="000000" w:themeColor="text1"/>
              </w:rPr>
              <w:t>/</w:t>
            </w:r>
          </w:p>
        </w:tc>
      </w:tr>
    </w:tbl>
    <w:p w:rsidR="00156DD6" w:rsidRDefault="00D51F5F">
      <w:pPr>
        <w:spacing w:before="60" w:after="60"/>
        <w:rPr>
          <w:color w:val="000000" w:themeColor="text1"/>
        </w:rPr>
      </w:pPr>
      <w:r>
        <w:rPr>
          <w:rFonts w:hint="eastAsia"/>
          <w:color w:val="000000" w:themeColor="text1"/>
        </w:rPr>
        <w:t>其他说明：</w:t>
      </w:r>
    </w:p>
    <w:sdt>
      <w:sdtPr>
        <w:rPr>
          <w:color w:val="000000" w:themeColor="text1"/>
        </w:rPr>
        <w:alias w:val="是否适用：现金流量表补充资料的说明[双击切换]"/>
        <w:tag w:val="_GBC_2212775a699e4804b260767f3ce34d12"/>
        <w:id w:val="2022657622"/>
        <w:placeholder>
          <w:docPart w:val="GBC22222222222222222222222222222"/>
        </w:placeholder>
      </w:sdtPr>
      <w:sdtEndPr/>
      <w:sdtContent>
        <w:p w:rsidR="00156DD6" w:rsidRDefault="00D51F5F">
          <w:pPr>
            <w:spacing w:before="60" w:after="60"/>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1"/>
        </w:rPr>
      </w:pPr>
      <w:r>
        <w:rPr>
          <w:color w:val="000000" w:themeColor="text1"/>
          <w:sz w:val="21"/>
          <w:szCs w:val="21"/>
        </w:rPr>
        <w:t>所有者权益变动表项目注释</w:t>
      </w:r>
    </w:p>
    <w:p w:rsidR="00156DD6" w:rsidRDefault="00D51F5F">
      <w:pPr>
        <w:rPr>
          <w:color w:val="000000" w:themeColor="text1"/>
        </w:rPr>
      </w:pPr>
      <w:r>
        <w:rPr>
          <w:rFonts w:hint="eastAsia"/>
          <w:color w:val="000000" w:themeColor="text1"/>
        </w:rPr>
        <w:t>说明对上年期末余额进行调整的“其他”项目名称及调整金额等事项：</w:t>
      </w:r>
    </w:p>
    <w:sdt>
      <w:sdtPr>
        <w:rPr>
          <w:color w:val="000000" w:themeColor="text1"/>
        </w:rPr>
        <w:alias w:val="是否适用：所有者权益变动表项目注释[双击切换]"/>
        <w:tag w:val="_GBC_61e84760a3fd4a58bb2421e95114d9b8"/>
        <w:id w:val="-197613527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1"/>
        </w:rPr>
      </w:pPr>
      <w:bookmarkStart w:id="439" w:name="_Hlk42158948"/>
      <w:r>
        <w:rPr>
          <w:color w:val="000000" w:themeColor="text1"/>
          <w:sz w:val="21"/>
          <w:szCs w:val="21"/>
        </w:rPr>
        <w:t>外币货币性项目</w:t>
      </w:r>
    </w:p>
    <w:p w:rsidR="00156DD6" w:rsidRDefault="00D51F5F">
      <w:pPr>
        <w:pStyle w:val="Style47"/>
        <w:numPr>
          <w:ilvl w:val="0"/>
          <w:numId w:val="82"/>
        </w:numPr>
        <w:rPr>
          <w:b w:val="0"/>
          <w:bCs w:val="0"/>
          <w:color w:val="000000" w:themeColor="text1"/>
          <w:sz w:val="21"/>
          <w:szCs w:val="21"/>
        </w:rPr>
      </w:pPr>
      <w:r>
        <w:rPr>
          <w:rStyle w:val="Style56"/>
          <w:rFonts w:ascii="宋体" w:hAnsi="宋体" w:hint="eastAsia"/>
          <w:b/>
          <w:color w:val="000000" w:themeColor="text1"/>
          <w:szCs w:val="21"/>
        </w:rPr>
        <w:t>外币货币性项目</w:t>
      </w:r>
    </w:p>
    <w:sdt>
      <w:sdtPr>
        <w:rPr>
          <w:color w:val="000000" w:themeColor="text1"/>
        </w:rPr>
        <w:alias w:val="是否适用：外币货币性项目[双击切换]"/>
        <w:tag w:val="_GBC_7b0870ec262840d78495babcff3639aa"/>
        <w:id w:val="144557585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外币货币性项目"/>
          <w:tag w:val="_GBC_52ed5330bd884651892991446f0f1ae0"/>
          <w:id w:val="15495661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998"/>
        <w:gridCol w:w="2006"/>
        <w:gridCol w:w="1994"/>
      </w:tblGrid>
      <w:tr w:rsidR="00156DD6">
        <w:sdt>
          <w:sdtPr>
            <w:tag w:val="_PLD_28ce5153e9cf4914a550a6d253e7c465"/>
            <w:id w:val="1404410009"/>
          </w:sdtPr>
          <w:sdtEndPr/>
          <w:sdtContent>
            <w:tc>
              <w:tcPr>
                <w:tcW w:w="1601"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项目</w:t>
                </w:r>
              </w:p>
            </w:tc>
          </w:sdtContent>
        </w:sdt>
        <w:sdt>
          <w:sdtPr>
            <w:tag w:val="_PLD_295b6f310e534b62bde0e2c632482ed9"/>
            <w:id w:val="-2093000715"/>
          </w:sdtPr>
          <w:sdtEndPr/>
          <w:sdtContent>
            <w:tc>
              <w:tcPr>
                <w:tcW w:w="113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期末外币余额</w:t>
                </w:r>
              </w:p>
            </w:tc>
          </w:sdtContent>
        </w:sdt>
        <w:sdt>
          <w:sdtPr>
            <w:tag w:val="_PLD_aa43af2545cb40668f2670b6f1569a92"/>
            <w:id w:val="-1575965884"/>
          </w:sdtPr>
          <w:sdtEndPr/>
          <w:sdtContent>
            <w:tc>
              <w:tcPr>
                <w:tcW w:w="113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折算汇率</w:t>
                </w:r>
              </w:p>
            </w:tc>
          </w:sdtContent>
        </w:sdt>
        <w:sdt>
          <w:sdtPr>
            <w:tag w:val="_PLD_8cdd9579b3964f01966c0b0c4cbacb2f"/>
            <w:id w:val="-1029175528"/>
          </w:sdtPr>
          <w:sdtEndPr/>
          <w:sdtContent>
            <w:tc>
              <w:tcPr>
                <w:tcW w:w="113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期末折算人民币</w:t>
                </w:r>
              </w:p>
              <w:p w:rsidR="00156DD6" w:rsidRDefault="00D51F5F">
                <w:pPr>
                  <w:jc w:val="center"/>
                  <w:rPr>
                    <w:color w:val="000000" w:themeColor="text1"/>
                  </w:rPr>
                </w:pPr>
                <w:r>
                  <w:rPr>
                    <w:rFonts w:hint="eastAsia"/>
                    <w:color w:val="000000" w:themeColor="text1"/>
                  </w:rPr>
                  <w:t>余额</w:t>
                </w:r>
              </w:p>
            </w:tc>
          </w:sdtContent>
        </w:sdt>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color w:val="000000" w:themeColor="text1"/>
              </w:rPr>
              <w:t>货币资金</w:t>
            </w:r>
          </w:p>
        </w:tc>
        <w:tc>
          <w:tcPr>
            <w:tcW w:w="1132"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w:t>
            </w:r>
          </w:p>
        </w:tc>
        <w:tc>
          <w:tcPr>
            <w:tcW w:w="1137"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w:t>
            </w:r>
          </w:p>
        </w:tc>
        <w:tc>
          <w:tcPr>
            <w:tcW w:w="113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其中：</w:t>
            </w:r>
            <w:sdt>
              <w:sdtPr>
                <w:rPr>
                  <w:color w:val="000000" w:themeColor="text1"/>
                </w:rPr>
                <w:alias w:val="以外币核算的币种明细-币种名称"/>
                <w:tag w:val="_GBC_21765b5e64364f62971250478e4ff572"/>
                <w:id w:val="168894737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color w:val="000000" w:themeColor="text1"/>
                  </w:rPr>
                  <w:t>美元</w:t>
                </w:r>
              </w:sdtContent>
            </w:sdt>
          </w:p>
        </w:tc>
        <w:tc>
          <w:tcPr>
            <w:tcW w:w="11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2,447,941.66 </w:t>
            </w:r>
          </w:p>
        </w:tc>
        <w:tc>
          <w:tcPr>
            <w:tcW w:w="11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7.1586 </w:t>
            </w:r>
          </w:p>
        </w:tc>
        <w:tc>
          <w:tcPr>
            <w:tcW w:w="1130"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17,523,835.17 </w:t>
            </w: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t xml:space="preserve">　　　</w:t>
            </w:r>
            <w:r>
              <w:rPr>
                <w:color w:val="000000" w:themeColor="text1"/>
              </w:rPr>
              <w:t>欧元</w:t>
            </w:r>
          </w:p>
        </w:tc>
        <w:tc>
          <w:tcPr>
            <w:tcW w:w="11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t xml:space="preserve">　　　</w:t>
            </w:r>
            <w:r>
              <w:rPr>
                <w:color w:val="000000" w:themeColor="text1"/>
              </w:rPr>
              <w:t>港币</w:t>
            </w:r>
          </w:p>
        </w:tc>
        <w:tc>
          <w:tcPr>
            <w:tcW w:w="11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pStyle w:val="Style43"/>
            </w:pPr>
            <w:r>
              <w:t>应收账款</w:t>
            </w:r>
          </w:p>
        </w:tc>
        <w:tc>
          <w:tcPr>
            <w:tcW w:w="1132"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w:t>
            </w:r>
          </w:p>
        </w:tc>
        <w:tc>
          <w:tcPr>
            <w:tcW w:w="1137"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w:t>
            </w:r>
          </w:p>
        </w:tc>
        <w:tc>
          <w:tcPr>
            <w:tcW w:w="113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其中：</w:t>
            </w:r>
            <w:r>
              <w:t>美元</w:t>
            </w:r>
          </w:p>
        </w:tc>
        <w:tc>
          <w:tcPr>
            <w:tcW w:w="11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2,268,658.43 </w:t>
            </w:r>
          </w:p>
        </w:tc>
        <w:tc>
          <w:tcPr>
            <w:tcW w:w="11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7.1586 </w:t>
            </w:r>
          </w:p>
        </w:tc>
        <w:tc>
          <w:tcPr>
            <w:tcW w:w="1130"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16,240,418.24 </w:t>
            </w: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t xml:space="preserve">　　　欧元</w:t>
            </w:r>
          </w:p>
        </w:tc>
        <w:tc>
          <w:tcPr>
            <w:tcW w:w="11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t xml:space="preserve">　　　港币</w:t>
            </w:r>
          </w:p>
        </w:tc>
        <w:tc>
          <w:tcPr>
            <w:tcW w:w="11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pStyle w:val="Style43"/>
            </w:pPr>
            <w:r>
              <w:rPr>
                <w:rFonts w:hint="eastAsia"/>
              </w:rPr>
              <w:t>应付账款</w:t>
            </w:r>
          </w:p>
        </w:tc>
        <w:tc>
          <w:tcPr>
            <w:tcW w:w="1132"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w:t>
            </w:r>
          </w:p>
        </w:tc>
        <w:tc>
          <w:tcPr>
            <w:tcW w:w="1137"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w:t>
            </w:r>
          </w:p>
        </w:tc>
        <w:tc>
          <w:tcPr>
            <w:tcW w:w="113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其中：</w:t>
            </w:r>
            <w:r>
              <w:t>美元</w:t>
            </w:r>
          </w:p>
        </w:tc>
        <w:tc>
          <w:tcPr>
            <w:tcW w:w="11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18,417.36 </w:t>
            </w:r>
          </w:p>
        </w:tc>
        <w:tc>
          <w:tcPr>
            <w:tcW w:w="11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7.1586 </w:t>
            </w:r>
          </w:p>
        </w:tc>
        <w:tc>
          <w:tcPr>
            <w:tcW w:w="1130"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131,842.51 </w:t>
            </w: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t xml:space="preserve">　　　欧元</w:t>
            </w:r>
          </w:p>
        </w:tc>
        <w:tc>
          <w:tcPr>
            <w:tcW w:w="113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297,982.20 </w:t>
            </w:r>
          </w:p>
        </w:tc>
        <w:tc>
          <w:tcPr>
            <w:tcW w:w="11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8.4024 </w:t>
            </w:r>
          </w:p>
        </w:tc>
        <w:tc>
          <w:tcPr>
            <w:tcW w:w="1130"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2,503,765.64 </w:t>
            </w:r>
          </w:p>
        </w:tc>
      </w:tr>
      <w:tr w:rsidR="00156DD6">
        <w:tc>
          <w:tcPr>
            <w:tcW w:w="1601"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t xml:space="preserve">　　　港币</w:t>
            </w:r>
          </w:p>
        </w:tc>
        <w:tc>
          <w:tcPr>
            <w:tcW w:w="11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130"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bl>
    <w:p w:rsidR="00156DD6" w:rsidRDefault="00D51F5F">
      <w:pPr>
        <w:spacing w:before="60" w:after="60"/>
        <w:rPr>
          <w:color w:val="000000" w:themeColor="text1"/>
        </w:rPr>
      </w:pPr>
      <w:r>
        <w:rPr>
          <w:rFonts w:hint="eastAsia"/>
          <w:color w:val="000000" w:themeColor="text1"/>
        </w:rPr>
        <w:t>其他说明：</w:t>
      </w:r>
    </w:p>
    <w:sdt>
      <w:sdtPr>
        <w:rPr>
          <w:color w:val="000000" w:themeColor="text1"/>
        </w:rPr>
        <w:alias w:val="外币货币性项目的其他说明"/>
        <w:tag w:val="_GBC_a16b850d98e24762adbee5a1d5628893"/>
        <w:id w:val="-125084984"/>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Style47"/>
        <w:numPr>
          <w:ilvl w:val="0"/>
          <w:numId w:val="82"/>
        </w:numPr>
        <w:rPr>
          <w:b w:val="0"/>
          <w:bCs w:val="0"/>
          <w:color w:val="000000" w:themeColor="text1"/>
          <w:sz w:val="21"/>
          <w:szCs w:val="21"/>
        </w:rPr>
      </w:pPr>
      <w:r>
        <w:rPr>
          <w:rStyle w:val="Style56"/>
          <w:rFonts w:ascii="宋体" w:hAnsi="宋体" w:hint="eastAsia"/>
          <w:b/>
          <w:color w:val="000000" w:themeColor="text1"/>
          <w:szCs w:val="21"/>
        </w:rPr>
        <w:t>境外经营实体说明，包括对于重要的境外经营实体，应披露其境外主要经营地、记账本位币及选择依据，记账本位币发生变化的还应披露原因</w:t>
      </w:r>
    </w:p>
    <w:p w:rsidR="00156DD6" w:rsidRDefault="00D51F5F">
      <w:pPr>
        <w:rPr>
          <w:color w:val="000000" w:themeColor="text1"/>
        </w:rPr>
      </w:pPr>
      <w:sdt>
        <w:sdtPr>
          <w:rPr>
            <w:color w:val="000000" w:themeColor="text1"/>
          </w:rPr>
          <w:alias w:val="是否适用：境外经营实体主要报表项目的折算汇率[双击切换]"/>
          <w:tag w:val="_GBC_4ad16f5c306d4c6ead144dfd007fb925"/>
          <w:id w:val="93064862"/>
          <w:placeholder>
            <w:docPart w:val="GBC22222222222222222222222222222"/>
          </w:placeholder>
        </w:sdtPr>
        <w:sdtEndPr/>
        <w:sdtContent>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p>
    <w:p w:rsidR="00156DD6" w:rsidRDefault="00D51F5F">
      <w:pPr>
        <w:pStyle w:val="TOC6"/>
        <w:numPr>
          <w:ilvl w:val="0"/>
          <w:numId w:val="53"/>
        </w:numPr>
        <w:rPr>
          <w:color w:val="000000" w:themeColor="text1"/>
          <w:sz w:val="21"/>
          <w:szCs w:val="21"/>
        </w:rPr>
      </w:pPr>
      <w:bookmarkStart w:id="440" w:name="_Hlk167971524"/>
      <w:bookmarkEnd w:id="439"/>
      <w:r>
        <w:rPr>
          <w:color w:val="000000" w:themeColor="text1"/>
          <w:sz w:val="21"/>
          <w:szCs w:val="21"/>
        </w:rPr>
        <w:t>租赁</w:t>
      </w:r>
    </w:p>
    <w:p w:rsidR="00156DD6" w:rsidRDefault="00D51F5F">
      <w:pPr>
        <w:pStyle w:val="Style47"/>
        <w:numPr>
          <w:ilvl w:val="0"/>
          <w:numId w:val="83"/>
        </w:numPr>
        <w:ind w:left="0" w:firstLine="0"/>
        <w:rPr>
          <w:color w:val="000000" w:themeColor="text1"/>
          <w:sz w:val="21"/>
          <w:szCs w:val="21"/>
        </w:rPr>
      </w:pPr>
      <w:r>
        <w:rPr>
          <w:color w:val="000000" w:themeColor="text1"/>
          <w:sz w:val="21"/>
          <w:szCs w:val="21"/>
        </w:rPr>
        <w:t>作为承租人</w:t>
      </w:r>
    </w:p>
    <w:sdt>
      <w:sdtPr>
        <w:rPr>
          <w:color w:val="000000" w:themeColor="text1"/>
        </w:rPr>
        <w:alias w:val="是否适用：作为承租人[双击切换]"/>
        <w:tag w:val="_GBC_1a127bd18c664ed8bca6a513c43f1fa2"/>
        <w:id w:val="-214660640"/>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pPr>
      <w:bookmarkStart w:id="441" w:name="OLE_LINK94"/>
      <w:r>
        <w:rPr>
          <w:rFonts w:hint="eastAsia"/>
          <w:color w:val="000000" w:themeColor="text1"/>
        </w:rPr>
        <w:t>单位：</w:t>
      </w:r>
      <w:sdt>
        <w:sdtPr>
          <w:rPr>
            <w:rFonts w:hint="eastAsia"/>
            <w:color w:val="000000" w:themeColor="text1"/>
          </w:rPr>
          <w:alias w:val="单位：不属于现金及现金等价物的货币资金"/>
          <w:tag w:val="_GBC_f61896005e924ae38677ec69b7155f61"/>
          <w:id w:val="-1398966262"/>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不属于现金及现金等价物的货币资金"/>
          <w:tag w:val="_GBC_0a0043c6530c4ab2bc30ec98d82b63cf"/>
          <w:id w:val="171106427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4"/>
        <w:tblW w:w="5000" w:type="pct"/>
        <w:tblInd w:w="0" w:type="dxa"/>
        <w:tblLook w:val="04A0" w:firstRow="1" w:lastRow="0" w:firstColumn="1" w:lastColumn="0" w:noHBand="0" w:noVBand="1"/>
      </w:tblPr>
      <w:tblGrid>
        <w:gridCol w:w="3899"/>
        <w:gridCol w:w="2582"/>
        <w:gridCol w:w="2342"/>
      </w:tblGrid>
      <w:tr w:rsidR="00156DD6">
        <w:trPr>
          <w:trHeight w:val="288"/>
        </w:trPr>
        <w:tc>
          <w:tcPr>
            <w:tcW w:w="2210" w:type="pct"/>
            <w:tcBorders>
              <w:top w:val="single" w:sz="4" w:space="0" w:color="auto"/>
              <w:left w:val="single" w:sz="4" w:space="0" w:color="auto"/>
              <w:bottom w:val="single" w:sz="4" w:space="0" w:color="auto"/>
              <w:right w:val="single" w:sz="4" w:space="0" w:color="auto"/>
            </w:tcBorders>
            <w:vAlign w:val="center"/>
          </w:tcPr>
          <w:bookmarkEnd w:id="441"/>
          <w:p w:rsidR="00156DD6" w:rsidRDefault="00D51F5F">
            <w:pPr>
              <w:jc w:val="center"/>
              <w:outlineLvl w:val="0"/>
              <w:rPr>
                <w:color w:val="000000"/>
              </w:rPr>
            </w:pPr>
            <w:r>
              <w:rPr>
                <w:rFonts w:hint="eastAsia"/>
                <w:color w:val="000000"/>
              </w:rPr>
              <w:t>项目</w:t>
            </w:r>
          </w:p>
        </w:tc>
        <w:tc>
          <w:tcPr>
            <w:tcW w:w="1463" w:type="pct"/>
            <w:tcBorders>
              <w:top w:val="single" w:sz="4" w:space="0" w:color="auto"/>
              <w:left w:val="nil"/>
              <w:bottom w:val="single" w:sz="4" w:space="0" w:color="auto"/>
              <w:right w:val="single" w:sz="4" w:space="0" w:color="auto"/>
            </w:tcBorders>
            <w:vAlign w:val="center"/>
          </w:tcPr>
          <w:p w:rsidR="00156DD6" w:rsidRDefault="00D51F5F">
            <w:pPr>
              <w:jc w:val="center"/>
              <w:outlineLvl w:val="0"/>
              <w:rPr>
                <w:color w:val="000000"/>
              </w:rPr>
            </w:pPr>
            <w:r>
              <w:rPr>
                <w:rFonts w:hint="eastAsia"/>
                <w:color w:val="000000"/>
              </w:rPr>
              <w:t>本期发生额</w:t>
            </w:r>
          </w:p>
        </w:tc>
        <w:tc>
          <w:tcPr>
            <w:tcW w:w="1327" w:type="pct"/>
            <w:tcBorders>
              <w:top w:val="single" w:sz="4" w:space="0" w:color="auto"/>
              <w:left w:val="nil"/>
              <w:bottom w:val="single" w:sz="4" w:space="0" w:color="auto"/>
              <w:right w:val="single" w:sz="4" w:space="0" w:color="auto"/>
            </w:tcBorders>
            <w:vAlign w:val="center"/>
          </w:tcPr>
          <w:p w:rsidR="00156DD6" w:rsidRDefault="00D51F5F">
            <w:pPr>
              <w:jc w:val="center"/>
              <w:outlineLvl w:val="0"/>
              <w:rPr>
                <w:color w:val="000000"/>
              </w:rPr>
            </w:pPr>
            <w:r>
              <w:rPr>
                <w:rFonts w:hint="eastAsia"/>
                <w:color w:val="000000"/>
              </w:rPr>
              <w:t>上期发生额</w:t>
            </w:r>
          </w:p>
        </w:tc>
      </w:tr>
      <w:tr w:rsidR="00156DD6">
        <w:trPr>
          <w:trHeight w:val="288"/>
        </w:trPr>
        <w:tc>
          <w:tcPr>
            <w:tcW w:w="2210" w:type="pct"/>
            <w:tcBorders>
              <w:top w:val="nil"/>
              <w:left w:val="single" w:sz="4" w:space="0" w:color="auto"/>
              <w:bottom w:val="single" w:sz="4" w:space="0" w:color="auto"/>
              <w:right w:val="single" w:sz="4" w:space="0" w:color="auto"/>
            </w:tcBorders>
          </w:tcPr>
          <w:p w:rsidR="00156DD6" w:rsidRDefault="00D51F5F">
            <w:pPr>
              <w:outlineLvl w:val="0"/>
              <w:rPr>
                <w:color w:val="000000"/>
              </w:rPr>
            </w:pPr>
            <w:bookmarkStart w:id="442" w:name="OLE_LINK138"/>
            <w:r>
              <w:rPr>
                <w:rFonts w:hint="eastAsia"/>
              </w:rPr>
              <w:t>租赁负债的利息</w:t>
            </w:r>
            <w:bookmarkEnd w:id="442"/>
          </w:p>
        </w:tc>
        <w:tc>
          <w:tcPr>
            <w:tcW w:w="1463" w:type="pct"/>
            <w:tcBorders>
              <w:top w:val="nil"/>
              <w:left w:val="nil"/>
              <w:bottom w:val="single" w:sz="4" w:space="0" w:color="auto"/>
              <w:right w:val="single" w:sz="4" w:space="0" w:color="auto"/>
            </w:tcBorders>
            <w:vAlign w:val="center"/>
          </w:tcPr>
          <w:p w:rsidR="00156DD6" w:rsidRDefault="00D51F5F">
            <w:pPr>
              <w:jc w:val="right"/>
              <w:outlineLvl w:val="0"/>
              <w:rPr>
                <w:color w:val="000000"/>
              </w:rPr>
            </w:pPr>
            <w:r>
              <w:t xml:space="preserve"> 151,246.00 </w:t>
            </w:r>
          </w:p>
        </w:tc>
        <w:tc>
          <w:tcPr>
            <w:tcW w:w="1327" w:type="pct"/>
            <w:tcBorders>
              <w:top w:val="nil"/>
              <w:left w:val="nil"/>
              <w:bottom w:val="single" w:sz="4" w:space="0" w:color="auto"/>
              <w:right w:val="single" w:sz="4" w:space="0" w:color="auto"/>
            </w:tcBorders>
            <w:vAlign w:val="center"/>
          </w:tcPr>
          <w:p w:rsidR="00156DD6" w:rsidRDefault="00D51F5F">
            <w:pPr>
              <w:jc w:val="right"/>
              <w:outlineLvl w:val="0"/>
              <w:rPr>
                <w:color w:val="000000"/>
              </w:rPr>
            </w:pPr>
            <w:r>
              <w:t xml:space="preserve"> 159,604.79 </w:t>
            </w:r>
          </w:p>
        </w:tc>
      </w:tr>
    </w:tbl>
    <w:p w:rsidR="00156DD6" w:rsidRDefault="00D51F5F">
      <w:pPr>
        <w:rPr>
          <w:color w:val="000000" w:themeColor="text1"/>
        </w:rPr>
      </w:pPr>
      <w:r>
        <w:rPr>
          <w:rFonts w:hint="eastAsia"/>
          <w:color w:val="000000" w:themeColor="text1"/>
        </w:rPr>
        <w:t>未纳入租赁负债计量的可变租赁付款额</w:t>
      </w:r>
    </w:p>
    <w:sdt>
      <w:sdtPr>
        <w:rPr>
          <w:color w:val="000000" w:themeColor="text1"/>
        </w:rPr>
        <w:alias w:val="是否适用：未纳入租赁负债计量的可变租赁付款额[双击切换]"/>
        <w:tag w:val="_GBC_bd2e1ace9f86422a8f860b71955642d7"/>
        <w:id w:val="-14174679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简化处理的短期租赁或低价值资产的租赁费用</w:t>
      </w:r>
    </w:p>
    <w:sdt>
      <w:sdtPr>
        <w:rPr>
          <w:color w:val="000000" w:themeColor="text1"/>
        </w:rPr>
        <w:alias w:val="是否适用：简化处理的短期租赁或低价值资产的租赁费用[双击切换]"/>
        <w:tag w:val="_GBC_f3c273f8bb6d4e099c00c1591f5a5a4f"/>
        <w:id w:val="15226272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简化处理的短期租赁或低价值资产的租赁费用"/>
        <w:tag w:val="_GBC_36bcbd6cb13f43938e3736b9a975fb9b"/>
        <w:id w:val="375967867"/>
        <w:placeholder>
          <w:docPart w:val="GBC22222222222222222222222222222"/>
        </w:placeholder>
      </w:sdtPr>
      <w:sdtEndPr/>
      <w:sdtContent>
        <w:p w:rsidR="00156DD6" w:rsidRDefault="00D51F5F">
          <w:pPr>
            <w:jc w:val="right"/>
            <w:rPr>
              <w:b/>
            </w:rPr>
          </w:pPr>
          <w:r>
            <w:rPr>
              <w:rFonts w:hint="eastAsia"/>
            </w:rPr>
            <w:t>单位：元</w:t>
          </w:r>
          <w:r>
            <w:rPr>
              <w:rFonts w:hint="eastAsia"/>
            </w:rPr>
            <w:t xml:space="preserve">  </w:t>
          </w:r>
          <w:r>
            <w:rPr>
              <w:rFonts w:hint="eastAsia"/>
            </w:rPr>
            <w:t>币种：人民币</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156DD6">
            <w:trPr>
              <w:trHeight w:val="285"/>
            </w:trPr>
            <w:tc>
              <w:tcPr>
                <w:tcW w:w="1875" w:type="pct"/>
                <w:tcBorders>
                  <w:bottom w:val="single" w:sz="4" w:space="0" w:color="auto"/>
                </w:tcBorders>
              </w:tcPr>
              <w:p w:rsidR="00156DD6" w:rsidRDefault="00D51F5F">
                <w:pPr>
                  <w:ind w:leftChars="-51" w:left="-107"/>
                  <w:jc w:val="center"/>
                </w:pPr>
                <w:r>
                  <w:rPr>
                    <w:rFonts w:hint="eastAsia"/>
                  </w:rPr>
                  <w:lastRenderedPageBreak/>
                  <w:t>项目</w:t>
                </w:r>
              </w:p>
            </w:tc>
            <w:tc>
              <w:tcPr>
                <w:tcW w:w="1614" w:type="pct"/>
              </w:tcPr>
              <w:p w:rsidR="00156DD6" w:rsidRDefault="00D51F5F">
                <w:pPr>
                  <w:jc w:val="center"/>
                </w:pPr>
                <w:r>
                  <w:rPr>
                    <w:rFonts w:hint="eastAsia"/>
                  </w:rPr>
                  <w:t>本期发生额</w:t>
                </w:r>
              </w:p>
            </w:tc>
            <w:tc>
              <w:tcPr>
                <w:tcW w:w="1511" w:type="pct"/>
              </w:tcPr>
              <w:p w:rsidR="00156DD6" w:rsidRDefault="00D51F5F">
                <w:pPr>
                  <w:jc w:val="center"/>
                </w:pPr>
                <w:r>
                  <w:rPr>
                    <w:rFonts w:hint="eastAsia"/>
                  </w:rPr>
                  <w:t>上期发生额</w:t>
                </w:r>
              </w:p>
            </w:tc>
          </w:tr>
          <w:tr w:rsidR="00156DD6">
            <w:trPr>
              <w:trHeight w:val="285"/>
            </w:trPr>
            <w:tc>
              <w:tcPr>
                <w:tcW w:w="1875" w:type="pct"/>
              </w:tcPr>
              <w:p w:rsidR="00156DD6" w:rsidRDefault="00D51F5F">
                <w:pPr>
                  <w:outlineLvl w:val="0"/>
                </w:pPr>
                <w:r>
                  <w:rPr>
                    <w:rFonts w:hint="eastAsia"/>
                  </w:rPr>
                  <w:t>短期租赁费用</w:t>
                </w:r>
              </w:p>
            </w:tc>
            <w:tc>
              <w:tcPr>
                <w:tcW w:w="1614" w:type="pct"/>
              </w:tcPr>
              <w:p w:rsidR="00156DD6" w:rsidRDefault="00D51F5F">
                <w:pPr>
                  <w:jc w:val="right"/>
                </w:pPr>
                <w:r>
                  <w:rPr>
                    <w:rFonts w:hint="eastAsia"/>
                  </w:rPr>
                  <w:t xml:space="preserve"> 541,512.16 </w:t>
                </w:r>
              </w:p>
            </w:tc>
            <w:tc>
              <w:tcPr>
                <w:tcW w:w="1511" w:type="pct"/>
              </w:tcPr>
              <w:p w:rsidR="00156DD6" w:rsidRDefault="00D51F5F">
                <w:pPr>
                  <w:jc w:val="right"/>
                </w:pPr>
                <w:r>
                  <w:rPr>
                    <w:rFonts w:hint="eastAsia"/>
                  </w:rPr>
                  <w:t xml:space="preserve"> 980,001.79 </w:t>
                </w:r>
              </w:p>
            </w:tc>
          </w:tr>
        </w:tbl>
        <w:p w:rsidR="00156DD6" w:rsidRDefault="00D51F5F">
          <w:pPr>
            <w:rPr>
              <w:color w:val="000000" w:themeColor="text1"/>
            </w:rPr>
          </w:pPr>
        </w:p>
      </w:sdtContent>
    </w:sdt>
    <w:p w:rsidR="00156DD6" w:rsidRDefault="00D51F5F">
      <w:pPr>
        <w:rPr>
          <w:color w:val="000000" w:themeColor="text1"/>
        </w:rPr>
      </w:pPr>
      <w:bookmarkStart w:id="443" w:name="OLE_LINK96"/>
      <w:r>
        <w:rPr>
          <w:rFonts w:hint="eastAsia"/>
          <w:color w:val="000000" w:themeColor="text1"/>
        </w:rPr>
        <w:t>售后租回交易及判断依据</w:t>
      </w:r>
    </w:p>
    <w:bookmarkEnd w:id="443" w:displacedByCustomXml="next"/>
    <w:sdt>
      <w:sdtPr>
        <w:rPr>
          <w:color w:val="000000" w:themeColor="text1"/>
        </w:rPr>
        <w:alias w:val="是否适用：售后租回交易及判断依据[双击切换]"/>
        <w:tag w:val="_GBC_1ca4680bb4e9497e80b8d3a59c79d5a1"/>
        <w:id w:val="186770516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售后租回交易及判断依据"/>
        <w:tag w:val="_GBC_bce200d6198c4e17beeb221520e93c1d"/>
        <w:id w:val="-1031030255"/>
        <w:placeholder>
          <w:docPart w:val="GBC22222222222222222222222222222"/>
        </w:placeholder>
      </w:sdtPr>
      <w:sdtEndPr/>
      <w:sdtContent>
        <w:p w:rsidR="00156DD6" w:rsidRDefault="00D51F5F">
          <w:pPr>
            <w:rPr>
              <w:color w:val="000000" w:themeColor="text1"/>
            </w:rPr>
          </w:pPr>
          <w:r>
            <w:rPr>
              <w:rFonts w:hint="eastAsia"/>
            </w:rPr>
            <w:t>详见</w:t>
          </w:r>
          <w:r>
            <w:rPr>
              <w:rFonts w:hint="eastAsia"/>
              <w:color w:val="000000" w:themeColor="text1"/>
            </w:rPr>
            <w:t>“第八节</w:t>
          </w:r>
          <w:r>
            <w:rPr>
              <w:rFonts w:hint="eastAsia"/>
              <w:color w:val="000000" w:themeColor="text1"/>
            </w:rPr>
            <w:t>.</w:t>
          </w:r>
          <w:r>
            <w:rPr>
              <w:rFonts w:hint="eastAsia"/>
              <w:color w:val="000000" w:themeColor="text1"/>
            </w:rPr>
            <w:t>五、重要会计政策及会计估计</w:t>
          </w:r>
          <w:r>
            <w:rPr>
              <w:rFonts w:hint="eastAsia"/>
              <w:color w:val="000000" w:themeColor="text1"/>
            </w:rPr>
            <w:t>.38</w:t>
          </w:r>
          <w:r>
            <w:rPr>
              <w:rFonts w:hint="eastAsia"/>
              <w:color w:val="000000" w:themeColor="text1"/>
            </w:rPr>
            <w:t>、租赁”。</w:t>
          </w:r>
        </w:p>
      </w:sdtContent>
    </w:sdt>
    <w:p w:rsidR="00156DD6" w:rsidRDefault="00D51F5F">
      <w:pPr>
        <w:rPr>
          <w:color w:val="000000" w:themeColor="text1"/>
        </w:rPr>
      </w:pPr>
      <w:r>
        <w:rPr>
          <w:rFonts w:hint="eastAsia"/>
          <w:color w:val="000000" w:themeColor="text1"/>
        </w:rPr>
        <w:t>与租赁相关的现金流出总额</w:t>
      </w:r>
      <w:sdt>
        <w:sdtPr>
          <w:rPr>
            <w:rFonts w:hint="eastAsia"/>
            <w:color w:val="000000" w:themeColor="text1"/>
          </w:rPr>
          <w:alias w:val="与租赁相关的现金流出总额"/>
          <w:tag w:val="_GBC_d78e0355036a45b9afc0eca5988d4956"/>
          <w:id w:val="-2110197599"/>
          <w:placeholder>
            <w:docPart w:val="GBC22222222222222222222222222222"/>
          </w:placeholder>
        </w:sdtPr>
        <w:sdtEndPr/>
        <w:sdtContent>
          <w:r>
            <w:rPr>
              <w:rFonts w:hint="eastAsia"/>
              <w:color w:val="000000" w:themeColor="text1"/>
            </w:rPr>
            <w:t>4,272,037.11</w:t>
          </w:r>
        </w:sdtContent>
      </w:sdt>
      <w:r>
        <w:rPr>
          <w:rFonts w:hint="eastAsia"/>
          <w:color w:val="000000" w:themeColor="text1"/>
        </w:rPr>
        <w:t>(</w:t>
      </w:r>
      <w:r>
        <w:rPr>
          <w:rFonts w:hint="eastAsia"/>
          <w:color w:val="000000" w:themeColor="text1"/>
        </w:rPr>
        <w:t>单位：</w:t>
      </w:r>
      <w:sdt>
        <w:sdtPr>
          <w:rPr>
            <w:rFonts w:hint="eastAsia"/>
            <w:color w:val="000000" w:themeColor="text1"/>
          </w:rPr>
          <w:alias w:val="单位：与租赁相关的现金流出总额"/>
          <w:tag w:val="_GBC_57a12ad185f640248e4c9dce377f5f57"/>
          <w:id w:val="-89357305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与租赁相关的现金流出总额"/>
          <w:tag w:val="_GBC_a5553fa6fd6f4fefa66550584159c745"/>
          <w:id w:val="296244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r>
        <w:rPr>
          <w:rFonts w:hint="eastAsia"/>
          <w:color w:val="000000" w:themeColor="text1"/>
        </w:rPr>
        <w:t>)</w:t>
      </w:r>
    </w:p>
    <w:p w:rsidR="00156DD6" w:rsidRDefault="00D51F5F">
      <w:pPr>
        <w:pStyle w:val="Style47"/>
        <w:numPr>
          <w:ilvl w:val="0"/>
          <w:numId w:val="83"/>
        </w:numPr>
        <w:ind w:left="0" w:firstLine="0"/>
        <w:rPr>
          <w:color w:val="000000" w:themeColor="text1"/>
          <w:sz w:val="21"/>
          <w:szCs w:val="21"/>
        </w:rPr>
      </w:pPr>
      <w:r>
        <w:rPr>
          <w:color w:val="000000" w:themeColor="text1"/>
          <w:sz w:val="21"/>
          <w:szCs w:val="21"/>
        </w:rPr>
        <w:t>作为出租人</w:t>
      </w:r>
    </w:p>
    <w:p w:rsidR="00156DD6" w:rsidRDefault="00D51F5F">
      <w:pPr>
        <w:rPr>
          <w:color w:val="000000" w:themeColor="text1"/>
        </w:rPr>
      </w:pPr>
      <w:r>
        <w:rPr>
          <w:color w:val="000000" w:themeColor="text1"/>
        </w:rPr>
        <w:t>作为出租人的经营</w:t>
      </w:r>
      <w:r>
        <w:rPr>
          <w:rFonts w:hint="eastAsia"/>
          <w:color w:val="000000" w:themeColor="text1"/>
        </w:rPr>
        <w:t>租赁</w:t>
      </w:r>
    </w:p>
    <w:sdt>
      <w:sdtPr>
        <w:rPr>
          <w:rFonts w:hint="eastAsia"/>
          <w:color w:val="000000" w:themeColor="text1"/>
        </w:rPr>
        <w:alias w:val="是否适用：作为出租人的经营租赁[双击切换]"/>
        <w:tag w:val="_GBC_8caa55cbe72d4d8cacd2b07a9782c9d1"/>
        <w:id w:val="33181168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作为出租人的经营租赁"/>
          <w:tag w:val="_GBC_de6eb571fbe04adb9912546313da8056"/>
          <w:id w:val="105258419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作为出租人的经营租赁"/>
          <w:tag w:val="_GBC_3b9dbcc6234241c6ad9c2cb82be0f4e6"/>
          <w:id w:val="16720603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38"/>
        <w:gridCol w:w="2938"/>
      </w:tblGrid>
      <w:tr w:rsidR="00156DD6">
        <w:sdt>
          <w:sdtPr>
            <w:tag w:val="_PLD_592ea8def48e4d70a449933471ee6d8a"/>
            <w:id w:val="481899632"/>
          </w:sdtPr>
          <w:sdtEndPr/>
          <w:sdtContent>
            <w:tc>
              <w:tcPr>
                <w:tcW w:w="1666" w:type="pct"/>
                <w:vAlign w:val="center"/>
              </w:tcPr>
              <w:p w:rsidR="00156DD6" w:rsidRDefault="00D51F5F">
                <w:pPr>
                  <w:jc w:val="center"/>
                  <w:rPr>
                    <w:color w:val="000000" w:themeColor="text1"/>
                  </w:rPr>
                </w:pPr>
                <w:r>
                  <w:rPr>
                    <w:rFonts w:hint="eastAsia"/>
                    <w:color w:val="000000" w:themeColor="text1"/>
                  </w:rPr>
                  <w:t>项目</w:t>
                </w:r>
              </w:p>
            </w:tc>
          </w:sdtContent>
        </w:sdt>
        <w:sdt>
          <w:sdtPr>
            <w:tag w:val="_PLD_fb99ae08176e462e8f93a77b1a3bf67d"/>
            <w:id w:val="126906861"/>
          </w:sdtPr>
          <w:sdtEndPr/>
          <w:sdtContent>
            <w:tc>
              <w:tcPr>
                <w:tcW w:w="1667" w:type="pct"/>
                <w:vAlign w:val="center"/>
              </w:tcPr>
              <w:p w:rsidR="00156DD6" w:rsidRDefault="00D51F5F">
                <w:pPr>
                  <w:jc w:val="center"/>
                  <w:rPr>
                    <w:color w:val="000000" w:themeColor="text1"/>
                  </w:rPr>
                </w:pPr>
                <w:r>
                  <w:rPr>
                    <w:color w:val="000000" w:themeColor="text1"/>
                  </w:rPr>
                  <w:t>租赁收入</w:t>
                </w:r>
              </w:p>
            </w:tc>
          </w:sdtContent>
        </w:sdt>
        <w:sdt>
          <w:sdtPr>
            <w:tag w:val="_PLD_b7054994bc594c33a61db80ee6e9bd3d"/>
            <w:id w:val="-198091146"/>
          </w:sdtPr>
          <w:sdtEndPr/>
          <w:sdtContent>
            <w:tc>
              <w:tcPr>
                <w:tcW w:w="1667" w:type="pct"/>
                <w:vAlign w:val="center"/>
              </w:tcPr>
              <w:p w:rsidR="00156DD6" w:rsidRDefault="00D51F5F">
                <w:pPr>
                  <w:jc w:val="center"/>
                  <w:rPr>
                    <w:color w:val="000000" w:themeColor="text1"/>
                  </w:rPr>
                </w:pPr>
                <w:r>
                  <w:rPr>
                    <w:color w:val="000000" w:themeColor="text1"/>
                  </w:rPr>
                  <w:t>其中</w:t>
                </w:r>
                <w:r>
                  <w:rPr>
                    <w:rFonts w:hint="eastAsia"/>
                    <w:color w:val="000000" w:themeColor="text1"/>
                  </w:rPr>
                  <w:t>:</w:t>
                </w:r>
                <w:r>
                  <w:rPr>
                    <w:color w:val="000000" w:themeColor="text1"/>
                  </w:rPr>
                  <w:t>未计入租赁收款额的可变租赁付款额相关的收入</w:t>
                </w:r>
              </w:p>
            </w:tc>
          </w:sdtContent>
        </w:sdt>
      </w:tr>
      <w:tr w:rsidR="00156DD6">
        <w:tc>
          <w:tcPr>
            <w:tcW w:w="1666" w:type="pct"/>
            <w:vAlign w:val="center"/>
          </w:tcPr>
          <w:p w:rsidR="00156DD6" w:rsidRDefault="00D51F5F">
            <w:pPr>
              <w:pStyle w:val="Style43"/>
            </w:pPr>
            <w:r>
              <w:rPr>
                <w:rFonts w:hint="eastAsia"/>
              </w:rPr>
              <w:t>经营租赁收入</w:t>
            </w:r>
          </w:p>
        </w:tc>
        <w:tc>
          <w:tcPr>
            <w:tcW w:w="1667" w:type="pct"/>
            <w:vAlign w:val="center"/>
          </w:tcPr>
          <w:p w:rsidR="00156DD6" w:rsidRDefault="00D51F5F">
            <w:pPr>
              <w:jc w:val="right"/>
            </w:pPr>
            <w:r>
              <w:rPr>
                <w:rFonts w:hint="eastAsia"/>
              </w:rPr>
              <w:t>612,117.74</w:t>
            </w:r>
          </w:p>
        </w:tc>
        <w:tc>
          <w:tcPr>
            <w:tcW w:w="1667" w:type="pct"/>
            <w:vAlign w:val="center"/>
          </w:tcPr>
          <w:p w:rsidR="00156DD6" w:rsidRDefault="00156DD6">
            <w:pPr>
              <w:jc w:val="right"/>
            </w:pPr>
          </w:p>
        </w:tc>
      </w:tr>
      <w:tr w:rsidR="00156DD6">
        <w:tc>
          <w:tcPr>
            <w:tcW w:w="1666" w:type="pct"/>
            <w:vAlign w:val="center"/>
          </w:tcPr>
          <w:p w:rsidR="00156DD6" w:rsidRDefault="00D51F5F">
            <w:pPr>
              <w:jc w:val="center"/>
              <w:rPr>
                <w:color w:val="000000" w:themeColor="text1"/>
              </w:rPr>
            </w:pPr>
            <w:r>
              <w:rPr>
                <w:color w:val="000000" w:themeColor="text1"/>
              </w:rPr>
              <w:t>合计</w:t>
            </w:r>
          </w:p>
        </w:tc>
        <w:tc>
          <w:tcPr>
            <w:tcW w:w="1667" w:type="pct"/>
            <w:vAlign w:val="center"/>
          </w:tcPr>
          <w:p w:rsidR="00156DD6" w:rsidRDefault="00D51F5F">
            <w:pPr>
              <w:jc w:val="right"/>
            </w:pPr>
            <w:r>
              <w:rPr>
                <w:rFonts w:hint="eastAsia"/>
              </w:rPr>
              <w:t>612,117.74</w:t>
            </w:r>
          </w:p>
        </w:tc>
        <w:tc>
          <w:tcPr>
            <w:tcW w:w="1667" w:type="pct"/>
            <w:vAlign w:val="center"/>
          </w:tcPr>
          <w:p w:rsidR="00156DD6" w:rsidRDefault="00156DD6">
            <w:pPr>
              <w:jc w:val="right"/>
            </w:pPr>
          </w:p>
        </w:tc>
      </w:tr>
    </w:tbl>
    <w:p w:rsidR="00156DD6" w:rsidRDefault="00D51F5F">
      <w:pPr>
        <w:rPr>
          <w:color w:val="000000" w:themeColor="text1"/>
        </w:rPr>
      </w:pPr>
      <w:r>
        <w:rPr>
          <w:color w:val="000000" w:themeColor="text1"/>
        </w:rPr>
        <w:t>作为出租人的融资租赁</w:t>
      </w:r>
    </w:p>
    <w:sdt>
      <w:sdtPr>
        <w:rPr>
          <w:color w:val="000000" w:themeColor="text1"/>
        </w:rPr>
        <w:alias w:val="是否适用：作为出租人的融资租赁[双击切换]"/>
        <w:tag w:val="_GBC_b8e25c7d290240c1ad7a8b299dddafda"/>
        <w:id w:val="47811731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color w:val="000000" w:themeColor="text1"/>
        </w:rPr>
        <w:t>未折现租赁收款额与租赁投资净额的调节表</w:t>
      </w:r>
    </w:p>
    <w:sdt>
      <w:sdtPr>
        <w:rPr>
          <w:color w:val="000000" w:themeColor="text1"/>
        </w:rPr>
        <w:alias w:val="是否适用：未折现租赁收款额与租赁投资净额的调节表?[双击切换]"/>
        <w:tag w:val="_GBC_24749e03a4f14d0186b6eef9cbb8456c"/>
        <w:id w:val="81214206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color w:val="000000" w:themeColor="text1"/>
        </w:rPr>
        <w:t>未来五年</w:t>
      </w:r>
      <w:r>
        <w:rPr>
          <w:rFonts w:hint="eastAsia"/>
          <w:color w:val="000000" w:themeColor="text1"/>
        </w:rPr>
        <w:t>未</w:t>
      </w:r>
      <w:r>
        <w:rPr>
          <w:color w:val="000000" w:themeColor="text1"/>
        </w:rPr>
        <w:t>折现租赁收款额</w:t>
      </w:r>
    </w:p>
    <w:sdt>
      <w:sdtPr>
        <w:rPr>
          <w:color w:val="000000" w:themeColor="text1"/>
        </w:rPr>
        <w:alias w:val="是否适用：未来五年未折现租赁收款额[双击切换]"/>
        <w:tag w:val="_GBC_6011fa033af24e8c940b4fc9b0df290d"/>
        <w:id w:val="-120886639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未来五年未折现租赁收款额"/>
          <w:tag w:val="_GBC_5be80d38e5a84f49b43f0cefd025ba73"/>
          <w:id w:val="2089927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未来五年未折现租赁收款额"/>
          <w:tag w:val="_GBC_e740aad9664345278d0070eeb78f08c3"/>
          <w:id w:val="-6711842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0" w:type="auto"/>
        <w:tblInd w:w="0" w:type="dxa"/>
        <w:tblLook w:val="04A0" w:firstRow="1" w:lastRow="0" w:firstColumn="1" w:lastColumn="0" w:noHBand="0" w:noVBand="1"/>
      </w:tblPr>
      <w:tblGrid>
        <w:gridCol w:w="2940"/>
        <w:gridCol w:w="2941"/>
        <w:gridCol w:w="2942"/>
      </w:tblGrid>
      <w:tr w:rsidR="00156DD6">
        <w:sdt>
          <w:sdtPr>
            <w:tag w:val="_PLD_e868382d87424836a52e21aaa3701d93"/>
            <w:id w:val="1406342086"/>
          </w:sdtPr>
          <w:sdtEndPr/>
          <w:sdtContent>
            <w:tc>
              <w:tcPr>
                <w:tcW w:w="2940" w:type="dxa"/>
                <w:vMerge w:val="restart"/>
                <w:vAlign w:val="center"/>
              </w:tcPr>
              <w:p w:rsidR="00156DD6" w:rsidRDefault="00D51F5F">
                <w:pPr>
                  <w:jc w:val="center"/>
                  <w:rPr>
                    <w:color w:val="000000" w:themeColor="text1"/>
                  </w:rPr>
                </w:pPr>
                <w:r>
                  <w:rPr>
                    <w:color w:val="000000" w:themeColor="text1"/>
                  </w:rPr>
                  <w:t>项目</w:t>
                </w:r>
              </w:p>
            </w:tc>
          </w:sdtContent>
        </w:sdt>
        <w:sdt>
          <w:sdtPr>
            <w:tag w:val="_PLD_e98d55efcc374ebab74b50bccac8084e"/>
            <w:id w:val="-353420547"/>
          </w:sdtPr>
          <w:sdtEndPr/>
          <w:sdtContent>
            <w:tc>
              <w:tcPr>
                <w:tcW w:w="5883" w:type="dxa"/>
                <w:gridSpan w:val="2"/>
                <w:vAlign w:val="center"/>
              </w:tcPr>
              <w:p w:rsidR="00156DD6" w:rsidRDefault="00D51F5F">
                <w:pPr>
                  <w:jc w:val="center"/>
                  <w:rPr>
                    <w:color w:val="000000" w:themeColor="text1"/>
                  </w:rPr>
                </w:pPr>
                <w:r>
                  <w:rPr>
                    <w:color w:val="000000" w:themeColor="text1"/>
                  </w:rPr>
                  <w:t>每年未折现租赁收款额</w:t>
                </w:r>
              </w:p>
            </w:tc>
          </w:sdtContent>
        </w:sdt>
      </w:tr>
      <w:tr w:rsidR="00156DD6">
        <w:trPr>
          <w:trHeight w:val="148"/>
        </w:trPr>
        <w:tc>
          <w:tcPr>
            <w:tcW w:w="2940" w:type="dxa"/>
            <w:vMerge/>
            <w:vAlign w:val="center"/>
          </w:tcPr>
          <w:p w:rsidR="00156DD6" w:rsidRDefault="00156DD6">
            <w:pPr>
              <w:jc w:val="center"/>
              <w:rPr>
                <w:color w:val="000000" w:themeColor="text1"/>
              </w:rPr>
            </w:pPr>
          </w:p>
        </w:tc>
        <w:sdt>
          <w:sdtPr>
            <w:tag w:val="_PLD_ef586d6804ce44f2ae65da927aebf11c"/>
            <w:id w:val="1521203653"/>
          </w:sdtPr>
          <w:sdtEndPr/>
          <w:sdtContent>
            <w:tc>
              <w:tcPr>
                <w:tcW w:w="2941" w:type="dxa"/>
                <w:vAlign w:val="center"/>
              </w:tcPr>
              <w:p w:rsidR="00156DD6" w:rsidRDefault="00D51F5F">
                <w:pPr>
                  <w:jc w:val="center"/>
                  <w:rPr>
                    <w:color w:val="000000" w:themeColor="text1"/>
                  </w:rPr>
                </w:pPr>
                <w:r>
                  <w:rPr>
                    <w:color w:val="000000" w:themeColor="text1"/>
                  </w:rPr>
                  <w:t>期末金额</w:t>
                </w:r>
              </w:p>
            </w:tc>
          </w:sdtContent>
        </w:sdt>
        <w:sdt>
          <w:sdtPr>
            <w:tag w:val="_PLD_c479180c7d624523bf9bac042e3a7090"/>
            <w:id w:val="281622665"/>
          </w:sdtPr>
          <w:sdtEndPr/>
          <w:sdtContent>
            <w:tc>
              <w:tcPr>
                <w:tcW w:w="2942" w:type="dxa"/>
                <w:vAlign w:val="center"/>
              </w:tcPr>
              <w:p w:rsidR="00156DD6" w:rsidRDefault="00D51F5F">
                <w:pPr>
                  <w:jc w:val="center"/>
                  <w:rPr>
                    <w:color w:val="000000" w:themeColor="text1"/>
                  </w:rPr>
                </w:pPr>
                <w:r>
                  <w:rPr>
                    <w:color w:val="000000" w:themeColor="text1"/>
                  </w:rPr>
                  <w:t>期初金额</w:t>
                </w:r>
              </w:p>
            </w:tc>
          </w:sdtContent>
        </w:sdt>
      </w:tr>
      <w:tr w:rsidR="00156DD6">
        <w:tc>
          <w:tcPr>
            <w:tcW w:w="2940" w:type="dxa"/>
          </w:tcPr>
          <w:p w:rsidR="00156DD6" w:rsidRDefault="00D51F5F">
            <w:pPr>
              <w:rPr>
                <w:color w:val="000000" w:themeColor="text1"/>
              </w:rPr>
            </w:pPr>
            <w:r>
              <w:rPr>
                <w:color w:val="000000" w:themeColor="text1"/>
              </w:rPr>
              <w:t>第一年</w:t>
            </w:r>
          </w:p>
        </w:tc>
        <w:tc>
          <w:tcPr>
            <w:tcW w:w="2941" w:type="dxa"/>
          </w:tcPr>
          <w:p w:rsidR="00156DD6" w:rsidRDefault="00D51F5F">
            <w:pPr>
              <w:jc w:val="right"/>
            </w:pPr>
            <w:r>
              <w:rPr>
                <w:rFonts w:hint="eastAsia"/>
              </w:rPr>
              <w:t xml:space="preserve"> 674,355.46 </w:t>
            </w:r>
          </w:p>
        </w:tc>
        <w:tc>
          <w:tcPr>
            <w:tcW w:w="2942" w:type="dxa"/>
            <w:vAlign w:val="center"/>
          </w:tcPr>
          <w:p w:rsidR="00156DD6" w:rsidRDefault="00D51F5F">
            <w:pPr>
              <w:jc w:val="right"/>
            </w:pPr>
            <w:r>
              <w:rPr>
                <w:rFonts w:hint="eastAsia"/>
              </w:rPr>
              <w:t xml:space="preserve"> 858,029.29 </w:t>
            </w:r>
          </w:p>
        </w:tc>
      </w:tr>
      <w:tr w:rsidR="00156DD6">
        <w:tc>
          <w:tcPr>
            <w:tcW w:w="2940" w:type="dxa"/>
          </w:tcPr>
          <w:p w:rsidR="00156DD6" w:rsidRDefault="00D51F5F">
            <w:pPr>
              <w:rPr>
                <w:color w:val="000000" w:themeColor="text1"/>
              </w:rPr>
            </w:pPr>
            <w:r>
              <w:rPr>
                <w:color w:val="000000" w:themeColor="text1"/>
              </w:rPr>
              <w:t>第二年</w:t>
            </w:r>
          </w:p>
        </w:tc>
        <w:tc>
          <w:tcPr>
            <w:tcW w:w="2941" w:type="dxa"/>
          </w:tcPr>
          <w:p w:rsidR="00156DD6" w:rsidRDefault="00D51F5F">
            <w:pPr>
              <w:jc w:val="right"/>
            </w:pPr>
            <w:r>
              <w:rPr>
                <w:rFonts w:hint="eastAsia"/>
              </w:rPr>
              <w:t xml:space="preserve"> 453,333.96 </w:t>
            </w:r>
          </w:p>
        </w:tc>
        <w:tc>
          <w:tcPr>
            <w:tcW w:w="2942" w:type="dxa"/>
            <w:vAlign w:val="center"/>
          </w:tcPr>
          <w:p w:rsidR="00156DD6" w:rsidRDefault="00D51F5F">
            <w:pPr>
              <w:jc w:val="right"/>
            </w:pPr>
            <w:r>
              <w:rPr>
                <w:rFonts w:hint="eastAsia"/>
              </w:rPr>
              <w:t xml:space="preserve"> 527,007.79 </w:t>
            </w:r>
          </w:p>
        </w:tc>
      </w:tr>
      <w:tr w:rsidR="00156DD6">
        <w:tc>
          <w:tcPr>
            <w:tcW w:w="2940" w:type="dxa"/>
          </w:tcPr>
          <w:p w:rsidR="00156DD6" w:rsidRDefault="00D51F5F">
            <w:pPr>
              <w:rPr>
                <w:color w:val="000000" w:themeColor="text1"/>
              </w:rPr>
            </w:pPr>
            <w:r>
              <w:rPr>
                <w:color w:val="000000" w:themeColor="text1"/>
              </w:rPr>
              <w:t>第三年</w:t>
            </w:r>
          </w:p>
        </w:tc>
        <w:tc>
          <w:tcPr>
            <w:tcW w:w="2941" w:type="dxa"/>
          </w:tcPr>
          <w:p w:rsidR="00156DD6" w:rsidRDefault="00D51F5F">
            <w:pPr>
              <w:jc w:val="right"/>
            </w:pPr>
            <w:r>
              <w:rPr>
                <w:rFonts w:hint="eastAsia"/>
              </w:rPr>
              <w:t xml:space="preserve"> 453,333.96 </w:t>
            </w:r>
          </w:p>
        </w:tc>
        <w:tc>
          <w:tcPr>
            <w:tcW w:w="2942" w:type="dxa"/>
            <w:vAlign w:val="center"/>
          </w:tcPr>
          <w:p w:rsidR="00156DD6" w:rsidRDefault="00D51F5F">
            <w:pPr>
              <w:jc w:val="right"/>
            </w:pPr>
            <w:r>
              <w:rPr>
                <w:rFonts w:hint="eastAsia"/>
              </w:rPr>
              <w:t xml:space="preserve"> 453,333.96 </w:t>
            </w:r>
          </w:p>
        </w:tc>
      </w:tr>
      <w:tr w:rsidR="00156DD6">
        <w:tc>
          <w:tcPr>
            <w:tcW w:w="2940" w:type="dxa"/>
          </w:tcPr>
          <w:p w:rsidR="00156DD6" w:rsidRDefault="00D51F5F">
            <w:pPr>
              <w:rPr>
                <w:color w:val="000000" w:themeColor="text1"/>
              </w:rPr>
            </w:pPr>
            <w:r>
              <w:rPr>
                <w:color w:val="000000" w:themeColor="text1"/>
              </w:rPr>
              <w:t>第四年</w:t>
            </w:r>
          </w:p>
        </w:tc>
        <w:tc>
          <w:tcPr>
            <w:tcW w:w="2941" w:type="dxa"/>
          </w:tcPr>
          <w:p w:rsidR="00156DD6" w:rsidRDefault="00D51F5F">
            <w:pPr>
              <w:jc w:val="right"/>
            </w:pPr>
            <w:r>
              <w:rPr>
                <w:rFonts w:hint="eastAsia"/>
              </w:rPr>
              <w:t xml:space="preserve"> 453,333.96 </w:t>
            </w:r>
          </w:p>
        </w:tc>
        <w:tc>
          <w:tcPr>
            <w:tcW w:w="2942" w:type="dxa"/>
            <w:vAlign w:val="center"/>
          </w:tcPr>
          <w:p w:rsidR="00156DD6" w:rsidRDefault="00D51F5F">
            <w:pPr>
              <w:jc w:val="right"/>
            </w:pPr>
            <w:r>
              <w:rPr>
                <w:rFonts w:hint="eastAsia"/>
              </w:rPr>
              <w:t xml:space="preserve"> 453,333.96 </w:t>
            </w:r>
          </w:p>
        </w:tc>
      </w:tr>
      <w:tr w:rsidR="00156DD6">
        <w:tc>
          <w:tcPr>
            <w:tcW w:w="2940" w:type="dxa"/>
          </w:tcPr>
          <w:p w:rsidR="00156DD6" w:rsidRDefault="00D51F5F">
            <w:pPr>
              <w:rPr>
                <w:color w:val="000000" w:themeColor="text1"/>
              </w:rPr>
            </w:pPr>
            <w:r>
              <w:rPr>
                <w:color w:val="000000" w:themeColor="text1"/>
              </w:rPr>
              <w:t>第五年</w:t>
            </w:r>
          </w:p>
        </w:tc>
        <w:tc>
          <w:tcPr>
            <w:tcW w:w="2941" w:type="dxa"/>
          </w:tcPr>
          <w:p w:rsidR="00156DD6" w:rsidRDefault="00D51F5F">
            <w:pPr>
              <w:jc w:val="right"/>
            </w:pPr>
            <w:r>
              <w:rPr>
                <w:rFonts w:hint="eastAsia"/>
              </w:rPr>
              <w:t xml:space="preserve"> 453,333.96 </w:t>
            </w:r>
          </w:p>
        </w:tc>
        <w:tc>
          <w:tcPr>
            <w:tcW w:w="2942" w:type="dxa"/>
            <w:vAlign w:val="center"/>
          </w:tcPr>
          <w:p w:rsidR="00156DD6" w:rsidRDefault="00D51F5F">
            <w:pPr>
              <w:jc w:val="right"/>
            </w:pPr>
            <w:r>
              <w:rPr>
                <w:rFonts w:hint="eastAsia"/>
              </w:rPr>
              <w:t xml:space="preserve"> 453,333.96 </w:t>
            </w:r>
          </w:p>
        </w:tc>
      </w:tr>
      <w:tr w:rsidR="00156DD6">
        <w:tc>
          <w:tcPr>
            <w:tcW w:w="2940" w:type="dxa"/>
          </w:tcPr>
          <w:p w:rsidR="00156DD6" w:rsidRDefault="00D51F5F">
            <w:pPr>
              <w:rPr>
                <w:color w:val="000000" w:themeColor="text1"/>
              </w:rPr>
            </w:pPr>
            <w:r>
              <w:rPr>
                <w:color w:val="000000" w:themeColor="text1"/>
              </w:rPr>
              <w:t>五年后未折现租赁收款额总额</w:t>
            </w:r>
          </w:p>
        </w:tc>
        <w:tc>
          <w:tcPr>
            <w:tcW w:w="2941" w:type="dxa"/>
          </w:tcPr>
          <w:p w:rsidR="00156DD6" w:rsidRDefault="00156DD6">
            <w:pPr>
              <w:jc w:val="right"/>
            </w:pPr>
          </w:p>
        </w:tc>
        <w:tc>
          <w:tcPr>
            <w:tcW w:w="2942" w:type="dxa"/>
            <w:vAlign w:val="center"/>
          </w:tcPr>
          <w:p w:rsidR="00156DD6" w:rsidRDefault="00D51F5F">
            <w:pPr>
              <w:jc w:val="right"/>
            </w:pPr>
            <w:r>
              <w:rPr>
                <w:rFonts w:hint="eastAsia"/>
              </w:rPr>
              <w:t xml:space="preserve"> 226,666.98 </w:t>
            </w:r>
          </w:p>
        </w:tc>
      </w:tr>
      <w:tr w:rsidR="00156DD6">
        <w:tc>
          <w:tcPr>
            <w:tcW w:w="2940" w:type="dxa"/>
          </w:tcPr>
          <w:p w:rsidR="00156DD6" w:rsidRDefault="00D51F5F">
            <w:pPr>
              <w:jc w:val="center"/>
              <w:rPr>
                <w:color w:val="000000" w:themeColor="text1"/>
              </w:rPr>
            </w:pPr>
            <w:r>
              <w:rPr>
                <w:rFonts w:hint="eastAsia"/>
                <w:color w:val="000000" w:themeColor="text1"/>
              </w:rPr>
              <w:t>合计</w:t>
            </w:r>
          </w:p>
        </w:tc>
        <w:tc>
          <w:tcPr>
            <w:tcW w:w="2941" w:type="dxa"/>
          </w:tcPr>
          <w:p w:rsidR="00156DD6" w:rsidRDefault="00D51F5F">
            <w:pPr>
              <w:jc w:val="right"/>
            </w:pPr>
            <w:r>
              <w:rPr>
                <w:rFonts w:hint="eastAsia"/>
              </w:rPr>
              <w:t xml:space="preserve"> 2,487,691.30 </w:t>
            </w:r>
          </w:p>
        </w:tc>
        <w:tc>
          <w:tcPr>
            <w:tcW w:w="2942" w:type="dxa"/>
            <w:vAlign w:val="center"/>
          </w:tcPr>
          <w:p w:rsidR="00156DD6" w:rsidRDefault="00D51F5F">
            <w:pPr>
              <w:jc w:val="right"/>
            </w:pPr>
            <w:r>
              <w:rPr>
                <w:rFonts w:hint="eastAsia"/>
              </w:rPr>
              <w:t xml:space="preserve"> 2,971,705.94 </w:t>
            </w:r>
          </w:p>
        </w:tc>
      </w:tr>
    </w:tbl>
    <w:p w:rsidR="00156DD6" w:rsidRDefault="00D51F5F">
      <w:pPr>
        <w:pStyle w:val="Style47"/>
        <w:numPr>
          <w:ilvl w:val="0"/>
          <w:numId w:val="83"/>
        </w:numPr>
        <w:ind w:left="0" w:firstLine="0"/>
        <w:rPr>
          <w:color w:val="000000" w:themeColor="text1"/>
          <w:sz w:val="21"/>
          <w:szCs w:val="21"/>
        </w:rPr>
      </w:pPr>
      <w:r>
        <w:rPr>
          <w:color w:val="000000" w:themeColor="text1"/>
          <w:sz w:val="21"/>
          <w:szCs w:val="21"/>
        </w:rPr>
        <w:t>作为生产商或经销商确认融资租赁销售损益</w:t>
      </w:r>
    </w:p>
    <w:sdt>
      <w:sdtPr>
        <w:rPr>
          <w:color w:val="000000" w:themeColor="text1"/>
        </w:rPr>
        <w:alias w:val="是否适用：作为生产商或经销商确认融资租赁销售损益[双击切换]"/>
        <w:tag w:val="_GBC_213bb116a7f04deab5b21583470b1e43"/>
        <w:id w:val="8294908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租赁其他说明"/>
        <w:tag w:val="_GBC_7b832cbbef274cceadb68c4291f1d973"/>
        <w:id w:val="-1742319116"/>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bookmarkEnd w:id="440"/>
    <w:p w:rsidR="00156DD6" w:rsidRDefault="00D51F5F">
      <w:pPr>
        <w:pStyle w:val="TOC6"/>
        <w:numPr>
          <w:ilvl w:val="0"/>
          <w:numId w:val="53"/>
        </w:numPr>
        <w:rPr>
          <w:color w:val="000000" w:themeColor="text1"/>
          <w:sz w:val="21"/>
          <w:szCs w:val="21"/>
        </w:rPr>
      </w:pPr>
      <w:r>
        <w:rPr>
          <w:color w:val="000000" w:themeColor="text1"/>
          <w:sz w:val="21"/>
          <w:szCs w:val="21"/>
        </w:rPr>
        <w:t>数据资源</w:t>
      </w:r>
    </w:p>
    <w:sdt>
      <w:sdtPr>
        <w:rPr>
          <w:color w:val="000000" w:themeColor="text1"/>
        </w:rPr>
        <w:alias w:val="是否适用：附注数据资源需要说明的事项[双击切换]"/>
        <w:tag w:val="_GBC_69b3c483faf0482e86f2ca96cb446815"/>
        <w:id w:val="126210664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53"/>
        </w:numPr>
        <w:rPr>
          <w:color w:val="000000" w:themeColor="text1"/>
          <w:sz w:val="21"/>
          <w:szCs w:val="21"/>
        </w:rPr>
      </w:pPr>
      <w:r>
        <w:rPr>
          <w:color w:val="000000" w:themeColor="text1"/>
          <w:sz w:val="21"/>
          <w:szCs w:val="21"/>
        </w:rPr>
        <w:t>其他</w:t>
      </w:r>
    </w:p>
    <w:sdt>
      <w:sdtPr>
        <w:rPr>
          <w:color w:val="000000" w:themeColor="text1"/>
        </w:rPr>
        <w:alias w:val="是否适用：合并财务报表项目注释其他需要说明的事项[双击切换]"/>
        <w:tag w:val="_GBC_d9335575f6594653aa8718dc633c644c"/>
        <w:id w:val="48113045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ascii="Times New Roman" w:hAnsi="Times New Roman" w:cs="宋体"/>
          <w:bCs/>
          <w:color w:val="000000" w:themeColor="text1"/>
          <w:sz w:val="21"/>
          <w:szCs w:val="21"/>
        </w:rPr>
        <w:alias w:val="合并财务报表项目注释其他需要说明的事项"/>
        <w:tag w:val="_GBC_80f37a02cda14573a72e973b2a94432d"/>
        <w:id w:val="455151611"/>
        <w:placeholder>
          <w:docPart w:val="GBC22222222222222222222222222222"/>
        </w:placeholder>
      </w:sdtPr>
      <w:sdtEndPr/>
      <w:sdtContent>
        <w:p w:rsidR="00156DD6" w:rsidRDefault="00D51F5F">
          <w:pPr>
            <w:pStyle w:val="Style151"/>
            <w:ind w:firstLineChars="200" w:firstLine="420"/>
          </w:pPr>
          <w:r>
            <w:rPr>
              <w:rFonts w:hint="eastAsia"/>
            </w:rPr>
            <w:t>供应商融资安排</w:t>
          </w:r>
        </w:p>
        <w:p w:rsidR="00156DD6" w:rsidRDefault="00D51F5F">
          <w:pPr>
            <w:pStyle w:val="Style151"/>
            <w:ind w:firstLineChars="200" w:firstLine="400"/>
          </w:pPr>
          <w:r>
            <w:rPr>
              <w:rFonts w:hint="eastAsia"/>
            </w:rPr>
            <w:t xml:space="preserve">(1) </w:t>
          </w:r>
          <w:r>
            <w:rPr>
              <w:rFonts w:hint="eastAsia"/>
            </w:rPr>
            <w:t>供应商融资安排的条款和条件</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418"/>
          </w:tblGrid>
          <w:tr w:rsidR="00156DD6">
            <w:tc>
              <w:tcPr>
                <w:tcW w:w="1363" w:type="pct"/>
                <w:vAlign w:val="center"/>
              </w:tcPr>
              <w:p w:rsidR="00156DD6" w:rsidRDefault="00D51F5F">
                <w:pPr>
                  <w:jc w:val="both"/>
                </w:pPr>
                <w:r>
                  <w:rPr>
                    <w:rFonts w:hint="eastAsia"/>
                  </w:rPr>
                  <w:t>供应商融资安排类型</w:t>
                </w:r>
              </w:p>
            </w:tc>
            <w:tc>
              <w:tcPr>
                <w:tcW w:w="3637" w:type="pct"/>
                <w:vAlign w:val="center"/>
              </w:tcPr>
              <w:p w:rsidR="00156DD6" w:rsidRDefault="00D51F5F">
                <w:pPr>
                  <w:jc w:val="both"/>
                </w:pPr>
                <w:r>
                  <w:rPr>
                    <w:rFonts w:hint="eastAsia"/>
                  </w:rPr>
                  <w:t>条款和条件</w:t>
                </w:r>
              </w:p>
            </w:tc>
          </w:tr>
          <w:tr w:rsidR="00156DD6">
            <w:tc>
              <w:tcPr>
                <w:tcW w:w="1363" w:type="pct"/>
                <w:vAlign w:val="center"/>
              </w:tcPr>
              <w:p w:rsidR="00156DD6" w:rsidRDefault="00D51F5F">
                <w:pPr>
                  <w:jc w:val="both"/>
                </w:pPr>
                <w:r>
                  <w:rPr>
                    <w:rFonts w:hint="eastAsia"/>
                  </w:rPr>
                  <w:t>中信银行融信通业务</w:t>
                </w:r>
              </w:p>
            </w:tc>
            <w:tc>
              <w:tcPr>
                <w:tcW w:w="3637" w:type="pct"/>
              </w:tcPr>
              <w:p w:rsidR="00156DD6" w:rsidRDefault="00D51F5F">
                <w:pPr>
                  <w:jc w:val="both"/>
                </w:pPr>
                <w:r>
                  <w:rPr>
                    <w:rFonts w:hint="eastAsia"/>
                  </w:rPr>
                  <w:t>以核心企业与上下游企业交易背景真实为前提，公司向供应商开立电子银行承兑汇票，承兑银行审核承兑后，自动完成票据贴现，并将款项支付给上游供应商，可延长公司采购付现周期</w:t>
                </w:r>
                <w:r>
                  <w:rPr>
                    <w:rFonts w:hint="eastAsia"/>
                  </w:rPr>
                  <w:t>6</w:t>
                </w:r>
                <w:r>
                  <w:rPr>
                    <w:rFonts w:hint="eastAsia"/>
                  </w:rPr>
                  <w:t>个月。</w:t>
                </w:r>
              </w:p>
            </w:tc>
          </w:tr>
          <w:tr w:rsidR="00156DD6">
            <w:tc>
              <w:tcPr>
                <w:tcW w:w="1363" w:type="pct"/>
                <w:vAlign w:val="center"/>
              </w:tcPr>
              <w:p w:rsidR="00156DD6" w:rsidRDefault="00D51F5F">
                <w:pPr>
                  <w:jc w:val="both"/>
                </w:pPr>
                <w:r>
                  <w:rPr>
                    <w:rFonts w:hint="eastAsia"/>
                  </w:rPr>
                  <w:t>信用证电费业务</w:t>
                </w:r>
              </w:p>
            </w:tc>
            <w:tc>
              <w:tcPr>
                <w:tcW w:w="3637" w:type="pct"/>
              </w:tcPr>
              <w:p w:rsidR="00156DD6" w:rsidRDefault="00D51F5F">
                <w:pPr>
                  <w:jc w:val="both"/>
                </w:pPr>
                <w:r>
                  <w:rPr>
                    <w:rFonts w:hint="eastAsia"/>
                  </w:rPr>
                  <w:t>公司与供应商国网重庆市电力公司长寿供电分公司、开户行签订三方协议，由公司向银行申请开立信用证，银行完成信用证开证时，一次性向供应商支付采购款，可延长公司采购付现周期</w:t>
                </w:r>
                <w:r>
                  <w:rPr>
                    <w:rFonts w:hint="eastAsia"/>
                  </w:rPr>
                  <w:t>1</w:t>
                </w:r>
                <w:r>
                  <w:rPr>
                    <w:rFonts w:hint="eastAsia"/>
                  </w:rPr>
                  <w:t>年。</w:t>
                </w:r>
              </w:p>
            </w:tc>
          </w:tr>
        </w:tbl>
        <w:p w:rsidR="00156DD6" w:rsidRDefault="00D51F5F">
          <w:pPr>
            <w:ind w:firstLineChars="200" w:firstLine="420"/>
          </w:pPr>
          <w:r>
            <w:rPr>
              <w:rFonts w:hint="eastAsia"/>
            </w:rPr>
            <w:lastRenderedPageBreak/>
            <w:t xml:space="preserve">(2) </w:t>
          </w:r>
          <w:r>
            <w:rPr>
              <w:rFonts w:hint="eastAsia"/>
            </w:rPr>
            <w:t>供应商融资安排相关负债情况</w:t>
          </w:r>
        </w:p>
        <w:p w:rsidR="00156DD6" w:rsidRDefault="00156DD6">
          <w:pPr>
            <w:pStyle w:val="Style151"/>
            <w:ind w:firstLineChars="200" w:firstLine="400"/>
          </w:pPr>
        </w:p>
        <w:p w:rsidR="00156DD6" w:rsidRDefault="00D51F5F">
          <w:pPr>
            <w:ind w:firstLineChars="200" w:firstLine="420"/>
            <w:rPr>
              <w:bCs w:val="0"/>
            </w:rPr>
          </w:pPr>
          <w:r>
            <w:rPr>
              <w:rFonts w:hint="eastAsia"/>
              <w:bCs w:val="0"/>
            </w:rPr>
            <w:t>相关负债账面价值</w:t>
          </w:r>
        </w:p>
        <w:p w:rsidR="00156DD6" w:rsidRDefault="00D51F5F">
          <w:pPr>
            <w:pStyle w:val="Style151"/>
            <w:jc w:val="right"/>
          </w:pPr>
          <w:r>
            <w:rPr>
              <w:rFonts w:hint="eastAsia"/>
            </w:rPr>
            <w:t>单位：元</w:t>
          </w:r>
          <w:r>
            <w:rPr>
              <w:rFonts w:hint="eastAsia"/>
            </w:rPr>
            <w:t xml:space="preserve">  </w:t>
          </w:r>
          <w:r>
            <w:rPr>
              <w:rFonts w:hint="eastAsia"/>
            </w:rPr>
            <w:t>币种：人民币</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rsidR="00156DD6">
            <w:tc>
              <w:tcPr>
                <w:tcW w:w="1666" w:type="pct"/>
              </w:tcPr>
              <w:p w:rsidR="00156DD6" w:rsidRDefault="00D51F5F">
                <w:pPr>
                  <w:jc w:val="center"/>
                </w:pPr>
                <w:r>
                  <w:rPr>
                    <w:rFonts w:hint="eastAsia"/>
                  </w:rPr>
                  <w:t>项</w:t>
                </w:r>
                <w:r>
                  <w:rPr>
                    <w:rFonts w:hint="eastAsia"/>
                  </w:rPr>
                  <w:t xml:space="preserve">  </w:t>
                </w:r>
                <w:r>
                  <w:rPr>
                    <w:rFonts w:hint="eastAsia"/>
                  </w:rPr>
                  <w:t>目</w:t>
                </w:r>
              </w:p>
            </w:tc>
            <w:tc>
              <w:tcPr>
                <w:tcW w:w="1667" w:type="pct"/>
              </w:tcPr>
              <w:p w:rsidR="00156DD6" w:rsidRDefault="00D51F5F">
                <w:pPr>
                  <w:jc w:val="center"/>
                </w:pPr>
                <w:r>
                  <w:rPr>
                    <w:rFonts w:hint="eastAsia"/>
                  </w:rPr>
                  <w:t>期末数</w:t>
                </w:r>
              </w:p>
            </w:tc>
            <w:tc>
              <w:tcPr>
                <w:tcW w:w="1667" w:type="pct"/>
              </w:tcPr>
              <w:p w:rsidR="00156DD6" w:rsidRDefault="00D51F5F">
                <w:pPr>
                  <w:jc w:val="center"/>
                </w:pPr>
                <w:r>
                  <w:rPr>
                    <w:rFonts w:hint="eastAsia"/>
                  </w:rPr>
                  <w:t>期初数</w:t>
                </w:r>
              </w:p>
            </w:tc>
          </w:tr>
          <w:tr w:rsidR="00156DD6">
            <w:tc>
              <w:tcPr>
                <w:tcW w:w="1666" w:type="pct"/>
              </w:tcPr>
              <w:p w:rsidR="00156DD6" w:rsidRDefault="00D51F5F">
                <w:pPr>
                  <w:pStyle w:val="Style43"/>
                </w:pPr>
                <w:r>
                  <w:rPr>
                    <w:rFonts w:hint="eastAsia"/>
                  </w:rPr>
                  <w:t>短期借款</w:t>
                </w:r>
              </w:p>
            </w:tc>
            <w:tc>
              <w:tcPr>
                <w:tcW w:w="1667" w:type="pct"/>
              </w:tcPr>
              <w:p w:rsidR="00156DD6" w:rsidRDefault="00D51F5F">
                <w:pPr>
                  <w:jc w:val="right"/>
                </w:pPr>
                <w:r>
                  <w:t xml:space="preserve"> 174,295,786.67 </w:t>
                </w:r>
              </w:p>
            </w:tc>
            <w:tc>
              <w:tcPr>
                <w:tcW w:w="1667" w:type="pct"/>
              </w:tcPr>
              <w:p w:rsidR="00156DD6" w:rsidRDefault="00D51F5F">
                <w:pPr>
                  <w:jc w:val="right"/>
                </w:pPr>
                <w:r>
                  <w:t xml:space="preserve"> 130,934,776.24 </w:t>
                </w:r>
              </w:p>
            </w:tc>
          </w:tr>
          <w:tr w:rsidR="00156DD6">
            <w:tc>
              <w:tcPr>
                <w:tcW w:w="1666" w:type="pct"/>
              </w:tcPr>
              <w:p w:rsidR="00156DD6" w:rsidRDefault="00D51F5F">
                <w:pPr>
                  <w:pStyle w:val="Style43"/>
                </w:pPr>
                <w:r>
                  <w:rPr>
                    <w:rFonts w:hint="eastAsia"/>
                  </w:rPr>
                  <w:t>其中：供应商已收到款项</w:t>
                </w:r>
              </w:p>
            </w:tc>
            <w:tc>
              <w:tcPr>
                <w:tcW w:w="1667" w:type="pct"/>
              </w:tcPr>
              <w:p w:rsidR="00156DD6" w:rsidRDefault="00D51F5F">
                <w:pPr>
                  <w:jc w:val="right"/>
                </w:pPr>
                <w:r>
                  <w:t xml:space="preserve"> 174,295,786.67 </w:t>
                </w:r>
              </w:p>
            </w:tc>
            <w:tc>
              <w:tcPr>
                <w:tcW w:w="1667" w:type="pct"/>
              </w:tcPr>
              <w:p w:rsidR="00156DD6" w:rsidRDefault="00D51F5F">
                <w:pPr>
                  <w:jc w:val="right"/>
                </w:pPr>
                <w:r>
                  <w:t xml:space="preserve"> 130,934,776.24 </w:t>
                </w:r>
              </w:p>
            </w:tc>
          </w:tr>
          <w:tr w:rsidR="00156DD6">
            <w:tc>
              <w:tcPr>
                <w:tcW w:w="1666" w:type="pct"/>
              </w:tcPr>
              <w:p w:rsidR="00156DD6" w:rsidRDefault="00D51F5F">
                <w:pPr>
                  <w:jc w:val="center"/>
                </w:pPr>
                <w:r>
                  <w:rPr>
                    <w:rFonts w:hint="eastAsia"/>
                  </w:rPr>
                  <w:t>合计</w:t>
                </w:r>
              </w:p>
            </w:tc>
            <w:tc>
              <w:tcPr>
                <w:tcW w:w="1667" w:type="pct"/>
              </w:tcPr>
              <w:p w:rsidR="00156DD6" w:rsidRDefault="00D51F5F">
                <w:pPr>
                  <w:jc w:val="right"/>
                </w:pPr>
                <w:r>
                  <w:t xml:space="preserve"> 174,295,786.67 </w:t>
                </w:r>
              </w:p>
            </w:tc>
            <w:tc>
              <w:tcPr>
                <w:tcW w:w="1667" w:type="pct"/>
              </w:tcPr>
              <w:p w:rsidR="00156DD6" w:rsidRDefault="00D51F5F">
                <w:pPr>
                  <w:jc w:val="right"/>
                </w:pPr>
                <w:r>
                  <w:t xml:space="preserve"> 130,934,776.24 </w:t>
                </w:r>
              </w:p>
            </w:tc>
          </w:tr>
        </w:tbl>
        <w:p w:rsidR="00156DD6" w:rsidRDefault="00D51F5F">
          <w:pPr>
            <w:pStyle w:val="Style151"/>
            <w:ind w:firstLineChars="200" w:firstLine="420"/>
            <w:rPr>
              <w:rFonts w:cs="宋体"/>
              <w:sz w:val="21"/>
              <w:szCs w:val="21"/>
            </w:rPr>
          </w:pPr>
          <w:r>
            <w:rPr>
              <w:rFonts w:cs="宋体" w:hint="eastAsia"/>
              <w:sz w:val="21"/>
              <w:szCs w:val="21"/>
            </w:rPr>
            <w:t>相关负债非现金变动情况</w:t>
          </w:r>
        </w:p>
        <w:p w:rsidR="00156DD6" w:rsidRDefault="00D51F5F">
          <w:pPr>
            <w:pStyle w:val="Style151"/>
            <w:jc w:val="right"/>
          </w:pPr>
          <w:r>
            <w:rPr>
              <w:rFonts w:hint="eastAsia"/>
            </w:rPr>
            <w:t>单位：元</w:t>
          </w:r>
          <w:r>
            <w:rPr>
              <w:rFonts w:hint="eastAsia"/>
            </w:rPr>
            <w:t xml:space="preserve">  </w:t>
          </w:r>
          <w:r>
            <w:rPr>
              <w:rFonts w:hint="eastAsia"/>
            </w:rPr>
            <w:t>币种：人民币</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150"/>
          </w:tblGrid>
          <w:tr w:rsidR="00156DD6">
            <w:tc>
              <w:tcPr>
                <w:tcW w:w="2648" w:type="pct"/>
              </w:tcPr>
              <w:p w:rsidR="00156DD6" w:rsidRDefault="00D51F5F">
                <w:pPr>
                  <w:jc w:val="both"/>
                </w:pPr>
                <w:r>
                  <w:rPr>
                    <w:rFonts w:hint="eastAsia"/>
                  </w:rPr>
                  <w:t>非现金变动类型</w:t>
                </w:r>
              </w:p>
            </w:tc>
            <w:tc>
              <w:tcPr>
                <w:tcW w:w="2352" w:type="pct"/>
                <w:vAlign w:val="center"/>
              </w:tcPr>
              <w:p w:rsidR="00156DD6" w:rsidRDefault="00D51F5F">
                <w:pPr>
                  <w:jc w:val="center"/>
                </w:pPr>
                <w:r>
                  <w:rPr>
                    <w:rFonts w:hint="eastAsia"/>
                  </w:rPr>
                  <w:t>本期数</w:t>
                </w:r>
              </w:p>
            </w:tc>
          </w:tr>
          <w:tr w:rsidR="00156DD6">
            <w:tc>
              <w:tcPr>
                <w:tcW w:w="2648" w:type="pct"/>
              </w:tcPr>
              <w:p w:rsidR="00156DD6" w:rsidRDefault="00D51F5F">
                <w:pPr>
                  <w:jc w:val="both"/>
                </w:pPr>
                <w:r>
                  <w:rPr>
                    <w:rFonts w:hint="eastAsia"/>
                  </w:rPr>
                  <w:t>从应付账款转至短期借款</w:t>
                </w:r>
              </w:p>
            </w:tc>
            <w:tc>
              <w:tcPr>
                <w:tcW w:w="2352" w:type="pct"/>
                <w:vAlign w:val="center"/>
              </w:tcPr>
              <w:p w:rsidR="00156DD6" w:rsidRDefault="00D51F5F">
                <w:pPr>
                  <w:jc w:val="right"/>
                </w:pPr>
                <w:r>
                  <w:t>174,295,786.67</w:t>
                </w:r>
              </w:p>
            </w:tc>
          </w:tr>
        </w:tbl>
        <w:p w:rsidR="00156DD6" w:rsidRDefault="00D51F5F">
          <w:pPr>
            <w:rPr>
              <w:color w:val="000000" w:themeColor="text1"/>
            </w:rPr>
          </w:pPr>
        </w:p>
      </w:sdtContent>
    </w:sdt>
    <w:p w:rsidR="00156DD6" w:rsidRDefault="00D51F5F">
      <w:pPr>
        <w:pStyle w:val="2CharCharChar"/>
        <w:numPr>
          <w:ilvl w:val="0"/>
          <w:numId w:val="33"/>
        </w:numPr>
        <w:ind w:left="420" w:hanging="420"/>
        <w:rPr>
          <w:rFonts w:ascii="宋体" w:hAnsi="宋体"/>
          <w:color w:val="000000" w:themeColor="text1"/>
          <w:sz w:val="21"/>
          <w:szCs w:val="21"/>
        </w:rPr>
      </w:pPr>
      <w:bookmarkStart w:id="444" w:name="_Hlk40108415"/>
      <w:bookmarkStart w:id="445" w:name="_Hlk167971708"/>
      <w:r>
        <w:rPr>
          <w:rFonts w:ascii="宋体" w:hAnsi="宋体" w:hint="eastAsia"/>
          <w:color w:val="000000" w:themeColor="text1"/>
          <w:sz w:val="21"/>
          <w:szCs w:val="21"/>
        </w:rPr>
        <w:t>研发支出</w:t>
      </w:r>
    </w:p>
    <w:p w:rsidR="00156DD6" w:rsidRDefault="00D51F5F">
      <w:pPr>
        <w:pStyle w:val="TOC6"/>
        <w:numPr>
          <w:ilvl w:val="0"/>
          <w:numId w:val="84"/>
        </w:numPr>
        <w:ind w:left="360" w:hanging="360"/>
        <w:rPr>
          <w:color w:val="000000" w:themeColor="text1"/>
          <w:sz w:val="21"/>
          <w:szCs w:val="36"/>
        </w:rPr>
      </w:pPr>
      <w:r>
        <w:rPr>
          <w:rFonts w:hint="eastAsia"/>
          <w:color w:val="000000" w:themeColor="text1"/>
          <w:sz w:val="21"/>
          <w:szCs w:val="36"/>
        </w:rPr>
        <w:t>按费用性质列示</w:t>
      </w:r>
    </w:p>
    <w:sdt>
      <w:sdtPr>
        <w:rPr>
          <w:color w:val="000000" w:themeColor="text1"/>
        </w:rPr>
        <w:alias w:val="是否适用：研发费用[双击切换]"/>
        <w:tag w:val="_GBC_c038265fdb0b49dea367e73fadbd1bf3"/>
        <w:id w:val="182755103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ind w:left="420" w:firstLineChars="0" w:firstLine="0"/>
        <w:jc w:val="right"/>
        <w:rPr>
          <w:color w:val="000000" w:themeColor="text1"/>
          <w:szCs w:val="21"/>
        </w:rPr>
      </w:pPr>
      <w:r>
        <w:rPr>
          <w:rFonts w:hint="eastAsia"/>
          <w:color w:val="000000" w:themeColor="text1"/>
          <w:szCs w:val="21"/>
        </w:rPr>
        <w:t>单位：</w:t>
      </w:r>
      <w:sdt>
        <w:sdtPr>
          <w:rPr>
            <w:rFonts w:hint="eastAsia"/>
            <w:color w:val="000000" w:themeColor="text1"/>
            <w:szCs w:val="21"/>
          </w:rPr>
          <w:alias w:val="单位：研发费用"/>
          <w:tag w:val="_GBC_ba6e122abfd8443283c681cd38b3d395"/>
          <w:id w:val="-16237581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szCs w:val="21"/>
            </w:rPr>
            <w:t>元</w:t>
          </w:r>
        </w:sdtContent>
      </w:sdt>
      <w:r>
        <w:rPr>
          <w:rFonts w:hint="eastAsia"/>
          <w:color w:val="000000" w:themeColor="text1"/>
          <w:szCs w:val="21"/>
        </w:rPr>
        <w:t xml:space="preserve">  </w:t>
      </w:r>
      <w:r>
        <w:rPr>
          <w:rFonts w:hint="eastAsia"/>
          <w:color w:val="000000" w:themeColor="text1"/>
          <w:szCs w:val="21"/>
        </w:rPr>
        <w:t>币种：</w:t>
      </w:r>
      <w:sdt>
        <w:sdtPr>
          <w:rPr>
            <w:rFonts w:hint="eastAsia"/>
            <w:color w:val="000000" w:themeColor="text1"/>
            <w:szCs w:val="21"/>
          </w:rPr>
          <w:alias w:val="币种：研发费用"/>
          <w:tag w:val="_GBC_d5e978ec78684853899851ff1623b4fc"/>
          <w:id w:val="13931526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156DD6">
        <w:sdt>
          <w:sdtPr>
            <w:tag w:val="_PLD_0d7c4dfc9e774f139ca83d0601e815ea"/>
            <w:id w:val="1404723869"/>
          </w:sdtPr>
          <w:sdtEndPr/>
          <w:sdtContent>
            <w:tc>
              <w:tcPr>
                <w:tcW w:w="2213"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项目</w:t>
                </w:r>
              </w:p>
            </w:tc>
          </w:sdtContent>
        </w:sdt>
        <w:sdt>
          <w:sdtPr>
            <w:tag w:val="_PLD_1d1e5baa8c6741cda3956270e192cc79"/>
            <w:id w:val="1868477460"/>
          </w:sdtPr>
          <w:sdtEndPr/>
          <w:sdtContent>
            <w:tc>
              <w:tcPr>
                <w:tcW w:w="1439"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本期发生额</w:t>
                </w:r>
              </w:p>
            </w:tc>
          </w:sdtContent>
        </w:sdt>
        <w:sdt>
          <w:sdtPr>
            <w:tag w:val="_PLD_91cd6ee02fbd4f6e86f6503667dce560"/>
            <w:id w:val="-956327262"/>
          </w:sdtPr>
          <w:sdtEndPr/>
          <w:sdtContent>
            <w:tc>
              <w:tcPr>
                <w:tcW w:w="1348"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上期发生额</w:t>
                </w:r>
              </w:p>
            </w:tc>
          </w:sdtContent>
        </w:sdt>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t>职工薪酬</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8,424,753.77</w:t>
            </w:r>
          </w:p>
        </w:tc>
        <w:tc>
          <w:tcPr>
            <w:tcW w:w="13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7,538,402.47</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t>材料费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t>5,768,168.87</w:t>
            </w:r>
          </w:p>
        </w:tc>
        <w:tc>
          <w:tcPr>
            <w:tcW w:w="13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8,079,531.12</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t>检测费及委外研究费用</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2,762,514.20</w:t>
            </w:r>
          </w:p>
        </w:tc>
        <w:tc>
          <w:tcPr>
            <w:tcW w:w="13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2,679,953.32</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t>折旧费</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2,213,805.27</w:t>
            </w:r>
          </w:p>
        </w:tc>
        <w:tc>
          <w:tcPr>
            <w:tcW w:w="13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1,633,550.48</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t>燃料及动力</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158,929.24</w:t>
            </w:r>
          </w:p>
        </w:tc>
        <w:tc>
          <w:tcPr>
            <w:tcW w:w="13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42,223.63</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t>其他</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1,236,872.69</w:t>
            </w:r>
          </w:p>
        </w:tc>
        <w:tc>
          <w:tcPr>
            <w:tcW w:w="13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640,113.43</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20,565,044.04</w:t>
            </w:r>
          </w:p>
        </w:tc>
        <w:tc>
          <w:tcPr>
            <w:tcW w:w="13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20,613,774.45</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rPr>
            </w:pPr>
            <w:r>
              <w:rPr>
                <w:rFonts w:hint="eastAsia"/>
                <w:color w:val="000000" w:themeColor="text1"/>
              </w:rPr>
              <w:t>其中：费用化研发支出</w:t>
            </w:r>
          </w:p>
        </w:tc>
        <w:tc>
          <w:tcPr>
            <w:tcW w:w="1439"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20,565,044.04</w:t>
            </w:r>
          </w:p>
        </w:tc>
        <w:tc>
          <w:tcPr>
            <w:tcW w:w="13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20,613,774.45</w:t>
            </w:r>
          </w:p>
        </w:tc>
      </w:tr>
      <w:tr w:rsidR="00156DD6">
        <w:tc>
          <w:tcPr>
            <w:tcW w:w="2213" w:type="pct"/>
            <w:tcBorders>
              <w:top w:val="single" w:sz="4" w:space="0" w:color="auto"/>
              <w:left w:val="single" w:sz="4" w:space="0" w:color="auto"/>
              <w:bottom w:val="single" w:sz="4" w:space="0" w:color="auto"/>
              <w:right w:val="single" w:sz="4" w:space="0" w:color="auto"/>
            </w:tcBorders>
            <w:vAlign w:val="center"/>
          </w:tcPr>
          <w:p w:rsidR="00156DD6" w:rsidRDefault="00D51F5F">
            <w:pPr>
              <w:ind w:firstLineChars="300" w:firstLine="630"/>
              <w:rPr>
                <w:color w:val="000000" w:themeColor="text1"/>
              </w:rPr>
            </w:pPr>
            <w:r>
              <w:rPr>
                <w:rFonts w:hint="eastAsia"/>
                <w:color w:val="000000" w:themeColor="text1"/>
              </w:rPr>
              <w:t>资本化研发支出</w:t>
            </w:r>
          </w:p>
        </w:tc>
        <w:tc>
          <w:tcPr>
            <w:tcW w:w="1439"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348"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bl>
    <w:p w:rsidR="00156DD6" w:rsidRDefault="00D51F5F">
      <w:pPr>
        <w:rPr>
          <w:color w:val="000000" w:themeColor="text1"/>
        </w:rPr>
      </w:pPr>
      <w:r>
        <w:rPr>
          <w:rFonts w:hint="eastAsia"/>
          <w:color w:val="000000" w:themeColor="text1"/>
        </w:rPr>
        <w:t>其他说明：</w:t>
      </w:r>
    </w:p>
    <w:sdt>
      <w:sdtPr>
        <w:rPr>
          <w:color w:val="000000" w:themeColor="text1"/>
        </w:rPr>
        <w:alias w:val="研发支出按费用性质列示的其他说明"/>
        <w:tag w:val="_GBC_6b3d42161462405e8011d40253de8df9"/>
        <w:id w:val="-393194526"/>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84"/>
        </w:numPr>
        <w:ind w:left="360" w:hanging="360"/>
        <w:rPr>
          <w:color w:val="000000" w:themeColor="text1"/>
          <w:sz w:val="21"/>
          <w:szCs w:val="21"/>
        </w:rPr>
      </w:pPr>
      <w:bookmarkStart w:id="446" w:name="_Hlk153266294"/>
      <w:bookmarkEnd w:id="444"/>
      <w:r>
        <w:rPr>
          <w:rFonts w:hint="eastAsia"/>
          <w:color w:val="000000" w:themeColor="text1"/>
          <w:sz w:val="21"/>
          <w:szCs w:val="21"/>
        </w:rPr>
        <w:t>符合资本化条件的研发项目开发支出</w:t>
      </w:r>
    </w:p>
    <w:sdt>
      <w:sdtPr>
        <w:rPr>
          <w:color w:val="000000" w:themeColor="text1"/>
        </w:rPr>
        <w:alias w:val="是否适用：开发支出[双击切换]"/>
        <w:tag w:val="_GBC_c4491189045f4579aa1097e6d5456e9e"/>
        <w:id w:val="148520105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46"/>
    <w:p w:rsidR="00156DD6" w:rsidRDefault="00D51F5F">
      <w:pPr>
        <w:rPr>
          <w:color w:val="000000" w:themeColor="text1"/>
        </w:rPr>
      </w:pPr>
      <w:r>
        <w:rPr>
          <w:color w:val="000000" w:themeColor="text1"/>
        </w:rPr>
        <w:t>重要的资本化研发项目</w:t>
      </w:r>
    </w:p>
    <w:sdt>
      <w:sdtPr>
        <w:rPr>
          <w:color w:val="000000" w:themeColor="text1"/>
        </w:rPr>
        <w:alias w:val="是否适用：重要的资本化研发项目[双击切换]"/>
        <w:tag w:val="_GBC_1cd050ceff7c445bb12c764341f77187"/>
        <w:id w:val="25756880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color w:val="000000" w:themeColor="text1"/>
        </w:rPr>
        <w:t>开发支出减值准备</w:t>
      </w:r>
    </w:p>
    <w:sdt>
      <w:sdtPr>
        <w:rPr>
          <w:color w:val="000000" w:themeColor="text1"/>
        </w:rPr>
        <w:alias w:val="是否适用：开发支出减值准备[双击切换]"/>
        <w:tag w:val="_GBC_61f8745227c4412fa050b0628c64a40a"/>
        <w:id w:val="161578722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w:instrText>
          </w:r>
          <w:r>
            <w:rPr>
              <w:rFonts w:hint="eastAsia"/>
              <w:color w:val="000000" w:themeColor="text1"/>
            </w:rPr>
            <w:instrText xml:space="preserve">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符合资本化条件的研发项目开发支出的其他说明"/>
        <w:tag w:val="_GBC_6f5dba19dcad4294ab6f74834cfe3448"/>
        <w:id w:val="-290518421"/>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84"/>
        </w:numPr>
        <w:ind w:left="360" w:hanging="360"/>
        <w:rPr>
          <w:color w:val="000000" w:themeColor="text1"/>
          <w:sz w:val="21"/>
          <w:szCs w:val="21"/>
        </w:rPr>
      </w:pPr>
      <w:r>
        <w:rPr>
          <w:rFonts w:hint="eastAsia"/>
          <w:color w:val="000000" w:themeColor="text1"/>
          <w:sz w:val="21"/>
          <w:szCs w:val="21"/>
        </w:rPr>
        <w:t>重要的外购在研项目</w:t>
      </w:r>
    </w:p>
    <w:sdt>
      <w:sdtPr>
        <w:rPr>
          <w:color w:val="000000" w:themeColor="text1"/>
        </w:rPr>
        <w:alias w:val="是否适用：重要的外购在研项目[双击切换]"/>
        <w:tag w:val="_GBC_d8453a2bfa274fa6906f48d9a4c81bac"/>
        <w:id w:val="8797887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45"/>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合并范围的变更</w:t>
      </w:r>
    </w:p>
    <w:p w:rsidR="00156DD6" w:rsidRDefault="00D51F5F">
      <w:pPr>
        <w:pStyle w:val="TOC6"/>
        <w:numPr>
          <w:ilvl w:val="0"/>
          <w:numId w:val="85"/>
        </w:numPr>
        <w:rPr>
          <w:rFonts w:ascii="宋体" w:hAnsi="宋体" w:cs="Arial"/>
          <w:color w:val="000000" w:themeColor="text1"/>
          <w:sz w:val="21"/>
          <w:szCs w:val="21"/>
        </w:rPr>
      </w:pPr>
      <w:r>
        <w:rPr>
          <w:rFonts w:ascii="宋体" w:hAnsi="宋体" w:cs="Arial" w:hint="eastAsia"/>
          <w:color w:val="000000" w:themeColor="text1"/>
          <w:sz w:val="21"/>
          <w:szCs w:val="21"/>
        </w:rPr>
        <w:t>非同一控制下企业合并</w:t>
      </w:r>
    </w:p>
    <w:sdt>
      <w:sdtPr>
        <w:rPr>
          <w:color w:val="000000" w:themeColor="text1"/>
        </w:rPr>
        <w:alias w:val="是否适用：非同一控制下企业合并[双击切换]"/>
        <w:tag w:val="_GBC_2f9a65b0b4644b14ab5af1407e6467f1"/>
        <w:id w:val="1702823069"/>
        <w:placeholder>
          <w:docPart w:val="GBC22222222222222222222222222222"/>
        </w:placeholder>
      </w:sdtPr>
      <w:sdtEndPr/>
      <w:sdtContent>
        <w:p w:rsidR="00156DD6" w:rsidRDefault="00D51F5F">
          <w:pPr>
            <w:rPr>
              <w:rFonts w:cstheme="minorBidi"/>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numPr>
          <w:ilvl w:val="0"/>
          <w:numId w:val="86"/>
        </w:numPr>
        <w:ind w:left="426" w:hanging="426"/>
        <w:rPr>
          <w:rStyle w:val="40"/>
          <w:rFonts w:ascii="宋体" w:hAnsi="宋体"/>
          <w:b/>
          <w:bCs/>
          <w:color w:val="000000" w:themeColor="text1"/>
          <w:szCs w:val="21"/>
        </w:rPr>
      </w:pPr>
      <w:bookmarkStart w:id="447" w:name="_Hlk167972301"/>
      <w:r>
        <w:rPr>
          <w:rStyle w:val="40"/>
          <w:rFonts w:ascii="宋体" w:hAnsi="宋体" w:hint="eastAsia"/>
          <w:b/>
          <w:bCs/>
          <w:color w:val="000000" w:themeColor="text1"/>
          <w:szCs w:val="21"/>
        </w:rPr>
        <w:t>本期发生的非同一控制下企业合并交易</w:t>
      </w:r>
    </w:p>
    <w:sdt>
      <w:sdtPr>
        <w:rPr>
          <w:color w:val="000000" w:themeColor="text1"/>
        </w:rPr>
        <w:alias w:val="是否适用：本期发生的非同一控制下企业合并[双击切换]"/>
        <w:tag w:val="_GBC_e96a44415dda407ea2833d06f7591e32"/>
        <w:id w:val="1336738863"/>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47"/>
    <w:p w:rsidR="00156DD6" w:rsidRDefault="00D51F5F">
      <w:pPr>
        <w:pStyle w:val="4"/>
        <w:numPr>
          <w:ilvl w:val="0"/>
          <w:numId w:val="86"/>
        </w:numPr>
        <w:ind w:left="426" w:hanging="426"/>
        <w:rPr>
          <w:rStyle w:val="40"/>
          <w:rFonts w:ascii="宋体" w:hAnsi="宋体"/>
          <w:b/>
          <w:bCs/>
          <w:color w:val="000000" w:themeColor="text1"/>
          <w:szCs w:val="21"/>
        </w:rPr>
      </w:pPr>
      <w:r>
        <w:rPr>
          <w:rStyle w:val="40"/>
          <w:rFonts w:ascii="宋体" w:hAnsi="宋体" w:hint="eastAsia"/>
          <w:b/>
          <w:bCs/>
          <w:color w:val="000000" w:themeColor="text1"/>
          <w:szCs w:val="21"/>
        </w:rPr>
        <w:t>合并成本及商誉</w:t>
      </w:r>
    </w:p>
    <w:p w:rsidR="00156DD6" w:rsidRDefault="00D51F5F">
      <w:pPr>
        <w:rPr>
          <w:rFonts w:cs="Arial"/>
          <w:color w:val="000000" w:themeColor="text1"/>
        </w:rPr>
      </w:pPr>
      <w:sdt>
        <w:sdtPr>
          <w:rPr>
            <w:color w:val="000000" w:themeColor="text1"/>
          </w:rPr>
          <w:alias w:val="是否适用：合并成本及商誉[双击切换]"/>
          <w:tag w:val="_GBC_56d9f6aa774c4776ac65c41472b0a280"/>
          <w:id w:val="-1368529303"/>
          <w:placeholder>
            <w:docPart w:val="GBC22222222222222222222222222222"/>
          </w:placeholder>
        </w:sdtPr>
        <w:sdtEndPr/>
        <w:sdtContent>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bookmarkStart w:id="448" w:name="_Hlk168315102"/>
    </w:p>
    <w:bookmarkEnd w:id="448"/>
    <w:p w:rsidR="00156DD6" w:rsidRDefault="00D51F5F">
      <w:pPr>
        <w:pStyle w:val="4"/>
        <w:numPr>
          <w:ilvl w:val="0"/>
          <w:numId w:val="86"/>
        </w:numPr>
        <w:ind w:left="426" w:hanging="426"/>
        <w:rPr>
          <w:rStyle w:val="40"/>
          <w:rFonts w:ascii="宋体" w:hAnsi="宋体"/>
          <w:b/>
          <w:bCs/>
          <w:color w:val="000000" w:themeColor="text1"/>
          <w:szCs w:val="21"/>
        </w:rPr>
      </w:pPr>
      <w:r>
        <w:rPr>
          <w:rStyle w:val="40"/>
          <w:rFonts w:ascii="宋体" w:hAnsi="宋体" w:hint="eastAsia"/>
          <w:b/>
          <w:bCs/>
          <w:color w:val="000000" w:themeColor="text1"/>
          <w:szCs w:val="21"/>
        </w:rPr>
        <w:lastRenderedPageBreak/>
        <w:t>被购买方于购买日可辨认资产、负债</w:t>
      </w:r>
    </w:p>
    <w:p w:rsidR="00156DD6" w:rsidRDefault="00D51F5F">
      <w:pPr>
        <w:rPr>
          <w:rFonts w:cs="Arial"/>
          <w:color w:val="000000" w:themeColor="text1"/>
        </w:rPr>
      </w:pPr>
      <w:sdt>
        <w:sdtPr>
          <w:rPr>
            <w:color w:val="000000" w:themeColor="text1"/>
          </w:rPr>
          <w:alias w:val="是否适用：被购买方于购买日可辨认资产、负债[双击切换]"/>
          <w:tag w:val="_GBC_b192e56c8e2242b3bf12a08de6dc76d4"/>
          <w:id w:val="491837280"/>
          <w:placeholder>
            <w:docPart w:val="GBC22222222222222222222222222222"/>
          </w:placeholder>
        </w:sdtPr>
        <w:sdtEndPr/>
        <w:sdtContent>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sdtContent>
      </w:sdt>
    </w:p>
    <w:p w:rsidR="00156DD6" w:rsidRDefault="00D51F5F">
      <w:pPr>
        <w:pStyle w:val="4"/>
        <w:numPr>
          <w:ilvl w:val="0"/>
          <w:numId w:val="86"/>
        </w:numPr>
        <w:ind w:left="426" w:hanging="426"/>
        <w:rPr>
          <w:rStyle w:val="40"/>
          <w:rFonts w:ascii="宋体" w:hAnsi="宋体"/>
          <w:b/>
          <w:bCs/>
          <w:color w:val="000000" w:themeColor="text1"/>
          <w:szCs w:val="21"/>
        </w:rPr>
      </w:pPr>
      <w:bookmarkStart w:id="449" w:name="_Hlk169011108"/>
      <w:r>
        <w:rPr>
          <w:rStyle w:val="40"/>
          <w:rFonts w:ascii="宋体" w:hAnsi="宋体" w:hint="eastAsia"/>
          <w:b/>
          <w:bCs/>
          <w:color w:val="000000" w:themeColor="text1"/>
          <w:szCs w:val="21"/>
        </w:rPr>
        <w:t>购买日之前持有的股权按照公允价值重新计量产生的利得或损失</w:t>
      </w:r>
    </w:p>
    <w:p w:rsidR="00156DD6" w:rsidRDefault="00D51F5F">
      <w:pPr>
        <w:rPr>
          <w:rFonts w:ascii="Calibri" w:hAnsi="Calibri"/>
          <w:color w:val="000000" w:themeColor="text1"/>
        </w:rPr>
      </w:pPr>
      <w:r>
        <w:rPr>
          <w:rFonts w:hint="eastAsia"/>
          <w:color w:val="000000" w:themeColor="text1"/>
        </w:rPr>
        <w:t>是否存在通过多次交易分步实现企业合并且在报告期内取得控制权的交易</w:t>
      </w:r>
    </w:p>
    <w:p w:rsidR="00156DD6" w:rsidRDefault="00D51F5F">
      <w:pPr>
        <w:rPr>
          <w:rFonts w:cs="Arial"/>
          <w:color w:val="000000" w:themeColor="text1"/>
        </w:rPr>
      </w:pPr>
      <w:sdt>
        <w:sdtPr>
          <w:rPr>
            <w:color w:val="000000" w:themeColor="text1"/>
          </w:rPr>
          <w:alias w:val="是否存在通过多次交易分步实现企业合并且在本报告期取得控制权的情形[双击切换]"/>
          <w:tag w:val="_GBC_4a7c18909bcc47eb9c6f2ab2c0181eee"/>
          <w:id w:val="863015091"/>
          <w:placeholder>
            <w:docPart w:val="GBC22222222222222222222222222222"/>
          </w:placeholder>
        </w:sdtPr>
        <w:sdtEndPr/>
        <w:sdtContent>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p>
    <w:bookmarkEnd w:id="449"/>
    <w:p w:rsidR="00156DD6" w:rsidRDefault="00D51F5F">
      <w:pPr>
        <w:pStyle w:val="4"/>
        <w:numPr>
          <w:ilvl w:val="0"/>
          <w:numId w:val="86"/>
        </w:numPr>
        <w:ind w:left="426" w:hanging="426"/>
        <w:rPr>
          <w:rStyle w:val="40"/>
          <w:rFonts w:ascii="宋体" w:hAnsi="宋体"/>
          <w:b/>
          <w:bCs/>
          <w:color w:val="000000" w:themeColor="text1"/>
          <w:szCs w:val="21"/>
        </w:rPr>
      </w:pPr>
      <w:r>
        <w:rPr>
          <w:rStyle w:val="40"/>
          <w:rFonts w:ascii="宋体" w:hAnsi="宋体" w:hint="eastAsia"/>
          <w:b/>
          <w:bCs/>
          <w:color w:val="000000" w:themeColor="text1"/>
          <w:szCs w:val="21"/>
        </w:rPr>
        <w:t>购买日或合并当期期末无法合理确定合并对价或被购买方可辨认资产、负债公允价值的相关说明</w:t>
      </w:r>
    </w:p>
    <w:sdt>
      <w:sdtPr>
        <w:rPr>
          <w:color w:val="000000" w:themeColor="text1"/>
        </w:rPr>
        <w:alias w:val="是否适用：购买日或合并当期期末无法合理确定合并对价或被购买方可辨认资产、负债公允价值的相关说明[双击切换]"/>
        <w:tag w:val="_GBC_e8a75ceb0d7e4c35bfc03d5c6782889f"/>
        <w:id w:val="169065309"/>
        <w:placeholder>
          <w:docPart w:val="GBC22222222222222222222222222222"/>
        </w:placeholder>
      </w:sdtPr>
      <w:sdtEndPr/>
      <w:sdtContent>
        <w:p w:rsidR="00156DD6" w:rsidRDefault="00D51F5F">
          <w:pPr>
            <w:rPr>
              <w:rFonts w:cs="Arial"/>
              <w:b/>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w:instrText>
          </w:r>
          <w:r>
            <w:rPr>
              <w:rFonts w:hint="eastAsia"/>
              <w:color w:val="000000" w:themeColor="text1"/>
            </w:rPr>
            <w:instrText xml:space="preserv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numPr>
          <w:ilvl w:val="0"/>
          <w:numId w:val="86"/>
        </w:numPr>
        <w:ind w:left="426" w:hanging="426"/>
        <w:rPr>
          <w:rStyle w:val="40"/>
          <w:rFonts w:ascii="宋体" w:hAnsi="宋体"/>
          <w:b/>
          <w:bCs/>
          <w:color w:val="000000" w:themeColor="text1"/>
          <w:szCs w:val="21"/>
        </w:rPr>
      </w:pPr>
      <w:r>
        <w:rPr>
          <w:rStyle w:val="40"/>
          <w:rFonts w:ascii="宋体" w:hAnsi="宋体" w:hint="eastAsia"/>
          <w:b/>
          <w:bCs/>
          <w:color w:val="000000" w:themeColor="text1"/>
          <w:szCs w:val="21"/>
        </w:rPr>
        <w:t>其他说明</w:t>
      </w:r>
    </w:p>
    <w:sdt>
      <w:sdtPr>
        <w:rPr>
          <w:color w:val="000000" w:themeColor="text1"/>
        </w:rPr>
        <w:alias w:val="是否适用：非同一控制下企业合并其他需要说明的事项[双击切换]"/>
        <w:tag w:val="_GBC_ab58bf6b03504b3d88a49a138127fd98"/>
        <w:id w:val="2049645170"/>
        <w:placeholder>
          <w:docPart w:val="GBC22222222222222222222222222222"/>
        </w:placeholder>
      </w:sdtPr>
      <w:sdtEndPr/>
      <w:sdtContent>
        <w:p w:rsidR="00156DD6" w:rsidRDefault="00D51F5F">
          <w:pPr>
            <w:rPr>
              <w:rFonts w:cstheme="minorBidi"/>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85"/>
        </w:numPr>
        <w:rPr>
          <w:rFonts w:ascii="宋体" w:hAnsi="宋体" w:cs="Arial"/>
          <w:color w:val="000000" w:themeColor="text1"/>
          <w:sz w:val="21"/>
          <w:szCs w:val="21"/>
        </w:rPr>
      </w:pPr>
      <w:r>
        <w:rPr>
          <w:rFonts w:ascii="宋体" w:hAnsi="宋体" w:cs="Arial" w:hint="eastAsia"/>
          <w:color w:val="000000" w:themeColor="text1"/>
          <w:sz w:val="21"/>
          <w:szCs w:val="21"/>
        </w:rPr>
        <w:t>同一控制下企业合并</w:t>
      </w:r>
    </w:p>
    <w:sdt>
      <w:sdtPr>
        <w:rPr>
          <w:color w:val="000000" w:themeColor="text1"/>
        </w:rPr>
        <w:alias w:val="是否适用：同一控制下企业合并[双击切换]"/>
        <w:tag w:val="_GBC_cde296136a1d4f2094eb79d21291eae2"/>
        <w:id w:val="-82848181"/>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numPr>
          <w:ilvl w:val="0"/>
          <w:numId w:val="87"/>
        </w:numPr>
        <w:rPr>
          <w:rStyle w:val="40"/>
          <w:rFonts w:ascii="宋体" w:hAnsi="宋体"/>
          <w:bCs/>
          <w:szCs w:val="21"/>
        </w:rPr>
      </w:pPr>
      <w:r>
        <w:rPr>
          <w:rStyle w:val="40"/>
          <w:rFonts w:ascii="宋体" w:hAnsi="宋体" w:hint="eastAsia"/>
          <w:bCs/>
          <w:szCs w:val="21"/>
        </w:rPr>
        <w:t>本期发生的同一控制下企业合并</w:t>
      </w:r>
    </w:p>
    <w:sdt>
      <w:sdtPr>
        <w:rPr>
          <w:color w:val="000000" w:themeColor="text1"/>
        </w:rPr>
        <w:alias w:val="是否适用：本期发生的同一控制下企业合并[双击切换]"/>
        <w:tag w:val="_GBC_ab717a33fda94a748576343d4e39503a"/>
        <w:id w:val="1510328184"/>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4"/>
        <w:numPr>
          <w:ilvl w:val="0"/>
          <w:numId w:val="87"/>
        </w:numPr>
        <w:ind w:left="426" w:hanging="426"/>
        <w:rPr>
          <w:rStyle w:val="40"/>
          <w:rFonts w:ascii="宋体" w:hAnsi="宋体"/>
          <w:bCs/>
          <w:szCs w:val="21"/>
        </w:rPr>
      </w:pPr>
      <w:r>
        <w:rPr>
          <w:rStyle w:val="40"/>
          <w:rFonts w:ascii="宋体" w:hAnsi="宋体" w:hint="eastAsia"/>
          <w:bCs/>
          <w:szCs w:val="21"/>
        </w:rPr>
        <w:t>合并成本</w:t>
      </w:r>
    </w:p>
    <w:p w:rsidR="00156DD6" w:rsidRDefault="00D51F5F">
      <w:pPr>
        <w:rPr>
          <w:rFonts w:cstheme="minorBidi"/>
          <w:color w:val="000000" w:themeColor="text1"/>
        </w:rPr>
      </w:pPr>
      <w:sdt>
        <w:sdtPr>
          <w:rPr>
            <w:color w:val="000000" w:themeColor="text1"/>
          </w:rPr>
          <w:alias w:val="是否适用：合并成本[双击切换]"/>
          <w:tag w:val="_GBC_1e3feddd46da4a95805d8f480f4c84d9"/>
          <w:id w:val="-1906989897"/>
          <w:placeholder>
            <w:docPart w:val="GBC22222222222222222222222222222"/>
          </w:placeholder>
        </w:sdtPr>
        <w:sdtEndPr/>
        <w:sdtContent>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p>
    <w:p w:rsidR="00156DD6" w:rsidRDefault="00D51F5F">
      <w:pPr>
        <w:pStyle w:val="4"/>
        <w:numPr>
          <w:ilvl w:val="0"/>
          <w:numId w:val="87"/>
        </w:numPr>
        <w:ind w:left="426" w:hanging="426"/>
        <w:rPr>
          <w:rStyle w:val="40"/>
          <w:rFonts w:ascii="宋体" w:hAnsi="宋体"/>
          <w:bCs/>
          <w:szCs w:val="21"/>
        </w:rPr>
      </w:pPr>
      <w:r>
        <w:rPr>
          <w:rStyle w:val="40"/>
          <w:rFonts w:ascii="宋体" w:hAnsi="宋体" w:hint="eastAsia"/>
          <w:bCs/>
          <w:szCs w:val="21"/>
        </w:rPr>
        <w:t>合并日被合并方资产、负债的账面价值</w:t>
      </w:r>
    </w:p>
    <w:p w:rsidR="00156DD6" w:rsidRDefault="00D51F5F">
      <w:pPr>
        <w:rPr>
          <w:rFonts w:cs="Arial"/>
          <w:color w:val="000000" w:themeColor="text1"/>
        </w:rPr>
      </w:pPr>
      <w:sdt>
        <w:sdtPr>
          <w:rPr>
            <w:color w:val="000000" w:themeColor="text1"/>
          </w:rPr>
          <w:alias w:val="是否适用：合并日被合并方资产、负债的账面价值[双击切换]"/>
          <w:tag w:val="_GBC_b46a615b0ac64c019a83debe19fe4c1c"/>
          <w:id w:val="1106776992"/>
          <w:placeholder>
            <w:docPart w:val="GBC22222222222222222222222222222"/>
          </w:placeholder>
        </w:sdtPr>
        <w:sdtEndPr/>
        <w:sdtContent>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p>
    <w:p w:rsidR="00156DD6" w:rsidRDefault="00D51F5F">
      <w:pPr>
        <w:rPr>
          <w:rFonts w:cs="Arial"/>
          <w:color w:val="000000" w:themeColor="text1"/>
        </w:rPr>
      </w:pPr>
      <w:r>
        <w:rPr>
          <w:rFonts w:cs="Arial" w:hint="eastAsia"/>
          <w:color w:val="000000" w:themeColor="text1"/>
        </w:rPr>
        <w:t>其他说明：</w:t>
      </w:r>
    </w:p>
    <w:sdt>
      <w:sdtPr>
        <w:rPr>
          <w:rFonts w:cs="Arial"/>
          <w:color w:val="000000" w:themeColor="text1"/>
        </w:rPr>
        <w:alias w:val="是否适用：被合并方的资产、负债的说明[双击切换]"/>
        <w:tag w:val="_GBC_8f372a5c0c69446aabb6ef4fb8f7c20e"/>
        <w:id w:val="1779756373"/>
        <w:placeholder>
          <w:docPart w:val="GBC22222222222222222222222222222"/>
        </w:placeholder>
      </w:sdtPr>
      <w:sdtEndPr/>
      <w:sdtContent>
        <w:p w:rsidR="00156DD6" w:rsidRDefault="00D51F5F">
          <w:pPr>
            <w:rPr>
              <w:rFonts w:cs="Arial"/>
              <w:color w:val="000000" w:themeColor="text1"/>
            </w:rPr>
          </w:pPr>
          <w:r>
            <w:rPr>
              <w:rFonts w:cs="Arial"/>
              <w:color w:val="000000" w:themeColor="text1"/>
            </w:rPr>
            <w:fldChar w:fldCharType="begin"/>
          </w:r>
          <w:r>
            <w:rPr>
              <w:rFonts w:cs="Arial" w:hint="eastAsia"/>
              <w:color w:val="000000" w:themeColor="text1"/>
            </w:rPr>
            <w:instrText xml:space="preserve"> MACROBUTTON  SnrToggleCheckbox </w:instrText>
          </w:r>
          <w:r>
            <w:rPr>
              <w:rFonts w:cs="Arial" w:hint="eastAsia"/>
              <w:color w:val="000000" w:themeColor="text1"/>
            </w:rPr>
            <w:instrText>□适用</w:instrText>
          </w:r>
          <w:r>
            <w:rPr>
              <w:rFonts w:cs="Arial" w:hint="eastAsia"/>
              <w:color w:val="000000" w:themeColor="text1"/>
            </w:rPr>
            <w:instrText xml:space="preserve"> </w:instrText>
          </w:r>
          <w:r>
            <w:rPr>
              <w:rFonts w:cs="Arial"/>
              <w:color w:val="000000" w:themeColor="text1"/>
            </w:rPr>
            <w:fldChar w:fldCharType="end"/>
          </w:r>
          <w:r>
            <w:rPr>
              <w:rFonts w:cs="Arial"/>
              <w:color w:val="000000" w:themeColor="text1"/>
            </w:rPr>
            <w:fldChar w:fldCharType="begin"/>
          </w:r>
          <w:r>
            <w:rPr>
              <w:rFonts w:cs="Arial" w:hint="eastAsia"/>
              <w:color w:val="000000" w:themeColor="text1"/>
            </w:rPr>
            <w:instrText xml:space="preserve"> MACROBUTTON  SnrToggleCheckbox </w:instrText>
          </w:r>
          <w:r>
            <w:rPr>
              <w:rFonts w:cs="Arial" w:hint="eastAsia"/>
              <w:color w:val="000000" w:themeColor="text1"/>
            </w:rPr>
            <w:instrText>√不适用</w:instrText>
          </w:r>
          <w:r>
            <w:rPr>
              <w:rFonts w:cs="Arial" w:hint="eastAsia"/>
              <w:color w:val="000000" w:themeColor="text1"/>
            </w:rPr>
            <w:instrText xml:space="preserve"> </w:instrText>
          </w:r>
          <w:r>
            <w:rPr>
              <w:rFonts w:cs="Arial"/>
              <w:color w:val="000000" w:themeColor="text1"/>
            </w:rPr>
            <w:fldChar w:fldCharType="end"/>
          </w:r>
        </w:p>
      </w:sdtContent>
    </w:sdt>
    <w:p w:rsidR="00156DD6" w:rsidRDefault="00D51F5F">
      <w:pPr>
        <w:pStyle w:val="TOC6"/>
        <w:numPr>
          <w:ilvl w:val="0"/>
          <w:numId w:val="85"/>
        </w:numPr>
        <w:rPr>
          <w:rFonts w:ascii="宋体" w:hAnsi="宋体" w:cs="Arial"/>
          <w:color w:val="000000" w:themeColor="text1"/>
          <w:sz w:val="21"/>
          <w:szCs w:val="21"/>
        </w:rPr>
      </w:pPr>
      <w:r>
        <w:rPr>
          <w:rFonts w:ascii="宋体" w:hAnsi="宋体" w:cs="Arial" w:hint="eastAsia"/>
          <w:color w:val="000000" w:themeColor="text1"/>
          <w:sz w:val="21"/>
          <w:szCs w:val="21"/>
        </w:rPr>
        <w:t>反向购买</w:t>
      </w:r>
    </w:p>
    <w:sdt>
      <w:sdtPr>
        <w:rPr>
          <w:color w:val="000000" w:themeColor="text1"/>
        </w:rPr>
        <w:alias w:val="是否适用：反向购买[双击切换]"/>
        <w:tag w:val="_GBC_973cde3cea5d460790de47cc49169bde"/>
        <w:id w:val="-1336148901"/>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85"/>
        </w:numPr>
        <w:rPr>
          <w:rFonts w:ascii="宋体" w:hAnsi="宋体" w:cs="Arial"/>
          <w:color w:val="000000" w:themeColor="text1"/>
          <w:sz w:val="21"/>
          <w:szCs w:val="21"/>
        </w:rPr>
      </w:pPr>
      <w:bookmarkStart w:id="450" w:name="_Hlk167975840"/>
      <w:r>
        <w:rPr>
          <w:rFonts w:ascii="宋体" w:hAnsi="宋体" w:cs="Arial" w:hint="eastAsia"/>
          <w:color w:val="000000" w:themeColor="text1"/>
          <w:sz w:val="21"/>
          <w:szCs w:val="21"/>
        </w:rPr>
        <w:t>处置子公司</w:t>
      </w:r>
    </w:p>
    <w:p w:rsidR="00156DD6" w:rsidRDefault="00D51F5F">
      <w:pPr>
        <w:rPr>
          <w:color w:val="000000" w:themeColor="text1"/>
        </w:rPr>
      </w:pPr>
      <w:r>
        <w:rPr>
          <w:rFonts w:hint="eastAsia"/>
          <w:color w:val="000000" w:themeColor="text1"/>
        </w:rPr>
        <w:t>本期是否存在</w:t>
      </w:r>
      <w:r>
        <w:rPr>
          <w:color w:val="000000" w:themeColor="text1"/>
        </w:rPr>
        <w:t>丧失</w:t>
      </w:r>
      <w:r>
        <w:rPr>
          <w:rFonts w:hint="eastAsia"/>
          <w:color w:val="000000" w:themeColor="text1"/>
        </w:rPr>
        <w:t>子公司</w:t>
      </w:r>
      <w:r>
        <w:rPr>
          <w:color w:val="000000" w:themeColor="text1"/>
        </w:rPr>
        <w:t>控制权</w:t>
      </w:r>
      <w:r>
        <w:rPr>
          <w:rFonts w:hint="eastAsia"/>
          <w:color w:val="000000" w:themeColor="text1"/>
        </w:rPr>
        <w:t>的交易或事项</w:t>
      </w:r>
    </w:p>
    <w:sdt>
      <w:sdtPr>
        <w:rPr>
          <w:rFonts w:cs="Arial" w:hint="eastAsia"/>
          <w:color w:val="000000" w:themeColor="text1"/>
        </w:rPr>
        <w:alias w:val="是否存在单次交易处置对子公司投资即丧失控制权的情形[双击切换]"/>
        <w:tag w:val="_GBC_3326559ea8a84c1f80452d301a368ec5"/>
        <w:id w:val="-1498187526"/>
        <w:placeholder>
          <w:docPart w:val="GBC22222222222222222222222222222"/>
        </w:placeholder>
      </w:sdtPr>
      <w:sdtEndPr/>
      <w:sdtContent>
        <w:p w:rsidR="00156DD6" w:rsidRDefault="00D51F5F">
          <w:pPr>
            <w:rPr>
              <w:rFonts w:cs="Arial"/>
              <w:color w:val="000000" w:themeColor="text1"/>
            </w:rPr>
          </w:pPr>
          <w:r>
            <w:rPr>
              <w:rFonts w:cs="Arial"/>
              <w:color w:val="000000" w:themeColor="text1"/>
            </w:rPr>
            <w:fldChar w:fldCharType="begin"/>
          </w:r>
          <w:r>
            <w:rPr>
              <w:rFonts w:cs="Arial" w:hint="eastAsia"/>
              <w:color w:val="000000" w:themeColor="text1"/>
            </w:rPr>
            <w:instrText xml:space="preserve">MACROBUTTON  SnrToggleCheckbox </w:instrText>
          </w:r>
          <w:r>
            <w:rPr>
              <w:rFonts w:cs="Arial" w:hint="eastAsia"/>
              <w:color w:val="000000" w:themeColor="text1"/>
            </w:rPr>
            <w:instrText>□适用</w:instrText>
          </w:r>
          <w:r>
            <w:rPr>
              <w:rFonts w:cs="Arial" w:hint="eastAsia"/>
              <w:color w:val="000000" w:themeColor="text1"/>
            </w:rPr>
            <w:instrText xml:space="preserve"> </w:instrText>
          </w:r>
          <w:r>
            <w:rPr>
              <w:rFonts w:cs="Arial"/>
              <w:color w:val="000000" w:themeColor="text1"/>
            </w:rPr>
            <w:fldChar w:fldCharType="end"/>
          </w:r>
          <w:r>
            <w:rPr>
              <w:rFonts w:cs="Arial"/>
              <w:color w:val="000000" w:themeColor="text1"/>
            </w:rPr>
            <w:fldChar w:fldCharType="begin"/>
          </w:r>
          <w:r>
            <w:rPr>
              <w:rFonts w:cs="Arial" w:hint="eastAsia"/>
              <w:color w:val="000000" w:themeColor="text1"/>
            </w:rPr>
            <w:instrText xml:space="preserve"> MACROBUTTON  SnrToggleCheckbox </w:instrText>
          </w:r>
          <w:r>
            <w:rPr>
              <w:rFonts w:cs="Arial" w:hint="eastAsia"/>
              <w:color w:val="000000" w:themeColor="text1"/>
            </w:rPr>
            <w:instrText>√不适用</w:instrText>
          </w:r>
          <w:r>
            <w:rPr>
              <w:rFonts w:cs="Arial" w:hint="eastAsia"/>
              <w:color w:val="000000" w:themeColor="text1"/>
            </w:rPr>
            <w:instrText xml:space="preserve"> </w:instrText>
          </w:r>
          <w:r>
            <w:rPr>
              <w:rFonts w:cs="Arial"/>
              <w:color w:val="000000" w:themeColor="text1"/>
            </w:rPr>
            <w:fldChar w:fldCharType="end"/>
          </w:r>
        </w:p>
      </w:sdtContent>
    </w:sdt>
    <w:p w:rsidR="00156DD6" w:rsidRDefault="00D51F5F">
      <w:pPr>
        <w:rPr>
          <w:rFonts w:cs="Arial"/>
          <w:color w:val="000000" w:themeColor="text1"/>
        </w:rPr>
      </w:pPr>
      <w:r>
        <w:rPr>
          <w:rFonts w:cs="Arial" w:hint="eastAsia"/>
          <w:color w:val="000000" w:themeColor="text1"/>
        </w:rPr>
        <w:t>其他说明：</w:t>
      </w:r>
    </w:p>
    <w:sdt>
      <w:sdtPr>
        <w:rPr>
          <w:rFonts w:cs="Arial"/>
          <w:color w:val="000000" w:themeColor="text1"/>
        </w:rPr>
        <w:alias w:val="是否适用：单次交易处置对子公司投资即丧失控制权的情形的说明[双击切换]"/>
        <w:tag w:val="_GBC_29528d4c1c444136b1c9a196f82e0e52"/>
        <w:id w:val="1609009009"/>
        <w:placeholder>
          <w:docPart w:val="GBC22222222222222222222222222222"/>
        </w:placeholder>
      </w:sdtPr>
      <w:sdtEndPr/>
      <w:sdtContent>
        <w:p w:rsidR="00156DD6" w:rsidRDefault="00D51F5F">
          <w:pPr>
            <w:rPr>
              <w:color w:val="000000" w:themeColor="text1"/>
            </w:rPr>
          </w:pPr>
          <w:r>
            <w:rPr>
              <w:rFonts w:cs="Arial"/>
              <w:color w:val="000000" w:themeColor="text1"/>
            </w:rPr>
            <w:fldChar w:fldCharType="begin"/>
          </w:r>
          <w:r>
            <w:rPr>
              <w:rFonts w:cs="Arial" w:hint="eastAsia"/>
              <w:color w:val="000000" w:themeColor="text1"/>
            </w:rPr>
            <w:instrText xml:space="preserve">MACROBUTTON  SnrToggleCheckbox </w:instrText>
          </w:r>
          <w:r>
            <w:rPr>
              <w:rFonts w:cs="Arial" w:hint="eastAsia"/>
              <w:color w:val="000000" w:themeColor="text1"/>
            </w:rPr>
            <w:instrText>□适用</w:instrText>
          </w:r>
          <w:r>
            <w:rPr>
              <w:rFonts w:cs="Arial" w:hint="eastAsia"/>
              <w:color w:val="000000" w:themeColor="text1"/>
            </w:rPr>
            <w:instrText xml:space="preserve"> </w:instrText>
          </w:r>
          <w:r>
            <w:rPr>
              <w:rFonts w:cs="Arial"/>
              <w:color w:val="000000" w:themeColor="text1"/>
            </w:rPr>
            <w:fldChar w:fldCharType="end"/>
          </w:r>
          <w:r>
            <w:rPr>
              <w:rFonts w:cs="Arial"/>
              <w:color w:val="000000" w:themeColor="text1"/>
            </w:rPr>
            <w:fldChar w:fldCharType="begin"/>
          </w:r>
          <w:r>
            <w:rPr>
              <w:rFonts w:cs="Arial" w:hint="eastAsia"/>
              <w:color w:val="000000" w:themeColor="text1"/>
            </w:rPr>
            <w:instrText xml:space="preserve"> MACROBUTTON  SnrToggleCheckbox </w:instrText>
          </w:r>
          <w:r>
            <w:rPr>
              <w:rFonts w:cs="Arial" w:hint="eastAsia"/>
              <w:color w:val="000000" w:themeColor="text1"/>
            </w:rPr>
            <w:instrText>√不适用</w:instrText>
          </w:r>
          <w:r>
            <w:rPr>
              <w:rFonts w:cs="Arial" w:hint="eastAsia"/>
              <w:color w:val="000000" w:themeColor="text1"/>
            </w:rPr>
            <w:instrText xml:space="preserve"> </w:instrText>
          </w:r>
          <w:r>
            <w:rPr>
              <w:rFonts w:cs="Arial"/>
              <w:color w:val="000000" w:themeColor="text1"/>
            </w:rPr>
            <w:fldChar w:fldCharType="end"/>
          </w:r>
        </w:p>
      </w:sdtContent>
    </w:sdt>
    <w:p w:rsidR="00156DD6" w:rsidRDefault="00D51F5F">
      <w:pPr>
        <w:rPr>
          <w:rFonts w:cs="Arial"/>
          <w:color w:val="000000" w:themeColor="text1"/>
        </w:rPr>
      </w:pPr>
      <w:bookmarkStart w:id="451" w:name="_Hlk153549147"/>
      <w:r>
        <w:rPr>
          <w:rFonts w:cs="Arial" w:hint="eastAsia"/>
          <w:color w:val="000000" w:themeColor="text1"/>
        </w:rPr>
        <w:t>是否存在通过多次交易分步处置对子公司投资且在本期丧失控制权的情形</w:t>
      </w:r>
    </w:p>
    <w:sdt>
      <w:sdtPr>
        <w:rPr>
          <w:rFonts w:hint="eastAsia"/>
          <w:color w:val="000000" w:themeColor="text1"/>
          <w:sz w:val="21"/>
          <w:szCs w:val="21"/>
        </w:rPr>
        <w:alias w:val="是否存在通过多次交易分步处置对子公司投资且在本期丧失控制权的情形[双击切换]"/>
        <w:tag w:val="_GBC_1aa1c46a77684c9fbd35fa14e4e37b0c"/>
        <w:id w:val="1353300262"/>
        <w:placeholder>
          <w:docPart w:val="GBC22222222222222222222222222222"/>
        </w:placeholder>
      </w:sdtPr>
      <w:sdtEndPr/>
      <w:sdtContent>
        <w:p w:rsidR="00156DD6" w:rsidRDefault="00D51F5F">
          <w:pPr>
            <w:pStyle w:val="Style68"/>
            <w:rPr>
              <w:color w:val="000000" w:themeColor="text1"/>
              <w:sz w:val="21"/>
              <w:szCs w:val="21"/>
            </w:rPr>
          </w:pPr>
          <w:r>
            <w:rPr>
              <w:rFonts w:ascii="宋体" w:hAnsi="宋体"/>
              <w:color w:val="000000" w:themeColor="text1"/>
              <w:sz w:val="21"/>
              <w:szCs w:val="21"/>
            </w:rPr>
            <w:fldChar w:fldCharType="begin"/>
          </w:r>
          <w:r>
            <w:rPr>
              <w:rFonts w:ascii="宋体" w:hAnsi="宋体" w:hint="eastAsia"/>
              <w:color w:val="000000" w:themeColor="text1"/>
              <w:sz w:val="21"/>
              <w:szCs w:val="21"/>
            </w:rPr>
            <w:instrText xml:space="preserve">MACROBUTTON  SnrToggleCheckbox </w:instrText>
          </w:r>
          <w:r>
            <w:rPr>
              <w:rFonts w:ascii="宋体" w:hAnsi="宋体" w:hint="eastAsia"/>
              <w:color w:val="000000" w:themeColor="text1"/>
              <w:sz w:val="21"/>
              <w:szCs w:val="21"/>
            </w:rPr>
            <w:instrText>□适用</w:instrText>
          </w:r>
          <w:r>
            <w:rPr>
              <w:rFonts w:ascii="宋体" w:hAnsi="宋体" w:hint="eastAsia"/>
              <w:color w:val="000000" w:themeColor="text1"/>
              <w:sz w:val="21"/>
              <w:szCs w:val="21"/>
            </w:rPr>
            <w:instrText xml:space="preserve"> </w:instrText>
          </w:r>
          <w:r>
            <w:rPr>
              <w:rFonts w:ascii="宋体" w:hAnsi="宋体"/>
              <w:color w:val="000000" w:themeColor="text1"/>
              <w:sz w:val="21"/>
              <w:szCs w:val="21"/>
            </w:rPr>
            <w:fldChar w:fldCharType="end"/>
          </w:r>
          <w:r>
            <w:rPr>
              <w:rFonts w:ascii="宋体" w:hAnsi="宋体"/>
              <w:color w:val="000000" w:themeColor="text1"/>
              <w:sz w:val="21"/>
              <w:szCs w:val="21"/>
            </w:rPr>
            <w:fldChar w:fldCharType="begin"/>
          </w:r>
          <w:r>
            <w:rPr>
              <w:rFonts w:ascii="宋体" w:hAnsi="宋体" w:hint="eastAsia"/>
              <w:color w:val="000000" w:themeColor="text1"/>
              <w:sz w:val="21"/>
              <w:szCs w:val="21"/>
            </w:rPr>
            <w:instrText xml:space="preserve"> MACROBUTTON  SnrToggleCheckbox </w:instrText>
          </w:r>
          <w:r>
            <w:rPr>
              <w:rFonts w:ascii="宋体" w:hAnsi="宋体" w:hint="eastAsia"/>
              <w:color w:val="000000" w:themeColor="text1"/>
              <w:sz w:val="21"/>
              <w:szCs w:val="21"/>
            </w:rPr>
            <w:instrText>√不适用</w:instrText>
          </w:r>
          <w:r>
            <w:rPr>
              <w:rFonts w:ascii="宋体" w:hAnsi="宋体" w:hint="eastAsia"/>
              <w:color w:val="000000" w:themeColor="text1"/>
              <w:sz w:val="21"/>
              <w:szCs w:val="21"/>
            </w:rPr>
            <w:instrText xml:space="preserve"> </w:instrText>
          </w:r>
          <w:r>
            <w:rPr>
              <w:rFonts w:ascii="宋体" w:hAnsi="宋体"/>
              <w:color w:val="000000" w:themeColor="text1"/>
              <w:sz w:val="21"/>
              <w:szCs w:val="21"/>
            </w:rPr>
            <w:fldChar w:fldCharType="end"/>
          </w:r>
        </w:p>
      </w:sdtContent>
    </w:sdt>
    <w:bookmarkEnd w:id="451"/>
    <w:p w:rsidR="00156DD6" w:rsidRDefault="00D51F5F">
      <w:pPr>
        <w:rPr>
          <w:rFonts w:cs="Arial"/>
          <w:color w:val="000000" w:themeColor="text1"/>
        </w:rPr>
      </w:pPr>
      <w:r>
        <w:rPr>
          <w:rFonts w:cs="Arial" w:hint="eastAsia"/>
          <w:color w:val="000000" w:themeColor="text1"/>
        </w:rPr>
        <w:t>其他说明：</w:t>
      </w:r>
    </w:p>
    <w:sdt>
      <w:sdtPr>
        <w:rPr>
          <w:rFonts w:cs="Arial"/>
          <w:color w:val="000000" w:themeColor="text1"/>
        </w:rPr>
        <w:alias w:val="是否适用：是否存在通过多次交易分步处置对子公司投资且在本期丧失控制权的情形的说明[双击切换]"/>
        <w:tag w:val="_GBC_4d734455db284d62936c6dddb9394149"/>
        <w:id w:val="1011800984"/>
        <w:placeholder>
          <w:docPart w:val="GBC22222222222222222222222222222"/>
        </w:placeholder>
      </w:sdtPr>
      <w:sdtEndPr/>
      <w:sdtContent>
        <w:p w:rsidR="00156DD6" w:rsidRDefault="00D51F5F">
          <w:pPr>
            <w:rPr>
              <w:rFonts w:ascii="Calibri" w:hAnsi="Calibri" w:cs="Arial"/>
              <w:color w:val="000000" w:themeColor="text1"/>
            </w:rPr>
          </w:pPr>
          <w:r>
            <w:rPr>
              <w:rFonts w:cs="Arial"/>
              <w:color w:val="000000" w:themeColor="text1"/>
            </w:rPr>
            <w:fldChar w:fldCharType="begin"/>
          </w:r>
          <w:r>
            <w:rPr>
              <w:rFonts w:cs="Arial" w:hint="eastAsia"/>
              <w:color w:val="000000" w:themeColor="text1"/>
            </w:rPr>
            <w:instrText xml:space="preserve"> MACROBUTTON  SnrToggleCheckbox </w:instrText>
          </w:r>
          <w:r>
            <w:rPr>
              <w:rFonts w:cs="Arial" w:hint="eastAsia"/>
              <w:color w:val="000000" w:themeColor="text1"/>
            </w:rPr>
            <w:instrText>□适用</w:instrText>
          </w:r>
          <w:r>
            <w:rPr>
              <w:rFonts w:cs="Arial" w:hint="eastAsia"/>
              <w:color w:val="000000" w:themeColor="text1"/>
            </w:rPr>
            <w:instrText xml:space="preserve"> </w:instrText>
          </w:r>
          <w:r>
            <w:rPr>
              <w:rFonts w:cs="Arial"/>
              <w:color w:val="000000" w:themeColor="text1"/>
            </w:rPr>
            <w:fldChar w:fldCharType="end"/>
          </w:r>
          <w:r>
            <w:rPr>
              <w:rFonts w:cs="Arial"/>
              <w:color w:val="000000" w:themeColor="text1"/>
            </w:rPr>
            <w:fldChar w:fldCharType="begin"/>
          </w:r>
          <w:r>
            <w:rPr>
              <w:rFonts w:cs="Arial" w:hint="eastAsia"/>
              <w:color w:val="000000" w:themeColor="text1"/>
            </w:rPr>
            <w:instrText xml:space="preserve"> MACROBUTTON  SnrToggleCheckbox </w:instrText>
          </w:r>
          <w:r>
            <w:rPr>
              <w:rFonts w:cs="Arial" w:hint="eastAsia"/>
              <w:color w:val="000000" w:themeColor="text1"/>
            </w:rPr>
            <w:instrText>√不适用</w:instrText>
          </w:r>
          <w:r>
            <w:rPr>
              <w:rFonts w:cs="Arial" w:hint="eastAsia"/>
              <w:color w:val="000000" w:themeColor="text1"/>
            </w:rPr>
            <w:instrText xml:space="preserve"> </w:instrText>
          </w:r>
          <w:r>
            <w:rPr>
              <w:rFonts w:cs="Arial"/>
              <w:color w:val="000000" w:themeColor="text1"/>
            </w:rPr>
            <w:fldChar w:fldCharType="end"/>
          </w:r>
        </w:p>
      </w:sdtContent>
    </w:sdt>
    <w:bookmarkEnd w:id="450"/>
    <w:p w:rsidR="00156DD6" w:rsidRDefault="00D51F5F">
      <w:pPr>
        <w:pStyle w:val="TOC6"/>
        <w:numPr>
          <w:ilvl w:val="0"/>
          <w:numId w:val="85"/>
        </w:numPr>
        <w:rPr>
          <w:rFonts w:ascii="宋体" w:hAnsi="宋体" w:cs="Arial"/>
          <w:color w:val="000000" w:themeColor="text1"/>
          <w:sz w:val="21"/>
          <w:szCs w:val="22"/>
        </w:rPr>
      </w:pPr>
      <w:r>
        <w:rPr>
          <w:rFonts w:ascii="宋体" w:hAnsi="宋体" w:cs="Arial" w:hint="eastAsia"/>
          <w:color w:val="000000" w:themeColor="text1"/>
          <w:sz w:val="21"/>
          <w:szCs w:val="22"/>
        </w:rPr>
        <w:t>其他原因的合并范围变动</w:t>
      </w:r>
    </w:p>
    <w:p w:rsidR="00156DD6" w:rsidRDefault="00D51F5F">
      <w:pPr>
        <w:rPr>
          <w:color w:val="000000" w:themeColor="text1"/>
        </w:rPr>
      </w:pPr>
      <w:r>
        <w:rPr>
          <w:rFonts w:hint="eastAsia"/>
          <w:color w:val="000000" w:themeColor="text1"/>
        </w:rPr>
        <w:t>说明其他原因导致的合并范围变动（如，新设子公司、清算子公司等）及其相关情况：</w:t>
      </w:r>
    </w:p>
    <w:sdt>
      <w:sdtPr>
        <w:rPr>
          <w:color w:val="000000" w:themeColor="text1"/>
        </w:rPr>
        <w:alias w:val="是否适用：其他原因导致的合并范围变动及其相关情况[双击切换]"/>
        <w:tag w:val="_GBC_55cbf4f78793498cb1532f08bfbb61f4"/>
        <w:id w:val="-124980988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cs="Arial"/>
          <w:color w:val="000000" w:themeColor="text1"/>
        </w:rPr>
        <w:alias w:val="其他原因的合并范围变动"/>
        <w:tag w:val="_GBC_c83a0d19a27e42c0927cf85c8c6221e2"/>
        <w:id w:val="1856222886"/>
        <w:placeholder>
          <w:docPart w:val="GBC22222222222222222222222222222"/>
        </w:placeholder>
      </w:sdtPr>
      <w:sdtEndPr/>
      <w:sdtContent>
        <w:p w:rsidR="00156DD6" w:rsidRDefault="00D51F5F">
          <w:pPr>
            <w:spacing w:line="360" w:lineRule="exact"/>
            <w:ind w:firstLineChars="200" w:firstLine="420"/>
            <w:rPr>
              <w:rFonts w:cs="Arial"/>
              <w:color w:val="000000" w:themeColor="text1"/>
            </w:rPr>
          </w:pPr>
          <w:r>
            <w:rPr>
              <w:rFonts w:cs="Arial" w:hint="eastAsia"/>
              <w:color w:val="000000" w:themeColor="text1"/>
            </w:rPr>
            <w:t>（</w:t>
          </w:r>
          <w:r>
            <w:rPr>
              <w:rFonts w:cs="Arial" w:hint="eastAsia"/>
              <w:color w:val="000000" w:themeColor="text1"/>
            </w:rPr>
            <w:t>1</w:t>
          </w:r>
          <w:r>
            <w:rPr>
              <w:rFonts w:cs="Arial" w:hint="eastAsia"/>
              <w:color w:val="000000" w:themeColor="text1"/>
            </w:rPr>
            <w:t>）</w:t>
          </w:r>
          <w:r>
            <w:rPr>
              <w:rFonts w:cs="Arial" w:hint="eastAsia"/>
              <w:color w:val="000000" w:themeColor="text1"/>
            </w:rPr>
            <w:t>2025</w:t>
          </w:r>
          <w:r>
            <w:rPr>
              <w:rFonts w:cs="Arial" w:hint="eastAsia"/>
              <w:color w:val="000000" w:themeColor="text1"/>
            </w:rPr>
            <w:t>年</w:t>
          </w:r>
          <w:r>
            <w:rPr>
              <w:rFonts w:cs="Arial" w:hint="eastAsia"/>
              <w:color w:val="000000" w:themeColor="text1"/>
            </w:rPr>
            <w:t>2</w:t>
          </w:r>
          <w:r>
            <w:rPr>
              <w:rFonts w:cs="Arial" w:hint="eastAsia"/>
              <w:color w:val="000000" w:themeColor="text1"/>
            </w:rPr>
            <w:t>月，本公司出资设立沈阳望泽电气有限公司，注册资本为人民币</w:t>
          </w:r>
          <w:r>
            <w:rPr>
              <w:rFonts w:cs="Arial" w:hint="eastAsia"/>
              <w:color w:val="000000" w:themeColor="text1"/>
            </w:rPr>
            <w:t>1,000.00</w:t>
          </w:r>
          <w:r>
            <w:rPr>
              <w:rFonts w:cs="Arial" w:hint="eastAsia"/>
              <w:color w:val="000000" w:themeColor="text1"/>
            </w:rPr>
            <w:t>万元，本公司认缴的出资额占注册资本的比例为</w:t>
          </w:r>
          <w:r>
            <w:rPr>
              <w:rFonts w:cs="Arial" w:hint="eastAsia"/>
              <w:color w:val="000000" w:themeColor="text1"/>
            </w:rPr>
            <w:t>51.00%</w:t>
          </w:r>
          <w:r>
            <w:rPr>
              <w:rFonts w:cs="Arial" w:hint="eastAsia"/>
              <w:color w:val="000000" w:themeColor="text1"/>
            </w:rPr>
            <w:t>。</w:t>
          </w:r>
        </w:p>
        <w:p w:rsidR="00156DD6" w:rsidRDefault="00D51F5F">
          <w:pPr>
            <w:spacing w:line="360" w:lineRule="exact"/>
            <w:ind w:firstLineChars="200" w:firstLine="420"/>
            <w:rPr>
              <w:rFonts w:cs="Arial"/>
              <w:color w:val="000000" w:themeColor="text1"/>
            </w:rPr>
          </w:pPr>
          <w:r>
            <w:rPr>
              <w:rFonts w:cs="Arial" w:hint="eastAsia"/>
              <w:color w:val="000000" w:themeColor="text1"/>
            </w:rPr>
            <w:t>（</w:t>
          </w:r>
          <w:r>
            <w:rPr>
              <w:rFonts w:cs="Arial" w:hint="eastAsia"/>
              <w:color w:val="000000" w:themeColor="text1"/>
            </w:rPr>
            <w:t>2</w:t>
          </w:r>
          <w:r>
            <w:rPr>
              <w:rFonts w:cs="Arial" w:hint="eastAsia"/>
              <w:color w:val="000000" w:themeColor="text1"/>
            </w:rPr>
            <w:t>）</w:t>
          </w:r>
          <w:r>
            <w:rPr>
              <w:rFonts w:cs="Arial" w:hint="eastAsia"/>
              <w:color w:val="000000" w:themeColor="text1"/>
            </w:rPr>
            <w:t>2025</w:t>
          </w:r>
          <w:r>
            <w:rPr>
              <w:rFonts w:cs="Arial" w:hint="eastAsia"/>
              <w:color w:val="000000" w:themeColor="text1"/>
            </w:rPr>
            <w:t>年</w:t>
          </w:r>
          <w:r>
            <w:rPr>
              <w:rFonts w:cs="Arial" w:hint="eastAsia"/>
              <w:color w:val="000000" w:themeColor="text1"/>
            </w:rPr>
            <w:t>2</w:t>
          </w:r>
          <w:r>
            <w:rPr>
              <w:rFonts w:cs="Arial" w:hint="eastAsia"/>
              <w:color w:val="000000" w:themeColor="text1"/>
            </w:rPr>
            <w:t>月，本公司出资设立上海渝申望变新能源科技有限公司，注册资本为人民币</w:t>
          </w:r>
          <w:r>
            <w:rPr>
              <w:rFonts w:cs="Arial" w:hint="eastAsia"/>
              <w:color w:val="000000" w:themeColor="text1"/>
            </w:rPr>
            <w:t>400.00</w:t>
          </w:r>
          <w:r>
            <w:rPr>
              <w:rFonts w:cs="Arial" w:hint="eastAsia"/>
              <w:color w:val="000000" w:themeColor="text1"/>
            </w:rPr>
            <w:t>万元，本公司认缴的出资额占注册资本的比例为</w:t>
          </w:r>
          <w:r>
            <w:rPr>
              <w:rFonts w:cs="Arial" w:hint="eastAsia"/>
              <w:color w:val="000000" w:themeColor="text1"/>
            </w:rPr>
            <w:t>51.00%</w:t>
          </w:r>
          <w:r>
            <w:rPr>
              <w:rFonts w:cs="Arial" w:hint="eastAsia"/>
              <w:color w:val="000000" w:themeColor="text1"/>
            </w:rPr>
            <w:t>。</w:t>
          </w:r>
        </w:p>
        <w:p w:rsidR="00156DD6" w:rsidRDefault="00D51F5F">
          <w:pPr>
            <w:spacing w:line="360" w:lineRule="exact"/>
            <w:ind w:firstLineChars="200" w:firstLine="420"/>
            <w:rPr>
              <w:rFonts w:cs="Arial"/>
              <w:color w:val="000000" w:themeColor="text1"/>
            </w:rPr>
          </w:pPr>
          <w:r>
            <w:rPr>
              <w:rFonts w:cs="Arial" w:hint="eastAsia"/>
              <w:color w:val="000000" w:themeColor="text1"/>
            </w:rPr>
            <w:t>（</w:t>
          </w:r>
          <w:r>
            <w:rPr>
              <w:rFonts w:cs="Arial" w:hint="eastAsia"/>
              <w:color w:val="000000" w:themeColor="text1"/>
            </w:rPr>
            <w:t>3</w:t>
          </w:r>
          <w:r>
            <w:rPr>
              <w:rFonts w:cs="Arial" w:hint="eastAsia"/>
              <w:color w:val="000000" w:themeColor="text1"/>
            </w:rPr>
            <w:t>）</w:t>
          </w:r>
          <w:r>
            <w:rPr>
              <w:rFonts w:cs="Arial" w:hint="eastAsia"/>
              <w:color w:val="000000" w:themeColor="text1"/>
            </w:rPr>
            <w:t>2025</w:t>
          </w:r>
          <w:r>
            <w:rPr>
              <w:rFonts w:cs="Arial" w:hint="eastAsia"/>
              <w:color w:val="000000" w:themeColor="text1"/>
            </w:rPr>
            <w:t>年</w:t>
          </w:r>
          <w:r>
            <w:rPr>
              <w:rFonts w:cs="Arial" w:hint="eastAsia"/>
              <w:color w:val="000000" w:themeColor="text1"/>
            </w:rPr>
            <w:t>6</w:t>
          </w:r>
          <w:r>
            <w:rPr>
              <w:rFonts w:cs="Arial" w:hint="eastAsia"/>
              <w:color w:val="000000" w:themeColor="text1"/>
            </w:rPr>
            <w:t>月，本公司出资设立香港望变国际有限公司，注册资本为人民币</w:t>
          </w:r>
          <w:r>
            <w:rPr>
              <w:rFonts w:cs="Arial" w:hint="eastAsia"/>
              <w:color w:val="000000" w:themeColor="text1"/>
            </w:rPr>
            <w:t>3,000.00</w:t>
          </w:r>
          <w:r>
            <w:rPr>
              <w:rFonts w:cs="Arial" w:hint="eastAsia"/>
              <w:color w:val="000000" w:themeColor="text1"/>
            </w:rPr>
            <w:t>万元，本公司认缴的出资额占注册资本的比例为</w:t>
          </w:r>
          <w:r>
            <w:rPr>
              <w:rFonts w:cs="Arial" w:hint="eastAsia"/>
              <w:color w:val="000000" w:themeColor="text1"/>
            </w:rPr>
            <w:t>100.00%</w:t>
          </w:r>
          <w:r>
            <w:rPr>
              <w:rFonts w:cs="Arial" w:hint="eastAsia"/>
              <w:color w:val="000000" w:themeColor="text1"/>
            </w:rPr>
            <w:t>。</w:t>
          </w:r>
        </w:p>
      </w:sdtContent>
    </w:sdt>
    <w:p w:rsidR="00156DD6" w:rsidRDefault="00D51F5F">
      <w:pPr>
        <w:pStyle w:val="TOC6"/>
        <w:numPr>
          <w:ilvl w:val="0"/>
          <w:numId w:val="85"/>
        </w:numPr>
        <w:rPr>
          <w:rFonts w:ascii="宋体" w:hAnsi="宋体" w:cs="Arial"/>
          <w:color w:val="000000" w:themeColor="text1"/>
          <w:sz w:val="21"/>
          <w:szCs w:val="22"/>
        </w:rPr>
      </w:pPr>
      <w:r>
        <w:rPr>
          <w:rFonts w:ascii="宋体" w:hAnsi="宋体" w:cs="Arial" w:hint="eastAsia"/>
          <w:color w:val="000000" w:themeColor="text1"/>
          <w:sz w:val="21"/>
          <w:szCs w:val="22"/>
        </w:rPr>
        <w:t>其他</w:t>
      </w:r>
    </w:p>
    <w:sdt>
      <w:sdtPr>
        <w:rPr>
          <w:color w:val="000000" w:themeColor="text1"/>
        </w:rPr>
        <w:alias w:val="是否适用：合并范围的变更-其他说明[双击切换]"/>
        <w:tag w:val="_GBC_cca0ea12df6c44878cdcbeced06ed993"/>
        <w:id w:val="1397160621"/>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w:instrText>
          </w:r>
          <w:r>
            <w:rPr>
              <w:rFonts w:hint="eastAsia"/>
              <w:color w:val="000000" w:themeColor="text1"/>
            </w:rPr>
            <w:instrText xml:space="preserve">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lastRenderedPageBreak/>
        <w:t>在其他主体中的权益</w:t>
      </w:r>
    </w:p>
    <w:p w:rsidR="00156DD6" w:rsidRDefault="00D51F5F">
      <w:pPr>
        <w:pStyle w:val="TOC6"/>
        <w:numPr>
          <w:ilvl w:val="2"/>
          <w:numId w:val="88"/>
        </w:numPr>
        <w:rPr>
          <w:rFonts w:ascii="宋体" w:hAnsi="宋体"/>
          <w:color w:val="000000" w:themeColor="text1"/>
          <w:sz w:val="21"/>
          <w:szCs w:val="36"/>
        </w:rPr>
      </w:pPr>
      <w:r>
        <w:rPr>
          <w:rFonts w:ascii="宋体" w:hAnsi="宋体" w:hint="eastAsia"/>
          <w:color w:val="000000" w:themeColor="text1"/>
          <w:sz w:val="21"/>
          <w:szCs w:val="36"/>
        </w:rPr>
        <w:t>在子公司中的权益</w:t>
      </w:r>
    </w:p>
    <w:p w:rsidR="00156DD6" w:rsidRDefault="00D51F5F">
      <w:pPr>
        <w:pStyle w:val="Style47"/>
        <w:numPr>
          <w:ilvl w:val="3"/>
          <w:numId w:val="89"/>
        </w:numPr>
        <w:ind w:left="426" w:hangingChars="202" w:hanging="426"/>
        <w:rPr>
          <w:color w:val="000000" w:themeColor="text1"/>
          <w:sz w:val="21"/>
          <w:szCs w:val="32"/>
        </w:rPr>
      </w:pPr>
      <w:bookmarkStart w:id="452" w:name="_Hlk167975969"/>
      <w:r>
        <w:rPr>
          <w:rFonts w:hint="eastAsia"/>
          <w:color w:val="000000" w:themeColor="text1"/>
          <w:sz w:val="21"/>
          <w:szCs w:val="32"/>
        </w:rPr>
        <w:t>企业集团的构成</w:t>
      </w:r>
    </w:p>
    <w:sdt>
      <w:sdtPr>
        <w:rPr>
          <w:color w:val="000000" w:themeColor="text1"/>
        </w:rPr>
        <w:alias w:val="是否适用：企业集团的构成[双击切换]"/>
        <w:tag w:val="_GBC_d1c28d303a594095b9e1cc6b9a265571"/>
        <w:id w:val="91791425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r>
        <w:rPr>
          <w:rFonts w:hint="eastAsia"/>
          <w:color w:val="000000" w:themeColor="text1"/>
        </w:rPr>
        <w:t>:</w:t>
      </w:r>
      <w:sdt>
        <w:sdtPr>
          <w:rPr>
            <w:rFonts w:hint="eastAsia"/>
            <w:color w:val="000000" w:themeColor="text1"/>
          </w:rPr>
          <w:alias w:val="单位：企业集团的构成"/>
          <w:tag w:val="_GBC_02462820d05142eca3713abc443b34f5"/>
          <w:id w:val="-194522180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r>
        <w:rPr>
          <w:rFonts w:hint="eastAsia"/>
          <w:color w:val="000000" w:themeColor="text1"/>
        </w:rPr>
        <w:t>:</w:t>
      </w:r>
      <w:sdt>
        <w:sdtPr>
          <w:rPr>
            <w:rFonts w:hint="eastAsia"/>
            <w:color w:val="000000" w:themeColor="text1"/>
          </w:rPr>
          <w:alias w:val="币种：企业集团的构成"/>
          <w:tag w:val="_GBC_9d84d297c94f41a5a9a7a18208389646"/>
          <w:id w:val="13280177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036"/>
        <w:gridCol w:w="1528"/>
        <w:gridCol w:w="1027"/>
        <w:gridCol w:w="1050"/>
        <w:gridCol w:w="766"/>
        <w:gridCol w:w="708"/>
        <w:gridCol w:w="1740"/>
      </w:tblGrid>
      <w:tr w:rsidR="00156DD6">
        <w:trPr>
          <w:trHeight w:val="247"/>
        </w:trPr>
        <w:sdt>
          <w:sdtPr>
            <w:rPr>
              <w:sz w:val="18"/>
              <w:szCs w:val="18"/>
            </w:rPr>
            <w:tag w:val="_PLD_f9c2120a205a401daafe7d623ad6f73f"/>
            <w:id w:val="1963226531"/>
          </w:sdtPr>
          <w:sdtEndPr/>
          <w:sdtContent>
            <w:tc>
              <w:tcPr>
                <w:tcW w:w="549" w:type="pct"/>
                <w:vMerge w:val="restart"/>
                <w:vAlign w:val="center"/>
              </w:tcPr>
              <w:p w:rsidR="00156DD6" w:rsidRDefault="00D51F5F">
                <w:pPr>
                  <w:jc w:val="center"/>
                  <w:rPr>
                    <w:rFonts w:cs="Arial"/>
                    <w:color w:val="000000" w:themeColor="text1"/>
                    <w:sz w:val="18"/>
                    <w:szCs w:val="18"/>
                    <w:lang w:val="en-GB"/>
                  </w:rPr>
                </w:pPr>
                <w:r>
                  <w:rPr>
                    <w:rFonts w:cs="Arial" w:hint="eastAsia"/>
                    <w:color w:val="000000" w:themeColor="text1"/>
                    <w:sz w:val="18"/>
                    <w:szCs w:val="18"/>
                    <w:lang w:val="en-GB"/>
                  </w:rPr>
                  <w:t>子公司名称</w:t>
                </w:r>
              </w:p>
            </w:tc>
          </w:sdtContent>
        </w:sdt>
        <w:sdt>
          <w:sdtPr>
            <w:rPr>
              <w:sz w:val="18"/>
              <w:szCs w:val="18"/>
            </w:rPr>
            <w:tag w:val="_PLD_723e5916e8d942aa8a0a08bb0a7836d4"/>
            <w:id w:val="1061762382"/>
          </w:sdtPr>
          <w:sdtEndPr/>
          <w:sdtContent>
            <w:tc>
              <w:tcPr>
                <w:tcW w:w="587" w:type="pct"/>
                <w:vMerge w:val="restart"/>
                <w:vAlign w:val="center"/>
              </w:tcPr>
              <w:p w:rsidR="00156DD6" w:rsidRDefault="00D51F5F">
                <w:pPr>
                  <w:jc w:val="center"/>
                  <w:rPr>
                    <w:rFonts w:cs="Arial"/>
                    <w:color w:val="000000" w:themeColor="text1"/>
                    <w:sz w:val="18"/>
                    <w:szCs w:val="18"/>
                  </w:rPr>
                </w:pPr>
                <w:r>
                  <w:rPr>
                    <w:rFonts w:cs="Arial" w:hint="eastAsia"/>
                    <w:color w:val="000000" w:themeColor="text1"/>
                    <w:sz w:val="18"/>
                    <w:szCs w:val="18"/>
                    <w:lang w:val="en-GB"/>
                  </w:rPr>
                  <w:t>主要经营地</w:t>
                </w:r>
              </w:p>
            </w:tc>
          </w:sdtContent>
        </w:sdt>
        <w:tc>
          <w:tcPr>
            <w:tcW w:w="866" w:type="pct"/>
            <w:vMerge w:val="restart"/>
            <w:vAlign w:val="center"/>
          </w:tcPr>
          <w:sdt>
            <w:sdtPr>
              <w:rPr>
                <w:sz w:val="18"/>
                <w:szCs w:val="18"/>
              </w:rPr>
              <w:tag w:val="_PLD_d5e3d7a26fa0476b87e5fb13adf75c0b"/>
              <w:id w:val="815300815"/>
            </w:sdtPr>
            <w:sdtEndPr/>
            <w:sdtContent>
              <w:p w:rsidR="00156DD6" w:rsidRDefault="00D51F5F">
                <w:pPr>
                  <w:jc w:val="center"/>
                  <w:rPr>
                    <w:color w:val="000000" w:themeColor="text1"/>
                    <w:sz w:val="18"/>
                    <w:szCs w:val="18"/>
                  </w:rPr>
                </w:pPr>
                <w:r>
                  <w:rPr>
                    <w:rFonts w:hint="eastAsia"/>
                    <w:color w:val="000000" w:themeColor="text1"/>
                    <w:sz w:val="18"/>
                    <w:szCs w:val="18"/>
                  </w:rPr>
                  <w:t>注册资本</w:t>
                </w:r>
              </w:p>
            </w:sdtContent>
          </w:sdt>
        </w:tc>
        <w:sdt>
          <w:sdtPr>
            <w:rPr>
              <w:sz w:val="18"/>
              <w:szCs w:val="18"/>
            </w:rPr>
            <w:tag w:val="_PLD_75992b931bd8473e8e862e94745012a5"/>
            <w:id w:val="-273633004"/>
          </w:sdtPr>
          <w:sdtEndPr/>
          <w:sdtContent>
            <w:tc>
              <w:tcPr>
                <w:tcW w:w="582" w:type="pct"/>
                <w:vMerge w:val="restart"/>
                <w:vAlign w:val="center"/>
              </w:tcPr>
              <w:p w:rsidR="00156DD6" w:rsidRDefault="00D51F5F">
                <w:pPr>
                  <w:jc w:val="center"/>
                  <w:rPr>
                    <w:rFonts w:cs="Arial"/>
                    <w:color w:val="000000" w:themeColor="text1"/>
                    <w:sz w:val="18"/>
                    <w:szCs w:val="18"/>
                  </w:rPr>
                </w:pPr>
                <w:r>
                  <w:rPr>
                    <w:rFonts w:cs="Arial" w:hint="eastAsia"/>
                    <w:color w:val="000000" w:themeColor="text1"/>
                    <w:sz w:val="18"/>
                    <w:szCs w:val="18"/>
                    <w:lang w:val="en-GB"/>
                  </w:rPr>
                  <w:t>注册地</w:t>
                </w:r>
              </w:p>
            </w:tc>
          </w:sdtContent>
        </w:sdt>
        <w:sdt>
          <w:sdtPr>
            <w:rPr>
              <w:sz w:val="18"/>
              <w:szCs w:val="18"/>
            </w:rPr>
            <w:tag w:val="_PLD_81986d200a3740efb1af7efc5e522b86"/>
            <w:id w:val="-1521235212"/>
          </w:sdtPr>
          <w:sdtEndPr/>
          <w:sdtContent>
            <w:tc>
              <w:tcPr>
                <w:tcW w:w="595" w:type="pct"/>
                <w:vMerge w:val="restart"/>
                <w:vAlign w:val="center"/>
              </w:tcPr>
              <w:p w:rsidR="00156DD6" w:rsidRDefault="00D51F5F">
                <w:pPr>
                  <w:jc w:val="center"/>
                  <w:rPr>
                    <w:rFonts w:cs="Arial"/>
                    <w:color w:val="000000" w:themeColor="text1"/>
                    <w:sz w:val="18"/>
                    <w:szCs w:val="18"/>
                  </w:rPr>
                </w:pPr>
                <w:r>
                  <w:rPr>
                    <w:rFonts w:cs="Arial" w:hint="eastAsia"/>
                    <w:color w:val="000000" w:themeColor="text1"/>
                    <w:sz w:val="18"/>
                    <w:szCs w:val="18"/>
                    <w:lang w:val="en-GB"/>
                  </w:rPr>
                  <w:t>业务性质</w:t>
                </w:r>
              </w:p>
            </w:tc>
          </w:sdtContent>
        </w:sdt>
        <w:sdt>
          <w:sdtPr>
            <w:rPr>
              <w:sz w:val="18"/>
              <w:szCs w:val="18"/>
            </w:rPr>
            <w:tag w:val="_PLD_03c285667c254271b982c3c49476d597"/>
            <w:id w:val="1628040883"/>
          </w:sdtPr>
          <w:sdtEndPr/>
          <w:sdtContent>
            <w:tc>
              <w:tcPr>
                <w:tcW w:w="835" w:type="pct"/>
                <w:gridSpan w:val="2"/>
                <w:vAlign w:val="center"/>
              </w:tcPr>
              <w:p w:rsidR="00156DD6" w:rsidRDefault="00D51F5F">
                <w:pPr>
                  <w:jc w:val="center"/>
                  <w:rPr>
                    <w:rFonts w:cs="Arial"/>
                    <w:color w:val="000000" w:themeColor="text1"/>
                    <w:sz w:val="18"/>
                    <w:szCs w:val="18"/>
                  </w:rPr>
                </w:pPr>
                <w:r>
                  <w:rPr>
                    <w:rFonts w:cs="Arial" w:hint="eastAsia"/>
                    <w:color w:val="000000" w:themeColor="text1"/>
                    <w:sz w:val="18"/>
                    <w:szCs w:val="18"/>
                    <w:lang w:val="en-GB"/>
                  </w:rPr>
                  <w:t>持股比例</w:t>
                </w:r>
                <w:r>
                  <w:rPr>
                    <w:rFonts w:cs="Arial"/>
                    <w:color w:val="000000" w:themeColor="text1"/>
                    <w:sz w:val="18"/>
                    <w:szCs w:val="18"/>
                  </w:rPr>
                  <w:t>(%)</w:t>
                </w:r>
              </w:p>
            </w:tc>
          </w:sdtContent>
        </w:sdt>
        <w:sdt>
          <w:sdtPr>
            <w:rPr>
              <w:sz w:val="18"/>
              <w:szCs w:val="18"/>
            </w:rPr>
            <w:tag w:val="_PLD_b9a7fd2e9d044a72815c35f904479ae4"/>
            <w:id w:val="-1285116039"/>
          </w:sdtPr>
          <w:sdtEndPr/>
          <w:sdtContent>
            <w:tc>
              <w:tcPr>
                <w:tcW w:w="986" w:type="pct"/>
                <w:vMerge w:val="restart"/>
                <w:vAlign w:val="center"/>
              </w:tcPr>
              <w:p w:rsidR="00156DD6" w:rsidRDefault="00D51F5F">
                <w:pPr>
                  <w:jc w:val="center"/>
                  <w:rPr>
                    <w:rFonts w:cs="Arial"/>
                    <w:color w:val="000000" w:themeColor="text1"/>
                    <w:sz w:val="18"/>
                    <w:szCs w:val="18"/>
                    <w:lang w:val="en-GB"/>
                  </w:rPr>
                </w:pPr>
                <w:r>
                  <w:rPr>
                    <w:rFonts w:cs="Arial" w:hint="eastAsia"/>
                    <w:color w:val="000000" w:themeColor="text1"/>
                    <w:sz w:val="18"/>
                    <w:szCs w:val="18"/>
                    <w:lang w:val="en-GB"/>
                  </w:rPr>
                  <w:t>取得</w:t>
                </w:r>
              </w:p>
              <w:p w:rsidR="00156DD6" w:rsidRDefault="00D51F5F">
                <w:pPr>
                  <w:jc w:val="center"/>
                  <w:rPr>
                    <w:rFonts w:cs="Arial"/>
                    <w:color w:val="000000" w:themeColor="text1"/>
                    <w:sz w:val="18"/>
                    <w:szCs w:val="18"/>
                    <w:lang w:val="en-GB"/>
                  </w:rPr>
                </w:pPr>
                <w:r>
                  <w:rPr>
                    <w:rFonts w:cs="Arial" w:hint="eastAsia"/>
                    <w:color w:val="000000" w:themeColor="text1"/>
                    <w:sz w:val="18"/>
                    <w:szCs w:val="18"/>
                    <w:lang w:val="en-GB"/>
                  </w:rPr>
                  <w:t>方式</w:t>
                </w:r>
              </w:p>
            </w:tc>
          </w:sdtContent>
        </w:sdt>
      </w:tr>
      <w:tr w:rsidR="00156DD6">
        <w:trPr>
          <w:trHeight w:val="278"/>
        </w:trPr>
        <w:tc>
          <w:tcPr>
            <w:tcW w:w="549" w:type="pct"/>
            <w:vMerge/>
            <w:vAlign w:val="center"/>
          </w:tcPr>
          <w:p w:rsidR="00156DD6" w:rsidRDefault="00156DD6">
            <w:pPr>
              <w:rPr>
                <w:rFonts w:cs="Arial"/>
                <w:color w:val="000000" w:themeColor="text1"/>
                <w:sz w:val="18"/>
                <w:szCs w:val="18"/>
              </w:rPr>
            </w:pPr>
          </w:p>
        </w:tc>
        <w:tc>
          <w:tcPr>
            <w:tcW w:w="587" w:type="pct"/>
            <w:vMerge/>
            <w:vAlign w:val="center"/>
          </w:tcPr>
          <w:p w:rsidR="00156DD6" w:rsidRDefault="00156DD6">
            <w:pPr>
              <w:rPr>
                <w:rFonts w:cs="Arial"/>
                <w:color w:val="000000" w:themeColor="text1"/>
                <w:sz w:val="18"/>
                <w:szCs w:val="18"/>
              </w:rPr>
            </w:pPr>
          </w:p>
        </w:tc>
        <w:tc>
          <w:tcPr>
            <w:tcW w:w="866" w:type="pct"/>
            <w:vMerge/>
          </w:tcPr>
          <w:p w:rsidR="00156DD6" w:rsidRDefault="00156DD6">
            <w:pPr>
              <w:rPr>
                <w:rFonts w:cs="Arial"/>
                <w:color w:val="000000" w:themeColor="text1"/>
                <w:sz w:val="18"/>
                <w:szCs w:val="18"/>
              </w:rPr>
            </w:pPr>
          </w:p>
        </w:tc>
        <w:tc>
          <w:tcPr>
            <w:tcW w:w="582" w:type="pct"/>
            <w:vMerge/>
            <w:vAlign w:val="center"/>
          </w:tcPr>
          <w:p w:rsidR="00156DD6" w:rsidRDefault="00156DD6">
            <w:pPr>
              <w:rPr>
                <w:rFonts w:cs="Arial"/>
                <w:color w:val="000000" w:themeColor="text1"/>
                <w:sz w:val="18"/>
                <w:szCs w:val="18"/>
              </w:rPr>
            </w:pPr>
          </w:p>
        </w:tc>
        <w:tc>
          <w:tcPr>
            <w:tcW w:w="595" w:type="pct"/>
            <w:vMerge/>
            <w:vAlign w:val="center"/>
          </w:tcPr>
          <w:p w:rsidR="00156DD6" w:rsidRDefault="00156DD6">
            <w:pPr>
              <w:rPr>
                <w:rFonts w:cs="Arial"/>
                <w:color w:val="000000" w:themeColor="text1"/>
                <w:sz w:val="18"/>
                <w:szCs w:val="18"/>
              </w:rPr>
            </w:pPr>
          </w:p>
        </w:tc>
        <w:sdt>
          <w:sdtPr>
            <w:rPr>
              <w:sz w:val="18"/>
              <w:szCs w:val="18"/>
            </w:rPr>
            <w:tag w:val="_PLD_de578ebcf9ae4a679d3c9d71857b038a"/>
            <w:id w:val="500783743"/>
          </w:sdtPr>
          <w:sdtEndPr/>
          <w:sdtContent>
            <w:tc>
              <w:tcPr>
                <w:tcW w:w="434" w:type="pct"/>
                <w:vAlign w:val="center"/>
              </w:tcPr>
              <w:p w:rsidR="00156DD6" w:rsidRDefault="00D51F5F">
                <w:pPr>
                  <w:jc w:val="center"/>
                  <w:rPr>
                    <w:rFonts w:cs="Arial"/>
                    <w:color w:val="000000" w:themeColor="text1"/>
                    <w:sz w:val="18"/>
                    <w:szCs w:val="18"/>
                  </w:rPr>
                </w:pPr>
                <w:r>
                  <w:rPr>
                    <w:rFonts w:cs="Arial" w:hint="eastAsia"/>
                    <w:color w:val="000000" w:themeColor="text1"/>
                    <w:sz w:val="18"/>
                    <w:szCs w:val="18"/>
                    <w:lang w:val="en-GB"/>
                  </w:rPr>
                  <w:t>直接</w:t>
                </w:r>
              </w:p>
            </w:tc>
          </w:sdtContent>
        </w:sdt>
        <w:sdt>
          <w:sdtPr>
            <w:rPr>
              <w:sz w:val="18"/>
              <w:szCs w:val="18"/>
            </w:rPr>
            <w:tag w:val="_PLD_154fe2dd001b4c93b14ff5f5aec1fbc8"/>
            <w:id w:val="102083589"/>
          </w:sdtPr>
          <w:sdtEndPr/>
          <w:sdtContent>
            <w:tc>
              <w:tcPr>
                <w:tcW w:w="401" w:type="pct"/>
                <w:vAlign w:val="center"/>
              </w:tcPr>
              <w:p w:rsidR="00156DD6" w:rsidRDefault="00D51F5F">
                <w:pPr>
                  <w:jc w:val="center"/>
                  <w:rPr>
                    <w:rFonts w:cs="Arial"/>
                    <w:color w:val="000000" w:themeColor="text1"/>
                    <w:sz w:val="18"/>
                    <w:szCs w:val="18"/>
                  </w:rPr>
                </w:pPr>
                <w:r>
                  <w:rPr>
                    <w:rFonts w:cs="Arial" w:hint="eastAsia"/>
                    <w:color w:val="000000" w:themeColor="text1"/>
                    <w:sz w:val="18"/>
                    <w:szCs w:val="18"/>
                    <w:lang w:val="en-GB"/>
                  </w:rPr>
                  <w:t>间接</w:t>
                </w:r>
              </w:p>
            </w:tc>
          </w:sdtContent>
        </w:sdt>
        <w:tc>
          <w:tcPr>
            <w:tcW w:w="986" w:type="pct"/>
            <w:vMerge/>
          </w:tcPr>
          <w:p w:rsidR="00156DD6" w:rsidRDefault="00156DD6">
            <w:pPr>
              <w:rPr>
                <w:rFonts w:cs="Arial"/>
                <w:color w:val="000000" w:themeColor="text1"/>
                <w:sz w:val="18"/>
                <w:szCs w:val="18"/>
              </w:rPr>
            </w:pPr>
          </w:p>
        </w:tc>
      </w:tr>
      <w:tr w:rsidR="00156DD6">
        <w:tc>
          <w:tcPr>
            <w:tcW w:w="549" w:type="pct"/>
            <w:vAlign w:val="center"/>
          </w:tcPr>
          <w:p w:rsidR="00156DD6" w:rsidRDefault="00D51F5F">
            <w:pPr>
              <w:pStyle w:val="Style43"/>
              <w:jc w:val="both"/>
              <w:rPr>
                <w:sz w:val="18"/>
                <w:szCs w:val="18"/>
              </w:rPr>
            </w:pPr>
            <w:r>
              <w:rPr>
                <w:sz w:val="18"/>
                <w:szCs w:val="18"/>
              </w:rPr>
              <w:t>云变电气</w:t>
            </w:r>
          </w:p>
        </w:tc>
        <w:tc>
          <w:tcPr>
            <w:tcW w:w="587" w:type="pct"/>
            <w:vAlign w:val="center"/>
          </w:tcPr>
          <w:p w:rsidR="00156DD6" w:rsidRDefault="00D51F5F">
            <w:pPr>
              <w:pStyle w:val="Style43"/>
              <w:jc w:val="both"/>
              <w:rPr>
                <w:sz w:val="18"/>
                <w:szCs w:val="18"/>
              </w:rPr>
            </w:pPr>
            <w:r>
              <w:rPr>
                <w:sz w:val="18"/>
                <w:szCs w:val="18"/>
              </w:rPr>
              <w:t>云南昆明</w:t>
            </w:r>
          </w:p>
        </w:tc>
        <w:tc>
          <w:tcPr>
            <w:tcW w:w="866" w:type="pct"/>
            <w:vAlign w:val="center"/>
          </w:tcPr>
          <w:p w:rsidR="00156DD6" w:rsidRDefault="00D51F5F">
            <w:pPr>
              <w:jc w:val="right"/>
              <w:rPr>
                <w:sz w:val="18"/>
                <w:szCs w:val="18"/>
              </w:rPr>
            </w:pPr>
            <w:r>
              <w:rPr>
                <w:sz w:val="18"/>
                <w:szCs w:val="18"/>
              </w:rPr>
              <w:t>100,413,641.00</w:t>
            </w:r>
          </w:p>
        </w:tc>
        <w:tc>
          <w:tcPr>
            <w:tcW w:w="582" w:type="pct"/>
            <w:vAlign w:val="center"/>
          </w:tcPr>
          <w:p w:rsidR="00156DD6" w:rsidRDefault="00D51F5F">
            <w:pPr>
              <w:pStyle w:val="Style43"/>
              <w:jc w:val="both"/>
              <w:rPr>
                <w:sz w:val="18"/>
                <w:szCs w:val="18"/>
              </w:rPr>
            </w:pPr>
            <w:r>
              <w:rPr>
                <w:sz w:val="18"/>
                <w:szCs w:val="18"/>
              </w:rPr>
              <w:t>云南昆明</w:t>
            </w:r>
          </w:p>
        </w:tc>
        <w:tc>
          <w:tcPr>
            <w:tcW w:w="595" w:type="pct"/>
            <w:vAlign w:val="center"/>
          </w:tcPr>
          <w:p w:rsidR="00156DD6" w:rsidRDefault="00D51F5F">
            <w:pPr>
              <w:pStyle w:val="Style43"/>
              <w:jc w:val="center"/>
              <w:rPr>
                <w:sz w:val="18"/>
                <w:szCs w:val="18"/>
              </w:rPr>
            </w:pPr>
            <w:r>
              <w:rPr>
                <w:sz w:val="18"/>
                <w:szCs w:val="18"/>
              </w:rPr>
              <w:t>制造业</w:t>
            </w:r>
          </w:p>
        </w:tc>
        <w:tc>
          <w:tcPr>
            <w:tcW w:w="434" w:type="pct"/>
            <w:vAlign w:val="center"/>
          </w:tcPr>
          <w:p w:rsidR="00156DD6" w:rsidRDefault="00D51F5F">
            <w:pPr>
              <w:jc w:val="right"/>
              <w:rPr>
                <w:sz w:val="18"/>
                <w:szCs w:val="18"/>
              </w:rPr>
            </w:pPr>
            <w:r>
              <w:rPr>
                <w:sz w:val="18"/>
                <w:szCs w:val="18"/>
              </w:rPr>
              <w:t>100</w:t>
            </w:r>
          </w:p>
        </w:tc>
        <w:tc>
          <w:tcPr>
            <w:tcW w:w="401" w:type="pct"/>
          </w:tcPr>
          <w:p w:rsidR="00156DD6" w:rsidRDefault="00156DD6">
            <w:pPr>
              <w:jc w:val="right"/>
              <w:rPr>
                <w:sz w:val="18"/>
                <w:szCs w:val="18"/>
              </w:rPr>
            </w:pPr>
          </w:p>
        </w:tc>
        <w:tc>
          <w:tcPr>
            <w:tcW w:w="986" w:type="pct"/>
            <w:vAlign w:val="center"/>
          </w:tcPr>
          <w:p w:rsidR="00156DD6" w:rsidRDefault="00D51F5F">
            <w:pPr>
              <w:pStyle w:val="Style43"/>
              <w:jc w:val="both"/>
              <w:rPr>
                <w:sz w:val="18"/>
                <w:szCs w:val="18"/>
              </w:rPr>
            </w:pPr>
            <w:r>
              <w:rPr>
                <w:sz w:val="18"/>
                <w:szCs w:val="18"/>
              </w:rPr>
              <w:t>非同一控制下合并</w:t>
            </w:r>
          </w:p>
        </w:tc>
      </w:tr>
      <w:tr w:rsidR="00156DD6">
        <w:tc>
          <w:tcPr>
            <w:tcW w:w="549" w:type="pct"/>
            <w:vAlign w:val="center"/>
          </w:tcPr>
          <w:p w:rsidR="00156DD6" w:rsidRDefault="00D51F5F">
            <w:pPr>
              <w:pStyle w:val="Style43"/>
              <w:jc w:val="both"/>
              <w:rPr>
                <w:sz w:val="18"/>
                <w:szCs w:val="18"/>
              </w:rPr>
            </w:pPr>
            <w:r>
              <w:rPr>
                <w:sz w:val="18"/>
                <w:szCs w:val="18"/>
              </w:rPr>
              <w:t>惠泽电器</w:t>
            </w:r>
          </w:p>
        </w:tc>
        <w:tc>
          <w:tcPr>
            <w:tcW w:w="587" w:type="pct"/>
            <w:vAlign w:val="center"/>
          </w:tcPr>
          <w:p w:rsidR="00156DD6" w:rsidRDefault="00D51F5F">
            <w:pPr>
              <w:pStyle w:val="Style43"/>
              <w:jc w:val="both"/>
              <w:rPr>
                <w:sz w:val="18"/>
                <w:szCs w:val="18"/>
              </w:rPr>
            </w:pPr>
            <w:r>
              <w:rPr>
                <w:sz w:val="18"/>
                <w:szCs w:val="18"/>
              </w:rPr>
              <w:t>重庆长寿</w:t>
            </w:r>
          </w:p>
        </w:tc>
        <w:tc>
          <w:tcPr>
            <w:tcW w:w="866" w:type="pct"/>
            <w:vAlign w:val="center"/>
          </w:tcPr>
          <w:p w:rsidR="00156DD6" w:rsidRDefault="00D51F5F">
            <w:pPr>
              <w:jc w:val="right"/>
              <w:rPr>
                <w:sz w:val="18"/>
                <w:szCs w:val="18"/>
              </w:rPr>
            </w:pPr>
            <w:r>
              <w:rPr>
                <w:sz w:val="18"/>
                <w:szCs w:val="18"/>
              </w:rPr>
              <w:t>40,000,000.00</w:t>
            </w:r>
          </w:p>
        </w:tc>
        <w:tc>
          <w:tcPr>
            <w:tcW w:w="582" w:type="pct"/>
            <w:vAlign w:val="center"/>
          </w:tcPr>
          <w:p w:rsidR="00156DD6" w:rsidRDefault="00D51F5F">
            <w:pPr>
              <w:pStyle w:val="Style43"/>
              <w:jc w:val="both"/>
              <w:rPr>
                <w:sz w:val="18"/>
                <w:szCs w:val="18"/>
              </w:rPr>
            </w:pPr>
            <w:r>
              <w:rPr>
                <w:sz w:val="18"/>
                <w:szCs w:val="18"/>
              </w:rPr>
              <w:t>重庆长寿</w:t>
            </w:r>
          </w:p>
        </w:tc>
        <w:tc>
          <w:tcPr>
            <w:tcW w:w="595" w:type="pct"/>
            <w:vAlign w:val="center"/>
          </w:tcPr>
          <w:p w:rsidR="00156DD6" w:rsidRDefault="00D51F5F">
            <w:pPr>
              <w:pStyle w:val="Style43"/>
              <w:jc w:val="center"/>
              <w:rPr>
                <w:sz w:val="18"/>
                <w:szCs w:val="18"/>
              </w:rPr>
            </w:pPr>
            <w:r>
              <w:rPr>
                <w:sz w:val="18"/>
                <w:szCs w:val="18"/>
              </w:rPr>
              <w:t>制造业</w:t>
            </w:r>
          </w:p>
        </w:tc>
        <w:tc>
          <w:tcPr>
            <w:tcW w:w="434" w:type="pct"/>
            <w:vAlign w:val="center"/>
          </w:tcPr>
          <w:p w:rsidR="00156DD6" w:rsidRDefault="00D51F5F">
            <w:pPr>
              <w:jc w:val="right"/>
              <w:rPr>
                <w:sz w:val="18"/>
                <w:szCs w:val="18"/>
              </w:rPr>
            </w:pPr>
            <w:r>
              <w:rPr>
                <w:sz w:val="18"/>
                <w:szCs w:val="18"/>
              </w:rPr>
              <w:t>100</w:t>
            </w:r>
          </w:p>
        </w:tc>
        <w:tc>
          <w:tcPr>
            <w:tcW w:w="401" w:type="pct"/>
          </w:tcPr>
          <w:p w:rsidR="00156DD6" w:rsidRDefault="00156DD6">
            <w:pPr>
              <w:jc w:val="right"/>
              <w:rPr>
                <w:sz w:val="18"/>
                <w:szCs w:val="18"/>
              </w:rPr>
            </w:pPr>
          </w:p>
        </w:tc>
        <w:tc>
          <w:tcPr>
            <w:tcW w:w="986" w:type="pct"/>
            <w:vAlign w:val="center"/>
          </w:tcPr>
          <w:p w:rsidR="00156DD6" w:rsidRDefault="00D51F5F">
            <w:pPr>
              <w:pStyle w:val="Style43"/>
              <w:jc w:val="both"/>
              <w:rPr>
                <w:sz w:val="18"/>
                <w:szCs w:val="18"/>
              </w:rPr>
            </w:pPr>
            <w:r>
              <w:rPr>
                <w:sz w:val="18"/>
                <w:szCs w:val="18"/>
              </w:rPr>
              <w:t>同一控制下合并</w:t>
            </w:r>
          </w:p>
        </w:tc>
      </w:tr>
      <w:tr w:rsidR="00156DD6">
        <w:tc>
          <w:tcPr>
            <w:tcW w:w="549" w:type="pct"/>
            <w:vAlign w:val="center"/>
          </w:tcPr>
          <w:p w:rsidR="00156DD6" w:rsidRDefault="00D51F5F">
            <w:pPr>
              <w:pStyle w:val="Style43"/>
              <w:jc w:val="both"/>
              <w:rPr>
                <w:sz w:val="18"/>
                <w:szCs w:val="18"/>
              </w:rPr>
            </w:pPr>
            <w:r>
              <w:rPr>
                <w:sz w:val="18"/>
                <w:szCs w:val="18"/>
              </w:rPr>
              <w:t>黔南望江</w:t>
            </w:r>
          </w:p>
        </w:tc>
        <w:tc>
          <w:tcPr>
            <w:tcW w:w="587" w:type="pct"/>
            <w:vAlign w:val="center"/>
          </w:tcPr>
          <w:p w:rsidR="00156DD6" w:rsidRDefault="00D51F5F">
            <w:pPr>
              <w:pStyle w:val="Style43"/>
              <w:jc w:val="both"/>
              <w:rPr>
                <w:sz w:val="18"/>
                <w:szCs w:val="18"/>
              </w:rPr>
            </w:pPr>
            <w:r>
              <w:rPr>
                <w:sz w:val="18"/>
                <w:szCs w:val="18"/>
              </w:rPr>
              <w:t>贵州都匀</w:t>
            </w:r>
          </w:p>
        </w:tc>
        <w:tc>
          <w:tcPr>
            <w:tcW w:w="866" w:type="pct"/>
            <w:vAlign w:val="center"/>
          </w:tcPr>
          <w:p w:rsidR="00156DD6" w:rsidRDefault="00D51F5F">
            <w:pPr>
              <w:jc w:val="right"/>
              <w:rPr>
                <w:sz w:val="18"/>
                <w:szCs w:val="18"/>
              </w:rPr>
            </w:pPr>
            <w:r>
              <w:rPr>
                <w:sz w:val="18"/>
                <w:szCs w:val="18"/>
              </w:rPr>
              <w:t>60,000,000.00</w:t>
            </w:r>
          </w:p>
        </w:tc>
        <w:tc>
          <w:tcPr>
            <w:tcW w:w="582" w:type="pct"/>
            <w:vAlign w:val="center"/>
          </w:tcPr>
          <w:p w:rsidR="00156DD6" w:rsidRDefault="00D51F5F">
            <w:pPr>
              <w:pStyle w:val="Style43"/>
              <w:jc w:val="both"/>
              <w:rPr>
                <w:sz w:val="18"/>
                <w:szCs w:val="18"/>
              </w:rPr>
            </w:pPr>
            <w:r>
              <w:rPr>
                <w:sz w:val="18"/>
                <w:szCs w:val="18"/>
              </w:rPr>
              <w:t>贵州都匀</w:t>
            </w:r>
          </w:p>
        </w:tc>
        <w:tc>
          <w:tcPr>
            <w:tcW w:w="595" w:type="pct"/>
            <w:vAlign w:val="center"/>
          </w:tcPr>
          <w:p w:rsidR="00156DD6" w:rsidRDefault="00D51F5F">
            <w:pPr>
              <w:pStyle w:val="Style43"/>
              <w:jc w:val="center"/>
              <w:rPr>
                <w:sz w:val="18"/>
                <w:szCs w:val="18"/>
              </w:rPr>
            </w:pPr>
            <w:r>
              <w:rPr>
                <w:sz w:val="18"/>
                <w:szCs w:val="18"/>
              </w:rPr>
              <w:t>制造业</w:t>
            </w:r>
          </w:p>
        </w:tc>
        <w:tc>
          <w:tcPr>
            <w:tcW w:w="434" w:type="pct"/>
            <w:vAlign w:val="center"/>
          </w:tcPr>
          <w:p w:rsidR="00156DD6" w:rsidRDefault="00D51F5F">
            <w:pPr>
              <w:jc w:val="right"/>
              <w:rPr>
                <w:sz w:val="18"/>
                <w:szCs w:val="18"/>
              </w:rPr>
            </w:pPr>
            <w:r>
              <w:rPr>
                <w:sz w:val="18"/>
                <w:szCs w:val="18"/>
              </w:rPr>
              <w:t>100</w:t>
            </w:r>
          </w:p>
        </w:tc>
        <w:tc>
          <w:tcPr>
            <w:tcW w:w="401" w:type="pct"/>
          </w:tcPr>
          <w:p w:rsidR="00156DD6" w:rsidRDefault="00156DD6">
            <w:pPr>
              <w:jc w:val="right"/>
              <w:rPr>
                <w:sz w:val="18"/>
                <w:szCs w:val="18"/>
              </w:rPr>
            </w:pPr>
          </w:p>
        </w:tc>
        <w:tc>
          <w:tcPr>
            <w:tcW w:w="986" w:type="pct"/>
            <w:vAlign w:val="center"/>
          </w:tcPr>
          <w:p w:rsidR="00156DD6" w:rsidRDefault="00D51F5F">
            <w:pPr>
              <w:pStyle w:val="Style43"/>
              <w:jc w:val="both"/>
              <w:rPr>
                <w:sz w:val="18"/>
                <w:szCs w:val="18"/>
              </w:rPr>
            </w:pPr>
            <w:r>
              <w:rPr>
                <w:sz w:val="18"/>
                <w:szCs w:val="18"/>
              </w:rPr>
              <w:t>同一控制下合并</w:t>
            </w:r>
          </w:p>
        </w:tc>
      </w:tr>
      <w:tr w:rsidR="00156DD6">
        <w:tc>
          <w:tcPr>
            <w:tcW w:w="549" w:type="pct"/>
            <w:vAlign w:val="center"/>
          </w:tcPr>
          <w:p w:rsidR="00156DD6" w:rsidRDefault="00D51F5F">
            <w:pPr>
              <w:jc w:val="both"/>
              <w:rPr>
                <w:sz w:val="18"/>
                <w:szCs w:val="18"/>
              </w:rPr>
            </w:pPr>
            <w:r>
              <w:rPr>
                <w:rFonts w:hint="eastAsia"/>
                <w:sz w:val="18"/>
                <w:szCs w:val="18"/>
              </w:rPr>
              <w:t>沈阳望泽</w:t>
            </w:r>
          </w:p>
        </w:tc>
        <w:tc>
          <w:tcPr>
            <w:tcW w:w="587" w:type="pct"/>
            <w:vAlign w:val="center"/>
          </w:tcPr>
          <w:p w:rsidR="00156DD6" w:rsidRDefault="00D51F5F">
            <w:pPr>
              <w:jc w:val="both"/>
              <w:rPr>
                <w:sz w:val="18"/>
                <w:szCs w:val="18"/>
              </w:rPr>
            </w:pPr>
            <w:r>
              <w:rPr>
                <w:rFonts w:hint="eastAsia"/>
                <w:sz w:val="18"/>
                <w:szCs w:val="18"/>
              </w:rPr>
              <w:t>辽宁沈阳</w:t>
            </w:r>
          </w:p>
        </w:tc>
        <w:tc>
          <w:tcPr>
            <w:tcW w:w="866" w:type="pct"/>
            <w:vAlign w:val="center"/>
          </w:tcPr>
          <w:p w:rsidR="00156DD6" w:rsidRDefault="00D51F5F">
            <w:pPr>
              <w:jc w:val="right"/>
              <w:rPr>
                <w:sz w:val="18"/>
                <w:szCs w:val="18"/>
              </w:rPr>
            </w:pPr>
            <w:r>
              <w:rPr>
                <w:sz w:val="18"/>
                <w:szCs w:val="18"/>
              </w:rPr>
              <w:t>10,000,000.00</w:t>
            </w:r>
          </w:p>
        </w:tc>
        <w:tc>
          <w:tcPr>
            <w:tcW w:w="582" w:type="pct"/>
            <w:vAlign w:val="center"/>
          </w:tcPr>
          <w:p w:rsidR="00156DD6" w:rsidRDefault="00D51F5F">
            <w:pPr>
              <w:jc w:val="both"/>
              <w:rPr>
                <w:sz w:val="18"/>
                <w:szCs w:val="18"/>
              </w:rPr>
            </w:pPr>
            <w:r>
              <w:rPr>
                <w:rFonts w:hint="eastAsia"/>
                <w:sz w:val="18"/>
                <w:szCs w:val="18"/>
              </w:rPr>
              <w:t>辽宁沈阳</w:t>
            </w:r>
          </w:p>
        </w:tc>
        <w:tc>
          <w:tcPr>
            <w:tcW w:w="595" w:type="pct"/>
            <w:vAlign w:val="center"/>
          </w:tcPr>
          <w:p w:rsidR="00156DD6" w:rsidRDefault="00D51F5F">
            <w:pPr>
              <w:jc w:val="center"/>
              <w:rPr>
                <w:sz w:val="18"/>
                <w:szCs w:val="18"/>
              </w:rPr>
            </w:pPr>
            <w:r>
              <w:rPr>
                <w:rFonts w:hint="eastAsia"/>
                <w:sz w:val="18"/>
                <w:szCs w:val="18"/>
              </w:rPr>
              <w:t>设备、材料销售</w:t>
            </w:r>
          </w:p>
        </w:tc>
        <w:tc>
          <w:tcPr>
            <w:tcW w:w="434" w:type="pct"/>
            <w:vAlign w:val="center"/>
          </w:tcPr>
          <w:p w:rsidR="00156DD6" w:rsidRDefault="00D51F5F">
            <w:pPr>
              <w:jc w:val="right"/>
              <w:rPr>
                <w:sz w:val="18"/>
                <w:szCs w:val="18"/>
              </w:rPr>
            </w:pPr>
            <w:r>
              <w:rPr>
                <w:sz w:val="18"/>
                <w:szCs w:val="18"/>
              </w:rPr>
              <w:t>51</w:t>
            </w:r>
          </w:p>
        </w:tc>
        <w:tc>
          <w:tcPr>
            <w:tcW w:w="401" w:type="pct"/>
          </w:tcPr>
          <w:p w:rsidR="00156DD6" w:rsidRDefault="00156DD6">
            <w:pPr>
              <w:jc w:val="right"/>
              <w:rPr>
                <w:sz w:val="18"/>
                <w:szCs w:val="18"/>
              </w:rPr>
            </w:pPr>
          </w:p>
        </w:tc>
        <w:tc>
          <w:tcPr>
            <w:tcW w:w="986" w:type="pct"/>
            <w:vAlign w:val="center"/>
          </w:tcPr>
          <w:p w:rsidR="00156DD6" w:rsidRDefault="00D51F5F">
            <w:pPr>
              <w:jc w:val="both"/>
              <w:rPr>
                <w:sz w:val="18"/>
                <w:szCs w:val="18"/>
              </w:rPr>
            </w:pPr>
            <w:r>
              <w:rPr>
                <w:rFonts w:hint="eastAsia"/>
                <w:sz w:val="18"/>
                <w:szCs w:val="18"/>
              </w:rPr>
              <w:t>新增投资设立</w:t>
            </w:r>
          </w:p>
        </w:tc>
      </w:tr>
      <w:tr w:rsidR="00156DD6">
        <w:tc>
          <w:tcPr>
            <w:tcW w:w="549" w:type="pct"/>
            <w:vAlign w:val="center"/>
          </w:tcPr>
          <w:p w:rsidR="00156DD6" w:rsidRDefault="00D51F5F">
            <w:pPr>
              <w:jc w:val="both"/>
              <w:rPr>
                <w:sz w:val="18"/>
                <w:szCs w:val="18"/>
              </w:rPr>
            </w:pPr>
            <w:r>
              <w:rPr>
                <w:rFonts w:hint="eastAsia"/>
                <w:sz w:val="18"/>
                <w:szCs w:val="18"/>
              </w:rPr>
              <w:t>上海渝申</w:t>
            </w:r>
          </w:p>
        </w:tc>
        <w:tc>
          <w:tcPr>
            <w:tcW w:w="587" w:type="pct"/>
            <w:vAlign w:val="center"/>
          </w:tcPr>
          <w:p w:rsidR="00156DD6" w:rsidRDefault="00D51F5F">
            <w:pPr>
              <w:jc w:val="both"/>
              <w:rPr>
                <w:sz w:val="18"/>
                <w:szCs w:val="18"/>
              </w:rPr>
            </w:pPr>
            <w:r>
              <w:rPr>
                <w:rFonts w:hint="eastAsia"/>
                <w:sz w:val="18"/>
                <w:szCs w:val="18"/>
              </w:rPr>
              <w:t>上海市</w:t>
            </w:r>
          </w:p>
        </w:tc>
        <w:tc>
          <w:tcPr>
            <w:tcW w:w="866" w:type="pct"/>
            <w:vAlign w:val="center"/>
          </w:tcPr>
          <w:p w:rsidR="00156DD6" w:rsidRDefault="00D51F5F">
            <w:pPr>
              <w:jc w:val="right"/>
              <w:rPr>
                <w:sz w:val="18"/>
                <w:szCs w:val="18"/>
              </w:rPr>
            </w:pPr>
            <w:r>
              <w:rPr>
                <w:sz w:val="18"/>
                <w:szCs w:val="18"/>
              </w:rPr>
              <w:t>4,000,000.00</w:t>
            </w:r>
          </w:p>
        </w:tc>
        <w:tc>
          <w:tcPr>
            <w:tcW w:w="582" w:type="pct"/>
            <w:vAlign w:val="center"/>
          </w:tcPr>
          <w:p w:rsidR="00156DD6" w:rsidRDefault="00D51F5F">
            <w:pPr>
              <w:jc w:val="both"/>
              <w:rPr>
                <w:sz w:val="18"/>
                <w:szCs w:val="18"/>
              </w:rPr>
            </w:pPr>
            <w:r>
              <w:rPr>
                <w:rFonts w:hint="eastAsia"/>
                <w:sz w:val="18"/>
                <w:szCs w:val="18"/>
              </w:rPr>
              <w:t>上海市</w:t>
            </w:r>
          </w:p>
        </w:tc>
        <w:tc>
          <w:tcPr>
            <w:tcW w:w="595" w:type="pct"/>
            <w:vAlign w:val="center"/>
          </w:tcPr>
          <w:p w:rsidR="00156DD6" w:rsidRDefault="00D51F5F">
            <w:pPr>
              <w:jc w:val="center"/>
              <w:rPr>
                <w:sz w:val="18"/>
                <w:szCs w:val="18"/>
              </w:rPr>
            </w:pPr>
            <w:r>
              <w:rPr>
                <w:rFonts w:hint="eastAsia"/>
                <w:sz w:val="18"/>
                <w:szCs w:val="18"/>
              </w:rPr>
              <w:t>设备、材料销售</w:t>
            </w:r>
          </w:p>
        </w:tc>
        <w:tc>
          <w:tcPr>
            <w:tcW w:w="434" w:type="pct"/>
            <w:vAlign w:val="center"/>
          </w:tcPr>
          <w:p w:rsidR="00156DD6" w:rsidRDefault="00D51F5F">
            <w:pPr>
              <w:jc w:val="right"/>
              <w:rPr>
                <w:sz w:val="18"/>
                <w:szCs w:val="18"/>
              </w:rPr>
            </w:pPr>
            <w:r>
              <w:rPr>
                <w:rFonts w:hint="eastAsia"/>
                <w:sz w:val="18"/>
                <w:szCs w:val="18"/>
              </w:rPr>
              <w:t>51</w:t>
            </w:r>
          </w:p>
        </w:tc>
        <w:tc>
          <w:tcPr>
            <w:tcW w:w="401" w:type="pct"/>
          </w:tcPr>
          <w:p w:rsidR="00156DD6" w:rsidRDefault="00156DD6">
            <w:pPr>
              <w:jc w:val="right"/>
              <w:rPr>
                <w:sz w:val="18"/>
                <w:szCs w:val="18"/>
              </w:rPr>
            </w:pPr>
          </w:p>
        </w:tc>
        <w:tc>
          <w:tcPr>
            <w:tcW w:w="986" w:type="pct"/>
            <w:vAlign w:val="center"/>
          </w:tcPr>
          <w:p w:rsidR="00156DD6" w:rsidRDefault="00D51F5F">
            <w:pPr>
              <w:jc w:val="both"/>
              <w:rPr>
                <w:sz w:val="18"/>
                <w:szCs w:val="18"/>
              </w:rPr>
            </w:pPr>
            <w:r>
              <w:rPr>
                <w:rFonts w:hint="eastAsia"/>
                <w:sz w:val="18"/>
                <w:szCs w:val="18"/>
              </w:rPr>
              <w:t>新增投资设立</w:t>
            </w:r>
          </w:p>
        </w:tc>
      </w:tr>
      <w:tr w:rsidR="00156DD6">
        <w:tc>
          <w:tcPr>
            <w:tcW w:w="549" w:type="pct"/>
            <w:vAlign w:val="center"/>
          </w:tcPr>
          <w:p w:rsidR="00156DD6" w:rsidRDefault="00D51F5F">
            <w:pPr>
              <w:jc w:val="both"/>
              <w:rPr>
                <w:sz w:val="18"/>
                <w:szCs w:val="18"/>
              </w:rPr>
            </w:pPr>
            <w:r>
              <w:rPr>
                <w:rFonts w:hint="eastAsia"/>
                <w:sz w:val="18"/>
                <w:szCs w:val="18"/>
              </w:rPr>
              <w:t>香港望变</w:t>
            </w:r>
          </w:p>
        </w:tc>
        <w:tc>
          <w:tcPr>
            <w:tcW w:w="587" w:type="pct"/>
            <w:vAlign w:val="center"/>
          </w:tcPr>
          <w:p w:rsidR="00156DD6" w:rsidRDefault="00D51F5F">
            <w:pPr>
              <w:jc w:val="both"/>
              <w:rPr>
                <w:sz w:val="18"/>
                <w:szCs w:val="18"/>
              </w:rPr>
            </w:pPr>
            <w:r>
              <w:rPr>
                <w:rFonts w:hint="eastAsia"/>
                <w:sz w:val="18"/>
                <w:szCs w:val="18"/>
              </w:rPr>
              <w:t>中国香港</w:t>
            </w:r>
          </w:p>
        </w:tc>
        <w:tc>
          <w:tcPr>
            <w:tcW w:w="866" w:type="pct"/>
            <w:vAlign w:val="center"/>
          </w:tcPr>
          <w:p w:rsidR="00156DD6" w:rsidRDefault="00D51F5F">
            <w:pPr>
              <w:jc w:val="right"/>
              <w:rPr>
                <w:sz w:val="18"/>
                <w:szCs w:val="18"/>
              </w:rPr>
            </w:pPr>
            <w:r>
              <w:rPr>
                <w:sz w:val="18"/>
                <w:szCs w:val="18"/>
              </w:rPr>
              <w:t>30,000,000.00</w:t>
            </w:r>
          </w:p>
        </w:tc>
        <w:tc>
          <w:tcPr>
            <w:tcW w:w="582" w:type="pct"/>
            <w:vAlign w:val="center"/>
          </w:tcPr>
          <w:p w:rsidR="00156DD6" w:rsidRDefault="00D51F5F">
            <w:pPr>
              <w:jc w:val="both"/>
              <w:rPr>
                <w:sz w:val="18"/>
                <w:szCs w:val="18"/>
              </w:rPr>
            </w:pPr>
            <w:r>
              <w:rPr>
                <w:rFonts w:hint="eastAsia"/>
                <w:sz w:val="18"/>
                <w:szCs w:val="18"/>
              </w:rPr>
              <w:t>中国香港</w:t>
            </w:r>
          </w:p>
        </w:tc>
        <w:tc>
          <w:tcPr>
            <w:tcW w:w="595" w:type="pct"/>
            <w:vAlign w:val="center"/>
          </w:tcPr>
          <w:p w:rsidR="00156DD6" w:rsidRDefault="00D51F5F">
            <w:pPr>
              <w:jc w:val="center"/>
              <w:rPr>
                <w:sz w:val="18"/>
                <w:szCs w:val="18"/>
              </w:rPr>
            </w:pPr>
            <w:r>
              <w:rPr>
                <w:rFonts w:hint="eastAsia"/>
                <w:sz w:val="18"/>
                <w:szCs w:val="18"/>
              </w:rPr>
              <w:t>贸易</w:t>
            </w:r>
          </w:p>
        </w:tc>
        <w:tc>
          <w:tcPr>
            <w:tcW w:w="434" w:type="pct"/>
            <w:vAlign w:val="center"/>
          </w:tcPr>
          <w:p w:rsidR="00156DD6" w:rsidRDefault="00D51F5F">
            <w:pPr>
              <w:jc w:val="right"/>
              <w:rPr>
                <w:sz w:val="18"/>
                <w:szCs w:val="18"/>
              </w:rPr>
            </w:pPr>
            <w:r>
              <w:rPr>
                <w:rFonts w:hint="eastAsia"/>
                <w:sz w:val="18"/>
                <w:szCs w:val="18"/>
              </w:rPr>
              <w:t>100</w:t>
            </w:r>
          </w:p>
        </w:tc>
        <w:tc>
          <w:tcPr>
            <w:tcW w:w="401" w:type="pct"/>
          </w:tcPr>
          <w:p w:rsidR="00156DD6" w:rsidRDefault="00156DD6">
            <w:pPr>
              <w:jc w:val="right"/>
              <w:rPr>
                <w:sz w:val="18"/>
                <w:szCs w:val="18"/>
              </w:rPr>
            </w:pPr>
          </w:p>
        </w:tc>
        <w:tc>
          <w:tcPr>
            <w:tcW w:w="986" w:type="pct"/>
            <w:vAlign w:val="center"/>
          </w:tcPr>
          <w:p w:rsidR="00156DD6" w:rsidRDefault="00D51F5F">
            <w:pPr>
              <w:jc w:val="both"/>
              <w:rPr>
                <w:sz w:val="18"/>
                <w:szCs w:val="18"/>
              </w:rPr>
            </w:pPr>
            <w:r>
              <w:rPr>
                <w:rFonts w:hint="eastAsia"/>
                <w:sz w:val="18"/>
                <w:szCs w:val="18"/>
              </w:rPr>
              <w:t>新增投资设立</w:t>
            </w:r>
          </w:p>
        </w:tc>
      </w:tr>
    </w:tbl>
    <w:p w:rsidR="00156DD6" w:rsidRDefault="00D51F5F">
      <w:pPr>
        <w:rPr>
          <w:rFonts w:cs="Arial"/>
          <w:color w:val="000000" w:themeColor="text1"/>
        </w:rPr>
      </w:pPr>
      <w:r>
        <w:rPr>
          <w:rFonts w:cs="Arial" w:hint="eastAsia"/>
          <w:color w:val="000000" w:themeColor="text1"/>
        </w:rPr>
        <w:t>在子公司的持股比例不同于表决权比例的说明：</w:t>
      </w:r>
    </w:p>
    <w:p w:rsidR="00156DD6" w:rsidRDefault="00D51F5F">
      <w:pPr>
        <w:rPr>
          <w:rFonts w:cs="Arial"/>
          <w:color w:val="000000" w:themeColor="text1"/>
        </w:rPr>
      </w:pPr>
      <w:sdt>
        <w:sdtPr>
          <w:rPr>
            <w:rFonts w:cs="Arial"/>
            <w:color w:val="000000" w:themeColor="text1"/>
          </w:rPr>
          <w:alias w:val="在子公司的持股比例不同于表决权比例的说明"/>
          <w:tag w:val="_GBC_f369e5dd5f6e430ebbede4953d1e5b82"/>
          <w:id w:val="528609674"/>
          <w:placeholder>
            <w:docPart w:val="GBC22222222222222222222222222222"/>
          </w:placeholder>
        </w:sdtPr>
        <w:sdtEndPr/>
        <w:sdtContent>
          <w:r>
            <w:rPr>
              <w:rFonts w:cs="Arial" w:hint="eastAsia"/>
              <w:color w:val="000000" w:themeColor="text1"/>
            </w:rPr>
            <w:t>无</w:t>
          </w:r>
        </w:sdtContent>
      </w:sdt>
    </w:p>
    <w:p w:rsidR="00156DD6" w:rsidRDefault="00D51F5F">
      <w:pPr>
        <w:rPr>
          <w:rFonts w:cs="Arial"/>
          <w:color w:val="000000" w:themeColor="text1"/>
        </w:rPr>
      </w:pPr>
      <w:r>
        <w:rPr>
          <w:rFonts w:cs="Arial" w:hint="eastAsia"/>
          <w:color w:val="000000" w:themeColor="text1"/>
        </w:rPr>
        <w:t>持有半数或以下表决权但仍控制被投资单位、以及持有半数以上表决权但不控制被投资单位的依据：</w:t>
      </w:r>
    </w:p>
    <w:sdt>
      <w:sdtPr>
        <w:rPr>
          <w:rFonts w:cs="Arial"/>
          <w:color w:val="000000" w:themeColor="text1"/>
        </w:rPr>
        <w:alias w:val="持有半数或以下表决权但仍控制被投资单位、以及持有半数以上表决权但不控制被投资单位的依据"/>
        <w:tag w:val="_GBC_140bd5da597c40feaa9310db1d6dc624"/>
        <w:id w:val="351929533"/>
        <w:placeholder>
          <w:docPart w:val="GBC22222222222222222222222222222"/>
        </w:placeholder>
      </w:sdtPr>
      <w:sdtEndPr/>
      <w:sdtContent>
        <w:p w:rsidR="00156DD6" w:rsidRDefault="00D51F5F">
          <w:pPr>
            <w:rPr>
              <w:rFonts w:cs="Arial"/>
              <w:color w:val="000000" w:themeColor="text1"/>
            </w:rPr>
          </w:pPr>
          <w:sdt>
            <w:sdtPr>
              <w:rPr>
                <w:rFonts w:cs="Arial"/>
                <w:color w:val="000000" w:themeColor="text1"/>
              </w:rPr>
              <w:alias w:val="在子公司的持股比例不同于表决权比例的说明"/>
              <w:tag w:val="_GBC_f369e5dd5f6e430ebbede4953d1e5b82"/>
              <w:id w:val="-1388946443"/>
            </w:sdtPr>
            <w:sdtEndPr/>
            <w:sdtContent>
              <w:r>
                <w:rPr>
                  <w:rFonts w:cs="Arial" w:hint="eastAsia"/>
                  <w:color w:val="000000" w:themeColor="text1"/>
                </w:rPr>
                <w:t>无</w:t>
              </w:r>
            </w:sdtContent>
          </w:sdt>
        </w:p>
      </w:sdtContent>
    </w:sdt>
    <w:p w:rsidR="00156DD6" w:rsidRDefault="00D51F5F">
      <w:pPr>
        <w:rPr>
          <w:rFonts w:cs="Arial"/>
          <w:color w:val="000000" w:themeColor="text1"/>
        </w:rPr>
      </w:pPr>
      <w:r>
        <w:rPr>
          <w:rFonts w:cs="Arial" w:hint="eastAsia"/>
          <w:color w:val="000000" w:themeColor="text1"/>
        </w:rPr>
        <w:t>对于纳入合并范围的重要的结构化主体，控制的依据：</w:t>
      </w:r>
    </w:p>
    <w:sdt>
      <w:sdtPr>
        <w:rPr>
          <w:rFonts w:cs="Arial" w:hint="eastAsia"/>
          <w:color w:val="000000" w:themeColor="text1"/>
        </w:rPr>
        <w:alias w:val="对于纳入合并范围的重要的结构化主体，控制的依据"/>
        <w:tag w:val="_GBC_2d237439b4094e01b636ce2eb1be2008"/>
        <w:id w:val="1682008266"/>
        <w:placeholder>
          <w:docPart w:val="GBC22222222222222222222222222222"/>
        </w:placeholder>
      </w:sdtPr>
      <w:sdtEndPr/>
      <w:sdtContent>
        <w:p w:rsidR="00156DD6" w:rsidRDefault="00D51F5F">
          <w:pPr>
            <w:rPr>
              <w:rFonts w:cs="Arial"/>
              <w:color w:val="000000" w:themeColor="text1"/>
            </w:rPr>
          </w:pPr>
          <w:sdt>
            <w:sdtPr>
              <w:rPr>
                <w:rFonts w:cs="Arial"/>
                <w:color w:val="000000" w:themeColor="text1"/>
              </w:rPr>
              <w:alias w:val="在子公司的持股比例不同于表决权比例的说明"/>
              <w:tag w:val="_GBC_f369e5dd5f6e430ebbede4953d1e5b82"/>
              <w:id w:val="56371190"/>
            </w:sdtPr>
            <w:sdtEndPr/>
            <w:sdtContent>
              <w:r>
                <w:rPr>
                  <w:rFonts w:cs="Arial" w:hint="eastAsia"/>
                  <w:color w:val="000000" w:themeColor="text1"/>
                </w:rPr>
                <w:t>无</w:t>
              </w:r>
            </w:sdtContent>
          </w:sdt>
        </w:p>
      </w:sdtContent>
    </w:sdt>
    <w:p w:rsidR="00156DD6" w:rsidRDefault="00D51F5F">
      <w:pPr>
        <w:rPr>
          <w:rFonts w:cs="Arial"/>
          <w:color w:val="000000" w:themeColor="text1"/>
        </w:rPr>
      </w:pPr>
      <w:r>
        <w:rPr>
          <w:rFonts w:cs="Arial" w:hint="eastAsia"/>
          <w:color w:val="000000" w:themeColor="text1"/>
        </w:rPr>
        <w:t>确定公司是代理人还是委托人的依据：</w:t>
      </w:r>
    </w:p>
    <w:sdt>
      <w:sdtPr>
        <w:rPr>
          <w:rFonts w:cs="Arial" w:hint="eastAsia"/>
          <w:color w:val="000000" w:themeColor="text1"/>
        </w:rPr>
        <w:alias w:val="确定公司是代理人还是委托人的依据"/>
        <w:tag w:val="_GBC_6e0bd1ebb4c2474da455b4f5a3a59699"/>
        <w:id w:val="1301960420"/>
        <w:placeholder>
          <w:docPart w:val="GBC22222222222222222222222222222"/>
        </w:placeholder>
      </w:sdtPr>
      <w:sdtEndPr/>
      <w:sdtContent>
        <w:p w:rsidR="00156DD6" w:rsidRDefault="00D51F5F">
          <w:pPr>
            <w:rPr>
              <w:rFonts w:cs="Arial"/>
              <w:color w:val="000000" w:themeColor="text1"/>
            </w:rPr>
          </w:pPr>
          <w:sdt>
            <w:sdtPr>
              <w:rPr>
                <w:rFonts w:cs="Arial"/>
                <w:color w:val="000000" w:themeColor="text1"/>
              </w:rPr>
              <w:alias w:val="在子公司的持股比例不同于表决权比例的说明"/>
              <w:tag w:val="_GBC_f369e5dd5f6e430ebbede4953d1e5b82"/>
              <w:id w:val="1985341664"/>
            </w:sdtPr>
            <w:sdtEndPr/>
            <w:sdtContent>
              <w:r>
                <w:rPr>
                  <w:rFonts w:cs="Arial" w:hint="eastAsia"/>
                  <w:color w:val="000000" w:themeColor="text1"/>
                </w:rPr>
                <w:t>无</w:t>
              </w:r>
            </w:sdtContent>
          </w:sdt>
        </w:p>
      </w:sdtContent>
    </w:sdt>
    <w:p w:rsidR="00156DD6" w:rsidRDefault="00D51F5F">
      <w:pPr>
        <w:rPr>
          <w:rFonts w:cs="Arial"/>
          <w:color w:val="000000" w:themeColor="text1"/>
        </w:rPr>
      </w:pPr>
      <w:r>
        <w:rPr>
          <w:rFonts w:cs="Arial" w:hint="eastAsia"/>
          <w:color w:val="000000" w:themeColor="text1"/>
        </w:rPr>
        <w:t>其他说明：</w:t>
      </w:r>
    </w:p>
    <w:sdt>
      <w:sdtPr>
        <w:rPr>
          <w:rFonts w:cs="Arial"/>
          <w:color w:val="000000" w:themeColor="text1"/>
        </w:rPr>
        <w:alias w:val="企业集团的构成的其他需要说明的事项"/>
        <w:tag w:val="_GBC_6b7d2d3a14224f7e90a4df3c02b8e3b3"/>
        <w:id w:val="641314859"/>
        <w:placeholder>
          <w:docPart w:val="GBC22222222222222222222222222222"/>
        </w:placeholder>
      </w:sdtPr>
      <w:sdtEndPr/>
      <w:sdtContent>
        <w:p w:rsidR="00156DD6" w:rsidRDefault="00D51F5F">
          <w:pPr>
            <w:rPr>
              <w:rFonts w:cstheme="minorBidi"/>
              <w:color w:val="000000" w:themeColor="text1"/>
            </w:rPr>
          </w:pPr>
          <w:sdt>
            <w:sdtPr>
              <w:rPr>
                <w:rFonts w:cs="Arial"/>
                <w:color w:val="000000" w:themeColor="text1"/>
              </w:rPr>
              <w:alias w:val="在子公司的持股比例不同于表决权比例的说明"/>
              <w:tag w:val="_GBC_f369e5dd5f6e430ebbede4953d1e5b82"/>
              <w:id w:val="-1400428315"/>
            </w:sdtPr>
            <w:sdtEndPr/>
            <w:sdtContent>
              <w:r>
                <w:rPr>
                  <w:rFonts w:cs="Arial" w:hint="eastAsia"/>
                  <w:color w:val="000000" w:themeColor="text1"/>
                </w:rPr>
                <w:t>无</w:t>
              </w:r>
            </w:sdtContent>
          </w:sdt>
        </w:p>
      </w:sdtContent>
    </w:sdt>
    <w:bookmarkEnd w:id="452"/>
    <w:p w:rsidR="00156DD6" w:rsidRDefault="00D51F5F">
      <w:pPr>
        <w:pStyle w:val="Style47"/>
        <w:numPr>
          <w:ilvl w:val="3"/>
          <w:numId w:val="89"/>
        </w:numPr>
        <w:ind w:left="426" w:hangingChars="202" w:hanging="426"/>
        <w:rPr>
          <w:color w:val="000000" w:themeColor="text1"/>
          <w:sz w:val="21"/>
          <w:szCs w:val="21"/>
        </w:rPr>
      </w:pPr>
      <w:r>
        <w:rPr>
          <w:rFonts w:hint="eastAsia"/>
          <w:color w:val="000000" w:themeColor="text1"/>
          <w:sz w:val="21"/>
          <w:szCs w:val="21"/>
        </w:rPr>
        <w:t>重要的非全资子公司</w:t>
      </w:r>
    </w:p>
    <w:sdt>
      <w:sdtPr>
        <w:rPr>
          <w:color w:val="000000" w:themeColor="text1"/>
          <w:sz w:val="21"/>
          <w:szCs w:val="21"/>
        </w:rPr>
        <w:alias w:val="是否适用：重要的非全资子公司[双击切换]"/>
        <w:tag w:val="_GBC_b83f349d0d754e2d93b12d2112b4c3ec"/>
        <w:id w:val="-1181728578"/>
        <w:placeholder>
          <w:docPart w:val="GBC22222222222222222222222222222"/>
        </w:placeholder>
      </w:sdtPr>
      <w:sdtEndPr/>
      <w:sdtContent>
        <w:p w:rsidR="00156DD6" w:rsidRDefault="00D51F5F">
          <w:pPr>
            <w:pStyle w:val="Style43"/>
            <w:rPr>
              <w:sz w:val="21"/>
              <w:szCs w:val="21"/>
            </w:rPr>
          </w:pPr>
          <w:r>
            <w:rPr>
              <w:rFonts w:ascii="宋体" w:hAnsi="宋体"/>
              <w:color w:val="000000" w:themeColor="text1"/>
              <w:sz w:val="21"/>
              <w:szCs w:val="21"/>
            </w:rPr>
            <w:fldChar w:fldCharType="begin"/>
          </w:r>
          <w:r>
            <w:rPr>
              <w:rFonts w:ascii="宋体" w:hAnsi="宋体" w:hint="eastAsia"/>
              <w:color w:val="000000" w:themeColor="text1"/>
              <w:sz w:val="21"/>
              <w:szCs w:val="21"/>
            </w:rPr>
            <w:instrText xml:space="preserve"> MACROBUTTON  SnrToggleCheckbox </w:instrText>
          </w:r>
          <w:r>
            <w:rPr>
              <w:rFonts w:ascii="宋体" w:hAnsi="宋体" w:hint="eastAsia"/>
              <w:color w:val="000000" w:themeColor="text1"/>
              <w:sz w:val="21"/>
              <w:szCs w:val="21"/>
            </w:rPr>
            <w:instrText>□适用</w:instrText>
          </w:r>
          <w:r>
            <w:rPr>
              <w:rFonts w:ascii="宋体" w:hAnsi="宋体" w:hint="eastAsia"/>
              <w:color w:val="000000" w:themeColor="text1"/>
              <w:sz w:val="21"/>
              <w:szCs w:val="21"/>
            </w:rPr>
            <w:instrText xml:space="preserve"> </w:instrText>
          </w:r>
          <w:r>
            <w:rPr>
              <w:rFonts w:ascii="宋体" w:hAnsi="宋体"/>
              <w:color w:val="000000" w:themeColor="text1"/>
              <w:sz w:val="21"/>
              <w:szCs w:val="21"/>
            </w:rPr>
            <w:fldChar w:fldCharType="end"/>
          </w:r>
          <w:r>
            <w:rPr>
              <w:rFonts w:ascii="宋体" w:hAnsi="宋体"/>
              <w:color w:val="000000" w:themeColor="text1"/>
              <w:sz w:val="21"/>
              <w:szCs w:val="21"/>
            </w:rPr>
            <w:fldChar w:fldCharType="begin"/>
          </w:r>
          <w:r>
            <w:rPr>
              <w:rFonts w:ascii="宋体" w:hAnsi="宋体" w:hint="eastAsia"/>
              <w:color w:val="000000" w:themeColor="text1"/>
              <w:sz w:val="21"/>
              <w:szCs w:val="21"/>
            </w:rPr>
            <w:instrText xml:space="preserve"> MACROBUTTON  SnrToggleCheckbox </w:instrText>
          </w:r>
          <w:r>
            <w:rPr>
              <w:rFonts w:ascii="宋体" w:hAnsi="宋体" w:hint="eastAsia"/>
              <w:color w:val="000000" w:themeColor="text1"/>
              <w:sz w:val="21"/>
              <w:szCs w:val="21"/>
            </w:rPr>
            <w:instrText>√不适用</w:instrText>
          </w:r>
          <w:r>
            <w:rPr>
              <w:rFonts w:ascii="宋体" w:hAnsi="宋体" w:hint="eastAsia"/>
              <w:color w:val="000000" w:themeColor="text1"/>
              <w:sz w:val="21"/>
              <w:szCs w:val="21"/>
            </w:rPr>
            <w:instrText xml:space="preserve"> </w:instrText>
          </w:r>
          <w:r>
            <w:rPr>
              <w:rFonts w:ascii="宋体" w:hAnsi="宋体"/>
              <w:color w:val="000000" w:themeColor="text1"/>
              <w:sz w:val="21"/>
              <w:szCs w:val="21"/>
            </w:rPr>
            <w:fldChar w:fldCharType="end"/>
          </w:r>
        </w:p>
      </w:sdtContent>
    </w:sdt>
    <w:p w:rsidR="00156DD6" w:rsidRDefault="00D51F5F">
      <w:pPr>
        <w:pStyle w:val="Style47"/>
        <w:numPr>
          <w:ilvl w:val="3"/>
          <w:numId w:val="89"/>
        </w:numPr>
        <w:ind w:left="426" w:hangingChars="202" w:hanging="426"/>
        <w:rPr>
          <w:color w:val="000000" w:themeColor="text1"/>
          <w:sz w:val="21"/>
          <w:szCs w:val="21"/>
        </w:rPr>
      </w:pPr>
      <w:r>
        <w:rPr>
          <w:rFonts w:hint="eastAsia"/>
          <w:color w:val="000000" w:themeColor="text1"/>
          <w:sz w:val="21"/>
          <w:szCs w:val="21"/>
        </w:rPr>
        <w:t>重要非全资子公司的主要财务信息</w:t>
      </w:r>
    </w:p>
    <w:sdt>
      <w:sdtPr>
        <w:rPr>
          <w:color w:val="000000" w:themeColor="text1"/>
        </w:rPr>
        <w:alias w:val="是否适用：重要非全资子公司的主要财务信息[双击切换]"/>
        <w:tag w:val="_GBC_c10a7c42e39b4ac9a711e2e9d367799e"/>
        <w:id w:val="514280122"/>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89"/>
        </w:numPr>
        <w:ind w:left="426" w:hangingChars="202" w:hanging="426"/>
        <w:rPr>
          <w:color w:val="000000" w:themeColor="text1"/>
          <w:sz w:val="21"/>
          <w:szCs w:val="21"/>
        </w:rPr>
      </w:pPr>
      <w:r>
        <w:rPr>
          <w:rFonts w:hint="eastAsia"/>
          <w:color w:val="000000" w:themeColor="text1"/>
          <w:sz w:val="21"/>
          <w:szCs w:val="21"/>
        </w:rPr>
        <w:t>使用企业集团资产和清偿企业集团债务的重大限制：</w:t>
      </w:r>
    </w:p>
    <w:sdt>
      <w:sdtPr>
        <w:rPr>
          <w:color w:val="000000" w:themeColor="text1"/>
        </w:rPr>
        <w:alias w:val="是否适用：使用企业集团资产和清偿企业集团债务的重大限制[双击切换]"/>
        <w:tag w:val="_GBC_d4aaeca51c634ffea892b86812441771"/>
        <w:id w:val="499319725"/>
        <w:placeholder>
          <w:docPart w:val="GBC22222222222222222222222222222"/>
        </w:placeholder>
      </w:sdtPr>
      <w:sdtEndPr/>
      <w:sdtContent>
        <w:p w:rsidR="00156DD6" w:rsidRDefault="00D51F5F">
          <w:pPr>
            <w:rPr>
              <w:rFonts w:cs="Arial"/>
              <w:b/>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89"/>
        </w:numPr>
        <w:ind w:left="426" w:hangingChars="202" w:hanging="426"/>
        <w:rPr>
          <w:color w:val="000000" w:themeColor="text1"/>
          <w:sz w:val="21"/>
          <w:szCs w:val="21"/>
        </w:rPr>
      </w:pPr>
      <w:r>
        <w:rPr>
          <w:rFonts w:hint="eastAsia"/>
          <w:color w:val="000000" w:themeColor="text1"/>
          <w:sz w:val="21"/>
          <w:szCs w:val="21"/>
        </w:rPr>
        <w:t>向纳入合并财务报表范围的结构化主体提供的财务支持或其他支持：</w:t>
      </w:r>
    </w:p>
    <w:sdt>
      <w:sdtPr>
        <w:rPr>
          <w:color w:val="000000" w:themeColor="text1"/>
        </w:rPr>
        <w:alias w:val="是否适用：向纳入合并财务报表范围的结构化主体提供的财务支持或其他支持[双击切换]"/>
        <w:tag w:val="_GBC_3ee0b326ed544ace8060843f29d4cd3a"/>
        <w:id w:val="1466153646"/>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在子公司中的权益其他说明[双击切换]"/>
        <w:tag w:val="_GBC_e4c33fb40d7a42bc88681a9facbf5ba5"/>
        <w:id w:val="2329679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2"/>
          <w:numId w:val="88"/>
        </w:numPr>
        <w:rPr>
          <w:rFonts w:ascii="宋体" w:hAnsi="宋体"/>
          <w:color w:val="000000" w:themeColor="text1"/>
          <w:sz w:val="21"/>
          <w:szCs w:val="21"/>
        </w:rPr>
      </w:pPr>
      <w:r>
        <w:rPr>
          <w:rFonts w:ascii="宋体" w:hAnsi="宋体" w:hint="eastAsia"/>
          <w:color w:val="000000" w:themeColor="text1"/>
          <w:sz w:val="21"/>
          <w:szCs w:val="21"/>
        </w:rPr>
        <w:t>在子公司的所有者权益份额发生变化且仍控制子公司的交易</w:t>
      </w:r>
    </w:p>
    <w:sdt>
      <w:sdtPr>
        <w:rPr>
          <w:color w:val="000000" w:themeColor="text1"/>
        </w:rPr>
        <w:alias w:val="是否适用：在子公司的所有者权益份额发生变化且仍控制子公司的交易[双击切换]"/>
        <w:tag w:val="_GBC_51b903d8f50944dc91e91048eba723cd"/>
        <w:id w:val="-177330892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w:instrText>
          </w:r>
          <w:r>
            <w:rPr>
              <w:rFonts w:hint="eastAsia"/>
              <w:color w:val="000000" w:themeColor="text1"/>
            </w:rPr>
            <w:instrText xml:space="preserve">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keepNext/>
        <w:keepLines/>
        <w:widowControl w:val="0"/>
        <w:numPr>
          <w:ilvl w:val="3"/>
          <w:numId w:val="90"/>
        </w:numPr>
        <w:spacing w:before="60" w:after="60"/>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t>在子公司所有者权益份额的变化情况的说明</w:t>
      </w:r>
    </w:p>
    <w:sdt>
      <w:sdtPr>
        <w:rPr>
          <w:color w:val="000000" w:themeColor="text1"/>
        </w:rPr>
        <w:alias w:val="是否适用：在子公司所有者权益份额的变化情况的说明[双击切换]"/>
        <w:tag w:val="_GBC_5c947dd5a782480db6a7bc23f9bdc87b"/>
        <w:id w:val="-2090536988"/>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cs="Arial"/>
          <w:color w:val="000000" w:themeColor="text1"/>
          <w:highlight w:val="green"/>
        </w:rPr>
        <w:alias w:val="在子公司所有者权益份额的变化情况的说明"/>
        <w:tag w:val="_GBC_841b13bceaa744e7899c18aef7689caf"/>
        <w:id w:val="1498609450"/>
      </w:sdtPr>
      <w:sdtEndPr/>
      <w:sdtContent>
        <w:p w:rsidR="00156DD6" w:rsidRDefault="00D51F5F">
          <w:pPr>
            <w:spacing w:line="360" w:lineRule="exact"/>
            <w:ind w:firstLineChars="200" w:firstLine="420"/>
            <w:jc w:val="both"/>
            <w:rPr>
              <w:rFonts w:cs="Arial"/>
              <w:color w:val="000000" w:themeColor="text1"/>
            </w:rPr>
          </w:pPr>
          <w:r>
            <w:rPr>
              <w:rFonts w:cs="Arial" w:hint="eastAsia"/>
              <w:color w:val="000000" w:themeColor="text1"/>
            </w:rPr>
            <w:t>2025</w:t>
          </w:r>
          <w:r>
            <w:rPr>
              <w:rFonts w:cs="Arial" w:hint="eastAsia"/>
              <w:color w:val="000000" w:themeColor="text1"/>
            </w:rPr>
            <w:t>年</w:t>
          </w:r>
          <w:r>
            <w:rPr>
              <w:rFonts w:cs="Arial" w:hint="eastAsia"/>
              <w:color w:val="000000" w:themeColor="text1"/>
            </w:rPr>
            <w:t>4</w:t>
          </w:r>
          <w:r>
            <w:rPr>
              <w:rFonts w:cs="Arial" w:hint="eastAsia"/>
              <w:color w:val="000000" w:themeColor="text1"/>
            </w:rPr>
            <w:t>月</w:t>
          </w:r>
          <w:r>
            <w:rPr>
              <w:rFonts w:cs="Arial" w:hint="eastAsia"/>
              <w:color w:val="000000" w:themeColor="text1"/>
            </w:rPr>
            <w:t>18</w:t>
          </w:r>
          <w:r>
            <w:rPr>
              <w:rFonts w:cs="Arial" w:hint="eastAsia"/>
              <w:color w:val="000000" w:themeColor="text1"/>
            </w:rPr>
            <w:t>日，公司与浙江思翔贸易有限公司、陈鹰等</w:t>
          </w:r>
          <w:r>
            <w:rPr>
              <w:rFonts w:cs="Arial" w:hint="eastAsia"/>
              <w:color w:val="000000" w:themeColor="text1"/>
            </w:rPr>
            <w:t>14</w:t>
          </w:r>
          <w:r>
            <w:rPr>
              <w:rFonts w:cs="Arial" w:hint="eastAsia"/>
              <w:color w:val="000000" w:themeColor="text1"/>
            </w:rPr>
            <w:t>名云变电气少数股东签订股份转让协议，公司以</w:t>
          </w:r>
          <w:r>
            <w:rPr>
              <w:rFonts w:cs="Arial" w:hint="eastAsia"/>
              <w:color w:val="000000" w:themeColor="text1"/>
            </w:rPr>
            <w:t>12,041.31</w:t>
          </w:r>
          <w:r>
            <w:rPr>
              <w:rFonts w:cs="Arial" w:hint="eastAsia"/>
              <w:color w:val="000000" w:themeColor="text1"/>
            </w:rPr>
            <w:t>万元的价格收购少数股东持有云变电气</w:t>
          </w:r>
          <w:r>
            <w:rPr>
              <w:rFonts w:cs="Arial" w:hint="eastAsia"/>
              <w:color w:val="000000" w:themeColor="text1"/>
            </w:rPr>
            <w:t>20.03%</w:t>
          </w:r>
          <w:r>
            <w:rPr>
              <w:rFonts w:cs="Arial" w:hint="eastAsia"/>
              <w:color w:val="000000" w:themeColor="text1"/>
            </w:rPr>
            <w:t>的股份，本次收购完成后，公司</w:t>
          </w:r>
          <w:r>
            <w:rPr>
              <w:rFonts w:cs="Arial" w:hint="eastAsia"/>
              <w:color w:val="000000" w:themeColor="text1"/>
            </w:rPr>
            <w:t>100%</w:t>
          </w:r>
          <w:r>
            <w:rPr>
              <w:rFonts w:cs="Arial" w:hint="eastAsia"/>
              <w:color w:val="000000" w:themeColor="text1"/>
            </w:rPr>
            <w:t>持有云变电气股份。截至本财务报告批准报出日，上述股权收购已全部完成。</w:t>
          </w:r>
        </w:p>
      </w:sdtContent>
    </w:sdt>
    <w:p w:rsidR="00156DD6" w:rsidRDefault="00D51F5F">
      <w:pPr>
        <w:keepNext/>
        <w:keepLines/>
        <w:widowControl w:val="0"/>
        <w:numPr>
          <w:ilvl w:val="3"/>
          <w:numId w:val="90"/>
        </w:numPr>
        <w:spacing w:before="60" w:after="60"/>
        <w:ind w:left="426" w:hangingChars="202" w:hanging="426"/>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t>交易对于少数股东权益及归属于母公司所有者权益的影响</w:t>
      </w:r>
    </w:p>
    <w:sdt>
      <w:sdtPr>
        <w:rPr>
          <w:color w:val="000000" w:themeColor="text1"/>
        </w:rPr>
        <w:alias w:val="是否适用：交易对于少数股东权益及归属于母公司所有者权益的影响[双击切换]"/>
        <w:tag w:val="_GBC_69fd0bf0624a469082601f65caf81470"/>
        <w:id w:val="1789089197"/>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交易对于少数股东权益及归属于母公司所有者权益的影响"/>
          <w:tag w:val="_GBC_8bc6137285324aca89e1a906fd8e99b5"/>
          <w:id w:val="345990895"/>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交易对于少数股东权益及归属于母公司所有者权益的影响"/>
          <w:tag w:val="_GBC_228f6470ad5e43439d2bb8e05da1eddf"/>
          <w:id w:val="86579298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433"/>
      </w:tblGrid>
      <w:tr w:rsidR="00156DD6">
        <w:trPr>
          <w:trHeight w:val="90"/>
          <w:jc w:val="center"/>
        </w:trPr>
        <w:tc>
          <w:tcPr>
            <w:tcW w:w="2488" w:type="pct"/>
          </w:tcPr>
          <w:p w:rsidR="00156DD6" w:rsidRDefault="00156DD6">
            <w:pPr>
              <w:rPr>
                <w:rFonts w:cs="Arial"/>
                <w:color w:val="000000" w:themeColor="text1"/>
                <w:lang w:val="en-GB"/>
              </w:rPr>
            </w:pPr>
          </w:p>
        </w:tc>
        <w:sdt>
          <w:sdtPr>
            <w:rPr>
              <w:color w:val="000000" w:themeColor="text1"/>
            </w:rPr>
            <w:alias w:val="交易对于少数股东权益及归属于母公司所有者权益的影响明细-公司名称"/>
            <w:tag w:val="_GBC_0899d6221c8b4c0197d4cc9d76f2a617"/>
            <w:id w:val="-1579824593"/>
          </w:sdtPr>
          <w:sdtEndPr>
            <w:rPr>
              <w:rFonts w:hint="eastAsia"/>
            </w:rPr>
          </w:sdtEndPr>
          <w:sdtContent>
            <w:tc>
              <w:tcPr>
                <w:tcW w:w="2512" w:type="pct"/>
              </w:tcPr>
              <w:p w:rsidR="00156DD6" w:rsidRDefault="00D51F5F">
                <w:pPr>
                  <w:rPr>
                    <w:color w:val="000000" w:themeColor="text1"/>
                  </w:rPr>
                </w:pPr>
                <w:r>
                  <w:rPr>
                    <w:rFonts w:hint="eastAsia"/>
                    <w:color w:val="000000" w:themeColor="text1"/>
                  </w:rPr>
                  <w:t>云变电气</w:t>
                </w:r>
              </w:p>
            </w:tc>
          </w:sdtContent>
        </w:sdt>
      </w:tr>
      <w:tr w:rsidR="00156DD6">
        <w:trPr>
          <w:jc w:val="center"/>
        </w:trPr>
        <w:sdt>
          <w:sdtPr>
            <w:tag w:val="_PLD_41335b9d94714d50b7c3bc1db050ee28"/>
            <w:id w:val="-515854181"/>
          </w:sdtPr>
          <w:sdtEndPr/>
          <w:sdtContent>
            <w:tc>
              <w:tcPr>
                <w:tcW w:w="5000" w:type="pct"/>
                <w:gridSpan w:val="2"/>
              </w:tcPr>
              <w:p w:rsidR="00156DD6" w:rsidRDefault="00D51F5F">
                <w:pPr>
                  <w:rPr>
                    <w:color w:val="000000" w:themeColor="text1"/>
                  </w:rPr>
                </w:pPr>
                <w:r>
                  <w:rPr>
                    <w:rFonts w:cs="Arial" w:hint="eastAsia"/>
                    <w:color w:val="000000" w:themeColor="text1"/>
                    <w:lang w:val="en-GB"/>
                  </w:rPr>
                  <w:t>购买成本</w:t>
                </w:r>
                <w:r>
                  <w:rPr>
                    <w:rFonts w:cs="Arial" w:hint="eastAsia"/>
                    <w:color w:val="000000" w:themeColor="text1"/>
                    <w:lang w:val="en-GB"/>
                  </w:rPr>
                  <w:t>/</w:t>
                </w:r>
                <w:r>
                  <w:rPr>
                    <w:rFonts w:cs="Arial" w:hint="eastAsia"/>
                    <w:color w:val="000000" w:themeColor="text1"/>
                    <w:lang w:val="en-GB"/>
                  </w:rPr>
                  <w:t>处置对价</w:t>
                </w:r>
              </w:p>
            </w:tc>
          </w:sdtContent>
        </w:sdt>
      </w:tr>
      <w:tr w:rsidR="00156DD6">
        <w:trPr>
          <w:jc w:val="center"/>
        </w:trPr>
        <w:tc>
          <w:tcPr>
            <w:tcW w:w="2488" w:type="pct"/>
            <w:vAlign w:val="center"/>
          </w:tcPr>
          <w:p w:rsidR="00156DD6" w:rsidRDefault="00D51F5F">
            <w:pPr>
              <w:rPr>
                <w:rFonts w:cs="Arial"/>
                <w:color w:val="000000" w:themeColor="text1"/>
              </w:rPr>
            </w:pPr>
            <w:r>
              <w:rPr>
                <w:rFonts w:cs="Arial"/>
                <w:color w:val="000000" w:themeColor="text1"/>
              </w:rPr>
              <w:t>--</w:t>
            </w:r>
            <w:r>
              <w:rPr>
                <w:rFonts w:cs="Arial" w:hint="eastAsia"/>
                <w:color w:val="000000" w:themeColor="text1"/>
                <w:lang w:val="en-GB"/>
              </w:rPr>
              <w:t>现金</w:t>
            </w:r>
          </w:p>
        </w:tc>
        <w:tc>
          <w:tcPr>
            <w:tcW w:w="2512" w:type="pct"/>
            <w:vAlign w:val="center"/>
          </w:tcPr>
          <w:p w:rsidR="00156DD6" w:rsidRDefault="00D51F5F">
            <w:pPr>
              <w:jc w:val="right"/>
            </w:pPr>
            <w:r>
              <w:t>120,413,100.00</w:t>
            </w:r>
          </w:p>
        </w:tc>
      </w:tr>
      <w:tr w:rsidR="00156DD6">
        <w:trPr>
          <w:jc w:val="center"/>
        </w:trPr>
        <w:tc>
          <w:tcPr>
            <w:tcW w:w="2488" w:type="pct"/>
            <w:vAlign w:val="center"/>
          </w:tcPr>
          <w:p w:rsidR="00156DD6" w:rsidRDefault="00D51F5F">
            <w:pPr>
              <w:rPr>
                <w:rFonts w:cs="Arial"/>
                <w:color w:val="000000" w:themeColor="text1"/>
              </w:rPr>
            </w:pPr>
            <w:r>
              <w:rPr>
                <w:rFonts w:cs="Arial"/>
                <w:color w:val="000000" w:themeColor="text1"/>
              </w:rPr>
              <w:t>--</w:t>
            </w:r>
            <w:r>
              <w:rPr>
                <w:rFonts w:cs="Arial" w:hint="eastAsia"/>
                <w:color w:val="000000" w:themeColor="text1"/>
                <w:lang w:val="en-GB"/>
              </w:rPr>
              <w:t>非现金资产的公允价值</w:t>
            </w:r>
          </w:p>
        </w:tc>
        <w:tc>
          <w:tcPr>
            <w:tcW w:w="2512" w:type="pct"/>
            <w:vAlign w:val="center"/>
          </w:tcPr>
          <w:p w:rsidR="00156DD6" w:rsidRDefault="00156DD6">
            <w:pPr>
              <w:jc w:val="right"/>
            </w:pPr>
          </w:p>
        </w:tc>
      </w:tr>
      <w:tr w:rsidR="00156DD6">
        <w:trPr>
          <w:jc w:val="center"/>
        </w:trPr>
        <w:tc>
          <w:tcPr>
            <w:tcW w:w="2488" w:type="pct"/>
            <w:vAlign w:val="center"/>
          </w:tcPr>
          <w:p w:rsidR="00156DD6" w:rsidRDefault="00D51F5F">
            <w:pPr>
              <w:rPr>
                <w:rFonts w:cs="Arial"/>
                <w:color w:val="000000" w:themeColor="text1"/>
              </w:rPr>
            </w:pPr>
            <w:r>
              <w:rPr>
                <w:rFonts w:cs="Arial" w:hint="eastAsia"/>
                <w:color w:val="000000" w:themeColor="text1"/>
                <w:lang w:val="en-GB"/>
              </w:rPr>
              <w:t>购买成本</w:t>
            </w:r>
            <w:r>
              <w:rPr>
                <w:rFonts w:cs="Arial" w:hint="eastAsia"/>
                <w:color w:val="000000" w:themeColor="text1"/>
                <w:lang w:val="en-GB"/>
              </w:rPr>
              <w:t>/</w:t>
            </w:r>
            <w:r>
              <w:rPr>
                <w:rFonts w:cs="Arial" w:hint="eastAsia"/>
                <w:color w:val="000000" w:themeColor="text1"/>
                <w:lang w:val="en-GB"/>
              </w:rPr>
              <w:t>处置对价合计</w:t>
            </w:r>
          </w:p>
        </w:tc>
        <w:tc>
          <w:tcPr>
            <w:tcW w:w="2512" w:type="pct"/>
            <w:vAlign w:val="center"/>
          </w:tcPr>
          <w:p w:rsidR="00156DD6" w:rsidRDefault="00D51F5F">
            <w:pPr>
              <w:jc w:val="right"/>
            </w:pPr>
            <w:r>
              <w:t>120,413,100.00</w:t>
            </w:r>
          </w:p>
        </w:tc>
      </w:tr>
      <w:tr w:rsidR="00156DD6">
        <w:trPr>
          <w:jc w:val="center"/>
        </w:trPr>
        <w:tc>
          <w:tcPr>
            <w:tcW w:w="2488" w:type="pct"/>
            <w:vAlign w:val="center"/>
          </w:tcPr>
          <w:p w:rsidR="00156DD6" w:rsidRDefault="00D51F5F">
            <w:pPr>
              <w:rPr>
                <w:rFonts w:cs="Arial"/>
                <w:color w:val="000000" w:themeColor="text1"/>
              </w:rPr>
            </w:pPr>
            <w:r>
              <w:rPr>
                <w:rFonts w:cs="Arial" w:hint="eastAsia"/>
                <w:color w:val="000000" w:themeColor="text1"/>
                <w:lang w:val="en-GB"/>
              </w:rPr>
              <w:t>减：按取得</w:t>
            </w:r>
            <w:r>
              <w:rPr>
                <w:rFonts w:cs="Arial" w:hint="eastAsia"/>
                <w:color w:val="000000" w:themeColor="text1"/>
                <w:lang w:val="en-GB"/>
              </w:rPr>
              <w:t>/</w:t>
            </w:r>
            <w:r>
              <w:rPr>
                <w:rFonts w:cs="Arial" w:hint="eastAsia"/>
                <w:color w:val="000000" w:themeColor="text1"/>
                <w:lang w:val="en-GB"/>
              </w:rPr>
              <w:t>处置的股权比例计算的子公司净资产份额</w:t>
            </w:r>
          </w:p>
        </w:tc>
        <w:tc>
          <w:tcPr>
            <w:tcW w:w="2512" w:type="pct"/>
            <w:vAlign w:val="center"/>
          </w:tcPr>
          <w:p w:rsidR="00156DD6" w:rsidRDefault="00D51F5F">
            <w:pPr>
              <w:jc w:val="right"/>
            </w:pPr>
            <w:r>
              <w:rPr>
                <w:rFonts w:hint="eastAsia"/>
              </w:rPr>
              <w:t>145,214,617.95</w:t>
            </w:r>
          </w:p>
        </w:tc>
      </w:tr>
      <w:tr w:rsidR="00156DD6">
        <w:trPr>
          <w:jc w:val="center"/>
        </w:trPr>
        <w:tc>
          <w:tcPr>
            <w:tcW w:w="2488" w:type="pct"/>
            <w:vAlign w:val="center"/>
          </w:tcPr>
          <w:p w:rsidR="00156DD6" w:rsidRDefault="00D51F5F">
            <w:pPr>
              <w:rPr>
                <w:rFonts w:cs="Arial"/>
                <w:color w:val="000000" w:themeColor="text1"/>
              </w:rPr>
            </w:pPr>
            <w:r>
              <w:rPr>
                <w:rFonts w:cs="Arial" w:hint="eastAsia"/>
                <w:color w:val="000000" w:themeColor="text1"/>
                <w:lang w:val="en-GB"/>
              </w:rPr>
              <w:t>差额</w:t>
            </w:r>
          </w:p>
        </w:tc>
        <w:tc>
          <w:tcPr>
            <w:tcW w:w="2512" w:type="pct"/>
          </w:tcPr>
          <w:p w:rsidR="00156DD6" w:rsidRDefault="00D51F5F">
            <w:pPr>
              <w:jc w:val="right"/>
            </w:pPr>
            <w:r>
              <w:rPr>
                <w:rFonts w:hint="eastAsia"/>
              </w:rPr>
              <w:t xml:space="preserve"> -24,801,517.95 </w:t>
            </w:r>
          </w:p>
        </w:tc>
      </w:tr>
      <w:tr w:rsidR="00156DD6">
        <w:trPr>
          <w:trHeight w:val="204"/>
          <w:jc w:val="center"/>
        </w:trPr>
        <w:tc>
          <w:tcPr>
            <w:tcW w:w="2488" w:type="pct"/>
            <w:vAlign w:val="center"/>
          </w:tcPr>
          <w:p w:rsidR="00156DD6" w:rsidRDefault="00D51F5F">
            <w:pPr>
              <w:rPr>
                <w:rFonts w:cs="Arial"/>
                <w:color w:val="000000" w:themeColor="text1"/>
              </w:rPr>
            </w:pPr>
            <w:r>
              <w:rPr>
                <w:rFonts w:cs="Arial" w:hint="eastAsia"/>
                <w:color w:val="000000" w:themeColor="text1"/>
                <w:lang w:val="en-GB"/>
              </w:rPr>
              <w:t>其中：调整资本公积</w:t>
            </w:r>
          </w:p>
        </w:tc>
        <w:tc>
          <w:tcPr>
            <w:tcW w:w="2512" w:type="pct"/>
          </w:tcPr>
          <w:p w:rsidR="00156DD6" w:rsidRDefault="00D51F5F">
            <w:pPr>
              <w:jc w:val="right"/>
            </w:pPr>
            <w:r>
              <w:rPr>
                <w:rFonts w:hint="eastAsia"/>
              </w:rPr>
              <w:t xml:space="preserve"> -24,801,517.95 </w:t>
            </w:r>
          </w:p>
        </w:tc>
      </w:tr>
      <w:tr w:rsidR="00156DD6">
        <w:trPr>
          <w:jc w:val="center"/>
        </w:trPr>
        <w:tc>
          <w:tcPr>
            <w:tcW w:w="2488" w:type="pct"/>
            <w:vAlign w:val="center"/>
          </w:tcPr>
          <w:p w:rsidR="00156DD6" w:rsidRDefault="00D51F5F">
            <w:pPr>
              <w:ind w:firstLineChars="300" w:firstLine="630"/>
              <w:rPr>
                <w:rFonts w:cs="Arial"/>
                <w:color w:val="000000" w:themeColor="text1"/>
              </w:rPr>
            </w:pPr>
            <w:r>
              <w:rPr>
                <w:rFonts w:cs="Arial" w:hint="eastAsia"/>
                <w:color w:val="000000" w:themeColor="text1"/>
                <w:lang w:val="en-GB"/>
              </w:rPr>
              <w:t>调整盈余公积</w:t>
            </w:r>
          </w:p>
        </w:tc>
        <w:tc>
          <w:tcPr>
            <w:tcW w:w="2512" w:type="pct"/>
            <w:vAlign w:val="center"/>
          </w:tcPr>
          <w:p w:rsidR="00156DD6" w:rsidRDefault="00156DD6">
            <w:pPr>
              <w:jc w:val="right"/>
            </w:pPr>
          </w:p>
        </w:tc>
      </w:tr>
      <w:tr w:rsidR="00156DD6">
        <w:trPr>
          <w:jc w:val="center"/>
        </w:trPr>
        <w:tc>
          <w:tcPr>
            <w:tcW w:w="2488" w:type="pct"/>
            <w:vAlign w:val="center"/>
          </w:tcPr>
          <w:p w:rsidR="00156DD6" w:rsidRDefault="00D51F5F">
            <w:pPr>
              <w:ind w:firstLineChars="300" w:firstLine="630"/>
              <w:rPr>
                <w:rFonts w:cs="Arial"/>
                <w:color w:val="000000" w:themeColor="text1"/>
              </w:rPr>
            </w:pPr>
            <w:r>
              <w:rPr>
                <w:rFonts w:cs="Arial" w:hint="eastAsia"/>
                <w:color w:val="000000" w:themeColor="text1"/>
                <w:lang w:val="en-GB"/>
              </w:rPr>
              <w:t>调整未分配利润</w:t>
            </w:r>
          </w:p>
        </w:tc>
        <w:tc>
          <w:tcPr>
            <w:tcW w:w="2512" w:type="pct"/>
          </w:tcPr>
          <w:p w:rsidR="00156DD6" w:rsidRDefault="00156DD6">
            <w:pPr>
              <w:jc w:val="right"/>
            </w:pPr>
          </w:p>
        </w:tc>
      </w:tr>
    </w:tbl>
    <w:p w:rsidR="00156DD6" w:rsidRDefault="00D51F5F">
      <w:pPr>
        <w:rPr>
          <w:rFonts w:cs="Arial"/>
          <w:color w:val="000000" w:themeColor="text1"/>
        </w:rPr>
      </w:pPr>
      <w:r>
        <w:rPr>
          <w:rFonts w:cs="Arial" w:hint="eastAsia"/>
          <w:color w:val="000000" w:themeColor="text1"/>
        </w:rPr>
        <w:t>其他说明</w:t>
      </w:r>
    </w:p>
    <w:sdt>
      <w:sdtPr>
        <w:rPr>
          <w:rFonts w:cs="Arial"/>
          <w:color w:val="000000" w:themeColor="text1"/>
          <w:sz w:val="21"/>
          <w:szCs w:val="21"/>
        </w:rPr>
        <w:alias w:val="是否适用：在子公司的所有者权益份额发生变化且仍控制子公司的交易的说明[双击切换]"/>
        <w:tag w:val="_GBC_6634a1e782124f6cbe61f6956908ceac"/>
        <w:id w:val="-2057760041"/>
      </w:sdtPr>
      <w:sdtEndPr/>
      <w:sdtContent>
        <w:p w:rsidR="00156DD6" w:rsidRDefault="00D51F5F">
          <w:pPr>
            <w:pStyle w:val="Style43"/>
            <w:rPr>
              <w:sz w:val="21"/>
              <w:szCs w:val="21"/>
            </w:rPr>
          </w:pPr>
          <w:r>
            <w:rPr>
              <w:rFonts w:ascii="宋体" w:hAnsi="宋体" w:cs="Arial"/>
              <w:color w:val="000000" w:themeColor="text1"/>
              <w:sz w:val="21"/>
              <w:szCs w:val="21"/>
            </w:rPr>
            <w:fldChar w:fldCharType="begin"/>
          </w:r>
          <w:r>
            <w:rPr>
              <w:rFonts w:ascii="宋体" w:hAnsi="宋体" w:cs="Arial" w:hint="eastAsia"/>
              <w:color w:val="000000" w:themeColor="text1"/>
              <w:sz w:val="21"/>
              <w:szCs w:val="21"/>
            </w:rPr>
            <w:instrText xml:space="preserve"> MACROBUTTON  SnrToggleCheckbox </w:instrText>
          </w:r>
          <w:r>
            <w:rPr>
              <w:rFonts w:ascii="宋体" w:hAnsi="宋体" w:cs="Arial" w:hint="eastAsia"/>
              <w:color w:val="000000" w:themeColor="text1"/>
              <w:sz w:val="21"/>
              <w:szCs w:val="21"/>
            </w:rPr>
            <w:instrText>□适用</w:instrText>
          </w:r>
          <w:r>
            <w:rPr>
              <w:rFonts w:ascii="宋体" w:hAnsi="宋体" w:cs="Arial" w:hint="eastAsia"/>
              <w:color w:val="000000" w:themeColor="text1"/>
              <w:sz w:val="21"/>
              <w:szCs w:val="21"/>
            </w:rPr>
            <w:instrText xml:space="preserve"> </w:instrText>
          </w:r>
          <w:r>
            <w:rPr>
              <w:rFonts w:ascii="宋体" w:hAnsi="宋体" w:cs="Arial"/>
              <w:color w:val="000000" w:themeColor="text1"/>
              <w:sz w:val="21"/>
              <w:szCs w:val="21"/>
            </w:rPr>
            <w:fldChar w:fldCharType="end"/>
          </w:r>
          <w:r>
            <w:rPr>
              <w:rFonts w:ascii="宋体" w:hAnsi="宋体" w:cs="Arial"/>
              <w:color w:val="000000" w:themeColor="text1"/>
              <w:sz w:val="21"/>
              <w:szCs w:val="21"/>
            </w:rPr>
            <w:fldChar w:fldCharType="begin"/>
          </w:r>
          <w:r>
            <w:rPr>
              <w:rFonts w:ascii="宋体" w:hAnsi="宋体" w:cs="Arial" w:hint="eastAsia"/>
              <w:color w:val="000000" w:themeColor="text1"/>
              <w:sz w:val="21"/>
              <w:szCs w:val="21"/>
            </w:rPr>
            <w:instrText xml:space="preserve"> MACROBUTTON  SnrToggleCheckbox </w:instrText>
          </w:r>
          <w:r>
            <w:rPr>
              <w:rFonts w:ascii="宋体" w:hAnsi="宋体" w:cs="Arial" w:hint="eastAsia"/>
              <w:color w:val="000000" w:themeColor="text1"/>
              <w:sz w:val="21"/>
              <w:szCs w:val="21"/>
            </w:rPr>
            <w:instrText>√不适用</w:instrText>
          </w:r>
          <w:r>
            <w:rPr>
              <w:rFonts w:ascii="宋体" w:hAnsi="宋体" w:cs="Arial" w:hint="eastAsia"/>
              <w:color w:val="000000" w:themeColor="text1"/>
              <w:sz w:val="21"/>
              <w:szCs w:val="21"/>
            </w:rPr>
            <w:instrText xml:space="preserve"> </w:instrText>
          </w:r>
          <w:r>
            <w:rPr>
              <w:rFonts w:ascii="宋体" w:hAnsi="宋体" w:cs="Arial"/>
              <w:color w:val="000000" w:themeColor="text1"/>
              <w:sz w:val="21"/>
              <w:szCs w:val="21"/>
            </w:rPr>
            <w:fldChar w:fldCharType="end"/>
          </w:r>
        </w:p>
      </w:sdtContent>
    </w:sdt>
    <w:p w:rsidR="00156DD6" w:rsidRDefault="00D51F5F">
      <w:pPr>
        <w:pStyle w:val="TOC6"/>
        <w:numPr>
          <w:ilvl w:val="2"/>
          <w:numId w:val="88"/>
        </w:numPr>
        <w:rPr>
          <w:rFonts w:ascii="宋体" w:hAnsi="宋体"/>
          <w:color w:val="000000" w:themeColor="text1"/>
          <w:sz w:val="21"/>
          <w:szCs w:val="21"/>
        </w:rPr>
      </w:pPr>
      <w:r>
        <w:rPr>
          <w:rFonts w:ascii="宋体" w:hAnsi="宋体" w:hint="eastAsia"/>
          <w:color w:val="000000" w:themeColor="text1"/>
          <w:sz w:val="21"/>
          <w:szCs w:val="21"/>
        </w:rPr>
        <w:t>在合营企业或联营企业中的权益</w:t>
      </w:r>
    </w:p>
    <w:sdt>
      <w:sdtPr>
        <w:rPr>
          <w:color w:val="000000" w:themeColor="text1"/>
        </w:rPr>
        <w:alias w:val="是否适用：在合营企业或联营企业中的权益[双击切换]"/>
        <w:tag w:val="_GBC_31c0fe2068fd4a898e4269df4925aa76"/>
        <w:id w:val="695535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keepNext/>
        <w:keepLines/>
        <w:widowControl w:val="0"/>
        <w:numPr>
          <w:ilvl w:val="3"/>
          <w:numId w:val="91"/>
        </w:numPr>
        <w:spacing w:before="60" w:after="60"/>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t>重要的合营企业或联营企业</w:t>
      </w:r>
    </w:p>
    <w:sdt>
      <w:sdtPr>
        <w:rPr>
          <w:color w:val="000000" w:themeColor="text1"/>
        </w:rPr>
        <w:alias w:val="是否适用：重要的合营企业或联营企业[双击切换]"/>
        <w:tag w:val="_GBC_9973f58b324442d5879a5d16db0cd410"/>
        <w:id w:val="1852439712"/>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keepNext/>
        <w:keepLines/>
        <w:widowControl w:val="0"/>
        <w:numPr>
          <w:ilvl w:val="3"/>
          <w:numId w:val="91"/>
        </w:numPr>
        <w:spacing w:before="60" w:after="60"/>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t>重要合营企业的主要财务信息</w:t>
      </w:r>
    </w:p>
    <w:p w:rsidR="00156DD6" w:rsidRDefault="00D51F5F">
      <w:pPr>
        <w:rPr>
          <w:rFonts w:cs="Arial"/>
          <w:color w:val="000000" w:themeColor="text1"/>
        </w:rPr>
      </w:pPr>
      <w:sdt>
        <w:sdtPr>
          <w:rPr>
            <w:rFonts w:hint="eastAsia"/>
            <w:b/>
            <w:color w:val="000000" w:themeColor="text1"/>
          </w:rPr>
          <w:alias w:val="是否适用：重要合营企业的主要财务信息[双击切换]"/>
          <w:tag w:val="_GBC_6241cde567c342139ae6186afeea9fb4"/>
          <w:id w:val="-127097936"/>
          <w:placeholder>
            <w:docPart w:val="GBC22222222222222222222222222222"/>
          </w:placeholder>
        </w:sdtPr>
        <w:sdtEndPr>
          <w:rPr>
            <w:b w:val="0"/>
          </w:rPr>
        </w:sdtEndPr>
        <w:sdtContent>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p>
    <w:p w:rsidR="00156DD6" w:rsidRDefault="00D51F5F">
      <w:pPr>
        <w:keepNext/>
        <w:keepLines/>
        <w:widowControl w:val="0"/>
        <w:numPr>
          <w:ilvl w:val="3"/>
          <w:numId w:val="91"/>
        </w:numPr>
        <w:spacing w:before="60" w:after="60"/>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t>重要联营企业的主要财务信息</w:t>
      </w:r>
    </w:p>
    <w:p w:rsidR="00156DD6" w:rsidRDefault="00D51F5F">
      <w:pPr>
        <w:rPr>
          <w:rFonts w:cs="Arial"/>
          <w:color w:val="000000" w:themeColor="text1"/>
        </w:rPr>
      </w:pPr>
      <w:sdt>
        <w:sdtPr>
          <w:rPr>
            <w:rFonts w:hint="eastAsia"/>
            <w:b/>
            <w:color w:val="000000" w:themeColor="text1"/>
          </w:rPr>
          <w:alias w:val="是否适用：重要联营企业的主要财务信息[双击切换]"/>
          <w:tag w:val="_GBC_e304b69adb6f449495c3916754024763"/>
          <w:id w:val="1470624725"/>
          <w:placeholder>
            <w:docPart w:val="GBC22222222222222222222222222222"/>
          </w:placeholder>
        </w:sdtPr>
        <w:sdtEndPr>
          <w:rPr>
            <w:b w:val="0"/>
          </w:rPr>
        </w:sdtEndPr>
        <w:sdtContent>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sdtContent>
      </w:sdt>
    </w:p>
    <w:p w:rsidR="00156DD6" w:rsidRDefault="00D51F5F">
      <w:pPr>
        <w:keepNext/>
        <w:keepLines/>
        <w:widowControl w:val="0"/>
        <w:numPr>
          <w:ilvl w:val="3"/>
          <w:numId w:val="91"/>
        </w:numPr>
        <w:spacing w:before="60" w:after="60"/>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t>不重要的合营企业和联营企业的汇总财务信息</w:t>
      </w:r>
    </w:p>
    <w:sdt>
      <w:sdtPr>
        <w:rPr>
          <w:color w:val="000000" w:themeColor="text1"/>
        </w:rPr>
        <w:alias w:val="是否适用：不重要的合营企业和联营企业的汇总财务信息[双击切换]"/>
        <w:tag w:val="_GBC_eb809f81680b42f794ba04df499e52dc"/>
        <w:id w:val="-17889593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不重要的合营企业和联营企业的汇总财务信息"/>
          <w:tag w:val="_GBC_d02efd9c85904b029b5a51b02d9519e8"/>
          <w:id w:val="-17420102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不重要的合营企业和联营企业的汇总财务信息"/>
          <w:tag w:val="_GBC_a6fa35df627e4d9584fb9c311eb6a4b5"/>
          <w:id w:val="-3249708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95"/>
        <w:gridCol w:w="2998"/>
      </w:tblGrid>
      <w:tr w:rsidR="00156DD6">
        <w:trPr>
          <w:trHeight w:val="241"/>
          <w:jc w:val="center"/>
        </w:trPr>
        <w:tc>
          <w:tcPr>
            <w:tcW w:w="1604" w:type="pct"/>
          </w:tcPr>
          <w:p w:rsidR="00156DD6" w:rsidRDefault="00156DD6">
            <w:pPr>
              <w:jc w:val="center"/>
              <w:rPr>
                <w:rFonts w:cs="Arial"/>
                <w:color w:val="000000" w:themeColor="text1"/>
              </w:rPr>
            </w:pPr>
          </w:p>
        </w:tc>
        <w:sdt>
          <w:sdtPr>
            <w:tag w:val="_PLD_7dc69fc7f68243e6b4f46db3a94dd47f"/>
            <w:id w:val="-1917155225"/>
          </w:sdtPr>
          <w:sdtEndPr/>
          <w:sdtContent>
            <w:tc>
              <w:tcPr>
                <w:tcW w:w="1697" w:type="pct"/>
              </w:tcPr>
              <w:p w:rsidR="00156DD6" w:rsidRDefault="00D51F5F">
                <w:pPr>
                  <w:jc w:val="center"/>
                  <w:rPr>
                    <w:rFonts w:cs="Arial"/>
                    <w:color w:val="000000" w:themeColor="text1"/>
                  </w:rPr>
                </w:pPr>
                <w:r>
                  <w:rPr>
                    <w:rFonts w:cs="Arial" w:hint="eastAsia"/>
                    <w:color w:val="000000" w:themeColor="text1"/>
                    <w:lang w:val="en-GB"/>
                  </w:rPr>
                  <w:t>期末余额</w:t>
                </w:r>
                <w:r>
                  <w:rPr>
                    <w:rFonts w:cs="Arial"/>
                    <w:color w:val="000000" w:themeColor="text1"/>
                  </w:rPr>
                  <w:t xml:space="preserve">/ </w:t>
                </w:r>
                <w:r>
                  <w:rPr>
                    <w:rFonts w:cs="Arial" w:hint="eastAsia"/>
                    <w:color w:val="000000" w:themeColor="text1"/>
                    <w:lang w:val="en-GB"/>
                  </w:rPr>
                  <w:t>本期发生额</w:t>
                </w:r>
              </w:p>
            </w:tc>
          </w:sdtContent>
        </w:sdt>
        <w:sdt>
          <w:sdtPr>
            <w:tag w:val="_PLD_ffe9f9922ada461388adfb92ed1e3072"/>
            <w:id w:val="983826570"/>
          </w:sdtPr>
          <w:sdtEndPr/>
          <w:sdtContent>
            <w:tc>
              <w:tcPr>
                <w:tcW w:w="1699" w:type="pct"/>
              </w:tcPr>
              <w:p w:rsidR="00156DD6" w:rsidRDefault="00D51F5F">
                <w:pPr>
                  <w:jc w:val="center"/>
                  <w:rPr>
                    <w:rFonts w:cs="Arial"/>
                    <w:color w:val="000000" w:themeColor="text1"/>
                  </w:rPr>
                </w:pPr>
                <w:r>
                  <w:rPr>
                    <w:rFonts w:cs="Arial" w:hint="eastAsia"/>
                    <w:color w:val="000000" w:themeColor="text1"/>
                    <w:lang w:val="en-GB"/>
                  </w:rPr>
                  <w:t>期初余额</w:t>
                </w:r>
                <w:r>
                  <w:rPr>
                    <w:rFonts w:cs="Arial"/>
                    <w:color w:val="000000" w:themeColor="text1"/>
                  </w:rPr>
                  <w:t xml:space="preserve">/ </w:t>
                </w:r>
                <w:r>
                  <w:rPr>
                    <w:rFonts w:cs="Arial" w:hint="eastAsia"/>
                    <w:color w:val="000000" w:themeColor="text1"/>
                    <w:lang w:val="en-GB"/>
                  </w:rPr>
                  <w:t>上期发生额</w:t>
                </w:r>
              </w:p>
            </w:tc>
          </w:sdtContent>
        </w:sdt>
      </w:tr>
      <w:tr w:rsidR="00156DD6">
        <w:trPr>
          <w:jc w:val="center"/>
        </w:trPr>
        <w:sdt>
          <w:sdtPr>
            <w:tag w:val="_PLD_01c0860c93244a3f94a1c91bec25150e"/>
            <w:id w:val="-404380443"/>
          </w:sdtPr>
          <w:sdtEndPr/>
          <w:sdtContent>
            <w:tc>
              <w:tcPr>
                <w:tcW w:w="5000" w:type="pct"/>
                <w:gridSpan w:val="3"/>
              </w:tcPr>
              <w:p w:rsidR="00156DD6" w:rsidRDefault="00D51F5F">
                <w:pPr>
                  <w:rPr>
                    <w:color w:val="000000" w:themeColor="text1"/>
                  </w:rPr>
                </w:pPr>
                <w:r>
                  <w:rPr>
                    <w:rFonts w:cs="Arial" w:hint="eastAsia"/>
                    <w:color w:val="000000" w:themeColor="text1"/>
                    <w:lang w:val="en-GB"/>
                  </w:rPr>
                  <w:t>合营企业：</w:t>
                </w:r>
              </w:p>
            </w:tc>
          </w:sdtContent>
        </w:sdt>
      </w:tr>
      <w:tr w:rsidR="00156DD6">
        <w:trPr>
          <w:jc w:val="center"/>
        </w:trPr>
        <w:tc>
          <w:tcPr>
            <w:tcW w:w="1604" w:type="pct"/>
            <w:vAlign w:val="center"/>
          </w:tcPr>
          <w:p w:rsidR="00156DD6" w:rsidRDefault="00D51F5F">
            <w:pPr>
              <w:rPr>
                <w:rFonts w:cs="Arial"/>
                <w:color w:val="000000" w:themeColor="text1"/>
              </w:rPr>
            </w:pPr>
            <w:r>
              <w:rPr>
                <w:rFonts w:cs="Arial" w:hint="eastAsia"/>
                <w:color w:val="000000" w:themeColor="text1"/>
                <w:lang w:val="en-GB"/>
              </w:rPr>
              <w:t>投资账面价值合计</w:t>
            </w:r>
          </w:p>
        </w:tc>
        <w:tc>
          <w:tcPr>
            <w:tcW w:w="1697" w:type="pct"/>
          </w:tcPr>
          <w:p w:rsidR="00156DD6" w:rsidRDefault="00156DD6">
            <w:pPr>
              <w:jc w:val="right"/>
            </w:pPr>
          </w:p>
        </w:tc>
        <w:tc>
          <w:tcPr>
            <w:tcW w:w="1699" w:type="pct"/>
          </w:tcPr>
          <w:p w:rsidR="00156DD6" w:rsidRDefault="00156DD6">
            <w:pPr>
              <w:jc w:val="right"/>
            </w:pPr>
          </w:p>
        </w:tc>
      </w:tr>
      <w:tr w:rsidR="00156DD6">
        <w:trPr>
          <w:jc w:val="center"/>
        </w:trPr>
        <w:sdt>
          <w:sdtPr>
            <w:tag w:val="_PLD_d574603998c340988b76ed4abbb39d0f"/>
            <w:id w:val="902949295"/>
          </w:sdtPr>
          <w:sdtEndPr/>
          <w:sdtContent>
            <w:tc>
              <w:tcPr>
                <w:tcW w:w="5000" w:type="pct"/>
                <w:gridSpan w:val="3"/>
                <w:vAlign w:val="center"/>
              </w:tcPr>
              <w:p w:rsidR="00156DD6" w:rsidRDefault="00D51F5F">
                <w:pPr>
                  <w:rPr>
                    <w:color w:val="000000" w:themeColor="text1"/>
                  </w:rPr>
                </w:pPr>
                <w:r>
                  <w:rPr>
                    <w:rFonts w:cs="Arial" w:hint="eastAsia"/>
                    <w:color w:val="000000" w:themeColor="text1"/>
                    <w:lang w:val="en-GB"/>
                  </w:rPr>
                  <w:t>下列各项按持股比例计算的合计数</w:t>
                </w:r>
              </w:p>
            </w:tc>
          </w:sdtContent>
        </w:sdt>
      </w:tr>
      <w:tr w:rsidR="00156DD6">
        <w:trPr>
          <w:jc w:val="center"/>
        </w:trPr>
        <w:tc>
          <w:tcPr>
            <w:tcW w:w="1604" w:type="pct"/>
            <w:vAlign w:val="center"/>
          </w:tcPr>
          <w:p w:rsidR="00156DD6" w:rsidRDefault="00D51F5F">
            <w:pPr>
              <w:rPr>
                <w:rFonts w:cs="Arial"/>
                <w:color w:val="000000" w:themeColor="text1"/>
              </w:rPr>
            </w:pPr>
            <w:r>
              <w:rPr>
                <w:rFonts w:cs="Arial"/>
                <w:color w:val="000000" w:themeColor="text1"/>
              </w:rPr>
              <w:t>--</w:t>
            </w:r>
            <w:r>
              <w:rPr>
                <w:rFonts w:cs="Arial" w:hint="eastAsia"/>
                <w:color w:val="000000" w:themeColor="text1"/>
                <w:lang w:val="en-GB"/>
              </w:rPr>
              <w:t>净利润</w:t>
            </w:r>
          </w:p>
        </w:tc>
        <w:tc>
          <w:tcPr>
            <w:tcW w:w="1697" w:type="pct"/>
          </w:tcPr>
          <w:p w:rsidR="00156DD6" w:rsidRDefault="00156DD6">
            <w:pPr>
              <w:jc w:val="right"/>
            </w:pPr>
          </w:p>
        </w:tc>
        <w:tc>
          <w:tcPr>
            <w:tcW w:w="1699" w:type="pct"/>
          </w:tcPr>
          <w:p w:rsidR="00156DD6" w:rsidRDefault="00156DD6">
            <w:pPr>
              <w:jc w:val="right"/>
            </w:pPr>
          </w:p>
        </w:tc>
      </w:tr>
      <w:tr w:rsidR="00156DD6">
        <w:trPr>
          <w:jc w:val="center"/>
        </w:trPr>
        <w:tc>
          <w:tcPr>
            <w:tcW w:w="1604" w:type="pct"/>
            <w:vAlign w:val="center"/>
          </w:tcPr>
          <w:p w:rsidR="00156DD6" w:rsidRDefault="00D51F5F">
            <w:pPr>
              <w:rPr>
                <w:rFonts w:cs="Arial"/>
                <w:color w:val="000000" w:themeColor="text1"/>
              </w:rPr>
            </w:pPr>
            <w:r>
              <w:rPr>
                <w:rFonts w:cs="Arial"/>
                <w:color w:val="000000" w:themeColor="text1"/>
              </w:rPr>
              <w:t>--</w:t>
            </w:r>
            <w:r>
              <w:rPr>
                <w:rFonts w:cs="Arial" w:hint="eastAsia"/>
                <w:color w:val="000000" w:themeColor="text1"/>
                <w:lang w:val="en-GB"/>
              </w:rPr>
              <w:t>其他综合收益</w:t>
            </w:r>
          </w:p>
        </w:tc>
        <w:tc>
          <w:tcPr>
            <w:tcW w:w="1697" w:type="pct"/>
          </w:tcPr>
          <w:p w:rsidR="00156DD6" w:rsidRDefault="00156DD6">
            <w:pPr>
              <w:jc w:val="right"/>
            </w:pPr>
          </w:p>
        </w:tc>
        <w:tc>
          <w:tcPr>
            <w:tcW w:w="1699" w:type="pct"/>
          </w:tcPr>
          <w:p w:rsidR="00156DD6" w:rsidRDefault="00156DD6">
            <w:pPr>
              <w:jc w:val="right"/>
            </w:pPr>
          </w:p>
        </w:tc>
      </w:tr>
      <w:tr w:rsidR="00156DD6">
        <w:trPr>
          <w:jc w:val="center"/>
        </w:trPr>
        <w:tc>
          <w:tcPr>
            <w:tcW w:w="1604" w:type="pct"/>
            <w:vAlign w:val="center"/>
          </w:tcPr>
          <w:p w:rsidR="00156DD6" w:rsidRDefault="00D51F5F">
            <w:pPr>
              <w:rPr>
                <w:rFonts w:cs="Arial"/>
                <w:color w:val="000000" w:themeColor="text1"/>
              </w:rPr>
            </w:pPr>
            <w:r>
              <w:rPr>
                <w:rFonts w:cs="Arial"/>
                <w:color w:val="000000" w:themeColor="text1"/>
              </w:rPr>
              <w:t>--</w:t>
            </w:r>
            <w:r>
              <w:rPr>
                <w:rFonts w:cs="Arial" w:hint="eastAsia"/>
                <w:color w:val="000000" w:themeColor="text1"/>
                <w:lang w:val="en-GB"/>
              </w:rPr>
              <w:t>综合收益总额</w:t>
            </w:r>
          </w:p>
        </w:tc>
        <w:tc>
          <w:tcPr>
            <w:tcW w:w="1697" w:type="pct"/>
          </w:tcPr>
          <w:p w:rsidR="00156DD6" w:rsidRDefault="00156DD6">
            <w:pPr>
              <w:jc w:val="right"/>
            </w:pPr>
          </w:p>
        </w:tc>
        <w:tc>
          <w:tcPr>
            <w:tcW w:w="1699" w:type="pct"/>
          </w:tcPr>
          <w:p w:rsidR="00156DD6" w:rsidRDefault="00156DD6">
            <w:pPr>
              <w:jc w:val="right"/>
            </w:pPr>
          </w:p>
        </w:tc>
      </w:tr>
      <w:tr w:rsidR="00156DD6">
        <w:trPr>
          <w:jc w:val="center"/>
        </w:trPr>
        <w:tc>
          <w:tcPr>
            <w:tcW w:w="1604" w:type="pct"/>
          </w:tcPr>
          <w:p w:rsidR="00156DD6" w:rsidRDefault="00156DD6">
            <w:pPr>
              <w:rPr>
                <w:rFonts w:cs="Arial"/>
                <w:color w:val="000000" w:themeColor="text1"/>
                <w:lang w:val="en-GB"/>
              </w:rPr>
            </w:pPr>
          </w:p>
        </w:tc>
        <w:tc>
          <w:tcPr>
            <w:tcW w:w="1697" w:type="pct"/>
          </w:tcPr>
          <w:p w:rsidR="00156DD6" w:rsidRDefault="00156DD6">
            <w:pPr>
              <w:jc w:val="right"/>
              <w:rPr>
                <w:color w:val="000000" w:themeColor="text1"/>
              </w:rPr>
            </w:pPr>
          </w:p>
        </w:tc>
        <w:tc>
          <w:tcPr>
            <w:tcW w:w="1699" w:type="pct"/>
          </w:tcPr>
          <w:p w:rsidR="00156DD6" w:rsidRDefault="00156DD6">
            <w:pPr>
              <w:jc w:val="right"/>
              <w:rPr>
                <w:color w:val="000000" w:themeColor="text1"/>
              </w:rPr>
            </w:pPr>
          </w:p>
        </w:tc>
      </w:tr>
      <w:tr w:rsidR="00156DD6">
        <w:trPr>
          <w:jc w:val="center"/>
        </w:trPr>
        <w:sdt>
          <w:sdtPr>
            <w:tag w:val="_PLD_1bd24e2b6e8f4bddad27bea53e1b1b0a"/>
            <w:id w:val="1471944157"/>
          </w:sdtPr>
          <w:sdtEndPr/>
          <w:sdtContent>
            <w:tc>
              <w:tcPr>
                <w:tcW w:w="5000" w:type="pct"/>
                <w:gridSpan w:val="3"/>
              </w:tcPr>
              <w:p w:rsidR="00156DD6" w:rsidRDefault="00D51F5F">
                <w:pPr>
                  <w:rPr>
                    <w:color w:val="000000" w:themeColor="text1"/>
                  </w:rPr>
                </w:pPr>
                <w:r>
                  <w:rPr>
                    <w:rFonts w:cs="Arial" w:hint="eastAsia"/>
                    <w:color w:val="000000" w:themeColor="text1"/>
                    <w:lang w:val="en-GB"/>
                  </w:rPr>
                  <w:t>联营企业：</w:t>
                </w:r>
              </w:p>
            </w:tc>
          </w:sdtContent>
        </w:sdt>
      </w:tr>
      <w:tr w:rsidR="00156DD6">
        <w:trPr>
          <w:jc w:val="center"/>
        </w:trPr>
        <w:tc>
          <w:tcPr>
            <w:tcW w:w="1604" w:type="pct"/>
            <w:vAlign w:val="center"/>
          </w:tcPr>
          <w:p w:rsidR="00156DD6" w:rsidRDefault="00D51F5F">
            <w:pPr>
              <w:rPr>
                <w:rFonts w:cs="Arial"/>
                <w:color w:val="000000" w:themeColor="text1"/>
              </w:rPr>
            </w:pPr>
            <w:r>
              <w:rPr>
                <w:rFonts w:cs="Arial" w:hint="eastAsia"/>
                <w:color w:val="000000" w:themeColor="text1"/>
                <w:lang w:val="en-GB"/>
              </w:rPr>
              <w:t>投资账面价值合计</w:t>
            </w:r>
          </w:p>
        </w:tc>
        <w:tc>
          <w:tcPr>
            <w:tcW w:w="1697" w:type="pct"/>
          </w:tcPr>
          <w:p w:rsidR="00156DD6" w:rsidRDefault="00D51F5F">
            <w:pPr>
              <w:jc w:val="right"/>
            </w:pPr>
            <w:r>
              <w:t xml:space="preserve"> 17,344,541.71 </w:t>
            </w:r>
          </w:p>
        </w:tc>
        <w:tc>
          <w:tcPr>
            <w:tcW w:w="1699" w:type="pct"/>
          </w:tcPr>
          <w:p w:rsidR="00156DD6" w:rsidRDefault="00D51F5F">
            <w:pPr>
              <w:jc w:val="right"/>
            </w:pPr>
            <w:r>
              <w:t>14,718,479.56</w:t>
            </w:r>
          </w:p>
        </w:tc>
      </w:tr>
      <w:tr w:rsidR="00156DD6">
        <w:trPr>
          <w:jc w:val="center"/>
        </w:trPr>
        <w:sdt>
          <w:sdtPr>
            <w:tag w:val="_PLD_31587dee61f14709a752f002668255e6"/>
            <w:id w:val="442347763"/>
          </w:sdtPr>
          <w:sdtEndPr/>
          <w:sdtContent>
            <w:tc>
              <w:tcPr>
                <w:tcW w:w="5000" w:type="pct"/>
                <w:gridSpan w:val="3"/>
                <w:vAlign w:val="center"/>
              </w:tcPr>
              <w:p w:rsidR="00156DD6" w:rsidRDefault="00D51F5F">
                <w:pPr>
                  <w:rPr>
                    <w:color w:val="000000" w:themeColor="text1"/>
                  </w:rPr>
                </w:pPr>
                <w:r>
                  <w:rPr>
                    <w:rFonts w:cs="Arial" w:hint="eastAsia"/>
                    <w:color w:val="000000" w:themeColor="text1"/>
                    <w:lang w:val="en-GB"/>
                  </w:rPr>
                  <w:t>下列各项按持股比例计算的合计数</w:t>
                </w:r>
              </w:p>
            </w:tc>
          </w:sdtContent>
        </w:sdt>
      </w:tr>
      <w:tr w:rsidR="00156DD6">
        <w:trPr>
          <w:jc w:val="center"/>
        </w:trPr>
        <w:tc>
          <w:tcPr>
            <w:tcW w:w="1604" w:type="pct"/>
            <w:vAlign w:val="center"/>
          </w:tcPr>
          <w:p w:rsidR="00156DD6" w:rsidRDefault="00D51F5F">
            <w:pPr>
              <w:rPr>
                <w:rFonts w:cs="Arial"/>
                <w:color w:val="000000" w:themeColor="text1"/>
              </w:rPr>
            </w:pPr>
            <w:r>
              <w:rPr>
                <w:rFonts w:cs="Arial"/>
                <w:color w:val="000000" w:themeColor="text1"/>
              </w:rPr>
              <w:t>--</w:t>
            </w:r>
            <w:r>
              <w:rPr>
                <w:rFonts w:cs="Arial" w:hint="eastAsia"/>
                <w:color w:val="000000" w:themeColor="text1"/>
                <w:lang w:val="en-GB"/>
              </w:rPr>
              <w:t>净利润</w:t>
            </w:r>
          </w:p>
        </w:tc>
        <w:tc>
          <w:tcPr>
            <w:tcW w:w="1697" w:type="pct"/>
          </w:tcPr>
          <w:p w:rsidR="00156DD6" w:rsidRDefault="00D51F5F">
            <w:pPr>
              <w:jc w:val="right"/>
            </w:pPr>
            <w:r>
              <w:t xml:space="preserve"> -1,373,937.85 </w:t>
            </w:r>
          </w:p>
        </w:tc>
        <w:tc>
          <w:tcPr>
            <w:tcW w:w="1699" w:type="pct"/>
          </w:tcPr>
          <w:p w:rsidR="00156DD6" w:rsidRDefault="00D51F5F">
            <w:pPr>
              <w:jc w:val="right"/>
            </w:pPr>
            <w:r>
              <w:t>-74,502.67</w:t>
            </w:r>
          </w:p>
        </w:tc>
      </w:tr>
      <w:tr w:rsidR="00156DD6">
        <w:trPr>
          <w:jc w:val="center"/>
        </w:trPr>
        <w:tc>
          <w:tcPr>
            <w:tcW w:w="1604" w:type="pct"/>
            <w:vAlign w:val="center"/>
          </w:tcPr>
          <w:p w:rsidR="00156DD6" w:rsidRDefault="00D51F5F">
            <w:pPr>
              <w:rPr>
                <w:rFonts w:cs="Arial"/>
                <w:color w:val="000000" w:themeColor="text1"/>
              </w:rPr>
            </w:pPr>
            <w:r>
              <w:rPr>
                <w:rFonts w:cs="Arial"/>
                <w:color w:val="000000" w:themeColor="text1"/>
              </w:rPr>
              <w:t>--</w:t>
            </w:r>
            <w:r>
              <w:rPr>
                <w:rFonts w:cs="Arial" w:hint="eastAsia"/>
                <w:color w:val="000000" w:themeColor="text1"/>
                <w:lang w:val="en-GB"/>
              </w:rPr>
              <w:t>其他综合收益</w:t>
            </w:r>
          </w:p>
        </w:tc>
        <w:tc>
          <w:tcPr>
            <w:tcW w:w="1697" w:type="pct"/>
          </w:tcPr>
          <w:p w:rsidR="00156DD6" w:rsidRDefault="00156DD6">
            <w:pPr>
              <w:jc w:val="right"/>
            </w:pPr>
          </w:p>
        </w:tc>
        <w:tc>
          <w:tcPr>
            <w:tcW w:w="1699" w:type="pct"/>
          </w:tcPr>
          <w:p w:rsidR="00156DD6" w:rsidRDefault="00156DD6">
            <w:pPr>
              <w:jc w:val="right"/>
            </w:pPr>
          </w:p>
        </w:tc>
      </w:tr>
      <w:tr w:rsidR="00156DD6">
        <w:trPr>
          <w:jc w:val="center"/>
        </w:trPr>
        <w:tc>
          <w:tcPr>
            <w:tcW w:w="1604" w:type="pct"/>
            <w:vAlign w:val="center"/>
          </w:tcPr>
          <w:p w:rsidR="00156DD6" w:rsidRDefault="00D51F5F">
            <w:pPr>
              <w:rPr>
                <w:rFonts w:cs="Arial"/>
                <w:color w:val="000000" w:themeColor="text1"/>
              </w:rPr>
            </w:pPr>
            <w:r>
              <w:rPr>
                <w:rFonts w:cs="Arial"/>
                <w:color w:val="000000" w:themeColor="text1"/>
              </w:rPr>
              <w:t>--</w:t>
            </w:r>
            <w:r>
              <w:rPr>
                <w:rFonts w:cs="Arial" w:hint="eastAsia"/>
                <w:color w:val="000000" w:themeColor="text1"/>
                <w:lang w:val="en-GB"/>
              </w:rPr>
              <w:t>综合收益总额</w:t>
            </w:r>
          </w:p>
        </w:tc>
        <w:tc>
          <w:tcPr>
            <w:tcW w:w="1697" w:type="pct"/>
          </w:tcPr>
          <w:p w:rsidR="00156DD6" w:rsidRDefault="00156DD6">
            <w:pPr>
              <w:jc w:val="right"/>
            </w:pPr>
          </w:p>
        </w:tc>
        <w:tc>
          <w:tcPr>
            <w:tcW w:w="1699" w:type="pct"/>
          </w:tcPr>
          <w:p w:rsidR="00156DD6" w:rsidRDefault="00156DD6">
            <w:pPr>
              <w:jc w:val="right"/>
            </w:pPr>
          </w:p>
        </w:tc>
      </w:tr>
    </w:tbl>
    <w:p w:rsidR="00156DD6" w:rsidRDefault="00D51F5F">
      <w:pPr>
        <w:rPr>
          <w:rFonts w:cs="Arial"/>
          <w:color w:val="000000" w:themeColor="text1"/>
        </w:rPr>
      </w:pPr>
      <w:r>
        <w:rPr>
          <w:rFonts w:cs="Arial" w:hint="eastAsia"/>
          <w:color w:val="000000" w:themeColor="text1"/>
        </w:rPr>
        <w:t>其他说明</w:t>
      </w:r>
    </w:p>
    <w:p w:rsidR="00156DD6" w:rsidRDefault="00D51F5F">
      <w:pPr>
        <w:rPr>
          <w:rFonts w:cs="Arial"/>
          <w:color w:val="000000" w:themeColor="text1"/>
        </w:rPr>
      </w:pPr>
      <w:sdt>
        <w:sdtPr>
          <w:rPr>
            <w:color w:val="000000" w:themeColor="text1"/>
          </w:rPr>
          <w:alias w:val="不重要的合营企业和联营企业的汇总财务信息其他说明"/>
          <w:tag w:val="_GBC_78096995ca9848409e6780ab5f1386f8"/>
          <w:id w:val="-1179964145"/>
          <w:placeholder>
            <w:docPart w:val="GBC22222222222222222222222222222"/>
          </w:placeholder>
        </w:sdtPr>
        <w:sdtEndPr/>
        <w:sdtContent>
          <w:r>
            <w:rPr>
              <w:rFonts w:hint="eastAsia"/>
              <w:color w:val="000000" w:themeColor="text1"/>
            </w:rPr>
            <w:t>无</w:t>
          </w:r>
        </w:sdtContent>
      </w:sdt>
    </w:p>
    <w:p w:rsidR="00156DD6" w:rsidRDefault="00D51F5F">
      <w:pPr>
        <w:keepNext/>
        <w:keepLines/>
        <w:widowControl w:val="0"/>
        <w:numPr>
          <w:ilvl w:val="3"/>
          <w:numId w:val="91"/>
        </w:numPr>
        <w:spacing w:before="60" w:after="60"/>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t>合营企业或联营企业向本公司转移资金的能力存在重大限制的说明</w:t>
      </w:r>
    </w:p>
    <w:sdt>
      <w:sdtPr>
        <w:rPr>
          <w:color w:val="000000" w:themeColor="text1"/>
        </w:rPr>
        <w:alias w:val="是否适用：合营企业或联营企业向本公司转移资金的能力存在重大限制的说明[双击切换]"/>
        <w:tag w:val="_GBC_73dfba3df3e24fc2a5b5ede5fa8d6f09"/>
        <w:id w:val="-39018912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keepNext/>
        <w:keepLines/>
        <w:widowControl w:val="0"/>
        <w:numPr>
          <w:ilvl w:val="3"/>
          <w:numId w:val="91"/>
        </w:numPr>
        <w:spacing w:before="60" w:after="60"/>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t>合营企业或联营企业发生的超额亏损</w:t>
      </w:r>
    </w:p>
    <w:sdt>
      <w:sdtPr>
        <w:rPr>
          <w:color w:val="000000" w:themeColor="text1"/>
        </w:rPr>
        <w:alias w:val="是否适用：合营企业或联营企业发生的超额亏损[双击切换]"/>
        <w:tag w:val="_GBC_c30af0beca864d788c2fe12f47f13428"/>
        <w:id w:val="-1598016294"/>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keepNext/>
        <w:keepLines/>
        <w:widowControl w:val="0"/>
        <w:numPr>
          <w:ilvl w:val="3"/>
          <w:numId w:val="91"/>
        </w:numPr>
        <w:spacing w:before="60" w:after="60"/>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t>与合营企业投资相关的未确认承诺</w:t>
      </w:r>
    </w:p>
    <w:sdt>
      <w:sdtPr>
        <w:rPr>
          <w:color w:val="000000" w:themeColor="text1"/>
        </w:rPr>
        <w:alias w:val="是否适用：与合营企业投资相关的未确认承诺[双击切换]"/>
        <w:tag w:val="_GBC_9d014d8b476148b59476808a5cda81d8"/>
        <w:id w:val="-659995641"/>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keepNext/>
        <w:keepLines/>
        <w:widowControl w:val="0"/>
        <w:numPr>
          <w:ilvl w:val="3"/>
          <w:numId w:val="91"/>
        </w:numPr>
        <w:spacing w:before="60" w:after="60"/>
        <w:jc w:val="both"/>
        <w:outlineLvl w:val="3"/>
        <w:rPr>
          <w:rFonts w:ascii="Cambria" w:hAnsi="Cambria" w:cs="Times New Roman"/>
          <w:b/>
          <w:color w:val="000000" w:themeColor="text1"/>
          <w:kern w:val="2"/>
        </w:rPr>
      </w:pPr>
      <w:r>
        <w:rPr>
          <w:rFonts w:ascii="Cambria" w:hAnsi="Cambria" w:cs="Times New Roman" w:hint="eastAsia"/>
          <w:b/>
          <w:color w:val="000000" w:themeColor="text1"/>
          <w:kern w:val="2"/>
        </w:rPr>
        <w:lastRenderedPageBreak/>
        <w:t>与合营企业或联营企业投资相关的或有负债</w:t>
      </w:r>
    </w:p>
    <w:sdt>
      <w:sdtPr>
        <w:rPr>
          <w:color w:val="000000" w:themeColor="text1"/>
        </w:rPr>
        <w:alias w:val="是否适用：与合营企业或联营企业投资相关的或有负债[双击切换]"/>
        <w:tag w:val="_GBC_caba618be81b4cb1acf89073549a456a"/>
        <w:id w:val="147873055"/>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w:instrText>
          </w:r>
          <w:r>
            <w:rPr>
              <w:rFonts w:hint="eastAsia"/>
              <w:color w:val="000000" w:themeColor="text1"/>
            </w:rPr>
            <w:instrText xml:space="preserve">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2"/>
          <w:numId w:val="88"/>
        </w:numPr>
        <w:rPr>
          <w:rFonts w:ascii="宋体" w:hAnsi="宋体"/>
          <w:color w:val="000000" w:themeColor="text1"/>
          <w:sz w:val="21"/>
          <w:szCs w:val="21"/>
        </w:rPr>
      </w:pPr>
      <w:r>
        <w:rPr>
          <w:rFonts w:ascii="宋体" w:hAnsi="宋体" w:hint="eastAsia"/>
          <w:color w:val="000000" w:themeColor="text1"/>
          <w:sz w:val="21"/>
          <w:szCs w:val="21"/>
        </w:rPr>
        <w:t>重要的共同经营</w:t>
      </w:r>
    </w:p>
    <w:sdt>
      <w:sdtPr>
        <w:rPr>
          <w:color w:val="000000" w:themeColor="text1"/>
        </w:rPr>
        <w:alias w:val="是否适用：重要的共同经营[双击切换]"/>
        <w:tag w:val="_GBC_7911b1c8195d4c20b2800b1c5ac94a93"/>
        <w:id w:val="-1057244710"/>
        <w:placeholder>
          <w:docPart w:val="GBC22222222222222222222222222222"/>
        </w:placeholder>
      </w:sdtPr>
      <w:sdtEndPr/>
      <w:sdtContent>
        <w:p w:rsidR="00156DD6" w:rsidRDefault="00D51F5F">
          <w:pPr>
            <w:rPr>
              <w:rFonts w:cs="Arial"/>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2"/>
          <w:numId w:val="88"/>
        </w:numPr>
        <w:rPr>
          <w:rFonts w:ascii="宋体" w:hAnsi="宋体"/>
          <w:color w:val="000000" w:themeColor="text1"/>
          <w:sz w:val="21"/>
          <w:szCs w:val="21"/>
        </w:rPr>
      </w:pPr>
      <w:r>
        <w:rPr>
          <w:rFonts w:ascii="宋体" w:hAnsi="宋体" w:hint="eastAsia"/>
          <w:color w:val="000000" w:themeColor="text1"/>
          <w:sz w:val="21"/>
          <w:szCs w:val="21"/>
        </w:rPr>
        <w:t>在未纳入合并财务报表范围的结构化主体中的权益</w:t>
      </w:r>
    </w:p>
    <w:p w:rsidR="00156DD6" w:rsidRDefault="00D51F5F">
      <w:pPr>
        <w:rPr>
          <w:rFonts w:cs="Arial"/>
          <w:color w:val="000000" w:themeColor="text1"/>
        </w:rPr>
      </w:pPr>
      <w:r>
        <w:rPr>
          <w:rFonts w:cs="Arial" w:hint="eastAsia"/>
          <w:color w:val="000000" w:themeColor="text1"/>
        </w:rPr>
        <w:t>未纳入合并财务报表范围的结构化主体的相关说明：</w:t>
      </w:r>
    </w:p>
    <w:sdt>
      <w:sdtPr>
        <w:rPr>
          <w:rFonts w:cs="Arial"/>
          <w:color w:val="000000" w:themeColor="text1"/>
        </w:rPr>
        <w:alias w:val="是否适用：未纳入合并财务报表范围的结构化主体的相关说明[双击切换]"/>
        <w:tag w:val="_GBC_48eb6d215e5341c694f98d18f5889902"/>
        <w:id w:val="1242141631"/>
        <w:placeholder>
          <w:docPart w:val="GBC22222222222222222222222222222"/>
        </w:placeholder>
      </w:sdtPr>
      <w:sdtEndPr/>
      <w:sdtContent>
        <w:p w:rsidR="00156DD6" w:rsidRDefault="00D51F5F">
          <w:pPr>
            <w:rPr>
              <w:rFonts w:cs="Arial"/>
              <w:color w:val="000000" w:themeColor="text1"/>
            </w:rPr>
          </w:pPr>
          <w:r>
            <w:rPr>
              <w:rFonts w:cs="Arial"/>
              <w:color w:val="000000" w:themeColor="text1"/>
            </w:rPr>
            <w:fldChar w:fldCharType="begin"/>
          </w:r>
          <w:r>
            <w:rPr>
              <w:rFonts w:cs="Arial" w:hint="eastAsia"/>
              <w:color w:val="000000" w:themeColor="text1"/>
            </w:rPr>
            <w:instrText xml:space="preserve"> MACROBUTTON  SnrToggleCheckbox </w:instrText>
          </w:r>
          <w:r>
            <w:rPr>
              <w:rFonts w:cs="Arial" w:hint="eastAsia"/>
              <w:color w:val="000000" w:themeColor="text1"/>
            </w:rPr>
            <w:instrText>□适用</w:instrText>
          </w:r>
          <w:r>
            <w:rPr>
              <w:rFonts w:cs="Arial" w:hint="eastAsia"/>
              <w:color w:val="000000" w:themeColor="text1"/>
            </w:rPr>
            <w:instrText xml:space="preserve"> </w:instrText>
          </w:r>
          <w:r>
            <w:rPr>
              <w:rFonts w:cs="Arial"/>
              <w:color w:val="000000" w:themeColor="text1"/>
            </w:rPr>
            <w:fldChar w:fldCharType="end"/>
          </w:r>
          <w:r>
            <w:rPr>
              <w:rFonts w:cs="Arial"/>
              <w:color w:val="000000" w:themeColor="text1"/>
            </w:rPr>
            <w:fldChar w:fldCharType="begin"/>
          </w:r>
          <w:r>
            <w:rPr>
              <w:rFonts w:cs="Arial" w:hint="eastAsia"/>
              <w:color w:val="000000" w:themeColor="text1"/>
            </w:rPr>
            <w:instrText xml:space="preserve"> MACROBUTTON  SnrToggleCheckbox </w:instrText>
          </w:r>
          <w:r>
            <w:rPr>
              <w:rFonts w:cs="Arial" w:hint="eastAsia"/>
              <w:color w:val="000000" w:themeColor="text1"/>
            </w:rPr>
            <w:instrText>√不适用</w:instrText>
          </w:r>
          <w:r>
            <w:rPr>
              <w:rFonts w:cs="Arial" w:hint="eastAsia"/>
              <w:color w:val="000000" w:themeColor="text1"/>
            </w:rPr>
            <w:instrText xml:space="preserve"> </w:instrText>
          </w:r>
          <w:r>
            <w:rPr>
              <w:rFonts w:cs="Arial"/>
              <w:color w:val="000000" w:themeColor="text1"/>
            </w:rPr>
            <w:fldChar w:fldCharType="end"/>
          </w:r>
        </w:p>
      </w:sdtContent>
    </w:sdt>
    <w:p w:rsidR="00156DD6" w:rsidRDefault="00D51F5F">
      <w:pPr>
        <w:pStyle w:val="TOC6"/>
        <w:numPr>
          <w:ilvl w:val="2"/>
          <w:numId w:val="88"/>
        </w:numPr>
        <w:rPr>
          <w:rFonts w:ascii="宋体" w:hAnsi="宋体"/>
          <w:color w:val="000000" w:themeColor="text1"/>
          <w:sz w:val="21"/>
          <w:szCs w:val="21"/>
        </w:rPr>
      </w:pPr>
      <w:r>
        <w:rPr>
          <w:rFonts w:ascii="宋体" w:hAnsi="宋体" w:hint="eastAsia"/>
          <w:color w:val="000000" w:themeColor="text1"/>
          <w:sz w:val="21"/>
          <w:szCs w:val="21"/>
        </w:rPr>
        <w:t>其他</w:t>
      </w:r>
    </w:p>
    <w:sdt>
      <w:sdtPr>
        <w:rPr>
          <w:color w:val="000000" w:themeColor="text1"/>
        </w:rPr>
        <w:alias w:val="是否适用：在其他主体中的权益其他需要说明的事项[双击切换]"/>
        <w:tag w:val="_GBC_ad8b7a7df0724efaa681a931c91befff"/>
        <w:id w:val="157547201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bookmarkStart w:id="453" w:name="_Hlk167976217"/>
      <w:r>
        <w:rPr>
          <w:rFonts w:ascii="宋体" w:hAnsi="宋体" w:hint="eastAsia"/>
          <w:color w:val="000000" w:themeColor="text1"/>
          <w:sz w:val="21"/>
          <w:szCs w:val="21"/>
        </w:rPr>
        <w:t>政府补助</w:t>
      </w:r>
    </w:p>
    <w:p w:rsidR="00156DD6" w:rsidRDefault="00D51F5F">
      <w:pPr>
        <w:pStyle w:val="TOC6"/>
        <w:numPr>
          <w:ilvl w:val="0"/>
          <w:numId w:val="92"/>
        </w:numPr>
        <w:ind w:left="0" w:firstLine="0"/>
        <w:rPr>
          <w:color w:val="000000" w:themeColor="text1"/>
          <w:sz w:val="21"/>
          <w:szCs w:val="21"/>
        </w:rPr>
      </w:pPr>
      <w:r>
        <w:rPr>
          <w:color w:val="000000" w:themeColor="text1"/>
          <w:sz w:val="21"/>
          <w:szCs w:val="21"/>
        </w:rPr>
        <w:t>报告期末按应收金额确认的政府补助</w:t>
      </w:r>
    </w:p>
    <w:sdt>
      <w:sdtPr>
        <w:rPr>
          <w:color w:val="000000" w:themeColor="text1"/>
        </w:rPr>
        <w:alias w:val="是否适用：按应收金额确认的政府补助[双击切换]"/>
        <w:tag w:val="_GBC_3d18d31d14384adf9969b37c0463bdb6"/>
        <w:id w:val="-40152187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color w:val="000000" w:themeColor="text1"/>
        </w:rPr>
        <w:t>未能在预计时点收到预计金额的政府补助</w:t>
      </w:r>
      <w:r>
        <w:rPr>
          <w:rFonts w:hint="eastAsia"/>
          <w:color w:val="000000" w:themeColor="text1"/>
        </w:rPr>
        <w:t>的</w:t>
      </w:r>
      <w:r>
        <w:rPr>
          <w:color w:val="000000" w:themeColor="text1"/>
        </w:rPr>
        <w:t>原因</w:t>
      </w:r>
    </w:p>
    <w:sdt>
      <w:sdtPr>
        <w:rPr>
          <w:color w:val="000000" w:themeColor="text1"/>
        </w:rPr>
        <w:alias w:val="是否适用：未能在预计时点收到预计金额的政府补助的原因[双击切换]"/>
        <w:tag w:val="_GBC_e0b0850317ba480b8188bda150ebfb78"/>
        <w:id w:val="-61759719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2"/>
        </w:numPr>
        <w:ind w:left="0" w:firstLine="0"/>
        <w:rPr>
          <w:color w:val="000000" w:themeColor="text1"/>
          <w:sz w:val="21"/>
          <w:szCs w:val="21"/>
        </w:rPr>
      </w:pPr>
      <w:r>
        <w:rPr>
          <w:color w:val="000000" w:themeColor="text1"/>
          <w:sz w:val="21"/>
          <w:szCs w:val="21"/>
        </w:rPr>
        <w:t>涉及政府补助的负债项目</w:t>
      </w:r>
    </w:p>
    <w:sdt>
      <w:sdtPr>
        <w:rPr>
          <w:color w:val="000000" w:themeColor="text1"/>
        </w:rPr>
        <w:alias w:val="是否适用：涉及政府补助的负债项目[双击切换]"/>
        <w:tag w:val="_GBC_5b8cf655c53545cab80f75be728637c0"/>
        <w:id w:val="106784155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涉及政府补助的负债项目"/>
          <w:tag w:val="_GBC_3f46f2e72def428785501464e8373dc7"/>
          <w:id w:val="162495336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涉及政府补助的负债项目"/>
          <w:tag w:val="_GBC_2061879c791b40ceb951bedd0f7334b3"/>
          <w:id w:val="-17033210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581"/>
        <w:gridCol w:w="1266"/>
        <w:gridCol w:w="730"/>
        <w:gridCol w:w="1476"/>
        <w:gridCol w:w="730"/>
        <w:gridCol w:w="1581"/>
        <w:gridCol w:w="728"/>
      </w:tblGrid>
      <w:tr w:rsidR="00156DD6">
        <w:sdt>
          <w:sdtPr>
            <w:tag w:val="_PLD_69dbfe6de199442ba67fa4c2623ba343"/>
            <w:id w:val="-64182984"/>
          </w:sdtPr>
          <w:sdtEndPr/>
          <w:sdtContent>
            <w:tc>
              <w:tcPr>
                <w:tcW w:w="600" w:type="pct"/>
                <w:vAlign w:val="center"/>
              </w:tcPr>
              <w:p w:rsidR="00156DD6" w:rsidRDefault="00D51F5F">
                <w:pPr>
                  <w:jc w:val="center"/>
                  <w:rPr>
                    <w:color w:val="000000" w:themeColor="text1"/>
                  </w:rPr>
                </w:pPr>
                <w:r>
                  <w:rPr>
                    <w:rFonts w:hint="eastAsia"/>
                    <w:color w:val="000000" w:themeColor="text1"/>
                  </w:rPr>
                  <w:t>财务报表项目</w:t>
                </w:r>
              </w:p>
            </w:tc>
          </w:sdtContent>
        </w:sdt>
        <w:sdt>
          <w:sdtPr>
            <w:tag w:val="_PLD_ed889bd262164e639c21bff48ded3a53"/>
            <w:id w:val="-1340995094"/>
          </w:sdtPr>
          <w:sdtEndPr/>
          <w:sdtContent>
            <w:tc>
              <w:tcPr>
                <w:tcW w:w="807" w:type="pct"/>
                <w:vAlign w:val="center"/>
              </w:tcPr>
              <w:p w:rsidR="00156DD6" w:rsidRDefault="00D51F5F">
                <w:pPr>
                  <w:jc w:val="center"/>
                  <w:rPr>
                    <w:color w:val="000000" w:themeColor="text1"/>
                  </w:rPr>
                </w:pPr>
                <w:r>
                  <w:rPr>
                    <w:rFonts w:hint="eastAsia"/>
                    <w:color w:val="000000" w:themeColor="text1"/>
                  </w:rPr>
                  <w:t>期初余额</w:t>
                </w:r>
              </w:p>
            </w:tc>
          </w:sdtContent>
        </w:sdt>
        <w:sdt>
          <w:sdtPr>
            <w:tag w:val="_PLD_7052fd9610c24b8baab6d4bc81cd150d"/>
            <w:id w:val="-1573185418"/>
          </w:sdtPr>
          <w:sdtEndPr/>
          <w:sdtContent>
            <w:tc>
              <w:tcPr>
                <w:tcW w:w="599" w:type="pct"/>
                <w:vAlign w:val="center"/>
              </w:tcPr>
              <w:p w:rsidR="00156DD6" w:rsidRDefault="00D51F5F">
                <w:pPr>
                  <w:jc w:val="center"/>
                  <w:rPr>
                    <w:color w:val="000000" w:themeColor="text1"/>
                  </w:rPr>
                </w:pPr>
                <w:r>
                  <w:rPr>
                    <w:color w:val="000000" w:themeColor="text1"/>
                  </w:rPr>
                  <w:t>本期新增补助金额</w:t>
                </w:r>
              </w:p>
            </w:tc>
          </w:sdtContent>
        </w:sdt>
        <w:sdt>
          <w:sdtPr>
            <w:tag w:val="_PLD_52c2e402043d4e31a35cf36007217038"/>
            <w:id w:val="-1202627126"/>
          </w:sdtPr>
          <w:sdtEndPr/>
          <w:sdtContent>
            <w:tc>
              <w:tcPr>
                <w:tcW w:w="599" w:type="pct"/>
                <w:vAlign w:val="center"/>
              </w:tcPr>
              <w:p w:rsidR="00156DD6" w:rsidRDefault="00D51F5F">
                <w:pPr>
                  <w:jc w:val="center"/>
                  <w:rPr>
                    <w:color w:val="000000" w:themeColor="text1"/>
                  </w:rPr>
                </w:pPr>
                <w:r>
                  <w:rPr>
                    <w:color w:val="000000" w:themeColor="text1"/>
                  </w:rPr>
                  <w:t>本期计入营业外收入金额</w:t>
                </w:r>
              </w:p>
            </w:tc>
          </w:sdtContent>
        </w:sdt>
        <w:sdt>
          <w:sdtPr>
            <w:tag w:val="_PLD_54cb3f3d4b4b49b9913df5c05007eb61"/>
            <w:id w:val="1818992255"/>
          </w:sdtPr>
          <w:sdtEndPr/>
          <w:sdtContent>
            <w:tc>
              <w:tcPr>
                <w:tcW w:w="599" w:type="pct"/>
                <w:vAlign w:val="center"/>
              </w:tcPr>
              <w:p w:rsidR="00156DD6" w:rsidRDefault="00D51F5F">
                <w:pPr>
                  <w:jc w:val="center"/>
                  <w:rPr>
                    <w:color w:val="000000" w:themeColor="text1"/>
                  </w:rPr>
                </w:pPr>
                <w:r>
                  <w:rPr>
                    <w:color w:val="000000" w:themeColor="text1"/>
                  </w:rPr>
                  <w:t>本期转入其他收益</w:t>
                </w:r>
              </w:p>
            </w:tc>
          </w:sdtContent>
        </w:sdt>
        <w:sdt>
          <w:sdtPr>
            <w:tag w:val="_PLD_f8464a8361c140659dec395b64a565c0"/>
            <w:id w:val="-1039209225"/>
          </w:sdtPr>
          <w:sdtEndPr/>
          <w:sdtContent>
            <w:tc>
              <w:tcPr>
                <w:tcW w:w="599" w:type="pct"/>
                <w:vAlign w:val="center"/>
              </w:tcPr>
              <w:p w:rsidR="00156DD6" w:rsidRDefault="00D51F5F">
                <w:pPr>
                  <w:jc w:val="center"/>
                  <w:rPr>
                    <w:color w:val="000000" w:themeColor="text1"/>
                  </w:rPr>
                </w:pPr>
                <w:r>
                  <w:rPr>
                    <w:rFonts w:hint="eastAsia"/>
                    <w:color w:val="000000" w:themeColor="text1"/>
                  </w:rPr>
                  <w:t>本期其他变动</w:t>
                </w:r>
              </w:p>
            </w:tc>
          </w:sdtContent>
        </w:sdt>
        <w:sdt>
          <w:sdtPr>
            <w:tag w:val="_PLD_abc368d2d0c7418dbd78f4f89cd037d5"/>
            <w:id w:val="855081940"/>
          </w:sdtPr>
          <w:sdtEndPr/>
          <w:sdtContent>
            <w:tc>
              <w:tcPr>
                <w:tcW w:w="599"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3ff2a65a79344d48808fa5737db3cb39"/>
            <w:id w:val="-1225681470"/>
          </w:sdtPr>
          <w:sdtEndPr/>
          <w:sdtContent>
            <w:tc>
              <w:tcPr>
                <w:tcW w:w="598" w:type="pct"/>
                <w:vAlign w:val="center"/>
              </w:tcPr>
              <w:p w:rsidR="00156DD6" w:rsidRDefault="00D51F5F">
                <w:pPr>
                  <w:jc w:val="center"/>
                  <w:rPr>
                    <w:color w:val="000000" w:themeColor="text1"/>
                  </w:rPr>
                </w:pPr>
                <w:r>
                  <w:rPr>
                    <w:rFonts w:hint="eastAsia"/>
                    <w:color w:val="000000" w:themeColor="text1"/>
                  </w:rPr>
                  <w:t>与资产</w:t>
                </w:r>
                <w:r>
                  <w:rPr>
                    <w:color w:val="000000" w:themeColor="text1"/>
                  </w:rPr>
                  <w:t>/</w:t>
                </w:r>
                <w:r>
                  <w:rPr>
                    <w:color w:val="000000" w:themeColor="text1"/>
                  </w:rPr>
                  <w:t>收益相关</w:t>
                </w:r>
              </w:p>
            </w:tc>
          </w:sdtContent>
        </w:sdt>
      </w:tr>
      <w:tr w:rsidR="00156DD6">
        <w:tc>
          <w:tcPr>
            <w:tcW w:w="600" w:type="pct"/>
            <w:vAlign w:val="center"/>
          </w:tcPr>
          <w:p w:rsidR="00156DD6" w:rsidRDefault="00D51F5F">
            <w:pPr>
              <w:jc w:val="both"/>
            </w:pPr>
            <w:r>
              <w:rPr>
                <w:rFonts w:hint="eastAsia"/>
              </w:rPr>
              <w:t>递延收益</w:t>
            </w:r>
          </w:p>
        </w:tc>
        <w:tc>
          <w:tcPr>
            <w:tcW w:w="807" w:type="pct"/>
            <w:vAlign w:val="center"/>
          </w:tcPr>
          <w:p w:rsidR="00156DD6" w:rsidRDefault="00D51F5F">
            <w:pPr>
              <w:jc w:val="right"/>
            </w:pPr>
            <w:r>
              <w:t>73,234,976.95</w:t>
            </w:r>
          </w:p>
        </w:tc>
        <w:tc>
          <w:tcPr>
            <w:tcW w:w="599" w:type="pct"/>
            <w:vAlign w:val="center"/>
          </w:tcPr>
          <w:p w:rsidR="00156DD6" w:rsidRDefault="00D51F5F">
            <w:pPr>
              <w:jc w:val="right"/>
            </w:pPr>
            <w:r>
              <w:t xml:space="preserve">400,000.00 </w:t>
            </w:r>
          </w:p>
        </w:tc>
        <w:tc>
          <w:tcPr>
            <w:tcW w:w="599" w:type="pct"/>
            <w:vAlign w:val="center"/>
          </w:tcPr>
          <w:p w:rsidR="00156DD6" w:rsidRDefault="00156DD6">
            <w:pPr>
              <w:jc w:val="right"/>
            </w:pPr>
          </w:p>
        </w:tc>
        <w:tc>
          <w:tcPr>
            <w:tcW w:w="599" w:type="pct"/>
            <w:vAlign w:val="center"/>
          </w:tcPr>
          <w:p w:rsidR="00156DD6" w:rsidRDefault="00D51F5F">
            <w:pPr>
              <w:jc w:val="right"/>
            </w:pPr>
            <w:r>
              <w:t xml:space="preserve">3,384,091.11 </w:t>
            </w:r>
          </w:p>
        </w:tc>
        <w:tc>
          <w:tcPr>
            <w:tcW w:w="599" w:type="pct"/>
            <w:vAlign w:val="center"/>
          </w:tcPr>
          <w:p w:rsidR="00156DD6" w:rsidRDefault="00156DD6">
            <w:pPr>
              <w:jc w:val="right"/>
            </w:pPr>
          </w:p>
        </w:tc>
        <w:tc>
          <w:tcPr>
            <w:tcW w:w="599" w:type="pct"/>
            <w:vAlign w:val="center"/>
          </w:tcPr>
          <w:p w:rsidR="00156DD6" w:rsidRDefault="00D51F5F">
            <w:pPr>
              <w:jc w:val="right"/>
            </w:pPr>
            <w:r>
              <w:t xml:space="preserve">70,250,885.84 </w:t>
            </w:r>
          </w:p>
        </w:tc>
        <w:tc>
          <w:tcPr>
            <w:tcW w:w="598" w:type="pct"/>
          </w:tcPr>
          <w:p w:rsidR="00156DD6" w:rsidRDefault="00D51F5F">
            <w:pPr>
              <w:pStyle w:val="Style43"/>
            </w:pPr>
            <w:r>
              <w:rPr>
                <w:rFonts w:hint="eastAsia"/>
              </w:rPr>
              <w:t>与资产相关</w:t>
            </w:r>
          </w:p>
        </w:tc>
      </w:tr>
      <w:tr w:rsidR="00156DD6">
        <w:tc>
          <w:tcPr>
            <w:tcW w:w="600"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color w:val="000000" w:themeColor="text1"/>
              </w:rPr>
              <w:t>合计</w:t>
            </w:r>
          </w:p>
        </w:tc>
        <w:tc>
          <w:tcPr>
            <w:tcW w:w="80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73,234,976.95</w:t>
            </w: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400,000.00 </w:t>
            </w: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3,384,091.11 </w:t>
            </w: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70,250,885.84 </w:t>
            </w:r>
          </w:p>
        </w:tc>
        <w:tc>
          <w:tcPr>
            <w:tcW w:w="59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w:t>
            </w:r>
          </w:p>
        </w:tc>
      </w:tr>
    </w:tbl>
    <w:p w:rsidR="00156DD6" w:rsidRDefault="00D51F5F">
      <w:pPr>
        <w:pStyle w:val="TOC6"/>
        <w:numPr>
          <w:ilvl w:val="0"/>
          <w:numId w:val="92"/>
        </w:numPr>
        <w:ind w:left="0" w:firstLine="0"/>
        <w:rPr>
          <w:color w:val="000000" w:themeColor="text1"/>
          <w:sz w:val="21"/>
          <w:szCs w:val="36"/>
        </w:rPr>
      </w:pPr>
      <w:bookmarkStart w:id="454" w:name="_Hlk153267868"/>
      <w:r>
        <w:rPr>
          <w:color w:val="000000" w:themeColor="text1"/>
          <w:sz w:val="21"/>
          <w:szCs w:val="36"/>
        </w:rPr>
        <w:t>计入当期损益的政府补助</w:t>
      </w:r>
    </w:p>
    <w:sdt>
      <w:sdtPr>
        <w:rPr>
          <w:rStyle w:val="Style56"/>
          <w:rFonts w:ascii="宋体" w:hAnsi="宋体"/>
          <w:b w:val="0"/>
          <w:color w:val="000000" w:themeColor="text1"/>
          <w:szCs w:val="21"/>
        </w:rPr>
        <w:alias w:val="是否适用：计入当期损益的政府补助[双击切换]"/>
        <w:tag w:val="_GBC_01aefe636f4f4e8b8752cf8841e143f6"/>
        <w:id w:val="-1948690183"/>
      </w:sdtPr>
      <w:sdtEndPr>
        <w:rPr>
          <w:rStyle w:val="Style56"/>
        </w:rPr>
      </w:sdtEndPr>
      <w:sdtContent>
        <w:p w:rsidR="00156DD6" w:rsidRDefault="00D51F5F">
          <w:pPr>
            <w:rPr>
              <w:rStyle w:val="Style56"/>
              <w:rFonts w:ascii="宋体" w:hAnsi="宋体"/>
              <w:b w:val="0"/>
              <w:color w:val="000000" w:themeColor="text1"/>
              <w:szCs w:val="21"/>
            </w:rPr>
          </w:pPr>
          <w:r>
            <w:rPr>
              <w:rStyle w:val="Style56"/>
              <w:rFonts w:ascii="宋体" w:hAnsi="宋体"/>
              <w:b w:val="0"/>
              <w:color w:val="000000" w:themeColor="text1"/>
              <w:szCs w:val="21"/>
            </w:rPr>
            <w:fldChar w:fldCharType="begin"/>
          </w:r>
          <w:r>
            <w:rPr>
              <w:rStyle w:val="Style56"/>
              <w:rFonts w:ascii="宋体" w:hAnsi="宋体" w:hint="eastAsia"/>
              <w:b w:val="0"/>
              <w:color w:val="000000" w:themeColor="text1"/>
              <w:szCs w:val="21"/>
            </w:rPr>
            <w:instrText xml:space="preserve">MACROBUTTON SnrToggleCheckbox </w:instrText>
          </w:r>
          <w:r>
            <w:rPr>
              <w:rStyle w:val="Style56"/>
              <w:rFonts w:ascii="宋体" w:hAnsi="宋体" w:hint="eastAsia"/>
              <w:b w:val="0"/>
              <w:color w:val="000000" w:themeColor="text1"/>
              <w:szCs w:val="21"/>
            </w:rPr>
            <w:instrText>√适用</w:instrText>
          </w:r>
          <w:r>
            <w:rPr>
              <w:rStyle w:val="Style56"/>
              <w:rFonts w:ascii="宋体" w:hAnsi="宋体" w:hint="eastAsia"/>
              <w:b w:val="0"/>
              <w:color w:val="000000" w:themeColor="text1"/>
              <w:szCs w:val="21"/>
            </w:rPr>
            <w:instrText xml:space="preserve"> </w:instrText>
          </w:r>
          <w:r>
            <w:rPr>
              <w:rStyle w:val="Style56"/>
              <w:rFonts w:ascii="宋体" w:hAnsi="宋体"/>
              <w:b w:val="0"/>
              <w:color w:val="000000" w:themeColor="text1"/>
              <w:szCs w:val="21"/>
            </w:rPr>
            <w:fldChar w:fldCharType="end"/>
          </w:r>
          <w:r>
            <w:rPr>
              <w:rStyle w:val="Style56"/>
              <w:rFonts w:ascii="宋体" w:hAnsi="宋体"/>
              <w:b w:val="0"/>
              <w:color w:val="000000" w:themeColor="text1"/>
              <w:szCs w:val="21"/>
            </w:rPr>
            <w:fldChar w:fldCharType="begin"/>
          </w:r>
          <w:r>
            <w:rPr>
              <w:rStyle w:val="Style56"/>
              <w:rFonts w:ascii="宋体" w:hAnsi="宋体"/>
              <w:b w:val="0"/>
              <w:color w:val="000000" w:themeColor="text1"/>
              <w:szCs w:val="21"/>
            </w:rPr>
            <w:instrText>MACROBUTTON  SnrToggleCheckbox □</w:instrText>
          </w:r>
          <w:r>
            <w:rPr>
              <w:rStyle w:val="Style56"/>
              <w:rFonts w:ascii="宋体" w:hAnsi="宋体"/>
              <w:b w:val="0"/>
              <w:color w:val="000000" w:themeColor="text1"/>
              <w:szCs w:val="21"/>
            </w:rPr>
            <w:instrText>不适用</w:instrText>
          </w:r>
          <w:r>
            <w:rPr>
              <w:rStyle w:val="Style56"/>
              <w:rFonts w:ascii="宋体" w:hAnsi="宋体"/>
              <w:b w:val="0"/>
              <w:color w:val="000000" w:themeColor="text1"/>
              <w:szCs w:val="21"/>
            </w:rPr>
            <w:instrText xml:space="preserve"> </w:instrText>
          </w:r>
          <w:r>
            <w:rPr>
              <w:rStyle w:val="Style56"/>
              <w:rFonts w:ascii="宋体" w:hAnsi="宋体"/>
              <w:b w:val="0"/>
              <w:color w:val="000000" w:themeColor="text1"/>
              <w:szCs w:val="21"/>
            </w:rPr>
            <w:fldChar w:fldCharType="end"/>
          </w:r>
        </w:p>
      </w:sdtContent>
    </w:sdt>
    <w:p w:rsidR="00156DD6" w:rsidRDefault="00D51F5F">
      <w:pPr>
        <w:jc w:val="right"/>
        <w:rPr>
          <w:color w:val="000000" w:themeColor="text1"/>
        </w:rPr>
      </w:pPr>
      <w:r>
        <w:rPr>
          <w:rFonts w:hint="eastAsia"/>
          <w:color w:val="000000" w:themeColor="text1"/>
        </w:rPr>
        <w:t xml:space="preserve"> </w:t>
      </w:r>
      <w:r>
        <w:rPr>
          <w:rFonts w:hint="eastAsia"/>
          <w:color w:val="000000" w:themeColor="text1"/>
        </w:rPr>
        <w:t>单位：</w:t>
      </w:r>
      <w:sdt>
        <w:sdtPr>
          <w:rPr>
            <w:rFonts w:hint="eastAsia"/>
            <w:color w:val="000000" w:themeColor="text1"/>
          </w:rPr>
          <w:alias w:val="单位：财务附注：计入当期损益的政府补助"/>
          <w:tag w:val="_GBC_87984e2b7f344109836efe6282c2894b"/>
          <w:id w:val="-1899824413"/>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计入当期损益的政府补助"/>
          <w:tag w:val="_GBC_105736a35c964ea1b5378bede4faea2f"/>
          <w:id w:val="117584136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799"/>
        <w:gridCol w:w="3012"/>
        <w:gridCol w:w="3012"/>
      </w:tblGrid>
      <w:tr w:rsidR="00156DD6">
        <w:trPr>
          <w:trHeight w:val="556"/>
          <w:jc w:val="center"/>
        </w:trPr>
        <w:sdt>
          <w:sdtPr>
            <w:tag w:val="_PLD_4e0950c6d44c4f6c93412dd988ce84f3"/>
            <w:id w:val="429014106"/>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类型</w:t>
                </w:r>
              </w:p>
            </w:tc>
          </w:sdtContent>
        </w:sdt>
        <w:sdt>
          <w:sdtPr>
            <w:tag w:val="_PLD_b137547e48b242d2a32ab92cdeb61433"/>
            <w:id w:val="-1942760680"/>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本期发生额</w:t>
                </w:r>
              </w:p>
            </w:tc>
          </w:sdtContent>
        </w:sdt>
        <w:sdt>
          <w:sdtPr>
            <w:tag w:val="_PLD_b1f0e1514b364efda3d03053bbe4e90c"/>
            <w:id w:val="-1478376248"/>
          </w:sdtPr>
          <w:sdtEndPr/>
          <w:sdtContent>
            <w:tc>
              <w:tcPr>
                <w:tcW w:w="170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上期发生额</w:t>
                </w:r>
              </w:p>
            </w:tc>
          </w:sdtContent>
        </w:sdt>
      </w:tr>
      <w:sdt>
        <w:sdtPr>
          <w:rPr>
            <w:color w:val="000000" w:themeColor="text1"/>
          </w:rPr>
          <w:alias w:val="计入当期损益的政府补助明细"/>
          <w:tag w:val="_TUP_33df71265fa84003b847e26a741cf491"/>
          <w:id w:val="1384682246"/>
        </w:sdtPr>
        <w:sdtEndPr>
          <w:rPr>
            <w:color w:val="auto"/>
          </w:rPr>
        </w:sdtEndPr>
        <w:sdtContent>
          <w:tr w:rsidR="00156DD6">
            <w:trPr>
              <w:jc w:val="center"/>
            </w:trPr>
            <w:sdt>
              <w:sdtPr>
                <w:rPr>
                  <w:color w:val="000000" w:themeColor="text1"/>
                </w:rPr>
                <w:alias w:val="计入当期损益的政府补助项目名称"/>
                <w:tag w:val="_GBC_a983426201404cbea85ab6577f8d9056"/>
                <w:id w:val="-1757273883"/>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rPr>
                    </w:pPr>
                    <w:r>
                      <w:rPr>
                        <w:color w:val="000000" w:themeColor="text1"/>
                      </w:rPr>
                      <w:t>与资产相关</w:t>
                    </w:r>
                  </w:p>
                </w:tc>
              </w:sdtContent>
            </w:sdt>
            <w:tc>
              <w:tcPr>
                <w:tcW w:w="1707"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3,384,091.14 </w:t>
                </w:r>
              </w:p>
            </w:tc>
            <w:tc>
              <w:tcPr>
                <w:tcW w:w="1707"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2,940,912.45 </w:t>
                </w:r>
              </w:p>
            </w:tc>
          </w:tr>
        </w:sdtContent>
      </w:sdt>
      <w:sdt>
        <w:sdtPr>
          <w:rPr>
            <w:color w:val="000000" w:themeColor="text1"/>
          </w:rPr>
          <w:alias w:val="计入当期损益的政府补助明细"/>
          <w:tag w:val="_TUP_33df71265fa84003b847e26a741cf491"/>
          <w:id w:val="-1944684708"/>
        </w:sdtPr>
        <w:sdtEndPr>
          <w:rPr>
            <w:color w:val="auto"/>
          </w:rPr>
        </w:sdtEndPr>
        <w:sdtContent>
          <w:tr w:rsidR="00156DD6">
            <w:trPr>
              <w:jc w:val="center"/>
            </w:trPr>
            <w:sdt>
              <w:sdtPr>
                <w:rPr>
                  <w:color w:val="000000" w:themeColor="text1"/>
                </w:rPr>
                <w:alias w:val="计入当期损益的政府补助项目名称"/>
                <w:tag w:val="_GBC_a983426201404cbea85ab6577f8d9056"/>
                <w:id w:val="-1638249902"/>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rPr>
                    </w:pPr>
                    <w:r>
                      <w:rPr>
                        <w:color w:val="000000" w:themeColor="text1"/>
                      </w:rPr>
                      <w:t>与收益相关</w:t>
                    </w:r>
                  </w:p>
                </w:tc>
              </w:sdtContent>
            </w:sdt>
            <w:tc>
              <w:tcPr>
                <w:tcW w:w="1707"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4,001,045.46 </w:t>
                </w:r>
              </w:p>
            </w:tc>
            <w:tc>
              <w:tcPr>
                <w:tcW w:w="1707"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40,581,629.38 </w:t>
                </w:r>
              </w:p>
            </w:tc>
          </w:tr>
        </w:sdtContent>
      </w:sdt>
      <w:sdt>
        <w:sdtPr>
          <w:rPr>
            <w:color w:val="000000" w:themeColor="text1"/>
          </w:rPr>
          <w:alias w:val="计入当期损益的政府补助明细"/>
          <w:tag w:val="_TUP_33df71265fa84003b847e26a741cf491"/>
          <w:id w:val="-1106344595"/>
        </w:sdtPr>
        <w:sdtEndPr>
          <w:rPr>
            <w:color w:val="auto"/>
          </w:rPr>
        </w:sdtEndPr>
        <w:sdtContent>
          <w:tr w:rsidR="00156DD6">
            <w:trPr>
              <w:jc w:val="center"/>
            </w:trPr>
            <w:sdt>
              <w:sdtPr>
                <w:rPr>
                  <w:color w:val="000000" w:themeColor="text1"/>
                </w:rPr>
                <w:alias w:val="计入当期损益的政府补助项目名称"/>
                <w:tag w:val="_GBC_a983426201404cbea85ab6577f8d9056"/>
                <w:id w:val="1392225319"/>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rPr>
                    </w:pPr>
                    <w:r>
                      <w:rPr>
                        <w:color w:val="000000" w:themeColor="text1"/>
                      </w:rPr>
                      <w:t>其他</w:t>
                    </w:r>
                  </w:p>
                </w:tc>
              </w:sdtContent>
            </w:sdt>
            <w:tc>
              <w:tcPr>
                <w:tcW w:w="1707" w:type="pct"/>
                <w:tcBorders>
                  <w:top w:val="single" w:sz="4" w:space="0" w:color="auto"/>
                  <w:left w:val="single" w:sz="4" w:space="0" w:color="auto"/>
                  <w:bottom w:val="single" w:sz="4" w:space="0" w:color="auto"/>
                  <w:right w:val="single" w:sz="4" w:space="0" w:color="auto"/>
                </w:tcBorders>
              </w:tcPr>
              <w:p w:rsidR="00156DD6" w:rsidRDefault="00D51F5F">
                <w:pPr>
                  <w:jc w:val="right"/>
                </w:pPr>
                <w:r>
                  <w:t>1,055,305.50</w:t>
                </w:r>
              </w:p>
            </w:tc>
            <w:tc>
              <w:tcPr>
                <w:tcW w:w="1707"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800,000.00 </w:t>
                </w:r>
              </w:p>
            </w:tc>
          </w:tr>
        </w:sdtContent>
      </w:sdt>
      <w:tr w:rsidR="00156DD6">
        <w:trPr>
          <w:jc w:val="center"/>
        </w:trPr>
        <w:tc>
          <w:tcPr>
            <w:tcW w:w="1586" w:type="pct"/>
            <w:tcBorders>
              <w:top w:val="single" w:sz="4" w:space="0" w:color="auto"/>
              <w:left w:val="single" w:sz="4" w:space="0" w:color="auto"/>
              <w:bottom w:val="single" w:sz="4" w:space="0" w:color="auto"/>
              <w:right w:val="single" w:sz="4" w:space="0" w:color="auto"/>
            </w:tcBorders>
            <w:vAlign w:val="center"/>
          </w:tcPr>
          <w:sdt>
            <w:sdtPr>
              <w:tag w:val="_PLD_ac1988260ddf4e76839cbde770d2b392"/>
              <w:id w:val="235058006"/>
            </w:sdtPr>
            <w:sdtEndPr/>
            <w:sdtContent>
              <w:p w:rsidR="00156DD6" w:rsidRDefault="00D51F5F">
                <w:pPr>
                  <w:jc w:val="center"/>
                  <w:rPr>
                    <w:color w:val="000000" w:themeColor="text1"/>
                  </w:rPr>
                </w:pPr>
                <w:r>
                  <w:rPr>
                    <w:rFonts w:hint="eastAsia"/>
                    <w:color w:val="000000" w:themeColor="text1"/>
                  </w:rPr>
                  <w:t>合计</w:t>
                </w:r>
              </w:p>
            </w:sdtContent>
          </w:sdt>
        </w:tc>
        <w:tc>
          <w:tcPr>
            <w:tcW w:w="1707"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8,440,442.10 </w:t>
            </w:r>
          </w:p>
        </w:tc>
        <w:tc>
          <w:tcPr>
            <w:tcW w:w="1707"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44,322,541.83 </w:t>
            </w:r>
          </w:p>
        </w:tc>
      </w:tr>
    </w:tbl>
    <w:p w:rsidR="00156DD6" w:rsidRDefault="00D51F5F">
      <w:pPr>
        <w:rPr>
          <w:color w:val="000000" w:themeColor="text1"/>
        </w:rPr>
      </w:pPr>
      <w:r>
        <w:rPr>
          <w:rFonts w:hint="eastAsia"/>
          <w:color w:val="000000" w:themeColor="text1"/>
        </w:rPr>
        <w:t>其他说明：</w:t>
      </w:r>
    </w:p>
    <w:p w:rsidR="00156DD6" w:rsidRDefault="00D51F5F">
      <w:pPr>
        <w:rPr>
          <w:color w:val="000000" w:themeColor="text1"/>
        </w:rPr>
      </w:pPr>
      <w:sdt>
        <w:sdtPr>
          <w:rPr>
            <w:color w:val="000000" w:themeColor="text1"/>
          </w:rPr>
          <w:alias w:val="政府补助说明"/>
          <w:tag w:val="_GBC_2db67f97ef974f8db75ebfb04517ea6f"/>
          <w:id w:val="1214690152"/>
          <w:placeholder>
            <w:docPart w:val="GBC22222222222222222222222222222"/>
          </w:placeholder>
        </w:sdtPr>
        <w:sdtEndPr/>
        <w:sdtContent>
          <w:r>
            <w:rPr>
              <w:rFonts w:hint="eastAsia"/>
              <w:color w:val="000000" w:themeColor="text1"/>
            </w:rPr>
            <w:t>本期计入当期损益的政府补助</w:t>
          </w:r>
          <w:r>
            <w:rPr>
              <w:rFonts w:hint="eastAsia"/>
              <w:color w:val="000000" w:themeColor="text1"/>
            </w:rPr>
            <w:t xml:space="preserve"> </w:t>
          </w:r>
          <w:r>
            <w:rPr>
              <w:rFonts w:hint="eastAsia"/>
              <w:color w:val="000000" w:themeColor="text1"/>
            </w:rPr>
            <w:t>“第八节</w:t>
          </w:r>
          <w:r>
            <w:rPr>
              <w:rFonts w:hint="eastAsia"/>
              <w:color w:val="000000" w:themeColor="text1"/>
            </w:rPr>
            <w:t>.</w:t>
          </w:r>
          <w:r>
            <w:rPr>
              <w:rFonts w:hint="eastAsia"/>
              <w:color w:val="000000" w:themeColor="text1"/>
            </w:rPr>
            <w:t>七、合并财务报表项目注释</w:t>
          </w:r>
          <w:r>
            <w:rPr>
              <w:rFonts w:hint="eastAsia"/>
              <w:color w:val="000000" w:themeColor="text1"/>
            </w:rPr>
            <w:t>.67</w:t>
          </w:r>
          <w:r>
            <w:rPr>
              <w:rFonts w:hint="eastAsia"/>
              <w:color w:val="000000" w:themeColor="text1"/>
            </w:rPr>
            <w:t>、其他收益”</w:t>
          </w:r>
        </w:sdtContent>
      </w:sdt>
    </w:p>
    <w:p w:rsidR="00156DD6" w:rsidRDefault="00D51F5F">
      <w:pPr>
        <w:pStyle w:val="2CharCharChar"/>
        <w:numPr>
          <w:ilvl w:val="0"/>
          <w:numId w:val="33"/>
        </w:numPr>
        <w:ind w:left="420" w:hanging="420"/>
        <w:rPr>
          <w:rFonts w:ascii="宋体" w:hAnsi="宋体"/>
          <w:color w:val="000000" w:themeColor="text1"/>
          <w:sz w:val="21"/>
          <w:szCs w:val="21"/>
        </w:rPr>
      </w:pPr>
      <w:bookmarkStart w:id="455" w:name="_Hlk167976349"/>
      <w:bookmarkEnd w:id="453"/>
      <w:bookmarkEnd w:id="454"/>
      <w:r>
        <w:rPr>
          <w:rFonts w:ascii="宋体" w:hAnsi="宋体" w:hint="eastAsia"/>
          <w:color w:val="000000" w:themeColor="text1"/>
          <w:sz w:val="21"/>
          <w:szCs w:val="21"/>
        </w:rPr>
        <w:t>与金融工具相关的风险</w:t>
      </w:r>
    </w:p>
    <w:p w:rsidR="00156DD6" w:rsidRDefault="00D51F5F">
      <w:pPr>
        <w:pStyle w:val="TOC6"/>
        <w:numPr>
          <w:ilvl w:val="0"/>
          <w:numId w:val="93"/>
        </w:numPr>
        <w:ind w:left="425" w:hanging="425"/>
        <w:rPr>
          <w:color w:val="000000" w:themeColor="text1"/>
          <w:sz w:val="21"/>
          <w:szCs w:val="36"/>
        </w:rPr>
      </w:pPr>
      <w:r>
        <w:rPr>
          <w:rFonts w:hint="eastAsia"/>
          <w:color w:val="000000" w:themeColor="text1"/>
          <w:sz w:val="21"/>
          <w:szCs w:val="36"/>
        </w:rPr>
        <w:t>金融工具的风险</w:t>
      </w:r>
    </w:p>
    <w:sdt>
      <w:sdtPr>
        <w:rPr>
          <w:color w:val="000000" w:themeColor="text1"/>
        </w:rPr>
        <w:alias w:val="是否适用：与金融工具相关的风险[双击切换]"/>
        <w:tag w:val="_GBC_e1cf17d3b39745d798050adfebdd2723"/>
        <w:id w:val="-6927732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与金融工具相关的风险"/>
        <w:tag w:val="_GBC_a654575471934b06b0c3b91a6a980434"/>
        <w:id w:val="-2095393303"/>
        <w:placeholder>
          <w:docPart w:val="GBC22222222222222222222222222222"/>
        </w:placeholder>
      </w:sdtPr>
      <w:sdtEndPr>
        <w:rPr>
          <w:b/>
        </w:rPr>
      </w:sdtEndPr>
      <w:sdtContent>
        <w:p w:rsidR="00156DD6" w:rsidRDefault="00D51F5F">
          <w:pPr>
            <w:spacing w:line="360" w:lineRule="exact"/>
            <w:ind w:firstLineChars="200" w:firstLine="420"/>
          </w:pPr>
          <w:r>
            <w:rPr>
              <w:rFonts w:hint="eastAsia"/>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rsidR="00156DD6" w:rsidRDefault="00D51F5F">
          <w:pPr>
            <w:spacing w:line="360" w:lineRule="exact"/>
            <w:ind w:firstLineChars="200" w:firstLine="420"/>
          </w:pPr>
          <w:r>
            <w:rPr>
              <w:rFonts w:hint="eastAsia"/>
            </w:rPr>
            <w:lastRenderedPageBreak/>
            <w:t>本公司在日常活动中面临各种与金融工具相关的风险，主要包括信用风险、流动性风险及市场风险。管理层已审议并批准管理这些风险</w:t>
          </w:r>
          <w:r>
            <w:rPr>
              <w:rFonts w:hint="eastAsia"/>
            </w:rPr>
            <w:t>的政策，概括如下。</w:t>
          </w:r>
        </w:p>
        <w:p w:rsidR="00156DD6" w:rsidRDefault="00D51F5F">
          <w:pPr>
            <w:spacing w:line="360" w:lineRule="exact"/>
            <w:ind w:firstLineChars="200" w:firstLine="420"/>
          </w:pPr>
          <w:r>
            <w:rPr>
              <w:rFonts w:hint="eastAsia"/>
            </w:rPr>
            <w:t xml:space="preserve">(1) </w:t>
          </w:r>
          <w:r>
            <w:rPr>
              <w:rFonts w:hint="eastAsia"/>
            </w:rPr>
            <w:t>信用风险</w:t>
          </w:r>
        </w:p>
        <w:p w:rsidR="00156DD6" w:rsidRDefault="00D51F5F">
          <w:pPr>
            <w:spacing w:line="360" w:lineRule="exact"/>
            <w:ind w:firstLineChars="200" w:firstLine="420"/>
          </w:pPr>
          <w:r>
            <w:rPr>
              <w:rFonts w:hint="eastAsia"/>
            </w:rPr>
            <w:t>信用风险，是指金融工具的一方不能履行义务，造成另一方发生财务损失的风险。</w:t>
          </w:r>
        </w:p>
        <w:p w:rsidR="00156DD6" w:rsidRDefault="00D51F5F">
          <w:pPr>
            <w:spacing w:line="360" w:lineRule="exact"/>
            <w:ind w:firstLineChars="200" w:firstLine="420"/>
          </w:pPr>
          <w:r>
            <w:rPr>
              <w:rFonts w:hint="eastAsia"/>
            </w:rPr>
            <w:t xml:space="preserve">1) </w:t>
          </w:r>
          <w:r>
            <w:rPr>
              <w:rFonts w:hint="eastAsia"/>
            </w:rPr>
            <w:t>信用风险管理实务</w:t>
          </w:r>
        </w:p>
        <w:p w:rsidR="00156DD6" w:rsidRDefault="00D51F5F">
          <w:pPr>
            <w:spacing w:line="360" w:lineRule="exact"/>
            <w:ind w:firstLineChars="200" w:firstLine="420"/>
          </w:pPr>
          <w:r>
            <w:rPr>
              <w:rFonts w:hint="eastAsia"/>
            </w:rPr>
            <w:t>①信用风险的评价方法</w:t>
          </w:r>
        </w:p>
        <w:p w:rsidR="00156DD6" w:rsidRDefault="00D51F5F">
          <w:pPr>
            <w:spacing w:line="360" w:lineRule="exact"/>
            <w:ind w:firstLineChars="200" w:firstLine="420"/>
          </w:pPr>
          <w:r>
            <w:rPr>
              <w:rFonts w:hint="eastAsia"/>
            </w:rPr>
            <w:t>公司在每个资产负债表日评估相关金融工具的信用风险自初始确认后是否已显著增加。在确定信用风险自初始确认后是否显著增加时，公司考虑在无须付出不必要的额外成本或努力即可获得合理且有依据的信息，包括基于历史数据的定性和定量分析、外部信用风险评级以及前瞻性信息。公司以单项金融工具或者具有相似信用风险特征的金融工具组合为基础，通过比较金融工具在资产负债表日发生违约</w:t>
          </w:r>
          <w:r>
            <w:rPr>
              <w:rFonts w:hint="eastAsia"/>
            </w:rPr>
            <w:t>的风险与在初始确认日发生违约的风险，以确定金融工具预计存续期内发生违约风险的变化情况。</w:t>
          </w:r>
        </w:p>
        <w:p w:rsidR="00156DD6" w:rsidRDefault="00D51F5F">
          <w:pPr>
            <w:spacing w:line="360" w:lineRule="exact"/>
            <w:ind w:firstLineChars="200" w:firstLine="420"/>
          </w:pPr>
          <w:r>
            <w:rPr>
              <w:rFonts w:hint="eastAsia"/>
            </w:rPr>
            <w:t>当触发以下一个或多个定量、定性标准时，公司认为金融工具的信用风险已发生显著增加：</w:t>
          </w:r>
        </w:p>
        <w:p w:rsidR="00156DD6" w:rsidRDefault="00D51F5F">
          <w:pPr>
            <w:spacing w:line="360" w:lineRule="exact"/>
            <w:ind w:firstLineChars="200" w:firstLine="420"/>
          </w:pPr>
          <w:r>
            <w:rPr>
              <w:rFonts w:hint="eastAsia"/>
            </w:rPr>
            <w:t xml:space="preserve">a. </w:t>
          </w:r>
          <w:r>
            <w:rPr>
              <w:rFonts w:hint="eastAsia"/>
            </w:rPr>
            <w:t>定量标准主要为资产负债表日剩余存续期违约概率较初始确认时上升超过一定比例；</w:t>
          </w:r>
        </w:p>
        <w:p w:rsidR="00156DD6" w:rsidRDefault="00D51F5F">
          <w:pPr>
            <w:spacing w:line="360" w:lineRule="exact"/>
            <w:ind w:firstLineChars="200" w:firstLine="420"/>
          </w:pPr>
          <w:r>
            <w:rPr>
              <w:rFonts w:hint="eastAsia"/>
            </w:rPr>
            <w:t xml:space="preserve">b. </w:t>
          </w:r>
          <w:r>
            <w:rPr>
              <w:rFonts w:hint="eastAsia"/>
            </w:rPr>
            <w:t>定性标准主要为债务人经营或财务情况出现重大不利变化、现存的或预期的技术、市场、经济或法律环境变化并将对债务人对公司的还款能力产生重大不利影响等。</w:t>
          </w:r>
        </w:p>
        <w:p w:rsidR="00156DD6" w:rsidRDefault="00D51F5F">
          <w:pPr>
            <w:spacing w:line="360" w:lineRule="exact"/>
            <w:ind w:firstLineChars="200" w:firstLine="420"/>
          </w:pPr>
          <w:r>
            <w:rPr>
              <w:rFonts w:hint="eastAsia"/>
            </w:rPr>
            <w:t>②违约和已发生信用减值资产的定义</w:t>
          </w:r>
        </w:p>
        <w:p w:rsidR="00156DD6" w:rsidRDefault="00D51F5F">
          <w:pPr>
            <w:spacing w:line="360" w:lineRule="exact"/>
            <w:ind w:firstLineChars="200" w:firstLine="420"/>
          </w:pPr>
          <w:r>
            <w:rPr>
              <w:rFonts w:hint="eastAsia"/>
            </w:rPr>
            <w:t>当金融工具符合以下一项或多项条件时，公司将该金融资产界定为已发生违约，其标准与已发生信用减值的定义一致：</w:t>
          </w:r>
        </w:p>
        <w:p w:rsidR="00156DD6" w:rsidRDefault="00D51F5F">
          <w:pPr>
            <w:spacing w:line="360" w:lineRule="exact"/>
            <w:ind w:firstLineChars="200" w:firstLine="420"/>
          </w:pPr>
          <w:r>
            <w:rPr>
              <w:rFonts w:hint="eastAsia"/>
            </w:rPr>
            <w:t xml:space="preserve">a. </w:t>
          </w:r>
          <w:r>
            <w:rPr>
              <w:rFonts w:hint="eastAsia"/>
            </w:rPr>
            <w:t>债务人发生重大财务困难；</w:t>
          </w:r>
        </w:p>
        <w:p w:rsidR="00156DD6" w:rsidRDefault="00D51F5F">
          <w:pPr>
            <w:spacing w:line="360" w:lineRule="exact"/>
            <w:ind w:firstLineChars="200" w:firstLine="420"/>
          </w:pPr>
          <w:r>
            <w:rPr>
              <w:rFonts w:hint="eastAsia"/>
            </w:rPr>
            <w:t xml:space="preserve">b. </w:t>
          </w:r>
          <w:r>
            <w:rPr>
              <w:rFonts w:hint="eastAsia"/>
            </w:rPr>
            <w:t>债务人违反合同中对债务人的约束条款；</w:t>
          </w:r>
        </w:p>
        <w:p w:rsidR="00156DD6" w:rsidRDefault="00D51F5F">
          <w:pPr>
            <w:spacing w:line="360" w:lineRule="exact"/>
            <w:ind w:firstLineChars="200" w:firstLine="420"/>
          </w:pPr>
          <w:r>
            <w:rPr>
              <w:rFonts w:hint="eastAsia"/>
            </w:rPr>
            <w:t xml:space="preserve">c. </w:t>
          </w:r>
          <w:r>
            <w:rPr>
              <w:rFonts w:hint="eastAsia"/>
            </w:rPr>
            <w:t>债务人很可能破产或进行其他财务重组；</w:t>
          </w:r>
        </w:p>
        <w:p w:rsidR="00156DD6" w:rsidRDefault="00D51F5F">
          <w:pPr>
            <w:spacing w:line="360" w:lineRule="exact"/>
            <w:ind w:firstLineChars="200" w:firstLine="420"/>
          </w:pPr>
          <w:r>
            <w:rPr>
              <w:rFonts w:hint="eastAsia"/>
            </w:rPr>
            <w:t xml:space="preserve">d. </w:t>
          </w:r>
          <w:r>
            <w:rPr>
              <w:rFonts w:hint="eastAsia"/>
            </w:rPr>
            <w:t>债权人出于与债务人财务困难有关的经济或合同考虑，给予债务人在任何其他情况下都不会做出的让步。</w:t>
          </w:r>
        </w:p>
        <w:p w:rsidR="00156DD6" w:rsidRDefault="00D51F5F">
          <w:pPr>
            <w:spacing w:line="360" w:lineRule="exact"/>
            <w:ind w:firstLineChars="200" w:firstLine="420"/>
          </w:pPr>
          <w:r>
            <w:rPr>
              <w:rFonts w:hint="eastAsia"/>
            </w:rPr>
            <w:t xml:space="preserve">2) </w:t>
          </w:r>
          <w:r>
            <w:rPr>
              <w:rFonts w:hint="eastAsia"/>
            </w:rPr>
            <w:t>预期信用损失的计量</w:t>
          </w:r>
        </w:p>
        <w:p w:rsidR="00156DD6" w:rsidRDefault="00D51F5F">
          <w:pPr>
            <w:spacing w:line="360" w:lineRule="exact"/>
            <w:ind w:firstLineChars="200" w:firstLine="420"/>
          </w:pPr>
          <w:r>
            <w:rPr>
              <w:rFonts w:hint="eastAsia"/>
            </w:rPr>
            <w:t>预期信用损失计量的关键参数包括违约概率、违约损失率和违约风险敞口。公司考虑历史统计数据（如交易对手评级、担保方式及抵质押物类别、还款方式等）的定量分析及前瞻性信</w:t>
          </w:r>
          <w:r>
            <w:rPr>
              <w:rFonts w:hint="eastAsia"/>
            </w:rPr>
            <w:t>息，建立违约概率、违约损失率及违约风险敞口模型。</w:t>
          </w:r>
        </w:p>
        <w:p w:rsidR="00156DD6" w:rsidRDefault="00D51F5F">
          <w:pPr>
            <w:spacing w:line="360" w:lineRule="exact"/>
            <w:ind w:firstLineChars="200" w:firstLine="420"/>
          </w:pPr>
          <w:r>
            <w:rPr>
              <w:rFonts w:hint="eastAsia"/>
            </w:rPr>
            <w:t xml:space="preserve">3) </w:t>
          </w:r>
          <w:r>
            <w:rPr>
              <w:rFonts w:hint="eastAsia"/>
            </w:rPr>
            <w:t>金融工具损失准备期初余额与期末余额调节表</w:t>
          </w:r>
          <w:bookmarkStart w:id="456" w:name="OLE_LINK104"/>
          <w:r>
            <w:rPr>
              <w:rFonts w:hint="eastAsia"/>
            </w:rPr>
            <w:t>详见</w:t>
          </w:r>
          <w:bookmarkEnd w:id="456"/>
          <w:r>
            <w:rPr>
              <w:rFonts w:hint="eastAsia"/>
            </w:rPr>
            <w:t>“</w:t>
          </w:r>
          <w:bookmarkStart w:id="457" w:name="OLE_LINK105"/>
          <w:r>
            <w:rPr>
              <w:rFonts w:hint="eastAsia"/>
            </w:rPr>
            <w:t>第八节</w:t>
          </w:r>
          <w:r>
            <w:rPr>
              <w:rFonts w:hint="eastAsia"/>
            </w:rPr>
            <w:t>.</w:t>
          </w:r>
          <w:r>
            <w:rPr>
              <w:rFonts w:hint="eastAsia"/>
            </w:rPr>
            <w:t>七、合并财务报表项目注释</w:t>
          </w:r>
          <w:r>
            <w:rPr>
              <w:rFonts w:hint="eastAsia"/>
            </w:rPr>
            <w:t>.4</w:t>
          </w:r>
          <w:r>
            <w:rPr>
              <w:rFonts w:hint="eastAsia"/>
            </w:rPr>
            <w:t>、应收票据</w:t>
          </w:r>
          <w:bookmarkEnd w:id="457"/>
          <w:r>
            <w:rPr>
              <w:rFonts w:hint="eastAsia"/>
            </w:rPr>
            <w:t>，第八节</w:t>
          </w:r>
          <w:r>
            <w:rPr>
              <w:rFonts w:hint="eastAsia"/>
            </w:rPr>
            <w:t>.</w:t>
          </w:r>
          <w:r>
            <w:rPr>
              <w:rFonts w:hint="eastAsia"/>
            </w:rPr>
            <w:t>七、合并财务报表项目注释</w:t>
          </w:r>
          <w:r>
            <w:rPr>
              <w:rFonts w:hint="eastAsia"/>
            </w:rPr>
            <w:t>.5</w:t>
          </w:r>
          <w:r>
            <w:rPr>
              <w:rFonts w:hint="eastAsia"/>
            </w:rPr>
            <w:t>、应收账款</w:t>
          </w:r>
          <w:bookmarkStart w:id="458" w:name="OLE_LINK157"/>
          <w:r>
            <w:rPr>
              <w:rFonts w:hint="eastAsia"/>
            </w:rPr>
            <w:t>，第八节</w:t>
          </w:r>
          <w:r>
            <w:rPr>
              <w:rFonts w:hint="eastAsia"/>
            </w:rPr>
            <w:t>.</w:t>
          </w:r>
          <w:r>
            <w:rPr>
              <w:rFonts w:hint="eastAsia"/>
            </w:rPr>
            <w:t>七、合并财务报表项目注释</w:t>
          </w:r>
          <w:r>
            <w:rPr>
              <w:rFonts w:hint="eastAsia"/>
            </w:rPr>
            <w:t>.7</w:t>
          </w:r>
          <w:r>
            <w:rPr>
              <w:rFonts w:hint="eastAsia"/>
            </w:rPr>
            <w:t>、应收款项融资</w:t>
          </w:r>
          <w:bookmarkEnd w:id="458"/>
          <w:r>
            <w:rPr>
              <w:rFonts w:hint="eastAsia"/>
            </w:rPr>
            <w:t>，第八节</w:t>
          </w:r>
          <w:r>
            <w:rPr>
              <w:rFonts w:hint="eastAsia"/>
            </w:rPr>
            <w:t>.</w:t>
          </w:r>
          <w:r>
            <w:rPr>
              <w:rFonts w:hint="eastAsia"/>
            </w:rPr>
            <w:t>七、合并财务报表项目注释</w:t>
          </w:r>
          <w:r>
            <w:rPr>
              <w:rFonts w:hint="eastAsia"/>
            </w:rPr>
            <w:t>.9</w:t>
          </w:r>
          <w:r>
            <w:rPr>
              <w:rFonts w:hint="eastAsia"/>
            </w:rPr>
            <w:t>、其他应收款，第八节</w:t>
          </w:r>
          <w:r>
            <w:rPr>
              <w:rFonts w:hint="eastAsia"/>
            </w:rPr>
            <w:t>.</w:t>
          </w:r>
          <w:r>
            <w:rPr>
              <w:rFonts w:hint="eastAsia"/>
            </w:rPr>
            <w:t>七、合并财务报表项目注释</w:t>
          </w:r>
          <w:r>
            <w:rPr>
              <w:rFonts w:hint="eastAsia"/>
            </w:rPr>
            <w:t>.16</w:t>
          </w:r>
          <w:r>
            <w:rPr>
              <w:rFonts w:hint="eastAsia"/>
            </w:rPr>
            <w:t>、长期应收款”。</w:t>
          </w:r>
        </w:p>
        <w:p w:rsidR="00156DD6" w:rsidRDefault="00D51F5F">
          <w:pPr>
            <w:spacing w:line="360" w:lineRule="exact"/>
            <w:ind w:firstLineChars="200" w:firstLine="420"/>
          </w:pPr>
          <w:r>
            <w:rPr>
              <w:rFonts w:hint="eastAsia"/>
            </w:rPr>
            <w:t xml:space="preserve">4) </w:t>
          </w:r>
          <w:r>
            <w:rPr>
              <w:rFonts w:hint="eastAsia"/>
            </w:rPr>
            <w:t>信用风险敞口及信用风险集中度</w:t>
          </w:r>
        </w:p>
        <w:p w:rsidR="00156DD6" w:rsidRDefault="00D51F5F">
          <w:pPr>
            <w:spacing w:line="360" w:lineRule="exact"/>
            <w:ind w:firstLineChars="200" w:firstLine="420"/>
          </w:pPr>
          <w:r>
            <w:rPr>
              <w:rFonts w:hint="eastAsia"/>
            </w:rPr>
            <w:t>本公司的信用风险主要来自货币资金和应收款项。为控制上述相关风险，本公司分别采取了以下措施。</w:t>
          </w:r>
        </w:p>
        <w:p w:rsidR="00156DD6" w:rsidRDefault="00D51F5F">
          <w:pPr>
            <w:spacing w:line="360" w:lineRule="exact"/>
            <w:ind w:firstLineChars="200" w:firstLine="420"/>
          </w:pPr>
          <w:r>
            <w:rPr>
              <w:rFonts w:hint="eastAsia"/>
            </w:rPr>
            <w:t>①货币资金</w:t>
          </w:r>
        </w:p>
        <w:p w:rsidR="00156DD6" w:rsidRDefault="00D51F5F">
          <w:pPr>
            <w:spacing w:line="360" w:lineRule="exact"/>
            <w:ind w:firstLineChars="200" w:firstLine="420"/>
          </w:pPr>
          <w:r>
            <w:rPr>
              <w:rFonts w:hint="eastAsia"/>
            </w:rPr>
            <w:t>本公司将银行存款</w:t>
          </w:r>
          <w:r>
            <w:rPr>
              <w:rFonts w:hint="eastAsia"/>
            </w:rPr>
            <w:t>和其他货币资金存放于信用评级较高的金融机构，故其信用风险较低。</w:t>
          </w:r>
        </w:p>
        <w:p w:rsidR="00156DD6" w:rsidRDefault="00D51F5F">
          <w:pPr>
            <w:spacing w:line="360" w:lineRule="exact"/>
            <w:ind w:firstLineChars="200" w:firstLine="420"/>
          </w:pPr>
          <w:r>
            <w:rPr>
              <w:rFonts w:hint="eastAsia"/>
            </w:rPr>
            <w:t>②应收款项</w:t>
          </w:r>
        </w:p>
        <w:p w:rsidR="00156DD6" w:rsidRDefault="00D51F5F">
          <w:pPr>
            <w:spacing w:line="360" w:lineRule="exact"/>
            <w:ind w:firstLineChars="200" w:firstLine="420"/>
          </w:pPr>
          <w:r>
            <w:rPr>
              <w:rFonts w:hint="eastAsia"/>
            </w:rPr>
            <w:lastRenderedPageBreak/>
            <w:t>本公司定期对采用信用方式交易的客户进行信用评估。根据信用评估结果，本公司选择与经认可的且信用良好的客户进行交易，并对其应收款项余额进行监控，以确保本公司不会面临重大坏账风险。</w:t>
          </w:r>
        </w:p>
        <w:p w:rsidR="00156DD6" w:rsidRDefault="00D51F5F">
          <w:pPr>
            <w:spacing w:line="360" w:lineRule="exact"/>
            <w:ind w:firstLineChars="200" w:firstLine="420"/>
            <w:jc w:val="both"/>
          </w:pPr>
          <w:r>
            <w:rPr>
              <w:rFonts w:hint="eastAsia"/>
            </w:rPr>
            <w:t>由于本公司的应收账款风险点分布于多个合作方和多个客户，截至</w:t>
          </w:r>
          <w:r>
            <w:rPr>
              <w:rFonts w:hint="eastAsia"/>
            </w:rPr>
            <w:t>2025</w:t>
          </w:r>
          <w:r>
            <w:rPr>
              <w:rFonts w:hint="eastAsia"/>
            </w:rPr>
            <w:t>年</w:t>
          </w:r>
          <w:r>
            <w:rPr>
              <w:rFonts w:hint="eastAsia"/>
            </w:rPr>
            <w:t>6</w:t>
          </w:r>
          <w:r>
            <w:rPr>
              <w:rFonts w:hint="eastAsia"/>
            </w:rPr>
            <w:t>月</w:t>
          </w:r>
          <w:r>
            <w:rPr>
              <w:rFonts w:hint="eastAsia"/>
            </w:rPr>
            <w:t>30</w:t>
          </w:r>
          <w:r>
            <w:rPr>
              <w:rFonts w:hint="eastAsia"/>
            </w:rPr>
            <w:t>日，本公司应收账款的前五名客户的余额占应收账款比例为</w:t>
          </w:r>
          <w:r>
            <w:rPr>
              <w:rFonts w:hint="eastAsia"/>
            </w:rPr>
            <w:t>10.56%</w:t>
          </w:r>
          <w:r>
            <w:rPr>
              <w:rFonts w:hint="eastAsia"/>
            </w:rPr>
            <w:t>，本公司不存在重大的信用集中风险。</w:t>
          </w:r>
        </w:p>
        <w:p w:rsidR="00156DD6" w:rsidRDefault="00D51F5F">
          <w:pPr>
            <w:spacing w:line="360" w:lineRule="exact"/>
            <w:ind w:firstLineChars="200" w:firstLine="420"/>
          </w:pPr>
          <w:r>
            <w:rPr>
              <w:rFonts w:hint="eastAsia"/>
            </w:rPr>
            <w:t>本公司所承受的最大信用风险敞口为资产负债表中每项金融资产的账面价值。</w:t>
          </w:r>
        </w:p>
        <w:p w:rsidR="00156DD6" w:rsidRDefault="00D51F5F">
          <w:pPr>
            <w:spacing w:line="360" w:lineRule="exact"/>
            <w:ind w:firstLineChars="200" w:firstLine="420"/>
          </w:pPr>
          <w:r>
            <w:rPr>
              <w:rFonts w:hint="eastAsia"/>
            </w:rPr>
            <w:t xml:space="preserve">(2) </w:t>
          </w:r>
          <w:r>
            <w:rPr>
              <w:rFonts w:hint="eastAsia"/>
            </w:rPr>
            <w:t>流动性风险</w:t>
          </w:r>
        </w:p>
        <w:p w:rsidR="00156DD6" w:rsidRDefault="00D51F5F">
          <w:pPr>
            <w:spacing w:line="360" w:lineRule="exact"/>
            <w:ind w:firstLineChars="200" w:firstLine="420"/>
          </w:pPr>
          <w:r>
            <w:rPr>
              <w:rFonts w:hint="eastAsia"/>
            </w:rPr>
            <w:t>流动性风险，是指本公司在履行以交付现金或其他金融资产的方式结算的义务时发生资金短缺的风险。流动性风险可能源于无法尽快以公允价值售出金融资产；或者源于对方无法偿还其合同债务；或者源于提前到期的债务；或者源于无法产生预期的现金流量。</w:t>
          </w:r>
        </w:p>
        <w:p w:rsidR="00156DD6" w:rsidRDefault="00D51F5F">
          <w:pPr>
            <w:spacing w:line="360" w:lineRule="exact"/>
            <w:ind w:firstLineChars="200" w:firstLine="420"/>
          </w:pPr>
          <w:r>
            <w:rPr>
              <w:rFonts w:hint="eastAsia"/>
            </w:rPr>
            <w:t>为控制该项风险，本公司综合运用票据结算、银行借款等多种融资手段，并采取长、短期融资方式适当结合，优化融资结构的方法，保持融资持续性与灵活性之间的平衡。本公司已从多家商业银行取得银行授信额度以满足营运资金需求和资本开支。</w:t>
          </w:r>
        </w:p>
        <w:p w:rsidR="00156DD6" w:rsidRDefault="00D51F5F">
          <w:pPr>
            <w:spacing w:line="360" w:lineRule="exact"/>
            <w:ind w:firstLineChars="200" w:firstLine="420"/>
          </w:pPr>
          <w:r>
            <w:rPr>
              <w:rFonts w:hint="eastAsia"/>
            </w:rPr>
            <w:t>金融负债按剩余到期日分类</w:t>
          </w:r>
        </w:p>
        <w:p w:rsidR="00156DD6" w:rsidRDefault="00D51F5F">
          <w:pPr>
            <w:ind w:firstLineChars="200" w:firstLine="420"/>
            <w:jc w:val="right"/>
          </w:pPr>
          <w:r>
            <w:rPr>
              <w:rFonts w:hint="eastAsia"/>
            </w:rPr>
            <w:t>单位：元</w:t>
          </w:r>
          <w:r>
            <w:rPr>
              <w:rFonts w:hint="eastAsia"/>
            </w:rPr>
            <w:t xml:space="preserve"> </w:t>
          </w:r>
          <w:r>
            <w:rPr>
              <w:rFonts w:hint="eastAsia"/>
            </w:rPr>
            <w:t>币种：人民币</w:t>
          </w:r>
        </w:p>
        <w:tbl>
          <w:tblPr>
            <w:tblStyle w:val="g4"/>
            <w:tblW w:w="0" w:type="auto"/>
            <w:tblInd w:w="0" w:type="dxa"/>
            <w:tblLook w:val="04A0" w:firstRow="1" w:lastRow="0" w:firstColumn="1" w:lastColumn="0" w:noHBand="0" w:noVBand="1"/>
          </w:tblPr>
          <w:tblGrid>
            <w:gridCol w:w="723"/>
            <w:gridCol w:w="1656"/>
            <w:gridCol w:w="1656"/>
            <w:gridCol w:w="1656"/>
            <w:gridCol w:w="1656"/>
            <w:gridCol w:w="1476"/>
          </w:tblGrid>
          <w:tr w:rsidR="00156DD6">
            <w:trPr>
              <w:trHeight w:val="288"/>
              <w:tblHead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sz w:val="18"/>
                    <w:szCs w:val="18"/>
                  </w:rPr>
                </w:pPr>
                <w:r>
                  <w:rPr>
                    <w:rFonts w:hint="eastAsia"/>
                    <w:sz w:val="18"/>
                    <w:szCs w:val="18"/>
                  </w:rPr>
                  <w:t>项目</w:t>
                </w:r>
              </w:p>
            </w:tc>
            <w:tc>
              <w:tcPr>
                <w:tcW w:w="0" w:type="auto"/>
                <w:gridSpan w:val="5"/>
                <w:tcBorders>
                  <w:top w:val="single" w:sz="4" w:space="0" w:color="auto"/>
                  <w:left w:val="nil"/>
                  <w:bottom w:val="single" w:sz="4" w:space="0" w:color="auto"/>
                  <w:right w:val="single" w:sz="4" w:space="0" w:color="auto"/>
                </w:tcBorders>
                <w:vAlign w:val="center"/>
              </w:tcPr>
              <w:p w:rsidR="00156DD6" w:rsidRDefault="00D51F5F">
                <w:pPr>
                  <w:jc w:val="center"/>
                  <w:rPr>
                    <w:color w:val="000000"/>
                    <w:sz w:val="18"/>
                    <w:szCs w:val="18"/>
                  </w:rPr>
                </w:pPr>
                <w:r>
                  <w:rPr>
                    <w:rFonts w:hint="eastAsia"/>
                    <w:sz w:val="18"/>
                    <w:szCs w:val="18"/>
                  </w:rPr>
                  <w:t>期末数</w:t>
                </w:r>
              </w:p>
            </w:tc>
          </w:tr>
          <w:tr w:rsidR="00156DD6">
            <w:trPr>
              <w:trHeight w:val="288"/>
              <w:tblHeader/>
            </w:trPr>
            <w:tc>
              <w:tcPr>
                <w:tcW w:w="0" w:type="auto"/>
                <w:vMerge/>
                <w:tcBorders>
                  <w:top w:val="single" w:sz="4" w:space="0" w:color="auto"/>
                  <w:left w:val="single" w:sz="4" w:space="0" w:color="auto"/>
                  <w:bottom w:val="single" w:sz="4" w:space="0" w:color="auto"/>
                  <w:right w:val="single" w:sz="4" w:space="0" w:color="auto"/>
                </w:tcBorders>
                <w:vAlign w:val="center"/>
              </w:tcPr>
              <w:p w:rsidR="00156DD6" w:rsidRDefault="00156DD6">
                <w:pPr>
                  <w:rPr>
                    <w:color w:val="000000"/>
                    <w:sz w:val="18"/>
                    <w:szCs w:val="18"/>
                  </w:rPr>
                </w:pPr>
              </w:p>
            </w:tc>
            <w:tc>
              <w:tcPr>
                <w:tcW w:w="0" w:type="auto"/>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账面价值</w:t>
                </w:r>
              </w:p>
            </w:tc>
            <w:tc>
              <w:tcPr>
                <w:tcW w:w="0" w:type="auto"/>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未折现合同金额</w:t>
                </w:r>
              </w:p>
            </w:tc>
            <w:tc>
              <w:tcPr>
                <w:tcW w:w="0" w:type="auto"/>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1</w:t>
                </w:r>
                <w:r>
                  <w:rPr>
                    <w:rFonts w:hint="eastAsia"/>
                    <w:sz w:val="18"/>
                    <w:szCs w:val="18"/>
                  </w:rPr>
                  <w:t>年以内</w:t>
                </w:r>
              </w:p>
            </w:tc>
            <w:tc>
              <w:tcPr>
                <w:tcW w:w="0" w:type="auto"/>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1-3</w:t>
                </w:r>
                <w:r>
                  <w:rPr>
                    <w:rFonts w:hint="eastAsia"/>
                    <w:sz w:val="18"/>
                    <w:szCs w:val="18"/>
                  </w:rPr>
                  <w:t>年</w:t>
                </w:r>
              </w:p>
            </w:tc>
            <w:tc>
              <w:tcPr>
                <w:tcW w:w="0" w:type="auto"/>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3</w:t>
                </w:r>
                <w:r>
                  <w:rPr>
                    <w:rFonts w:hint="eastAsia"/>
                    <w:sz w:val="18"/>
                    <w:szCs w:val="18"/>
                  </w:rPr>
                  <w:t>年以上</w:t>
                </w:r>
              </w:p>
            </w:tc>
          </w:tr>
          <w:tr w:rsidR="00156DD6">
            <w:trPr>
              <w:trHeight w:val="288"/>
            </w:trPr>
            <w:tc>
              <w:tcPr>
                <w:tcW w:w="0" w:type="auto"/>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银行借款</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2,044,094,963.37</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2,157,916,357.89</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680,098,110.73</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1,117,656,065.01</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360,162,182.15</w:t>
                </w:r>
              </w:p>
            </w:tc>
          </w:tr>
          <w:tr w:rsidR="00156DD6">
            <w:trPr>
              <w:trHeight w:val="288"/>
            </w:trPr>
            <w:tc>
              <w:tcPr>
                <w:tcW w:w="0" w:type="auto"/>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应付票据</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668,367,305.94</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668,367,305.94</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668,367,305.94</w:t>
                </w: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r>
          <w:tr w:rsidR="00156DD6">
            <w:trPr>
              <w:trHeight w:val="288"/>
            </w:trPr>
            <w:tc>
              <w:tcPr>
                <w:tcW w:w="0" w:type="auto"/>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应付账款</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725,026,666.33</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725,026,666.33</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725,026,666.33</w:t>
                </w: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r>
          <w:tr w:rsidR="00156DD6">
            <w:trPr>
              <w:trHeight w:val="288"/>
            </w:trPr>
            <w:tc>
              <w:tcPr>
                <w:tcW w:w="0" w:type="auto"/>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其他应付款</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72,854,288.15</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72,854,288.15</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72,854,288.15</w:t>
                </w: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r>
          <w:tr w:rsidR="00156DD6">
            <w:trPr>
              <w:trHeight w:val="288"/>
            </w:trPr>
            <w:tc>
              <w:tcPr>
                <w:tcW w:w="0" w:type="auto"/>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租赁负债</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7,983,903.60</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8,405,891.73</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4,346,772.81</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4,059,118.92</w:t>
                </w: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r>
          <w:tr w:rsidR="00156DD6">
            <w:trPr>
              <w:trHeight w:val="288"/>
            </w:trPr>
            <w:tc>
              <w:tcPr>
                <w:tcW w:w="0" w:type="auto"/>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长期应付款</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202,100,669.74</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217,002,155.56</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45,872,944.44</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88,035,055.56</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 83,094,155.56 </w:t>
                </w:r>
              </w:p>
            </w:tc>
          </w:tr>
          <w:tr w:rsidR="00156DD6">
            <w:trPr>
              <w:trHeight w:val="288"/>
            </w:trPr>
            <w:tc>
              <w:tcPr>
                <w:tcW w:w="0" w:type="auto"/>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合计</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3,720,427,797.13</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3,849,572,665.60</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2,196,566,088.40</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1,209,750,239.49</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443,256,337.71</w:t>
                </w:r>
              </w:p>
            </w:tc>
          </w:tr>
        </w:tbl>
        <w:p w:rsidR="00156DD6" w:rsidRDefault="00156DD6">
          <w:pPr>
            <w:pStyle w:val="Style43"/>
          </w:pPr>
        </w:p>
        <w:tbl>
          <w:tblPr>
            <w:tblStyle w:val="g4"/>
            <w:tblW w:w="0" w:type="auto"/>
            <w:tblInd w:w="0" w:type="dxa"/>
            <w:tblLook w:val="04A0" w:firstRow="1" w:lastRow="0" w:firstColumn="1" w:lastColumn="0" w:noHBand="0" w:noVBand="1"/>
          </w:tblPr>
          <w:tblGrid>
            <w:gridCol w:w="704"/>
            <w:gridCol w:w="1855"/>
            <w:gridCol w:w="1656"/>
            <w:gridCol w:w="1656"/>
            <w:gridCol w:w="1476"/>
            <w:gridCol w:w="1476"/>
          </w:tblGrid>
          <w:tr w:rsidR="00156DD6">
            <w:trPr>
              <w:trHeight w:val="288"/>
            </w:trPr>
            <w:tc>
              <w:tcPr>
                <w:tcW w:w="704" w:type="dxa"/>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项目</w:t>
                </w:r>
              </w:p>
            </w:tc>
            <w:tc>
              <w:tcPr>
                <w:tcW w:w="8119" w:type="dxa"/>
                <w:gridSpan w:val="5"/>
                <w:tcBorders>
                  <w:top w:val="single" w:sz="4" w:space="0" w:color="auto"/>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上年年末数</w:t>
                </w:r>
              </w:p>
            </w:tc>
          </w:tr>
          <w:tr w:rsidR="00156DD6">
            <w:trPr>
              <w:trHeight w:val="288"/>
            </w:trPr>
            <w:tc>
              <w:tcPr>
                <w:tcW w:w="704" w:type="dxa"/>
                <w:vMerge/>
                <w:tcBorders>
                  <w:top w:val="single" w:sz="4" w:space="0" w:color="auto"/>
                  <w:left w:val="single" w:sz="4" w:space="0" w:color="auto"/>
                  <w:bottom w:val="single" w:sz="4" w:space="0" w:color="auto"/>
                  <w:right w:val="single" w:sz="4" w:space="0" w:color="auto"/>
                </w:tcBorders>
                <w:vAlign w:val="center"/>
              </w:tcPr>
              <w:p w:rsidR="00156DD6" w:rsidRDefault="00156DD6">
                <w:pPr>
                  <w:jc w:val="center"/>
                  <w:rPr>
                    <w:sz w:val="18"/>
                    <w:szCs w:val="18"/>
                  </w:rPr>
                </w:pPr>
              </w:p>
            </w:tc>
            <w:tc>
              <w:tcPr>
                <w:tcW w:w="1855" w:type="dxa"/>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账面价值</w:t>
                </w:r>
              </w:p>
            </w:tc>
            <w:tc>
              <w:tcPr>
                <w:tcW w:w="0" w:type="auto"/>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未折现合同金额</w:t>
                </w:r>
              </w:p>
            </w:tc>
            <w:tc>
              <w:tcPr>
                <w:tcW w:w="0" w:type="auto"/>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1</w:t>
                </w:r>
                <w:r>
                  <w:rPr>
                    <w:rFonts w:hint="eastAsia"/>
                    <w:sz w:val="18"/>
                    <w:szCs w:val="18"/>
                  </w:rPr>
                  <w:t>年以内</w:t>
                </w:r>
              </w:p>
            </w:tc>
            <w:tc>
              <w:tcPr>
                <w:tcW w:w="0" w:type="auto"/>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1-3</w:t>
                </w:r>
                <w:r>
                  <w:rPr>
                    <w:rFonts w:hint="eastAsia"/>
                    <w:sz w:val="18"/>
                    <w:szCs w:val="18"/>
                  </w:rPr>
                  <w:t>年</w:t>
                </w:r>
              </w:p>
            </w:tc>
            <w:tc>
              <w:tcPr>
                <w:tcW w:w="0" w:type="auto"/>
                <w:tcBorders>
                  <w:top w:val="nil"/>
                  <w:left w:val="nil"/>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3</w:t>
                </w:r>
                <w:r>
                  <w:rPr>
                    <w:rFonts w:hint="eastAsia"/>
                    <w:sz w:val="18"/>
                    <w:szCs w:val="18"/>
                  </w:rPr>
                  <w:t>年以上</w:t>
                </w:r>
              </w:p>
            </w:tc>
          </w:tr>
          <w:tr w:rsidR="00156DD6">
            <w:trPr>
              <w:trHeight w:val="288"/>
            </w:trPr>
            <w:tc>
              <w:tcPr>
                <w:tcW w:w="704" w:type="dxa"/>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银行借款</w:t>
                </w:r>
              </w:p>
            </w:tc>
            <w:tc>
              <w:tcPr>
                <w:tcW w:w="1855" w:type="dxa"/>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1,869,679,623.66 </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1,971,276,422.94  </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800,545,205.17  </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864,583,747.41  </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306,147,470.36  </w:t>
                </w:r>
              </w:p>
            </w:tc>
          </w:tr>
          <w:tr w:rsidR="00156DD6">
            <w:trPr>
              <w:trHeight w:val="288"/>
            </w:trPr>
            <w:tc>
              <w:tcPr>
                <w:tcW w:w="704" w:type="dxa"/>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应付票据</w:t>
                </w:r>
              </w:p>
            </w:tc>
            <w:tc>
              <w:tcPr>
                <w:tcW w:w="1855" w:type="dxa"/>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624,614,221.23</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624,614,221.23</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624,614,221.23</w:t>
                </w: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r>
          <w:tr w:rsidR="00156DD6">
            <w:trPr>
              <w:trHeight w:val="288"/>
            </w:trPr>
            <w:tc>
              <w:tcPr>
                <w:tcW w:w="704" w:type="dxa"/>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应付账款</w:t>
                </w:r>
              </w:p>
            </w:tc>
            <w:tc>
              <w:tcPr>
                <w:tcW w:w="1855" w:type="dxa"/>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855,537,235.95 </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855,537,235.95 </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855,537,235.95 </w:t>
                </w: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r>
          <w:tr w:rsidR="00156DD6">
            <w:trPr>
              <w:trHeight w:val="288"/>
            </w:trPr>
            <w:tc>
              <w:tcPr>
                <w:tcW w:w="704" w:type="dxa"/>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其他应付款</w:t>
                </w:r>
              </w:p>
            </w:tc>
            <w:tc>
              <w:tcPr>
                <w:tcW w:w="1855" w:type="dxa"/>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 60,784,232.00 </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 60,784,232.00 </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 60,784,232.00 </w:t>
                </w: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r>
          <w:tr w:rsidR="00156DD6">
            <w:trPr>
              <w:trHeight w:val="288"/>
            </w:trPr>
            <w:tc>
              <w:tcPr>
                <w:tcW w:w="704" w:type="dxa"/>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租赁负债</w:t>
                </w:r>
              </w:p>
            </w:tc>
            <w:tc>
              <w:tcPr>
                <w:tcW w:w="1855" w:type="dxa"/>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 xml:space="preserve"> 6,222,233.00 </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6,558,806.12</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3,316,958.50</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3,241,847.62</w:t>
                </w:r>
              </w:p>
            </w:tc>
            <w:tc>
              <w:tcPr>
                <w:tcW w:w="0" w:type="auto"/>
                <w:tcBorders>
                  <w:top w:val="nil"/>
                  <w:left w:val="nil"/>
                  <w:bottom w:val="single" w:sz="4" w:space="0" w:color="auto"/>
                  <w:right w:val="single" w:sz="4" w:space="0" w:color="auto"/>
                </w:tcBorders>
                <w:vAlign w:val="center"/>
              </w:tcPr>
              <w:p w:rsidR="00156DD6" w:rsidRDefault="00156DD6">
                <w:pPr>
                  <w:jc w:val="right"/>
                  <w:rPr>
                    <w:sz w:val="18"/>
                    <w:szCs w:val="18"/>
                  </w:rPr>
                </w:pPr>
              </w:p>
            </w:tc>
          </w:tr>
          <w:tr w:rsidR="00156DD6">
            <w:trPr>
              <w:trHeight w:val="288"/>
            </w:trPr>
            <w:tc>
              <w:tcPr>
                <w:tcW w:w="704" w:type="dxa"/>
                <w:tcBorders>
                  <w:top w:val="nil"/>
                  <w:left w:val="single" w:sz="4" w:space="0" w:color="auto"/>
                  <w:bottom w:val="single" w:sz="4" w:space="0" w:color="auto"/>
                  <w:right w:val="single" w:sz="4" w:space="0" w:color="auto"/>
                </w:tcBorders>
                <w:vAlign w:val="center"/>
              </w:tcPr>
              <w:p w:rsidR="00156DD6" w:rsidRDefault="00D51F5F">
                <w:pPr>
                  <w:jc w:val="center"/>
                  <w:rPr>
                    <w:sz w:val="18"/>
                    <w:szCs w:val="18"/>
                  </w:rPr>
                </w:pPr>
                <w:r>
                  <w:rPr>
                    <w:rFonts w:hint="eastAsia"/>
                    <w:sz w:val="18"/>
                    <w:szCs w:val="18"/>
                  </w:rPr>
                  <w:t>合计</w:t>
                </w:r>
              </w:p>
            </w:tc>
            <w:tc>
              <w:tcPr>
                <w:tcW w:w="1855" w:type="dxa"/>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3,416,837,545.84</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3,518,770,918.24</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2,344,797,852.85</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867,825,595.03</w:t>
                </w:r>
              </w:p>
            </w:tc>
            <w:tc>
              <w:tcPr>
                <w:tcW w:w="0" w:type="auto"/>
                <w:tcBorders>
                  <w:top w:val="nil"/>
                  <w:left w:val="nil"/>
                  <w:bottom w:val="single" w:sz="4" w:space="0" w:color="auto"/>
                  <w:right w:val="single" w:sz="4" w:space="0" w:color="auto"/>
                </w:tcBorders>
                <w:vAlign w:val="center"/>
              </w:tcPr>
              <w:p w:rsidR="00156DD6" w:rsidRDefault="00D51F5F">
                <w:pPr>
                  <w:jc w:val="right"/>
                  <w:rPr>
                    <w:sz w:val="18"/>
                    <w:szCs w:val="18"/>
                  </w:rPr>
                </w:pPr>
                <w:r>
                  <w:rPr>
                    <w:rFonts w:hint="eastAsia"/>
                    <w:sz w:val="18"/>
                    <w:szCs w:val="18"/>
                  </w:rPr>
                  <w:t>306,147,470.36</w:t>
                </w:r>
              </w:p>
            </w:tc>
          </w:tr>
        </w:tbl>
        <w:p w:rsidR="00156DD6" w:rsidRDefault="00D51F5F">
          <w:pPr>
            <w:spacing w:line="360" w:lineRule="exact"/>
            <w:ind w:firstLineChars="200" w:firstLine="420"/>
          </w:pPr>
          <w:r>
            <w:rPr>
              <w:rFonts w:hint="eastAsia"/>
            </w:rPr>
            <w:t>注：银行借款及租赁负债包括列报到一年内的到期的非流动负债</w:t>
          </w:r>
        </w:p>
        <w:p w:rsidR="00156DD6" w:rsidRDefault="00D51F5F">
          <w:pPr>
            <w:spacing w:line="360" w:lineRule="exact"/>
            <w:ind w:firstLineChars="200" w:firstLine="420"/>
          </w:pPr>
          <w:r>
            <w:rPr>
              <w:rFonts w:hint="eastAsia"/>
            </w:rPr>
            <w:lastRenderedPageBreak/>
            <w:t xml:space="preserve">(3) </w:t>
          </w:r>
          <w:r>
            <w:rPr>
              <w:rFonts w:hint="eastAsia"/>
            </w:rPr>
            <w:t>市场风险</w:t>
          </w:r>
        </w:p>
        <w:p w:rsidR="00156DD6" w:rsidRDefault="00D51F5F">
          <w:pPr>
            <w:spacing w:line="360" w:lineRule="exact"/>
            <w:ind w:firstLineChars="200" w:firstLine="420"/>
          </w:pPr>
          <w:r>
            <w:rPr>
              <w:rFonts w:hint="eastAsia"/>
            </w:rPr>
            <w:t>市场风险，是指金融工具的公允价值或未来现金流量因市场价格变动而发生波动的风险。市场风险主要包括利率风险和外汇风险。</w:t>
          </w:r>
        </w:p>
        <w:p w:rsidR="00156DD6" w:rsidRDefault="00D51F5F">
          <w:pPr>
            <w:spacing w:line="360" w:lineRule="exact"/>
            <w:ind w:firstLineChars="200" w:firstLine="420"/>
          </w:pPr>
          <w:r>
            <w:rPr>
              <w:rFonts w:hint="eastAsia"/>
            </w:rPr>
            <w:t xml:space="preserve">1) </w:t>
          </w:r>
          <w:r>
            <w:rPr>
              <w:rFonts w:hint="eastAsia"/>
            </w:rPr>
            <w:t>利率风险</w:t>
          </w:r>
        </w:p>
        <w:p w:rsidR="00156DD6" w:rsidRDefault="00D51F5F">
          <w:pPr>
            <w:spacing w:line="360" w:lineRule="exact"/>
            <w:ind w:firstLineChars="200" w:firstLine="420"/>
            <w:jc w:val="both"/>
          </w:pPr>
          <w:r>
            <w:rPr>
              <w:rFonts w:hint="eastAsia"/>
            </w:rPr>
            <w:t>利率风险，是指金融工具的公允价值或未来现金流量因市场利率变动而发生波动的风险。固定利率的带息金融工具使本公司面临公允价值利率风险，浮动利率的带息金融工具使本公司面临现金流量利率风险。本公司根据市场环境来决定固定利率与浮动利率金融工具的比例，并通过定期审阅与监控维持适当的金融工具组合。本公司面临的现金流量利率风险主要与本公司以浮动利率计息的银行借款有关。截至</w:t>
          </w:r>
          <w:r>
            <w:rPr>
              <w:rFonts w:hint="eastAsia"/>
            </w:rPr>
            <w:t>2025</w:t>
          </w:r>
          <w:r>
            <w:rPr>
              <w:rFonts w:hint="eastAsia"/>
            </w:rPr>
            <w:t>年</w:t>
          </w:r>
          <w:r>
            <w:rPr>
              <w:rFonts w:hint="eastAsia"/>
            </w:rPr>
            <w:t>6</w:t>
          </w:r>
          <w:r>
            <w:rPr>
              <w:rFonts w:hint="eastAsia"/>
            </w:rPr>
            <w:t>月</w:t>
          </w:r>
          <w:r>
            <w:rPr>
              <w:rFonts w:hint="eastAsia"/>
            </w:rPr>
            <w:t>30</w:t>
          </w:r>
          <w:r>
            <w:rPr>
              <w:rFonts w:hint="eastAsia"/>
            </w:rPr>
            <w:t>日，本公司以浮动利率计息的银行借款人民币</w:t>
          </w:r>
          <w:r>
            <w:rPr>
              <w:rFonts w:hint="eastAsia"/>
            </w:rPr>
            <w:t>124,258.18</w:t>
          </w:r>
          <w:r>
            <w:rPr>
              <w:rFonts w:hint="eastAsia"/>
            </w:rPr>
            <w:t>万元，在其他变量不变的假设下，假定利率变动</w:t>
          </w:r>
          <w:r>
            <w:rPr>
              <w:rFonts w:hint="eastAsia"/>
            </w:rPr>
            <w:t>50</w:t>
          </w:r>
          <w:r>
            <w:rPr>
              <w:rFonts w:hint="eastAsia"/>
            </w:rPr>
            <w:t>个基准点，不会对本公司的利润总</w:t>
          </w:r>
          <w:r>
            <w:rPr>
              <w:rFonts w:hint="eastAsia"/>
            </w:rPr>
            <w:t>额和股东权益产生重大的影响。</w:t>
          </w:r>
        </w:p>
        <w:p w:rsidR="00156DD6" w:rsidRDefault="00D51F5F">
          <w:pPr>
            <w:spacing w:line="360" w:lineRule="exact"/>
            <w:ind w:firstLineChars="200" w:firstLine="420"/>
          </w:pPr>
          <w:r>
            <w:rPr>
              <w:rFonts w:hint="eastAsia"/>
            </w:rPr>
            <w:t xml:space="preserve">2) </w:t>
          </w:r>
          <w:r>
            <w:rPr>
              <w:rFonts w:hint="eastAsia"/>
            </w:rPr>
            <w:t>外汇风险</w:t>
          </w:r>
        </w:p>
        <w:p w:rsidR="00156DD6" w:rsidRDefault="00D51F5F">
          <w:pPr>
            <w:spacing w:line="360" w:lineRule="exact"/>
            <w:ind w:firstLineChars="200" w:firstLine="420"/>
          </w:pPr>
          <w:r>
            <w:rPr>
              <w:rFonts w:hint="eastAsia"/>
            </w:rPr>
            <w:t>外汇风险，是指金融工具的公允价值或未来现金流量因外汇汇率变动而发生波动的风险。本公司于中国内地经营，且主要活动以人民币计价。因此，本公司所承担的外汇变动市场风险不重大。</w:t>
          </w:r>
        </w:p>
        <w:p w:rsidR="00156DD6" w:rsidRDefault="00D51F5F">
          <w:pPr>
            <w:spacing w:line="360" w:lineRule="exact"/>
            <w:ind w:firstLineChars="200" w:firstLine="420"/>
          </w:pPr>
          <w:r>
            <w:rPr>
              <w:rFonts w:hint="eastAsia"/>
            </w:rPr>
            <w:t>本公司期末外币货币性资产和负债情况详见“第八节</w:t>
          </w:r>
          <w:r>
            <w:rPr>
              <w:rFonts w:hint="eastAsia"/>
            </w:rPr>
            <w:t>.</w:t>
          </w:r>
          <w:r>
            <w:rPr>
              <w:rFonts w:hint="eastAsia"/>
            </w:rPr>
            <w:t>七、合并财务报表项目注释</w:t>
          </w:r>
          <w:r>
            <w:rPr>
              <w:rFonts w:hint="eastAsia"/>
            </w:rPr>
            <w:t>.81</w:t>
          </w:r>
          <w:r>
            <w:rPr>
              <w:rFonts w:hint="eastAsia"/>
            </w:rPr>
            <w:t>、外币货币性项目”。</w:t>
          </w:r>
        </w:p>
      </w:sdtContent>
    </w:sdt>
    <w:p w:rsidR="00156DD6" w:rsidRDefault="00D51F5F">
      <w:pPr>
        <w:pStyle w:val="TOC6"/>
        <w:numPr>
          <w:ilvl w:val="0"/>
          <w:numId w:val="93"/>
        </w:numPr>
        <w:ind w:left="425" w:hanging="425"/>
        <w:rPr>
          <w:color w:val="000000" w:themeColor="text1"/>
          <w:sz w:val="21"/>
          <w:szCs w:val="21"/>
        </w:rPr>
      </w:pPr>
      <w:r>
        <w:rPr>
          <w:rFonts w:hint="eastAsia"/>
          <w:color w:val="000000" w:themeColor="text1"/>
          <w:sz w:val="21"/>
          <w:szCs w:val="21"/>
        </w:rPr>
        <w:t>套期</w:t>
      </w:r>
    </w:p>
    <w:p w:rsidR="00156DD6" w:rsidRDefault="00D51F5F">
      <w:pPr>
        <w:pStyle w:val="Style47"/>
        <w:numPr>
          <w:ilvl w:val="0"/>
          <w:numId w:val="94"/>
        </w:numPr>
        <w:ind w:left="0" w:firstLine="0"/>
        <w:rPr>
          <w:color w:val="000000" w:themeColor="text1"/>
          <w:sz w:val="21"/>
          <w:szCs w:val="21"/>
        </w:rPr>
      </w:pPr>
      <w:r>
        <w:rPr>
          <w:rFonts w:hint="eastAsia"/>
          <w:color w:val="000000" w:themeColor="text1"/>
          <w:sz w:val="21"/>
          <w:szCs w:val="21"/>
        </w:rPr>
        <w:t>公司开展套期业务进行风险管理</w:t>
      </w:r>
    </w:p>
    <w:sdt>
      <w:sdtPr>
        <w:rPr>
          <w:color w:val="000000" w:themeColor="text1"/>
        </w:rPr>
        <w:alias w:val="是否适用：公司开展套期业务进行风险管理情况[双击切换]"/>
        <w:tag w:val="_GBC_2f499c37491c40ebb25e43ccee2adbf5"/>
        <w:id w:val="-111821865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公司开展套期业务进行风险管理的其他说明[双击切换]"/>
        <w:tag w:val="_GBC_75de8ffa05014fb7849cdf4959d00e5b"/>
        <w:id w:val="-164858156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94"/>
        </w:numPr>
        <w:ind w:left="0" w:firstLine="0"/>
        <w:rPr>
          <w:color w:val="000000" w:themeColor="text1"/>
          <w:sz w:val="21"/>
          <w:szCs w:val="21"/>
        </w:rPr>
      </w:pPr>
      <w:r>
        <w:rPr>
          <w:rFonts w:hint="eastAsia"/>
          <w:color w:val="000000" w:themeColor="text1"/>
          <w:sz w:val="21"/>
          <w:szCs w:val="21"/>
        </w:rPr>
        <w:t>公司开展符合条件套期业务并应用套期会计</w:t>
      </w:r>
    </w:p>
    <w:sdt>
      <w:sdtPr>
        <w:rPr>
          <w:color w:val="000000" w:themeColor="text1"/>
        </w:rPr>
        <w:alias w:val="是否适用：公司开展符合条件套期业务并应用套期会计情况[双击切换]"/>
        <w:tag w:val="_GBC_6e6b563ac07d4214b853bf73488c53f8"/>
        <w:id w:val="3328092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公司开展符合条件套期业务并应用套期会计情况的其他说明[双击切换]"/>
        <w:tag w:val="_GBC_27a95a99453a402ca0b1fc92fc64b202"/>
        <w:id w:val="11865683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w:instrText>
          </w:r>
          <w:r>
            <w:rPr>
              <w:rFonts w:hint="eastAsia"/>
              <w:color w:val="000000" w:themeColor="text1"/>
            </w:rPr>
            <w:instrText xml:space="preserv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94"/>
        </w:numPr>
        <w:ind w:left="0" w:firstLine="0"/>
        <w:rPr>
          <w:color w:val="000000" w:themeColor="text1"/>
          <w:sz w:val="21"/>
          <w:szCs w:val="21"/>
        </w:rPr>
      </w:pPr>
      <w:r>
        <w:rPr>
          <w:rFonts w:hint="eastAsia"/>
          <w:color w:val="000000" w:themeColor="text1"/>
          <w:sz w:val="21"/>
          <w:szCs w:val="21"/>
        </w:rPr>
        <w:t>公司开展套期业务进行风险管理、预期能实现风险管理目标但未应用套期会计</w:t>
      </w:r>
    </w:p>
    <w:sdt>
      <w:sdtPr>
        <w:rPr>
          <w:color w:val="000000" w:themeColor="text1"/>
        </w:rPr>
        <w:alias w:val="是否适用：公司开展套期业务进行风险管理、预期能实现风险管理目标但未应用套期会计[双击切换]"/>
        <w:tag w:val="_GBC_8ff64f4b33cf4c818fade70a82ac65ca"/>
        <w:id w:val="41474889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公司开展套期业务进行风险管理、预期能实现风险管理目标但未应用套期会计的其他说明[双击切换]"/>
        <w:tag w:val="_GBC_a996d12612974969937163f50fa093b8"/>
        <w:id w:val="-38287087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3"/>
        </w:numPr>
        <w:ind w:left="425" w:hanging="425"/>
        <w:rPr>
          <w:color w:val="000000" w:themeColor="text1"/>
          <w:sz w:val="21"/>
          <w:szCs w:val="36"/>
        </w:rPr>
      </w:pPr>
      <w:r>
        <w:rPr>
          <w:rFonts w:hint="eastAsia"/>
          <w:color w:val="000000" w:themeColor="text1"/>
          <w:sz w:val="21"/>
          <w:szCs w:val="36"/>
        </w:rPr>
        <w:t>金融资产转移</w:t>
      </w:r>
    </w:p>
    <w:p w:rsidR="00156DD6" w:rsidRDefault="00D51F5F">
      <w:pPr>
        <w:pStyle w:val="Style47"/>
        <w:numPr>
          <w:ilvl w:val="0"/>
          <w:numId w:val="95"/>
        </w:numPr>
        <w:ind w:left="425" w:hanging="425"/>
        <w:rPr>
          <w:color w:val="000000" w:themeColor="text1"/>
          <w:sz w:val="21"/>
          <w:szCs w:val="32"/>
        </w:rPr>
      </w:pPr>
      <w:bookmarkStart w:id="459" w:name="_Hlk153550670"/>
      <w:r>
        <w:rPr>
          <w:rFonts w:hint="eastAsia"/>
          <w:color w:val="000000" w:themeColor="text1"/>
          <w:sz w:val="21"/>
          <w:szCs w:val="32"/>
        </w:rPr>
        <w:t>转移方式分类</w:t>
      </w:r>
    </w:p>
    <w:sdt>
      <w:sdtPr>
        <w:rPr>
          <w:color w:val="000000" w:themeColor="text1"/>
        </w:rPr>
        <w:alias w:val="是否适用：转移方式分类[双击切换]"/>
        <w:tag w:val="_GBC_3e1020fb455f4853972cca8d6b0a6b3e"/>
        <w:id w:val="-194445437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转移方式分类"/>
          <w:tag w:val="_GBC_de1ad61d934042f8a064c3ae0d4f8be0"/>
          <w:id w:val="-171379672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转移方式分类"/>
          <w:tag w:val="_GBC_523a24325686464f98a38bad04cd2e3d"/>
          <w:id w:val="10881992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r>
        <w:rPr>
          <w:color w:val="000000" w:themeColor="text1"/>
        </w:rPr>
        <w:t xml:space="preserve"> </w:t>
      </w:r>
    </w:p>
    <w:tbl>
      <w:tblPr>
        <w:tblStyle w:val="g2"/>
        <w:tblW w:w="0" w:type="auto"/>
        <w:tblInd w:w="0" w:type="dxa"/>
        <w:tblLook w:val="04A0" w:firstRow="1" w:lastRow="0" w:firstColumn="1" w:lastColumn="0" w:noHBand="0" w:noVBand="1"/>
      </w:tblPr>
      <w:tblGrid>
        <w:gridCol w:w="1763"/>
        <w:gridCol w:w="1765"/>
        <w:gridCol w:w="1765"/>
        <w:gridCol w:w="1765"/>
        <w:gridCol w:w="1765"/>
      </w:tblGrid>
      <w:tr w:rsidR="00156DD6">
        <w:bookmarkEnd w:id="459" w:displacedByCustomXml="next"/>
        <w:sdt>
          <w:sdtPr>
            <w:tag w:val="_PLD_1b3639441c42426dafc439c62b582272"/>
            <w:id w:val="-264539719"/>
          </w:sdtPr>
          <w:sdtEndPr/>
          <w:sdtContent>
            <w:tc>
              <w:tcPr>
                <w:tcW w:w="1763" w:type="dxa"/>
                <w:vAlign w:val="center"/>
              </w:tcPr>
              <w:p w:rsidR="00156DD6" w:rsidRDefault="00D51F5F">
                <w:pPr>
                  <w:jc w:val="center"/>
                  <w:rPr>
                    <w:color w:val="000000" w:themeColor="text1"/>
                  </w:rPr>
                </w:pPr>
                <w:r>
                  <w:rPr>
                    <w:rFonts w:hint="eastAsia"/>
                    <w:color w:val="000000" w:themeColor="text1"/>
                  </w:rPr>
                  <w:t>转移方式</w:t>
                </w:r>
              </w:p>
            </w:tc>
          </w:sdtContent>
        </w:sdt>
        <w:sdt>
          <w:sdtPr>
            <w:tag w:val="_PLD_ca0fdfb372924321ab96333f916ba97f"/>
            <w:id w:val="411432375"/>
          </w:sdtPr>
          <w:sdtEndPr/>
          <w:sdtContent>
            <w:tc>
              <w:tcPr>
                <w:tcW w:w="1765" w:type="dxa"/>
                <w:vAlign w:val="center"/>
              </w:tcPr>
              <w:p w:rsidR="00156DD6" w:rsidRDefault="00D51F5F">
                <w:pPr>
                  <w:jc w:val="center"/>
                  <w:rPr>
                    <w:color w:val="000000" w:themeColor="text1"/>
                  </w:rPr>
                </w:pPr>
                <w:r>
                  <w:rPr>
                    <w:rFonts w:hint="eastAsia"/>
                    <w:color w:val="000000" w:themeColor="text1"/>
                  </w:rPr>
                  <w:t>已转移金融资产性质</w:t>
                </w:r>
              </w:p>
            </w:tc>
          </w:sdtContent>
        </w:sdt>
        <w:sdt>
          <w:sdtPr>
            <w:tag w:val="_PLD_0fd47e1e3a6745509c71fb3afe424e15"/>
            <w:id w:val="-296065826"/>
          </w:sdtPr>
          <w:sdtEndPr/>
          <w:sdtContent>
            <w:tc>
              <w:tcPr>
                <w:tcW w:w="1765" w:type="dxa"/>
                <w:vAlign w:val="center"/>
              </w:tcPr>
              <w:p w:rsidR="00156DD6" w:rsidRDefault="00D51F5F">
                <w:pPr>
                  <w:jc w:val="center"/>
                  <w:rPr>
                    <w:color w:val="000000" w:themeColor="text1"/>
                  </w:rPr>
                </w:pPr>
                <w:r>
                  <w:rPr>
                    <w:rFonts w:hint="eastAsia"/>
                    <w:color w:val="000000" w:themeColor="text1"/>
                  </w:rPr>
                  <w:t>已转移金融资产金额</w:t>
                </w:r>
              </w:p>
            </w:tc>
          </w:sdtContent>
        </w:sdt>
        <w:sdt>
          <w:sdtPr>
            <w:tag w:val="_PLD_d7e5fc13720748c99b0fc16108739469"/>
            <w:id w:val="-345333489"/>
          </w:sdtPr>
          <w:sdtEndPr/>
          <w:sdtContent>
            <w:tc>
              <w:tcPr>
                <w:tcW w:w="1765" w:type="dxa"/>
                <w:vAlign w:val="center"/>
              </w:tcPr>
              <w:p w:rsidR="00156DD6" w:rsidRDefault="00D51F5F">
                <w:pPr>
                  <w:jc w:val="center"/>
                  <w:rPr>
                    <w:color w:val="000000" w:themeColor="text1"/>
                  </w:rPr>
                </w:pPr>
                <w:r>
                  <w:rPr>
                    <w:rFonts w:hint="eastAsia"/>
                    <w:color w:val="000000" w:themeColor="text1"/>
                  </w:rPr>
                  <w:t>终止确认情况</w:t>
                </w:r>
              </w:p>
            </w:tc>
          </w:sdtContent>
        </w:sdt>
        <w:sdt>
          <w:sdtPr>
            <w:tag w:val="_PLD_9657f1a55d3746549b602d8e206fdafe"/>
            <w:id w:val="744309259"/>
          </w:sdtPr>
          <w:sdtEndPr/>
          <w:sdtContent>
            <w:tc>
              <w:tcPr>
                <w:tcW w:w="1765" w:type="dxa"/>
                <w:vAlign w:val="center"/>
              </w:tcPr>
              <w:p w:rsidR="00156DD6" w:rsidRDefault="00D51F5F">
                <w:pPr>
                  <w:jc w:val="center"/>
                  <w:rPr>
                    <w:color w:val="000000" w:themeColor="text1"/>
                  </w:rPr>
                </w:pPr>
                <w:r>
                  <w:rPr>
                    <w:rFonts w:hint="eastAsia"/>
                    <w:color w:val="000000" w:themeColor="text1"/>
                  </w:rPr>
                  <w:t>终止确认情况的判断依据</w:t>
                </w:r>
              </w:p>
            </w:tc>
          </w:sdtContent>
        </w:sdt>
      </w:tr>
      <w:tr w:rsidR="00156DD6">
        <w:tc>
          <w:tcPr>
            <w:tcW w:w="1763" w:type="dxa"/>
            <w:vAlign w:val="center"/>
          </w:tcPr>
          <w:p w:rsidR="00156DD6" w:rsidRDefault="00D51F5F">
            <w:pPr>
              <w:widowControl/>
            </w:pPr>
            <w:r>
              <w:t>票据背书</w:t>
            </w:r>
          </w:p>
        </w:tc>
        <w:tc>
          <w:tcPr>
            <w:tcW w:w="1765" w:type="dxa"/>
            <w:vAlign w:val="center"/>
          </w:tcPr>
          <w:p w:rsidR="00156DD6" w:rsidRDefault="00D51F5F">
            <w:pPr>
              <w:widowControl/>
            </w:pPr>
            <w:r>
              <w:t>应收票据</w:t>
            </w:r>
          </w:p>
        </w:tc>
        <w:tc>
          <w:tcPr>
            <w:tcW w:w="1765" w:type="dxa"/>
            <w:vAlign w:val="center"/>
          </w:tcPr>
          <w:p w:rsidR="00156DD6" w:rsidRDefault="00D51F5F">
            <w:pPr>
              <w:jc w:val="right"/>
            </w:pPr>
            <w:r>
              <w:rPr>
                <w:rFonts w:hint="eastAsia"/>
              </w:rPr>
              <w:t xml:space="preserve"> 228,031,960.77 </w:t>
            </w:r>
          </w:p>
        </w:tc>
        <w:tc>
          <w:tcPr>
            <w:tcW w:w="1765" w:type="dxa"/>
            <w:vAlign w:val="center"/>
          </w:tcPr>
          <w:p w:rsidR="00156DD6" w:rsidRDefault="00D51F5F">
            <w:pPr>
              <w:pStyle w:val="Style43"/>
            </w:pPr>
            <w:r>
              <w:t>未终止确认</w:t>
            </w:r>
          </w:p>
        </w:tc>
        <w:tc>
          <w:tcPr>
            <w:tcW w:w="1765" w:type="dxa"/>
            <w:vAlign w:val="center"/>
          </w:tcPr>
          <w:p w:rsidR="00156DD6" w:rsidRDefault="00D51F5F">
            <w:pPr>
              <w:widowControl/>
            </w:pPr>
            <w:r>
              <w:t>保留了其几乎所有的风险和报酬</w:t>
            </w:r>
          </w:p>
        </w:tc>
      </w:tr>
      <w:tr w:rsidR="00156DD6">
        <w:tc>
          <w:tcPr>
            <w:tcW w:w="1763" w:type="dxa"/>
            <w:vAlign w:val="center"/>
          </w:tcPr>
          <w:p w:rsidR="00156DD6" w:rsidRDefault="00D51F5F">
            <w:pPr>
              <w:widowControl/>
            </w:pPr>
            <w:r>
              <w:t>票据背书</w:t>
            </w:r>
          </w:p>
        </w:tc>
        <w:tc>
          <w:tcPr>
            <w:tcW w:w="1765" w:type="dxa"/>
            <w:vAlign w:val="center"/>
          </w:tcPr>
          <w:p w:rsidR="00156DD6" w:rsidRDefault="00D51F5F">
            <w:pPr>
              <w:widowControl/>
            </w:pPr>
            <w:r>
              <w:t>应收款项融资</w:t>
            </w:r>
          </w:p>
        </w:tc>
        <w:tc>
          <w:tcPr>
            <w:tcW w:w="1765" w:type="dxa"/>
            <w:vAlign w:val="center"/>
          </w:tcPr>
          <w:p w:rsidR="00156DD6" w:rsidRDefault="00D51F5F">
            <w:pPr>
              <w:jc w:val="right"/>
            </w:pPr>
            <w:r>
              <w:rPr>
                <w:rFonts w:hint="eastAsia"/>
              </w:rPr>
              <w:t xml:space="preserve"> 281,940,452.82 </w:t>
            </w:r>
          </w:p>
        </w:tc>
        <w:tc>
          <w:tcPr>
            <w:tcW w:w="1765" w:type="dxa"/>
            <w:vAlign w:val="center"/>
          </w:tcPr>
          <w:p w:rsidR="00156DD6" w:rsidRDefault="00D51F5F">
            <w:pPr>
              <w:pStyle w:val="Style43"/>
            </w:pPr>
            <w:r>
              <w:t>终止确认</w:t>
            </w:r>
          </w:p>
        </w:tc>
        <w:tc>
          <w:tcPr>
            <w:tcW w:w="1765" w:type="dxa"/>
            <w:vAlign w:val="center"/>
          </w:tcPr>
          <w:p w:rsidR="00156DD6" w:rsidRDefault="00D51F5F">
            <w:pPr>
              <w:widowControl/>
            </w:pPr>
            <w:r>
              <w:t>已经转移了其几乎所有的风险和报酬</w:t>
            </w:r>
          </w:p>
        </w:tc>
      </w:tr>
      <w:tr w:rsidR="00156DD6">
        <w:tc>
          <w:tcPr>
            <w:tcW w:w="1763" w:type="dxa"/>
          </w:tcPr>
          <w:p w:rsidR="00156DD6" w:rsidRDefault="00D51F5F">
            <w:pPr>
              <w:jc w:val="center"/>
              <w:rPr>
                <w:color w:val="000000" w:themeColor="text1"/>
              </w:rPr>
            </w:pPr>
            <w:r>
              <w:rPr>
                <w:rFonts w:hint="eastAsia"/>
                <w:color w:val="000000" w:themeColor="text1"/>
              </w:rPr>
              <w:t>合计</w:t>
            </w:r>
          </w:p>
        </w:tc>
        <w:tc>
          <w:tcPr>
            <w:tcW w:w="1765" w:type="dxa"/>
          </w:tcPr>
          <w:p w:rsidR="00156DD6" w:rsidRDefault="00D51F5F">
            <w:pPr>
              <w:jc w:val="center"/>
              <w:rPr>
                <w:color w:val="000000" w:themeColor="text1"/>
              </w:rPr>
            </w:pPr>
            <w:r>
              <w:rPr>
                <w:rFonts w:hint="eastAsia"/>
                <w:color w:val="000000" w:themeColor="text1"/>
              </w:rPr>
              <w:t>/</w:t>
            </w:r>
          </w:p>
        </w:tc>
        <w:tc>
          <w:tcPr>
            <w:tcW w:w="1765" w:type="dxa"/>
            <w:vAlign w:val="center"/>
          </w:tcPr>
          <w:p w:rsidR="00156DD6" w:rsidRDefault="00D51F5F">
            <w:pPr>
              <w:jc w:val="right"/>
            </w:pPr>
            <w:r>
              <w:rPr>
                <w:rFonts w:hint="eastAsia"/>
              </w:rPr>
              <w:t xml:space="preserve"> 509,972,413.59 </w:t>
            </w:r>
          </w:p>
        </w:tc>
        <w:tc>
          <w:tcPr>
            <w:tcW w:w="1765" w:type="dxa"/>
          </w:tcPr>
          <w:p w:rsidR="00156DD6" w:rsidRDefault="00D51F5F">
            <w:pPr>
              <w:jc w:val="center"/>
              <w:rPr>
                <w:color w:val="000000" w:themeColor="text1"/>
              </w:rPr>
            </w:pPr>
            <w:r>
              <w:rPr>
                <w:rFonts w:hint="eastAsia"/>
                <w:color w:val="000000" w:themeColor="text1"/>
              </w:rPr>
              <w:t>/</w:t>
            </w:r>
          </w:p>
        </w:tc>
        <w:tc>
          <w:tcPr>
            <w:tcW w:w="1765" w:type="dxa"/>
          </w:tcPr>
          <w:p w:rsidR="00156DD6" w:rsidRDefault="00D51F5F">
            <w:pPr>
              <w:jc w:val="center"/>
              <w:rPr>
                <w:color w:val="000000" w:themeColor="text1"/>
              </w:rPr>
            </w:pPr>
            <w:r>
              <w:rPr>
                <w:rFonts w:hint="eastAsia"/>
                <w:color w:val="000000" w:themeColor="text1"/>
              </w:rPr>
              <w:t>/</w:t>
            </w:r>
          </w:p>
        </w:tc>
      </w:tr>
    </w:tbl>
    <w:p w:rsidR="00156DD6" w:rsidRDefault="00D51F5F">
      <w:pPr>
        <w:pStyle w:val="Style47"/>
        <w:numPr>
          <w:ilvl w:val="0"/>
          <w:numId w:val="95"/>
        </w:numPr>
        <w:ind w:left="425" w:hanging="425"/>
        <w:rPr>
          <w:color w:val="000000" w:themeColor="text1"/>
          <w:sz w:val="21"/>
          <w:szCs w:val="32"/>
        </w:rPr>
      </w:pPr>
      <w:r>
        <w:rPr>
          <w:rFonts w:hint="eastAsia"/>
          <w:color w:val="000000" w:themeColor="text1"/>
          <w:sz w:val="21"/>
          <w:szCs w:val="32"/>
        </w:rPr>
        <w:lastRenderedPageBreak/>
        <w:t>因转移而终止确认的金融资产</w:t>
      </w:r>
    </w:p>
    <w:sdt>
      <w:sdtPr>
        <w:rPr>
          <w:rFonts w:hint="eastAsia"/>
          <w:color w:val="000000" w:themeColor="text1"/>
        </w:rPr>
        <w:alias w:val="是否适用：因转移而终止确认的金融资产[双击切换]"/>
        <w:tag w:val="_GBC_46574eb995bc458dacbb66d429fbeb28"/>
        <w:id w:val="-2841874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因转移而终止确认的金融资产"/>
          <w:tag w:val="_GBC_73bef3b995394289b78af2337e747985"/>
          <w:id w:val="-10095246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因转移而终止确认的金融资产"/>
          <w:tag w:val="_GBC_427dcc46d1fd46199efb83964b12866d"/>
          <w:id w:val="11826317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0" w:type="auto"/>
        <w:tblInd w:w="0" w:type="dxa"/>
        <w:tblLook w:val="04A0" w:firstRow="1" w:lastRow="0" w:firstColumn="1" w:lastColumn="0" w:noHBand="0" w:noVBand="1"/>
      </w:tblPr>
      <w:tblGrid>
        <w:gridCol w:w="2205"/>
        <w:gridCol w:w="2206"/>
        <w:gridCol w:w="2206"/>
        <w:gridCol w:w="2206"/>
      </w:tblGrid>
      <w:tr w:rsidR="00156DD6">
        <w:sdt>
          <w:sdtPr>
            <w:tag w:val="_PLD_5d17113cbddd47c5b9a0a3fe5a5fb5d2"/>
            <w:id w:val="1294789557"/>
          </w:sdtPr>
          <w:sdtEndPr/>
          <w:sdtContent>
            <w:tc>
              <w:tcPr>
                <w:tcW w:w="2205" w:type="dxa"/>
                <w:vAlign w:val="center"/>
              </w:tcPr>
              <w:p w:rsidR="00156DD6" w:rsidRDefault="00D51F5F">
                <w:pPr>
                  <w:jc w:val="center"/>
                  <w:rPr>
                    <w:color w:val="000000" w:themeColor="text1"/>
                  </w:rPr>
                </w:pPr>
                <w:r>
                  <w:rPr>
                    <w:rFonts w:hint="eastAsia"/>
                    <w:color w:val="000000" w:themeColor="text1"/>
                  </w:rPr>
                  <w:t>项目</w:t>
                </w:r>
              </w:p>
            </w:tc>
          </w:sdtContent>
        </w:sdt>
        <w:sdt>
          <w:sdtPr>
            <w:tag w:val="_PLD_39fc3a910f2f4edf8c92d540898fd934"/>
            <w:id w:val="-378939717"/>
          </w:sdtPr>
          <w:sdtEndPr/>
          <w:sdtContent>
            <w:tc>
              <w:tcPr>
                <w:tcW w:w="2206" w:type="dxa"/>
                <w:vAlign w:val="center"/>
              </w:tcPr>
              <w:p w:rsidR="00156DD6" w:rsidRDefault="00D51F5F">
                <w:pPr>
                  <w:jc w:val="center"/>
                  <w:rPr>
                    <w:color w:val="000000" w:themeColor="text1"/>
                  </w:rPr>
                </w:pPr>
                <w:r>
                  <w:rPr>
                    <w:rFonts w:hint="eastAsia"/>
                    <w:color w:val="000000" w:themeColor="text1"/>
                  </w:rPr>
                  <w:t>金融资产转移的方式</w:t>
                </w:r>
              </w:p>
            </w:tc>
          </w:sdtContent>
        </w:sdt>
        <w:sdt>
          <w:sdtPr>
            <w:tag w:val="_PLD_2a51853a4561482eb23f14cfddfc722f"/>
            <w:id w:val="594754449"/>
          </w:sdtPr>
          <w:sdtEndPr/>
          <w:sdtContent>
            <w:tc>
              <w:tcPr>
                <w:tcW w:w="2206" w:type="dxa"/>
                <w:vAlign w:val="center"/>
              </w:tcPr>
              <w:p w:rsidR="00156DD6" w:rsidRDefault="00D51F5F">
                <w:pPr>
                  <w:jc w:val="center"/>
                  <w:rPr>
                    <w:color w:val="000000" w:themeColor="text1"/>
                  </w:rPr>
                </w:pPr>
                <w:r>
                  <w:rPr>
                    <w:rFonts w:hint="eastAsia"/>
                    <w:color w:val="000000" w:themeColor="text1"/>
                  </w:rPr>
                  <w:t>终止确认的金融资产金额</w:t>
                </w:r>
              </w:p>
            </w:tc>
          </w:sdtContent>
        </w:sdt>
        <w:sdt>
          <w:sdtPr>
            <w:tag w:val="_PLD_266f18e2f96d4b5e952ee0b646ff98ac"/>
            <w:id w:val="1853457375"/>
          </w:sdtPr>
          <w:sdtEndPr/>
          <w:sdtContent>
            <w:tc>
              <w:tcPr>
                <w:tcW w:w="2206" w:type="dxa"/>
                <w:vAlign w:val="center"/>
              </w:tcPr>
              <w:p w:rsidR="00156DD6" w:rsidRDefault="00D51F5F">
                <w:pPr>
                  <w:jc w:val="center"/>
                  <w:rPr>
                    <w:color w:val="000000" w:themeColor="text1"/>
                  </w:rPr>
                </w:pPr>
                <w:r>
                  <w:rPr>
                    <w:rFonts w:hint="eastAsia"/>
                    <w:color w:val="000000" w:themeColor="text1"/>
                  </w:rPr>
                  <w:t>与终止确认相关的利得或损失</w:t>
                </w:r>
              </w:p>
            </w:tc>
          </w:sdtContent>
        </w:sdt>
      </w:tr>
      <w:tr w:rsidR="00156DD6">
        <w:tc>
          <w:tcPr>
            <w:tcW w:w="2205" w:type="dxa"/>
          </w:tcPr>
          <w:p w:rsidR="00156DD6" w:rsidRDefault="00D51F5F">
            <w:pPr>
              <w:widowControl/>
            </w:pPr>
            <w:r>
              <w:t>应收款项融资</w:t>
            </w:r>
          </w:p>
        </w:tc>
        <w:tc>
          <w:tcPr>
            <w:tcW w:w="2206" w:type="dxa"/>
          </w:tcPr>
          <w:p w:rsidR="00156DD6" w:rsidRDefault="00D51F5F">
            <w:pPr>
              <w:widowControl/>
            </w:pPr>
            <w:r>
              <w:t>票据背书</w:t>
            </w:r>
          </w:p>
        </w:tc>
        <w:tc>
          <w:tcPr>
            <w:tcW w:w="2206" w:type="dxa"/>
          </w:tcPr>
          <w:p w:rsidR="00156DD6" w:rsidRDefault="00D51F5F">
            <w:pPr>
              <w:jc w:val="right"/>
            </w:pPr>
            <w:r>
              <w:rPr>
                <w:rFonts w:hint="eastAsia"/>
              </w:rPr>
              <w:t xml:space="preserve">281,940,452.82 </w:t>
            </w:r>
            <w:r>
              <w:t xml:space="preserve"> </w:t>
            </w:r>
          </w:p>
        </w:tc>
        <w:tc>
          <w:tcPr>
            <w:tcW w:w="2206" w:type="dxa"/>
          </w:tcPr>
          <w:p w:rsidR="00156DD6" w:rsidRDefault="00156DD6">
            <w:pPr>
              <w:jc w:val="right"/>
            </w:pPr>
          </w:p>
        </w:tc>
      </w:tr>
      <w:tr w:rsidR="00156DD6">
        <w:tc>
          <w:tcPr>
            <w:tcW w:w="2205" w:type="dxa"/>
          </w:tcPr>
          <w:p w:rsidR="00156DD6" w:rsidRDefault="00D51F5F">
            <w:pPr>
              <w:jc w:val="center"/>
              <w:rPr>
                <w:color w:val="000000" w:themeColor="text1"/>
              </w:rPr>
            </w:pPr>
            <w:r>
              <w:rPr>
                <w:rFonts w:hint="eastAsia"/>
                <w:color w:val="000000" w:themeColor="text1"/>
              </w:rPr>
              <w:t>合计</w:t>
            </w:r>
          </w:p>
        </w:tc>
        <w:tc>
          <w:tcPr>
            <w:tcW w:w="2206" w:type="dxa"/>
          </w:tcPr>
          <w:p w:rsidR="00156DD6" w:rsidRDefault="00D51F5F">
            <w:pPr>
              <w:jc w:val="center"/>
              <w:rPr>
                <w:color w:val="000000" w:themeColor="text1"/>
              </w:rPr>
            </w:pPr>
            <w:r>
              <w:rPr>
                <w:rFonts w:hint="eastAsia"/>
                <w:color w:val="000000" w:themeColor="text1"/>
              </w:rPr>
              <w:t>/</w:t>
            </w:r>
          </w:p>
        </w:tc>
        <w:tc>
          <w:tcPr>
            <w:tcW w:w="2206" w:type="dxa"/>
          </w:tcPr>
          <w:p w:rsidR="00156DD6" w:rsidRDefault="00D51F5F">
            <w:pPr>
              <w:jc w:val="right"/>
            </w:pPr>
            <w:r>
              <w:t xml:space="preserve"> </w:t>
            </w:r>
            <w:r>
              <w:rPr>
                <w:rFonts w:hint="eastAsia"/>
              </w:rPr>
              <w:t xml:space="preserve"> 281,940,452.82 </w:t>
            </w:r>
            <w:r>
              <w:t xml:space="preserve"> </w:t>
            </w:r>
          </w:p>
        </w:tc>
        <w:tc>
          <w:tcPr>
            <w:tcW w:w="2206" w:type="dxa"/>
          </w:tcPr>
          <w:p w:rsidR="00156DD6" w:rsidRDefault="00156DD6">
            <w:pPr>
              <w:jc w:val="right"/>
            </w:pPr>
          </w:p>
        </w:tc>
      </w:tr>
    </w:tbl>
    <w:p w:rsidR="00156DD6" w:rsidRDefault="00D51F5F">
      <w:pPr>
        <w:pStyle w:val="Style47"/>
        <w:numPr>
          <w:ilvl w:val="0"/>
          <w:numId w:val="95"/>
        </w:numPr>
        <w:ind w:left="425" w:hanging="425"/>
        <w:rPr>
          <w:color w:val="000000" w:themeColor="text1"/>
          <w:sz w:val="21"/>
          <w:szCs w:val="32"/>
        </w:rPr>
      </w:pPr>
      <w:r>
        <w:rPr>
          <w:rFonts w:hint="eastAsia"/>
          <w:color w:val="000000" w:themeColor="text1"/>
          <w:sz w:val="21"/>
          <w:szCs w:val="32"/>
        </w:rPr>
        <w:t>继续涉入的转移金融资产</w:t>
      </w:r>
    </w:p>
    <w:sdt>
      <w:sdtPr>
        <w:rPr>
          <w:color w:val="000000" w:themeColor="text1"/>
        </w:rPr>
        <w:alias w:val="是否适用：继续涉入的转移金融资产[双击切换]"/>
        <w:tag w:val="_GBC_839df5011587479d8e96a4229c69e37a"/>
        <w:id w:val="14950648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继续涉入的转移金融资产"/>
          <w:tag w:val="_GBC_b027ef003557490a94f75c9727c8dd3f"/>
          <w:id w:val="-199610256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继续涉入的转移金融资产"/>
          <w:tag w:val="_GBC_bf9a1e91db7a4fa5a8cf4f0452178198"/>
          <w:id w:val="6215022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0" w:type="auto"/>
        <w:tblInd w:w="0" w:type="dxa"/>
        <w:tblLook w:val="04A0" w:firstRow="1" w:lastRow="0" w:firstColumn="1" w:lastColumn="0" w:noHBand="0" w:noVBand="1"/>
      </w:tblPr>
      <w:tblGrid>
        <w:gridCol w:w="2205"/>
        <w:gridCol w:w="2206"/>
        <w:gridCol w:w="2206"/>
        <w:gridCol w:w="2206"/>
      </w:tblGrid>
      <w:tr w:rsidR="00156DD6">
        <w:sdt>
          <w:sdtPr>
            <w:tag w:val="_PLD_80ade223e9af44759210134baea1360c"/>
            <w:id w:val="826707995"/>
          </w:sdtPr>
          <w:sdtEndPr/>
          <w:sdtContent>
            <w:tc>
              <w:tcPr>
                <w:tcW w:w="2205" w:type="dxa"/>
                <w:vAlign w:val="center"/>
              </w:tcPr>
              <w:p w:rsidR="00156DD6" w:rsidRDefault="00D51F5F">
                <w:pPr>
                  <w:jc w:val="center"/>
                  <w:rPr>
                    <w:color w:val="000000" w:themeColor="text1"/>
                  </w:rPr>
                </w:pPr>
                <w:r>
                  <w:rPr>
                    <w:rFonts w:hint="eastAsia"/>
                    <w:color w:val="000000" w:themeColor="text1"/>
                  </w:rPr>
                  <w:t>项目</w:t>
                </w:r>
              </w:p>
            </w:tc>
          </w:sdtContent>
        </w:sdt>
        <w:sdt>
          <w:sdtPr>
            <w:tag w:val="_PLD_f89e9203b3d94319be060ec562de0afd"/>
            <w:id w:val="-1226213130"/>
          </w:sdtPr>
          <w:sdtEndPr/>
          <w:sdtContent>
            <w:tc>
              <w:tcPr>
                <w:tcW w:w="2206" w:type="dxa"/>
                <w:vAlign w:val="center"/>
              </w:tcPr>
              <w:p w:rsidR="00156DD6" w:rsidRDefault="00D51F5F">
                <w:pPr>
                  <w:jc w:val="center"/>
                  <w:rPr>
                    <w:color w:val="000000" w:themeColor="text1"/>
                  </w:rPr>
                </w:pPr>
                <w:r>
                  <w:rPr>
                    <w:rFonts w:hint="eastAsia"/>
                    <w:color w:val="000000" w:themeColor="text1"/>
                  </w:rPr>
                  <w:t>资产转移方式</w:t>
                </w:r>
              </w:p>
            </w:tc>
          </w:sdtContent>
        </w:sdt>
        <w:sdt>
          <w:sdtPr>
            <w:tag w:val="_PLD_2eecba46481c4ef5bbf99d66463e5645"/>
            <w:id w:val="-949154128"/>
          </w:sdtPr>
          <w:sdtEndPr/>
          <w:sdtContent>
            <w:tc>
              <w:tcPr>
                <w:tcW w:w="2206" w:type="dxa"/>
                <w:vAlign w:val="center"/>
              </w:tcPr>
              <w:p w:rsidR="00156DD6" w:rsidRDefault="00D51F5F">
                <w:pPr>
                  <w:jc w:val="center"/>
                  <w:rPr>
                    <w:color w:val="000000" w:themeColor="text1"/>
                  </w:rPr>
                </w:pPr>
                <w:r>
                  <w:rPr>
                    <w:rFonts w:hint="eastAsia"/>
                    <w:color w:val="000000" w:themeColor="text1"/>
                  </w:rPr>
                  <w:t>继续涉入形成的资产金额</w:t>
                </w:r>
              </w:p>
            </w:tc>
          </w:sdtContent>
        </w:sdt>
        <w:sdt>
          <w:sdtPr>
            <w:tag w:val="_PLD_2b880c1a98144e93be726f53b3b16513"/>
            <w:id w:val="-759760925"/>
          </w:sdtPr>
          <w:sdtEndPr/>
          <w:sdtContent>
            <w:tc>
              <w:tcPr>
                <w:tcW w:w="2206" w:type="dxa"/>
                <w:vAlign w:val="center"/>
              </w:tcPr>
              <w:p w:rsidR="00156DD6" w:rsidRDefault="00D51F5F">
                <w:pPr>
                  <w:jc w:val="center"/>
                  <w:rPr>
                    <w:color w:val="000000" w:themeColor="text1"/>
                  </w:rPr>
                </w:pPr>
                <w:r>
                  <w:rPr>
                    <w:rFonts w:hint="eastAsia"/>
                    <w:color w:val="000000" w:themeColor="text1"/>
                  </w:rPr>
                  <w:t>继续涉入形成的负债金额</w:t>
                </w:r>
              </w:p>
            </w:tc>
          </w:sdtContent>
        </w:sdt>
      </w:tr>
      <w:tr w:rsidR="00156DD6">
        <w:tc>
          <w:tcPr>
            <w:tcW w:w="2205" w:type="dxa"/>
          </w:tcPr>
          <w:p w:rsidR="00156DD6" w:rsidRDefault="00D51F5F">
            <w:pPr>
              <w:widowControl/>
            </w:pPr>
            <w:r>
              <w:t>应收票据</w:t>
            </w:r>
          </w:p>
        </w:tc>
        <w:tc>
          <w:tcPr>
            <w:tcW w:w="2206" w:type="dxa"/>
          </w:tcPr>
          <w:p w:rsidR="00156DD6" w:rsidRDefault="00D51F5F">
            <w:pPr>
              <w:widowControl/>
            </w:pPr>
            <w:r>
              <w:t>票据背书</w:t>
            </w:r>
          </w:p>
        </w:tc>
        <w:tc>
          <w:tcPr>
            <w:tcW w:w="2206" w:type="dxa"/>
          </w:tcPr>
          <w:p w:rsidR="00156DD6" w:rsidRDefault="00156DD6">
            <w:pPr>
              <w:jc w:val="right"/>
            </w:pPr>
          </w:p>
        </w:tc>
        <w:tc>
          <w:tcPr>
            <w:tcW w:w="2206" w:type="dxa"/>
          </w:tcPr>
          <w:p w:rsidR="00156DD6" w:rsidRDefault="00D51F5F">
            <w:pPr>
              <w:jc w:val="right"/>
            </w:pPr>
            <w:r>
              <w:t xml:space="preserve"> 228,031,960.77 </w:t>
            </w:r>
          </w:p>
        </w:tc>
      </w:tr>
      <w:tr w:rsidR="00156DD6">
        <w:tc>
          <w:tcPr>
            <w:tcW w:w="2205" w:type="dxa"/>
          </w:tcPr>
          <w:p w:rsidR="00156DD6" w:rsidRDefault="00D51F5F">
            <w:pPr>
              <w:jc w:val="center"/>
              <w:rPr>
                <w:color w:val="000000" w:themeColor="text1"/>
              </w:rPr>
            </w:pPr>
            <w:r>
              <w:rPr>
                <w:rFonts w:hint="eastAsia"/>
                <w:color w:val="000000" w:themeColor="text1"/>
              </w:rPr>
              <w:t>合计</w:t>
            </w:r>
          </w:p>
        </w:tc>
        <w:tc>
          <w:tcPr>
            <w:tcW w:w="2206" w:type="dxa"/>
          </w:tcPr>
          <w:p w:rsidR="00156DD6" w:rsidRDefault="00D51F5F">
            <w:pPr>
              <w:jc w:val="center"/>
              <w:rPr>
                <w:color w:val="000000" w:themeColor="text1"/>
              </w:rPr>
            </w:pPr>
            <w:r>
              <w:rPr>
                <w:rFonts w:hint="eastAsia"/>
                <w:color w:val="000000" w:themeColor="text1"/>
              </w:rPr>
              <w:t>/</w:t>
            </w:r>
          </w:p>
        </w:tc>
        <w:tc>
          <w:tcPr>
            <w:tcW w:w="2206" w:type="dxa"/>
          </w:tcPr>
          <w:p w:rsidR="00156DD6" w:rsidRDefault="00156DD6">
            <w:pPr>
              <w:jc w:val="right"/>
            </w:pPr>
          </w:p>
        </w:tc>
        <w:tc>
          <w:tcPr>
            <w:tcW w:w="2206" w:type="dxa"/>
          </w:tcPr>
          <w:p w:rsidR="00156DD6" w:rsidRDefault="00D51F5F">
            <w:pPr>
              <w:jc w:val="right"/>
            </w:pPr>
            <w:r>
              <w:t xml:space="preserve"> 228,031,960.77 </w:t>
            </w:r>
          </w:p>
        </w:tc>
      </w:tr>
    </w:tbl>
    <w:p w:rsidR="00156DD6" w:rsidRDefault="00D51F5F">
      <w:pPr>
        <w:rPr>
          <w:color w:val="000000" w:themeColor="text1"/>
        </w:rPr>
      </w:pPr>
      <w:r>
        <w:rPr>
          <w:rFonts w:hint="eastAsia"/>
          <w:color w:val="000000" w:themeColor="text1"/>
        </w:rPr>
        <w:t>其他说明</w:t>
      </w:r>
    </w:p>
    <w:sdt>
      <w:sdtPr>
        <w:rPr>
          <w:color w:val="000000" w:themeColor="text1"/>
        </w:rPr>
        <w:alias w:val="是否适用：金融资产转移其他说明[双击切换]"/>
        <w:tag w:val="_GBC_d5c96ff7d4c3440e81b67f6ecd7164b1"/>
        <w:id w:val="71786235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55"/>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公允价值的披露</w:t>
      </w:r>
    </w:p>
    <w:p w:rsidR="00156DD6" w:rsidRDefault="00D51F5F">
      <w:pPr>
        <w:pStyle w:val="TOC6"/>
        <w:numPr>
          <w:ilvl w:val="0"/>
          <w:numId w:val="96"/>
        </w:numPr>
        <w:rPr>
          <w:rFonts w:ascii="宋体" w:hAnsi="宋体"/>
          <w:color w:val="000000" w:themeColor="text1"/>
          <w:sz w:val="21"/>
          <w:szCs w:val="21"/>
        </w:rPr>
      </w:pPr>
      <w:bookmarkStart w:id="460" w:name="_Hlk10539195"/>
      <w:r>
        <w:rPr>
          <w:rFonts w:ascii="宋体" w:hAnsi="宋体" w:hint="eastAsia"/>
          <w:color w:val="000000" w:themeColor="text1"/>
          <w:sz w:val="21"/>
          <w:szCs w:val="21"/>
        </w:rPr>
        <w:t>以公允价值计量的资产和负债的期末公允价值</w:t>
      </w:r>
    </w:p>
    <w:sdt>
      <w:sdtPr>
        <w:rPr>
          <w:color w:val="000000" w:themeColor="text1"/>
        </w:rPr>
        <w:alias w:val="是否适用：以公允价值计量的资产和负债的期末公允价值[双击切换]"/>
        <w:tag w:val="_GBC_291486261b6a4e8092eea55d961b7664"/>
        <w:id w:val="152220046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以公允价值计量的资产和负债的期末公允价值"/>
          <w:tag w:val="_GBC_4b785696cde44d3f8a4a7d28ab963e38"/>
          <w:id w:val="-18515594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以公允价值计量的资产和负债的期末公允价值"/>
          <w:tag w:val="_GBC_3bb5670d72804a4b8298edc3e439955a"/>
          <w:id w:val="11110825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2"/>
        <w:gridCol w:w="1559"/>
        <w:gridCol w:w="1276"/>
        <w:gridCol w:w="1541"/>
        <w:gridCol w:w="1475"/>
      </w:tblGrid>
      <w:tr w:rsidR="00156DD6">
        <w:trPr>
          <w:trHeight w:val="145"/>
        </w:trPr>
        <w:sdt>
          <w:sdtPr>
            <w:tag w:val="_PLD_25e2bb7801744f08a089c0e6a2b31b9b"/>
            <w:id w:val="-215513383"/>
          </w:sdtPr>
          <w:sdtEndPr/>
          <w:sdtContent>
            <w:tc>
              <w:tcPr>
                <w:tcW w:w="2972" w:type="dxa"/>
                <w:vMerge w:val="restart"/>
                <w:tcBorders>
                  <w:top w:val="single" w:sz="4" w:space="0" w:color="auto"/>
                  <w:left w:val="single" w:sz="4" w:space="0" w:color="auto"/>
                  <w:right w:val="single" w:sz="4" w:space="0" w:color="auto"/>
                </w:tcBorders>
                <w:vAlign w:val="center"/>
              </w:tcPr>
              <w:p w:rsidR="00156DD6" w:rsidRDefault="00D51F5F">
                <w:pPr>
                  <w:jc w:val="center"/>
                  <w:outlineLvl w:val="2"/>
                  <w:rPr>
                    <w:rFonts w:cs="Cambria"/>
                    <w:color w:val="000000" w:themeColor="text1"/>
                  </w:rPr>
                </w:pPr>
                <w:r>
                  <w:rPr>
                    <w:rFonts w:cs="Cambria" w:hint="eastAsia"/>
                    <w:color w:val="000000" w:themeColor="text1"/>
                  </w:rPr>
                  <w:t>项目</w:t>
                </w:r>
              </w:p>
            </w:tc>
          </w:sdtContent>
        </w:sdt>
        <w:sdt>
          <w:sdtPr>
            <w:tag w:val="_PLD_ad919f08ba5040a28e31328eb66da0bf"/>
            <w:id w:val="-2063943382"/>
          </w:sdtPr>
          <w:sdtEndPr/>
          <w:sdtContent>
            <w:tc>
              <w:tcPr>
                <w:tcW w:w="5851" w:type="dxa"/>
                <w:gridSpan w:val="4"/>
                <w:tcBorders>
                  <w:top w:val="single" w:sz="4" w:space="0" w:color="auto"/>
                  <w:left w:val="single" w:sz="4" w:space="0" w:color="auto"/>
                  <w:bottom w:val="single" w:sz="4" w:space="0" w:color="auto"/>
                  <w:right w:val="single" w:sz="4" w:space="0" w:color="auto"/>
                </w:tcBorders>
                <w:vAlign w:val="center"/>
              </w:tcPr>
              <w:p w:rsidR="00156DD6" w:rsidRDefault="00D51F5F">
                <w:pPr>
                  <w:jc w:val="center"/>
                  <w:outlineLvl w:val="2"/>
                  <w:rPr>
                    <w:rFonts w:cs="Cambria"/>
                    <w:color w:val="000000" w:themeColor="text1"/>
                  </w:rPr>
                </w:pPr>
                <w:r>
                  <w:rPr>
                    <w:rFonts w:cs="Cambria" w:hint="eastAsia"/>
                    <w:color w:val="000000" w:themeColor="text1"/>
                  </w:rPr>
                  <w:t>期末公允价值</w:t>
                </w:r>
              </w:p>
            </w:tc>
          </w:sdtContent>
        </w:sdt>
      </w:tr>
      <w:tr w:rsidR="00156DD6">
        <w:trPr>
          <w:trHeight w:val="145"/>
        </w:trPr>
        <w:tc>
          <w:tcPr>
            <w:tcW w:w="2972" w:type="dxa"/>
            <w:vMerge/>
            <w:tcBorders>
              <w:left w:val="single" w:sz="4" w:space="0" w:color="auto"/>
              <w:bottom w:val="single" w:sz="4" w:space="0" w:color="auto"/>
              <w:right w:val="single" w:sz="4" w:space="0" w:color="auto"/>
            </w:tcBorders>
            <w:vAlign w:val="center"/>
          </w:tcPr>
          <w:p w:rsidR="00156DD6" w:rsidRDefault="00156DD6">
            <w:pPr>
              <w:jc w:val="center"/>
              <w:outlineLvl w:val="2"/>
              <w:rPr>
                <w:rFonts w:cs="Cambria"/>
                <w:color w:val="000000" w:themeColor="text1"/>
              </w:rPr>
            </w:pPr>
          </w:p>
        </w:tc>
        <w:sdt>
          <w:sdtPr>
            <w:tag w:val="_PLD_4bb34c3d92bf450fb80f7c0c95977a2b"/>
            <w:id w:val="-453864171"/>
          </w:sdtPr>
          <w:sdtEndPr/>
          <w:sdtContent>
            <w:tc>
              <w:tcPr>
                <w:tcW w:w="1559"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outlineLvl w:val="2"/>
                  <w:rPr>
                    <w:rFonts w:cs="Cambria"/>
                    <w:color w:val="000000" w:themeColor="text1"/>
                  </w:rPr>
                </w:pPr>
                <w:r>
                  <w:rPr>
                    <w:rFonts w:cs="Cambria" w:hint="eastAsia"/>
                    <w:color w:val="000000" w:themeColor="text1"/>
                  </w:rPr>
                  <w:t>第一层次公允价值计量</w:t>
                </w:r>
              </w:p>
            </w:tc>
          </w:sdtContent>
        </w:sdt>
        <w:sdt>
          <w:sdtPr>
            <w:tag w:val="_PLD_08753059c9e04a10af2918fbc1559bed"/>
            <w:id w:val="-1360432888"/>
          </w:sdtPr>
          <w:sdtEndPr/>
          <w:sdtContent>
            <w:tc>
              <w:tcPr>
                <w:tcW w:w="1276"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outlineLvl w:val="2"/>
                  <w:rPr>
                    <w:rFonts w:cs="Cambria"/>
                    <w:color w:val="000000" w:themeColor="text1"/>
                  </w:rPr>
                </w:pPr>
                <w:r>
                  <w:rPr>
                    <w:rFonts w:cs="Cambria" w:hint="eastAsia"/>
                    <w:color w:val="000000" w:themeColor="text1"/>
                  </w:rPr>
                  <w:t>第二层次公允价值计量</w:t>
                </w:r>
              </w:p>
            </w:tc>
          </w:sdtContent>
        </w:sdt>
        <w:sdt>
          <w:sdtPr>
            <w:tag w:val="_PLD_b263de838c9c4afa9fddb6dee6409a62"/>
            <w:id w:val="-1731228244"/>
          </w:sdtPr>
          <w:sdtEndPr/>
          <w:sdtContent>
            <w:tc>
              <w:tcPr>
                <w:tcW w:w="1541"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outlineLvl w:val="2"/>
                  <w:rPr>
                    <w:rFonts w:cs="Cambria"/>
                    <w:color w:val="000000" w:themeColor="text1"/>
                  </w:rPr>
                </w:pPr>
                <w:r>
                  <w:rPr>
                    <w:rFonts w:cs="Cambria" w:hint="eastAsia"/>
                    <w:color w:val="000000" w:themeColor="text1"/>
                  </w:rPr>
                  <w:t>第三层次公允价值计量</w:t>
                </w:r>
              </w:p>
            </w:tc>
          </w:sdtContent>
        </w:sdt>
        <w:sdt>
          <w:sdtPr>
            <w:tag w:val="_PLD_50eba344a451417c8072228a7a4959c5"/>
            <w:id w:val="1315378437"/>
          </w:sdtPr>
          <w:sdtEndPr/>
          <w:sdtContent>
            <w:tc>
              <w:tcPr>
                <w:tcW w:w="1475" w:type="dxa"/>
                <w:tcBorders>
                  <w:top w:val="single" w:sz="4" w:space="0" w:color="auto"/>
                  <w:left w:val="single" w:sz="4" w:space="0" w:color="auto"/>
                  <w:bottom w:val="single" w:sz="4" w:space="0" w:color="auto"/>
                  <w:right w:val="single" w:sz="4" w:space="0" w:color="auto"/>
                </w:tcBorders>
                <w:vAlign w:val="center"/>
              </w:tcPr>
              <w:p w:rsidR="00156DD6" w:rsidRDefault="00D51F5F">
                <w:pPr>
                  <w:jc w:val="center"/>
                  <w:outlineLvl w:val="2"/>
                  <w:rPr>
                    <w:rFonts w:cs="Cambria"/>
                    <w:color w:val="000000" w:themeColor="text1"/>
                  </w:rPr>
                </w:pPr>
                <w:r>
                  <w:rPr>
                    <w:rFonts w:cs="Cambria" w:hint="eastAsia"/>
                    <w:color w:val="000000" w:themeColor="text1"/>
                  </w:rPr>
                  <w:t>合计</w:t>
                </w:r>
              </w:p>
            </w:tc>
          </w:sdtContent>
        </w:sdt>
      </w:tr>
      <w:tr w:rsidR="00156DD6">
        <w:trPr>
          <w:trHeight w:val="227"/>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b/>
                <w:color w:val="000000" w:themeColor="text1"/>
              </w:rPr>
            </w:pPr>
            <w:r>
              <w:rPr>
                <w:rFonts w:cs="Cambria" w:hint="eastAsia"/>
                <w:b/>
                <w:color w:val="000000" w:themeColor="text1"/>
              </w:rPr>
              <w:t>一、持续的公允价值计量</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color w:val="000000" w:themeColor="text1"/>
              </w:rPr>
            </w:pPr>
            <w:r>
              <w:rPr>
                <w:rFonts w:hint="eastAsia"/>
                <w:color w:val="000000" w:themeColor="text1"/>
              </w:rPr>
              <w:t>（一）交易性金融资产</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color w:val="000000" w:themeColor="text1"/>
              </w:rPr>
            </w:pPr>
            <w:r>
              <w:rPr>
                <w:color w:val="000000" w:themeColor="text1"/>
              </w:rPr>
              <w:t>1.</w:t>
            </w:r>
            <w:r>
              <w:rPr>
                <w:color w:val="000000" w:themeColor="text1"/>
              </w:rPr>
              <w:t>以公允价值计量且变动计入当期损益的金融资产</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hint="eastAsia"/>
                <w:color w:val="000000" w:themeColor="text1"/>
              </w:rPr>
              <w:t>（</w:t>
            </w:r>
            <w:r>
              <w:rPr>
                <w:rFonts w:cs="Cambria"/>
                <w:color w:val="000000" w:themeColor="text1"/>
              </w:rPr>
              <w:t>1</w:t>
            </w:r>
            <w:r>
              <w:rPr>
                <w:rFonts w:cs="Cambria" w:hint="eastAsia"/>
                <w:color w:val="000000" w:themeColor="text1"/>
              </w:rPr>
              <w:t>）债务工具投资</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hint="eastAsia"/>
                <w:color w:val="000000" w:themeColor="text1"/>
              </w:rPr>
              <w:t>（</w:t>
            </w:r>
            <w:r>
              <w:rPr>
                <w:rFonts w:cs="Cambria"/>
                <w:color w:val="000000" w:themeColor="text1"/>
              </w:rPr>
              <w:t>2</w:t>
            </w:r>
            <w:r>
              <w:rPr>
                <w:rFonts w:cs="Cambria" w:hint="eastAsia"/>
                <w:color w:val="000000" w:themeColor="text1"/>
              </w:rPr>
              <w:t>）权益工具投资</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hint="eastAsia"/>
                <w:color w:val="000000" w:themeColor="text1"/>
              </w:rPr>
              <w:t>（</w:t>
            </w:r>
            <w:r>
              <w:rPr>
                <w:rFonts w:cs="Cambria"/>
                <w:color w:val="000000" w:themeColor="text1"/>
              </w:rPr>
              <w:t>3</w:t>
            </w:r>
            <w:r>
              <w:rPr>
                <w:rFonts w:cs="Cambria" w:hint="eastAsia"/>
                <w:color w:val="000000" w:themeColor="text1"/>
              </w:rPr>
              <w:t>）衍生金融资产</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532"/>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color w:val="000000" w:themeColor="text1"/>
              </w:rPr>
              <w:t xml:space="preserve">2. </w:t>
            </w:r>
            <w:r>
              <w:rPr>
                <w:rFonts w:cs="Cambria" w:hint="eastAsia"/>
                <w:color w:val="000000" w:themeColor="text1"/>
              </w:rPr>
              <w:t>指定以公允价值计量且其变动计入当期损益的金融资产</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hint="eastAsia"/>
                <w:color w:val="000000" w:themeColor="text1"/>
              </w:rPr>
              <w:t>（</w:t>
            </w:r>
            <w:r>
              <w:rPr>
                <w:rFonts w:cs="Cambria"/>
                <w:color w:val="000000" w:themeColor="text1"/>
              </w:rPr>
              <w:t>1</w:t>
            </w:r>
            <w:r>
              <w:rPr>
                <w:rFonts w:cs="Cambria" w:hint="eastAsia"/>
                <w:color w:val="000000" w:themeColor="text1"/>
              </w:rPr>
              <w:t>）债务工具投资</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hint="eastAsia"/>
                <w:color w:val="000000" w:themeColor="text1"/>
              </w:rPr>
              <w:t>（</w:t>
            </w:r>
            <w:r>
              <w:rPr>
                <w:rFonts w:cs="Cambria"/>
                <w:color w:val="000000" w:themeColor="text1"/>
              </w:rPr>
              <w:t>2</w:t>
            </w:r>
            <w:r>
              <w:rPr>
                <w:rFonts w:cs="Cambria" w:hint="eastAsia"/>
                <w:color w:val="000000" w:themeColor="text1"/>
              </w:rPr>
              <w:t>）权益工具投资</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color w:val="000000" w:themeColor="text1"/>
              </w:rPr>
            </w:pPr>
            <w:r>
              <w:rPr>
                <w:rFonts w:hint="eastAsia"/>
                <w:color w:val="000000" w:themeColor="text1"/>
              </w:rPr>
              <w:t>（二）其他债权投资</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color w:val="000000" w:themeColor="text1"/>
              </w:rPr>
            </w:pPr>
            <w:r>
              <w:rPr>
                <w:rFonts w:hint="eastAsia"/>
                <w:color w:val="000000" w:themeColor="text1"/>
              </w:rPr>
              <w:t>（三）其他权益工具投资</w:t>
            </w:r>
          </w:p>
        </w:tc>
        <w:tc>
          <w:tcPr>
            <w:tcW w:w="1559"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outlineLvl w:val="2"/>
              <w:rPr>
                <w:rFonts w:cs="Cambria"/>
              </w:rPr>
            </w:pPr>
            <w:r>
              <w:t xml:space="preserve"> 16,687,440.00 </w:t>
            </w:r>
          </w:p>
        </w:tc>
        <w:tc>
          <w:tcPr>
            <w:tcW w:w="1276" w:type="dxa"/>
            <w:tcBorders>
              <w:top w:val="single" w:sz="4" w:space="0" w:color="auto"/>
              <w:left w:val="single" w:sz="4" w:space="0" w:color="auto"/>
              <w:bottom w:val="single" w:sz="4" w:space="0" w:color="auto"/>
              <w:right w:val="single" w:sz="4" w:space="0" w:color="auto"/>
            </w:tcBorders>
            <w:vAlign w:val="center"/>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vAlign w:val="center"/>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outlineLvl w:val="2"/>
              <w:rPr>
                <w:rFonts w:cs="Cambria"/>
              </w:rPr>
            </w:pPr>
            <w:r>
              <w:t xml:space="preserve">16,687,440.00 </w:t>
            </w: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hint="eastAsia"/>
                <w:color w:val="000000" w:themeColor="text1"/>
              </w:rPr>
              <w:t>（四）投资性房地产</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color w:val="000000" w:themeColor="text1"/>
              </w:rPr>
              <w:t>1.</w:t>
            </w:r>
            <w:r>
              <w:rPr>
                <w:rFonts w:cs="Cambria" w:hint="eastAsia"/>
                <w:color w:val="000000" w:themeColor="text1"/>
              </w:rPr>
              <w:t>出租用的土地使用权</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color w:val="000000" w:themeColor="text1"/>
              </w:rPr>
              <w:t>2.</w:t>
            </w:r>
            <w:r>
              <w:rPr>
                <w:rFonts w:cs="Cambria" w:hint="eastAsia"/>
                <w:color w:val="000000" w:themeColor="text1"/>
              </w:rPr>
              <w:t>出租的建筑物</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468"/>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color w:val="000000" w:themeColor="text1"/>
              </w:rPr>
              <w:t>3.</w:t>
            </w:r>
            <w:r>
              <w:rPr>
                <w:rFonts w:cs="Cambria" w:hint="eastAsia"/>
                <w:color w:val="000000" w:themeColor="text1"/>
              </w:rPr>
              <w:t>持有并准备增值后转让的土地使用权</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hint="eastAsia"/>
                <w:color w:val="000000" w:themeColor="text1"/>
              </w:rPr>
              <w:t>（五）生物资产</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color w:val="000000" w:themeColor="text1"/>
              </w:rPr>
              <w:t>1.</w:t>
            </w:r>
            <w:r>
              <w:rPr>
                <w:rFonts w:cs="Cambria" w:hint="eastAsia"/>
                <w:color w:val="000000" w:themeColor="text1"/>
              </w:rPr>
              <w:t>消耗性生物资产</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40"/>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color w:val="000000" w:themeColor="text1"/>
              </w:rPr>
            </w:pPr>
            <w:r>
              <w:rPr>
                <w:rFonts w:cs="Cambria"/>
                <w:color w:val="000000" w:themeColor="text1"/>
              </w:rPr>
              <w:t>2.</w:t>
            </w:r>
            <w:r>
              <w:rPr>
                <w:rFonts w:cs="Cambria" w:hint="eastAsia"/>
                <w:color w:val="000000" w:themeColor="text1"/>
              </w:rPr>
              <w:t>生产性生物资产</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475"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r>
      <w:tr w:rsidR="00156DD6">
        <w:trPr>
          <w:trHeight w:val="215"/>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rPr>
            </w:pPr>
            <w:r>
              <w:rPr>
                <w:rFonts w:cs="Cambria" w:hint="eastAsia"/>
              </w:rPr>
              <w:t>（六）应收款项融资</w:t>
            </w:r>
          </w:p>
        </w:tc>
        <w:tc>
          <w:tcPr>
            <w:tcW w:w="1559"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276" w:type="dxa"/>
            <w:tcBorders>
              <w:top w:val="single" w:sz="4" w:space="0" w:color="auto"/>
              <w:left w:val="single" w:sz="4" w:space="0" w:color="auto"/>
              <w:bottom w:val="single" w:sz="4" w:space="0" w:color="auto"/>
              <w:right w:val="single" w:sz="4" w:space="0" w:color="auto"/>
            </w:tcBorders>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tcPr>
          <w:p w:rsidR="00156DD6" w:rsidRDefault="00D51F5F">
            <w:pPr>
              <w:jc w:val="right"/>
              <w:outlineLvl w:val="2"/>
              <w:rPr>
                <w:rFonts w:cs="Cambria"/>
              </w:rPr>
            </w:pPr>
            <w:r>
              <w:t xml:space="preserve"> 34,183,836.17  </w:t>
            </w:r>
          </w:p>
        </w:tc>
        <w:tc>
          <w:tcPr>
            <w:tcW w:w="1475" w:type="dxa"/>
            <w:tcBorders>
              <w:top w:val="single" w:sz="4" w:space="0" w:color="auto"/>
              <w:left w:val="single" w:sz="4" w:space="0" w:color="auto"/>
              <w:bottom w:val="single" w:sz="4" w:space="0" w:color="auto"/>
              <w:right w:val="single" w:sz="4" w:space="0" w:color="auto"/>
            </w:tcBorders>
          </w:tcPr>
          <w:p w:rsidR="00156DD6" w:rsidRDefault="00D51F5F">
            <w:pPr>
              <w:jc w:val="right"/>
              <w:outlineLvl w:val="2"/>
              <w:rPr>
                <w:rFonts w:cs="Cambria"/>
              </w:rPr>
            </w:pPr>
            <w:r>
              <w:t xml:space="preserve">34,183,836.17  </w:t>
            </w:r>
          </w:p>
        </w:tc>
      </w:tr>
      <w:tr w:rsidR="00156DD6">
        <w:trPr>
          <w:trHeight w:val="468"/>
        </w:trPr>
        <w:tc>
          <w:tcPr>
            <w:tcW w:w="2972" w:type="dxa"/>
            <w:tcBorders>
              <w:top w:val="single" w:sz="4" w:space="0" w:color="auto"/>
              <w:left w:val="single" w:sz="4" w:space="0" w:color="auto"/>
              <w:bottom w:val="single" w:sz="4" w:space="0" w:color="auto"/>
              <w:right w:val="single" w:sz="4" w:space="0" w:color="auto"/>
            </w:tcBorders>
          </w:tcPr>
          <w:p w:rsidR="00156DD6" w:rsidRDefault="00D51F5F">
            <w:pPr>
              <w:outlineLvl w:val="2"/>
              <w:rPr>
                <w:rFonts w:cs="Cambria"/>
                <w:b/>
                <w:color w:val="000000" w:themeColor="text1"/>
              </w:rPr>
            </w:pPr>
            <w:r>
              <w:rPr>
                <w:rFonts w:cs="Cambria" w:hint="eastAsia"/>
                <w:b/>
                <w:color w:val="000000" w:themeColor="text1"/>
              </w:rPr>
              <w:t>持续以公允价值计量的资产总额</w:t>
            </w:r>
          </w:p>
        </w:tc>
        <w:tc>
          <w:tcPr>
            <w:tcW w:w="1559"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outlineLvl w:val="2"/>
              <w:rPr>
                <w:rFonts w:cs="Cambria"/>
              </w:rPr>
            </w:pPr>
            <w:r>
              <w:t xml:space="preserve"> 16,687,440.00 </w:t>
            </w:r>
          </w:p>
        </w:tc>
        <w:tc>
          <w:tcPr>
            <w:tcW w:w="1276" w:type="dxa"/>
            <w:tcBorders>
              <w:top w:val="single" w:sz="4" w:space="0" w:color="auto"/>
              <w:left w:val="single" w:sz="4" w:space="0" w:color="auto"/>
              <w:bottom w:val="single" w:sz="4" w:space="0" w:color="auto"/>
              <w:right w:val="single" w:sz="4" w:space="0" w:color="auto"/>
            </w:tcBorders>
            <w:vAlign w:val="center"/>
          </w:tcPr>
          <w:p w:rsidR="00156DD6" w:rsidRDefault="00156DD6">
            <w:pPr>
              <w:jc w:val="right"/>
              <w:outlineLvl w:val="2"/>
              <w:rPr>
                <w:rFonts w:cs="Cambria"/>
              </w:rPr>
            </w:pPr>
          </w:p>
        </w:tc>
        <w:tc>
          <w:tcPr>
            <w:tcW w:w="1541"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outlineLvl w:val="2"/>
              <w:rPr>
                <w:rFonts w:cs="Cambria"/>
              </w:rPr>
            </w:pPr>
            <w:r>
              <w:t xml:space="preserve"> 34,183,836.17  </w:t>
            </w:r>
          </w:p>
        </w:tc>
        <w:tc>
          <w:tcPr>
            <w:tcW w:w="1475" w:type="dxa"/>
            <w:tcBorders>
              <w:top w:val="single" w:sz="4" w:space="0" w:color="auto"/>
              <w:left w:val="single" w:sz="4" w:space="0" w:color="auto"/>
              <w:bottom w:val="single" w:sz="4" w:space="0" w:color="auto"/>
              <w:right w:val="single" w:sz="4" w:space="0" w:color="auto"/>
            </w:tcBorders>
            <w:vAlign w:val="center"/>
          </w:tcPr>
          <w:p w:rsidR="00156DD6" w:rsidRDefault="00D51F5F">
            <w:pPr>
              <w:jc w:val="right"/>
              <w:outlineLvl w:val="2"/>
              <w:rPr>
                <w:rFonts w:cs="Cambria"/>
              </w:rPr>
            </w:pPr>
            <w:r>
              <w:t xml:space="preserve">50,871,276.17  </w:t>
            </w:r>
          </w:p>
        </w:tc>
      </w:tr>
    </w:tbl>
    <w:bookmarkEnd w:id="460"/>
    <w:p w:rsidR="00156DD6" w:rsidRDefault="00D51F5F">
      <w:pPr>
        <w:pStyle w:val="TOC6"/>
        <w:numPr>
          <w:ilvl w:val="0"/>
          <w:numId w:val="96"/>
        </w:numPr>
        <w:rPr>
          <w:rFonts w:ascii="宋体" w:hAnsi="宋体"/>
          <w:color w:val="000000" w:themeColor="text1"/>
          <w:sz w:val="21"/>
          <w:szCs w:val="21"/>
        </w:rPr>
      </w:pPr>
      <w:r>
        <w:rPr>
          <w:rFonts w:ascii="宋体" w:hAnsi="宋体" w:hint="eastAsia"/>
          <w:color w:val="000000" w:themeColor="text1"/>
          <w:sz w:val="21"/>
          <w:szCs w:val="21"/>
        </w:rPr>
        <w:lastRenderedPageBreak/>
        <w:t>持续和非持续第一层次公允价值计量项目市价的确定依据</w:t>
      </w:r>
    </w:p>
    <w:sdt>
      <w:sdtPr>
        <w:rPr>
          <w:color w:val="000000" w:themeColor="text1"/>
        </w:rPr>
        <w:alias w:val="是否适用：持续和非持续第一层次公允价值计量项目市价的确定依据[双击切换]"/>
        <w:tag w:val="_GBC_699178e78c6743f697df07ed34d59216"/>
        <w:id w:val="-122869106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ind w:firstLineChars="200" w:firstLine="420"/>
        <w:rPr>
          <w:rFonts w:cs="Arial"/>
          <w:color w:val="000000" w:themeColor="text1"/>
        </w:rPr>
      </w:pPr>
      <w:sdt>
        <w:sdtPr>
          <w:rPr>
            <w:rFonts w:cs="Arial" w:hint="eastAsia"/>
            <w:color w:val="000000" w:themeColor="text1"/>
          </w:rPr>
          <w:alias w:val="持续和非持续第一层次公允价值计量项目市价的确定依据"/>
          <w:tag w:val="_GBC_8db65a2ca59047da919942f97cfc594e"/>
          <w:id w:val="1952818176"/>
          <w:placeholder>
            <w:docPart w:val="GBC22222222222222222222222222222"/>
          </w:placeholder>
        </w:sdtPr>
        <w:sdtEndPr/>
        <w:sdtContent>
          <w:r>
            <w:rPr>
              <w:rFonts w:cs="Arial" w:hint="eastAsia"/>
              <w:color w:val="000000" w:themeColor="text1"/>
            </w:rPr>
            <w:t>本公司持有的第一层次公允价值计量的交易性金融资产为在活跃市场上交易的股票，本公司以其活跃市场报价确定其公允价值。</w:t>
          </w:r>
        </w:sdtContent>
      </w:sdt>
    </w:p>
    <w:p w:rsidR="00156DD6" w:rsidRDefault="00D51F5F">
      <w:pPr>
        <w:pStyle w:val="TOC6"/>
        <w:numPr>
          <w:ilvl w:val="0"/>
          <w:numId w:val="96"/>
        </w:numPr>
        <w:rPr>
          <w:rFonts w:ascii="宋体" w:hAnsi="宋体"/>
          <w:color w:val="000000" w:themeColor="text1"/>
          <w:sz w:val="21"/>
          <w:szCs w:val="21"/>
        </w:rPr>
      </w:pPr>
      <w:r>
        <w:rPr>
          <w:rFonts w:ascii="宋体" w:hAnsi="宋体" w:hint="eastAsia"/>
          <w:color w:val="000000" w:themeColor="text1"/>
          <w:sz w:val="21"/>
          <w:szCs w:val="21"/>
        </w:rPr>
        <w:t>持续和非持续第二层次公允价值计量项目，采用的估值技术和重要参数的定性及定量信息</w:t>
      </w:r>
    </w:p>
    <w:sdt>
      <w:sdtPr>
        <w:rPr>
          <w:rFonts w:cs="Cambria" w:hint="eastAsia"/>
          <w:color w:val="000000" w:themeColor="text1"/>
        </w:rPr>
        <w:alias w:val="是否适用：持续和非持续第二层次公允价值计量项目，采用的估值技术和重要参数的定性及定量信息[双击切换]"/>
        <w:tag w:val="_GBC_8bee9b1c9bf241d5ae1f2c4578fc3b6c"/>
        <w:id w:val="-299691344"/>
        <w:placeholder>
          <w:docPart w:val="GBC22222222222222222222222222222"/>
        </w:placeholder>
      </w:sdtPr>
      <w:sdtEndPr/>
      <w:sdtContent>
        <w:p w:rsidR="00156DD6" w:rsidRDefault="00D51F5F">
          <w:pPr>
            <w:tabs>
              <w:tab w:val="left" w:pos="1134"/>
            </w:tabs>
            <w:rPr>
              <w:rFonts w:cs="Cambria"/>
              <w:color w:val="000000" w:themeColor="text1"/>
            </w:rPr>
          </w:pP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□适用</w:instrText>
          </w:r>
          <w:r>
            <w:rPr>
              <w:rFonts w:cs="Cambria" w:hint="eastAsia"/>
              <w:color w:val="000000" w:themeColor="text1"/>
            </w:rPr>
            <w:instrText xml:space="preserve"> </w:instrText>
          </w:r>
          <w:r>
            <w:rPr>
              <w:rFonts w:cs="Cambria"/>
              <w:color w:val="000000" w:themeColor="text1"/>
            </w:rPr>
            <w:fldChar w:fldCharType="end"/>
          </w: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√不适用</w:instrText>
          </w:r>
          <w:r>
            <w:rPr>
              <w:rFonts w:cs="Cambria" w:hint="eastAsia"/>
              <w:color w:val="000000" w:themeColor="text1"/>
            </w:rPr>
            <w:instrText xml:space="preserve"> </w:instrText>
          </w:r>
          <w:r>
            <w:rPr>
              <w:rFonts w:cs="Cambria"/>
              <w:color w:val="000000" w:themeColor="text1"/>
            </w:rPr>
            <w:fldChar w:fldCharType="end"/>
          </w:r>
        </w:p>
      </w:sdtContent>
    </w:sdt>
    <w:p w:rsidR="00156DD6" w:rsidRDefault="00D51F5F">
      <w:pPr>
        <w:pStyle w:val="TOC6"/>
        <w:numPr>
          <w:ilvl w:val="0"/>
          <w:numId w:val="96"/>
        </w:numPr>
        <w:rPr>
          <w:rFonts w:ascii="宋体" w:hAnsi="宋体"/>
          <w:color w:val="000000" w:themeColor="text1"/>
          <w:sz w:val="21"/>
          <w:szCs w:val="21"/>
        </w:rPr>
      </w:pPr>
      <w:r>
        <w:rPr>
          <w:rFonts w:ascii="宋体" w:hAnsi="宋体" w:hint="eastAsia"/>
          <w:color w:val="000000" w:themeColor="text1"/>
          <w:sz w:val="21"/>
          <w:szCs w:val="21"/>
        </w:rPr>
        <w:t>持续和非持续第三层次公允价值计量项目，采用的估值技术和重要参数的定性及定量信息</w:t>
      </w:r>
    </w:p>
    <w:sdt>
      <w:sdtPr>
        <w:rPr>
          <w:rFonts w:hint="eastAsia"/>
          <w:color w:val="000000" w:themeColor="text1"/>
        </w:rPr>
        <w:alias w:val="是否适用：持续和非持续第三层次公允价值计量项目，采用的估值技术和重要参数的定性及定量信息[双击切换]"/>
        <w:tag w:val="_GBC_4feedb18bf344f2ebff0035f82f30e3c"/>
        <w:id w:val="93980287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sdt>
      <w:sdtPr>
        <w:rPr>
          <w:rFonts w:hint="eastAsia"/>
          <w:color w:val="000000" w:themeColor="text1"/>
        </w:rPr>
        <w:alias w:val="持续和非持续第三层次公允价值计量项目，采用的估值技术和重要参数的定性及定量信息"/>
        <w:tag w:val="_GBC_db2fdcfb26ce4ca9ac1e8da23b16aaaa"/>
        <w:id w:val="566069990"/>
      </w:sdtPr>
      <w:sdtEndPr>
        <w:rPr>
          <w:rFonts w:cs="Cambria" w:hint="default"/>
          <w:b/>
        </w:rPr>
      </w:sdtEndPr>
      <w:sdtContent>
        <w:p w:rsidR="00156DD6" w:rsidRDefault="00D51F5F">
          <w:pPr>
            <w:spacing w:line="360" w:lineRule="exact"/>
            <w:ind w:firstLineChars="200" w:firstLine="420"/>
            <w:rPr>
              <w:rFonts w:cs="Cambria"/>
              <w:b/>
              <w:color w:val="000000" w:themeColor="text1"/>
            </w:rPr>
          </w:pPr>
          <w:r>
            <w:rPr>
              <w:rFonts w:hint="eastAsia"/>
              <w:color w:val="000000" w:themeColor="text1"/>
            </w:rPr>
            <w:t>本公司持有的第三层次公允价值计量的应收款项融资为应收银行承兑汇票，其信用风险较小且剩余期限较短，本公司以其票面余额确定其公允价值。</w:t>
          </w:r>
        </w:p>
      </w:sdtContent>
    </w:sdt>
    <w:p w:rsidR="00156DD6" w:rsidRDefault="00D51F5F">
      <w:pPr>
        <w:pStyle w:val="TOC6"/>
        <w:numPr>
          <w:ilvl w:val="0"/>
          <w:numId w:val="96"/>
        </w:numPr>
        <w:rPr>
          <w:rFonts w:ascii="宋体" w:hAnsi="宋体"/>
          <w:color w:val="000000" w:themeColor="text1"/>
          <w:sz w:val="21"/>
          <w:szCs w:val="21"/>
        </w:rPr>
      </w:pPr>
      <w:r>
        <w:rPr>
          <w:rFonts w:ascii="宋体" w:hAnsi="宋体" w:hint="eastAsia"/>
          <w:color w:val="000000" w:themeColor="text1"/>
          <w:sz w:val="21"/>
          <w:szCs w:val="21"/>
        </w:rPr>
        <w:t>持续的第三层次公允价值计量项目，期初与期末账面价值间的调节信息及不可观察参数敏感性分析</w:t>
      </w:r>
    </w:p>
    <w:sdt>
      <w:sdtPr>
        <w:rPr>
          <w:rFonts w:hint="eastAsia"/>
          <w:color w:val="000000" w:themeColor="text1"/>
        </w:rPr>
        <w:alias w:val="是否适用：持续的第三层次公允价值计量项目，期初与期末账面价值间的调节信息及不可观察参数敏感性分析[双击切换]"/>
        <w:tag w:val="_GBC_fbb80659fa8c4cbba85b32b2b514495c"/>
        <w:id w:val="-27656059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6"/>
        </w:numPr>
        <w:rPr>
          <w:rFonts w:ascii="宋体" w:hAnsi="宋体"/>
          <w:color w:val="000000" w:themeColor="text1"/>
          <w:sz w:val="21"/>
          <w:szCs w:val="21"/>
        </w:rPr>
      </w:pPr>
      <w:r>
        <w:rPr>
          <w:rFonts w:ascii="宋体" w:hAnsi="宋体" w:hint="eastAsia"/>
          <w:color w:val="000000" w:themeColor="text1"/>
          <w:sz w:val="21"/>
          <w:szCs w:val="21"/>
        </w:rPr>
        <w:t>持续的公允价值计量项目，本期内发生各层级之间转换的，转换的原因及确定转换时点的政策</w:t>
      </w:r>
    </w:p>
    <w:sdt>
      <w:sdtPr>
        <w:rPr>
          <w:rFonts w:hint="eastAsia"/>
          <w:color w:val="000000" w:themeColor="text1"/>
        </w:rPr>
        <w:alias w:val="是否适用：持续的公允价值计量项目，本期内发生各层级之间转换的，转换的原因及确定转换时点的政策[双击切换]"/>
        <w:tag w:val="_GBC_e3d16a79a58242bc9c7be1f3a6f00898"/>
        <w:id w:val="148697541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6"/>
        </w:numPr>
        <w:rPr>
          <w:rFonts w:ascii="宋体" w:hAnsi="宋体"/>
          <w:color w:val="000000" w:themeColor="text1"/>
          <w:sz w:val="21"/>
          <w:szCs w:val="21"/>
        </w:rPr>
      </w:pPr>
      <w:r>
        <w:rPr>
          <w:rFonts w:ascii="宋体" w:hAnsi="宋体" w:hint="eastAsia"/>
          <w:color w:val="000000" w:themeColor="text1"/>
          <w:sz w:val="21"/>
          <w:szCs w:val="21"/>
        </w:rPr>
        <w:t>本期内发生的估值技术变更及变更原因</w:t>
      </w:r>
    </w:p>
    <w:sdt>
      <w:sdtPr>
        <w:rPr>
          <w:color w:val="000000" w:themeColor="text1"/>
        </w:rPr>
        <w:alias w:val="是否适用：本期内发生的估值技术变更及变更原因[双击切换]"/>
        <w:tag w:val="_GBC_b070160060a9485c87417fe5a8b5e02f"/>
        <w:id w:val="149707264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6"/>
        </w:numPr>
        <w:rPr>
          <w:rFonts w:ascii="宋体" w:hAnsi="宋体"/>
          <w:color w:val="000000" w:themeColor="text1"/>
          <w:sz w:val="21"/>
          <w:szCs w:val="21"/>
        </w:rPr>
      </w:pPr>
      <w:r>
        <w:rPr>
          <w:rFonts w:ascii="宋体" w:hAnsi="宋体" w:hint="eastAsia"/>
          <w:color w:val="000000" w:themeColor="text1"/>
          <w:sz w:val="21"/>
          <w:szCs w:val="21"/>
        </w:rPr>
        <w:t>不以公允价值计量的金融资产和金融负债的公允价值情况</w:t>
      </w:r>
    </w:p>
    <w:sdt>
      <w:sdtPr>
        <w:rPr>
          <w:rFonts w:cstheme="minorBidi" w:hint="eastAsia"/>
          <w:color w:val="000000" w:themeColor="text1"/>
        </w:rPr>
        <w:alias w:val="是否适用：不以公允价值计量的金融资产和金融负债的公允价值情况[双击切换]"/>
        <w:tag w:val="_GBC_848a058035fb408c922e66294e86defb"/>
        <w:id w:val="-53470839"/>
        <w:placeholder>
          <w:docPart w:val="GBC22222222222222222222222222222"/>
        </w:placeholder>
      </w:sdtPr>
      <w:sdtEndPr/>
      <w:sdtContent>
        <w:p w:rsidR="00156DD6" w:rsidRDefault="00D51F5F">
          <w:pPr>
            <w:rPr>
              <w:rFonts w:cstheme="minorBidi"/>
              <w:color w:val="000000" w:themeColor="text1"/>
            </w:rPr>
          </w:pP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√适用</w:instrText>
          </w:r>
          <w:r>
            <w:rPr>
              <w:rFonts w:cstheme="minorBidi" w:hint="eastAsia"/>
              <w:color w:val="000000" w:themeColor="text1"/>
            </w:rPr>
            <w:instrText xml:space="preserve"> </w:instrText>
          </w:r>
          <w:r>
            <w:rPr>
              <w:rFonts w:cstheme="minorBidi"/>
              <w:color w:val="000000" w:themeColor="text1"/>
            </w:rPr>
            <w:fldChar w:fldCharType="end"/>
          </w:r>
          <w:r>
            <w:rPr>
              <w:rFonts w:cstheme="minorBidi"/>
              <w:color w:val="000000" w:themeColor="text1"/>
            </w:rPr>
            <w:fldChar w:fldCharType="begin"/>
          </w:r>
          <w:r>
            <w:rPr>
              <w:rFonts w:cstheme="minorBidi" w:hint="eastAsia"/>
              <w:color w:val="000000" w:themeColor="text1"/>
            </w:rPr>
            <w:instrText xml:space="preserve"> MACROBUTTON  SnrToggleCheckbox </w:instrText>
          </w:r>
          <w:r>
            <w:rPr>
              <w:rFonts w:cstheme="minorBidi" w:hint="eastAsia"/>
              <w:color w:val="000000" w:themeColor="text1"/>
            </w:rPr>
            <w:instrText>□不适用</w:instrText>
          </w:r>
          <w:r>
            <w:rPr>
              <w:rFonts w:cstheme="minorBidi" w:hint="eastAsia"/>
              <w:color w:val="000000" w:themeColor="text1"/>
            </w:rPr>
            <w:instrText xml:space="preserve"> </w:instrText>
          </w:r>
          <w:r>
            <w:rPr>
              <w:rFonts w:cstheme="minorBidi"/>
              <w:color w:val="000000" w:themeColor="text1"/>
            </w:rPr>
            <w:fldChar w:fldCharType="end"/>
          </w:r>
        </w:p>
      </w:sdtContent>
    </w:sdt>
    <w:sdt>
      <w:sdtPr>
        <w:rPr>
          <w:rFonts w:hint="eastAsia"/>
          <w:color w:val="000000" w:themeColor="text1"/>
        </w:rPr>
        <w:alias w:val="不以公允价值计量的金融资产和金融负债的公允价值情况"/>
        <w:tag w:val="_GBC_b98a8914aa7341d8811e287268440b08"/>
        <w:id w:val="-202093947"/>
      </w:sdtPr>
      <w:sdtEndPr>
        <w:rPr>
          <w:rFonts w:cstheme="minorBidi" w:hint="default"/>
        </w:rPr>
      </w:sdtEndPr>
      <w:sdtContent>
        <w:p w:rsidR="00156DD6" w:rsidRDefault="00D51F5F">
          <w:pPr>
            <w:spacing w:line="360" w:lineRule="exact"/>
            <w:ind w:firstLineChars="200" w:firstLine="420"/>
            <w:rPr>
              <w:rFonts w:cstheme="minorBidi"/>
              <w:color w:val="000000" w:themeColor="text1"/>
            </w:rPr>
          </w:pPr>
          <w:r>
            <w:rPr>
              <w:rFonts w:hint="eastAsia"/>
              <w:color w:val="000000" w:themeColor="text1"/>
            </w:rPr>
            <w:t>不以公允价值计量的金融资产和负债主要包括：应收款项、短期借款、应付款项、一年内到期的非流动负债和长期借款等。</w:t>
          </w:r>
        </w:p>
      </w:sdtContent>
    </w:sdt>
    <w:p w:rsidR="00156DD6" w:rsidRDefault="00D51F5F">
      <w:pPr>
        <w:pStyle w:val="TOC6"/>
        <w:numPr>
          <w:ilvl w:val="0"/>
          <w:numId w:val="96"/>
        </w:numPr>
        <w:rPr>
          <w:rFonts w:ascii="宋体" w:hAnsi="宋体"/>
          <w:color w:val="000000" w:themeColor="text1"/>
          <w:sz w:val="21"/>
          <w:szCs w:val="21"/>
        </w:rPr>
      </w:pPr>
      <w:r>
        <w:rPr>
          <w:rFonts w:ascii="宋体" w:hAnsi="宋体" w:hint="eastAsia"/>
          <w:color w:val="000000" w:themeColor="text1"/>
          <w:sz w:val="21"/>
          <w:szCs w:val="21"/>
        </w:rPr>
        <w:t>其他</w:t>
      </w:r>
    </w:p>
    <w:sdt>
      <w:sdtPr>
        <w:rPr>
          <w:rFonts w:hint="eastAsia"/>
          <w:color w:val="000000" w:themeColor="text1"/>
        </w:rPr>
        <w:alias w:val="是否适用：公允价值其他需要披露的事项[双击切换]"/>
        <w:tag w:val="_GBC_9174a0e7dec04e80924ee384dabe783a"/>
        <w:id w:val="45329039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关联方及关联交易</w:t>
      </w:r>
    </w:p>
    <w:p w:rsidR="00156DD6" w:rsidRDefault="00D51F5F">
      <w:pPr>
        <w:pStyle w:val="TOC6"/>
        <w:numPr>
          <w:ilvl w:val="0"/>
          <w:numId w:val="97"/>
        </w:numPr>
        <w:rPr>
          <w:rFonts w:ascii="宋体" w:hAnsi="宋体"/>
          <w:color w:val="000000" w:themeColor="text1"/>
          <w:sz w:val="21"/>
          <w:szCs w:val="21"/>
        </w:rPr>
      </w:pPr>
      <w:r>
        <w:rPr>
          <w:rFonts w:ascii="宋体" w:hAnsi="宋体" w:hint="eastAsia"/>
          <w:color w:val="000000" w:themeColor="text1"/>
          <w:sz w:val="21"/>
          <w:szCs w:val="21"/>
        </w:rPr>
        <w:t>本企业的母公司情况</w:t>
      </w:r>
    </w:p>
    <w:sdt>
      <w:sdtPr>
        <w:rPr>
          <w:color w:val="000000" w:themeColor="text1"/>
        </w:rPr>
        <w:alias w:val="是否适用：本企业的母公司情况[双击切换]"/>
        <w:tag w:val="_GBC_ead7e4ec9cc847adb62aa8efd8005802"/>
        <w:id w:val="-16442668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7"/>
        </w:numPr>
        <w:rPr>
          <w:rFonts w:ascii="宋体" w:hAnsi="宋体"/>
          <w:color w:val="000000" w:themeColor="text1"/>
          <w:sz w:val="21"/>
          <w:szCs w:val="21"/>
        </w:rPr>
      </w:pPr>
      <w:r>
        <w:rPr>
          <w:rFonts w:ascii="宋体" w:hAnsi="宋体" w:hint="eastAsia"/>
          <w:color w:val="000000" w:themeColor="text1"/>
          <w:sz w:val="21"/>
          <w:szCs w:val="21"/>
        </w:rPr>
        <w:t>本企业的子公司情况</w:t>
      </w:r>
    </w:p>
    <w:p w:rsidR="00156DD6" w:rsidRDefault="00D51F5F">
      <w:pPr>
        <w:rPr>
          <w:color w:val="000000" w:themeColor="text1"/>
        </w:rPr>
      </w:pPr>
      <w:r>
        <w:rPr>
          <w:rFonts w:hint="eastAsia"/>
          <w:color w:val="000000" w:themeColor="text1"/>
        </w:rPr>
        <w:t>本企业子公司的情况详见附注</w:t>
      </w:r>
    </w:p>
    <w:sdt>
      <w:sdtPr>
        <w:rPr>
          <w:color w:val="000000" w:themeColor="text1"/>
        </w:rPr>
        <w:alias w:val="是否适用：本公司的子公司情况详见附注[双击切换]"/>
        <w:tag w:val="_GBC_a8d551b9f62149d3bf9322adae2c671f"/>
        <w:id w:val="-159454466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rFonts w:hint="eastAsia"/>
          <w:color w:val="000000" w:themeColor="text1"/>
        </w:rPr>
        <w:alias w:val="本公司的子公司情况详见附注"/>
        <w:tag w:val="_GBC_bb3e2669c3cc45d0a6637b1809087708"/>
        <w:id w:val="-1277093545"/>
        <w:placeholder>
          <w:docPart w:val="GBC22222222222222222222222222222"/>
        </w:placeholder>
      </w:sdtPr>
      <w:sdtEndPr/>
      <w:sdtContent>
        <w:p w:rsidR="00156DD6" w:rsidRDefault="00D51F5F">
          <w:pPr>
            <w:rPr>
              <w:color w:val="000000" w:themeColor="text1"/>
            </w:rPr>
          </w:pPr>
          <w:r>
            <w:rPr>
              <w:rFonts w:hint="eastAsia"/>
              <w:color w:val="000000" w:themeColor="text1"/>
            </w:rPr>
            <w:t>本企业子公司的情况详见本报告“第八节</w:t>
          </w:r>
          <w:r>
            <w:rPr>
              <w:rFonts w:hint="eastAsia"/>
              <w:color w:val="000000" w:themeColor="text1"/>
            </w:rPr>
            <w:t>.</w:t>
          </w:r>
          <w:r>
            <w:rPr>
              <w:rFonts w:hint="eastAsia"/>
              <w:color w:val="000000" w:themeColor="text1"/>
            </w:rPr>
            <w:t>十、在其他主体中的权益”。</w:t>
          </w:r>
        </w:p>
      </w:sdtContent>
    </w:sdt>
    <w:p w:rsidR="00156DD6" w:rsidRDefault="00D51F5F">
      <w:pPr>
        <w:pStyle w:val="TOC6"/>
        <w:numPr>
          <w:ilvl w:val="0"/>
          <w:numId w:val="97"/>
        </w:numPr>
        <w:rPr>
          <w:rFonts w:ascii="宋体" w:hAnsi="宋体"/>
          <w:color w:val="000000" w:themeColor="text1"/>
          <w:sz w:val="21"/>
          <w:szCs w:val="21"/>
        </w:rPr>
      </w:pPr>
      <w:r>
        <w:rPr>
          <w:rFonts w:ascii="宋体" w:hAnsi="宋体" w:hint="eastAsia"/>
          <w:color w:val="000000" w:themeColor="text1"/>
          <w:sz w:val="21"/>
          <w:szCs w:val="21"/>
        </w:rPr>
        <w:t>本企业合营和联营企业情况</w:t>
      </w:r>
    </w:p>
    <w:p w:rsidR="00156DD6" w:rsidRDefault="00D51F5F">
      <w:pPr>
        <w:rPr>
          <w:color w:val="000000" w:themeColor="text1"/>
        </w:rPr>
      </w:pPr>
      <w:r>
        <w:rPr>
          <w:rFonts w:hint="eastAsia"/>
          <w:color w:val="000000" w:themeColor="text1"/>
        </w:rPr>
        <w:t>本企业重要的合营或联营企业详见附注</w:t>
      </w:r>
    </w:p>
    <w:sdt>
      <w:sdtPr>
        <w:rPr>
          <w:color w:val="000000" w:themeColor="text1"/>
        </w:rPr>
        <w:alias w:val="是否适用：本企业重要的合营或联营企业详见附注[双击切换]"/>
        <w:tag w:val="_GBC_2a369d3377e94598b2a744dfe59973e2"/>
        <w:id w:val="194965818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本期与本公司发生关联方交易，或前期与本公司发生关联方交易形成余额的其他合营或联营企业情况如下</w:t>
      </w:r>
    </w:p>
    <w:sdt>
      <w:sdtPr>
        <w:rPr>
          <w:color w:val="000000" w:themeColor="text1"/>
        </w:rPr>
        <w:alias w:val="是否适用：本期与本公司发生关联方交易，或前期与本公司发生关联方交易形成余额的其他合营或联营企业情况如下[双击切换]"/>
        <w:tag w:val="_GBC_cab97913a7cc4573b25c34077eadbc4c"/>
        <w:id w:val="205966205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4937"/>
      </w:tblGrid>
      <w:tr w:rsidR="00156DD6">
        <w:trPr>
          <w:trHeight w:val="284"/>
        </w:trPr>
        <w:sdt>
          <w:sdtPr>
            <w:tag w:val="_PLD_e5c009b9730d40bc93f36e5e672cbe84"/>
            <w:id w:val="-1857955343"/>
          </w:sdtPr>
          <w:sdtEndPr/>
          <w:sdtContent>
            <w:tc>
              <w:tcPr>
                <w:tcW w:w="2202" w:type="pct"/>
                <w:tcBorders>
                  <w:top w:val="single" w:sz="4" w:space="0" w:color="auto"/>
                  <w:left w:val="single" w:sz="4" w:space="0" w:color="auto"/>
                  <w:bottom w:val="single" w:sz="4" w:space="0" w:color="auto"/>
                  <w:right w:val="single" w:sz="4" w:space="0" w:color="auto"/>
                </w:tcBorders>
              </w:tcPr>
              <w:p w:rsidR="00156DD6" w:rsidRDefault="00D51F5F">
                <w:pPr>
                  <w:jc w:val="center"/>
                  <w:rPr>
                    <w:rFonts w:cs="Cambria"/>
                    <w:color w:val="000000" w:themeColor="text1"/>
                  </w:rPr>
                </w:pPr>
                <w:r>
                  <w:rPr>
                    <w:rFonts w:cs="Cambria" w:hint="eastAsia"/>
                    <w:color w:val="000000" w:themeColor="text1"/>
                  </w:rPr>
                  <w:t>合营或联营企业名称</w:t>
                </w:r>
              </w:p>
            </w:tc>
          </w:sdtContent>
        </w:sdt>
        <w:sdt>
          <w:sdtPr>
            <w:tag w:val="_PLD_84c60036e8b849288542661d1d1b9890"/>
            <w:id w:val="1472869416"/>
          </w:sdtPr>
          <w:sdtEndPr/>
          <w:sdtContent>
            <w:tc>
              <w:tcPr>
                <w:tcW w:w="2798" w:type="pct"/>
                <w:tcBorders>
                  <w:top w:val="single" w:sz="4" w:space="0" w:color="auto"/>
                  <w:left w:val="single" w:sz="4" w:space="0" w:color="auto"/>
                  <w:bottom w:val="single" w:sz="4" w:space="0" w:color="auto"/>
                  <w:right w:val="single" w:sz="4" w:space="0" w:color="auto"/>
                </w:tcBorders>
              </w:tcPr>
              <w:p w:rsidR="00156DD6" w:rsidRDefault="00D51F5F">
                <w:pPr>
                  <w:jc w:val="center"/>
                  <w:rPr>
                    <w:rFonts w:cs="Cambria"/>
                    <w:color w:val="000000" w:themeColor="text1"/>
                  </w:rPr>
                </w:pPr>
                <w:r>
                  <w:rPr>
                    <w:rFonts w:cs="Cambria" w:hint="eastAsia"/>
                    <w:color w:val="000000" w:themeColor="text1"/>
                  </w:rPr>
                  <w:t>与本企业关系</w:t>
                </w:r>
              </w:p>
            </w:tc>
          </w:sdtContent>
        </w:sdt>
      </w:tr>
      <w:tr w:rsidR="00156DD6">
        <w:trPr>
          <w:trHeight w:val="250"/>
        </w:trPr>
        <w:tc>
          <w:tcPr>
            <w:tcW w:w="2202" w:type="pct"/>
            <w:tcBorders>
              <w:top w:val="single" w:sz="4" w:space="0" w:color="auto"/>
              <w:left w:val="single" w:sz="4" w:space="0" w:color="auto"/>
              <w:bottom w:val="single" w:sz="4" w:space="0" w:color="auto"/>
              <w:right w:val="single" w:sz="4" w:space="0" w:color="auto"/>
            </w:tcBorders>
          </w:tcPr>
          <w:p w:rsidR="00156DD6" w:rsidRDefault="00D51F5F">
            <w:pPr>
              <w:pStyle w:val="Style43"/>
              <w:rPr>
                <w:rFonts w:ascii="宋体" w:hAnsi="宋体" w:cs="宋体"/>
                <w:bCs/>
                <w:sz w:val="21"/>
                <w:szCs w:val="21"/>
              </w:rPr>
            </w:pPr>
            <w:r>
              <w:rPr>
                <w:rFonts w:ascii="宋体" w:hAnsi="宋体" w:cs="宋体"/>
                <w:bCs/>
                <w:sz w:val="21"/>
                <w:szCs w:val="21"/>
              </w:rPr>
              <w:t>重庆能投长寿经开区售电有限公司</w:t>
            </w:r>
          </w:p>
        </w:tc>
        <w:tc>
          <w:tcPr>
            <w:tcW w:w="2798" w:type="pct"/>
            <w:tcBorders>
              <w:top w:val="single" w:sz="4" w:space="0" w:color="auto"/>
              <w:left w:val="single" w:sz="4" w:space="0" w:color="auto"/>
              <w:bottom w:val="single" w:sz="4" w:space="0" w:color="auto"/>
              <w:right w:val="single" w:sz="4" w:space="0" w:color="auto"/>
            </w:tcBorders>
          </w:tcPr>
          <w:p w:rsidR="00156DD6" w:rsidRDefault="00D51F5F">
            <w:pPr>
              <w:pStyle w:val="Style43"/>
              <w:rPr>
                <w:rFonts w:ascii="宋体" w:hAnsi="宋体" w:cs="宋体"/>
                <w:bCs/>
                <w:sz w:val="21"/>
                <w:szCs w:val="21"/>
              </w:rPr>
            </w:pPr>
            <w:bookmarkStart w:id="461" w:name="OLE_LINK41"/>
            <w:r>
              <w:rPr>
                <w:rFonts w:ascii="宋体" w:hAnsi="宋体" w:cs="宋体"/>
                <w:bCs/>
                <w:sz w:val="21"/>
                <w:szCs w:val="21"/>
              </w:rPr>
              <w:t>联营企业</w:t>
            </w:r>
            <w:bookmarkEnd w:id="461"/>
          </w:p>
        </w:tc>
      </w:tr>
      <w:tr w:rsidR="00156DD6">
        <w:trPr>
          <w:trHeight w:val="250"/>
        </w:trPr>
        <w:tc>
          <w:tcPr>
            <w:tcW w:w="2202" w:type="pct"/>
            <w:tcBorders>
              <w:top w:val="single" w:sz="4" w:space="0" w:color="auto"/>
              <w:left w:val="single" w:sz="4" w:space="0" w:color="auto"/>
              <w:bottom w:val="single" w:sz="4" w:space="0" w:color="auto"/>
              <w:right w:val="single" w:sz="4" w:space="0" w:color="auto"/>
            </w:tcBorders>
          </w:tcPr>
          <w:p w:rsidR="00156DD6" w:rsidRDefault="00D51F5F">
            <w:pPr>
              <w:pStyle w:val="Style43"/>
              <w:rPr>
                <w:rFonts w:ascii="宋体" w:hAnsi="宋体" w:cs="宋体"/>
                <w:bCs/>
                <w:sz w:val="21"/>
                <w:szCs w:val="21"/>
              </w:rPr>
            </w:pPr>
            <w:r>
              <w:rPr>
                <w:rFonts w:ascii="宋体" w:hAnsi="宋体" w:cs="宋体" w:hint="eastAsia"/>
                <w:bCs/>
                <w:sz w:val="21"/>
                <w:szCs w:val="21"/>
              </w:rPr>
              <w:t>深圳南海电气科技有限公司</w:t>
            </w:r>
          </w:p>
        </w:tc>
        <w:tc>
          <w:tcPr>
            <w:tcW w:w="2798" w:type="pct"/>
            <w:tcBorders>
              <w:top w:val="single" w:sz="4" w:space="0" w:color="auto"/>
              <w:left w:val="single" w:sz="4" w:space="0" w:color="auto"/>
              <w:bottom w:val="single" w:sz="4" w:space="0" w:color="auto"/>
              <w:right w:val="single" w:sz="4" w:space="0" w:color="auto"/>
            </w:tcBorders>
          </w:tcPr>
          <w:p w:rsidR="00156DD6" w:rsidRDefault="00D51F5F">
            <w:pPr>
              <w:pStyle w:val="Style43"/>
              <w:rPr>
                <w:rFonts w:ascii="宋体" w:hAnsi="宋体" w:cs="宋体"/>
                <w:bCs/>
                <w:sz w:val="21"/>
                <w:szCs w:val="21"/>
              </w:rPr>
            </w:pPr>
            <w:r>
              <w:rPr>
                <w:rFonts w:ascii="宋体" w:hAnsi="宋体" w:cs="宋体" w:hint="eastAsia"/>
                <w:bCs/>
                <w:sz w:val="21"/>
                <w:szCs w:val="21"/>
              </w:rPr>
              <w:t>联营企业</w:t>
            </w:r>
          </w:p>
        </w:tc>
      </w:tr>
    </w:tbl>
    <w:p w:rsidR="00156DD6" w:rsidRDefault="00D51F5F">
      <w:pPr>
        <w:tabs>
          <w:tab w:val="left" w:pos="1134"/>
        </w:tabs>
        <w:rPr>
          <w:rFonts w:cs="Cambria"/>
          <w:color w:val="000000" w:themeColor="text1"/>
        </w:rPr>
      </w:pPr>
      <w:r>
        <w:rPr>
          <w:rFonts w:cs="Cambria" w:hint="eastAsia"/>
          <w:color w:val="000000" w:themeColor="text1"/>
        </w:rPr>
        <w:t>其他说明</w:t>
      </w:r>
    </w:p>
    <w:sdt>
      <w:sdtPr>
        <w:rPr>
          <w:rFonts w:cs="Cambria"/>
          <w:color w:val="000000" w:themeColor="text1"/>
        </w:rPr>
        <w:alias w:val="是否适用：存在关联方交易或余额的合营和联营企业情况说明[双击切换]"/>
        <w:tag w:val="_GBC_6d56e8a9eaca4f499d758b2eb96268bf"/>
        <w:id w:val="1092362706"/>
        <w:placeholder>
          <w:docPart w:val="GBC22222222222222222222222222222"/>
        </w:placeholder>
      </w:sdtPr>
      <w:sdtEndPr/>
      <w:sdtContent>
        <w:p w:rsidR="00156DD6" w:rsidRDefault="00D51F5F">
          <w:pPr>
            <w:tabs>
              <w:tab w:val="left" w:pos="1134"/>
            </w:tabs>
            <w:rPr>
              <w:rFonts w:cs="Cambria"/>
              <w:color w:val="000000" w:themeColor="text1"/>
            </w:rPr>
          </w:pP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□适用</w:instrText>
          </w:r>
          <w:r>
            <w:rPr>
              <w:rFonts w:cs="Cambria" w:hint="eastAsia"/>
              <w:color w:val="000000" w:themeColor="text1"/>
            </w:rPr>
            <w:instrText xml:space="preserve"> </w:instrText>
          </w:r>
          <w:r>
            <w:rPr>
              <w:rFonts w:cs="Cambria"/>
              <w:color w:val="000000" w:themeColor="text1"/>
            </w:rPr>
            <w:fldChar w:fldCharType="end"/>
          </w: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√不适用</w:instrText>
          </w:r>
          <w:r>
            <w:rPr>
              <w:rFonts w:cs="Cambria" w:hint="eastAsia"/>
              <w:color w:val="000000" w:themeColor="text1"/>
            </w:rPr>
            <w:instrText xml:space="preserve"> </w:instrText>
          </w:r>
          <w:r>
            <w:rPr>
              <w:rFonts w:cs="Cambria"/>
              <w:color w:val="000000" w:themeColor="text1"/>
            </w:rPr>
            <w:fldChar w:fldCharType="end"/>
          </w:r>
        </w:p>
      </w:sdtContent>
    </w:sdt>
    <w:p w:rsidR="00156DD6" w:rsidRDefault="00D51F5F">
      <w:pPr>
        <w:pStyle w:val="TOC6"/>
        <w:numPr>
          <w:ilvl w:val="0"/>
          <w:numId w:val="97"/>
        </w:numPr>
        <w:rPr>
          <w:rFonts w:ascii="宋体" w:hAnsi="宋体"/>
          <w:color w:val="000000" w:themeColor="text1"/>
          <w:sz w:val="21"/>
          <w:szCs w:val="36"/>
        </w:rPr>
      </w:pPr>
      <w:r>
        <w:rPr>
          <w:rFonts w:ascii="宋体" w:hAnsi="宋体" w:hint="eastAsia"/>
          <w:color w:val="000000" w:themeColor="text1"/>
          <w:sz w:val="21"/>
          <w:szCs w:val="36"/>
        </w:rPr>
        <w:t>其他关联方情况</w:t>
      </w:r>
    </w:p>
    <w:sdt>
      <w:sdtPr>
        <w:rPr>
          <w:color w:val="000000" w:themeColor="text1"/>
        </w:rPr>
        <w:alias w:val="是否适用：其他关联方情况[双击切换]"/>
        <w:tag w:val="_GBC_f9c029ef57734babb6375a74af1e3736"/>
        <w:id w:val="-114418795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4944"/>
      </w:tblGrid>
      <w:tr w:rsidR="00156DD6">
        <w:trPr>
          <w:trHeight w:val="267"/>
        </w:trPr>
        <w:sdt>
          <w:sdtPr>
            <w:tag w:val="_PLD_8fe00abbc9b249a98b2e3ac6b12f12db"/>
            <w:id w:val="-950086518"/>
          </w:sdtPr>
          <w:sdtEndPr/>
          <w:sdtContent>
            <w:tc>
              <w:tcPr>
                <w:tcW w:w="2198" w:type="pct"/>
                <w:tcBorders>
                  <w:top w:val="single" w:sz="4" w:space="0" w:color="auto"/>
                  <w:left w:val="single" w:sz="4" w:space="0" w:color="auto"/>
                  <w:bottom w:val="single" w:sz="4" w:space="0" w:color="auto"/>
                  <w:right w:val="single" w:sz="4" w:space="0" w:color="auto"/>
                </w:tcBorders>
              </w:tcPr>
              <w:p w:rsidR="00156DD6" w:rsidRDefault="00D51F5F">
                <w:pPr>
                  <w:jc w:val="center"/>
                  <w:rPr>
                    <w:rFonts w:cs="Cambria"/>
                    <w:color w:val="000000" w:themeColor="text1"/>
                  </w:rPr>
                </w:pPr>
                <w:r>
                  <w:rPr>
                    <w:rFonts w:cs="Cambria" w:hint="eastAsia"/>
                    <w:color w:val="000000" w:themeColor="text1"/>
                  </w:rPr>
                  <w:t>其他关联方名称</w:t>
                </w:r>
              </w:p>
            </w:tc>
          </w:sdtContent>
        </w:sdt>
        <w:sdt>
          <w:sdtPr>
            <w:tag w:val="_PLD_c1304840da1e482f80286e0c7ca19002"/>
            <w:id w:val="349849080"/>
          </w:sdtPr>
          <w:sdtEndPr/>
          <w:sdtContent>
            <w:tc>
              <w:tcPr>
                <w:tcW w:w="2802" w:type="pct"/>
                <w:tcBorders>
                  <w:top w:val="single" w:sz="4" w:space="0" w:color="auto"/>
                  <w:left w:val="single" w:sz="4" w:space="0" w:color="auto"/>
                  <w:bottom w:val="single" w:sz="4" w:space="0" w:color="auto"/>
                  <w:right w:val="single" w:sz="4" w:space="0" w:color="auto"/>
                </w:tcBorders>
              </w:tcPr>
              <w:p w:rsidR="00156DD6" w:rsidRDefault="00D51F5F">
                <w:pPr>
                  <w:jc w:val="center"/>
                  <w:rPr>
                    <w:rFonts w:cs="Cambria"/>
                    <w:color w:val="000000" w:themeColor="text1"/>
                  </w:rPr>
                </w:pPr>
                <w:r>
                  <w:rPr>
                    <w:rFonts w:cs="Cambria" w:hint="eastAsia"/>
                    <w:color w:val="000000" w:themeColor="text1"/>
                  </w:rPr>
                  <w:t>其他关联方与本企业关系</w:t>
                </w:r>
              </w:p>
            </w:tc>
          </w:sdtContent>
        </w:sdt>
      </w:tr>
      <w:tr w:rsidR="00156DD6">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156DD6" w:rsidRDefault="00D51F5F">
            <w:pPr>
              <w:rPr>
                <w:rFonts w:cs="Cambria"/>
              </w:rPr>
            </w:pPr>
            <w:r>
              <w:t>四川明珠电工材料有限责任公司</w:t>
            </w:r>
          </w:p>
        </w:tc>
        <w:bookmarkStart w:id="462" w:name="OLE_LINK36" w:displacedByCustomXml="next"/>
        <w:sdt>
          <w:sdtPr>
            <w:rPr>
              <w:rFonts w:cs="Cambria"/>
            </w:rPr>
            <w:alias w:val="本企业的其他关联方情况明细－其他关联方与本公司关系"/>
            <w:tag w:val="_GBC_2205fb8ea5f648b5a0c9e8e3f8499f9f"/>
            <w:id w:val="-163178575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156DD6" w:rsidRDefault="00D51F5F">
                <w:pPr>
                  <w:rPr>
                    <w:rFonts w:cs="Cambria"/>
                  </w:rPr>
                </w:pPr>
                <w:r>
                  <w:rPr>
                    <w:rFonts w:cs="Cambria"/>
                  </w:rPr>
                  <w:t>公司股东夏强（持有公司</w:t>
                </w:r>
                <w:r>
                  <w:rPr>
                    <w:rFonts w:cs="Cambria" w:hint="eastAsia"/>
                  </w:rPr>
                  <w:t>230.6</w:t>
                </w:r>
                <w:r>
                  <w:rPr>
                    <w:rFonts w:cs="Cambria"/>
                  </w:rPr>
                  <w:t>万股股票，占公司股份总数的</w:t>
                </w:r>
                <w:r>
                  <w:rPr>
                    <w:rFonts w:cs="Cambria"/>
                  </w:rPr>
                  <w:t>0.</w:t>
                </w:r>
                <w:r>
                  <w:rPr>
                    <w:rFonts w:cs="Cambria" w:hint="eastAsia"/>
                  </w:rPr>
                  <w:t>69</w:t>
                </w:r>
                <w:r>
                  <w:rPr>
                    <w:rFonts w:cs="Cambria"/>
                  </w:rPr>
                  <w:t>%</w:t>
                </w:r>
                <w:r>
                  <w:rPr>
                    <w:rFonts w:cs="Cambria"/>
                  </w:rPr>
                  <w:t>）持股</w:t>
                </w:r>
                <w:r>
                  <w:rPr>
                    <w:rFonts w:cs="Cambria"/>
                  </w:rPr>
                  <w:t>51%</w:t>
                </w:r>
                <w:r>
                  <w:rPr>
                    <w:rFonts w:cs="Cambria"/>
                  </w:rPr>
                  <w:t>并担任执行董事兼经理</w:t>
                </w:r>
              </w:p>
            </w:tc>
          </w:sdtContent>
        </w:sdt>
        <w:bookmarkEnd w:id="462"/>
      </w:tr>
    </w:tbl>
    <w:p w:rsidR="00156DD6" w:rsidRDefault="00D51F5F">
      <w:pPr>
        <w:tabs>
          <w:tab w:val="left" w:pos="1134"/>
        </w:tabs>
        <w:rPr>
          <w:rFonts w:cs="Cambria"/>
          <w:color w:val="000000" w:themeColor="text1"/>
        </w:rPr>
      </w:pPr>
      <w:r>
        <w:rPr>
          <w:rFonts w:cs="Cambria" w:hint="eastAsia"/>
          <w:color w:val="000000" w:themeColor="text1"/>
        </w:rPr>
        <w:t>其他说明</w:t>
      </w:r>
    </w:p>
    <w:sdt>
      <w:sdtPr>
        <w:rPr>
          <w:rFonts w:cs="Cambria"/>
          <w:color w:val="000000" w:themeColor="text1"/>
        </w:rPr>
        <w:alias w:val="本企业的其他关联方情况的说明"/>
        <w:tag w:val="_GBC_214bcb1375e347c4be22006f5cc854a9"/>
        <w:id w:val="811148825"/>
        <w:placeholder>
          <w:docPart w:val="GBC22222222222222222222222222222"/>
        </w:placeholder>
      </w:sdtPr>
      <w:sdtEndPr/>
      <w:sdtContent>
        <w:p w:rsidR="00156DD6" w:rsidRDefault="00D51F5F">
          <w:pPr>
            <w:tabs>
              <w:tab w:val="left" w:pos="1134"/>
            </w:tabs>
            <w:rPr>
              <w:rFonts w:cs="Cambria"/>
              <w:color w:val="000000" w:themeColor="text1"/>
            </w:rPr>
          </w:pPr>
          <w:r>
            <w:rPr>
              <w:rFonts w:cs="Cambria" w:hint="eastAsia"/>
              <w:color w:val="000000" w:themeColor="text1"/>
            </w:rPr>
            <w:t>无</w:t>
          </w:r>
        </w:p>
      </w:sdtContent>
    </w:sdt>
    <w:p w:rsidR="00156DD6" w:rsidRDefault="00D51F5F">
      <w:pPr>
        <w:pStyle w:val="TOC6"/>
        <w:numPr>
          <w:ilvl w:val="0"/>
          <w:numId w:val="97"/>
        </w:numPr>
        <w:rPr>
          <w:rFonts w:ascii="宋体" w:hAnsi="宋体"/>
          <w:color w:val="000000" w:themeColor="text1"/>
          <w:sz w:val="21"/>
          <w:szCs w:val="36"/>
        </w:rPr>
      </w:pPr>
      <w:r>
        <w:rPr>
          <w:rFonts w:ascii="宋体" w:hAnsi="宋体" w:hint="eastAsia"/>
          <w:color w:val="000000" w:themeColor="text1"/>
          <w:sz w:val="21"/>
          <w:szCs w:val="36"/>
        </w:rPr>
        <w:t>关联交易情况</w:t>
      </w:r>
    </w:p>
    <w:p w:rsidR="00156DD6" w:rsidRDefault="00D51F5F">
      <w:pPr>
        <w:pStyle w:val="Style47"/>
        <w:numPr>
          <w:ilvl w:val="0"/>
          <w:numId w:val="98"/>
        </w:numPr>
        <w:tabs>
          <w:tab w:val="left" w:pos="616"/>
        </w:tabs>
        <w:rPr>
          <w:rFonts w:ascii="宋体" w:hAnsi="宋体"/>
          <w:color w:val="000000" w:themeColor="text1"/>
          <w:sz w:val="21"/>
          <w:szCs w:val="32"/>
        </w:rPr>
      </w:pPr>
      <w:r>
        <w:rPr>
          <w:rFonts w:ascii="宋体" w:hAnsi="宋体" w:hint="eastAsia"/>
          <w:color w:val="000000" w:themeColor="text1"/>
          <w:sz w:val="21"/>
          <w:szCs w:val="32"/>
        </w:rPr>
        <w:t>购销商品、提供和接受劳务的关联交易</w:t>
      </w:r>
    </w:p>
    <w:p w:rsidR="00156DD6" w:rsidRDefault="00D51F5F">
      <w:pPr>
        <w:rPr>
          <w:color w:val="000000" w:themeColor="text1"/>
        </w:rPr>
      </w:pPr>
      <w:bookmarkStart w:id="463" w:name="_Hlk137124040"/>
      <w:r>
        <w:rPr>
          <w:rFonts w:hint="eastAsia"/>
          <w:color w:val="000000" w:themeColor="text1"/>
        </w:rPr>
        <w:t>采购商品</w:t>
      </w:r>
      <w:r>
        <w:rPr>
          <w:rFonts w:hint="eastAsia"/>
          <w:color w:val="000000" w:themeColor="text1"/>
        </w:rPr>
        <w:t>/</w:t>
      </w:r>
      <w:r>
        <w:rPr>
          <w:rFonts w:hint="eastAsia"/>
          <w:color w:val="000000" w:themeColor="text1"/>
        </w:rPr>
        <w:t>接受劳务情况表</w:t>
      </w:r>
    </w:p>
    <w:sdt>
      <w:sdtPr>
        <w:rPr>
          <w:color w:val="000000" w:themeColor="text1"/>
        </w:rPr>
        <w:alias w:val="是否适用：采购商品或接受劳务情况表[双击切换]"/>
        <w:tag w:val="_GBC_af7e43b831354837910c4edde708e04a"/>
        <w:id w:val="-79544807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rFonts w:cs="Cambria"/>
          <w:b/>
          <w:color w:val="000000" w:themeColor="text1"/>
        </w:rPr>
      </w:pPr>
      <w:r>
        <w:rPr>
          <w:rFonts w:cs="Cambria" w:hint="eastAsia"/>
          <w:color w:val="000000" w:themeColor="text1"/>
        </w:rPr>
        <w:t>单位：</w:t>
      </w:r>
      <w:sdt>
        <w:sdtPr>
          <w:rPr>
            <w:rFonts w:cs="Cambria" w:hint="eastAsia"/>
            <w:color w:val="000000" w:themeColor="text1"/>
          </w:rPr>
          <w:alias w:val="单位：采购商品接受劳务情况表"/>
          <w:tag w:val="_GBC_45ae86deace34388a904346eae355be1"/>
          <w:id w:val="17127630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color w:val="000000" w:themeColor="text1"/>
            </w:rPr>
            <w:t>元</w:t>
          </w:r>
        </w:sdtContent>
      </w:sdt>
      <w:r>
        <w:rPr>
          <w:rFonts w:cs="Cambria" w:hint="eastAsia"/>
          <w:color w:val="000000" w:themeColor="text1"/>
        </w:rPr>
        <w:t xml:space="preserve">  </w:t>
      </w:r>
      <w:r>
        <w:rPr>
          <w:rFonts w:cs="Cambria" w:hint="eastAsia"/>
          <w:color w:val="000000" w:themeColor="text1"/>
        </w:rPr>
        <w:t>币种：</w:t>
      </w:r>
      <w:sdt>
        <w:sdtPr>
          <w:rPr>
            <w:rFonts w:cs="Cambria" w:hint="eastAsia"/>
            <w:color w:val="000000" w:themeColor="text1"/>
          </w:rPr>
          <w:alias w:val="币种：采购商品接受劳务情况表"/>
          <w:tag w:val="_GBC_ac9ca64b68bd493da1d7e7c719a6104c"/>
          <w:id w:val="-3567385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45"/>
        <w:gridCol w:w="1419"/>
        <w:gridCol w:w="1581"/>
        <w:gridCol w:w="1410"/>
        <w:gridCol w:w="1487"/>
        <w:gridCol w:w="1581"/>
      </w:tblGrid>
      <w:tr w:rsidR="00156DD6">
        <w:trPr>
          <w:cantSplit/>
          <w:trHeight w:val="295"/>
        </w:trPr>
        <w:sdt>
          <w:sdtPr>
            <w:tag w:val="_PLD_c09a7dc97d494a8fb07056392e54876a"/>
            <w:id w:val="989522655"/>
          </w:sdtPr>
          <w:sdtEndPr/>
          <w:sdtContent>
            <w:tc>
              <w:tcPr>
                <w:tcW w:w="80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关联方</w:t>
                </w:r>
              </w:p>
            </w:tc>
          </w:sdtContent>
        </w:sdt>
        <w:sdt>
          <w:sdtPr>
            <w:tag w:val="_PLD_6f5fdab53c694e56963e5e189cd0c28d"/>
            <w:id w:val="-956181244"/>
          </w:sdtPr>
          <w:sdtEndPr/>
          <w:sdtContent>
            <w:tc>
              <w:tcPr>
                <w:tcW w:w="849"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关联交易内容</w:t>
                </w:r>
              </w:p>
            </w:tc>
          </w:sdtContent>
        </w:sdt>
        <w:sdt>
          <w:sdtPr>
            <w:tag w:val="_PLD_1237b998b2a64f30a674dff433b841b0"/>
            <w:id w:val="1929157008"/>
          </w:sdtPr>
          <w:sdtEndPr/>
          <w:sdtContent>
            <w:tc>
              <w:tcPr>
                <w:tcW w:w="807" w:type="pct"/>
                <w:tcBorders>
                  <w:top w:val="single" w:sz="4" w:space="0" w:color="auto"/>
                  <w:left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本期发生额</w:t>
                </w:r>
              </w:p>
            </w:tc>
          </w:sdtContent>
        </w:sdt>
        <w:sdt>
          <w:sdtPr>
            <w:tag w:val="_PLD_b1a311757d3a457e811c8d8ffb0b6ac0"/>
            <w:id w:val="2098675612"/>
          </w:sdtPr>
          <w:sdtEndPr/>
          <w:sdtContent>
            <w:tc>
              <w:tcPr>
                <w:tcW w:w="843" w:type="pc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获批的交易额度（如适用）</w:t>
                </w:r>
              </w:p>
            </w:tc>
          </w:sdtContent>
        </w:sdt>
        <w:sdt>
          <w:sdtPr>
            <w:tag w:val="_PLD_c145e8a0e9404dc7b7dab215447b876b"/>
            <w:id w:val="-1921867880"/>
          </w:sdtPr>
          <w:sdtEndPr>
            <w:rPr>
              <w:rFonts w:hint="eastAsia"/>
            </w:rPr>
          </w:sdtEndPr>
          <w:sdtContent>
            <w:tc>
              <w:tcPr>
                <w:tcW w:w="887" w:type="pc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color w:val="000000" w:themeColor="text1"/>
                  </w:rPr>
                  <w:t>是否超过交易额度</w:t>
                </w:r>
                <w:r>
                  <w:rPr>
                    <w:rFonts w:hint="eastAsia"/>
                    <w:color w:val="000000" w:themeColor="text1"/>
                  </w:rPr>
                  <w:t>（如适用）</w:t>
                </w:r>
              </w:p>
            </w:tc>
          </w:sdtContent>
        </w:sdt>
        <w:sdt>
          <w:sdtPr>
            <w:tag w:val="_PLD_f7d77ff6fdf642199e4c9fc12f00610d"/>
            <w:id w:val="-331529630"/>
          </w:sdtPr>
          <w:sdtEndPr/>
          <w:sdtContent>
            <w:tc>
              <w:tcPr>
                <w:tcW w:w="807" w:type="pct"/>
                <w:tcBorders>
                  <w:top w:val="single" w:sz="4" w:space="0" w:color="auto"/>
                  <w:left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上期发生额</w:t>
                </w:r>
              </w:p>
            </w:tc>
          </w:sdtContent>
        </w:sdt>
      </w:tr>
      <w:tr w:rsidR="00156DD6">
        <w:trPr>
          <w:cantSplit/>
        </w:trPr>
        <w:tc>
          <w:tcPr>
            <w:tcW w:w="807" w:type="pct"/>
            <w:tcBorders>
              <w:top w:val="single" w:sz="4" w:space="0" w:color="auto"/>
              <w:left w:val="single" w:sz="4" w:space="0" w:color="auto"/>
              <w:bottom w:val="single" w:sz="4" w:space="0" w:color="auto"/>
              <w:right w:val="single" w:sz="4" w:space="0" w:color="auto"/>
            </w:tcBorders>
          </w:tcPr>
          <w:p w:rsidR="00156DD6" w:rsidRDefault="00D51F5F">
            <w:pPr>
              <w:jc w:val="both"/>
            </w:pPr>
            <w:bookmarkStart w:id="464" w:name="_Hlk40536931"/>
            <w:r>
              <w:rPr>
                <w:rFonts w:hint="eastAsia"/>
              </w:rPr>
              <w:t>四川明珠电工材料有限责任公司</w:t>
            </w:r>
          </w:p>
        </w:tc>
        <w:tc>
          <w:tcPr>
            <w:tcW w:w="849"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rPr>
                <w:rFonts w:hint="eastAsia"/>
              </w:rPr>
              <w:t>采购原材料</w:t>
            </w:r>
          </w:p>
        </w:tc>
        <w:tc>
          <w:tcPr>
            <w:tcW w:w="80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25,244,787.03 </w:t>
            </w:r>
          </w:p>
        </w:tc>
        <w:tc>
          <w:tcPr>
            <w:tcW w:w="843"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7"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rPr>
                <w:color w:val="000000" w:themeColor="text1"/>
              </w:rPr>
            </w:pPr>
          </w:p>
        </w:tc>
        <w:tc>
          <w:tcPr>
            <w:tcW w:w="80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29,623,700.00 </w:t>
            </w:r>
          </w:p>
        </w:tc>
      </w:tr>
      <w:tr w:rsidR="00156DD6">
        <w:trPr>
          <w:cantSplit/>
        </w:trPr>
        <w:tc>
          <w:tcPr>
            <w:tcW w:w="807" w:type="pct"/>
            <w:tcBorders>
              <w:top w:val="single" w:sz="4" w:space="0" w:color="auto"/>
              <w:left w:val="single" w:sz="4" w:space="0" w:color="auto"/>
              <w:bottom w:val="single" w:sz="4" w:space="0" w:color="auto"/>
              <w:right w:val="single" w:sz="4" w:space="0" w:color="auto"/>
            </w:tcBorders>
          </w:tcPr>
          <w:p w:rsidR="00156DD6" w:rsidRDefault="00D51F5F">
            <w:pPr>
              <w:jc w:val="both"/>
            </w:pPr>
            <w:r>
              <w:rPr>
                <w:rFonts w:hint="eastAsia"/>
              </w:rPr>
              <w:t>重庆能投长寿经开区售电有限公司</w:t>
            </w:r>
          </w:p>
        </w:tc>
        <w:tc>
          <w:tcPr>
            <w:tcW w:w="849"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rPr>
                <w:rFonts w:hint="eastAsia"/>
              </w:rPr>
              <w:t>采购其他</w:t>
            </w:r>
          </w:p>
        </w:tc>
        <w:tc>
          <w:tcPr>
            <w:tcW w:w="80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10,000.00 </w:t>
            </w:r>
          </w:p>
        </w:tc>
        <w:tc>
          <w:tcPr>
            <w:tcW w:w="843"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887"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rPr>
                <w:color w:val="000000" w:themeColor="text1"/>
              </w:rPr>
            </w:pPr>
          </w:p>
        </w:tc>
        <w:tc>
          <w:tcPr>
            <w:tcW w:w="80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3,000.00 </w:t>
            </w:r>
          </w:p>
        </w:tc>
      </w:tr>
      <w:tr w:rsidR="00156DD6">
        <w:trPr>
          <w:cantSplit/>
        </w:trPr>
        <w:tc>
          <w:tcPr>
            <w:tcW w:w="80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合计</w:t>
            </w:r>
          </w:p>
        </w:tc>
        <w:tc>
          <w:tcPr>
            <w:tcW w:w="849" w:type="pct"/>
            <w:tcBorders>
              <w:top w:val="single" w:sz="4" w:space="0" w:color="auto"/>
              <w:left w:val="single" w:sz="4" w:space="0" w:color="auto"/>
              <w:bottom w:val="single" w:sz="4" w:space="0" w:color="auto"/>
              <w:right w:val="single" w:sz="4" w:space="0" w:color="auto"/>
            </w:tcBorders>
            <w:vAlign w:val="center"/>
          </w:tcPr>
          <w:p w:rsidR="00156DD6" w:rsidRDefault="00156DD6">
            <w:pPr>
              <w:jc w:val="both"/>
            </w:pPr>
          </w:p>
        </w:tc>
        <w:tc>
          <w:tcPr>
            <w:tcW w:w="807"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25,254,787.03 </w:t>
            </w:r>
          </w:p>
        </w:tc>
        <w:tc>
          <w:tcPr>
            <w:tcW w:w="843"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887" w:type="pct"/>
            <w:tcBorders>
              <w:top w:val="single" w:sz="4" w:space="0" w:color="auto"/>
              <w:left w:val="single" w:sz="4" w:space="0" w:color="auto"/>
              <w:bottom w:val="single" w:sz="4" w:space="0" w:color="auto"/>
              <w:right w:val="single" w:sz="4" w:space="0" w:color="auto"/>
            </w:tcBorders>
          </w:tcPr>
          <w:p w:rsidR="00156DD6" w:rsidRDefault="00156DD6">
            <w:pPr>
              <w:jc w:val="right"/>
              <w:rPr>
                <w:color w:val="000000" w:themeColor="text1"/>
              </w:rPr>
            </w:pPr>
          </w:p>
        </w:tc>
        <w:tc>
          <w:tcPr>
            <w:tcW w:w="807"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29,626,700.00 </w:t>
            </w:r>
          </w:p>
        </w:tc>
      </w:tr>
    </w:tbl>
    <w:bookmarkEnd w:id="463"/>
    <w:bookmarkEnd w:id="464"/>
    <w:p w:rsidR="00156DD6" w:rsidRDefault="00D51F5F">
      <w:pPr>
        <w:ind w:rightChars="-369" w:right="-775"/>
        <w:rPr>
          <w:color w:val="000000" w:themeColor="text1"/>
        </w:rPr>
      </w:pPr>
      <w:r>
        <w:rPr>
          <w:rFonts w:hint="eastAsia"/>
          <w:color w:val="000000" w:themeColor="text1"/>
        </w:rPr>
        <w:t>出售商品</w:t>
      </w:r>
      <w:r>
        <w:rPr>
          <w:rFonts w:hint="eastAsia"/>
          <w:color w:val="000000" w:themeColor="text1"/>
        </w:rPr>
        <w:t>/</w:t>
      </w:r>
      <w:r>
        <w:rPr>
          <w:rFonts w:hint="eastAsia"/>
          <w:color w:val="000000" w:themeColor="text1"/>
        </w:rPr>
        <w:t>提供劳务情况表</w:t>
      </w:r>
    </w:p>
    <w:sdt>
      <w:sdtPr>
        <w:rPr>
          <w:color w:val="000000" w:themeColor="text1"/>
        </w:rPr>
        <w:alias w:val="是否适用：出售商品或提供劳务情况表[双击切换]"/>
        <w:tag w:val="_GBC_18ae630e2f3641959d3a9fc1a3f3ccf3"/>
        <w:id w:val="-139429747"/>
        <w:placeholder>
          <w:docPart w:val="GBC22222222222222222222222222222"/>
        </w:placeholder>
      </w:sdtPr>
      <w:sdtEndPr/>
      <w:sdtContent>
        <w:p w:rsidR="00156DD6" w:rsidRDefault="00D51F5F">
          <w:pPr>
            <w:ind w:rightChars="-369" w:right="-775"/>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tabs>
          <w:tab w:val="left" w:pos="3870"/>
        </w:tabs>
        <w:jc w:val="right"/>
        <w:rPr>
          <w:rFonts w:cs="Cambria"/>
          <w:color w:val="000000" w:themeColor="text1"/>
        </w:rPr>
      </w:pPr>
      <w:r>
        <w:rPr>
          <w:color w:val="000000" w:themeColor="text1"/>
        </w:rPr>
        <w:t>单位</w:t>
      </w:r>
      <w:r>
        <w:rPr>
          <w:rFonts w:hint="eastAsia"/>
          <w:color w:val="000000" w:themeColor="text1"/>
        </w:rPr>
        <w:t>：</w:t>
      </w:r>
      <w:sdt>
        <w:sdtPr>
          <w:rPr>
            <w:color w:val="000000" w:themeColor="text1"/>
          </w:rPr>
          <w:alias w:val="单位：出售商品提供劳务情况表"/>
          <w:tag w:val="_GBC_d53494f853ed4767a511f9c2c780c566"/>
          <w:id w:val="258797304"/>
          <w:comboBox>
            <w:listItem w:displayText="元" w:value="1"/>
            <w:listItem w:displayText="千元" w:value="1000"/>
            <w:listItem w:displayText="万元" w:value="10000"/>
            <w:listItem w:displayText="百万元" w:value="1000000"/>
            <w:listItem w:displayText="亿元" w:value="100000000"/>
          </w:comboBox>
        </w:sdtPr>
        <w:sdtEndPr/>
        <w:sdtContent>
          <w:r>
            <w:rPr>
              <w:color w:val="000000" w:themeColor="text1"/>
            </w:rPr>
            <w:t>元</w:t>
          </w:r>
        </w:sdtContent>
      </w:sdt>
      <w:r>
        <w:rPr>
          <w:color w:val="000000" w:themeColor="text1"/>
        </w:rPr>
        <w:t xml:space="preserve">  </w:t>
      </w:r>
      <w:r>
        <w:rPr>
          <w:color w:val="000000" w:themeColor="text1"/>
        </w:rPr>
        <w:t>币种：</w:t>
      </w:r>
      <w:sdt>
        <w:sdtPr>
          <w:rPr>
            <w:color w:val="000000" w:themeColor="text1"/>
          </w:rPr>
          <w:alias w:val="币种：出售商品提供劳务情况表"/>
          <w:tag w:val="_GBC_d298f57687684d2eafef1d8c13d51722"/>
          <w:id w:val="39523871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396"/>
        <w:gridCol w:w="2105"/>
        <w:gridCol w:w="2160"/>
        <w:gridCol w:w="2162"/>
      </w:tblGrid>
      <w:tr w:rsidR="00156DD6">
        <w:trPr>
          <w:cantSplit/>
          <w:trHeight w:val="273"/>
        </w:trPr>
        <w:sdt>
          <w:sdtPr>
            <w:tag w:val="_PLD_70510986aab647e99b00ba57c32e64cd"/>
            <w:id w:val="916601531"/>
          </w:sdtPr>
          <w:sdtEndPr/>
          <w:sdtContent>
            <w:tc>
              <w:tcPr>
                <w:tcW w:w="135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关联方</w:t>
                </w:r>
              </w:p>
            </w:tc>
          </w:sdtContent>
        </w:sdt>
        <w:sdt>
          <w:sdtPr>
            <w:tag w:val="_PLD_66da90262f3d401c8151235b4c6f5e93"/>
            <w:id w:val="1791707307"/>
          </w:sdtPr>
          <w:sdtEndPr/>
          <w:sdtContent>
            <w:tc>
              <w:tcPr>
                <w:tcW w:w="1193"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关联交易内容</w:t>
                </w:r>
              </w:p>
            </w:tc>
          </w:sdtContent>
        </w:sdt>
        <w:sdt>
          <w:sdtPr>
            <w:tag w:val="_PLD_09c424bd80324eb49dafea569ce1931b"/>
            <w:id w:val="640539944"/>
          </w:sdtPr>
          <w:sdtEndPr/>
          <w:sdtContent>
            <w:tc>
              <w:tcPr>
                <w:tcW w:w="1224" w:type="pct"/>
                <w:tcBorders>
                  <w:top w:val="single" w:sz="4" w:space="0" w:color="auto"/>
                  <w:left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本期发生额</w:t>
                </w:r>
              </w:p>
            </w:tc>
          </w:sdtContent>
        </w:sdt>
        <w:sdt>
          <w:sdtPr>
            <w:tag w:val="_PLD_fd0f9e0691744db49d5ceaf95d42197c"/>
            <w:id w:val="-1354486253"/>
          </w:sdtPr>
          <w:sdtEndPr/>
          <w:sdtContent>
            <w:tc>
              <w:tcPr>
                <w:tcW w:w="1225" w:type="pct"/>
                <w:tcBorders>
                  <w:top w:val="single" w:sz="4" w:space="0" w:color="auto"/>
                  <w:left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上期发生额</w:t>
                </w:r>
              </w:p>
            </w:tc>
          </w:sdtContent>
        </w:sdt>
      </w:tr>
      <w:tr w:rsidR="00156DD6">
        <w:trPr>
          <w:cantSplit/>
        </w:trPr>
        <w:tc>
          <w:tcPr>
            <w:tcW w:w="1358" w:type="pct"/>
            <w:tcBorders>
              <w:top w:val="single" w:sz="4" w:space="0" w:color="auto"/>
              <w:left w:val="single" w:sz="4" w:space="0" w:color="auto"/>
              <w:bottom w:val="single" w:sz="4" w:space="0" w:color="auto"/>
              <w:right w:val="single" w:sz="4" w:space="0" w:color="auto"/>
            </w:tcBorders>
          </w:tcPr>
          <w:p w:rsidR="00156DD6" w:rsidRDefault="00D51F5F">
            <w:pPr>
              <w:jc w:val="both"/>
            </w:pPr>
            <w:r>
              <w:rPr>
                <w:rFonts w:hint="eastAsia"/>
              </w:rPr>
              <w:t>重庆能投长寿经开区售电有限公司</w:t>
            </w:r>
          </w:p>
        </w:tc>
        <w:tc>
          <w:tcPr>
            <w:tcW w:w="1193"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rPr>
                <w:rFonts w:hint="eastAsia"/>
              </w:rPr>
              <w:t>销售其他</w:t>
            </w:r>
          </w:p>
        </w:tc>
        <w:tc>
          <w:tcPr>
            <w:tcW w:w="122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163,231.74 </w:t>
            </w:r>
          </w:p>
        </w:tc>
        <w:tc>
          <w:tcPr>
            <w:tcW w:w="122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141,600.00 </w:t>
            </w:r>
          </w:p>
        </w:tc>
      </w:tr>
      <w:tr w:rsidR="00156DD6">
        <w:trPr>
          <w:cantSplit/>
        </w:trPr>
        <w:tc>
          <w:tcPr>
            <w:tcW w:w="135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合计</w:t>
            </w:r>
          </w:p>
        </w:tc>
        <w:tc>
          <w:tcPr>
            <w:tcW w:w="1193" w:type="pct"/>
            <w:tcBorders>
              <w:top w:val="single" w:sz="4" w:space="0" w:color="auto"/>
              <w:left w:val="single" w:sz="4" w:space="0" w:color="auto"/>
              <w:bottom w:val="single" w:sz="4" w:space="0" w:color="auto"/>
              <w:right w:val="single" w:sz="4" w:space="0" w:color="auto"/>
            </w:tcBorders>
          </w:tcPr>
          <w:p w:rsidR="00156DD6" w:rsidRDefault="00156DD6">
            <w:pPr>
              <w:pStyle w:val="Style43"/>
            </w:pPr>
          </w:p>
        </w:tc>
        <w:tc>
          <w:tcPr>
            <w:tcW w:w="1224"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163,231.74 </w:t>
            </w:r>
          </w:p>
        </w:tc>
        <w:tc>
          <w:tcPr>
            <w:tcW w:w="1225"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141,600.00 </w:t>
            </w:r>
          </w:p>
        </w:tc>
      </w:tr>
    </w:tbl>
    <w:p w:rsidR="00156DD6" w:rsidRDefault="00D51F5F">
      <w:pPr>
        <w:rPr>
          <w:rFonts w:cs="Cambria"/>
          <w:color w:val="000000" w:themeColor="text1"/>
        </w:rPr>
      </w:pPr>
      <w:r>
        <w:rPr>
          <w:rFonts w:cs="Cambria" w:hint="eastAsia"/>
          <w:color w:val="000000" w:themeColor="text1"/>
        </w:rPr>
        <w:t>购销商品、提供和接受劳务的关联交易说明</w:t>
      </w:r>
    </w:p>
    <w:sdt>
      <w:sdtPr>
        <w:rPr>
          <w:rFonts w:cs="Cambria"/>
          <w:color w:val="000000" w:themeColor="text1"/>
        </w:rPr>
        <w:alias w:val="是否适用：购销商品、提供和接受劳务的关联交易说明[双击切换]"/>
        <w:tag w:val="_GBC_9ec9e1b38e7f48d89bb7f6441bed1bd1"/>
        <w:id w:val="-585221306"/>
        <w:placeholder>
          <w:docPart w:val="GBC22222222222222222222222222222"/>
        </w:placeholder>
      </w:sdtPr>
      <w:sdtEndPr/>
      <w:sdtContent>
        <w:p w:rsidR="00156DD6" w:rsidRDefault="00D51F5F">
          <w:pPr>
            <w:rPr>
              <w:rFonts w:cs="Cambria"/>
              <w:color w:val="000000" w:themeColor="text1"/>
            </w:rPr>
          </w:pP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□适用</w:instrText>
          </w:r>
          <w:r>
            <w:rPr>
              <w:rFonts w:cs="Cambria" w:hint="eastAsia"/>
              <w:color w:val="000000" w:themeColor="text1"/>
            </w:rPr>
            <w:instrText xml:space="preserve"> </w:instrText>
          </w:r>
          <w:r>
            <w:rPr>
              <w:rFonts w:cs="Cambria"/>
              <w:color w:val="000000" w:themeColor="text1"/>
            </w:rPr>
            <w:fldChar w:fldCharType="end"/>
          </w: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√不适用</w:instrText>
          </w:r>
          <w:r>
            <w:rPr>
              <w:rFonts w:cs="Cambria" w:hint="eastAsia"/>
              <w:color w:val="000000" w:themeColor="text1"/>
            </w:rPr>
            <w:instrText xml:space="preserve"> </w:instrText>
          </w:r>
          <w:r>
            <w:rPr>
              <w:rFonts w:cs="Cambria"/>
              <w:color w:val="000000" w:themeColor="text1"/>
            </w:rPr>
            <w:fldChar w:fldCharType="end"/>
          </w:r>
        </w:p>
      </w:sdtContent>
    </w:sdt>
    <w:p w:rsidR="00156DD6" w:rsidRDefault="00D51F5F">
      <w:pPr>
        <w:pStyle w:val="Style47"/>
        <w:numPr>
          <w:ilvl w:val="0"/>
          <w:numId w:val="98"/>
        </w:numPr>
        <w:tabs>
          <w:tab w:val="left" w:pos="616"/>
        </w:tabs>
        <w:rPr>
          <w:rFonts w:ascii="宋体" w:hAnsi="宋体"/>
          <w:color w:val="000000" w:themeColor="text1"/>
          <w:sz w:val="21"/>
          <w:szCs w:val="32"/>
        </w:rPr>
      </w:pPr>
      <w:r>
        <w:rPr>
          <w:rFonts w:ascii="宋体" w:hAnsi="宋体" w:hint="eastAsia"/>
          <w:color w:val="000000" w:themeColor="text1"/>
          <w:sz w:val="21"/>
          <w:szCs w:val="32"/>
        </w:rPr>
        <w:t>关联受托管理</w:t>
      </w:r>
      <w:r>
        <w:rPr>
          <w:rFonts w:ascii="宋体" w:hAnsi="宋体" w:hint="eastAsia"/>
          <w:color w:val="000000" w:themeColor="text1"/>
          <w:sz w:val="21"/>
          <w:szCs w:val="32"/>
        </w:rPr>
        <w:t>/</w:t>
      </w:r>
      <w:r>
        <w:rPr>
          <w:rFonts w:ascii="宋体" w:hAnsi="宋体" w:hint="eastAsia"/>
          <w:color w:val="000000" w:themeColor="text1"/>
          <w:sz w:val="21"/>
          <w:szCs w:val="32"/>
        </w:rPr>
        <w:t>承包及委托管理</w:t>
      </w:r>
      <w:r>
        <w:rPr>
          <w:rFonts w:ascii="宋体" w:hAnsi="宋体" w:hint="eastAsia"/>
          <w:color w:val="000000" w:themeColor="text1"/>
          <w:sz w:val="21"/>
          <w:szCs w:val="32"/>
        </w:rPr>
        <w:t>/</w:t>
      </w:r>
      <w:r>
        <w:rPr>
          <w:rFonts w:ascii="宋体" w:hAnsi="宋体" w:hint="eastAsia"/>
          <w:color w:val="000000" w:themeColor="text1"/>
          <w:sz w:val="21"/>
          <w:szCs w:val="32"/>
        </w:rPr>
        <w:t>出包情况</w:t>
      </w:r>
    </w:p>
    <w:p w:rsidR="00156DD6" w:rsidRDefault="00D51F5F">
      <w:pPr>
        <w:rPr>
          <w:color w:val="000000" w:themeColor="text1"/>
        </w:rPr>
      </w:pPr>
      <w:r>
        <w:rPr>
          <w:rFonts w:hint="eastAsia"/>
          <w:color w:val="000000" w:themeColor="text1"/>
        </w:rPr>
        <w:t>本公司受托管理</w:t>
      </w:r>
      <w:r>
        <w:rPr>
          <w:rFonts w:hint="eastAsia"/>
          <w:color w:val="000000" w:themeColor="text1"/>
        </w:rPr>
        <w:t>/</w:t>
      </w:r>
      <w:r>
        <w:rPr>
          <w:rFonts w:hint="eastAsia"/>
          <w:color w:val="000000" w:themeColor="text1"/>
        </w:rPr>
        <w:t>承包情况表：</w:t>
      </w:r>
    </w:p>
    <w:sdt>
      <w:sdtPr>
        <w:rPr>
          <w:rFonts w:cs="Cambria"/>
          <w:color w:val="000000" w:themeColor="text1"/>
        </w:rPr>
        <w:alias w:val="是否适用：本公司受托管理或承包情况表[双击切换]"/>
        <w:tag w:val="_GBC_3810b3cad54c4b2f9754e7d6be3e9480"/>
        <w:id w:val="1319311159"/>
        <w:placeholder>
          <w:docPart w:val="GBC22222222222222222222222222222"/>
        </w:placeholder>
      </w:sdtPr>
      <w:sdtEndPr/>
      <w:sdtContent>
        <w:p w:rsidR="00156DD6" w:rsidRDefault="00D51F5F">
          <w:pPr>
            <w:rPr>
              <w:rFonts w:cs="Cambria"/>
              <w:color w:val="000000" w:themeColor="text1"/>
            </w:rPr>
          </w:pP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□适用</w:instrText>
          </w:r>
          <w:r>
            <w:rPr>
              <w:rFonts w:cs="Cambria" w:hint="eastAsia"/>
              <w:color w:val="000000" w:themeColor="text1"/>
            </w:rPr>
            <w:instrText xml:space="preserve"> </w:instrText>
          </w:r>
          <w:r>
            <w:rPr>
              <w:rFonts w:cs="Cambria"/>
              <w:color w:val="000000" w:themeColor="text1"/>
            </w:rPr>
            <w:fldChar w:fldCharType="end"/>
          </w: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√不适用</w:instrText>
          </w:r>
          <w:r>
            <w:rPr>
              <w:rFonts w:cs="Cambria" w:hint="eastAsia"/>
              <w:color w:val="000000" w:themeColor="text1"/>
            </w:rPr>
            <w:instrText xml:space="preserve"> </w:instrText>
          </w:r>
          <w:r>
            <w:rPr>
              <w:rFonts w:cs="Cambria"/>
              <w:color w:val="000000" w:themeColor="text1"/>
            </w:rPr>
            <w:fldChar w:fldCharType="end"/>
          </w:r>
        </w:p>
      </w:sdtContent>
    </w:sdt>
    <w:p w:rsidR="00156DD6" w:rsidRDefault="00D51F5F">
      <w:pPr>
        <w:rPr>
          <w:rFonts w:cs="Cambria"/>
          <w:color w:val="000000" w:themeColor="text1"/>
        </w:rPr>
      </w:pPr>
      <w:r>
        <w:rPr>
          <w:rFonts w:cs="Cambria" w:hint="eastAsia"/>
          <w:color w:val="000000" w:themeColor="text1"/>
        </w:rPr>
        <w:t>关联托管</w:t>
      </w:r>
      <w:r>
        <w:rPr>
          <w:rFonts w:cs="Cambria" w:hint="eastAsia"/>
          <w:color w:val="000000" w:themeColor="text1"/>
        </w:rPr>
        <w:t>/</w:t>
      </w:r>
      <w:r>
        <w:rPr>
          <w:rFonts w:cs="Cambria" w:hint="eastAsia"/>
          <w:color w:val="000000" w:themeColor="text1"/>
        </w:rPr>
        <w:t>承包情况说明</w:t>
      </w:r>
    </w:p>
    <w:sdt>
      <w:sdtPr>
        <w:rPr>
          <w:rFonts w:cs="Cambria"/>
          <w:color w:val="000000" w:themeColor="text1"/>
        </w:rPr>
        <w:alias w:val="是否适用：关联托管或承包情况说明[双击切换]"/>
        <w:tag w:val="_GBC_42ec6e3170b04610899c528ce7bda003"/>
        <w:id w:val="-712962252"/>
        <w:placeholder>
          <w:docPart w:val="GBC22222222222222222222222222222"/>
        </w:placeholder>
      </w:sdtPr>
      <w:sdtEndPr/>
      <w:sdtContent>
        <w:p w:rsidR="00156DD6" w:rsidRDefault="00D51F5F">
          <w:pPr>
            <w:rPr>
              <w:rFonts w:cs="Cambria"/>
              <w:color w:val="000000" w:themeColor="text1"/>
            </w:rPr>
          </w:pP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□适用</w:instrText>
          </w:r>
          <w:r>
            <w:rPr>
              <w:rFonts w:cs="Cambria" w:hint="eastAsia"/>
              <w:color w:val="000000" w:themeColor="text1"/>
            </w:rPr>
            <w:instrText xml:space="preserve"> </w:instrText>
          </w:r>
          <w:r>
            <w:rPr>
              <w:rFonts w:cs="Cambria"/>
              <w:color w:val="000000" w:themeColor="text1"/>
            </w:rPr>
            <w:fldChar w:fldCharType="end"/>
          </w: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√不适用</w:instrText>
          </w:r>
          <w:r>
            <w:rPr>
              <w:rFonts w:cs="Cambria" w:hint="eastAsia"/>
              <w:color w:val="000000" w:themeColor="text1"/>
            </w:rPr>
            <w:instrText xml:space="preserve"> </w:instrText>
          </w:r>
          <w:r>
            <w:rPr>
              <w:rFonts w:cs="Cambria"/>
              <w:color w:val="000000" w:themeColor="text1"/>
            </w:rPr>
            <w:fldChar w:fldCharType="end"/>
          </w:r>
        </w:p>
      </w:sdtContent>
    </w:sdt>
    <w:p w:rsidR="00156DD6" w:rsidRDefault="00D51F5F">
      <w:pPr>
        <w:rPr>
          <w:rFonts w:cs="Cambria"/>
          <w:color w:val="000000" w:themeColor="text1"/>
        </w:rPr>
      </w:pPr>
      <w:r>
        <w:rPr>
          <w:rFonts w:hint="eastAsia"/>
          <w:color w:val="000000" w:themeColor="text1"/>
        </w:rPr>
        <w:t>本公司委托管理</w:t>
      </w:r>
      <w:r>
        <w:rPr>
          <w:rFonts w:hint="eastAsia"/>
          <w:color w:val="000000" w:themeColor="text1"/>
        </w:rPr>
        <w:t>/</w:t>
      </w:r>
      <w:r>
        <w:rPr>
          <w:rFonts w:hint="eastAsia"/>
          <w:color w:val="000000" w:themeColor="text1"/>
        </w:rPr>
        <w:t>出包情况表：</w:t>
      </w:r>
    </w:p>
    <w:sdt>
      <w:sdtPr>
        <w:rPr>
          <w:rFonts w:cs="Cambria"/>
          <w:color w:val="000000" w:themeColor="text1"/>
        </w:rPr>
        <w:alias w:val="是否适用：本公司委托管理或出包情况表[双击切换]"/>
        <w:tag w:val="_GBC_37bf111a27194665b76f71bb5418d53c"/>
        <w:id w:val="2012952625"/>
        <w:placeholder>
          <w:docPart w:val="GBC22222222222222222222222222222"/>
        </w:placeholder>
      </w:sdtPr>
      <w:sdtEndPr/>
      <w:sdtContent>
        <w:p w:rsidR="00156DD6" w:rsidRDefault="00D51F5F">
          <w:pPr>
            <w:rPr>
              <w:rFonts w:cs="Cambria"/>
              <w:color w:val="000000" w:themeColor="text1"/>
            </w:rPr>
          </w:pP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□适用</w:instrText>
          </w:r>
          <w:r>
            <w:rPr>
              <w:rFonts w:cs="Cambria" w:hint="eastAsia"/>
              <w:color w:val="000000" w:themeColor="text1"/>
            </w:rPr>
            <w:instrText xml:space="preserve"> </w:instrText>
          </w:r>
          <w:r>
            <w:rPr>
              <w:rFonts w:cs="Cambria"/>
              <w:color w:val="000000" w:themeColor="text1"/>
            </w:rPr>
            <w:fldChar w:fldCharType="end"/>
          </w: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√不适用</w:instrText>
          </w:r>
          <w:r>
            <w:rPr>
              <w:rFonts w:cs="Cambria" w:hint="eastAsia"/>
              <w:color w:val="000000" w:themeColor="text1"/>
            </w:rPr>
            <w:instrText xml:space="preserve"> </w:instrText>
          </w:r>
          <w:r>
            <w:rPr>
              <w:rFonts w:cs="Cambria"/>
              <w:color w:val="000000" w:themeColor="text1"/>
            </w:rPr>
            <w:fldChar w:fldCharType="end"/>
          </w:r>
        </w:p>
      </w:sdtContent>
    </w:sdt>
    <w:p w:rsidR="00156DD6" w:rsidRDefault="00D51F5F">
      <w:pPr>
        <w:rPr>
          <w:rFonts w:cs="Cambria"/>
          <w:color w:val="000000" w:themeColor="text1"/>
        </w:rPr>
      </w:pPr>
      <w:r>
        <w:rPr>
          <w:rFonts w:cs="Cambria" w:hint="eastAsia"/>
          <w:color w:val="000000" w:themeColor="text1"/>
        </w:rPr>
        <w:t>关联管理</w:t>
      </w:r>
      <w:r>
        <w:rPr>
          <w:rFonts w:cs="Cambria" w:hint="eastAsia"/>
          <w:color w:val="000000" w:themeColor="text1"/>
        </w:rPr>
        <w:t>/</w:t>
      </w:r>
      <w:r>
        <w:rPr>
          <w:rFonts w:cs="Cambria" w:hint="eastAsia"/>
          <w:color w:val="000000" w:themeColor="text1"/>
        </w:rPr>
        <w:t>出包情况说明</w:t>
      </w:r>
    </w:p>
    <w:sdt>
      <w:sdtPr>
        <w:rPr>
          <w:rFonts w:cs="Cambria"/>
          <w:color w:val="000000" w:themeColor="text1"/>
        </w:rPr>
        <w:alias w:val="是否适用：关联管理或出包情况说明[双击切换]"/>
        <w:tag w:val="_GBC_0b0339c118c542eb8a6e3a68fab8e375"/>
        <w:id w:val="-52317696"/>
        <w:placeholder>
          <w:docPart w:val="GBC22222222222222222222222222222"/>
        </w:placeholder>
      </w:sdtPr>
      <w:sdtEndPr/>
      <w:sdtContent>
        <w:p w:rsidR="00156DD6" w:rsidRDefault="00D51F5F">
          <w:pPr>
            <w:rPr>
              <w:rFonts w:cs="Cambria"/>
              <w:color w:val="000000" w:themeColor="text1"/>
            </w:rPr>
          </w:pP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□适用</w:instrText>
          </w:r>
          <w:r>
            <w:rPr>
              <w:rFonts w:cs="Cambria" w:hint="eastAsia"/>
              <w:color w:val="000000" w:themeColor="text1"/>
            </w:rPr>
            <w:instrText xml:space="preserve"> </w:instrText>
          </w:r>
          <w:r>
            <w:rPr>
              <w:rFonts w:cs="Cambria"/>
              <w:color w:val="000000" w:themeColor="text1"/>
            </w:rPr>
            <w:fldChar w:fldCharType="end"/>
          </w:r>
          <w:r>
            <w:rPr>
              <w:rFonts w:cs="Cambria"/>
              <w:color w:val="000000" w:themeColor="text1"/>
            </w:rPr>
            <w:fldChar w:fldCharType="begin"/>
          </w:r>
          <w:r>
            <w:rPr>
              <w:rFonts w:cs="Cambria" w:hint="eastAsia"/>
              <w:color w:val="000000" w:themeColor="text1"/>
            </w:rPr>
            <w:instrText xml:space="preserve"> MACROBUTTON  SnrToggleCheckbox </w:instrText>
          </w:r>
          <w:r>
            <w:rPr>
              <w:rFonts w:cs="Cambria" w:hint="eastAsia"/>
              <w:color w:val="000000" w:themeColor="text1"/>
            </w:rPr>
            <w:instrText>√不适用</w:instrText>
          </w:r>
          <w:r>
            <w:rPr>
              <w:rFonts w:cs="Cambria" w:hint="eastAsia"/>
              <w:color w:val="000000" w:themeColor="text1"/>
            </w:rPr>
            <w:instrText xml:space="preserve"> </w:instrText>
          </w:r>
          <w:r>
            <w:rPr>
              <w:rFonts w:cs="Cambria"/>
              <w:color w:val="000000" w:themeColor="text1"/>
            </w:rPr>
            <w:fldChar w:fldCharType="end"/>
          </w:r>
        </w:p>
      </w:sdtContent>
    </w:sdt>
    <w:p w:rsidR="00156DD6" w:rsidRDefault="00D51F5F">
      <w:pPr>
        <w:pStyle w:val="Style47"/>
        <w:numPr>
          <w:ilvl w:val="0"/>
          <w:numId w:val="98"/>
        </w:numPr>
        <w:tabs>
          <w:tab w:val="left" w:pos="616"/>
        </w:tabs>
        <w:rPr>
          <w:rFonts w:ascii="宋体" w:hAnsi="宋体"/>
          <w:color w:val="000000" w:themeColor="text1"/>
          <w:sz w:val="21"/>
          <w:szCs w:val="21"/>
        </w:rPr>
      </w:pPr>
      <w:bookmarkStart w:id="465" w:name="_Hlk105747475"/>
      <w:r>
        <w:rPr>
          <w:rFonts w:ascii="宋体" w:hAnsi="宋体" w:hint="eastAsia"/>
          <w:color w:val="000000" w:themeColor="text1"/>
          <w:sz w:val="21"/>
          <w:szCs w:val="21"/>
        </w:rPr>
        <w:t>关联租赁情况</w:t>
      </w:r>
    </w:p>
    <w:p w:rsidR="00156DD6" w:rsidRDefault="00D51F5F">
      <w:pPr>
        <w:rPr>
          <w:color w:val="000000" w:themeColor="text1"/>
        </w:rPr>
      </w:pPr>
      <w:r>
        <w:rPr>
          <w:rFonts w:hint="eastAsia"/>
          <w:color w:val="000000" w:themeColor="text1"/>
        </w:rPr>
        <w:t>本公司作为出租方：</w:t>
      </w:r>
    </w:p>
    <w:sdt>
      <w:sdtPr>
        <w:rPr>
          <w:color w:val="000000" w:themeColor="text1"/>
        </w:rPr>
        <w:alias w:val="是否适用：本公司作为出租方的租赁情况表[双击切换]"/>
        <w:tag w:val="_GBC_f12cb8266cbd482b93c6a4bba1b05fb7"/>
        <w:id w:val="3623278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本公司作为承租方：</w:t>
      </w:r>
    </w:p>
    <w:sdt>
      <w:sdtPr>
        <w:rPr>
          <w:color w:val="000000" w:themeColor="text1"/>
        </w:rPr>
        <w:alias w:val="是否适用：本公司作为承租方的租赁情况表[双击切换]"/>
        <w:tag w:val="_GBC_e3319fb4cbb04bb0ab5516046d7e77a4"/>
        <w:id w:val="-26385330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关联租赁情况说明</w:t>
      </w:r>
    </w:p>
    <w:sdt>
      <w:sdtPr>
        <w:rPr>
          <w:color w:val="000000" w:themeColor="text1"/>
        </w:rPr>
        <w:alias w:val="是否适用：关联租赁情况说明[双击切换]"/>
        <w:tag w:val="_GBC_a8d25c1a27d24bbeb9dd0063be85a310"/>
        <w:id w:val="52675402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98"/>
        </w:numPr>
        <w:tabs>
          <w:tab w:val="left" w:pos="616"/>
        </w:tabs>
        <w:rPr>
          <w:rFonts w:ascii="宋体" w:hAnsi="宋体"/>
          <w:color w:val="000000" w:themeColor="text1"/>
          <w:sz w:val="21"/>
          <w:szCs w:val="21"/>
        </w:rPr>
      </w:pPr>
      <w:bookmarkStart w:id="466" w:name="_Hlk105747684"/>
      <w:bookmarkEnd w:id="465"/>
      <w:r>
        <w:rPr>
          <w:rFonts w:ascii="宋体" w:hAnsi="宋体" w:hint="eastAsia"/>
          <w:color w:val="000000" w:themeColor="text1"/>
          <w:sz w:val="21"/>
          <w:szCs w:val="21"/>
        </w:rPr>
        <w:t>关联担保情况</w:t>
      </w:r>
    </w:p>
    <w:p w:rsidR="00156DD6" w:rsidRDefault="00D51F5F">
      <w:pPr>
        <w:rPr>
          <w:color w:val="000000" w:themeColor="text1"/>
        </w:rPr>
      </w:pPr>
      <w:r>
        <w:rPr>
          <w:rFonts w:hint="eastAsia"/>
          <w:color w:val="000000" w:themeColor="text1"/>
        </w:rPr>
        <w:t>本公司作为担保方</w:t>
      </w:r>
    </w:p>
    <w:sdt>
      <w:sdtPr>
        <w:rPr>
          <w:color w:val="000000" w:themeColor="text1"/>
        </w:rPr>
        <w:alias w:val="是否适用：本公司作为担保方的担保情况表[双击切换]"/>
        <w:tag w:val="_GBC_f0150417f8ec4c5281b86683570391cb"/>
        <w:id w:val="-35851450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cs="Cambria"/>
          <w:color w:val="000000" w:themeColor="text1"/>
        </w:rPr>
      </w:pPr>
      <w:r>
        <w:rPr>
          <w:rFonts w:cs="Cambria" w:hint="eastAsia"/>
          <w:color w:val="000000" w:themeColor="text1"/>
        </w:rPr>
        <w:lastRenderedPageBreak/>
        <w:t>本公司作为被担保方</w:t>
      </w:r>
    </w:p>
    <w:sdt>
      <w:sdtPr>
        <w:rPr>
          <w:rFonts w:cs="Cambria"/>
          <w:color w:val="000000" w:themeColor="text1"/>
        </w:rPr>
        <w:alias w:val="是否适用：本公司作为被担保方的担保情况表[双击切换]"/>
        <w:tag w:val="_GBC_3686094d29c941dd91bd168e3ef88833"/>
        <w:id w:val="-1807922211"/>
        <w:placeholder>
          <w:docPart w:val="GBC22222222222222222222222222222"/>
        </w:placeholder>
      </w:sdtPr>
      <w:sdtEndPr/>
      <w:sdtContent>
        <w:p w:rsidR="00156DD6" w:rsidRDefault="00D51F5F">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w:instrText>
          </w:r>
          <w:r>
            <w:rPr>
              <w:rFonts w:cs="Cambria"/>
              <w:color w:val="000000" w:themeColor="text1"/>
            </w:rPr>
            <w:instrText>适用</w:instrText>
          </w:r>
          <w:r>
            <w:rPr>
              <w:rFonts w:cs="Cambria"/>
              <w:color w:val="000000" w:themeColor="text1"/>
            </w:rPr>
            <w:instrText xml:space="preserve">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w:instrText>
          </w:r>
          <w:r>
            <w:rPr>
              <w:rFonts w:cs="Cambria"/>
              <w:color w:val="000000" w:themeColor="text1"/>
            </w:rPr>
            <w:instrText>不适用</w:instrText>
          </w:r>
          <w:r>
            <w:rPr>
              <w:rFonts w:cs="Cambria"/>
              <w:color w:val="000000" w:themeColor="text1"/>
            </w:rPr>
            <w:instrText xml:space="preserve"> </w:instrText>
          </w:r>
          <w:r>
            <w:rPr>
              <w:rFonts w:cs="Cambria"/>
              <w:color w:val="000000" w:themeColor="text1"/>
            </w:rPr>
            <w:fldChar w:fldCharType="end"/>
          </w:r>
        </w:p>
      </w:sdtContent>
    </w:sdt>
    <w:p w:rsidR="00156DD6" w:rsidRDefault="00D51F5F">
      <w:pPr>
        <w:jc w:val="right"/>
        <w:rPr>
          <w:rFonts w:cs="Cambria"/>
          <w:color w:val="000000" w:themeColor="text1"/>
        </w:rPr>
      </w:pPr>
      <w:r>
        <w:rPr>
          <w:rFonts w:cs="Cambria" w:hint="eastAsia"/>
          <w:color w:val="000000" w:themeColor="text1"/>
        </w:rPr>
        <w:t>单位：</w:t>
      </w:r>
      <w:sdt>
        <w:sdtPr>
          <w:rPr>
            <w:rFonts w:cs="Cambria" w:hint="eastAsia"/>
            <w:color w:val="000000" w:themeColor="text1"/>
          </w:rPr>
          <w:alias w:val="单位：财务附注：本公司作为被担保方"/>
          <w:tag w:val="_GBC_af3d3d55d9c648f8b2e94dcdd804c683"/>
          <w:id w:val="-11051140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color w:val="000000" w:themeColor="text1"/>
            </w:rPr>
            <w:t>元</w:t>
          </w:r>
        </w:sdtContent>
      </w:sdt>
      <w:r>
        <w:rPr>
          <w:rFonts w:cs="Cambria" w:hint="eastAsia"/>
          <w:color w:val="000000" w:themeColor="text1"/>
        </w:rPr>
        <w:t xml:space="preserve">  </w:t>
      </w:r>
      <w:r>
        <w:rPr>
          <w:rFonts w:cs="Cambria" w:hint="eastAsia"/>
          <w:color w:val="000000" w:themeColor="text1"/>
        </w:rPr>
        <w:t>币种：</w:t>
      </w:r>
      <w:sdt>
        <w:sdtPr>
          <w:rPr>
            <w:rFonts w:cs="Cambria" w:hint="eastAsia"/>
            <w:color w:val="000000" w:themeColor="text1"/>
          </w:rPr>
          <w:alias w:val="币种：财务附注：本公司作为被担保方"/>
          <w:tag w:val="_GBC_684efbccec674b3abab20e6aa5c20b55"/>
          <w:id w:val="9470403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32"/>
        <w:gridCol w:w="1740"/>
        <w:gridCol w:w="1766"/>
        <w:gridCol w:w="1752"/>
        <w:gridCol w:w="2033"/>
      </w:tblGrid>
      <w:tr w:rsidR="00156DD6">
        <w:sdt>
          <w:sdtPr>
            <w:tag w:val="_PLD_6088efc2eccd46e6a311f035e3addd31"/>
            <w:id w:val="-339077960"/>
          </w:sdtPr>
          <w:sdtEndPr/>
          <w:sdtContent>
            <w:tc>
              <w:tcPr>
                <w:tcW w:w="86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担保方</w:t>
                </w:r>
              </w:p>
            </w:tc>
          </w:sdtContent>
        </w:sdt>
        <w:sdt>
          <w:sdtPr>
            <w:tag w:val="_PLD_e7f78a4ceee3432c87548a75d87de01f"/>
            <w:id w:val="326648009"/>
          </w:sdtPr>
          <w:sdtEndPr/>
          <w:sdtContent>
            <w:tc>
              <w:tcPr>
                <w:tcW w:w="98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担保金额</w:t>
                </w:r>
              </w:p>
            </w:tc>
          </w:sdtContent>
        </w:sdt>
        <w:sdt>
          <w:sdtPr>
            <w:tag w:val="_PLD_258ee883a1494cba8aadfb02a67b1d9f"/>
            <w:id w:val="-1143269632"/>
          </w:sdtPr>
          <w:sdtEndPr/>
          <w:sdtContent>
            <w:tc>
              <w:tcPr>
                <w:tcW w:w="1001"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担保起始日</w:t>
                </w:r>
              </w:p>
            </w:tc>
          </w:sdtContent>
        </w:sdt>
        <w:sdt>
          <w:sdtPr>
            <w:tag w:val="_PLD_219bfe3bbd6a4eeab9cd5e00e9bb2477"/>
            <w:id w:val="-1666773797"/>
          </w:sdtPr>
          <w:sdtEndPr/>
          <w:sdtContent>
            <w:tc>
              <w:tcPr>
                <w:tcW w:w="993"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担保到期日</w:t>
                </w:r>
              </w:p>
            </w:tc>
          </w:sdtContent>
        </w:sdt>
        <w:sdt>
          <w:sdtPr>
            <w:tag w:val="_PLD_e2efca4906c0464cb3ccf5445b144c22"/>
            <w:id w:val="-2086215948"/>
          </w:sdtPr>
          <w:sdtEndPr/>
          <w:sdtContent>
            <w:tc>
              <w:tcPr>
                <w:tcW w:w="115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担保是否已经履行完毕</w:t>
                </w:r>
              </w:p>
            </w:tc>
          </w:sdtContent>
        </w:sdt>
      </w:tr>
      <w:tr w:rsidR="00156DD6">
        <w:tc>
          <w:tcPr>
            <w:tcW w:w="868" w:type="pct"/>
            <w:tcBorders>
              <w:top w:val="single" w:sz="4" w:space="0" w:color="auto"/>
              <w:left w:val="single" w:sz="4" w:space="0" w:color="auto"/>
              <w:bottom w:val="single" w:sz="4" w:space="0" w:color="auto"/>
              <w:right w:val="single" w:sz="4" w:space="0" w:color="auto"/>
            </w:tcBorders>
          </w:tcPr>
          <w:p w:rsidR="00156DD6" w:rsidRDefault="00D51F5F">
            <w:pPr>
              <w:rPr>
                <w:rFonts w:cs="Cambria"/>
              </w:rPr>
            </w:pPr>
            <w:r>
              <w:t>杨泽民、秦惠兰</w:t>
            </w:r>
          </w:p>
        </w:tc>
        <w:tc>
          <w:tcPr>
            <w:tcW w:w="986" w:type="pct"/>
            <w:tcBorders>
              <w:top w:val="single" w:sz="4" w:space="0" w:color="auto"/>
              <w:left w:val="single" w:sz="4" w:space="0" w:color="auto"/>
              <w:bottom w:val="single" w:sz="4" w:space="0" w:color="auto"/>
              <w:right w:val="single" w:sz="4" w:space="0" w:color="auto"/>
            </w:tcBorders>
          </w:tcPr>
          <w:p w:rsidR="00156DD6" w:rsidRDefault="00D51F5F">
            <w:pPr>
              <w:jc w:val="right"/>
              <w:rPr>
                <w:rFonts w:cs="Cambria"/>
              </w:rPr>
            </w:pPr>
            <w:r>
              <w:t>80,000,000.00</w:t>
            </w:r>
          </w:p>
        </w:tc>
        <w:tc>
          <w:tcPr>
            <w:tcW w:w="100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rFonts w:cs="Cambria"/>
              </w:rPr>
            </w:pPr>
            <w:r>
              <w:rPr>
                <w:rFonts w:hint="eastAsia"/>
              </w:rPr>
              <w:t>2021/11/1</w:t>
            </w:r>
          </w:p>
        </w:tc>
        <w:tc>
          <w:tcPr>
            <w:tcW w:w="99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rFonts w:cs="Cambria"/>
              </w:rPr>
            </w:pPr>
            <w:r>
              <w:rPr>
                <w:rFonts w:hint="eastAsia"/>
              </w:rPr>
              <w:t>2027/12/31</w:t>
            </w:r>
          </w:p>
        </w:tc>
        <w:tc>
          <w:tcPr>
            <w:tcW w:w="115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rPr>
            </w:pPr>
            <w:r>
              <w:rPr>
                <w:rFonts w:hint="eastAsia"/>
              </w:rPr>
              <w:t>否</w:t>
            </w:r>
          </w:p>
        </w:tc>
      </w:tr>
      <w:tr w:rsidR="00156DD6">
        <w:tc>
          <w:tcPr>
            <w:tcW w:w="868" w:type="pct"/>
            <w:tcBorders>
              <w:top w:val="single" w:sz="4" w:space="0" w:color="auto"/>
              <w:left w:val="single" w:sz="4" w:space="0" w:color="auto"/>
              <w:bottom w:val="single" w:sz="4" w:space="0" w:color="auto"/>
              <w:right w:val="single" w:sz="4" w:space="0" w:color="auto"/>
            </w:tcBorders>
          </w:tcPr>
          <w:p w:rsidR="00156DD6" w:rsidRDefault="00D51F5F">
            <w:pPr>
              <w:rPr>
                <w:rFonts w:cs="Cambria"/>
              </w:rPr>
            </w:pPr>
            <w:r>
              <w:t>杨泽民、秦惠兰</w:t>
            </w:r>
          </w:p>
        </w:tc>
        <w:tc>
          <w:tcPr>
            <w:tcW w:w="986" w:type="pct"/>
            <w:tcBorders>
              <w:top w:val="single" w:sz="4" w:space="0" w:color="auto"/>
              <w:left w:val="single" w:sz="4" w:space="0" w:color="auto"/>
              <w:bottom w:val="single" w:sz="4" w:space="0" w:color="auto"/>
              <w:right w:val="single" w:sz="4" w:space="0" w:color="auto"/>
            </w:tcBorders>
          </w:tcPr>
          <w:p w:rsidR="00156DD6" w:rsidRDefault="00D51F5F">
            <w:pPr>
              <w:jc w:val="right"/>
              <w:rPr>
                <w:rFonts w:cs="Cambria"/>
              </w:rPr>
            </w:pPr>
            <w:r>
              <w:t>180,000,000.00</w:t>
            </w:r>
          </w:p>
        </w:tc>
        <w:tc>
          <w:tcPr>
            <w:tcW w:w="1001"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rFonts w:cs="Cambria"/>
              </w:rPr>
            </w:pPr>
            <w:r>
              <w:rPr>
                <w:rFonts w:hint="eastAsia"/>
              </w:rPr>
              <w:t>2022/11/8</w:t>
            </w:r>
          </w:p>
        </w:tc>
        <w:tc>
          <w:tcPr>
            <w:tcW w:w="993"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rFonts w:cs="Cambria"/>
              </w:rPr>
            </w:pPr>
            <w:r>
              <w:rPr>
                <w:rFonts w:hint="eastAsia"/>
              </w:rPr>
              <w:t>2026/2/25</w:t>
            </w:r>
          </w:p>
        </w:tc>
        <w:tc>
          <w:tcPr>
            <w:tcW w:w="115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否</w:t>
            </w:r>
          </w:p>
        </w:tc>
      </w:tr>
      <w:tr w:rsidR="00156DD6">
        <w:tc>
          <w:tcPr>
            <w:tcW w:w="868" w:type="pct"/>
            <w:tcBorders>
              <w:top w:val="single" w:sz="4" w:space="0" w:color="auto"/>
              <w:left w:val="single" w:sz="4" w:space="0" w:color="auto"/>
              <w:bottom w:val="single" w:sz="4" w:space="0" w:color="auto"/>
              <w:right w:val="single" w:sz="4" w:space="0" w:color="auto"/>
            </w:tcBorders>
          </w:tcPr>
          <w:p w:rsidR="00156DD6" w:rsidRDefault="00D51F5F">
            <w:pPr>
              <w:pStyle w:val="Style43"/>
            </w:pPr>
            <w:r>
              <w:rPr>
                <w:rFonts w:hint="eastAsia"/>
              </w:rPr>
              <w:t>合计</w:t>
            </w:r>
          </w:p>
        </w:tc>
        <w:tc>
          <w:tcPr>
            <w:tcW w:w="9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260,000,000.00</w:t>
            </w:r>
          </w:p>
        </w:tc>
        <w:tc>
          <w:tcPr>
            <w:tcW w:w="1001" w:type="pct"/>
            <w:tcBorders>
              <w:top w:val="single" w:sz="4" w:space="0" w:color="auto"/>
              <w:left w:val="single" w:sz="4" w:space="0" w:color="auto"/>
              <w:bottom w:val="single" w:sz="4" w:space="0" w:color="auto"/>
              <w:right w:val="single" w:sz="4" w:space="0" w:color="auto"/>
            </w:tcBorders>
          </w:tcPr>
          <w:p w:rsidR="00156DD6" w:rsidRDefault="00156DD6">
            <w:pPr>
              <w:pStyle w:val="Style43"/>
            </w:pPr>
          </w:p>
        </w:tc>
        <w:tc>
          <w:tcPr>
            <w:tcW w:w="993" w:type="pct"/>
            <w:tcBorders>
              <w:top w:val="single" w:sz="4" w:space="0" w:color="auto"/>
              <w:left w:val="single" w:sz="4" w:space="0" w:color="auto"/>
              <w:bottom w:val="single" w:sz="4" w:space="0" w:color="auto"/>
              <w:right w:val="single" w:sz="4" w:space="0" w:color="auto"/>
            </w:tcBorders>
          </w:tcPr>
          <w:p w:rsidR="00156DD6" w:rsidRDefault="00156DD6">
            <w:pPr>
              <w:pStyle w:val="Style43"/>
            </w:pPr>
          </w:p>
        </w:tc>
        <w:tc>
          <w:tcPr>
            <w:tcW w:w="1152" w:type="pct"/>
            <w:tcBorders>
              <w:top w:val="single" w:sz="4" w:space="0" w:color="auto"/>
              <w:left w:val="single" w:sz="4" w:space="0" w:color="auto"/>
              <w:bottom w:val="single" w:sz="4" w:space="0" w:color="auto"/>
              <w:right w:val="single" w:sz="4" w:space="0" w:color="auto"/>
            </w:tcBorders>
          </w:tcPr>
          <w:p w:rsidR="00156DD6" w:rsidRDefault="00156DD6">
            <w:pPr>
              <w:pStyle w:val="Style43"/>
            </w:pPr>
          </w:p>
        </w:tc>
      </w:tr>
    </w:tbl>
    <w:p w:rsidR="00156DD6" w:rsidRDefault="00D51F5F">
      <w:pPr>
        <w:rPr>
          <w:rFonts w:cs="Cambria"/>
          <w:color w:val="000000" w:themeColor="text1"/>
        </w:rPr>
      </w:pPr>
      <w:r>
        <w:rPr>
          <w:rFonts w:cs="Cambria" w:hint="eastAsia"/>
          <w:color w:val="000000" w:themeColor="text1"/>
        </w:rPr>
        <w:t>关联担保情况说明</w:t>
      </w:r>
    </w:p>
    <w:sdt>
      <w:sdtPr>
        <w:rPr>
          <w:rFonts w:cs="Cambria"/>
          <w:color w:val="000000" w:themeColor="text1"/>
        </w:rPr>
        <w:alias w:val="是否适用：关联担保情况说明[双击切换]"/>
        <w:tag w:val="_GBC_9a5a4769e8804b779ae17adb041890d7"/>
        <w:id w:val="-1620526125"/>
        <w:placeholder>
          <w:docPart w:val="GBC22222222222222222222222222222"/>
        </w:placeholder>
      </w:sdtPr>
      <w:sdtEndPr/>
      <w:sdtContent>
        <w:p w:rsidR="00156DD6" w:rsidRDefault="00D51F5F">
          <w:pPr>
            <w:rPr>
              <w:rFonts w:cs="Cambria"/>
              <w:color w:val="000000" w:themeColor="text1"/>
            </w:rPr>
          </w:pPr>
          <w:r>
            <w:rPr>
              <w:rFonts w:cs="Cambria"/>
              <w:color w:val="000000" w:themeColor="text1"/>
            </w:rPr>
            <w:fldChar w:fldCharType="begin"/>
          </w:r>
          <w:r>
            <w:rPr>
              <w:rFonts w:cs="Cambria"/>
              <w:color w:val="000000" w:themeColor="text1"/>
            </w:rPr>
            <w:instrText xml:space="preserve"> MACROBUTTON  SnrToggleCheckbox √</w:instrText>
          </w:r>
          <w:r>
            <w:rPr>
              <w:rFonts w:cs="Cambria"/>
              <w:color w:val="000000" w:themeColor="text1"/>
            </w:rPr>
            <w:instrText>适用</w:instrText>
          </w:r>
          <w:r>
            <w:rPr>
              <w:rFonts w:cs="Cambria"/>
              <w:color w:val="000000" w:themeColor="text1"/>
            </w:rPr>
            <w:instrText xml:space="preserve"> </w:instrText>
          </w:r>
          <w:r>
            <w:rPr>
              <w:rFonts w:cs="Cambria"/>
              <w:color w:val="000000" w:themeColor="text1"/>
            </w:rPr>
            <w:fldChar w:fldCharType="end"/>
          </w:r>
          <w:r>
            <w:rPr>
              <w:rFonts w:cs="Cambria"/>
              <w:color w:val="000000" w:themeColor="text1"/>
            </w:rPr>
            <w:fldChar w:fldCharType="begin"/>
          </w:r>
          <w:r>
            <w:rPr>
              <w:rFonts w:cs="Cambria"/>
              <w:color w:val="000000" w:themeColor="text1"/>
            </w:rPr>
            <w:instrText xml:space="preserve"> MACROBUTTON  SnrToggleCheckbox □</w:instrText>
          </w:r>
          <w:r>
            <w:rPr>
              <w:rFonts w:cs="Cambria"/>
              <w:color w:val="000000" w:themeColor="text1"/>
            </w:rPr>
            <w:instrText>不适用</w:instrText>
          </w:r>
          <w:r>
            <w:rPr>
              <w:rFonts w:cs="Cambria"/>
              <w:color w:val="000000" w:themeColor="text1"/>
            </w:rPr>
            <w:instrText xml:space="preserve"> </w:instrText>
          </w:r>
          <w:r>
            <w:rPr>
              <w:rFonts w:cs="Cambria"/>
              <w:color w:val="000000" w:themeColor="text1"/>
            </w:rPr>
            <w:fldChar w:fldCharType="end"/>
          </w:r>
        </w:p>
      </w:sdtContent>
    </w:sdt>
    <w:sdt>
      <w:sdtPr>
        <w:rPr>
          <w:rFonts w:cs="Cambria"/>
          <w:color w:val="000000" w:themeColor="text1"/>
        </w:rPr>
        <w:alias w:val="关联担保说明"/>
        <w:tag w:val="_GBC_e0444f9afd5a4ce58c84bff06eddbd44"/>
        <w:id w:val="-338235992"/>
        <w:placeholder>
          <w:docPart w:val="GBC22222222222222222222222222222"/>
        </w:placeholder>
      </w:sdtPr>
      <w:sdtEndPr/>
      <w:sdtContent>
        <w:p w:rsidR="00156DD6" w:rsidRDefault="00D51F5F">
          <w:pPr>
            <w:spacing w:line="360" w:lineRule="exact"/>
            <w:ind w:firstLineChars="200" w:firstLine="420"/>
            <w:rPr>
              <w:rFonts w:cs="Cambria"/>
              <w:color w:val="000000" w:themeColor="text1"/>
            </w:rPr>
          </w:pPr>
          <w:r>
            <w:rPr>
              <w:rFonts w:cs="Cambria" w:hint="eastAsia"/>
              <w:color w:val="000000" w:themeColor="text1"/>
            </w:rPr>
            <w:t>（</w:t>
          </w:r>
          <w:r>
            <w:rPr>
              <w:rFonts w:cs="Cambria" w:hint="eastAsia"/>
              <w:color w:val="000000" w:themeColor="text1"/>
            </w:rPr>
            <w:t>1</w:t>
          </w:r>
          <w:r>
            <w:rPr>
              <w:rFonts w:cs="Cambria" w:hint="eastAsia"/>
              <w:color w:val="000000" w:themeColor="text1"/>
            </w:rPr>
            <w:t>）</w:t>
          </w:r>
          <w:r>
            <w:rPr>
              <w:rFonts w:cs="Cambria" w:hint="eastAsia"/>
              <w:color w:val="000000" w:themeColor="text1"/>
            </w:rPr>
            <w:t xml:space="preserve"> </w:t>
          </w:r>
          <w:r>
            <w:rPr>
              <w:rFonts w:cs="Cambria" w:hint="eastAsia"/>
              <w:color w:val="000000" w:themeColor="text1"/>
            </w:rPr>
            <w:t>2021</w:t>
          </w:r>
          <w:r>
            <w:rPr>
              <w:rFonts w:cs="Cambria" w:hint="eastAsia"/>
              <w:color w:val="000000" w:themeColor="text1"/>
            </w:rPr>
            <w:t>年</w:t>
          </w:r>
          <w:r>
            <w:rPr>
              <w:rFonts w:cs="Cambria" w:hint="eastAsia"/>
              <w:color w:val="000000" w:themeColor="text1"/>
            </w:rPr>
            <w:t>11</w:t>
          </w:r>
          <w:r>
            <w:rPr>
              <w:rFonts w:cs="Cambria" w:hint="eastAsia"/>
              <w:color w:val="000000" w:themeColor="text1"/>
            </w:rPr>
            <w:t>月</w:t>
          </w:r>
          <w:r>
            <w:rPr>
              <w:rFonts w:cs="Cambria" w:hint="eastAsia"/>
              <w:color w:val="000000" w:themeColor="text1"/>
            </w:rPr>
            <w:t>1</w:t>
          </w:r>
          <w:r>
            <w:rPr>
              <w:rFonts w:cs="Cambria" w:hint="eastAsia"/>
              <w:color w:val="000000" w:themeColor="text1"/>
            </w:rPr>
            <w:t>日杨泽民、秦惠兰与中国工商银行股份有限公司都匀分行签订担保协议，担保人杨泽民、秦惠兰为黔南望江变压器有限公司与中国工商银行股份有限公司都匀分行签订的《项目贷款合同》提供担保，担保金额</w:t>
          </w:r>
          <w:r>
            <w:rPr>
              <w:rFonts w:cs="Cambria" w:hint="eastAsia"/>
              <w:color w:val="000000" w:themeColor="text1"/>
            </w:rPr>
            <w:t>0.8</w:t>
          </w:r>
          <w:r>
            <w:rPr>
              <w:rFonts w:cs="Cambria" w:hint="eastAsia"/>
              <w:color w:val="000000" w:themeColor="text1"/>
            </w:rPr>
            <w:t>亿元，实际担保余额</w:t>
          </w:r>
          <w:r>
            <w:rPr>
              <w:rFonts w:cs="Cambria" w:hint="eastAsia"/>
              <w:color w:val="000000" w:themeColor="text1"/>
            </w:rPr>
            <w:t>0.2</w:t>
          </w:r>
          <w:r>
            <w:rPr>
              <w:rFonts w:cs="Cambria" w:hint="eastAsia"/>
              <w:color w:val="000000" w:themeColor="text1"/>
            </w:rPr>
            <w:t>亿元；</w:t>
          </w:r>
        </w:p>
        <w:p w:rsidR="00156DD6" w:rsidRDefault="00D51F5F">
          <w:pPr>
            <w:spacing w:line="360" w:lineRule="exact"/>
            <w:ind w:firstLineChars="200" w:firstLine="420"/>
            <w:rPr>
              <w:rFonts w:cs="Cambria"/>
              <w:color w:val="000000" w:themeColor="text1"/>
            </w:rPr>
          </w:pPr>
          <w:r>
            <w:rPr>
              <w:rFonts w:cs="Cambria" w:hint="eastAsia"/>
              <w:color w:val="000000" w:themeColor="text1"/>
            </w:rPr>
            <w:t>（</w:t>
          </w:r>
          <w:r>
            <w:rPr>
              <w:rFonts w:cs="Cambria" w:hint="eastAsia"/>
              <w:color w:val="000000" w:themeColor="text1"/>
            </w:rPr>
            <w:t>2</w:t>
          </w:r>
          <w:r>
            <w:rPr>
              <w:rFonts w:cs="Cambria" w:hint="eastAsia"/>
              <w:color w:val="000000" w:themeColor="text1"/>
            </w:rPr>
            <w:t>）</w:t>
          </w:r>
          <w:r>
            <w:rPr>
              <w:rFonts w:cs="Cambria" w:hint="eastAsia"/>
              <w:color w:val="000000" w:themeColor="text1"/>
            </w:rPr>
            <w:t xml:space="preserve"> 2022</w:t>
          </w:r>
          <w:r>
            <w:rPr>
              <w:rFonts w:cs="Cambria" w:hint="eastAsia"/>
              <w:color w:val="000000" w:themeColor="text1"/>
            </w:rPr>
            <w:t>年</w:t>
          </w:r>
          <w:r>
            <w:rPr>
              <w:rFonts w:cs="Cambria" w:hint="eastAsia"/>
              <w:color w:val="000000" w:themeColor="text1"/>
            </w:rPr>
            <w:t>11</w:t>
          </w:r>
          <w:r>
            <w:rPr>
              <w:rFonts w:cs="Cambria" w:hint="eastAsia"/>
              <w:color w:val="000000" w:themeColor="text1"/>
            </w:rPr>
            <w:t>月</w:t>
          </w:r>
          <w:r>
            <w:rPr>
              <w:rFonts w:cs="Cambria" w:hint="eastAsia"/>
              <w:color w:val="000000" w:themeColor="text1"/>
            </w:rPr>
            <w:t>08</w:t>
          </w:r>
          <w:r>
            <w:rPr>
              <w:rFonts w:cs="Cambria" w:hint="eastAsia"/>
              <w:color w:val="000000" w:themeColor="text1"/>
            </w:rPr>
            <w:t>日杨泽民、秦惠兰与中信银行股份有限公司重庆分行签订担保协议，担保人杨泽民、秦惠兰为本公司与中信银行股份有限公司重庆分行签订的《授信合同》提供担保，担保金额</w:t>
          </w:r>
          <w:r>
            <w:rPr>
              <w:rFonts w:cs="Cambria" w:hint="eastAsia"/>
              <w:color w:val="000000" w:themeColor="text1"/>
            </w:rPr>
            <w:t>1.8</w:t>
          </w:r>
          <w:r>
            <w:rPr>
              <w:rFonts w:cs="Cambria" w:hint="eastAsia"/>
              <w:color w:val="000000" w:themeColor="text1"/>
            </w:rPr>
            <w:t>亿元，实际担保余额</w:t>
          </w:r>
          <w:r>
            <w:rPr>
              <w:rFonts w:cs="Cambria" w:hint="eastAsia"/>
              <w:color w:val="000000" w:themeColor="text1"/>
            </w:rPr>
            <w:t>1.53</w:t>
          </w:r>
          <w:r>
            <w:rPr>
              <w:rFonts w:cs="Cambria" w:hint="eastAsia"/>
              <w:color w:val="000000" w:themeColor="text1"/>
            </w:rPr>
            <w:t>亿元；</w:t>
          </w:r>
        </w:p>
      </w:sdtContent>
    </w:sdt>
    <w:p w:rsidR="00156DD6" w:rsidRDefault="00D51F5F">
      <w:pPr>
        <w:pStyle w:val="Style47"/>
        <w:numPr>
          <w:ilvl w:val="0"/>
          <w:numId w:val="98"/>
        </w:numPr>
        <w:tabs>
          <w:tab w:val="left" w:pos="616"/>
        </w:tabs>
        <w:rPr>
          <w:rFonts w:ascii="宋体" w:hAnsi="宋体"/>
          <w:color w:val="000000" w:themeColor="text1"/>
          <w:sz w:val="21"/>
          <w:szCs w:val="21"/>
        </w:rPr>
      </w:pPr>
      <w:bookmarkStart w:id="467" w:name="_Hlk72829984"/>
      <w:bookmarkEnd w:id="466"/>
      <w:r>
        <w:rPr>
          <w:rFonts w:ascii="宋体" w:hAnsi="宋体" w:hint="eastAsia"/>
          <w:color w:val="000000" w:themeColor="text1"/>
          <w:sz w:val="21"/>
          <w:szCs w:val="21"/>
        </w:rPr>
        <w:t>关联方资金拆借</w:t>
      </w:r>
    </w:p>
    <w:sdt>
      <w:sdtPr>
        <w:rPr>
          <w:color w:val="000000" w:themeColor="text1"/>
        </w:rPr>
        <w:alias w:val="是否适用：关联方资金拆借[双击切换]"/>
        <w:tag w:val="_GBC_4b2d20ddab104a06a9007945a55a3da5"/>
        <w:id w:val="-102069383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MACROBUTTON  Snr</w:instrText>
          </w:r>
          <w:r>
            <w:rPr>
              <w:rFonts w:hint="eastAsia"/>
              <w:color w:val="000000" w:themeColor="text1"/>
            </w:rPr>
            <w:instrText xml:space="preserve">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67"/>
    <w:p w:rsidR="00156DD6" w:rsidRDefault="00D51F5F">
      <w:pPr>
        <w:pStyle w:val="Style47"/>
        <w:numPr>
          <w:ilvl w:val="0"/>
          <w:numId w:val="98"/>
        </w:numPr>
        <w:tabs>
          <w:tab w:val="left" w:pos="616"/>
        </w:tabs>
        <w:rPr>
          <w:rFonts w:ascii="宋体" w:hAnsi="宋体"/>
          <w:color w:val="000000" w:themeColor="text1"/>
          <w:sz w:val="21"/>
          <w:szCs w:val="21"/>
        </w:rPr>
      </w:pPr>
      <w:r>
        <w:rPr>
          <w:rFonts w:ascii="宋体" w:hAnsi="宋体" w:hint="eastAsia"/>
          <w:color w:val="000000" w:themeColor="text1"/>
          <w:sz w:val="21"/>
          <w:szCs w:val="21"/>
        </w:rPr>
        <w:t>关联方资产转让、债务重组情况</w:t>
      </w:r>
    </w:p>
    <w:sdt>
      <w:sdtPr>
        <w:rPr>
          <w:color w:val="000000" w:themeColor="text1"/>
        </w:rPr>
        <w:alias w:val="是否适用：关联方资产转让、债务重组情况[双击切换]"/>
        <w:tag w:val="_GBC_c590c66abdbe454e89c4c55269fb6adf"/>
        <w:id w:val="-148299278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98"/>
        </w:numPr>
        <w:tabs>
          <w:tab w:val="left" w:pos="616"/>
        </w:tabs>
        <w:rPr>
          <w:rFonts w:ascii="宋体" w:hAnsi="宋体"/>
          <w:color w:val="000000" w:themeColor="text1"/>
          <w:sz w:val="21"/>
          <w:szCs w:val="21"/>
        </w:rPr>
      </w:pPr>
      <w:r>
        <w:rPr>
          <w:rFonts w:ascii="宋体" w:hAnsi="宋体" w:hint="eastAsia"/>
          <w:color w:val="000000" w:themeColor="text1"/>
          <w:sz w:val="21"/>
          <w:szCs w:val="21"/>
        </w:rPr>
        <w:t>关键管理人员报酬</w:t>
      </w:r>
    </w:p>
    <w:sdt>
      <w:sdtPr>
        <w:rPr>
          <w:color w:val="000000" w:themeColor="text1"/>
        </w:rPr>
        <w:alias w:val="是否适用：关键管理人员报酬[双击切换]"/>
        <w:tag w:val="_GBC_48379e9c7f5743bb916ac1cb044f4057"/>
        <w:id w:val="102322054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rFonts w:cs="Cambria"/>
          <w:color w:val="000000" w:themeColor="text1"/>
        </w:rPr>
      </w:pPr>
      <w:r>
        <w:rPr>
          <w:rFonts w:cs="Cambria" w:hint="eastAsia"/>
          <w:color w:val="000000" w:themeColor="text1"/>
        </w:rPr>
        <w:t>单位：</w:t>
      </w:r>
      <w:sdt>
        <w:sdtPr>
          <w:rPr>
            <w:rFonts w:cs="Cambria" w:hint="eastAsia"/>
            <w:color w:val="000000" w:themeColor="text1"/>
          </w:rPr>
          <w:alias w:val="单位：财务附注：关键管理人员报酬"/>
          <w:tag w:val="_GBC_ce83ed5df8424f9a845da83f15361f10"/>
          <w:id w:val="4765759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color w:val="000000" w:themeColor="text1"/>
            </w:rPr>
            <w:t>元</w:t>
          </w:r>
        </w:sdtContent>
      </w:sdt>
      <w:r>
        <w:rPr>
          <w:rFonts w:cs="Cambria" w:hint="eastAsia"/>
          <w:color w:val="000000" w:themeColor="text1"/>
        </w:rPr>
        <w:t xml:space="preserve">  </w:t>
      </w:r>
      <w:r>
        <w:rPr>
          <w:rFonts w:cs="Cambria" w:hint="eastAsia"/>
          <w:color w:val="000000" w:themeColor="text1"/>
        </w:rPr>
        <w:t>币种：</w:t>
      </w:r>
      <w:sdt>
        <w:sdtPr>
          <w:rPr>
            <w:rFonts w:cs="Cambria" w:hint="eastAsia"/>
            <w:color w:val="000000" w:themeColor="text1"/>
          </w:rPr>
          <w:alias w:val="币种：财务附注：关键管理人员报酬"/>
          <w:tag w:val="_GBC_f493c9ef199846639115d5bc3032a26e"/>
          <w:id w:val="17552368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9"/>
      </w:tblGrid>
      <w:tr w:rsidR="00156DD6">
        <w:sdt>
          <w:sdtPr>
            <w:tag w:val="_PLD_67f843efe3664c9fbe7a215b63622ea0"/>
            <w:id w:val="85668105"/>
          </w:sdtPr>
          <w:sdtEndPr/>
          <w:sdtContent>
            <w:tc>
              <w:tcPr>
                <w:tcW w:w="1809"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项目</w:t>
                </w:r>
              </w:p>
            </w:tc>
          </w:sdtContent>
        </w:sdt>
        <w:sdt>
          <w:sdtPr>
            <w:tag w:val="_PLD_30a169af324e457e93d304c688a55945"/>
            <w:id w:val="2115477908"/>
          </w:sdtPr>
          <w:sdtEndPr/>
          <w:sdtContent>
            <w:tc>
              <w:tcPr>
                <w:tcW w:w="1809"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本期发生额</w:t>
                </w:r>
              </w:p>
            </w:tc>
          </w:sdtContent>
        </w:sdt>
        <w:sdt>
          <w:sdtPr>
            <w:tag w:val="_PLD_bf5a91780f544d6eade38e70db331a30"/>
            <w:id w:val="162364575"/>
          </w:sdtPr>
          <w:sdtEndPr/>
          <w:sdtContent>
            <w:tc>
              <w:tcPr>
                <w:tcW w:w="138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rFonts w:cs="Cambria"/>
                    <w:color w:val="000000" w:themeColor="text1"/>
                  </w:rPr>
                </w:pPr>
                <w:r>
                  <w:rPr>
                    <w:rFonts w:cs="Cambria" w:hint="eastAsia"/>
                    <w:color w:val="000000" w:themeColor="text1"/>
                  </w:rPr>
                  <w:t>上期发生额</w:t>
                </w:r>
              </w:p>
            </w:tc>
          </w:sdtContent>
        </w:sdt>
      </w:tr>
      <w:tr w:rsidR="00156DD6">
        <w:tc>
          <w:tcPr>
            <w:tcW w:w="1809" w:type="pct"/>
            <w:tcBorders>
              <w:top w:val="single" w:sz="4" w:space="0" w:color="auto"/>
              <w:left w:val="single" w:sz="4" w:space="0" w:color="auto"/>
              <w:bottom w:val="single" w:sz="4" w:space="0" w:color="auto"/>
              <w:right w:val="single" w:sz="4" w:space="0" w:color="auto"/>
            </w:tcBorders>
          </w:tcPr>
          <w:p w:rsidR="00156DD6" w:rsidRDefault="00D51F5F">
            <w:pPr>
              <w:rPr>
                <w:rFonts w:cs="Cambria"/>
                <w:color w:val="000000" w:themeColor="text1"/>
              </w:rPr>
            </w:pPr>
            <w:r>
              <w:rPr>
                <w:rFonts w:cs="Cambria" w:hint="eastAsia"/>
                <w:color w:val="000000" w:themeColor="text1"/>
              </w:rPr>
              <w:t>关键管理人员报酬</w:t>
            </w:r>
          </w:p>
        </w:tc>
        <w:tc>
          <w:tcPr>
            <w:tcW w:w="1809" w:type="pct"/>
            <w:tcBorders>
              <w:top w:val="single" w:sz="4" w:space="0" w:color="auto"/>
              <w:left w:val="single" w:sz="4" w:space="0" w:color="auto"/>
              <w:bottom w:val="single" w:sz="4" w:space="0" w:color="auto"/>
              <w:right w:val="single" w:sz="4" w:space="0" w:color="auto"/>
            </w:tcBorders>
          </w:tcPr>
          <w:p w:rsidR="00156DD6" w:rsidRDefault="00D51F5F">
            <w:pPr>
              <w:jc w:val="right"/>
              <w:rPr>
                <w:rFonts w:cs="Cambria"/>
              </w:rPr>
            </w:pPr>
            <w:r>
              <w:t xml:space="preserve"> 3,411,914.38 </w:t>
            </w:r>
          </w:p>
        </w:tc>
        <w:tc>
          <w:tcPr>
            <w:tcW w:w="1382" w:type="pct"/>
            <w:tcBorders>
              <w:top w:val="single" w:sz="4" w:space="0" w:color="auto"/>
              <w:left w:val="single" w:sz="4" w:space="0" w:color="auto"/>
              <w:bottom w:val="single" w:sz="4" w:space="0" w:color="auto"/>
              <w:right w:val="single" w:sz="4" w:space="0" w:color="auto"/>
            </w:tcBorders>
          </w:tcPr>
          <w:p w:rsidR="00156DD6" w:rsidRDefault="00D51F5F">
            <w:pPr>
              <w:jc w:val="right"/>
              <w:rPr>
                <w:rFonts w:cs="Cambria"/>
              </w:rPr>
            </w:pPr>
            <w:r>
              <w:t>3,349,911.63</w:t>
            </w:r>
          </w:p>
        </w:tc>
      </w:tr>
    </w:tbl>
    <w:p w:rsidR="00156DD6" w:rsidRDefault="00D51F5F">
      <w:pPr>
        <w:pStyle w:val="Style47"/>
        <w:numPr>
          <w:ilvl w:val="0"/>
          <w:numId w:val="98"/>
        </w:numPr>
        <w:tabs>
          <w:tab w:val="left" w:pos="616"/>
        </w:tabs>
        <w:rPr>
          <w:rFonts w:ascii="宋体" w:hAnsi="宋体"/>
          <w:color w:val="000000" w:themeColor="text1"/>
          <w:sz w:val="21"/>
          <w:szCs w:val="21"/>
        </w:rPr>
      </w:pPr>
      <w:r>
        <w:rPr>
          <w:rFonts w:ascii="宋体" w:hAnsi="宋体" w:hint="eastAsia"/>
          <w:color w:val="000000" w:themeColor="text1"/>
          <w:sz w:val="21"/>
          <w:szCs w:val="21"/>
        </w:rPr>
        <w:t>其他关联交易</w:t>
      </w:r>
    </w:p>
    <w:sdt>
      <w:sdtPr>
        <w:rPr>
          <w:color w:val="000000" w:themeColor="text1"/>
        </w:rPr>
        <w:alias w:val="是否适用：其他关联交易[双击切换]"/>
        <w:tag w:val="_GBC_9768a300838a499089a7b814ff3d817d"/>
        <w:id w:val="121793770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7"/>
        </w:numPr>
        <w:rPr>
          <w:rFonts w:ascii="宋体" w:hAnsi="宋体"/>
          <w:color w:val="000000" w:themeColor="text1"/>
          <w:sz w:val="21"/>
          <w:szCs w:val="21"/>
        </w:rPr>
      </w:pPr>
      <w:r>
        <w:rPr>
          <w:rFonts w:ascii="宋体" w:hAnsi="宋体" w:hint="eastAsia"/>
          <w:color w:val="000000" w:themeColor="text1"/>
          <w:sz w:val="21"/>
          <w:szCs w:val="21"/>
        </w:rPr>
        <w:t>应收、应付关联方等未结算项目情况</w:t>
      </w:r>
    </w:p>
    <w:p w:rsidR="00156DD6" w:rsidRDefault="00D51F5F">
      <w:pPr>
        <w:pStyle w:val="Style47"/>
        <w:numPr>
          <w:ilvl w:val="0"/>
          <w:numId w:val="99"/>
        </w:numPr>
        <w:tabs>
          <w:tab w:val="left" w:pos="616"/>
        </w:tabs>
        <w:rPr>
          <w:rFonts w:ascii="宋体" w:hAnsi="宋体"/>
          <w:color w:val="000000" w:themeColor="text1"/>
          <w:sz w:val="21"/>
          <w:szCs w:val="21"/>
        </w:rPr>
      </w:pPr>
      <w:r>
        <w:rPr>
          <w:rFonts w:ascii="宋体" w:hAnsi="宋体" w:hint="eastAsia"/>
          <w:color w:val="000000" w:themeColor="text1"/>
          <w:sz w:val="21"/>
          <w:szCs w:val="21"/>
        </w:rPr>
        <w:t>应收项目</w:t>
      </w:r>
    </w:p>
    <w:sdt>
      <w:sdtPr>
        <w:rPr>
          <w:color w:val="000000" w:themeColor="text1"/>
        </w:rPr>
        <w:alias w:val="是否适用：应收项目[双击切换]"/>
        <w:tag w:val="_GBC_e5475e28b21641f6895ac4770b2631b5"/>
        <w:id w:val="209998724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上市公司应收关联方款项"/>
          <w:tag w:val="_GBC_04d0c208b4494e01aba7984c41905093"/>
          <w:id w:val="-12121875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上市公司应收关联方款项"/>
          <w:tag w:val="_GBC_b106fdd467084a62837eebe1d06bbbee"/>
          <w:id w:val="6518707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35"/>
        <w:gridCol w:w="1353"/>
        <w:gridCol w:w="1355"/>
        <w:gridCol w:w="1353"/>
        <w:gridCol w:w="1479"/>
        <w:gridCol w:w="1848"/>
      </w:tblGrid>
      <w:tr w:rsidR="00156DD6">
        <w:sdt>
          <w:sdtPr>
            <w:tag w:val="_PLD_75750bc8ac464afa98573c85adea097c"/>
            <w:id w:val="-1793822057"/>
          </w:sdtPr>
          <w:sdtEndPr/>
          <w:sdtContent>
            <w:tc>
              <w:tcPr>
                <w:tcW w:w="813"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项目名称</w:t>
                </w:r>
              </w:p>
            </w:tc>
          </w:sdtContent>
        </w:sdt>
        <w:sdt>
          <w:sdtPr>
            <w:tag w:val="_PLD_5006be842c534839b3dabcf833329dd5"/>
            <w:id w:val="1709141717"/>
          </w:sdtPr>
          <w:sdtEndPr/>
          <w:sdtContent>
            <w:tc>
              <w:tcPr>
                <w:tcW w:w="767"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关联方</w:t>
                </w:r>
              </w:p>
            </w:tc>
          </w:sdtContent>
        </w:sdt>
        <w:sdt>
          <w:sdtPr>
            <w:tag w:val="_PLD_f8f3c28b2f064090a27f319875eb1b52"/>
            <w:id w:val="1055433784"/>
          </w:sdtPr>
          <w:sdtEndPr/>
          <w:sdtContent>
            <w:tc>
              <w:tcPr>
                <w:tcW w:w="1535"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期末余额</w:t>
                </w:r>
              </w:p>
            </w:tc>
          </w:sdtContent>
        </w:sdt>
        <w:sdt>
          <w:sdtPr>
            <w:tag w:val="_PLD_fdab8cbff0b74f19a916d61075f629a0"/>
            <w:id w:val="1675457364"/>
          </w:sdtPr>
          <w:sdtEndPr/>
          <w:sdtContent>
            <w:tc>
              <w:tcPr>
                <w:tcW w:w="1885"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期初余额</w:t>
                </w:r>
              </w:p>
            </w:tc>
          </w:sdtContent>
        </w:sdt>
      </w:tr>
      <w:tr w:rsidR="00156DD6">
        <w:tc>
          <w:tcPr>
            <w:tcW w:w="813" w:type="pct"/>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tc>
          <w:tcPr>
            <w:tcW w:w="767" w:type="pct"/>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sdt>
          <w:sdtPr>
            <w:tag w:val="_PLD_5c085d18049644c9860a00b248b7c0ba"/>
            <w:id w:val="-1050768784"/>
          </w:sdtPr>
          <w:sdtEndPr/>
          <w:sdtContent>
            <w:tc>
              <w:tcPr>
                <w:tcW w:w="76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8262489c05a6417a883e2c877ded6170"/>
            <w:id w:val="1274365953"/>
          </w:sdtPr>
          <w:sdtEndPr/>
          <w:sdtContent>
            <w:tc>
              <w:tcPr>
                <w:tcW w:w="76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sdt>
          <w:sdtPr>
            <w:tag w:val="_PLD_46c6d827df3f47a3bc83a6dd8718f17e"/>
            <w:id w:val="-1592309969"/>
          </w:sdtPr>
          <w:sdtEndPr/>
          <w:sdtContent>
            <w:tc>
              <w:tcPr>
                <w:tcW w:w="83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账面余额</w:t>
                </w:r>
              </w:p>
            </w:tc>
          </w:sdtContent>
        </w:sdt>
        <w:sdt>
          <w:sdtPr>
            <w:tag w:val="_PLD_fca2aa8baf8a48a7a4cdc730d7420d47"/>
            <w:id w:val="760725166"/>
          </w:sdtPr>
          <w:sdtEndPr/>
          <w:sdtContent>
            <w:tc>
              <w:tcPr>
                <w:tcW w:w="104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坏账准备</w:t>
                </w:r>
              </w:p>
            </w:tc>
          </w:sdtContent>
        </w:sdt>
      </w:tr>
      <w:tr w:rsidR="00156DD6">
        <w:tc>
          <w:tcPr>
            <w:tcW w:w="8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both"/>
            </w:pPr>
            <w:r>
              <w:rPr>
                <w:rFonts w:hint="eastAsia"/>
              </w:rPr>
              <w:t>应收账款</w:t>
            </w:r>
          </w:p>
        </w:tc>
        <w:tc>
          <w:tcPr>
            <w:tcW w:w="767"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pPr>
            <w:r>
              <w:t>重庆能投长寿经开区售电有限公司</w:t>
            </w:r>
          </w:p>
        </w:tc>
        <w:tc>
          <w:tcPr>
            <w:tcW w:w="76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9,043.22</w:t>
            </w:r>
          </w:p>
        </w:tc>
        <w:tc>
          <w:tcPr>
            <w:tcW w:w="767"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452.16</w:t>
            </w:r>
          </w:p>
        </w:tc>
        <w:tc>
          <w:tcPr>
            <w:tcW w:w="83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9,043.22</w:t>
            </w:r>
          </w:p>
        </w:tc>
        <w:tc>
          <w:tcPr>
            <w:tcW w:w="1047"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452.16</w:t>
            </w:r>
          </w:p>
        </w:tc>
      </w:tr>
      <w:tr w:rsidR="00156DD6">
        <w:tc>
          <w:tcPr>
            <w:tcW w:w="8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pPr>
            <w:r>
              <w:rPr>
                <w:rFonts w:hint="eastAsia"/>
              </w:rPr>
              <w:t>预付账款</w:t>
            </w:r>
          </w:p>
        </w:tc>
        <w:tc>
          <w:tcPr>
            <w:tcW w:w="767"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pPr>
            <w:r>
              <w:rPr>
                <w:rFonts w:hint="eastAsia"/>
              </w:rPr>
              <w:t>深圳南海电气科技有限公司</w:t>
            </w:r>
          </w:p>
        </w:tc>
        <w:tc>
          <w:tcPr>
            <w:tcW w:w="76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rPr>
                <w:rFonts w:hint="eastAsia"/>
              </w:rPr>
              <w:t>305,100.00</w:t>
            </w:r>
          </w:p>
        </w:tc>
        <w:tc>
          <w:tcPr>
            <w:tcW w:w="767" w:type="pct"/>
            <w:tcBorders>
              <w:top w:val="single" w:sz="4" w:space="0" w:color="auto"/>
              <w:left w:val="single" w:sz="4" w:space="0" w:color="auto"/>
              <w:bottom w:val="single" w:sz="4" w:space="0" w:color="auto"/>
              <w:right w:val="single" w:sz="4" w:space="0" w:color="auto"/>
            </w:tcBorders>
            <w:vAlign w:val="center"/>
          </w:tcPr>
          <w:p w:rsidR="00156DD6" w:rsidRDefault="00156DD6">
            <w:pPr>
              <w:autoSpaceDE w:val="0"/>
              <w:autoSpaceDN w:val="0"/>
              <w:adjustRightInd w:val="0"/>
              <w:jc w:val="right"/>
            </w:pPr>
          </w:p>
        </w:tc>
        <w:tc>
          <w:tcPr>
            <w:tcW w:w="838" w:type="pct"/>
            <w:tcBorders>
              <w:top w:val="single" w:sz="4" w:space="0" w:color="auto"/>
              <w:left w:val="single" w:sz="4" w:space="0" w:color="auto"/>
              <w:bottom w:val="single" w:sz="4" w:space="0" w:color="auto"/>
              <w:right w:val="single" w:sz="4" w:space="0" w:color="auto"/>
            </w:tcBorders>
            <w:vAlign w:val="center"/>
          </w:tcPr>
          <w:p w:rsidR="00156DD6" w:rsidRDefault="00156DD6">
            <w:pPr>
              <w:autoSpaceDE w:val="0"/>
              <w:autoSpaceDN w:val="0"/>
              <w:adjustRightInd w:val="0"/>
              <w:jc w:val="right"/>
            </w:pPr>
          </w:p>
        </w:tc>
        <w:tc>
          <w:tcPr>
            <w:tcW w:w="1047" w:type="pct"/>
            <w:tcBorders>
              <w:top w:val="single" w:sz="4" w:space="0" w:color="auto"/>
              <w:left w:val="single" w:sz="4" w:space="0" w:color="auto"/>
              <w:bottom w:val="single" w:sz="4" w:space="0" w:color="auto"/>
              <w:right w:val="single" w:sz="4" w:space="0" w:color="auto"/>
            </w:tcBorders>
            <w:vAlign w:val="center"/>
          </w:tcPr>
          <w:p w:rsidR="00156DD6" w:rsidRDefault="00156DD6">
            <w:pPr>
              <w:autoSpaceDE w:val="0"/>
              <w:autoSpaceDN w:val="0"/>
              <w:adjustRightInd w:val="0"/>
              <w:jc w:val="right"/>
            </w:pPr>
          </w:p>
        </w:tc>
      </w:tr>
      <w:tr w:rsidR="00156DD6">
        <w:tc>
          <w:tcPr>
            <w:tcW w:w="81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pPr>
            <w:r>
              <w:rPr>
                <w:rFonts w:hint="eastAsia"/>
              </w:rPr>
              <w:t>合计</w:t>
            </w:r>
          </w:p>
        </w:tc>
        <w:tc>
          <w:tcPr>
            <w:tcW w:w="767" w:type="pct"/>
            <w:tcBorders>
              <w:top w:val="single" w:sz="4" w:space="0" w:color="auto"/>
              <w:left w:val="single" w:sz="4" w:space="0" w:color="auto"/>
              <w:bottom w:val="single" w:sz="4" w:space="0" w:color="auto"/>
              <w:right w:val="single" w:sz="4" w:space="0" w:color="auto"/>
            </w:tcBorders>
          </w:tcPr>
          <w:p w:rsidR="00156DD6" w:rsidRDefault="00156DD6">
            <w:pPr>
              <w:autoSpaceDE w:val="0"/>
              <w:autoSpaceDN w:val="0"/>
              <w:adjustRightInd w:val="0"/>
              <w:jc w:val="center"/>
            </w:pPr>
          </w:p>
        </w:tc>
        <w:tc>
          <w:tcPr>
            <w:tcW w:w="76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rPr>
                <w:rFonts w:hint="eastAsia"/>
              </w:rPr>
              <w:t>314,143.22</w:t>
            </w:r>
          </w:p>
        </w:tc>
        <w:tc>
          <w:tcPr>
            <w:tcW w:w="767"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452.16 </w:t>
            </w:r>
          </w:p>
        </w:tc>
        <w:tc>
          <w:tcPr>
            <w:tcW w:w="838"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9,043.22 </w:t>
            </w:r>
          </w:p>
        </w:tc>
        <w:tc>
          <w:tcPr>
            <w:tcW w:w="1047"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452.16 </w:t>
            </w:r>
          </w:p>
        </w:tc>
      </w:tr>
    </w:tbl>
    <w:p w:rsidR="00156DD6" w:rsidRDefault="00D51F5F">
      <w:pPr>
        <w:pStyle w:val="Style47"/>
        <w:numPr>
          <w:ilvl w:val="0"/>
          <w:numId w:val="99"/>
        </w:numPr>
        <w:tabs>
          <w:tab w:val="left" w:pos="616"/>
        </w:tabs>
        <w:rPr>
          <w:rFonts w:ascii="宋体" w:hAnsi="宋体"/>
          <w:color w:val="000000" w:themeColor="text1"/>
          <w:sz w:val="21"/>
          <w:szCs w:val="32"/>
        </w:rPr>
      </w:pPr>
      <w:r>
        <w:rPr>
          <w:rFonts w:ascii="宋体" w:hAnsi="宋体" w:hint="eastAsia"/>
          <w:color w:val="000000" w:themeColor="text1"/>
          <w:sz w:val="21"/>
          <w:szCs w:val="32"/>
        </w:rPr>
        <w:t>应付项目</w:t>
      </w:r>
    </w:p>
    <w:p w:rsidR="00156DD6" w:rsidRDefault="00D51F5F">
      <w:pPr>
        <w:rPr>
          <w:color w:val="000000" w:themeColor="text1"/>
        </w:rPr>
      </w:pPr>
      <w:sdt>
        <w:sdtPr>
          <w:rPr>
            <w:rFonts w:hint="eastAsia"/>
            <w:color w:val="000000" w:themeColor="text1"/>
          </w:rPr>
          <w:alias w:val="是否适用：应付项目[双击切换]"/>
          <w:tag w:val="_GBC_9dbefb51b716471b878d2e2863524a53"/>
          <w:id w:val="-552928119"/>
          <w:placeholder>
            <w:docPart w:val="GBC22222222222222222222222222222"/>
          </w:placeholder>
        </w:sdtPr>
        <w:sdtEndPr/>
        <w:sdtContent>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sdtContent>
      </w:sdt>
    </w:p>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上市公司应付关联方款项"/>
          <w:tag w:val="_GBC_08d04faee6a64768877db8f6ab14663e"/>
          <w:id w:val="19772526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上市公司应付关联方款项"/>
          <w:tag w:val="_GBC_124ea57c07fc4e23931a125a103e711c"/>
          <w:id w:val="7950361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110"/>
        <w:gridCol w:w="2031"/>
        <w:gridCol w:w="2033"/>
        <w:gridCol w:w="2649"/>
      </w:tblGrid>
      <w:tr w:rsidR="00156DD6">
        <w:sdt>
          <w:sdtPr>
            <w:tag w:val="_PLD_cf838d28f8e94c899328f1b9cd175b08"/>
            <w:id w:val="500401881"/>
          </w:sdtPr>
          <w:sdtEndPr/>
          <w:sdtContent>
            <w:tc>
              <w:tcPr>
                <w:tcW w:w="1196" w:type="pct"/>
                <w:tcBorders>
                  <w:top w:val="single" w:sz="4" w:space="0" w:color="auto"/>
                  <w:left w:val="single" w:sz="4" w:space="0" w:color="auto"/>
                  <w:right w:val="single" w:sz="4" w:space="0" w:color="auto"/>
                </w:tcBorders>
              </w:tcPr>
              <w:p w:rsidR="00156DD6" w:rsidRDefault="00D51F5F">
                <w:pPr>
                  <w:jc w:val="center"/>
                  <w:rPr>
                    <w:color w:val="000000" w:themeColor="text1"/>
                  </w:rPr>
                </w:pPr>
                <w:r>
                  <w:rPr>
                    <w:rFonts w:hint="eastAsia"/>
                    <w:color w:val="000000" w:themeColor="text1"/>
                  </w:rPr>
                  <w:t>项目名称</w:t>
                </w:r>
              </w:p>
            </w:tc>
          </w:sdtContent>
        </w:sdt>
        <w:sdt>
          <w:sdtPr>
            <w:tag w:val="_PLD_25173a15407f4af6adbf91389dcc2257"/>
            <w:id w:val="-1972817672"/>
          </w:sdtPr>
          <w:sdtEndPr/>
          <w:sdtContent>
            <w:tc>
              <w:tcPr>
                <w:tcW w:w="1151" w:type="pct"/>
                <w:tcBorders>
                  <w:top w:val="single" w:sz="4" w:space="0" w:color="auto"/>
                  <w:left w:val="single" w:sz="4" w:space="0" w:color="auto"/>
                  <w:right w:val="single" w:sz="4" w:space="0" w:color="auto"/>
                </w:tcBorders>
              </w:tcPr>
              <w:p w:rsidR="00156DD6" w:rsidRDefault="00D51F5F">
                <w:pPr>
                  <w:jc w:val="center"/>
                  <w:rPr>
                    <w:color w:val="000000" w:themeColor="text1"/>
                  </w:rPr>
                </w:pPr>
                <w:r>
                  <w:rPr>
                    <w:rFonts w:hint="eastAsia"/>
                    <w:color w:val="000000" w:themeColor="text1"/>
                  </w:rPr>
                  <w:t>关联方</w:t>
                </w:r>
              </w:p>
            </w:tc>
          </w:sdtContent>
        </w:sdt>
        <w:sdt>
          <w:sdtPr>
            <w:tag w:val="_PLD_a8551739db0f47cab1b1a6ea0e700367"/>
            <w:id w:val="-220593696"/>
          </w:sdtPr>
          <w:sdtEndPr/>
          <w:sdtContent>
            <w:tc>
              <w:tcPr>
                <w:tcW w:w="1152"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期末账面余额</w:t>
                </w:r>
              </w:p>
            </w:tc>
          </w:sdtContent>
        </w:sdt>
        <w:sdt>
          <w:sdtPr>
            <w:tag w:val="_PLD_83bc027cb7f1401db7a26beffe77ce00"/>
            <w:id w:val="1248925425"/>
          </w:sdtPr>
          <w:sdtEndPr/>
          <w:sdtContent>
            <w:tc>
              <w:tcPr>
                <w:tcW w:w="1501"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期初账面余额</w:t>
                </w:r>
              </w:p>
            </w:tc>
          </w:sdtContent>
        </w:sdt>
      </w:tr>
      <w:tr w:rsidR="00156DD6">
        <w:tc>
          <w:tcPr>
            <w:tcW w:w="1196"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pPr>
            <w:r>
              <w:rPr>
                <w:rFonts w:hint="eastAsia"/>
              </w:rPr>
              <w:t>应付账款</w:t>
            </w:r>
          </w:p>
        </w:tc>
        <w:tc>
          <w:tcPr>
            <w:tcW w:w="1151"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pPr>
            <w:r>
              <w:rPr>
                <w:rFonts w:hint="eastAsia"/>
              </w:rPr>
              <w:t>四川明珠电工材料有限责任公司</w:t>
            </w:r>
          </w:p>
        </w:tc>
        <w:tc>
          <w:tcPr>
            <w:tcW w:w="1152"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5,741,447.83 </w:t>
            </w:r>
          </w:p>
        </w:tc>
        <w:tc>
          <w:tcPr>
            <w:tcW w:w="1501"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11,356,660.61 </w:t>
            </w:r>
          </w:p>
        </w:tc>
      </w:tr>
      <w:tr w:rsidR="00156DD6">
        <w:tc>
          <w:tcPr>
            <w:tcW w:w="1196"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pPr>
            <w:r>
              <w:rPr>
                <w:rFonts w:hint="eastAsia"/>
              </w:rPr>
              <w:lastRenderedPageBreak/>
              <w:t>应付账款</w:t>
            </w:r>
          </w:p>
        </w:tc>
        <w:tc>
          <w:tcPr>
            <w:tcW w:w="1151" w:type="pct"/>
            <w:tcBorders>
              <w:top w:val="single" w:sz="4" w:space="0" w:color="auto"/>
              <w:left w:val="single" w:sz="4" w:space="0" w:color="auto"/>
              <w:bottom w:val="single" w:sz="4" w:space="0" w:color="auto"/>
              <w:right w:val="single" w:sz="4" w:space="0" w:color="auto"/>
            </w:tcBorders>
          </w:tcPr>
          <w:p w:rsidR="00156DD6" w:rsidRDefault="00D51F5F">
            <w:pPr>
              <w:autoSpaceDE w:val="0"/>
              <w:autoSpaceDN w:val="0"/>
              <w:adjustRightInd w:val="0"/>
            </w:pPr>
            <w:r>
              <w:rPr>
                <w:rFonts w:hint="eastAsia"/>
              </w:rPr>
              <w:t>重庆能投长寿经开区售电有限公司</w:t>
            </w:r>
          </w:p>
        </w:tc>
        <w:tc>
          <w:tcPr>
            <w:tcW w:w="1152" w:type="pct"/>
            <w:tcBorders>
              <w:top w:val="single" w:sz="4" w:space="0" w:color="auto"/>
              <w:left w:val="single" w:sz="4" w:space="0" w:color="auto"/>
              <w:bottom w:val="single" w:sz="4" w:space="0" w:color="auto"/>
              <w:right w:val="single" w:sz="4" w:space="0" w:color="auto"/>
            </w:tcBorders>
            <w:vAlign w:val="center"/>
          </w:tcPr>
          <w:p w:rsidR="00156DD6" w:rsidRDefault="00156DD6">
            <w:pPr>
              <w:autoSpaceDE w:val="0"/>
              <w:autoSpaceDN w:val="0"/>
              <w:adjustRightInd w:val="0"/>
              <w:jc w:val="right"/>
            </w:pPr>
          </w:p>
        </w:tc>
        <w:tc>
          <w:tcPr>
            <w:tcW w:w="1501"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10,000.00 </w:t>
            </w:r>
          </w:p>
        </w:tc>
      </w:tr>
      <w:tr w:rsidR="00156DD6">
        <w:tc>
          <w:tcPr>
            <w:tcW w:w="1196"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pPr>
            <w:r>
              <w:rPr>
                <w:rFonts w:hint="eastAsia"/>
              </w:rPr>
              <w:t>合计</w:t>
            </w:r>
          </w:p>
        </w:tc>
        <w:tc>
          <w:tcPr>
            <w:tcW w:w="1151" w:type="pct"/>
            <w:tcBorders>
              <w:top w:val="single" w:sz="4" w:space="0" w:color="auto"/>
              <w:left w:val="single" w:sz="4" w:space="0" w:color="auto"/>
              <w:bottom w:val="single" w:sz="4" w:space="0" w:color="auto"/>
              <w:right w:val="single" w:sz="4" w:space="0" w:color="auto"/>
            </w:tcBorders>
          </w:tcPr>
          <w:p w:rsidR="00156DD6" w:rsidRDefault="00156DD6">
            <w:pPr>
              <w:autoSpaceDE w:val="0"/>
              <w:autoSpaceDN w:val="0"/>
              <w:adjustRightInd w:val="0"/>
            </w:pPr>
          </w:p>
        </w:tc>
        <w:tc>
          <w:tcPr>
            <w:tcW w:w="1152"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5,741,447.83 </w:t>
            </w:r>
          </w:p>
        </w:tc>
        <w:tc>
          <w:tcPr>
            <w:tcW w:w="1501"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right"/>
            </w:pPr>
            <w:r>
              <w:t xml:space="preserve">11,366,660.61 </w:t>
            </w:r>
          </w:p>
        </w:tc>
      </w:tr>
    </w:tbl>
    <w:p w:rsidR="00156DD6" w:rsidRDefault="00D51F5F">
      <w:pPr>
        <w:pStyle w:val="Style47"/>
        <w:numPr>
          <w:ilvl w:val="0"/>
          <w:numId w:val="99"/>
        </w:numPr>
        <w:tabs>
          <w:tab w:val="left" w:pos="616"/>
        </w:tabs>
        <w:rPr>
          <w:rFonts w:ascii="宋体" w:hAnsi="宋体"/>
          <w:color w:val="000000" w:themeColor="text1"/>
          <w:sz w:val="21"/>
          <w:szCs w:val="21"/>
        </w:rPr>
      </w:pPr>
      <w:bookmarkStart w:id="468" w:name="_Hlk167976682"/>
      <w:r>
        <w:rPr>
          <w:rFonts w:ascii="宋体" w:hAnsi="宋体" w:hint="eastAsia"/>
          <w:color w:val="000000" w:themeColor="text1"/>
          <w:sz w:val="21"/>
          <w:szCs w:val="21"/>
        </w:rPr>
        <w:t>其他项目</w:t>
      </w:r>
    </w:p>
    <w:sdt>
      <w:sdtPr>
        <w:rPr>
          <w:color w:val="000000" w:themeColor="text1"/>
        </w:rPr>
        <w:alias w:val="是否适用：关联方其他未结算项目情况[双击切换]"/>
        <w:tag w:val="_GBC_459b27789b354473a02699da087a3b51"/>
        <w:id w:val="205649825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68"/>
    <w:p w:rsidR="00156DD6" w:rsidRDefault="00D51F5F">
      <w:pPr>
        <w:pStyle w:val="TOC6"/>
        <w:numPr>
          <w:ilvl w:val="0"/>
          <w:numId w:val="97"/>
        </w:numPr>
        <w:rPr>
          <w:rFonts w:ascii="宋体" w:hAnsi="宋体"/>
          <w:color w:val="000000" w:themeColor="text1"/>
          <w:sz w:val="21"/>
          <w:szCs w:val="21"/>
        </w:rPr>
      </w:pPr>
      <w:r>
        <w:rPr>
          <w:rFonts w:ascii="宋体" w:hAnsi="宋体" w:hint="eastAsia"/>
          <w:color w:val="000000" w:themeColor="text1"/>
          <w:sz w:val="21"/>
          <w:szCs w:val="21"/>
        </w:rPr>
        <w:t>关联方承诺</w:t>
      </w:r>
    </w:p>
    <w:sdt>
      <w:sdtPr>
        <w:rPr>
          <w:color w:val="000000" w:themeColor="text1"/>
        </w:rPr>
        <w:alias w:val="是否适用：关联方承诺[双击切换]"/>
        <w:tag w:val="_GBC_b906cacab2e94825966fa70e345656b5"/>
        <w:id w:val="123573515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97"/>
        </w:numPr>
        <w:rPr>
          <w:rFonts w:ascii="宋体" w:hAnsi="宋体"/>
          <w:color w:val="000000" w:themeColor="text1"/>
          <w:sz w:val="21"/>
          <w:szCs w:val="21"/>
        </w:rPr>
      </w:pPr>
      <w:r>
        <w:rPr>
          <w:rFonts w:ascii="宋体" w:hAnsi="宋体" w:hint="eastAsia"/>
          <w:color w:val="000000" w:themeColor="text1"/>
          <w:sz w:val="21"/>
          <w:szCs w:val="21"/>
        </w:rPr>
        <w:t>其他</w:t>
      </w:r>
    </w:p>
    <w:sdt>
      <w:sdtPr>
        <w:rPr>
          <w:color w:val="000000" w:themeColor="text1"/>
        </w:rPr>
        <w:alias w:val="是否适用：关联方及关联情况的其他说明[双击切换]"/>
        <w:tag w:val="_GBC_87161343db8b4a0b9e041c62c0df5e87"/>
        <w:id w:val="794573495"/>
        <w:placeholder>
          <w:docPart w:val="GBC22222222222222222222222222222"/>
        </w:placeholder>
      </w:sdtPr>
      <w:sdtEndPr/>
      <w:sdtContent>
        <w:p w:rsidR="00156DD6" w:rsidRDefault="00D51F5F">
          <w:pPr>
            <w:rPr>
              <w:rFonts w:cs="Cambria"/>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股份支付</w:t>
      </w:r>
    </w:p>
    <w:p w:rsidR="00156DD6" w:rsidRDefault="00D51F5F">
      <w:pPr>
        <w:pStyle w:val="TOC6"/>
        <w:numPr>
          <w:ilvl w:val="0"/>
          <w:numId w:val="100"/>
        </w:numPr>
        <w:ind w:left="420" w:hanging="420"/>
        <w:rPr>
          <w:rFonts w:ascii="宋体" w:hAnsi="宋体" w:cs="宋体"/>
          <w:color w:val="000000" w:themeColor="text1"/>
          <w:kern w:val="0"/>
          <w:sz w:val="21"/>
          <w:szCs w:val="21"/>
        </w:rPr>
      </w:pPr>
      <w:bookmarkStart w:id="469" w:name="_Hlk168492989"/>
      <w:r>
        <w:rPr>
          <w:rFonts w:ascii="宋体" w:hAnsi="宋体" w:cs="宋体" w:hint="eastAsia"/>
          <w:color w:val="000000" w:themeColor="text1"/>
          <w:kern w:val="0"/>
          <w:sz w:val="21"/>
          <w:szCs w:val="21"/>
        </w:rPr>
        <w:t>各项权益工具</w:t>
      </w:r>
    </w:p>
    <w:p w:rsidR="00156DD6" w:rsidRDefault="00D51F5F">
      <w:pPr>
        <w:pStyle w:val="Style47"/>
        <w:numPr>
          <w:ilvl w:val="0"/>
          <w:numId w:val="101"/>
        </w:numPr>
        <w:rPr>
          <w:sz w:val="21"/>
          <w:szCs w:val="21"/>
        </w:rPr>
      </w:pPr>
      <w:r>
        <w:rPr>
          <w:rFonts w:hint="eastAsia"/>
          <w:sz w:val="21"/>
          <w:szCs w:val="21"/>
        </w:rPr>
        <w:t>明细情况</w:t>
      </w:r>
    </w:p>
    <w:sdt>
      <w:sdtPr>
        <w:rPr>
          <w:color w:val="000000" w:themeColor="text1"/>
        </w:rPr>
        <w:alias w:val="是否适用：各项权益工具[双击切换]"/>
        <w:tag w:val="_GBC_65abee0b78064363a3f4a058a40176bf"/>
        <w:id w:val="-1009831930"/>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bookmarkStart w:id="470" w:name="_Hlk40787153"/>
      <w:bookmarkStart w:id="471" w:name="_Hlk167977283"/>
      <w:bookmarkStart w:id="472" w:name="_Hlk168478628"/>
      <w:bookmarkEnd w:id="469"/>
      <w:r>
        <w:rPr>
          <w:rFonts w:hint="eastAsia"/>
          <w:color w:val="000000" w:themeColor="text1"/>
          <w:szCs w:val="24"/>
        </w:rPr>
        <w:t>数</w:t>
      </w:r>
      <w:r>
        <w:rPr>
          <w:rFonts w:hint="eastAsia"/>
          <w:color w:val="000000" w:themeColor="text1"/>
        </w:rPr>
        <w:t>量单位：</w:t>
      </w:r>
      <w:sdt>
        <w:sdtPr>
          <w:rPr>
            <w:rFonts w:hint="eastAsia"/>
            <w:color w:val="000000" w:themeColor="text1"/>
          </w:rPr>
          <w:alias w:val="单位：各项权益工具"/>
          <w:tag w:val="_GBC_1f0530192b884c7499a9b51d89645b86"/>
          <w:id w:val="-1807148229"/>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color w:val="000000" w:themeColor="text1"/>
            </w:rPr>
            <w:t>股</w:t>
          </w:r>
        </w:sdtContent>
      </w:sdt>
      <w:r>
        <w:rPr>
          <w:rFonts w:hint="eastAsia"/>
          <w:color w:val="000000" w:themeColor="text1"/>
        </w:rPr>
        <w:t xml:space="preserve">  </w:t>
      </w:r>
      <w:r>
        <w:rPr>
          <w:rFonts w:hint="eastAsia"/>
          <w:color w:val="000000" w:themeColor="text1"/>
        </w:rPr>
        <w:t>金额单位：</w:t>
      </w:r>
      <w:sdt>
        <w:sdtPr>
          <w:rPr>
            <w:rFonts w:hint="eastAsia"/>
            <w:color w:val="000000" w:themeColor="text1"/>
          </w:rPr>
          <w:alias w:val="单位2：各项权益工具"/>
          <w:tag w:val="_GBC_6ff5340154884b6e951952897269ffdd"/>
          <w:id w:val="-45063337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各项权益工具"/>
          <w:tag w:val="_GBC_57a111a205b749b2b5ae46bdf679c674"/>
          <w:id w:val="-8225838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r>
        <w:rPr>
          <w:color w:val="000000" w:themeColor="text1"/>
        </w:rPr>
        <w:t xml:space="preserve"> </w:t>
      </w:r>
    </w:p>
    <w:tbl>
      <w:tblPr>
        <w:tblStyle w:val="g2"/>
        <w:tblW w:w="9039" w:type="dxa"/>
        <w:tblInd w:w="0" w:type="dxa"/>
        <w:tblLook w:val="04A0" w:firstRow="1" w:lastRow="0" w:firstColumn="1" w:lastColumn="0" w:noHBand="0" w:noVBand="1"/>
      </w:tblPr>
      <w:tblGrid>
        <w:gridCol w:w="1011"/>
        <w:gridCol w:w="1061"/>
        <w:gridCol w:w="1270"/>
        <w:gridCol w:w="912"/>
        <w:gridCol w:w="913"/>
        <w:gridCol w:w="912"/>
        <w:gridCol w:w="912"/>
        <w:gridCol w:w="988"/>
        <w:gridCol w:w="1060"/>
      </w:tblGrid>
      <w:tr w:rsidR="00156DD6">
        <w:trPr>
          <w:trHeight w:val="135"/>
        </w:trPr>
        <w:sdt>
          <w:sdtPr>
            <w:tag w:val="_PLD_02c6691faceb4df3b522695f577f1b02"/>
            <w:id w:val="1127128024"/>
          </w:sdtPr>
          <w:sdtEndPr/>
          <w:sdtContent>
            <w:tc>
              <w:tcPr>
                <w:tcW w:w="1101" w:type="dxa"/>
                <w:vMerge w:val="restart"/>
                <w:vAlign w:val="center"/>
              </w:tcPr>
              <w:p w:rsidR="00156DD6" w:rsidRDefault="00D51F5F">
                <w:pPr>
                  <w:jc w:val="center"/>
                  <w:rPr>
                    <w:color w:val="000000" w:themeColor="text1"/>
                  </w:rPr>
                </w:pPr>
                <w:r>
                  <w:rPr>
                    <w:rFonts w:hint="eastAsia"/>
                    <w:color w:val="000000" w:themeColor="text1"/>
                  </w:rPr>
                  <w:t>授予对象类别</w:t>
                </w:r>
              </w:p>
            </w:tc>
          </w:sdtContent>
        </w:sdt>
        <w:sdt>
          <w:sdtPr>
            <w:tag w:val="_PLD_973bc2aab0d14572a2465d9a06def676"/>
            <w:id w:val="531540850"/>
          </w:sdtPr>
          <w:sdtEndPr/>
          <w:sdtContent>
            <w:tc>
              <w:tcPr>
                <w:tcW w:w="1984" w:type="dxa"/>
                <w:gridSpan w:val="2"/>
                <w:vAlign w:val="center"/>
              </w:tcPr>
              <w:p w:rsidR="00156DD6" w:rsidRDefault="00D51F5F">
                <w:pPr>
                  <w:jc w:val="center"/>
                  <w:rPr>
                    <w:color w:val="000000" w:themeColor="text1"/>
                  </w:rPr>
                </w:pPr>
                <w:r>
                  <w:rPr>
                    <w:rFonts w:hint="eastAsia"/>
                    <w:color w:val="000000" w:themeColor="text1"/>
                  </w:rPr>
                  <w:t>本期授予</w:t>
                </w:r>
              </w:p>
            </w:tc>
          </w:sdtContent>
        </w:sdt>
        <w:sdt>
          <w:sdtPr>
            <w:tag w:val="_PLD_7f84045de9bb42428d3a829d2d9c0578"/>
            <w:id w:val="-1568954853"/>
          </w:sdtPr>
          <w:sdtEndPr/>
          <w:sdtContent>
            <w:tc>
              <w:tcPr>
                <w:tcW w:w="1985" w:type="dxa"/>
                <w:gridSpan w:val="2"/>
                <w:vAlign w:val="center"/>
              </w:tcPr>
              <w:p w:rsidR="00156DD6" w:rsidRDefault="00D51F5F">
                <w:pPr>
                  <w:jc w:val="center"/>
                  <w:rPr>
                    <w:color w:val="000000" w:themeColor="text1"/>
                  </w:rPr>
                </w:pPr>
                <w:r>
                  <w:rPr>
                    <w:rFonts w:hint="eastAsia"/>
                    <w:color w:val="000000" w:themeColor="text1"/>
                  </w:rPr>
                  <w:t>本期行权</w:t>
                </w:r>
              </w:p>
            </w:tc>
          </w:sdtContent>
        </w:sdt>
        <w:sdt>
          <w:sdtPr>
            <w:tag w:val="_PLD_5f89e1bae55c4ec4bec35ed157106a90"/>
            <w:id w:val="-1319503327"/>
          </w:sdtPr>
          <w:sdtEndPr/>
          <w:sdtContent>
            <w:tc>
              <w:tcPr>
                <w:tcW w:w="1984" w:type="dxa"/>
                <w:gridSpan w:val="2"/>
                <w:vAlign w:val="center"/>
              </w:tcPr>
              <w:p w:rsidR="00156DD6" w:rsidRDefault="00D51F5F">
                <w:pPr>
                  <w:jc w:val="center"/>
                  <w:rPr>
                    <w:color w:val="000000" w:themeColor="text1"/>
                  </w:rPr>
                </w:pPr>
                <w:r>
                  <w:rPr>
                    <w:rFonts w:hint="eastAsia"/>
                    <w:color w:val="000000" w:themeColor="text1"/>
                  </w:rPr>
                  <w:t>本期解锁</w:t>
                </w:r>
              </w:p>
            </w:tc>
          </w:sdtContent>
        </w:sdt>
        <w:sdt>
          <w:sdtPr>
            <w:tag w:val="_PLD_b1ddc35c51a445d78429be34b7c014b9"/>
            <w:id w:val="856390001"/>
          </w:sdtPr>
          <w:sdtEndPr/>
          <w:sdtContent>
            <w:tc>
              <w:tcPr>
                <w:tcW w:w="1985" w:type="dxa"/>
                <w:gridSpan w:val="2"/>
                <w:vAlign w:val="center"/>
              </w:tcPr>
              <w:p w:rsidR="00156DD6" w:rsidRDefault="00D51F5F">
                <w:pPr>
                  <w:jc w:val="center"/>
                  <w:rPr>
                    <w:color w:val="000000" w:themeColor="text1"/>
                  </w:rPr>
                </w:pPr>
                <w:r>
                  <w:rPr>
                    <w:rFonts w:hint="eastAsia"/>
                    <w:color w:val="000000" w:themeColor="text1"/>
                  </w:rPr>
                  <w:t>本期失效</w:t>
                </w:r>
              </w:p>
            </w:tc>
          </w:sdtContent>
        </w:sdt>
      </w:tr>
      <w:tr w:rsidR="00156DD6">
        <w:trPr>
          <w:trHeight w:val="135"/>
        </w:trPr>
        <w:tc>
          <w:tcPr>
            <w:tcW w:w="1101" w:type="dxa"/>
            <w:vMerge/>
            <w:vAlign w:val="center"/>
          </w:tcPr>
          <w:p w:rsidR="00156DD6" w:rsidRDefault="00156DD6">
            <w:pPr>
              <w:jc w:val="center"/>
              <w:rPr>
                <w:color w:val="000000" w:themeColor="text1"/>
              </w:rPr>
            </w:pPr>
          </w:p>
        </w:tc>
        <w:sdt>
          <w:sdtPr>
            <w:tag w:val="_PLD_f29f7d96f35742149b65d762c421c640"/>
            <w:id w:val="1055744481"/>
          </w:sdtPr>
          <w:sdtEndPr/>
          <w:sdtContent>
            <w:tc>
              <w:tcPr>
                <w:tcW w:w="992" w:type="dxa"/>
                <w:vAlign w:val="center"/>
              </w:tcPr>
              <w:p w:rsidR="00156DD6" w:rsidRDefault="00D51F5F">
                <w:pPr>
                  <w:jc w:val="center"/>
                  <w:rPr>
                    <w:color w:val="000000" w:themeColor="text1"/>
                  </w:rPr>
                </w:pPr>
                <w:r>
                  <w:rPr>
                    <w:rFonts w:hint="eastAsia"/>
                    <w:color w:val="000000" w:themeColor="text1"/>
                  </w:rPr>
                  <w:t>数量</w:t>
                </w:r>
              </w:p>
            </w:tc>
          </w:sdtContent>
        </w:sdt>
        <w:sdt>
          <w:sdtPr>
            <w:tag w:val="_PLD_442b324aea5749129ad2ab06d1ac94cc"/>
            <w:id w:val="1002244199"/>
          </w:sdtPr>
          <w:sdtEndPr/>
          <w:sdtContent>
            <w:tc>
              <w:tcPr>
                <w:tcW w:w="992" w:type="dxa"/>
                <w:vAlign w:val="center"/>
              </w:tcPr>
              <w:p w:rsidR="00156DD6" w:rsidRDefault="00D51F5F">
                <w:pPr>
                  <w:jc w:val="center"/>
                  <w:rPr>
                    <w:color w:val="000000" w:themeColor="text1"/>
                  </w:rPr>
                </w:pPr>
                <w:r>
                  <w:rPr>
                    <w:rFonts w:hint="eastAsia"/>
                    <w:color w:val="000000" w:themeColor="text1"/>
                  </w:rPr>
                  <w:t>金额</w:t>
                </w:r>
              </w:p>
            </w:tc>
          </w:sdtContent>
        </w:sdt>
        <w:sdt>
          <w:sdtPr>
            <w:tag w:val="_PLD_2e839355a32d40c785b5c2b8447b9503"/>
            <w:id w:val="-1553063272"/>
          </w:sdtPr>
          <w:sdtEndPr/>
          <w:sdtContent>
            <w:tc>
              <w:tcPr>
                <w:tcW w:w="992" w:type="dxa"/>
                <w:vAlign w:val="center"/>
              </w:tcPr>
              <w:p w:rsidR="00156DD6" w:rsidRDefault="00D51F5F">
                <w:pPr>
                  <w:jc w:val="center"/>
                  <w:rPr>
                    <w:color w:val="000000" w:themeColor="text1"/>
                  </w:rPr>
                </w:pPr>
                <w:r>
                  <w:rPr>
                    <w:rFonts w:hint="eastAsia"/>
                    <w:color w:val="000000" w:themeColor="text1"/>
                  </w:rPr>
                  <w:t>数量</w:t>
                </w:r>
              </w:p>
            </w:tc>
          </w:sdtContent>
        </w:sdt>
        <w:sdt>
          <w:sdtPr>
            <w:tag w:val="_PLD_d3dc19ec48bf4fdeb9654c3087b8c5a4"/>
            <w:id w:val="1966695718"/>
          </w:sdtPr>
          <w:sdtEndPr/>
          <w:sdtContent>
            <w:tc>
              <w:tcPr>
                <w:tcW w:w="993" w:type="dxa"/>
                <w:vAlign w:val="center"/>
              </w:tcPr>
              <w:p w:rsidR="00156DD6" w:rsidRDefault="00D51F5F">
                <w:pPr>
                  <w:jc w:val="center"/>
                  <w:rPr>
                    <w:color w:val="000000" w:themeColor="text1"/>
                  </w:rPr>
                </w:pPr>
                <w:r>
                  <w:rPr>
                    <w:rFonts w:hint="eastAsia"/>
                    <w:color w:val="000000" w:themeColor="text1"/>
                  </w:rPr>
                  <w:t>金额</w:t>
                </w:r>
              </w:p>
            </w:tc>
          </w:sdtContent>
        </w:sdt>
        <w:sdt>
          <w:sdtPr>
            <w:tag w:val="_PLD_004f32c3f99242bdb0d1ff6cd9dbd462"/>
            <w:id w:val="-1155905482"/>
          </w:sdtPr>
          <w:sdtEndPr/>
          <w:sdtContent>
            <w:tc>
              <w:tcPr>
                <w:tcW w:w="992" w:type="dxa"/>
                <w:vAlign w:val="center"/>
              </w:tcPr>
              <w:p w:rsidR="00156DD6" w:rsidRDefault="00D51F5F">
                <w:pPr>
                  <w:jc w:val="center"/>
                  <w:rPr>
                    <w:color w:val="000000" w:themeColor="text1"/>
                  </w:rPr>
                </w:pPr>
                <w:r>
                  <w:rPr>
                    <w:rFonts w:hint="eastAsia"/>
                    <w:color w:val="000000" w:themeColor="text1"/>
                  </w:rPr>
                  <w:t>数量</w:t>
                </w:r>
              </w:p>
            </w:tc>
          </w:sdtContent>
        </w:sdt>
        <w:sdt>
          <w:sdtPr>
            <w:tag w:val="_PLD_ef2133ae92924b19926bd42eed64bfda"/>
            <w:id w:val="1977418718"/>
          </w:sdtPr>
          <w:sdtEndPr/>
          <w:sdtContent>
            <w:tc>
              <w:tcPr>
                <w:tcW w:w="992" w:type="dxa"/>
                <w:vAlign w:val="center"/>
              </w:tcPr>
              <w:p w:rsidR="00156DD6" w:rsidRDefault="00D51F5F">
                <w:pPr>
                  <w:jc w:val="center"/>
                  <w:rPr>
                    <w:color w:val="000000" w:themeColor="text1"/>
                  </w:rPr>
                </w:pPr>
                <w:r>
                  <w:rPr>
                    <w:rFonts w:hint="eastAsia"/>
                    <w:color w:val="000000" w:themeColor="text1"/>
                  </w:rPr>
                  <w:t>金额</w:t>
                </w:r>
              </w:p>
            </w:tc>
          </w:sdtContent>
        </w:sdt>
        <w:sdt>
          <w:sdtPr>
            <w:tag w:val="_PLD_f1f9981a8fd841649bc4422870782e28"/>
            <w:id w:val="-1752190290"/>
          </w:sdtPr>
          <w:sdtEndPr/>
          <w:sdtContent>
            <w:tc>
              <w:tcPr>
                <w:tcW w:w="992" w:type="dxa"/>
                <w:vAlign w:val="center"/>
              </w:tcPr>
              <w:p w:rsidR="00156DD6" w:rsidRDefault="00D51F5F">
                <w:pPr>
                  <w:jc w:val="center"/>
                  <w:rPr>
                    <w:color w:val="000000" w:themeColor="text1"/>
                  </w:rPr>
                </w:pPr>
                <w:r>
                  <w:rPr>
                    <w:rFonts w:hint="eastAsia"/>
                    <w:color w:val="000000" w:themeColor="text1"/>
                  </w:rPr>
                  <w:t>数量</w:t>
                </w:r>
              </w:p>
            </w:tc>
          </w:sdtContent>
        </w:sdt>
        <w:sdt>
          <w:sdtPr>
            <w:tag w:val="_PLD_641001b623a34db6833d2329e80aad19"/>
            <w:id w:val="815453098"/>
          </w:sdtPr>
          <w:sdtEndPr/>
          <w:sdtContent>
            <w:tc>
              <w:tcPr>
                <w:tcW w:w="993" w:type="dxa"/>
                <w:vAlign w:val="center"/>
              </w:tcPr>
              <w:p w:rsidR="00156DD6" w:rsidRDefault="00D51F5F">
                <w:pPr>
                  <w:jc w:val="center"/>
                  <w:rPr>
                    <w:color w:val="000000" w:themeColor="text1"/>
                  </w:rPr>
                </w:pPr>
                <w:r>
                  <w:rPr>
                    <w:rFonts w:hint="eastAsia"/>
                    <w:color w:val="000000" w:themeColor="text1"/>
                  </w:rPr>
                  <w:t>金额</w:t>
                </w:r>
              </w:p>
            </w:tc>
          </w:sdtContent>
        </w:sdt>
      </w:tr>
      <w:tr w:rsidR="00156DD6">
        <w:tc>
          <w:tcPr>
            <w:tcW w:w="1101" w:type="dxa"/>
          </w:tcPr>
          <w:p w:rsidR="00156DD6" w:rsidRDefault="00D51F5F">
            <w:pPr>
              <w:rPr>
                <w:rFonts w:asciiTheme="minorEastAsia" w:eastAsiaTheme="minorEastAsia" w:hAnsiTheme="minorEastAsia"/>
              </w:rPr>
            </w:pPr>
            <w:r>
              <w:rPr>
                <w:rFonts w:asciiTheme="minorEastAsia" w:eastAsiaTheme="minorEastAsia" w:hAnsiTheme="minorEastAsia" w:hint="eastAsia"/>
              </w:rPr>
              <w:t>董事会认为需要激励的人员</w:t>
            </w:r>
          </w:p>
        </w:tc>
        <w:tc>
          <w:tcPr>
            <w:tcW w:w="992" w:type="dxa"/>
            <w:vAlign w:val="center"/>
          </w:tcPr>
          <w:p w:rsidR="00156DD6" w:rsidRDefault="00D51F5F">
            <w:pPr>
              <w:jc w:val="right"/>
              <w:rPr>
                <w:rFonts w:asciiTheme="minorEastAsia" w:eastAsiaTheme="minorEastAsia" w:hAnsiTheme="minorEastAsia"/>
              </w:rPr>
            </w:pPr>
            <w:r>
              <w:t xml:space="preserve">580,000.00 </w:t>
            </w:r>
          </w:p>
        </w:tc>
        <w:tc>
          <w:tcPr>
            <w:tcW w:w="992" w:type="dxa"/>
            <w:vAlign w:val="center"/>
          </w:tcPr>
          <w:p w:rsidR="00156DD6" w:rsidRDefault="00D51F5F">
            <w:pPr>
              <w:jc w:val="right"/>
              <w:rPr>
                <w:rFonts w:asciiTheme="minorEastAsia" w:eastAsiaTheme="minorEastAsia" w:hAnsiTheme="minorEastAsia"/>
              </w:rPr>
            </w:pPr>
            <w:r>
              <w:t xml:space="preserve">4,605,200.00 </w:t>
            </w:r>
          </w:p>
        </w:tc>
        <w:tc>
          <w:tcPr>
            <w:tcW w:w="992" w:type="dxa"/>
            <w:vAlign w:val="center"/>
          </w:tcPr>
          <w:p w:rsidR="00156DD6" w:rsidRDefault="00156DD6">
            <w:pPr>
              <w:jc w:val="right"/>
              <w:rPr>
                <w:rFonts w:asciiTheme="minorEastAsia" w:eastAsiaTheme="minorEastAsia" w:hAnsiTheme="minorEastAsia"/>
              </w:rPr>
            </w:pPr>
          </w:p>
        </w:tc>
        <w:tc>
          <w:tcPr>
            <w:tcW w:w="993" w:type="dxa"/>
            <w:vAlign w:val="center"/>
          </w:tcPr>
          <w:p w:rsidR="00156DD6" w:rsidRDefault="00156DD6">
            <w:pPr>
              <w:jc w:val="right"/>
              <w:rPr>
                <w:rFonts w:asciiTheme="minorEastAsia" w:eastAsiaTheme="minorEastAsia" w:hAnsiTheme="minorEastAsia"/>
              </w:rPr>
            </w:pPr>
          </w:p>
        </w:tc>
        <w:tc>
          <w:tcPr>
            <w:tcW w:w="992" w:type="dxa"/>
            <w:vAlign w:val="center"/>
          </w:tcPr>
          <w:p w:rsidR="00156DD6" w:rsidRDefault="00156DD6">
            <w:pPr>
              <w:jc w:val="right"/>
              <w:rPr>
                <w:rFonts w:asciiTheme="minorEastAsia" w:eastAsiaTheme="minorEastAsia" w:hAnsiTheme="minorEastAsia"/>
              </w:rPr>
            </w:pPr>
          </w:p>
        </w:tc>
        <w:tc>
          <w:tcPr>
            <w:tcW w:w="992" w:type="dxa"/>
            <w:vAlign w:val="center"/>
          </w:tcPr>
          <w:p w:rsidR="00156DD6" w:rsidRDefault="00156DD6">
            <w:pPr>
              <w:jc w:val="right"/>
              <w:rPr>
                <w:rFonts w:asciiTheme="minorEastAsia" w:eastAsiaTheme="minorEastAsia" w:hAnsiTheme="minorEastAsia"/>
              </w:rPr>
            </w:pPr>
          </w:p>
        </w:tc>
        <w:tc>
          <w:tcPr>
            <w:tcW w:w="992" w:type="dxa"/>
            <w:vAlign w:val="center"/>
          </w:tcPr>
          <w:p w:rsidR="00156DD6" w:rsidRDefault="00D51F5F">
            <w:pPr>
              <w:jc w:val="right"/>
              <w:rPr>
                <w:rFonts w:asciiTheme="minorEastAsia" w:eastAsiaTheme="minorEastAsia" w:hAnsiTheme="minorEastAsia"/>
              </w:rPr>
            </w:pPr>
            <w:r>
              <w:t xml:space="preserve">77,000.00 </w:t>
            </w:r>
          </w:p>
        </w:tc>
        <w:tc>
          <w:tcPr>
            <w:tcW w:w="993" w:type="dxa"/>
            <w:vAlign w:val="center"/>
          </w:tcPr>
          <w:p w:rsidR="00156DD6" w:rsidRDefault="00D51F5F">
            <w:pPr>
              <w:jc w:val="right"/>
              <w:rPr>
                <w:rFonts w:asciiTheme="minorEastAsia" w:eastAsiaTheme="minorEastAsia" w:hAnsiTheme="minorEastAsia"/>
              </w:rPr>
            </w:pPr>
            <w:r>
              <w:t xml:space="preserve">622,930.00 </w:t>
            </w:r>
          </w:p>
        </w:tc>
      </w:tr>
      <w:tr w:rsidR="00156DD6">
        <w:tc>
          <w:tcPr>
            <w:tcW w:w="1101" w:type="dxa"/>
          </w:tcPr>
          <w:p w:rsidR="00156DD6" w:rsidRDefault="00D51F5F">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992" w:type="dxa"/>
            <w:vAlign w:val="center"/>
          </w:tcPr>
          <w:p w:rsidR="00156DD6" w:rsidRDefault="00D51F5F">
            <w:pPr>
              <w:jc w:val="right"/>
              <w:rPr>
                <w:rFonts w:asciiTheme="minorEastAsia" w:eastAsiaTheme="minorEastAsia" w:hAnsiTheme="minorEastAsia"/>
              </w:rPr>
            </w:pPr>
            <w:r>
              <w:t xml:space="preserve">580,000.00 </w:t>
            </w:r>
          </w:p>
        </w:tc>
        <w:tc>
          <w:tcPr>
            <w:tcW w:w="992" w:type="dxa"/>
            <w:vAlign w:val="center"/>
          </w:tcPr>
          <w:p w:rsidR="00156DD6" w:rsidRDefault="00D51F5F">
            <w:pPr>
              <w:jc w:val="right"/>
              <w:rPr>
                <w:rFonts w:asciiTheme="minorEastAsia" w:eastAsiaTheme="minorEastAsia" w:hAnsiTheme="minorEastAsia"/>
              </w:rPr>
            </w:pPr>
            <w:r>
              <w:t xml:space="preserve">4,605,200.00 </w:t>
            </w:r>
          </w:p>
        </w:tc>
        <w:tc>
          <w:tcPr>
            <w:tcW w:w="992" w:type="dxa"/>
            <w:vAlign w:val="center"/>
          </w:tcPr>
          <w:p w:rsidR="00156DD6" w:rsidRDefault="00156DD6">
            <w:pPr>
              <w:jc w:val="right"/>
              <w:rPr>
                <w:rFonts w:asciiTheme="minorEastAsia" w:eastAsiaTheme="minorEastAsia" w:hAnsiTheme="minorEastAsia"/>
              </w:rPr>
            </w:pPr>
          </w:p>
        </w:tc>
        <w:tc>
          <w:tcPr>
            <w:tcW w:w="993" w:type="dxa"/>
            <w:vAlign w:val="center"/>
          </w:tcPr>
          <w:p w:rsidR="00156DD6" w:rsidRDefault="00156DD6">
            <w:pPr>
              <w:jc w:val="right"/>
              <w:rPr>
                <w:rFonts w:asciiTheme="minorEastAsia" w:eastAsiaTheme="minorEastAsia" w:hAnsiTheme="minorEastAsia"/>
              </w:rPr>
            </w:pPr>
          </w:p>
        </w:tc>
        <w:tc>
          <w:tcPr>
            <w:tcW w:w="992" w:type="dxa"/>
            <w:vAlign w:val="center"/>
          </w:tcPr>
          <w:p w:rsidR="00156DD6" w:rsidRDefault="00156DD6">
            <w:pPr>
              <w:jc w:val="right"/>
              <w:rPr>
                <w:rFonts w:asciiTheme="minorEastAsia" w:eastAsiaTheme="minorEastAsia" w:hAnsiTheme="minorEastAsia"/>
              </w:rPr>
            </w:pPr>
          </w:p>
        </w:tc>
        <w:tc>
          <w:tcPr>
            <w:tcW w:w="992" w:type="dxa"/>
            <w:vAlign w:val="center"/>
          </w:tcPr>
          <w:p w:rsidR="00156DD6" w:rsidRDefault="00156DD6">
            <w:pPr>
              <w:jc w:val="right"/>
              <w:rPr>
                <w:rFonts w:asciiTheme="minorEastAsia" w:eastAsiaTheme="minorEastAsia" w:hAnsiTheme="minorEastAsia"/>
              </w:rPr>
            </w:pPr>
          </w:p>
        </w:tc>
        <w:tc>
          <w:tcPr>
            <w:tcW w:w="992" w:type="dxa"/>
            <w:vAlign w:val="center"/>
          </w:tcPr>
          <w:p w:rsidR="00156DD6" w:rsidRDefault="00D51F5F">
            <w:pPr>
              <w:jc w:val="right"/>
              <w:rPr>
                <w:rFonts w:asciiTheme="minorEastAsia" w:eastAsiaTheme="minorEastAsia" w:hAnsiTheme="minorEastAsia"/>
              </w:rPr>
            </w:pPr>
            <w:r>
              <w:t xml:space="preserve">77,000.00 </w:t>
            </w:r>
          </w:p>
        </w:tc>
        <w:tc>
          <w:tcPr>
            <w:tcW w:w="993" w:type="dxa"/>
            <w:vAlign w:val="center"/>
          </w:tcPr>
          <w:p w:rsidR="00156DD6" w:rsidRDefault="00D51F5F">
            <w:pPr>
              <w:jc w:val="right"/>
              <w:rPr>
                <w:rFonts w:asciiTheme="minorEastAsia" w:eastAsiaTheme="minorEastAsia" w:hAnsiTheme="minorEastAsia"/>
              </w:rPr>
            </w:pPr>
            <w:r>
              <w:t xml:space="preserve">622,930.00 </w:t>
            </w:r>
          </w:p>
        </w:tc>
      </w:tr>
    </w:tbl>
    <w:p w:rsidR="00156DD6" w:rsidRDefault="00D51F5F">
      <w:pPr>
        <w:pStyle w:val="Style47"/>
        <w:numPr>
          <w:ilvl w:val="0"/>
          <w:numId w:val="101"/>
        </w:numPr>
        <w:rPr>
          <w:sz w:val="21"/>
          <w:szCs w:val="21"/>
        </w:rPr>
      </w:pPr>
      <w:r>
        <w:rPr>
          <w:rFonts w:hint="eastAsia"/>
          <w:sz w:val="21"/>
          <w:szCs w:val="21"/>
        </w:rPr>
        <w:t>期末发行在外的股票期权或其他权益工具</w:t>
      </w:r>
    </w:p>
    <w:bookmarkStart w:id="473" w:name="_Hlk168493896" w:displacedByCustomXml="next"/>
    <w:bookmarkStart w:id="474" w:name="_Hlk168493917" w:displacedByCustomXml="next"/>
    <w:sdt>
      <w:sdtPr>
        <w:rPr>
          <w:color w:val="000000" w:themeColor="text1"/>
        </w:rPr>
        <w:alias w:val="是否适用：期末发行在外的股票期权或其他权益工具[双击切换]"/>
        <w:tag w:val="_GBC_f17c034d860345b98ee280169a254e4a"/>
        <w:id w:val="-206123042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0"/>
        </w:numPr>
        <w:ind w:left="420" w:hanging="420"/>
        <w:rPr>
          <w:rFonts w:ascii="宋体" w:hAnsi="宋体" w:cs="宋体"/>
          <w:color w:val="000000" w:themeColor="text1"/>
          <w:kern w:val="0"/>
          <w:sz w:val="21"/>
          <w:szCs w:val="21"/>
        </w:rPr>
      </w:pPr>
      <w:bookmarkStart w:id="475" w:name="_Hlk168487614"/>
      <w:bookmarkStart w:id="476" w:name="_Hlk40787204"/>
      <w:bookmarkStart w:id="477" w:name="_Hlk167977424"/>
      <w:bookmarkStart w:id="478" w:name="_Hlk40787299"/>
      <w:bookmarkEnd w:id="470"/>
      <w:bookmarkEnd w:id="471"/>
      <w:bookmarkEnd w:id="472"/>
      <w:bookmarkEnd w:id="474"/>
      <w:bookmarkEnd w:id="473"/>
      <w:bookmarkEnd w:id="475"/>
      <w:r>
        <w:rPr>
          <w:rFonts w:ascii="宋体" w:hAnsi="宋体" w:cs="宋体" w:hint="eastAsia"/>
          <w:color w:val="000000" w:themeColor="text1"/>
          <w:kern w:val="0"/>
          <w:sz w:val="21"/>
          <w:szCs w:val="21"/>
        </w:rPr>
        <w:t>以权益结算的股份支付情况</w:t>
      </w:r>
    </w:p>
    <w:sdt>
      <w:sdtPr>
        <w:rPr>
          <w:color w:val="000000" w:themeColor="text1"/>
        </w:rPr>
        <w:alias w:val="是否适用：以权益结算的股份支付情况[双击切换]"/>
        <w:tag w:val="_GBC_6dde9ffab03943229cd0918c8621502d"/>
        <w:id w:val="-122607020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wordWrap w:val="0"/>
        <w:jc w:val="right"/>
        <w:rPr>
          <w:color w:val="000000" w:themeColor="text1"/>
        </w:rPr>
      </w:pPr>
      <w:r>
        <w:rPr>
          <w:rFonts w:hint="eastAsia"/>
          <w:color w:val="000000" w:themeColor="text1"/>
        </w:rPr>
        <w:t>单位：</w:t>
      </w:r>
      <w:sdt>
        <w:sdtPr>
          <w:rPr>
            <w:rFonts w:hint="eastAsia"/>
            <w:color w:val="000000" w:themeColor="text1"/>
          </w:rPr>
          <w:alias w:val="单位：以权益结算的股份支付情况"/>
          <w:tag w:val="_GBC_4a49442251c644f4be8c09575fe5bd4e"/>
          <w:id w:val="-15014168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以权益结算的股份支付情况"/>
          <w:tag w:val="_GBC_8bba621b941a4852bfa1f16a6f8ea101"/>
          <w:id w:val="-8551892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156DD6">
        <w:tc>
          <w:tcPr>
            <w:tcW w:w="2566" w:type="pct"/>
            <w:tcBorders>
              <w:top w:val="single" w:sz="4" w:space="0" w:color="auto"/>
              <w:left w:val="single" w:sz="4" w:space="0" w:color="auto"/>
              <w:bottom w:val="single" w:sz="4" w:space="0" w:color="auto"/>
              <w:right w:val="single" w:sz="4" w:space="0" w:color="auto"/>
            </w:tcBorders>
          </w:tcPr>
          <w:sdt>
            <w:sdtPr>
              <w:tag w:val="_PLD_999e85eb2f1e48518d1a85514601d9b8"/>
              <w:id w:val="-1945919328"/>
            </w:sdtPr>
            <w:sdtEndPr/>
            <w:sdtContent>
              <w:p w:rsidR="00156DD6" w:rsidRDefault="00D51F5F">
                <w:pPr>
                  <w:rPr>
                    <w:color w:val="000000" w:themeColor="text1"/>
                  </w:rPr>
                </w:pPr>
                <w:r>
                  <w:rPr>
                    <w:color w:val="000000" w:themeColor="text1"/>
                  </w:rPr>
                  <w:t>以权益结算的股份支付对象</w:t>
                </w:r>
              </w:p>
            </w:sdtContent>
          </w:sdt>
        </w:tc>
        <w:sdt>
          <w:sdtPr>
            <w:rPr>
              <w:color w:val="000000" w:themeColor="text1"/>
            </w:rPr>
            <w:alias w:val="以权益结算的股份支付对象"/>
            <w:tag w:val="_GBC_667e624566e947348e3f0776fbe43903"/>
            <w:id w:val="1954981257"/>
          </w:sdtPr>
          <w:sdtEndPr/>
          <w:sdtContent>
            <w:tc>
              <w:tcPr>
                <w:tcW w:w="2434"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董事会认为需要激励的人员</w:t>
                </w:r>
              </w:p>
            </w:tc>
          </w:sdtContent>
        </w:sdt>
      </w:tr>
      <w:tr w:rsidR="00156DD6">
        <w:tc>
          <w:tcPr>
            <w:tcW w:w="256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授予日权益工具公允价值的确定方法</w:t>
            </w:r>
          </w:p>
        </w:tc>
        <w:tc>
          <w:tcPr>
            <w:tcW w:w="2434" w:type="pct"/>
            <w:tcBorders>
              <w:top w:val="single" w:sz="4" w:space="0" w:color="auto"/>
              <w:left w:val="single" w:sz="4" w:space="0" w:color="auto"/>
              <w:bottom w:val="single" w:sz="4" w:space="0" w:color="auto"/>
              <w:right w:val="single" w:sz="4" w:space="0" w:color="auto"/>
            </w:tcBorders>
          </w:tcPr>
          <w:p w:rsidR="00156DD6" w:rsidRDefault="00D51F5F">
            <w:pPr>
              <w:pStyle w:val="Style43"/>
              <w:rPr>
                <w:rFonts w:ascii="宋体" w:hAnsi="宋体" w:cs="宋体"/>
                <w:bCs/>
                <w:color w:val="000000" w:themeColor="text1"/>
                <w:sz w:val="21"/>
                <w:szCs w:val="21"/>
              </w:rPr>
            </w:pPr>
            <w:r>
              <w:rPr>
                <w:rFonts w:ascii="宋体" w:hAnsi="宋体" w:cs="宋体" w:hint="eastAsia"/>
                <w:bCs/>
                <w:color w:val="000000" w:themeColor="text1"/>
                <w:sz w:val="21"/>
                <w:szCs w:val="21"/>
              </w:rPr>
              <w:t>授予日的市场价格</w:t>
            </w:r>
          </w:p>
        </w:tc>
      </w:tr>
      <w:tr w:rsidR="00156DD6">
        <w:tc>
          <w:tcPr>
            <w:tcW w:w="256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授予日权益工具公允价值的重要参数</w:t>
            </w:r>
          </w:p>
        </w:tc>
        <w:tc>
          <w:tcPr>
            <w:tcW w:w="2434" w:type="pct"/>
            <w:tcBorders>
              <w:top w:val="single" w:sz="4" w:space="0" w:color="auto"/>
              <w:left w:val="single" w:sz="4" w:space="0" w:color="auto"/>
              <w:bottom w:val="single" w:sz="4" w:space="0" w:color="auto"/>
              <w:right w:val="single" w:sz="4" w:space="0" w:color="auto"/>
            </w:tcBorders>
          </w:tcPr>
          <w:p w:rsidR="00156DD6" w:rsidRDefault="00156DD6">
            <w:pPr>
              <w:pStyle w:val="Style43"/>
              <w:rPr>
                <w:rFonts w:ascii="宋体" w:hAnsi="宋体" w:cs="宋体"/>
                <w:bCs/>
                <w:color w:val="000000" w:themeColor="text1"/>
                <w:sz w:val="21"/>
                <w:szCs w:val="21"/>
              </w:rPr>
            </w:pPr>
          </w:p>
        </w:tc>
      </w:tr>
      <w:tr w:rsidR="00156DD6">
        <w:tc>
          <w:tcPr>
            <w:tcW w:w="2566"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rPr>
                <w:color w:val="000000" w:themeColor="text1"/>
              </w:rPr>
            </w:pPr>
            <w:r>
              <w:rPr>
                <w:rFonts w:hint="eastAsia"/>
                <w:color w:val="000000" w:themeColor="text1"/>
              </w:rPr>
              <w:t>可行权权益工具数量的确定依据</w:t>
            </w:r>
          </w:p>
        </w:tc>
        <w:tc>
          <w:tcPr>
            <w:tcW w:w="2434" w:type="pct"/>
            <w:tcBorders>
              <w:top w:val="single" w:sz="4" w:space="0" w:color="auto"/>
              <w:left w:val="single" w:sz="4" w:space="0" w:color="auto"/>
              <w:bottom w:val="single" w:sz="4" w:space="0" w:color="auto"/>
              <w:right w:val="single" w:sz="4" w:space="0" w:color="auto"/>
            </w:tcBorders>
          </w:tcPr>
          <w:p w:rsidR="00156DD6" w:rsidRDefault="00D51F5F">
            <w:pPr>
              <w:pStyle w:val="Style43"/>
              <w:rPr>
                <w:rFonts w:ascii="宋体" w:hAnsi="宋体" w:cs="宋体"/>
                <w:bCs/>
                <w:color w:val="000000" w:themeColor="text1"/>
                <w:sz w:val="21"/>
                <w:szCs w:val="21"/>
              </w:rPr>
            </w:pPr>
            <w:r>
              <w:rPr>
                <w:rFonts w:ascii="宋体" w:hAnsi="宋体" w:cs="宋体" w:hint="eastAsia"/>
                <w:bCs/>
                <w:color w:val="000000" w:themeColor="text1"/>
                <w:sz w:val="21"/>
                <w:szCs w:val="21"/>
              </w:rPr>
              <w:t>根据最新取得的可行权职工数、职工考核变动等后续信息进行估计</w:t>
            </w:r>
          </w:p>
        </w:tc>
      </w:tr>
      <w:tr w:rsidR="00156DD6">
        <w:tc>
          <w:tcPr>
            <w:tcW w:w="2566"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rPr>
                <w:color w:val="000000" w:themeColor="text1"/>
              </w:rPr>
            </w:pPr>
            <w:r>
              <w:rPr>
                <w:rFonts w:hint="eastAsia"/>
                <w:color w:val="000000" w:themeColor="text1"/>
              </w:rPr>
              <w:t>本期估计与上期估计有重大差异的原因</w:t>
            </w:r>
          </w:p>
        </w:tc>
        <w:tc>
          <w:tcPr>
            <w:tcW w:w="2434" w:type="pct"/>
            <w:tcBorders>
              <w:top w:val="single" w:sz="4" w:space="0" w:color="auto"/>
              <w:left w:val="single" w:sz="4" w:space="0" w:color="auto"/>
              <w:bottom w:val="single" w:sz="4" w:space="0" w:color="auto"/>
              <w:right w:val="single" w:sz="4" w:space="0" w:color="auto"/>
            </w:tcBorders>
          </w:tcPr>
          <w:p w:rsidR="00156DD6" w:rsidRDefault="00156DD6">
            <w:pPr>
              <w:pStyle w:val="Style43"/>
            </w:pPr>
          </w:p>
        </w:tc>
      </w:tr>
      <w:tr w:rsidR="00156DD6">
        <w:tc>
          <w:tcPr>
            <w:tcW w:w="2566"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rPr>
                <w:color w:val="000000" w:themeColor="text1"/>
              </w:rPr>
            </w:pPr>
            <w:r>
              <w:rPr>
                <w:rFonts w:hint="eastAsia"/>
                <w:color w:val="000000" w:themeColor="text1"/>
              </w:rPr>
              <w:t>以权益结算的股份支付计入资本公积的累计金额</w:t>
            </w:r>
          </w:p>
        </w:tc>
        <w:tc>
          <w:tcPr>
            <w:tcW w:w="243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8,161,336.92</w:t>
            </w:r>
          </w:p>
        </w:tc>
      </w:tr>
    </w:tbl>
    <w:p w:rsidR="00156DD6" w:rsidRDefault="00D51F5F">
      <w:pPr>
        <w:rPr>
          <w:color w:val="000000" w:themeColor="text1"/>
        </w:rPr>
      </w:pPr>
      <w:r>
        <w:rPr>
          <w:rFonts w:hint="eastAsia"/>
          <w:color w:val="000000" w:themeColor="text1"/>
        </w:rPr>
        <w:t>其他说明</w:t>
      </w:r>
    </w:p>
    <w:sdt>
      <w:sdtPr>
        <w:rPr>
          <w:color w:val="000000" w:themeColor="text1"/>
        </w:rPr>
        <w:alias w:val="以权益结算的股份支付的说明"/>
        <w:tag w:val="_GBC_ceecad02f18a460f8d4edb439c168667"/>
        <w:id w:val="-354806970"/>
        <w:placeholder>
          <w:docPart w:val="GBC22222222222222222222222222222"/>
        </w:placeholder>
      </w:sdtPr>
      <w:sdtEndPr/>
      <w:sdtContent>
        <w:p w:rsidR="00156DD6" w:rsidRDefault="00D51F5F">
          <w:pPr>
            <w:rPr>
              <w:rFonts w:cstheme="minorBidi"/>
              <w:color w:val="000000" w:themeColor="text1"/>
            </w:rPr>
          </w:pPr>
          <w:r>
            <w:rPr>
              <w:rFonts w:hint="eastAsia"/>
              <w:color w:val="000000" w:themeColor="text1"/>
            </w:rPr>
            <w:t>无</w:t>
          </w:r>
        </w:p>
      </w:sdtContent>
    </w:sdt>
    <w:p w:rsidR="00156DD6" w:rsidRDefault="00D51F5F">
      <w:pPr>
        <w:pStyle w:val="TOC6"/>
        <w:numPr>
          <w:ilvl w:val="0"/>
          <w:numId w:val="100"/>
        </w:numPr>
        <w:ind w:left="420" w:hanging="420"/>
        <w:rPr>
          <w:rFonts w:ascii="宋体" w:hAnsi="宋体" w:cs="宋体"/>
          <w:color w:val="000000" w:themeColor="text1"/>
          <w:kern w:val="0"/>
          <w:sz w:val="21"/>
          <w:szCs w:val="21"/>
        </w:rPr>
      </w:pPr>
      <w:bookmarkStart w:id="479" w:name="_Hlk167977563"/>
      <w:bookmarkEnd w:id="476"/>
      <w:bookmarkEnd w:id="477"/>
      <w:bookmarkEnd w:id="478"/>
      <w:r>
        <w:rPr>
          <w:rFonts w:ascii="宋体" w:hAnsi="宋体" w:cs="宋体" w:hint="eastAsia"/>
          <w:color w:val="000000" w:themeColor="text1"/>
          <w:kern w:val="0"/>
          <w:sz w:val="21"/>
          <w:szCs w:val="21"/>
        </w:rPr>
        <w:t>以现金结算的股份支付情况</w:t>
      </w:r>
    </w:p>
    <w:sdt>
      <w:sdtPr>
        <w:rPr>
          <w:color w:val="000000" w:themeColor="text1"/>
        </w:rPr>
        <w:alias w:val="是否适用：以现金结算的股份支付情况[双击切换]"/>
        <w:tag w:val="_GBC_2a6bb5b9d8a04286865cd607e7260a60"/>
        <w:id w:val="-127817837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0"/>
        </w:numPr>
        <w:ind w:left="420" w:hanging="420"/>
        <w:rPr>
          <w:rFonts w:ascii="宋体" w:hAnsi="宋体" w:cs="宋体"/>
          <w:color w:val="000000" w:themeColor="text1"/>
          <w:kern w:val="0"/>
          <w:sz w:val="21"/>
          <w:szCs w:val="21"/>
        </w:rPr>
      </w:pPr>
      <w:r>
        <w:rPr>
          <w:rFonts w:ascii="宋体" w:hAnsi="宋体" w:cs="宋体" w:hint="eastAsia"/>
          <w:color w:val="000000" w:themeColor="text1"/>
          <w:kern w:val="0"/>
          <w:sz w:val="21"/>
          <w:szCs w:val="21"/>
        </w:rPr>
        <w:t>本期股份支付费用</w:t>
      </w:r>
    </w:p>
    <w:bookmarkStart w:id="480" w:name="_Hlk168494235" w:displacedByCustomXml="next"/>
    <w:sdt>
      <w:sdtPr>
        <w:rPr>
          <w:color w:val="000000" w:themeColor="text1"/>
        </w:rPr>
        <w:alias w:val="是否适用：股份支付费用[双击切换]"/>
        <w:tag w:val="_GBC_5b0304a006c7437ca2961c2d2bdf142a"/>
        <w:id w:val="455912464"/>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bookmarkStart w:id="481" w:name="_Hlk168494618"/>
      <w:bookmarkEnd w:id="479"/>
      <w:bookmarkEnd w:id="480"/>
      <w:r>
        <w:rPr>
          <w:rFonts w:hint="eastAsia"/>
          <w:color w:val="000000" w:themeColor="text1"/>
          <w:szCs w:val="24"/>
        </w:rPr>
        <w:t>单</w:t>
      </w:r>
      <w:r>
        <w:rPr>
          <w:rFonts w:hint="eastAsia"/>
          <w:color w:val="000000" w:themeColor="text1"/>
        </w:rPr>
        <w:t>位：</w:t>
      </w:r>
      <w:sdt>
        <w:sdtPr>
          <w:rPr>
            <w:rFonts w:hint="eastAsia"/>
            <w:color w:val="000000" w:themeColor="text1"/>
          </w:rPr>
          <w:alias w:val="单位：股份支付费用"/>
          <w:tag w:val="_GBC_084fb07a60f24971a1dee0145ca2476e"/>
          <w:id w:val="109698626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股份支付费用"/>
          <w:tag w:val="_GBC_82a8734c27164e9587feb4b0abd872a8"/>
          <w:id w:val="-6932294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0" w:type="auto"/>
        <w:tblInd w:w="0" w:type="dxa"/>
        <w:tblLook w:val="04A0" w:firstRow="1" w:lastRow="0" w:firstColumn="1" w:lastColumn="0" w:noHBand="0" w:noVBand="1"/>
      </w:tblPr>
      <w:tblGrid>
        <w:gridCol w:w="2940"/>
        <w:gridCol w:w="2941"/>
        <w:gridCol w:w="2942"/>
      </w:tblGrid>
      <w:tr w:rsidR="00156DD6">
        <w:bookmarkEnd w:id="481" w:displacedByCustomXml="next"/>
        <w:bookmarkStart w:id="482" w:name="_Hlk168494436" w:displacedByCustomXml="next"/>
        <w:sdt>
          <w:sdtPr>
            <w:tag w:val="_PLD_42c214bab60e4712a0ccc29c1a4dd974"/>
            <w:id w:val="-867910579"/>
          </w:sdtPr>
          <w:sdtEndPr/>
          <w:sdtContent>
            <w:tc>
              <w:tcPr>
                <w:tcW w:w="2940" w:type="dxa"/>
              </w:tcPr>
              <w:p w:rsidR="00156DD6" w:rsidRDefault="00D51F5F">
                <w:pPr>
                  <w:jc w:val="center"/>
                  <w:rPr>
                    <w:color w:val="000000" w:themeColor="text1"/>
                  </w:rPr>
                </w:pPr>
                <w:r>
                  <w:rPr>
                    <w:color w:val="000000" w:themeColor="text1"/>
                  </w:rPr>
                  <w:t>授予对象类别</w:t>
                </w:r>
              </w:p>
            </w:tc>
          </w:sdtContent>
        </w:sdt>
        <w:sdt>
          <w:sdtPr>
            <w:tag w:val="_PLD_1d2636b9b1864b73b347b8676aa4849d"/>
            <w:id w:val="995068959"/>
          </w:sdtPr>
          <w:sdtEndPr/>
          <w:sdtContent>
            <w:tc>
              <w:tcPr>
                <w:tcW w:w="2941" w:type="dxa"/>
              </w:tcPr>
              <w:p w:rsidR="00156DD6" w:rsidRDefault="00D51F5F">
                <w:pPr>
                  <w:jc w:val="center"/>
                  <w:rPr>
                    <w:color w:val="000000" w:themeColor="text1"/>
                  </w:rPr>
                </w:pPr>
                <w:r>
                  <w:rPr>
                    <w:color w:val="000000" w:themeColor="text1"/>
                  </w:rPr>
                  <w:t>以权益结算的股份支付费用</w:t>
                </w:r>
              </w:p>
            </w:tc>
          </w:sdtContent>
        </w:sdt>
        <w:sdt>
          <w:sdtPr>
            <w:tag w:val="_PLD_0d95160629a04f3eb1270b46141c8ef7"/>
            <w:id w:val="-410383207"/>
          </w:sdtPr>
          <w:sdtEndPr/>
          <w:sdtContent>
            <w:tc>
              <w:tcPr>
                <w:tcW w:w="2942" w:type="dxa"/>
              </w:tcPr>
              <w:p w:rsidR="00156DD6" w:rsidRDefault="00D51F5F">
                <w:pPr>
                  <w:jc w:val="center"/>
                  <w:rPr>
                    <w:color w:val="000000" w:themeColor="text1"/>
                  </w:rPr>
                </w:pPr>
                <w:r>
                  <w:rPr>
                    <w:color w:val="000000" w:themeColor="text1"/>
                  </w:rPr>
                  <w:t>以现金结算的股份支付费用</w:t>
                </w:r>
              </w:p>
            </w:tc>
          </w:sdtContent>
        </w:sdt>
      </w:tr>
      <w:tr w:rsidR="00156DD6">
        <w:tc>
          <w:tcPr>
            <w:tcW w:w="2940" w:type="dxa"/>
          </w:tcPr>
          <w:p w:rsidR="00156DD6" w:rsidRDefault="00D51F5F">
            <w:pPr>
              <w:rPr>
                <w:rFonts w:asciiTheme="minorEastAsia" w:eastAsiaTheme="minorEastAsia" w:hAnsiTheme="minorEastAsia"/>
              </w:rPr>
            </w:pPr>
            <w:r>
              <w:rPr>
                <w:rFonts w:hint="eastAsia"/>
              </w:rPr>
              <w:t>董事会认为需要激励的人员</w:t>
            </w:r>
          </w:p>
        </w:tc>
        <w:tc>
          <w:tcPr>
            <w:tcW w:w="2941" w:type="dxa"/>
          </w:tcPr>
          <w:p w:rsidR="00156DD6" w:rsidRDefault="00D51F5F">
            <w:pPr>
              <w:jc w:val="right"/>
              <w:rPr>
                <w:rFonts w:asciiTheme="minorEastAsia" w:eastAsiaTheme="minorEastAsia" w:hAnsiTheme="minorEastAsia"/>
              </w:rPr>
            </w:pPr>
            <w:r>
              <w:t>3,580,781.36</w:t>
            </w:r>
          </w:p>
        </w:tc>
        <w:tc>
          <w:tcPr>
            <w:tcW w:w="2942" w:type="dxa"/>
          </w:tcPr>
          <w:p w:rsidR="00156DD6" w:rsidRDefault="00156DD6">
            <w:pPr>
              <w:jc w:val="right"/>
              <w:rPr>
                <w:rFonts w:asciiTheme="minorEastAsia" w:eastAsiaTheme="minorEastAsia" w:hAnsiTheme="minorEastAsia"/>
              </w:rPr>
            </w:pPr>
          </w:p>
        </w:tc>
      </w:tr>
    </w:tbl>
    <w:p w:rsidR="00156DD6" w:rsidRDefault="00D51F5F">
      <w:pPr>
        <w:rPr>
          <w:color w:val="000000" w:themeColor="text1"/>
        </w:rPr>
      </w:pPr>
      <w:r>
        <w:rPr>
          <w:rFonts w:hint="eastAsia"/>
          <w:color w:val="000000" w:themeColor="text1"/>
        </w:rPr>
        <w:t>其他说明</w:t>
      </w:r>
    </w:p>
    <w:sdt>
      <w:sdtPr>
        <w:rPr>
          <w:color w:val="000000" w:themeColor="text1"/>
        </w:rPr>
        <w:alias w:val="股份支付费用的说明"/>
        <w:tag w:val="_GBC_aba3c5ba1d634b239e29a8401006840a"/>
        <w:id w:val="-1660687461"/>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bookmarkEnd w:id="482"/>
    <w:p w:rsidR="00156DD6" w:rsidRDefault="00D51F5F">
      <w:pPr>
        <w:pStyle w:val="TOC6"/>
        <w:numPr>
          <w:ilvl w:val="0"/>
          <w:numId w:val="100"/>
        </w:numPr>
        <w:ind w:left="420" w:hanging="420"/>
        <w:rPr>
          <w:rFonts w:ascii="宋体" w:hAnsi="宋体" w:cs="宋体"/>
          <w:color w:val="000000" w:themeColor="text1"/>
          <w:kern w:val="0"/>
          <w:sz w:val="21"/>
          <w:szCs w:val="21"/>
        </w:rPr>
      </w:pPr>
      <w:r>
        <w:rPr>
          <w:rFonts w:ascii="宋体" w:hAnsi="宋体" w:cs="宋体" w:hint="eastAsia"/>
          <w:color w:val="000000" w:themeColor="text1"/>
          <w:kern w:val="0"/>
          <w:sz w:val="21"/>
          <w:szCs w:val="21"/>
        </w:rPr>
        <w:lastRenderedPageBreak/>
        <w:t>股份支付的修改、终止情况</w:t>
      </w:r>
    </w:p>
    <w:sdt>
      <w:sdtPr>
        <w:rPr>
          <w:color w:val="000000" w:themeColor="text1"/>
        </w:rPr>
        <w:alias w:val="是否适用：股份支付的修改、终止情况[双击切换]"/>
        <w:tag w:val="_GBC_794cdee9be3b4b478fa83b914d22ea66"/>
        <w:id w:val="388077810"/>
        <w:placeholder>
          <w:docPart w:val="GBC22222222222222222222222222222"/>
        </w:placeholder>
      </w:sdtPr>
      <w:sdtEndPr/>
      <w:sdtContent>
        <w:p w:rsidR="00156DD6" w:rsidRDefault="00D51F5F">
          <w:pPr>
            <w:rPr>
              <w:rFonts w:cstheme="minorBidi"/>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0"/>
        </w:numPr>
        <w:ind w:left="420" w:hanging="420"/>
        <w:rPr>
          <w:rFonts w:ascii="宋体" w:hAnsi="宋体" w:cs="宋体"/>
          <w:color w:val="000000" w:themeColor="text1"/>
          <w:kern w:val="0"/>
          <w:sz w:val="21"/>
          <w:szCs w:val="21"/>
        </w:rPr>
      </w:pPr>
      <w:r>
        <w:rPr>
          <w:rFonts w:ascii="宋体" w:hAnsi="宋体" w:cs="宋体" w:hint="eastAsia"/>
          <w:color w:val="000000" w:themeColor="text1"/>
          <w:kern w:val="0"/>
          <w:sz w:val="21"/>
          <w:szCs w:val="21"/>
        </w:rPr>
        <w:t>其他</w:t>
      </w:r>
    </w:p>
    <w:sdt>
      <w:sdtPr>
        <w:rPr>
          <w:color w:val="000000" w:themeColor="text1"/>
        </w:rPr>
        <w:alias w:val="是否适用：股份支付的其他情况说明[双击切换]"/>
        <w:tag w:val="_GBC_b8be1a19715949cab94dc673580d61a2"/>
        <w:id w:val="-36305680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承诺及或有事项</w:t>
      </w:r>
    </w:p>
    <w:p w:rsidR="00156DD6" w:rsidRDefault="00D51F5F">
      <w:pPr>
        <w:pStyle w:val="TOC6"/>
        <w:numPr>
          <w:ilvl w:val="0"/>
          <w:numId w:val="102"/>
        </w:numPr>
        <w:rPr>
          <w:rFonts w:ascii="宋体" w:hAnsi="宋体"/>
          <w:color w:val="000000" w:themeColor="text1"/>
          <w:sz w:val="21"/>
          <w:szCs w:val="21"/>
        </w:rPr>
      </w:pPr>
      <w:r>
        <w:rPr>
          <w:rFonts w:ascii="宋体" w:hAnsi="宋体" w:hint="eastAsia"/>
          <w:color w:val="000000" w:themeColor="text1"/>
          <w:sz w:val="21"/>
          <w:szCs w:val="21"/>
        </w:rPr>
        <w:t>重要承诺事项</w:t>
      </w:r>
    </w:p>
    <w:sdt>
      <w:sdtPr>
        <w:rPr>
          <w:color w:val="000000" w:themeColor="text1"/>
        </w:rPr>
        <w:alias w:val="是否适用：重要承诺事项[双击切换]"/>
        <w:tag w:val="_GBC_3ee02d2bff5e4dd69f75cc6148bdda8f"/>
        <w:id w:val="-1463958903"/>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资产负债表日存在的对外重要承诺、性质、金额</w:t>
      </w:r>
    </w:p>
    <w:sdt>
      <w:sdtPr>
        <w:rPr>
          <w:rFonts w:cs="Cambria"/>
          <w:color w:val="000000" w:themeColor="text1"/>
        </w:rPr>
        <w:alias w:val="资产负债表日存在的重要承诺"/>
        <w:tag w:val="_GBC_b0cd6a8a93e142e5926c06e28f794da3"/>
        <w:id w:val="1471168727"/>
        <w:placeholder>
          <w:docPart w:val="GBC22222222222222222222222222222"/>
        </w:placeholder>
      </w:sdtPr>
      <w:sdtEndPr/>
      <w:sdtContent>
        <w:p w:rsidR="00156DD6" w:rsidRDefault="00D51F5F">
          <w:pPr>
            <w:spacing w:line="360" w:lineRule="exact"/>
            <w:ind w:firstLineChars="200" w:firstLine="420"/>
            <w:rPr>
              <w:rFonts w:cs="Cambria"/>
              <w:color w:val="000000" w:themeColor="text1"/>
            </w:rPr>
          </w:pPr>
          <w:r>
            <w:rPr>
              <w:rFonts w:cs="Cambria" w:hint="eastAsia"/>
              <w:color w:val="000000" w:themeColor="text1"/>
            </w:rPr>
            <w:t>截至</w:t>
          </w:r>
          <w:r>
            <w:rPr>
              <w:rFonts w:cs="Cambria" w:hint="eastAsia"/>
              <w:color w:val="000000" w:themeColor="text1"/>
            </w:rPr>
            <w:t>2025</w:t>
          </w:r>
          <w:r>
            <w:rPr>
              <w:rFonts w:cs="Cambria" w:hint="eastAsia"/>
              <w:color w:val="000000" w:themeColor="text1"/>
            </w:rPr>
            <w:t>年</w:t>
          </w:r>
          <w:r>
            <w:rPr>
              <w:rFonts w:cs="Cambria" w:hint="eastAsia"/>
              <w:color w:val="000000" w:themeColor="text1"/>
            </w:rPr>
            <w:t>6</w:t>
          </w:r>
          <w:r>
            <w:rPr>
              <w:rFonts w:cs="Cambria" w:hint="eastAsia"/>
              <w:color w:val="000000" w:themeColor="text1"/>
            </w:rPr>
            <w:t>月</w:t>
          </w:r>
          <w:r>
            <w:rPr>
              <w:rFonts w:cs="Cambria" w:hint="eastAsia"/>
              <w:color w:val="000000" w:themeColor="text1"/>
            </w:rPr>
            <w:t>30</w:t>
          </w:r>
          <w:r>
            <w:rPr>
              <w:rFonts w:cs="Cambria" w:hint="eastAsia"/>
              <w:color w:val="000000" w:themeColor="text1"/>
            </w:rPr>
            <w:t>日止，本公司开出未到期人民币保函</w:t>
          </w:r>
          <w:r>
            <w:rPr>
              <w:rFonts w:cs="Cambria"/>
              <w:color w:val="000000" w:themeColor="text1"/>
            </w:rPr>
            <w:t>154,944,097.48</w:t>
          </w:r>
          <w:r>
            <w:rPr>
              <w:rFonts w:cs="Cambria" w:hint="eastAsia"/>
              <w:color w:val="000000" w:themeColor="text1"/>
            </w:rPr>
            <w:t>元。</w:t>
          </w:r>
        </w:p>
        <w:p w:rsidR="00156DD6" w:rsidRDefault="00D51F5F">
          <w:pPr>
            <w:spacing w:line="360" w:lineRule="exact"/>
            <w:ind w:firstLineChars="200" w:firstLine="420"/>
            <w:rPr>
              <w:rFonts w:cs="Cambria"/>
              <w:color w:val="000000" w:themeColor="text1"/>
            </w:rPr>
          </w:pPr>
          <w:r>
            <w:rPr>
              <w:rFonts w:cs="Cambria" w:hint="eastAsia"/>
              <w:color w:val="000000" w:themeColor="text1"/>
            </w:rPr>
            <w:t>除存在上述承诺事项外，截至</w:t>
          </w:r>
          <w:r>
            <w:rPr>
              <w:rFonts w:cs="Cambria" w:hint="eastAsia"/>
              <w:color w:val="000000" w:themeColor="text1"/>
            </w:rPr>
            <w:t>2025</w:t>
          </w:r>
          <w:r>
            <w:rPr>
              <w:rFonts w:cs="Cambria" w:hint="eastAsia"/>
              <w:color w:val="000000" w:themeColor="text1"/>
            </w:rPr>
            <w:t>年</w:t>
          </w:r>
          <w:r>
            <w:rPr>
              <w:rFonts w:cs="Cambria" w:hint="eastAsia"/>
              <w:color w:val="000000" w:themeColor="text1"/>
            </w:rPr>
            <w:t>6</w:t>
          </w:r>
          <w:r>
            <w:rPr>
              <w:rFonts w:cs="Cambria" w:hint="eastAsia"/>
              <w:color w:val="000000" w:themeColor="text1"/>
            </w:rPr>
            <w:t>月</w:t>
          </w:r>
          <w:r>
            <w:rPr>
              <w:rFonts w:cs="Cambria" w:hint="eastAsia"/>
              <w:color w:val="000000" w:themeColor="text1"/>
            </w:rPr>
            <w:t>30</w:t>
          </w:r>
          <w:r>
            <w:rPr>
              <w:rFonts w:cs="Cambria" w:hint="eastAsia"/>
              <w:color w:val="000000" w:themeColor="text1"/>
            </w:rPr>
            <w:t>日止，本公司不存在其他需要披露的重要承诺事项。</w:t>
          </w:r>
        </w:p>
      </w:sdtContent>
    </w:sdt>
    <w:p w:rsidR="00156DD6" w:rsidRDefault="00D51F5F">
      <w:pPr>
        <w:pStyle w:val="TOC6"/>
        <w:numPr>
          <w:ilvl w:val="0"/>
          <w:numId w:val="102"/>
        </w:numPr>
        <w:rPr>
          <w:rFonts w:ascii="宋体" w:hAnsi="宋体"/>
          <w:color w:val="000000" w:themeColor="text1"/>
          <w:sz w:val="21"/>
          <w:szCs w:val="21"/>
        </w:rPr>
      </w:pPr>
      <w:r>
        <w:rPr>
          <w:rFonts w:ascii="宋体" w:hAnsi="宋体" w:hint="eastAsia"/>
          <w:color w:val="000000" w:themeColor="text1"/>
          <w:sz w:val="21"/>
          <w:szCs w:val="21"/>
        </w:rPr>
        <w:t>或有事项</w:t>
      </w:r>
    </w:p>
    <w:p w:rsidR="00156DD6" w:rsidRDefault="00D51F5F">
      <w:pPr>
        <w:pStyle w:val="Style47"/>
        <w:numPr>
          <w:ilvl w:val="0"/>
          <w:numId w:val="103"/>
        </w:numPr>
        <w:tabs>
          <w:tab w:val="left" w:pos="616"/>
        </w:tabs>
        <w:rPr>
          <w:rFonts w:ascii="宋体" w:hAnsi="宋体"/>
          <w:color w:val="000000" w:themeColor="text1"/>
          <w:sz w:val="21"/>
          <w:szCs w:val="21"/>
        </w:rPr>
      </w:pPr>
      <w:r>
        <w:rPr>
          <w:rFonts w:ascii="宋体" w:hAnsi="宋体" w:hint="eastAsia"/>
          <w:color w:val="000000" w:themeColor="text1"/>
          <w:sz w:val="21"/>
          <w:szCs w:val="21"/>
        </w:rPr>
        <w:t>资产负债表日存在的重要或有事项</w:t>
      </w:r>
    </w:p>
    <w:sdt>
      <w:sdtPr>
        <w:rPr>
          <w:color w:val="000000" w:themeColor="text1"/>
        </w:rPr>
        <w:alias w:val="是否适用：资产负债表日存在的重要或有事项[双击切换]"/>
        <w:tag w:val="_GBC_dea854a30b4642f6b78351afe6791c32"/>
        <w:id w:val="-86837770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dt>
      <w:sdtPr>
        <w:rPr>
          <w:color w:val="000000" w:themeColor="text1"/>
        </w:rPr>
        <w:alias w:val="资产负债表日存在的重要或有事项"/>
        <w:tag w:val="_GBC_9aacda4c45eb44bcb0d1f17e53741a1f"/>
        <w:id w:val="-1023398977"/>
        <w:placeholder>
          <w:docPart w:val="GBC22222222222222222222222222222"/>
        </w:placeholder>
      </w:sdtPr>
      <w:sdtEndPr/>
      <w:sdtContent>
        <w:p w:rsidR="00156DD6" w:rsidRDefault="00D51F5F">
          <w:pPr>
            <w:rPr>
              <w:color w:val="000000" w:themeColor="text1"/>
            </w:rPr>
          </w:pPr>
          <w:r>
            <w:rPr>
              <w:rFonts w:hint="eastAsia"/>
              <w:color w:val="000000" w:themeColor="text1"/>
            </w:rPr>
            <w:t>截至</w:t>
          </w:r>
          <w:r>
            <w:rPr>
              <w:rFonts w:hint="eastAsia"/>
              <w:color w:val="000000" w:themeColor="text1"/>
            </w:rPr>
            <w:t>2025</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30</w:t>
          </w:r>
          <w:r>
            <w:rPr>
              <w:rFonts w:hint="eastAsia"/>
              <w:color w:val="000000" w:themeColor="text1"/>
            </w:rPr>
            <w:t>日止，本公司不存在需要披露的重要或有事项。</w:t>
          </w:r>
        </w:p>
      </w:sdtContent>
    </w:sdt>
    <w:p w:rsidR="00156DD6" w:rsidRDefault="00D51F5F">
      <w:pPr>
        <w:pStyle w:val="Style47"/>
        <w:numPr>
          <w:ilvl w:val="0"/>
          <w:numId w:val="103"/>
        </w:numPr>
        <w:tabs>
          <w:tab w:val="left" w:pos="616"/>
        </w:tabs>
        <w:rPr>
          <w:rFonts w:ascii="宋体" w:hAnsi="宋体"/>
          <w:color w:val="000000" w:themeColor="text1"/>
          <w:sz w:val="21"/>
          <w:szCs w:val="21"/>
        </w:rPr>
      </w:pPr>
      <w:r>
        <w:rPr>
          <w:rFonts w:ascii="宋体" w:hAnsi="宋体" w:hint="eastAsia"/>
          <w:color w:val="000000" w:themeColor="text1"/>
          <w:sz w:val="21"/>
          <w:szCs w:val="21"/>
        </w:rPr>
        <w:t>公司没有需要披露的重要或有事项，也应予以说明：</w:t>
      </w:r>
    </w:p>
    <w:sdt>
      <w:sdtPr>
        <w:rPr>
          <w:color w:val="000000" w:themeColor="text1"/>
        </w:rPr>
        <w:alias w:val="是否适用：公司没有需要披露的重要或有事项，也应予以说明[双击切换]"/>
        <w:tag w:val="_GBC_a0545390a9694adcaaee8509e290303c"/>
        <w:id w:val="-159592377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2"/>
        </w:numPr>
        <w:rPr>
          <w:rFonts w:ascii="宋体" w:hAnsi="宋体"/>
          <w:color w:val="000000" w:themeColor="text1"/>
          <w:sz w:val="21"/>
          <w:szCs w:val="21"/>
        </w:rPr>
      </w:pPr>
      <w:r>
        <w:rPr>
          <w:rFonts w:ascii="宋体" w:hAnsi="宋体" w:hint="eastAsia"/>
          <w:color w:val="000000" w:themeColor="text1"/>
          <w:sz w:val="21"/>
          <w:szCs w:val="21"/>
        </w:rPr>
        <w:t>其他</w:t>
      </w:r>
    </w:p>
    <w:sdt>
      <w:sdtPr>
        <w:rPr>
          <w:color w:val="000000" w:themeColor="text1"/>
        </w:rPr>
        <w:alias w:val="是否适用：承诺及或有事项的其他情况说明[双击切换]"/>
        <w:tag w:val="_GBC_ff33b21a56eb4d3291f2b4875be5a2b2"/>
        <w:id w:val="-151984642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资产负债表日后事项</w:t>
      </w:r>
    </w:p>
    <w:p w:rsidR="00156DD6" w:rsidRDefault="00D51F5F">
      <w:pPr>
        <w:pStyle w:val="TOC6"/>
        <w:numPr>
          <w:ilvl w:val="0"/>
          <w:numId w:val="104"/>
        </w:numPr>
        <w:rPr>
          <w:rFonts w:ascii="宋体" w:hAnsi="宋体"/>
          <w:color w:val="000000" w:themeColor="text1"/>
          <w:sz w:val="21"/>
          <w:szCs w:val="21"/>
        </w:rPr>
      </w:pPr>
      <w:r>
        <w:rPr>
          <w:rFonts w:ascii="宋体" w:hAnsi="宋体" w:hint="eastAsia"/>
          <w:color w:val="000000" w:themeColor="text1"/>
          <w:sz w:val="21"/>
          <w:szCs w:val="21"/>
        </w:rPr>
        <w:t>重要的非调整事项</w:t>
      </w:r>
    </w:p>
    <w:sdt>
      <w:sdtPr>
        <w:rPr>
          <w:color w:val="000000" w:themeColor="text1"/>
        </w:rPr>
        <w:alias w:val="是否适用：重要的非调整事项[双击切换]"/>
        <w:tag w:val="_GBC_ab366a8fb12748d6aa2a8401b360857c"/>
        <w:id w:val="-20964501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w:instrText>
          </w:r>
          <w:r>
            <w:rPr>
              <w:color w:val="000000" w:themeColor="text1"/>
            </w:rPr>
            <w:instrText xml:space="preserve">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spacing w:line="360" w:lineRule="exact"/>
        <w:ind w:firstLineChars="200" w:firstLine="420"/>
        <w:rPr>
          <w:color w:val="000000" w:themeColor="text1"/>
        </w:rPr>
      </w:pPr>
      <w:r>
        <w:rPr>
          <w:rFonts w:hint="eastAsia"/>
          <w:color w:val="000000" w:themeColor="text1"/>
        </w:rPr>
        <w:t>根据战略规划及未来经营发展的需要：</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2025</w:t>
      </w:r>
      <w:r>
        <w:rPr>
          <w:rFonts w:hint="eastAsia"/>
          <w:color w:val="000000" w:themeColor="text1"/>
        </w:rPr>
        <w:t>年</w:t>
      </w:r>
      <w:r>
        <w:rPr>
          <w:rFonts w:hint="eastAsia"/>
          <w:color w:val="000000" w:themeColor="text1"/>
        </w:rPr>
        <w:t>7</w:t>
      </w:r>
      <w:r>
        <w:rPr>
          <w:rFonts w:hint="eastAsia"/>
          <w:color w:val="000000" w:themeColor="text1"/>
        </w:rPr>
        <w:t>月，本公司出资设立望来充（重庆）科技有限责任公司，注册资本为人民币</w:t>
      </w:r>
      <w:r>
        <w:rPr>
          <w:rFonts w:hint="eastAsia"/>
          <w:color w:val="000000" w:themeColor="text1"/>
        </w:rPr>
        <w:t>5,000.00</w:t>
      </w:r>
      <w:r>
        <w:rPr>
          <w:rFonts w:hint="eastAsia"/>
          <w:color w:val="000000" w:themeColor="text1"/>
        </w:rPr>
        <w:t>万元，本公司认缴的出资额占注册资本的比例为</w:t>
      </w:r>
      <w:r>
        <w:rPr>
          <w:rFonts w:hint="eastAsia"/>
          <w:color w:val="000000" w:themeColor="text1"/>
        </w:rPr>
        <w:t>100%</w:t>
      </w:r>
      <w:r>
        <w:rPr>
          <w:rFonts w:hint="eastAsia"/>
          <w:color w:val="000000" w:themeColor="text1"/>
        </w:rPr>
        <w:t>。</w:t>
      </w:r>
    </w:p>
    <w:p w:rsidR="00156DD6" w:rsidRDefault="00D51F5F">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rFonts w:hint="eastAsia"/>
          <w:color w:val="000000" w:themeColor="text1"/>
        </w:rPr>
        <w:t>2025</w:t>
      </w:r>
      <w:r>
        <w:rPr>
          <w:rFonts w:hint="eastAsia"/>
          <w:color w:val="000000" w:themeColor="text1"/>
        </w:rPr>
        <w:t>年</w:t>
      </w:r>
      <w:r>
        <w:rPr>
          <w:rFonts w:hint="eastAsia"/>
          <w:color w:val="000000" w:themeColor="text1"/>
        </w:rPr>
        <w:t>8</w:t>
      </w:r>
      <w:r>
        <w:rPr>
          <w:rFonts w:hint="eastAsia"/>
          <w:color w:val="000000" w:themeColor="text1"/>
        </w:rPr>
        <w:t>月，望来充（重庆）科技有限责任公司出资设立望来充（云南）科技有限公司，注册资本为人民币</w:t>
      </w:r>
      <w:r>
        <w:rPr>
          <w:rFonts w:hint="eastAsia"/>
          <w:color w:val="000000" w:themeColor="text1"/>
        </w:rPr>
        <w:t>5,000.00</w:t>
      </w:r>
      <w:r>
        <w:rPr>
          <w:rFonts w:hint="eastAsia"/>
          <w:color w:val="000000" w:themeColor="text1"/>
        </w:rPr>
        <w:t>万元，其认缴的出资额占注册资本的比例为</w:t>
      </w:r>
      <w:r>
        <w:rPr>
          <w:rFonts w:hint="eastAsia"/>
          <w:color w:val="000000" w:themeColor="text1"/>
        </w:rPr>
        <w:t>100%</w:t>
      </w:r>
      <w:r>
        <w:rPr>
          <w:rFonts w:hint="eastAsia"/>
          <w:color w:val="000000" w:themeColor="text1"/>
        </w:rPr>
        <w:t>。</w:t>
      </w:r>
    </w:p>
    <w:p w:rsidR="00156DD6" w:rsidRDefault="00D51F5F">
      <w:pPr>
        <w:pStyle w:val="TOC6"/>
        <w:numPr>
          <w:ilvl w:val="0"/>
          <w:numId w:val="104"/>
        </w:numPr>
        <w:rPr>
          <w:rFonts w:ascii="宋体" w:hAnsi="宋体"/>
          <w:color w:val="000000" w:themeColor="text1"/>
          <w:sz w:val="21"/>
          <w:szCs w:val="21"/>
        </w:rPr>
      </w:pPr>
      <w:r>
        <w:rPr>
          <w:rFonts w:ascii="宋体" w:hAnsi="宋体" w:hint="eastAsia"/>
          <w:color w:val="000000" w:themeColor="text1"/>
          <w:sz w:val="21"/>
          <w:szCs w:val="21"/>
        </w:rPr>
        <w:t>利润分配情况</w:t>
      </w:r>
    </w:p>
    <w:sdt>
      <w:sdtPr>
        <w:rPr>
          <w:color w:val="000000" w:themeColor="text1"/>
        </w:rPr>
        <w:alias w:val="是否适用：利润分配情况[双击切换]"/>
        <w:tag w:val="_GBC_a2ea8cd0604f474db0e7e62eb7fc0435"/>
        <w:id w:val="29510189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4"/>
        </w:numPr>
        <w:rPr>
          <w:rFonts w:ascii="宋体" w:hAnsi="宋体"/>
          <w:color w:val="000000" w:themeColor="text1"/>
          <w:sz w:val="21"/>
          <w:szCs w:val="21"/>
        </w:rPr>
      </w:pPr>
      <w:bookmarkStart w:id="483" w:name="_Toc241636515"/>
      <w:r>
        <w:rPr>
          <w:rFonts w:ascii="宋体" w:hAnsi="宋体" w:hint="eastAsia"/>
          <w:color w:val="000000" w:themeColor="text1"/>
          <w:sz w:val="21"/>
          <w:szCs w:val="21"/>
        </w:rPr>
        <w:t>销售退回</w:t>
      </w:r>
    </w:p>
    <w:sdt>
      <w:sdtPr>
        <w:rPr>
          <w:color w:val="000000" w:themeColor="text1"/>
        </w:rPr>
        <w:alias w:val="是否适用：销售退回[双击切换]"/>
        <w:tag w:val="_GBC_4175c0e820fa43cd98dd2d05c0dea8a8"/>
        <w:id w:val="7556171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4"/>
        </w:numPr>
        <w:rPr>
          <w:rFonts w:ascii="宋体" w:hAnsi="宋体"/>
          <w:color w:val="000000" w:themeColor="text1"/>
          <w:sz w:val="21"/>
          <w:szCs w:val="21"/>
        </w:rPr>
      </w:pPr>
      <w:r>
        <w:rPr>
          <w:rFonts w:ascii="宋体" w:hAnsi="宋体" w:hint="eastAsia"/>
          <w:color w:val="000000" w:themeColor="text1"/>
          <w:sz w:val="21"/>
          <w:szCs w:val="21"/>
        </w:rPr>
        <w:t>其他资产负债表日后事项说明</w:t>
      </w:r>
      <w:bookmarkEnd w:id="483"/>
    </w:p>
    <w:sdt>
      <w:sdtPr>
        <w:rPr>
          <w:color w:val="000000" w:themeColor="text1"/>
        </w:rPr>
        <w:alias w:val="是否适用：其他资产负债表日后事项说明[双击切换]"/>
        <w:tag w:val="_GBC_3da0e7092a0048ed9e147e2e860785f5"/>
        <w:id w:val="12005166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sdt>
      <w:sdtPr>
        <w:rPr>
          <w:color w:val="000000" w:themeColor="text1"/>
        </w:rPr>
        <w:alias w:val="资产负债表日后事项的说明"/>
        <w:tag w:val="_GBC_b095fb5e765c447f82bb8e8b5a26cbea"/>
        <w:id w:val="-1773236809"/>
        <w:placeholder>
          <w:docPart w:val="6C2C0EDBD0284771944ECF94CDE96414"/>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根据公司全资子公司云变电气与昆明市西山区自然资源局、昆明市西山区城市更</w:t>
          </w:r>
          <w:r>
            <w:rPr>
              <w:rFonts w:hint="eastAsia"/>
              <w:color w:val="000000" w:themeColor="text1"/>
            </w:rPr>
            <w:t>新改造领导小组办公室、昆明市西山区人民政府马街街道办事处签订的《昆明市企业“退二进三”国有土地使用权收购协议》之补充协议</w:t>
          </w:r>
          <w:r>
            <w:rPr>
              <w:rFonts w:hint="eastAsia"/>
              <w:color w:val="000000" w:themeColor="text1"/>
            </w:rPr>
            <w:t>(</w:t>
          </w:r>
          <w:r>
            <w:rPr>
              <w:rFonts w:hint="eastAsia"/>
              <w:color w:val="000000" w:themeColor="text1"/>
            </w:rPr>
            <w:t>以下简称土地收购协议</w:t>
          </w:r>
          <w:r>
            <w:rPr>
              <w:rFonts w:hint="eastAsia"/>
              <w:color w:val="000000" w:themeColor="text1"/>
            </w:rPr>
            <w:t>)</w:t>
          </w:r>
          <w:r>
            <w:rPr>
              <w:rFonts w:hint="eastAsia"/>
              <w:color w:val="000000" w:themeColor="text1"/>
            </w:rPr>
            <w:t>，云变电气将位于昆明市西山区春雨路</w:t>
          </w:r>
          <w:r>
            <w:rPr>
              <w:rFonts w:hint="eastAsia"/>
              <w:color w:val="000000" w:themeColor="text1"/>
            </w:rPr>
            <w:t xml:space="preserve"> 265 </w:t>
          </w:r>
          <w:r>
            <w:rPr>
              <w:rFonts w:hint="eastAsia"/>
              <w:color w:val="000000" w:themeColor="text1"/>
            </w:rPr>
            <w:t>号，证载面积</w:t>
          </w:r>
          <w:r>
            <w:rPr>
              <w:rFonts w:hint="eastAsia"/>
              <w:color w:val="000000" w:themeColor="text1"/>
            </w:rPr>
            <w:t xml:space="preserve">22.12 </w:t>
          </w:r>
          <w:r>
            <w:rPr>
              <w:rFonts w:hint="eastAsia"/>
              <w:color w:val="000000" w:themeColor="text1"/>
            </w:rPr>
            <w:t>亩</w:t>
          </w:r>
          <w:r>
            <w:rPr>
              <w:rFonts w:hint="eastAsia"/>
              <w:color w:val="000000" w:themeColor="text1"/>
            </w:rPr>
            <w:t xml:space="preserve">(81,214.07 </w:t>
          </w:r>
          <w:r>
            <w:rPr>
              <w:rFonts w:hint="eastAsia"/>
              <w:color w:val="000000" w:themeColor="text1"/>
            </w:rPr>
            <w:t>平方米</w:t>
          </w:r>
          <w:r>
            <w:rPr>
              <w:rFonts w:hint="eastAsia"/>
              <w:color w:val="000000" w:themeColor="text1"/>
            </w:rPr>
            <w:t>)</w:t>
          </w:r>
          <w:r>
            <w:rPr>
              <w:rFonts w:hint="eastAsia"/>
              <w:color w:val="000000" w:themeColor="text1"/>
            </w:rPr>
            <w:t>土地交由政府收储</w:t>
          </w:r>
          <w:r>
            <w:rPr>
              <w:rFonts w:hint="eastAsia"/>
              <w:color w:val="000000" w:themeColor="text1"/>
            </w:rPr>
            <w:t>,</w:t>
          </w:r>
          <w:r>
            <w:rPr>
              <w:rFonts w:hint="eastAsia"/>
              <w:color w:val="000000" w:themeColor="text1"/>
            </w:rPr>
            <w:t>确认的搬迁补偿费金额为</w:t>
          </w:r>
          <w:r>
            <w:rPr>
              <w:rFonts w:hint="eastAsia"/>
              <w:color w:val="000000" w:themeColor="text1"/>
            </w:rPr>
            <w:t xml:space="preserve"> 2.56</w:t>
          </w:r>
          <w:r>
            <w:rPr>
              <w:rFonts w:hint="eastAsia"/>
              <w:color w:val="000000" w:themeColor="text1"/>
            </w:rPr>
            <w:t>亿元。云变电气于</w:t>
          </w:r>
          <w:r>
            <w:rPr>
              <w:rFonts w:hint="eastAsia"/>
              <w:color w:val="000000" w:themeColor="text1"/>
            </w:rPr>
            <w:t>2023</w:t>
          </w:r>
          <w:r>
            <w:rPr>
              <w:rFonts w:hint="eastAsia"/>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28</w:t>
          </w:r>
          <w:r>
            <w:rPr>
              <w:rFonts w:hint="eastAsia"/>
              <w:color w:val="000000" w:themeColor="text1"/>
            </w:rPr>
            <w:t>日完成土地收购协议所约定的相关义务，截至</w:t>
          </w:r>
          <w:r>
            <w:rPr>
              <w:rFonts w:hint="eastAsia"/>
              <w:color w:val="000000" w:themeColor="text1"/>
            </w:rPr>
            <w:t>2025</w:t>
          </w:r>
          <w:r>
            <w:rPr>
              <w:rFonts w:hint="eastAsia"/>
              <w:color w:val="000000" w:themeColor="text1"/>
            </w:rPr>
            <w:t>年</w:t>
          </w:r>
          <w:r>
            <w:rPr>
              <w:rFonts w:hint="eastAsia"/>
              <w:color w:val="000000" w:themeColor="text1"/>
            </w:rPr>
            <w:t>6</w:t>
          </w:r>
          <w:r>
            <w:rPr>
              <w:rFonts w:hint="eastAsia"/>
              <w:color w:val="000000" w:themeColor="text1"/>
            </w:rPr>
            <w:t>月</w:t>
          </w:r>
          <w:r>
            <w:rPr>
              <w:rFonts w:hint="eastAsia"/>
              <w:color w:val="000000" w:themeColor="text1"/>
            </w:rPr>
            <w:t>30</w:t>
          </w:r>
          <w:r>
            <w:rPr>
              <w:rFonts w:hint="eastAsia"/>
              <w:color w:val="000000" w:themeColor="text1"/>
            </w:rPr>
            <w:t>日尚有</w:t>
          </w:r>
          <w:r>
            <w:rPr>
              <w:rFonts w:hint="eastAsia"/>
              <w:color w:val="000000" w:themeColor="text1"/>
            </w:rPr>
            <w:t xml:space="preserve"> 1.28</w:t>
          </w:r>
          <w:r>
            <w:rPr>
              <w:rFonts w:hint="eastAsia"/>
              <w:color w:val="000000" w:themeColor="text1"/>
            </w:rPr>
            <w:t>亿元补偿款未收回。</w:t>
          </w:r>
        </w:p>
        <w:p w:rsidR="00156DD6" w:rsidRDefault="00D51F5F">
          <w:pPr>
            <w:spacing w:line="360" w:lineRule="exact"/>
            <w:ind w:firstLineChars="200" w:firstLine="420"/>
            <w:rPr>
              <w:color w:val="000000" w:themeColor="text1"/>
            </w:rPr>
          </w:pPr>
          <w:r>
            <w:rPr>
              <w:rFonts w:hint="eastAsia"/>
              <w:color w:val="000000" w:themeColor="text1"/>
            </w:rPr>
            <w:lastRenderedPageBreak/>
            <w:t>2025</w:t>
          </w:r>
          <w:r>
            <w:rPr>
              <w:rFonts w:hint="eastAsia"/>
              <w:color w:val="000000" w:themeColor="text1"/>
            </w:rPr>
            <w:t>年</w:t>
          </w:r>
          <w:r>
            <w:rPr>
              <w:rFonts w:hint="eastAsia"/>
              <w:color w:val="000000" w:themeColor="text1"/>
            </w:rPr>
            <w:t>7</w:t>
          </w:r>
          <w:r>
            <w:rPr>
              <w:rFonts w:hint="eastAsia"/>
              <w:color w:val="000000" w:themeColor="text1"/>
            </w:rPr>
            <w:t>月</w:t>
          </w:r>
          <w:r>
            <w:rPr>
              <w:rFonts w:hint="eastAsia"/>
              <w:color w:val="000000" w:themeColor="text1"/>
            </w:rPr>
            <w:t>21</w:t>
          </w:r>
          <w:r>
            <w:rPr>
              <w:rFonts w:hint="eastAsia"/>
              <w:color w:val="000000" w:themeColor="text1"/>
            </w:rPr>
            <w:t>日云变电气委托四川发现（昆明）律师事务所向昆明市西山区人民法院提交关于</w:t>
          </w:r>
          <w:r>
            <w:rPr>
              <w:rFonts w:hint="eastAsia"/>
              <w:color w:val="000000" w:themeColor="text1"/>
            </w:rPr>
            <w:t>云变电气与被告昆明市西山区人民政府马街街道办事处、昆明市西山区自然资源局（昆明市西山区林业和草原局</w:t>
          </w:r>
          <w:r>
            <w:rPr>
              <w:rFonts w:hint="eastAsia"/>
              <w:color w:val="000000" w:themeColor="text1"/>
            </w:rPr>
            <w:t xml:space="preserve">) </w:t>
          </w:r>
          <w:r>
            <w:rPr>
              <w:rFonts w:hint="eastAsia"/>
              <w:color w:val="000000" w:themeColor="text1"/>
            </w:rPr>
            <w:t>、昆明市西山区城市更新改造局未按约定履行行政协议一案相关诉状书，并于</w:t>
          </w:r>
          <w:r>
            <w:rPr>
              <w:rFonts w:hint="eastAsia"/>
              <w:color w:val="000000" w:themeColor="text1"/>
            </w:rPr>
            <w:t>2025</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12</w:t>
          </w:r>
          <w:r>
            <w:rPr>
              <w:rFonts w:hint="eastAsia"/>
              <w:color w:val="000000" w:themeColor="text1"/>
            </w:rPr>
            <w:t>日收到昆明市西山区人民法院的关于《缴纳诉讼费用通知书》（</w:t>
          </w:r>
          <w:r>
            <w:rPr>
              <w:rFonts w:hint="eastAsia"/>
              <w:color w:val="000000" w:themeColor="text1"/>
            </w:rPr>
            <w:t>&lt;2025&gt;</w:t>
          </w:r>
          <w:r>
            <w:rPr>
              <w:rFonts w:hint="eastAsia"/>
              <w:color w:val="000000" w:themeColor="text1"/>
            </w:rPr>
            <w:t>云</w:t>
          </w:r>
          <w:r>
            <w:rPr>
              <w:rFonts w:hint="eastAsia"/>
              <w:color w:val="000000" w:themeColor="text1"/>
            </w:rPr>
            <w:t>0112</w:t>
          </w:r>
          <w:r>
            <w:rPr>
              <w:rFonts w:hint="eastAsia"/>
              <w:color w:val="000000" w:themeColor="text1"/>
            </w:rPr>
            <w:t>行初</w:t>
          </w:r>
          <w:r>
            <w:rPr>
              <w:rFonts w:hint="eastAsia"/>
              <w:color w:val="000000" w:themeColor="text1"/>
            </w:rPr>
            <w:t>112</w:t>
          </w:r>
          <w:r>
            <w:rPr>
              <w:rFonts w:hint="eastAsia"/>
              <w:color w:val="000000" w:themeColor="text1"/>
            </w:rPr>
            <w:t>号），该款项的收回时间存在不确定性。</w:t>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t>其他重要事项</w:t>
      </w:r>
    </w:p>
    <w:p w:rsidR="00156DD6" w:rsidRDefault="00D51F5F">
      <w:pPr>
        <w:pStyle w:val="TOC6"/>
        <w:numPr>
          <w:ilvl w:val="0"/>
          <w:numId w:val="105"/>
        </w:numPr>
        <w:rPr>
          <w:rFonts w:ascii="宋体" w:hAnsi="宋体"/>
          <w:color w:val="000000" w:themeColor="text1"/>
          <w:sz w:val="21"/>
          <w:szCs w:val="21"/>
        </w:rPr>
      </w:pPr>
      <w:r>
        <w:rPr>
          <w:rFonts w:ascii="宋体" w:hAnsi="宋体" w:hint="eastAsia"/>
          <w:color w:val="000000" w:themeColor="text1"/>
          <w:sz w:val="21"/>
          <w:szCs w:val="21"/>
        </w:rPr>
        <w:t>前期会计差错更正</w:t>
      </w:r>
    </w:p>
    <w:p w:rsidR="00156DD6" w:rsidRDefault="00D51F5F">
      <w:pPr>
        <w:pStyle w:val="Style47"/>
        <w:numPr>
          <w:ilvl w:val="0"/>
          <w:numId w:val="106"/>
        </w:numPr>
        <w:tabs>
          <w:tab w:val="left" w:pos="602"/>
        </w:tabs>
        <w:rPr>
          <w:rFonts w:ascii="宋体" w:hAnsi="宋体"/>
          <w:color w:val="000000" w:themeColor="text1"/>
          <w:sz w:val="21"/>
          <w:szCs w:val="21"/>
        </w:rPr>
      </w:pPr>
      <w:r>
        <w:rPr>
          <w:rFonts w:ascii="宋体" w:hAnsi="宋体" w:hint="eastAsia"/>
          <w:color w:val="000000" w:themeColor="text1"/>
          <w:sz w:val="21"/>
          <w:szCs w:val="21"/>
        </w:rPr>
        <w:t>追溯重述法</w:t>
      </w:r>
    </w:p>
    <w:sdt>
      <w:sdtPr>
        <w:rPr>
          <w:rFonts w:hint="eastAsia"/>
          <w:color w:val="000000" w:themeColor="text1"/>
        </w:rPr>
        <w:alias w:val="是否适用：追溯重述法[双击切换]"/>
        <w:tag w:val="_GBC_9d59987ec8f64e568cc0874cd76bb5ce"/>
        <w:id w:val="194141199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106"/>
        </w:numPr>
        <w:tabs>
          <w:tab w:val="left" w:pos="602"/>
        </w:tabs>
        <w:rPr>
          <w:rFonts w:ascii="宋体" w:hAnsi="宋体"/>
          <w:color w:val="000000" w:themeColor="text1"/>
          <w:sz w:val="21"/>
          <w:szCs w:val="21"/>
        </w:rPr>
      </w:pPr>
      <w:r>
        <w:rPr>
          <w:rFonts w:ascii="宋体" w:hAnsi="宋体" w:hint="eastAsia"/>
          <w:color w:val="000000" w:themeColor="text1"/>
          <w:sz w:val="21"/>
          <w:szCs w:val="21"/>
        </w:rPr>
        <w:t>未来适用法</w:t>
      </w:r>
    </w:p>
    <w:sdt>
      <w:sdtPr>
        <w:rPr>
          <w:color w:val="000000" w:themeColor="text1"/>
        </w:rPr>
        <w:alias w:val="是否适用：未来适用法[双击切换]"/>
        <w:tag w:val="_GBC_add0977272ee43e7938e3e96c6aaa92d"/>
        <w:id w:val="-123029509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5"/>
        </w:numPr>
        <w:rPr>
          <w:rFonts w:ascii="宋体" w:hAnsi="宋体"/>
          <w:color w:val="000000" w:themeColor="text1"/>
          <w:sz w:val="21"/>
          <w:szCs w:val="21"/>
        </w:rPr>
      </w:pPr>
      <w:bookmarkStart w:id="484" w:name="_Hlk167977672"/>
      <w:r>
        <w:rPr>
          <w:rFonts w:ascii="宋体" w:hAnsi="宋体" w:hint="eastAsia"/>
          <w:color w:val="000000" w:themeColor="text1"/>
          <w:sz w:val="21"/>
          <w:szCs w:val="21"/>
        </w:rPr>
        <w:t>重要债务重组</w:t>
      </w:r>
    </w:p>
    <w:sdt>
      <w:sdtPr>
        <w:rPr>
          <w:color w:val="000000" w:themeColor="text1"/>
        </w:rPr>
        <w:alias w:val="是否适用：重要债务重组[双击切换]"/>
        <w:tag w:val="_GBC_14f62373def24b6b994f6cfe645fabcb"/>
        <w:id w:val="725652029"/>
        <w:placeholder>
          <w:docPart w:val="GBC22222222222222222222222222222"/>
        </w:placeholder>
      </w:sdtPr>
      <w:sdtEndPr/>
      <w:sdtContent>
        <w:p w:rsidR="00156DD6" w:rsidRDefault="00D51F5F">
          <w:pPr>
            <w:rPr>
              <w:rFonts w:asciiTheme="minorHAnsi" w:eastAsiaTheme="minorEastAsia" w:hAnsiTheme="minorHAnsi" w:cstheme="minorBidi"/>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484"/>
    <w:p w:rsidR="00156DD6" w:rsidRDefault="00D51F5F">
      <w:pPr>
        <w:pStyle w:val="TOC6"/>
        <w:numPr>
          <w:ilvl w:val="0"/>
          <w:numId w:val="105"/>
        </w:numPr>
        <w:rPr>
          <w:rFonts w:ascii="宋体" w:hAnsi="宋体"/>
          <w:color w:val="000000" w:themeColor="text1"/>
          <w:sz w:val="21"/>
          <w:szCs w:val="21"/>
        </w:rPr>
      </w:pPr>
      <w:r>
        <w:rPr>
          <w:rFonts w:ascii="宋体" w:hAnsi="宋体" w:hint="eastAsia"/>
          <w:color w:val="000000" w:themeColor="text1"/>
          <w:sz w:val="21"/>
          <w:szCs w:val="21"/>
        </w:rPr>
        <w:t>资产置换</w:t>
      </w:r>
    </w:p>
    <w:p w:rsidR="00156DD6" w:rsidRDefault="00D51F5F">
      <w:pPr>
        <w:pStyle w:val="Style47"/>
        <w:numPr>
          <w:ilvl w:val="0"/>
          <w:numId w:val="107"/>
        </w:numPr>
        <w:tabs>
          <w:tab w:val="left" w:pos="644"/>
        </w:tabs>
        <w:rPr>
          <w:rFonts w:ascii="宋体" w:hAnsi="宋体"/>
          <w:color w:val="000000" w:themeColor="text1"/>
          <w:sz w:val="21"/>
          <w:szCs w:val="21"/>
        </w:rPr>
      </w:pPr>
      <w:bookmarkStart w:id="485" w:name="_Toc161412438"/>
      <w:bookmarkStart w:id="486" w:name="_Toc241636517"/>
      <w:r>
        <w:rPr>
          <w:rFonts w:ascii="宋体" w:hAnsi="宋体" w:hint="eastAsia"/>
          <w:color w:val="000000" w:themeColor="text1"/>
          <w:sz w:val="21"/>
          <w:szCs w:val="21"/>
        </w:rPr>
        <w:t>非货币性资产交换</w:t>
      </w:r>
      <w:bookmarkEnd w:id="485"/>
      <w:bookmarkEnd w:id="486"/>
    </w:p>
    <w:sdt>
      <w:sdtPr>
        <w:rPr>
          <w:color w:val="000000" w:themeColor="text1"/>
        </w:rPr>
        <w:alias w:val="是否适用：非货币性资产交换[双击切换]"/>
        <w:tag w:val="_GBC_1e8378570c9a4db08ad001118944af2e"/>
        <w:id w:val="-199749270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107"/>
        </w:numPr>
        <w:tabs>
          <w:tab w:val="left" w:pos="644"/>
        </w:tabs>
        <w:rPr>
          <w:rFonts w:ascii="宋体" w:hAnsi="宋体"/>
          <w:color w:val="000000" w:themeColor="text1"/>
          <w:sz w:val="21"/>
          <w:szCs w:val="21"/>
        </w:rPr>
      </w:pPr>
      <w:r>
        <w:rPr>
          <w:rFonts w:ascii="宋体" w:hAnsi="宋体" w:hint="eastAsia"/>
          <w:color w:val="000000" w:themeColor="text1"/>
          <w:sz w:val="21"/>
          <w:szCs w:val="21"/>
        </w:rPr>
        <w:t>其他资产置换</w:t>
      </w:r>
    </w:p>
    <w:sdt>
      <w:sdtPr>
        <w:rPr>
          <w:color w:val="000000" w:themeColor="text1"/>
        </w:rPr>
        <w:alias w:val="是否适用：其他资产置换[双击切换]"/>
        <w:tag w:val="_GBC_e20be5fc12b94f43a4090c14cc3aec63"/>
        <w:id w:val="-132489071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5"/>
        </w:numPr>
        <w:rPr>
          <w:rFonts w:ascii="宋体" w:hAnsi="宋体"/>
          <w:color w:val="000000" w:themeColor="text1"/>
          <w:sz w:val="21"/>
          <w:szCs w:val="21"/>
        </w:rPr>
      </w:pPr>
      <w:bookmarkStart w:id="487" w:name="_Toc247371936"/>
      <w:r>
        <w:rPr>
          <w:rFonts w:ascii="宋体" w:hAnsi="宋体" w:hint="eastAsia"/>
          <w:color w:val="000000" w:themeColor="text1"/>
          <w:sz w:val="21"/>
          <w:szCs w:val="21"/>
        </w:rPr>
        <w:t>年金计划</w:t>
      </w:r>
      <w:bookmarkEnd w:id="487"/>
    </w:p>
    <w:sdt>
      <w:sdtPr>
        <w:rPr>
          <w:color w:val="000000" w:themeColor="text1"/>
        </w:rPr>
        <w:alias w:val="是否适用：年金计划[双击切换]"/>
        <w:tag w:val="_GBC_f69a163f78f74a54a6443aaa7388f0dd"/>
        <w:id w:val="1870719898"/>
        <w:placeholder>
          <w:docPart w:val="GBC22222222222222222222222222222"/>
        </w:placeholder>
      </w:sdtPr>
      <w:sdtEndPr/>
      <w:sdtContent>
        <w:p w:rsidR="00156DD6" w:rsidRDefault="00D51F5F">
          <w:pPr>
            <w:rPr>
              <w:rFonts w:cstheme="minorBidi"/>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5"/>
        </w:numPr>
        <w:rPr>
          <w:rFonts w:ascii="宋体" w:hAnsi="宋体"/>
          <w:color w:val="000000" w:themeColor="text1"/>
          <w:sz w:val="21"/>
          <w:szCs w:val="21"/>
        </w:rPr>
      </w:pPr>
      <w:r>
        <w:rPr>
          <w:rFonts w:ascii="宋体" w:hAnsi="宋体" w:hint="eastAsia"/>
          <w:color w:val="000000" w:themeColor="text1"/>
          <w:sz w:val="21"/>
          <w:szCs w:val="21"/>
        </w:rPr>
        <w:t>终止经营</w:t>
      </w:r>
    </w:p>
    <w:sdt>
      <w:sdtPr>
        <w:rPr>
          <w:color w:val="000000" w:themeColor="text1"/>
        </w:rPr>
        <w:alias w:val="是否适用：终止经营[双击切换]"/>
        <w:tag w:val="_GBC_8e88002e405543f593111633f63e4d8b"/>
        <w:id w:val="-763073799"/>
        <w:placeholder>
          <w:docPart w:val="GBC22222222222222222222222222222"/>
        </w:placeholder>
      </w:sdtPr>
      <w:sdtEndPr/>
      <w:sdtContent>
        <w:p w:rsidR="00156DD6" w:rsidRDefault="00D51F5F">
          <w:pPr>
            <w:rPr>
              <w:rFonts w:cstheme="minorBidi"/>
              <w:color w:val="000000" w:themeColor="text1"/>
              <w:kern w:val="2"/>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5"/>
        </w:numPr>
        <w:rPr>
          <w:rFonts w:ascii="宋体" w:hAnsi="宋体"/>
          <w:color w:val="000000" w:themeColor="text1"/>
          <w:sz w:val="21"/>
          <w:szCs w:val="21"/>
        </w:rPr>
      </w:pPr>
      <w:r>
        <w:rPr>
          <w:rFonts w:ascii="宋体" w:hAnsi="宋体" w:hint="eastAsia"/>
          <w:color w:val="000000" w:themeColor="text1"/>
          <w:sz w:val="21"/>
          <w:szCs w:val="21"/>
        </w:rPr>
        <w:t>分部信息</w:t>
      </w:r>
    </w:p>
    <w:p w:rsidR="00156DD6" w:rsidRDefault="00D51F5F">
      <w:pPr>
        <w:pStyle w:val="Style47"/>
        <w:numPr>
          <w:ilvl w:val="1"/>
          <w:numId w:val="108"/>
        </w:numPr>
        <w:tabs>
          <w:tab w:val="left" w:pos="644"/>
        </w:tabs>
        <w:ind w:left="420"/>
        <w:rPr>
          <w:rFonts w:ascii="宋体" w:hAnsi="宋体"/>
          <w:color w:val="000000" w:themeColor="text1"/>
          <w:sz w:val="21"/>
          <w:szCs w:val="21"/>
        </w:rPr>
      </w:pPr>
      <w:r>
        <w:rPr>
          <w:rFonts w:ascii="宋体" w:hAnsi="宋体" w:hint="eastAsia"/>
          <w:color w:val="000000" w:themeColor="text1"/>
          <w:sz w:val="21"/>
          <w:szCs w:val="21"/>
        </w:rPr>
        <w:t>报告分部的确定依据与会计政策</w:t>
      </w:r>
    </w:p>
    <w:sdt>
      <w:sdtPr>
        <w:rPr>
          <w:color w:val="000000" w:themeColor="text1"/>
        </w:rPr>
        <w:alias w:val="是否适用：报告分部的确定依据与会计政策[双击切换]"/>
        <w:tag w:val="_GBC_3684a11ce06644529eba619783a75583"/>
        <w:id w:val="61964267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bookmarkStart w:id="488" w:name="OLE_LINK122" w:displacedByCustomXml="next"/>
    <w:sdt>
      <w:sdtPr>
        <w:rPr>
          <w:color w:val="000000" w:themeColor="text1"/>
        </w:rPr>
        <w:alias w:val="报告分部的确定依据与会计政策"/>
        <w:tag w:val="_GBC_025e15951a494fa2845d296cf8db1fdb"/>
        <w:id w:val="1524202619"/>
        <w:placeholder>
          <w:docPart w:val="GBC22222222222222222222222222222"/>
        </w:placeholder>
      </w:sdtPr>
      <w:sdtEndPr/>
      <w:sdtContent>
        <w:p w:rsidR="00156DD6" w:rsidRDefault="00D51F5F">
          <w:pPr>
            <w:spacing w:line="360" w:lineRule="exact"/>
            <w:ind w:firstLineChars="200" w:firstLine="420"/>
            <w:rPr>
              <w:color w:val="000000" w:themeColor="text1"/>
            </w:rPr>
          </w:pPr>
          <w:r>
            <w:rPr>
              <w:rFonts w:hint="eastAsia"/>
              <w:color w:val="000000" w:themeColor="text1"/>
            </w:rPr>
            <w:t>本公司主要业务为生产和销售输配电及控制设备、取向硅钢。公司将此业务视作为一个整体实施管理、评估经营成果。因此，本公司无需披露分部信息。</w:t>
          </w:r>
        </w:p>
      </w:sdtContent>
    </w:sdt>
    <w:bookmarkEnd w:id="488"/>
    <w:p w:rsidR="00156DD6" w:rsidRDefault="00D51F5F">
      <w:pPr>
        <w:pStyle w:val="Style47"/>
        <w:numPr>
          <w:ilvl w:val="1"/>
          <w:numId w:val="108"/>
        </w:numPr>
        <w:tabs>
          <w:tab w:val="left" w:pos="644"/>
        </w:tabs>
        <w:ind w:left="420"/>
        <w:rPr>
          <w:rFonts w:ascii="宋体" w:hAnsi="宋体"/>
          <w:color w:val="000000" w:themeColor="text1"/>
          <w:sz w:val="21"/>
          <w:szCs w:val="21"/>
        </w:rPr>
      </w:pPr>
      <w:r>
        <w:rPr>
          <w:rFonts w:ascii="宋体" w:hAnsi="宋体" w:hint="eastAsia"/>
          <w:color w:val="000000" w:themeColor="text1"/>
          <w:sz w:val="21"/>
          <w:szCs w:val="21"/>
        </w:rPr>
        <w:t>报告分部的财务信息</w:t>
      </w:r>
    </w:p>
    <w:sdt>
      <w:sdtPr>
        <w:rPr>
          <w:color w:val="000000" w:themeColor="text1"/>
        </w:rPr>
        <w:alias w:val="是否适用：报告分部的财务信息[双击切换]"/>
        <w:tag w:val="_GBC_25e6ee3686524d959ae273bb5aaa9cfb"/>
        <w:id w:val="-98239534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1"/>
          <w:numId w:val="108"/>
        </w:numPr>
        <w:tabs>
          <w:tab w:val="left" w:pos="644"/>
        </w:tabs>
        <w:ind w:left="420"/>
        <w:rPr>
          <w:rFonts w:ascii="宋体" w:hAnsi="宋体"/>
          <w:color w:val="000000" w:themeColor="text1"/>
          <w:sz w:val="21"/>
          <w:szCs w:val="21"/>
        </w:rPr>
      </w:pPr>
      <w:r>
        <w:rPr>
          <w:rFonts w:ascii="宋体" w:hAnsi="宋体" w:hint="eastAsia"/>
          <w:color w:val="000000" w:themeColor="text1"/>
          <w:sz w:val="21"/>
          <w:szCs w:val="21"/>
        </w:rPr>
        <w:t>公司无报告分部的，或者不能披露各报告分部的资产总额和负债总额的，应说明原因</w:t>
      </w:r>
    </w:p>
    <w:sdt>
      <w:sdtPr>
        <w:rPr>
          <w:rFonts w:hint="eastAsia"/>
          <w:color w:val="000000" w:themeColor="text1"/>
        </w:rPr>
        <w:alias w:val="是否适用：公司无报告分部的，或者不能披露各报告分部的资产总额和负债总额的，应说明原因[双击切换]"/>
        <w:tag w:val="_GBC_de327191b263431db97d3ba75838aba8"/>
        <w:id w:val="-322716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1"/>
          <w:numId w:val="108"/>
        </w:numPr>
        <w:tabs>
          <w:tab w:val="left" w:pos="644"/>
        </w:tabs>
        <w:ind w:left="420"/>
        <w:rPr>
          <w:rFonts w:ascii="宋体" w:hAnsi="宋体"/>
          <w:color w:val="000000" w:themeColor="text1"/>
          <w:sz w:val="21"/>
          <w:szCs w:val="21"/>
        </w:rPr>
      </w:pPr>
      <w:r>
        <w:rPr>
          <w:rFonts w:ascii="宋体" w:hAnsi="宋体" w:hint="eastAsia"/>
          <w:color w:val="000000" w:themeColor="text1"/>
          <w:sz w:val="21"/>
          <w:szCs w:val="21"/>
        </w:rPr>
        <w:t>其他说明</w:t>
      </w:r>
    </w:p>
    <w:sdt>
      <w:sdtPr>
        <w:rPr>
          <w:color w:val="000000" w:themeColor="text1"/>
        </w:rPr>
        <w:alias w:val="是否适用：分部信息的其他说明[双击切换]"/>
        <w:tag w:val="_GBC_d4186588d0fd49e5b2642a9422c2353f"/>
        <w:id w:val="-62060918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w:instrText>
          </w:r>
          <w:r>
            <w:rPr>
              <w:rFonts w:hint="eastAsia"/>
              <w:color w:val="000000" w:themeColor="text1"/>
            </w:rPr>
            <w:instrText xml:space="preserve">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5"/>
        </w:numPr>
        <w:rPr>
          <w:rFonts w:ascii="宋体" w:hAnsi="宋体"/>
          <w:color w:val="000000" w:themeColor="text1"/>
          <w:sz w:val="21"/>
          <w:szCs w:val="21"/>
        </w:rPr>
      </w:pPr>
      <w:bookmarkStart w:id="489" w:name="_Toc241636520"/>
      <w:bookmarkEnd w:id="489"/>
      <w:r>
        <w:rPr>
          <w:rFonts w:ascii="宋体" w:hAnsi="宋体" w:hint="eastAsia"/>
          <w:color w:val="000000" w:themeColor="text1"/>
          <w:sz w:val="21"/>
          <w:szCs w:val="21"/>
        </w:rPr>
        <w:t>其他对投资者决策有影响的重要交易和事项</w:t>
      </w:r>
    </w:p>
    <w:sdt>
      <w:sdtPr>
        <w:rPr>
          <w:color w:val="000000" w:themeColor="text1"/>
        </w:rPr>
        <w:alias w:val="是否适用：其他对投资者决策有影响的重要交易和事项[双击切换]"/>
        <w:tag w:val="_GBC_6bb0ea1e73f644b99b2bccc9d2ea19e9"/>
        <w:id w:val="-28188819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05"/>
        </w:numPr>
        <w:rPr>
          <w:rFonts w:ascii="宋体" w:hAnsi="宋体"/>
          <w:color w:val="000000" w:themeColor="text1"/>
          <w:sz w:val="21"/>
          <w:szCs w:val="21"/>
        </w:rPr>
      </w:pPr>
      <w:r>
        <w:rPr>
          <w:rFonts w:ascii="宋体" w:hAnsi="宋体" w:hint="eastAsia"/>
          <w:color w:val="000000" w:themeColor="text1"/>
          <w:sz w:val="21"/>
          <w:szCs w:val="21"/>
        </w:rPr>
        <w:t>其他</w:t>
      </w:r>
    </w:p>
    <w:sdt>
      <w:sdtPr>
        <w:rPr>
          <w:color w:val="000000" w:themeColor="text1"/>
        </w:rPr>
        <w:alias w:val="是否适用：其他重要事项的说明[双击切换]"/>
        <w:tag w:val="_GBC_518cb9b615c44ff597f57c3bba95c7fa"/>
        <w:id w:val="-885560645"/>
        <w:placeholder>
          <w:docPart w:val="GBC22222222222222222222222222222"/>
        </w:placeholder>
      </w:sdtPr>
      <w:sdtEndPr/>
      <w:sdtContent>
        <w:p w:rsidR="00156DD6" w:rsidRDefault="00D51F5F">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spacing w:line="360" w:lineRule="exact"/>
        <w:ind w:firstLineChars="200" w:firstLine="420"/>
      </w:pPr>
    </w:p>
    <w:p w:rsidR="00156DD6" w:rsidRDefault="00156DD6">
      <w:pPr>
        <w:rPr>
          <w:color w:val="000000" w:themeColor="text1"/>
        </w:rPr>
      </w:pPr>
    </w:p>
    <w:p w:rsidR="00156DD6" w:rsidRDefault="00156DD6">
      <w:pPr>
        <w:pStyle w:val="2CharCharChar"/>
        <w:numPr>
          <w:ilvl w:val="0"/>
          <w:numId w:val="33"/>
        </w:numPr>
        <w:ind w:left="422" w:hanging="422"/>
        <w:rPr>
          <w:rFonts w:ascii="宋体" w:hAnsi="宋体"/>
          <w:color w:val="000000" w:themeColor="text1"/>
        </w:rPr>
        <w:sectPr w:rsidR="00156DD6">
          <w:pgSz w:w="11906" w:h="16838"/>
          <w:pgMar w:top="1525" w:right="1276" w:bottom="1440" w:left="1797" w:header="856" w:footer="992" w:gutter="0"/>
          <w:cols w:space="425"/>
          <w:docGrid w:linePitch="312"/>
        </w:sectPr>
      </w:pPr>
    </w:p>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lastRenderedPageBreak/>
        <w:t>母公司财务报表主要项目注释</w:t>
      </w:r>
    </w:p>
    <w:p w:rsidR="00156DD6" w:rsidRDefault="00D51F5F">
      <w:pPr>
        <w:pStyle w:val="TOC6"/>
        <w:numPr>
          <w:ilvl w:val="0"/>
          <w:numId w:val="109"/>
        </w:numPr>
        <w:rPr>
          <w:rFonts w:ascii="宋体" w:hAnsi="宋体"/>
          <w:color w:val="000000" w:themeColor="text1"/>
          <w:sz w:val="21"/>
          <w:szCs w:val="22"/>
        </w:rPr>
      </w:pPr>
      <w:r>
        <w:rPr>
          <w:rFonts w:ascii="宋体" w:hAnsi="宋体" w:hint="eastAsia"/>
          <w:color w:val="000000" w:themeColor="text1"/>
          <w:sz w:val="21"/>
          <w:szCs w:val="22"/>
        </w:rPr>
        <w:t>应收账款</w:t>
      </w:r>
    </w:p>
    <w:p w:rsidR="00156DD6" w:rsidRDefault="00D51F5F">
      <w:pPr>
        <w:pStyle w:val="Style47"/>
        <w:numPr>
          <w:ilvl w:val="3"/>
          <w:numId w:val="110"/>
        </w:numPr>
        <w:ind w:left="426" w:hangingChars="202" w:hanging="426"/>
        <w:rPr>
          <w:color w:val="000000" w:themeColor="text1"/>
          <w:sz w:val="21"/>
          <w:szCs w:val="32"/>
        </w:rPr>
      </w:pPr>
      <w:bookmarkStart w:id="490" w:name="_Hlk167980323"/>
      <w:bookmarkStart w:id="491" w:name="_Hlk533796665"/>
      <w:r>
        <w:rPr>
          <w:rFonts w:hint="eastAsia"/>
          <w:color w:val="000000" w:themeColor="text1"/>
          <w:sz w:val="21"/>
          <w:szCs w:val="32"/>
        </w:rPr>
        <w:t>按账龄披露</w:t>
      </w:r>
    </w:p>
    <w:sdt>
      <w:sdtPr>
        <w:rPr>
          <w:color w:val="000000" w:themeColor="text1"/>
        </w:rPr>
        <w:alias w:val="是否适用：母公司应收账款按账龄披露[双击切换]"/>
        <w:tag w:val="_GBC_801584c2698f4c75b9eab05c08a26afd"/>
        <w:id w:val="-69337060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母公司应收账款按账龄披露"/>
          <w:tag w:val="_GBC_308a90728c1f4859ad3f446cb4ef9717"/>
          <w:id w:val="-1007267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应收账款按账龄披露"/>
          <w:tag w:val="_GBC_777a884d0a3b4955b2e9309a1049a937"/>
          <w:id w:val="-15188412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675"/>
        <w:gridCol w:w="4675"/>
      </w:tblGrid>
      <w:tr w:rsidR="00156DD6">
        <w:trPr>
          <w:cantSplit/>
        </w:trPr>
        <w:sdt>
          <w:sdtPr>
            <w:tag w:val="_PLD_cce686fc6c1f4a00a0687060595ff873"/>
            <w:id w:val="867576534"/>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账龄</w:t>
                </w:r>
              </w:p>
            </w:tc>
          </w:sdtContent>
        </w:sdt>
        <w:sdt>
          <w:sdtPr>
            <w:tag w:val="_PLD_9fa8767136b3432ba1d3bea327b3af33"/>
            <w:id w:val="-1872605661"/>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期末账面余额</w:t>
                </w:r>
              </w:p>
            </w:tc>
          </w:sdtContent>
        </w:sdt>
        <w:sdt>
          <w:sdtPr>
            <w:tag w:val="_PLD_4053bba84d8a45f8a51648bc15113d5d"/>
            <w:id w:val="-370847294"/>
          </w:sdtPr>
          <w:sdtEndPr/>
          <w:sdtContent>
            <w:tc>
              <w:tcPr>
                <w:tcW w:w="1686"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期初账面余额</w:t>
                </w:r>
              </w:p>
            </w:tc>
          </w:sdtContent>
        </w:sdt>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1</w:t>
            </w:r>
            <w:r>
              <w:rPr>
                <w:rFonts w:hint="eastAsia"/>
                <w:color w:val="000000" w:themeColor="text1"/>
              </w:rPr>
              <w:t>年以内（含</w:t>
            </w:r>
            <w:r>
              <w:rPr>
                <w:rFonts w:hint="eastAsia"/>
                <w:color w:val="000000" w:themeColor="text1"/>
              </w:rPr>
              <w:t>1</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841,402,758.76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702,293,129.68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1</w:t>
            </w:r>
            <w:r>
              <w:rPr>
                <w:rFonts w:hint="eastAsia"/>
                <w:color w:val="000000" w:themeColor="text1"/>
              </w:rPr>
              <w:t>至</w:t>
            </w:r>
            <w:r>
              <w:rPr>
                <w:rFonts w:hint="eastAsia"/>
                <w:color w:val="000000" w:themeColor="text1"/>
              </w:rPr>
              <w:t>2</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214,744,250.90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215,683,703.03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2</w:t>
            </w:r>
            <w:r>
              <w:rPr>
                <w:rFonts w:hint="eastAsia"/>
                <w:color w:val="000000" w:themeColor="text1"/>
              </w:rPr>
              <w:t>至</w:t>
            </w:r>
            <w:r>
              <w:rPr>
                <w:rFonts w:hint="eastAsia"/>
                <w:color w:val="000000" w:themeColor="text1"/>
              </w:rPr>
              <w:t>3</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64,339,523.20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48,015,349.82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3</w:t>
            </w:r>
            <w:r>
              <w:rPr>
                <w:rFonts w:hint="eastAsia"/>
                <w:color w:val="000000" w:themeColor="text1"/>
              </w:rPr>
              <w:t>至</w:t>
            </w:r>
            <w:r>
              <w:rPr>
                <w:rFonts w:hint="eastAsia"/>
                <w:color w:val="000000" w:themeColor="text1"/>
              </w:rPr>
              <w:t>4</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25,688,306.15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19,054,925.60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4</w:t>
            </w:r>
            <w:r>
              <w:rPr>
                <w:rFonts w:hint="eastAsia"/>
                <w:color w:val="000000" w:themeColor="text1"/>
              </w:rPr>
              <w:t>至</w:t>
            </w:r>
            <w:r>
              <w:rPr>
                <w:rFonts w:hint="eastAsia"/>
                <w:color w:val="000000" w:themeColor="text1"/>
              </w:rPr>
              <w:t>5</w:t>
            </w:r>
            <w:r>
              <w:rPr>
                <w:rFonts w:hint="eastAsia"/>
                <w:color w:val="000000" w:themeColor="text1"/>
              </w:rPr>
              <w:t>年</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16,588,609.84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18,778,741.92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5</w:t>
            </w:r>
            <w:r>
              <w:rPr>
                <w:rFonts w:hint="eastAsia"/>
                <w:color w:val="000000" w:themeColor="text1"/>
              </w:rPr>
              <w:t>年以上</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23,613,681.23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22,039,650.06 </w:t>
            </w:r>
          </w:p>
        </w:tc>
      </w:tr>
      <w:tr w:rsidR="00156DD6">
        <w:trPr>
          <w:cantSplit/>
        </w:trPr>
        <w:tc>
          <w:tcPr>
            <w:tcW w:w="162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22"/>
                <w:szCs w:val="22"/>
              </w:rPr>
            </w:pPr>
            <w:r>
              <w:rPr>
                <w:rFonts w:hint="eastAsia"/>
                <w:color w:val="000000" w:themeColor="text1"/>
                <w:sz w:val="22"/>
                <w:szCs w:val="22"/>
              </w:rPr>
              <w:t>合计</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rPr>
                <w:sz w:val="22"/>
                <w:szCs w:val="22"/>
              </w:rPr>
            </w:pPr>
            <w:r>
              <w:rPr>
                <w:rFonts w:hint="eastAsia"/>
              </w:rPr>
              <w:t xml:space="preserve"> 1,186,377,130.08 </w:t>
            </w:r>
          </w:p>
        </w:tc>
        <w:tc>
          <w:tcPr>
            <w:tcW w:w="1686" w:type="pct"/>
            <w:tcBorders>
              <w:top w:val="single" w:sz="4" w:space="0" w:color="auto"/>
              <w:left w:val="single" w:sz="4" w:space="0" w:color="auto"/>
              <w:bottom w:val="single" w:sz="4" w:space="0" w:color="auto"/>
              <w:right w:val="single" w:sz="4" w:space="0" w:color="auto"/>
            </w:tcBorders>
          </w:tcPr>
          <w:p w:rsidR="00156DD6" w:rsidRDefault="00D51F5F">
            <w:pPr>
              <w:jc w:val="right"/>
              <w:rPr>
                <w:sz w:val="22"/>
                <w:szCs w:val="22"/>
              </w:rPr>
            </w:pPr>
            <w:r>
              <w:rPr>
                <w:sz w:val="22"/>
                <w:szCs w:val="22"/>
              </w:rPr>
              <w:t xml:space="preserve"> 1,025,865,500.11 </w:t>
            </w:r>
          </w:p>
        </w:tc>
      </w:tr>
    </w:tbl>
    <w:p w:rsidR="00156DD6" w:rsidRDefault="00D51F5F">
      <w:pPr>
        <w:pStyle w:val="Style47"/>
        <w:numPr>
          <w:ilvl w:val="3"/>
          <w:numId w:val="110"/>
        </w:numPr>
        <w:ind w:left="426" w:hangingChars="202" w:hanging="426"/>
        <w:rPr>
          <w:color w:val="000000" w:themeColor="text1"/>
          <w:sz w:val="21"/>
          <w:szCs w:val="32"/>
        </w:rPr>
      </w:pPr>
      <w:bookmarkStart w:id="492" w:name="_Hlk10540024"/>
      <w:bookmarkEnd w:id="490"/>
      <w:bookmarkEnd w:id="491"/>
      <w:r>
        <w:rPr>
          <w:rFonts w:hint="eastAsia"/>
          <w:color w:val="000000" w:themeColor="text1"/>
          <w:sz w:val="21"/>
          <w:szCs w:val="32"/>
        </w:rPr>
        <w:t>按坏账计提方法分类披露</w:t>
      </w:r>
    </w:p>
    <w:sdt>
      <w:sdtPr>
        <w:rPr>
          <w:color w:val="000000" w:themeColor="text1"/>
        </w:rPr>
        <w:alias w:val="是否适用：母公司应收账款按坏账计提方法分类披露[双击切换]"/>
        <w:tag w:val="_GBC_bd7fb52eb7f647d5aa6c10677b261ee1"/>
        <w:id w:val="-591315984"/>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autoSpaceDE w:val="0"/>
        <w:autoSpaceDN w:val="0"/>
        <w:adjustRightInd w:val="0"/>
        <w:ind w:left="425" w:right="105"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母公司应收账款按坏账计提方法分类披露"/>
          <w:tag w:val="_GBC_03786e76a9b246d5a93eac5a8936de3a"/>
          <w:id w:val="-9254115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母公司应收账款按坏账计提方法分类披露"/>
          <w:tag w:val="_GBC_1360c31492654a38991cae4cf45e7b4a"/>
          <w:id w:val="-6302397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208"/>
        <w:gridCol w:w="1742"/>
        <w:gridCol w:w="692"/>
        <w:gridCol w:w="1532"/>
        <w:gridCol w:w="845"/>
        <w:gridCol w:w="1742"/>
        <w:gridCol w:w="1662"/>
        <w:gridCol w:w="670"/>
        <w:gridCol w:w="1462"/>
        <w:gridCol w:w="846"/>
        <w:gridCol w:w="1462"/>
      </w:tblGrid>
      <w:tr w:rsidR="00156DD6">
        <w:trPr>
          <w:cantSplit/>
          <w:trHeight w:val="259"/>
        </w:trPr>
        <w:sdt>
          <w:sdtPr>
            <w:rPr>
              <w:sz w:val="20"/>
              <w:szCs w:val="20"/>
            </w:rPr>
            <w:tag w:val="_PLD_2f021e03341f49af95f8857da6272a92"/>
            <w:id w:val="-1071272103"/>
          </w:sdtPr>
          <w:sdtEndPr/>
          <w:sdtContent>
            <w:tc>
              <w:tcPr>
                <w:tcW w:w="443"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类别</w:t>
                </w:r>
              </w:p>
            </w:tc>
          </w:sdtContent>
        </w:sdt>
        <w:sdt>
          <w:sdtPr>
            <w:rPr>
              <w:sz w:val="20"/>
              <w:szCs w:val="20"/>
            </w:rPr>
            <w:tag w:val="_PLD_468e18ccdf48449f8e43799e7c3f622e"/>
            <w:id w:val="1310208627"/>
          </w:sdtPr>
          <w:sdtEndPr/>
          <w:sdtContent>
            <w:tc>
              <w:tcPr>
                <w:tcW w:w="2343"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sz w:val="20"/>
                    <w:szCs w:val="20"/>
                  </w:rPr>
                </w:pPr>
                <w:r>
                  <w:rPr>
                    <w:rFonts w:hint="eastAsia"/>
                    <w:color w:val="000000" w:themeColor="text1"/>
                    <w:sz w:val="20"/>
                    <w:szCs w:val="20"/>
                  </w:rPr>
                  <w:t>期末余额</w:t>
                </w:r>
              </w:p>
            </w:tc>
          </w:sdtContent>
        </w:sdt>
        <w:sdt>
          <w:sdtPr>
            <w:rPr>
              <w:sz w:val="20"/>
              <w:szCs w:val="20"/>
            </w:rPr>
            <w:tag w:val="_PLD_e387c0f70bd6484cafb1ada234d075bd"/>
            <w:id w:val="-972832586"/>
          </w:sdtPr>
          <w:sdtEndPr/>
          <w:sdtContent>
            <w:tc>
              <w:tcPr>
                <w:tcW w:w="2214" w:type="pct"/>
                <w:gridSpan w:val="5"/>
                <w:tcBorders>
                  <w:top w:val="single" w:sz="4" w:space="0" w:color="auto"/>
                  <w:left w:val="single" w:sz="4" w:space="0" w:color="auto"/>
                  <w:right w:val="single" w:sz="4" w:space="0" w:color="auto"/>
                </w:tcBorders>
                <w:vAlign w:val="center"/>
              </w:tcPr>
              <w:p w:rsidR="00156DD6" w:rsidRDefault="00D51F5F">
                <w:pPr>
                  <w:autoSpaceDE w:val="0"/>
                  <w:autoSpaceDN w:val="0"/>
                  <w:adjustRightInd w:val="0"/>
                  <w:snapToGrid w:val="0"/>
                  <w:spacing w:line="240" w:lineRule="atLeast"/>
                  <w:jc w:val="center"/>
                  <w:rPr>
                    <w:color w:val="000000" w:themeColor="text1"/>
                    <w:sz w:val="20"/>
                    <w:szCs w:val="20"/>
                  </w:rPr>
                </w:pPr>
                <w:r>
                  <w:rPr>
                    <w:rFonts w:hint="eastAsia"/>
                    <w:color w:val="000000" w:themeColor="text1"/>
                    <w:sz w:val="20"/>
                    <w:szCs w:val="20"/>
                  </w:rPr>
                  <w:t>期初余额</w:t>
                </w:r>
              </w:p>
            </w:tc>
          </w:sdtContent>
        </w:sdt>
      </w:tr>
      <w:tr w:rsidR="00156DD6">
        <w:trPr>
          <w:cantSplit/>
          <w:trHeight w:val="227"/>
        </w:trPr>
        <w:tc>
          <w:tcPr>
            <w:tcW w:w="443" w:type="pct"/>
            <w:vMerge/>
            <w:tcBorders>
              <w:left w:val="single" w:sz="4" w:space="0" w:color="auto"/>
              <w:right w:val="single" w:sz="4" w:space="0" w:color="auto"/>
            </w:tcBorders>
            <w:vAlign w:val="center"/>
          </w:tcPr>
          <w:p w:rsidR="00156DD6" w:rsidRDefault="00156DD6">
            <w:pPr>
              <w:rPr>
                <w:color w:val="000000" w:themeColor="text1"/>
                <w:sz w:val="20"/>
                <w:szCs w:val="20"/>
              </w:rPr>
            </w:pPr>
          </w:p>
        </w:tc>
        <w:sdt>
          <w:sdtPr>
            <w:rPr>
              <w:sz w:val="20"/>
              <w:szCs w:val="20"/>
            </w:rPr>
            <w:tag w:val="_PLD_73365edbfe354cb683cc42de4c1c9f49"/>
            <w:id w:val="1507317727"/>
          </w:sdtPr>
          <w:sdtEndPr/>
          <w:sdtContent>
            <w:tc>
              <w:tcPr>
                <w:tcW w:w="876"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账面余额</w:t>
                </w:r>
              </w:p>
            </w:tc>
          </w:sdtContent>
        </w:sdt>
        <w:sdt>
          <w:sdtPr>
            <w:rPr>
              <w:sz w:val="20"/>
              <w:szCs w:val="20"/>
            </w:rPr>
            <w:tag w:val="_PLD_11f34c9ee2d5429280d0d85b2c50756a"/>
            <w:id w:val="-126392762"/>
          </w:sdtPr>
          <w:sdtEndPr/>
          <w:sdtContent>
            <w:tc>
              <w:tcPr>
                <w:tcW w:w="839"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坏账准备</w:t>
                </w:r>
              </w:p>
            </w:tc>
          </w:sdtContent>
        </w:sdt>
        <w:sdt>
          <w:sdtPr>
            <w:rPr>
              <w:sz w:val="20"/>
              <w:szCs w:val="20"/>
            </w:rPr>
            <w:tag w:val="_PLD_6ade046afd0c47c0aae9506cc9d47486"/>
            <w:id w:val="-670403584"/>
          </w:sdtPr>
          <w:sdtEndPr/>
          <w:sdtContent>
            <w:tc>
              <w:tcPr>
                <w:tcW w:w="628"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账面</w:t>
                </w:r>
              </w:p>
              <w:p w:rsidR="00156DD6" w:rsidRDefault="00D51F5F">
                <w:pPr>
                  <w:jc w:val="center"/>
                  <w:rPr>
                    <w:color w:val="000000" w:themeColor="text1"/>
                    <w:sz w:val="20"/>
                    <w:szCs w:val="20"/>
                  </w:rPr>
                </w:pPr>
                <w:r>
                  <w:rPr>
                    <w:rFonts w:hint="eastAsia"/>
                    <w:color w:val="000000" w:themeColor="text1"/>
                    <w:sz w:val="20"/>
                    <w:szCs w:val="20"/>
                  </w:rPr>
                  <w:t>价值</w:t>
                </w:r>
              </w:p>
            </w:tc>
          </w:sdtContent>
        </w:sdt>
        <w:sdt>
          <w:sdtPr>
            <w:rPr>
              <w:sz w:val="20"/>
              <w:szCs w:val="20"/>
            </w:rPr>
            <w:tag w:val="_PLD_abd9bd4831b9473aabae7411a299a204"/>
            <w:id w:val="2077617526"/>
          </w:sdtPr>
          <w:sdtEndPr/>
          <w:sdtContent>
            <w:tc>
              <w:tcPr>
                <w:tcW w:w="848"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账面余额</w:t>
                </w:r>
              </w:p>
            </w:tc>
          </w:sdtContent>
        </w:sdt>
        <w:sdt>
          <w:sdtPr>
            <w:rPr>
              <w:sz w:val="20"/>
              <w:szCs w:val="20"/>
            </w:rPr>
            <w:tag w:val="_PLD_76d8f3a48cba41949b5870f6cbb124af"/>
            <w:id w:val="578793998"/>
          </w:sdtPr>
          <w:sdtEndPr/>
          <w:sdtContent>
            <w:tc>
              <w:tcPr>
                <w:tcW w:w="839" w:type="pct"/>
                <w:gridSpan w:val="2"/>
                <w:tcBorders>
                  <w:top w:val="single" w:sz="4" w:space="0" w:color="auto"/>
                  <w:left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坏账准备</w:t>
                </w:r>
              </w:p>
            </w:tc>
          </w:sdtContent>
        </w:sdt>
        <w:sdt>
          <w:sdtPr>
            <w:rPr>
              <w:sz w:val="20"/>
              <w:szCs w:val="20"/>
            </w:rPr>
            <w:tag w:val="_PLD_5062ab8e678b49c0bba488dc029ff27b"/>
            <w:id w:val="389385418"/>
          </w:sdtPr>
          <w:sdtEndPr/>
          <w:sdtContent>
            <w:tc>
              <w:tcPr>
                <w:tcW w:w="527"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账面</w:t>
                </w:r>
              </w:p>
              <w:p w:rsidR="00156DD6" w:rsidRDefault="00D51F5F">
                <w:pPr>
                  <w:jc w:val="center"/>
                  <w:rPr>
                    <w:color w:val="000000" w:themeColor="text1"/>
                    <w:sz w:val="20"/>
                    <w:szCs w:val="20"/>
                  </w:rPr>
                </w:pPr>
                <w:r>
                  <w:rPr>
                    <w:rFonts w:hint="eastAsia"/>
                    <w:color w:val="000000" w:themeColor="text1"/>
                    <w:sz w:val="20"/>
                    <w:szCs w:val="20"/>
                  </w:rPr>
                  <w:t>价值</w:t>
                </w:r>
              </w:p>
            </w:tc>
          </w:sdtContent>
        </w:sdt>
      </w:tr>
      <w:tr w:rsidR="00156DD6">
        <w:trPr>
          <w:cantSplit/>
          <w:trHeight w:val="375"/>
        </w:trPr>
        <w:tc>
          <w:tcPr>
            <w:tcW w:w="443" w:type="pct"/>
            <w:vMerge/>
            <w:tcBorders>
              <w:left w:val="single" w:sz="4" w:space="0" w:color="auto"/>
              <w:bottom w:val="single" w:sz="4" w:space="0" w:color="auto"/>
              <w:right w:val="single" w:sz="4" w:space="0" w:color="auto"/>
            </w:tcBorders>
            <w:vAlign w:val="center"/>
          </w:tcPr>
          <w:p w:rsidR="00156DD6" w:rsidRDefault="00156DD6">
            <w:pPr>
              <w:rPr>
                <w:color w:val="000000" w:themeColor="text1"/>
                <w:sz w:val="20"/>
                <w:szCs w:val="20"/>
              </w:rPr>
            </w:pPr>
          </w:p>
        </w:tc>
        <w:sdt>
          <w:sdtPr>
            <w:rPr>
              <w:sz w:val="20"/>
              <w:szCs w:val="20"/>
            </w:rPr>
            <w:tag w:val="_PLD_f6bdd572740240b5a7a2e643c29db5eb"/>
            <w:id w:val="-2034184476"/>
          </w:sdtPr>
          <w:sdtEndPr/>
          <w:sdtContent>
            <w:tc>
              <w:tcPr>
                <w:tcW w:w="628"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金额</w:t>
                </w:r>
              </w:p>
            </w:tc>
          </w:sdtContent>
        </w:sdt>
        <w:sdt>
          <w:sdtPr>
            <w:rPr>
              <w:sz w:val="20"/>
              <w:szCs w:val="20"/>
            </w:rPr>
            <w:tag w:val="_PLD_0a09779b6e354e32b6df9b1e891e1509"/>
            <w:id w:val="1736275347"/>
          </w:sdtPr>
          <w:sdtEndPr/>
          <w:sdtContent>
            <w:tc>
              <w:tcPr>
                <w:tcW w:w="248"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比例</w:t>
                </w:r>
                <w:r>
                  <w:rPr>
                    <w:color w:val="000000" w:themeColor="text1"/>
                    <w:sz w:val="20"/>
                    <w:szCs w:val="20"/>
                  </w:rPr>
                  <w:t>(%)</w:t>
                </w:r>
              </w:p>
            </w:tc>
          </w:sdtContent>
        </w:sdt>
        <w:sdt>
          <w:sdtPr>
            <w:rPr>
              <w:sz w:val="20"/>
              <w:szCs w:val="20"/>
            </w:rPr>
            <w:tag w:val="_PLD_dd9c9061f11b453c8775ca1a11382d92"/>
            <w:id w:val="-455102677"/>
          </w:sdtPr>
          <w:sdtEndPr/>
          <w:sdtContent>
            <w:tc>
              <w:tcPr>
                <w:tcW w:w="527"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金额</w:t>
                </w:r>
              </w:p>
            </w:tc>
          </w:sdtContent>
        </w:sdt>
        <w:sdt>
          <w:sdtPr>
            <w:rPr>
              <w:sz w:val="20"/>
              <w:szCs w:val="20"/>
            </w:rPr>
            <w:tag w:val="_PLD_988b69362ac14c0e94c26191e76b1e3a"/>
            <w:id w:val="1717394183"/>
          </w:sdtPr>
          <w:sdtEndPr/>
          <w:sdtContent>
            <w:tc>
              <w:tcPr>
                <w:tcW w:w="312"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计提比例</w:t>
                </w:r>
                <w:r>
                  <w:rPr>
                    <w:color w:val="000000" w:themeColor="text1"/>
                    <w:sz w:val="20"/>
                    <w:szCs w:val="20"/>
                  </w:rPr>
                  <w:t>(%)</w:t>
                </w:r>
              </w:p>
            </w:tc>
          </w:sdtContent>
        </w:sdt>
        <w:tc>
          <w:tcPr>
            <w:tcW w:w="628" w:type="pct"/>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sz w:val="20"/>
                <w:szCs w:val="20"/>
              </w:rPr>
            </w:pPr>
          </w:p>
        </w:tc>
        <w:sdt>
          <w:sdtPr>
            <w:rPr>
              <w:sz w:val="20"/>
              <w:szCs w:val="20"/>
            </w:rPr>
            <w:tag w:val="_PLD_a5c1af5c86d545b993971c3da029159d"/>
            <w:id w:val="2106682873"/>
          </w:sdtPr>
          <w:sdtEndPr/>
          <w:sdtContent>
            <w:tc>
              <w:tcPr>
                <w:tcW w:w="599"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金额</w:t>
                </w:r>
              </w:p>
            </w:tc>
          </w:sdtContent>
        </w:sdt>
        <w:sdt>
          <w:sdtPr>
            <w:rPr>
              <w:sz w:val="20"/>
              <w:szCs w:val="20"/>
            </w:rPr>
            <w:tag w:val="_PLD_fd80073c74724a799d0de2171d95f241"/>
            <w:id w:val="1318303873"/>
          </w:sdtPr>
          <w:sdtEndPr/>
          <w:sdtContent>
            <w:tc>
              <w:tcPr>
                <w:tcW w:w="249"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比例</w:t>
                </w:r>
                <w:r>
                  <w:rPr>
                    <w:color w:val="000000" w:themeColor="text1"/>
                    <w:sz w:val="20"/>
                    <w:szCs w:val="20"/>
                  </w:rPr>
                  <w:t>(%)</w:t>
                </w:r>
              </w:p>
            </w:tc>
          </w:sdtContent>
        </w:sdt>
        <w:sdt>
          <w:sdtPr>
            <w:rPr>
              <w:sz w:val="20"/>
              <w:szCs w:val="20"/>
            </w:rPr>
            <w:tag w:val="_PLD_917059b3ee7f4b52afe8c3fa58f3e369"/>
            <w:id w:val="-2003036192"/>
          </w:sdtPr>
          <w:sdtEndPr/>
          <w:sdtContent>
            <w:tc>
              <w:tcPr>
                <w:tcW w:w="527"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金额</w:t>
                </w:r>
              </w:p>
            </w:tc>
          </w:sdtContent>
        </w:sdt>
        <w:sdt>
          <w:sdtPr>
            <w:rPr>
              <w:sz w:val="20"/>
              <w:szCs w:val="20"/>
            </w:rPr>
            <w:tag w:val="_PLD_ea90ccc029834397956c79bbe869d343"/>
            <w:id w:val="1015732425"/>
          </w:sdtPr>
          <w:sdtEndPr/>
          <w:sdtContent>
            <w:tc>
              <w:tcPr>
                <w:tcW w:w="312" w:type="pct"/>
                <w:tcBorders>
                  <w:left w:val="single" w:sz="4" w:space="0" w:color="auto"/>
                  <w:bottom w:val="single" w:sz="4" w:space="0" w:color="auto"/>
                  <w:right w:val="single" w:sz="4" w:space="0" w:color="auto"/>
                </w:tcBorders>
                <w:vAlign w:val="center"/>
              </w:tcPr>
              <w:p w:rsidR="00156DD6" w:rsidRDefault="00D51F5F">
                <w:pPr>
                  <w:jc w:val="center"/>
                  <w:rPr>
                    <w:color w:val="000000" w:themeColor="text1"/>
                    <w:sz w:val="20"/>
                    <w:szCs w:val="20"/>
                  </w:rPr>
                </w:pPr>
                <w:r>
                  <w:rPr>
                    <w:rFonts w:hint="eastAsia"/>
                    <w:color w:val="000000" w:themeColor="text1"/>
                    <w:sz w:val="20"/>
                    <w:szCs w:val="20"/>
                  </w:rPr>
                  <w:t>计提比例</w:t>
                </w:r>
                <w:r>
                  <w:rPr>
                    <w:color w:val="000000" w:themeColor="text1"/>
                    <w:sz w:val="20"/>
                    <w:szCs w:val="20"/>
                  </w:rPr>
                  <w:t>(%)</w:t>
                </w:r>
              </w:p>
            </w:tc>
          </w:sdtContent>
        </w:sdt>
        <w:tc>
          <w:tcPr>
            <w:tcW w:w="527" w:type="pct"/>
            <w:vMerge/>
            <w:tcBorders>
              <w:left w:val="single" w:sz="4" w:space="0" w:color="auto"/>
              <w:bottom w:val="single" w:sz="4" w:space="0" w:color="auto"/>
              <w:right w:val="single" w:sz="4" w:space="0" w:color="auto"/>
            </w:tcBorders>
          </w:tcPr>
          <w:p w:rsidR="00156DD6" w:rsidRDefault="00156DD6">
            <w:pPr>
              <w:jc w:val="center"/>
              <w:rPr>
                <w:color w:val="000000" w:themeColor="text1"/>
                <w:sz w:val="20"/>
                <w:szCs w:val="20"/>
              </w:rPr>
            </w:pPr>
          </w:p>
        </w:tc>
      </w:tr>
      <w:tr w:rsidR="00156DD6">
        <w:trPr>
          <w:cantSplit/>
        </w:trPr>
        <w:tc>
          <w:tcPr>
            <w:tcW w:w="443"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sz w:val="20"/>
                <w:szCs w:val="20"/>
              </w:rPr>
            </w:pPr>
            <w:r>
              <w:rPr>
                <w:rFonts w:hint="eastAsia"/>
                <w:color w:val="000000" w:themeColor="text1"/>
                <w:sz w:val="20"/>
                <w:szCs w:val="20"/>
              </w:rPr>
              <w:t>按单项计提坏账准备</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35,796,459.30 </w:t>
            </w:r>
          </w:p>
        </w:tc>
        <w:tc>
          <w:tcPr>
            <w:tcW w:w="2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3.02 </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28,566,718.80 </w:t>
            </w:r>
          </w:p>
        </w:tc>
        <w:tc>
          <w:tcPr>
            <w:tcW w:w="3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79.80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7,229,740.50 </w:t>
            </w: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35,632,122.29</w:t>
            </w:r>
          </w:p>
        </w:tc>
        <w:tc>
          <w:tcPr>
            <w:tcW w:w="24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3.47</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26,918,902.65</w:t>
            </w:r>
          </w:p>
        </w:tc>
        <w:tc>
          <w:tcPr>
            <w:tcW w:w="3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75.55</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8,713,219.64</w:t>
            </w:r>
          </w:p>
        </w:tc>
      </w:tr>
      <w:tr w:rsidR="00156DD6">
        <w:trPr>
          <w:cantSplit/>
        </w:trPr>
        <w:sdt>
          <w:sdtPr>
            <w:rPr>
              <w:sz w:val="20"/>
              <w:szCs w:val="20"/>
            </w:rPr>
            <w:tag w:val="_PLD_8ec8b92b0ab24a78ae82ff991696133e"/>
            <w:id w:val="-171178462"/>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sz w:val="20"/>
                    <w:szCs w:val="20"/>
                  </w:rPr>
                </w:pPr>
                <w:r>
                  <w:rPr>
                    <w:rFonts w:hint="eastAsia"/>
                    <w:color w:val="000000" w:themeColor="text1"/>
                    <w:sz w:val="20"/>
                    <w:szCs w:val="20"/>
                  </w:rPr>
                  <w:t>其中：</w:t>
                </w:r>
              </w:p>
            </w:tc>
          </w:sdtContent>
        </w:sdt>
      </w:tr>
      <w:tr w:rsidR="00156DD6">
        <w:trPr>
          <w:cantSplit/>
        </w:trPr>
        <w:tc>
          <w:tcPr>
            <w:tcW w:w="443"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rPr>
                <w:color w:val="000000" w:themeColor="text1"/>
                <w:sz w:val="20"/>
                <w:szCs w:val="20"/>
              </w:rPr>
            </w:pPr>
            <w:r>
              <w:rPr>
                <w:rFonts w:hint="eastAsia"/>
                <w:color w:val="000000" w:themeColor="text1"/>
                <w:sz w:val="20"/>
                <w:szCs w:val="20"/>
              </w:rPr>
              <w:t>按组合计提坏账准备</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1,150,580,670.78 </w:t>
            </w:r>
          </w:p>
        </w:tc>
        <w:tc>
          <w:tcPr>
            <w:tcW w:w="2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96.98 </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82,467,695.51 </w:t>
            </w:r>
          </w:p>
        </w:tc>
        <w:tc>
          <w:tcPr>
            <w:tcW w:w="3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7.17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1,068,112,975.27 </w:t>
            </w: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990,233,377.82</w:t>
            </w:r>
          </w:p>
        </w:tc>
        <w:tc>
          <w:tcPr>
            <w:tcW w:w="24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96.53</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79,591,139.76</w:t>
            </w:r>
          </w:p>
        </w:tc>
        <w:tc>
          <w:tcPr>
            <w:tcW w:w="3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8.04</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910,642,238.06</w:t>
            </w:r>
          </w:p>
        </w:tc>
      </w:tr>
      <w:tr w:rsidR="00156DD6">
        <w:trPr>
          <w:cantSplit/>
        </w:trPr>
        <w:sdt>
          <w:sdtPr>
            <w:rPr>
              <w:sz w:val="20"/>
              <w:szCs w:val="20"/>
            </w:rPr>
            <w:tag w:val="_PLD_bd68cdc38a0e426ea1ec99be844140b3"/>
            <w:id w:val="-1759043827"/>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sz w:val="20"/>
                    <w:szCs w:val="20"/>
                  </w:rPr>
                </w:pPr>
                <w:r>
                  <w:rPr>
                    <w:rFonts w:hint="eastAsia"/>
                    <w:color w:val="000000" w:themeColor="text1"/>
                    <w:sz w:val="20"/>
                    <w:szCs w:val="20"/>
                  </w:rPr>
                  <w:t>其中：</w:t>
                </w:r>
              </w:p>
            </w:tc>
          </w:sdtContent>
        </w:sdt>
      </w:tr>
      <w:tr w:rsidR="00156DD6">
        <w:trPr>
          <w:cantSplit/>
        </w:trPr>
        <w:sdt>
          <w:sdtPr>
            <w:rPr>
              <w:color w:val="000000" w:themeColor="text1"/>
              <w:sz w:val="20"/>
              <w:szCs w:val="20"/>
            </w:rPr>
            <w:alias w:val="按组合计提坏账准备的应收账款明细-组合名称"/>
            <w:tag w:val="_GBC_1d1150cff5254d829cba03da56c2e941"/>
            <w:id w:val="-2081814764"/>
          </w:sdtPr>
          <w:sdtEndPr/>
          <w:sdtContent>
            <w:tc>
              <w:tcPr>
                <w:tcW w:w="443"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sz w:val="20"/>
                    <w:szCs w:val="20"/>
                  </w:rPr>
                </w:pPr>
                <w:r>
                  <w:rPr>
                    <w:rFonts w:hint="eastAsia"/>
                    <w:color w:val="000000" w:themeColor="text1"/>
                    <w:sz w:val="20"/>
                    <w:szCs w:val="20"/>
                  </w:rPr>
                  <w:t>合并范围内关联方组合</w:t>
                </w:r>
              </w:p>
            </w:tc>
          </w:sdtContent>
        </w:sdt>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194,668,346.29 </w:t>
            </w:r>
          </w:p>
        </w:tc>
        <w:tc>
          <w:tcPr>
            <w:tcW w:w="2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16.41 </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rPr>
                <w:sz w:val="20"/>
                <w:szCs w:val="20"/>
              </w:rPr>
            </w:pP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194,668,346.29 </w:t>
            </w: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38,996,198.49</w:t>
            </w:r>
          </w:p>
        </w:tc>
        <w:tc>
          <w:tcPr>
            <w:tcW w:w="24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3.80</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156DD6" w:rsidRDefault="00156DD6">
            <w:pPr>
              <w:jc w:val="right"/>
              <w:rPr>
                <w:sz w:val="20"/>
                <w:szCs w:val="20"/>
              </w:rPr>
            </w:pP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38,996,198.49</w:t>
            </w:r>
          </w:p>
        </w:tc>
      </w:tr>
      <w:tr w:rsidR="00156DD6">
        <w:trPr>
          <w:cantSplit/>
        </w:trPr>
        <w:sdt>
          <w:sdtPr>
            <w:rPr>
              <w:color w:val="000000" w:themeColor="text1"/>
              <w:sz w:val="20"/>
              <w:szCs w:val="20"/>
            </w:rPr>
            <w:alias w:val="按组合计提坏账准备的应收账款明细-组合名称"/>
            <w:tag w:val="_GBC_1d1150cff5254d829cba03da56c2e941"/>
            <w:id w:val="-475987122"/>
          </w:sdtPr>
          <w:sdtEndPr/>
          <w:sdtContent>
            <w:tc>
              <w:tcPr>
                <w:tcW w:w="443"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sz w:val="20"/>
                    <w:szCs w:val="20"/>
                  </w:rPr>
                </w:pPr>
                <w:r>
                  <w:rPr>
                    <w:rFonts w:hint="eastAsia"/>
                    <w:color w:val="000000" w:themeColor="text1"/>
                    <w:sz w:val="20"/>
                    <w:szCs w:val="20"/>
                  </w:rPr>
                  <w:t>账龄组合</w:t>
                </w:r>
              </w:p>
            </w:tc>
          </w:sdtContent>
        </w:sdt>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955,912,324.49 </w:t>
            </w:r>
          </w:p>
        </w:tc>
        <w:tc>
          <w:tcPr>
            <w:tcW w:w="24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80.57 </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82,467,695.51 </w:t>
            </w:r>
          </w:p>
        </w:tc>
        <w:tc>
          <w:tcPr>
            <w:tcW w:w="3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8.63 </w:t>
            </w:r>
          </w:p>
        </w:tc>
        <w:tc>
          <w:tcPr>
            <w:tcW w:w="628"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rFonts w:hint="eastAsia"/>
              </w:rPr>
              <w:t xml:space="preserve"> 873,444,628.98 </w:t>
            </w: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951,237,179.33</w:t>
            </w:r>
          </w:p>
        </w:tc>
        <w:tc>
          <w:tcPr>
            <w:tcW w:w="24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92.73</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79,591,139.76</w:t>
            </w:r>
          </w:p>
        </w:tc>
        <w:tc>
          <w:tcPr>
            <w:tcW w:w="3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8.37</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871,646,039.57</w:t>
            </w:r>
          </w:p>
        </w:tc>
      </w:tr>
      <w:tr w:rsidR="00156DD6">
        <w:trPr>
          <w:cantSplit/>
        </w:trPr>
        <w:tc>
          <w:tcPr>
            <w:tcW w:w="443" w:type="pct"/>
            <w:tcBorders>
              <w:top w:val="single" w:sz="4" w:space="0" w:color="auto"/>
              <w:left w:val="single" w:sz="4" w:space="0" w:color="auto"/>
              <w:bottom w:val="single" w:sz="4" w:space="0" w:color="auto"/>
              <w:right w:val="single" w:sz="4" w:space="0" w:color="auto"/>
            </w:tcBorders>
            <w:vAlign w:val="center"/>
          </w:tcPr>
          <w:p w:rsidR="00156DD6" w:rsidRDefault="00D51F5F">
            <w:pPr>
              <w:autoSpaceDE w:val="0"/>
              <w:autoSpaceDN w:val="0"/>
              <w:adjustRightInd w:val="0"/>
              <w:jc w:val="center"/>
              <w:rPr>
                <w:color w:val="000000" w:themeColor="text1"/>
                <w:sz w:val="20"/>
                <w:szCs w:val="20"/>
              </w:rPr>
            </w:pPr>
            <w:r>
              <w:rPr>
                <w:rFonts w:hint="eastAsia"/>
                <w:color w:val="000000" w:themeColor="text1"/>
                <w:sz w:val="20"/>
                <w:szCs w:val="20"/>
              </w:rPr>
              <w:t>合计</w:t>
            </w:r>
          </w:p>
        </w:tc>
        <w:tc>
          <w:tcPr>
            <w:tcW w:w="628" w:type="pct"/>
            <w:tcBorders>
              <w:top w:val="single" w:sz="4" w:space="0" w:color="auto"/>
              <w:left w:val="single" w:sz="4" w:space="0" w:color="auto"/>
              <w:bottom w:val="single" w:sz="4" w:space="0" w:color="auto"/>
              <w:right w:val="single" w:sz="4" w:space="0" w:color="auto"/>
            </w:tcBorders>
          </w:tcPr>
          <w:p w:rsidR="00156DD6" w:rsidRDefault="00D51F5F">
            <w:pPr>
              <w:jc w:val="right"/>
              <w:rPr>
                <w:sz w:val="20"/>
                <w:szCs w:val="20"/>
              </w:rPr>
            </w:pPr>
            <w:r>
              <w:rPr>
                <w:rFonts w:hint="eastAsia"/>
              </w:rPr>
              <w:t xml:space="preserve">1,186,377,130.08 </w:t>
            </w:r>
          </w:p>
        </w:tc>
        <w:tc>
          <w:tcPr>
            <w:tcW w:w="248"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sz w:val="20"/>
                <w:szCs w:val="20"/>
              </w:rPr>
            </w:pPr>
            <w:r>
              <w:rPr>
                <w:rFonts w:hint="eastAsia"/>
              </w:rPr>
              <w:t xml:space="preserve">100.00 </w:t>
            </w:r>
          </w:p>
        </w:tc>
        <w:tc>
          <w:tcPr>
            <w:tcW w:w="527" w:type="pct"/>
            <w:tcBorders>
              <w:top w:val="single" w:sz="4" w:space="0" w:color="auto"/>
              <w:left w:val="single" w:sz="4" w:space="0" w:color="auto"/>
              <w:bottom w:val="single" w:sz="4" w:space="0" w:color="auto"/>
              <w:right w:val="single" w:sz="4" w:space="0" w:color="auto"/>
            </w:tcBorders>
          </w:tcPr>
          <w:p w:rsidR="00156DD6" w:rsidRDefault="00D51F5F">
            <w:pPr>
              <w:jc w:val="right"/>
              <w:rPr>
                <w:sz w:val="20"/>
                <w:szCs w:val="20"/>
              </w:rPr>
            </w:pPr>
            <w:r>
              <w:rPr>
                <w:rFonts w:hint="eastAsia"/>
              </w:rPr>
              <w:t>111,034,414.31</w:t>
            </w:r>
          </w:p>
        </w:tc>
        <w:tc>
          <w:tcPr>
            <w:tcW w:w="312"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sz w:val="20"/>
                <w:szCs w:val="20"/>
              </w:rPr>
            </w:pPr>
            <w:r>
              <w:rPr>
                <w:rFonts w:hint="eastAsia"/>
              </w:rPr>
              <w:t xml:space="preserve"> 9.36 </w:t>
            </w:r>
          </w:p>
        </w:tc>
        <w:tc>
          <w:tcPr>
            <w:tcW w:w="628" w:type="pct"/>
            <w:tcBorders>
              <w:top w:val="single" w:sz="4" w:space="0" w:color="auto"/>
              <w:left w:val="single" w:sz="4" w:space="0" w:color="auto"/>
              <w:bottom w:val="single" w:sz="4" w:space="0" w:color="auto"/>
              <w:right w:val="single" w:sz="4" w:space="0" w:color="auto"/>
            </w:tcBorders>
          </w:tcPr>
          <w:p w:rsidR="00156DD6" w:rsidRDefault="00D51F5F">
            <w:pPr>
              <w:jc w:val="right"/>
              <w:rPr>
                <w:sz w:val="20"/>
                <w:szCs w:val="20"/>
              </w:rPr>
            </w:pPr>
            <w:r>
              <w:rPr>
                <w:rFonts w:hint="eastAsia"/>
              </w:rPr>
              <w:t xml:space="preserve">1,075,342,715.77 </w:t>
            </w:r>
          </w:p>
        </w:tc>
        <w:tc>
          <w:tcPr>
            <w:tcW w:w="59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1,025,865,500.11</w:t>
            </w:r>
          </w:p>
        </w:tc>
        <w:tc>
          <w:tcPr>
            <w:tcW w:w="249"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sz w:val="20"/>
                <w:szCs w:val="20"/>
              </w:rPr>
            </w:pPr>
            <w:r>
              <w:rPr>
                <w:sz w:val="20"/>
                <w:szCs w:val="20"/>
              </w:rPr>
              <w:t>100.00</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106,510,042.41</w:t>
            </w:r>
          </w:p>
        </w:tc>
        <w:tc>
          <w:tcPr>
            <w:tcW w:w="31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color w:val="000000" w:themeColor="text1"/>
                <w:sz w:val="20"/>
                <w:szCs w:val="20"/>
              </w:rPr>
            </w:pPr>
            <w:r>
              <w:rPr>
                <w:sz w:val="20"/>
                <w:szCs w:val="20"/>
              </w:rPr>
              <w:t>10.38</w:t>
            </w:r>
          </w:p>
        </w:tc>
        <w:tc>
          <w:tcPr>
            <w:tcW w:w="52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rPr>
                <w:sz w:val="20"/>
                <w:szCs w:val="20"/>
              </w:rPr>
            </w:pPr>
            <w:r>
              <w:rPr>
                <w:sz w:val="20"/>
                <w:szCs w:val="20"/>
              </w:rPr>
              <w:t>919,355,457.70</w:t>
            </w:r>
          </w:p>
        </w:tc>
      </w:tr>
    </w:tbl>
    <w:p w:rsidR="00156DD6" w:rsidRDefault="00D51F5F">
      <w:pPr>
        <w:rPr>
          <w:color w:val="000000" w:themeColor="text1"/>
        </w:rPr>
      </w:pPr>
      <w:bookmarkStart w:id="493" w:name="_Hlk10540045"/>
      <w:bookmarkStart w:id="494" w:name="_Hlk10540056"/>
      <w:bookmarkEnd w:id="492"/>
      <w:r>
        <w:rPr>
          <w:rFonts w:hint="eastAsia"/>
          <w:color w:val="000000" w:themeColor="text1"/>
        </w:rPr>
        <w:lastRenderedPageBreak/>
        <w:t>按单项计提坏账准备：</w:t>
      </w:r>
      <w:bookmarkEnd w:id="493"/>
    </w:p>
    <w:sdt>
      <w:sdtPr>
        <w:rPr>
          <w:color w:val="000000" w:themeColor="text1"/>
        </w:rPr>
        <w:alias w:val="是否适用：母公司应收账款按单项计提坏账准备[双击切换]"/>
        <w:tag w:val="_GBC_6aa7698e624f4481b0cf894058a63961"/>
        <w:id w:val="2783810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495" w:name="_Hlk10540079"/>
      <w:bookmarkEnd w:id="494"/>
      <w:r>
        <w:rPr>
          <w:rFonts w:hint="eastAsia"/>
          <w:color w:val="000000" w:themeColor="text1"/>
        </w:rPr>
        <w:t>按组合计提坏账准备：</w:t>
      </w:r>
    </w:p>
    <w:sdt>
      <w:sdtPr>
        <w:rPr>
          <w:color w:val="000000" w:themeColor="text1"/>
        </w:rPr>
        <w:alias w:val="是否适用：母公司应收账款按组合计提坏账准备[双击切换]"/>
        <w:tag w:val="_GBC_bf96e631f2cf4f6a876dff49863ee9d3"/>
        <w:id w:val="-711963471"/>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组合计提项目：</w:t>
      </w:r>
      <w:sdt>
        <w:sdtPr>
          <w:rPr>
            <w:rFonts w:hint="eastAsia"/>
            <w:color w:val="000000" w:themeColor="text1"/>
          </w:rPr>
          <w:alias w:val="按组合计提坏账准备的应收账款明细-组合名称"/>
          <w:tag w:val="_GBC_c2c49e08c13c49f5b854cd65f748bccc"/>
          <w:id w:val="1834481319"/>
          <w:placeholder>
            <w:docPart w:val="GBC22222222222222222222222222222"/>
          </w:placeholder>
          <w:comboBox>
            <w:listItem w:displayText="合并范围内关联方组合" w:value="合并范围内关联方组合"/>
            <w:listItem w:displayText="账龄组合" w:value="账龄组合"/>
          </w:comboBox>
        </w:sdtPr>
        <w:sdtEndPr/>
        <w:sdtContent>
          <w:r>
            <w:rPr>
              <w:rFonts w:hint="eastAsia"/>
              <w:color w:val="000000" w:themeColor="text1"/>
            </w:rPr>
            <w:t>账龄组合</w:t>
          </w:r>
        </w:sdtContent>
      </w:sdt>
    </w:p>
    <w:p w:rsidR="00156DD6" w:rsidRDefault="00D51F5F">
      <w:pPr>
        <w:autoSpaceDE w:val="0"/>
        <w:autoSpaceDN w:val="0"/>
        <w:adjustRightInd w:val="0"/>
        <w:ind w:left="5880" w:right="105"/>
        <w:jc w:val="right"/>
        <w:rPr>
          <w:color w:val="000000" w:themeColor="text1"/>
        </w:rPr>
      </w:pPr>
      <w:r>
        <w:rPr>
          <w:rFonts w:hint="eastAsia"/>
          <w:color w:val="000000" w:themeColor="text1"/>
        </w:rPr>
        <w:t>单位：</w:t>
      </w:r>
      <w:sdt>
        <w:sdtPr>
          <w:rPr>
            <w:rFonts w:hint="eastAsia"/>
            <w:color w:val="000000" w:themeColor="text1"/>
          </w:rPr>
          <w:alias w:val="单位：母公司应收账款按组合计提坏账准备"/>
          <w:tag w:val="_GBC_eddb8416e4854df0b69f43851a8eba2b"/>
          <w:id w:val="-7050950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应收账款按组合计提坏账准备"/>
          <w:tag w:val="_GBC_326d8b8532c4476aa9c90eaa469806e2"/>
          <w:id w:val="-12067179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156DD6">
        <w:sdt>
          <w:sdtPr>
            <w:tag w:val="_PLD_017679ab9c8247c6b2e334fd90bf61e9"/>
            <w:id w:val="-1898202387"/>
          </w:sdtPr>
          <w:sdtEndPr/>
          <w:sdtContent>
            <w:tc>
              <w:tcPr>
                <w:tcW w:w="1158" w:type="pct"/>
                <w:vMerge w:val="restart"/>
                <w:vAlign w:val="center"/>
              </w:tcPr>
              <w:p w:rsidR="00156DD6" w:rsidRDefault="00D51F5F">
                <w:pPr>
                  <w:jc w:val="center"/>
                  <w:rPr>
                    <w:color w:val="000000" w:themeColor="text1"/>
                  </w:rPr>
                </w:pPr>
                <w:r>
                  <w:rPr>
                    <w:rFonts w:hint="eastAsia"/>
                    <w:color w:val="000000" w:themeColor="text1"/>
                  </w:rPr>
                  <w:t>名称</w:t>
                </w:r>
              </w:p>
            </w:tc>
          </w:sdtContent>
        </w:sdt>
        <w:sdt>
          <w:sdtPr>
            <w:tag w:val="_PLD_5135cd56467d4853affa6d0ae484f326"/>
            <w:id w:val="2100369425"/>
          </w:sdtPr>
          <w:sdtEndPr/>
          <w:sdtContent>
            <w:tc>
              <w:tcPr>
                <w:tcW w:w="3842" w:type="pct"/>
                <w:gridSpan w:val="3"/>
                <w:vAlign w:val="center"/>
              </w:tcPr>
              <w:p w:rsidR="00156DD6" w:rsidRDefault="00D51F5F">
                <w:pPr>
                  <w:jc w:val="center"/>
                  <w:rPr>
                    <w:color w:val="000000" w:themeColor="text1"/>
                  </w:rPr>
                </w:pPr>
                <w:r>
                  <w:rPr>
                    <w:rFonts w:hint="eastAsia"/>
                    <w:color w:val="000000" w:themeColor="text1"/>
                  </w:rPr>
                  <w:t>期末余额</w:t>
                </w:r>
              </w:p>
            </w:tc>
          </w:sdtContent>
        </w:sdt>
      </w:tr>
      <w:tr w:rsidR="00156DD6">
        <w:tc>
          <w:tcPr>
            <w:tcW w:w="1158" w:type="pct"/>
            <w:vMerge/>
          </w:tcPr>
          <w:p w:rsidR="00156DD6" w:rsidRDefault="00156DD6">
            <w:pPr>
              <w:jc w:val="center"/>
              <w:rPr>
                <w:color w:val="000000" w:themeColor="text1"/>
              </w:rPr>
            </w:pPr>
          </w:p>
        </w:tc>
        <w:sdt>
          <w:sdtPr>
            <w:tag w:val="_PLD_6853d362c1364938aec50c34a4c1b2be"/>
            <w:id w:val="-1889327020"/>
          </w:sdtPr>
          <w:sdtEndPr/>
          <w:sdtContent>
            <w:tc>
              <w:tcPr>
                <w:tcW w:w="1276" w:type="pct"/>
                <w:vAlign w:val="center"/>
              </w:tcPr>
              <w:p w:rsidR="00156DD6" w:rsidRDefault="00D51F5F">
                <w:pPr>
                  <w:jc w:val="center"/>
                  <w:rPr>
                    <w:color w:val="000000" w:themeColor="text1"/>
                  </w:rPr>
                </w:pPr>
                <w:r>
                  <w:rPr>
                    <w:rFonts w:hint="eastAsia"/>
                    <w:color w:val="000000" w:themeColor="text1"/>
                  </w:rPr>
                  <w:t>账面余额</w:t>
                </w:r>
              </w:p>
            </w:tc>
          </w:sdtContent>
        </w:sdt>
        <w:sdt>
          <w:sdtPr>
            <w:tag w:val="_PLD_497956cded5b48c4b4741462475810da"/>
            <w:id w:val="1960606643"/>
          </w:sdtPr>
          <w:sdtEndPr/>
          <w:sdtContent>
            <w:tc>
              <w:tcPr>
                <w:tcW w:w="1299" w:type="pct"/>
                <w:vAlign w:val="center"/>
              </w:tcPr>
              <w:p w:rsidR="00156DD6" w:rsidRDefault="00D51F5F">
                <w:pPr>
                  <w:jc w:val="center"/>
                  <w:rPr>
                    <w:color w:val="000000" w:themeColor="text1"/>
                  </w:rPr>
                </w:pPr>
                <w:r>
                  <w:rPr>
                    <w:rFonts w:hint="eastAsia"/>
                    <w:color w:val="000000" w:themeColor="text1"/>
                  </w:rPr>
                  <w:t>坏账准备</w:t>
                </w:r>
              </w:p>
            </w:tc>
          </w:sdtContent>
        </w:sdt>
        <w:sdt>
          <w:sdtPr>
            <w:tag w:val="_PLD_abeb28def5684beab5ea48273044d861"/>
            <w:id w:val="-410786016"/>
          </w:sdtPr>
          <w:sdtEndPr/>
          <w:sdtContent>
            <w:tc>
              <w:tcPr>
                <w:tcW w:w="1267" w:type="pct"/>
                <w:vAlign w:val="center"/>
              </w:tcPr>
              <w:p w:rsidR="00156DD6" w:rsidRDefault="00D51F5F">
                <w:pPr>
                  <w:jc w:val="center"/>
                  <w:rPr>
                    <w:color w:val="000000" w:themeColor="text1"/>
                  </w:rPr>
                </w:pPr>
                <w:r>
                  <w:rPr>
                    <w:color w:val="000000" w:themeColor="text1"/>
                  </w:rPr>
                  <w:t>计提比例</w:t>
                </w:r>
                <w:r>
                  <w:rPr>
                    <w:rFonts w:hint="eastAsia"/>
                    <w:color w:val="000000" w:themeColor="text1"/>
                  </w:rPr>
                  <w:t>（</w:t>
                </w:r>
                <w:r>
                  <w:rPr>
                    <w:rFonts w:hint="eastAsia"/>
                    <w:color w:val="000000" w:themeColor="text1"/>
                  </w:rPr>
                  <w:t>%</w:t>
                </w:r>
                <w:r>
                  <w:rPr>
                    <w:rFonts w:hint="eastAsia"/>
                    <w:color w:val="000000" w:themeColor="text1"/>
                  </w:rPr>
                  <w:t>）</w:t>
                </w:r>
              </w:p>
            </w:tc>
          </w:sdtContent>
        </w:sdt>
      </w:tr>
      <w:tr w:rsidR="00156DD6">
        <w:tc>
          <w:tcPr>
            <w:tcW w:w="1158" w:type="pct"/>
          </w:tcPr>
          <w:p w:rsidR="00156DD6" w:rsidRDefault="00D51F5F">
            <w:pPr>
              <w:pStyle w:val="Style43"/>
            </w:pPr>
            <w:r>
              <w:t>1</w:t>
            </w:r>
            <w:r>
              <w:t>年以内</w:t>
            </w:r>
          </w:p>
        </w:tc>
        <w:tc>
          <w:tcPr>
            <w:tcW w:w="1276" w:type="pct"/>
          </w:tcPr>
          <w:p w:rsidR="00156DD6" w:rsidRDefault="00D51F5F">
            <w:pPr>
              <w:jc w:val="right"/>
            </w:pPr>
            <w:r>
              <w:rPr>
                <w:rFonts w:hint="eastAsia"/>
              </w:rPr>
              <w:t xml:space="preserve"> 646,734,412.46 </w:t>
            </w:r>
          </w:p>
        </w:tc>
        <w:tc>
          <w:tcPr>
            <w:tcW w:w="1299" w:type="pct"/>
          </w:tcPr>
          <w:p w:rsidR="00156DD6" w:rsidRDefault="00D51F5F">
            <w:pPr>
              <w:jc w:val="right"/>
            </w:pPr>
            <w:r>
              <w:rPr>
                <w:rFonts w:hint="eastAsia"/>
              </w:rPr>
              <w:t xml:space="preserve"> 32,336,720.62 </w:t>
            </w:r>
          </w:p>
        </w:tc>
        <w:tc>
          <w:tcPr>
            <w:tcW w:w="1267" w:type="pct"/>
          </w:tcPr>
          <w:p w:rsidR="00156DD6" w:rsidRDefault="00D51F5F">
            <w:pPr>
              <w:jc w:val="right"/>
            </w:pPr>
            <w:r>
              <w:rPr>
                <w:rFonts w:hint="eastAsia"/>
              </w:rPr>
              <w:t xml:space="preserve"> 5.00 </w:t>
            </w:r>
          </w:p>
        </w:tc>
      </w:tr>
      <w:tr w:rsidR="00156DD6">
        <w:tc>
          <w:tcPr>
            <w:tcW w:w="1158" w:type="pct"/>
          </w:tcPr>
          <w:p w:rsidR="00156DD6" w:rsidRDefault="00D51F5F">
            <w:pPr>
              <w:pStyle w:val="Style43"/>
            </w:pPr>
            <w:r>
              <w:t>1-2</w:t>
            </w:r>
            <w:r>
              <w:t>年</w:t>
            </w:r>
          </w:p>
        </w:tc>
        <w:tc>
          <w:tcPr>
            <w:tcW w:w="1276" w:type="pct"/>
          </w:tcPr>
          <w:p w:rsidR="00156DD6" w:rsidRDefault="00D51F5F">
            <w:pPr>
              <w:jc w:val="right"/>
            </w:pPr>
            <w:r>
              <w:rPr>
                <w:rFonts w:hint="eastAsia"/>
              </w:rPr>
              <w:t xml:space="preserve"> 212,670,574.90 </w:t>
            </w:r>
          </w:p>
        </w:tc>
        <w:tc>
          <w:tcPr>
            <w:tcW w:w="1299" w:type="pct"/>
          </w:tcPr>
          <w:p w:rsidR="00156DD6" w:rsidRDefault="00D51F5F">
            <w:pPr>
              <w:jc w:val="right"/>
            </w:pPr>
            <w:r>
              <w:rPr>
                <w:rFonts w:hint="eastAsia"/>
              </w:rPr>
              <w:t xml:space="preserve"> 21,267,057.49 </w:t>
            </w:r>
          </w:p>
        </w:tc>
        <w:tc>
          <w:tcPr>
            <w:tcW w:w="1267" w:type="pct"/>
          </w:tcPr>
          <w:p w:rsidR="00156DD6" w:rsidRDefault="00D51F5F">
            <w:pPr>
              <w:jc w:val="right"/>
            </w:pPr>
            <w:r>
              <w:rPr>
                <w:rFonts w:hint="eastAsia"/>
              </w:rPr>
              <w:t xml:space="preserve"> 10.00 </w:t>
            </w:r>
          </w:p>
        </w:tc>
      </w:tr>
      <w:tr w:rsidR="00156DD6">
        <w:tc>
          <w:tcPr>
            <w:tcW w:w="1158" w:type="pct"/>
          </w:tcPr>
          <w:p w:rsidR="00156DD6" w:rsidRDefault="00D51F5F">
            <w:pPr>
              <w:pStyle w:val="Style43"/>
            </w:pPr>
            <w:r>
              <w:t>2-3</w:t>
            </w:r>
            <w:r>
              <w:t>年</w:t>
            </w:r>
          </w:p>
        </w:tc>
        <w:tc>
          <w:tcPr>
            <w:tcW w:w="1276" w:type="pct"/>
          </w:tcPr>
          <w:p w:rsidR="00156DD6" w:rsidRDefault="00D51F5F">
            <w:pPr>
              <w:jc w:val="right"/>
            </w:pPr>
            <w:r>
              <w:rPr>
                <w:rFonts w:hint="eastAsia"/>
              </w:rPr>
              <w:t xml:space="preserve"> 60,525,962.20 </w:t>
            </w:r>
          </w:p>
        </w:tc>
        <w:tc>
          <w:tcPr>
            <w:tcW w:w="1299" w:type="pct"/>
          </w:tcPr>
          <w:p w:rsidR="00156DD6" w:rsidRDefault="00D51F5F">
            <w:pPr>
              <w:jc w:val="right"/>
            </w:pPr>
            <w:r>
              <w:rPr>
                <w:rFonts w:hint="eastAsia"/>
              </w:rPr>
              <w:t xml:space="preserve"> 12,105,192.44 </w:t>
            </w:r>
          </w:p>
        </w:tc>
        <w:tc>
          <w:tcPr>
            <w:tcW w:w="1267" w:type="pct"/>
          </w:tcPr>
          <w:p w:rsidR="00156DD6" w:rsidRDefault="00D51F5F">
            <w:pPr>
              <w:jc w:val="right"/>
            </w:pPr>
            <w:r>
              <w:rPr>
                <w:rFonts w:hint="eastAsia"/>
              </w:rPr>
              <w:t xml:space="preserve"> 20.00 </w:t>
            </w:r>
          </w:p>
        </w:tc>
      </w:tr>
      <w:tr w:rsidR="00156DD6">
        <w:tc>
          <w:tcPr>
            <w:tcW w:w="1158" w:type="pct"/>
          </w:tcPr>
          <w:p w:rsidR="00156DD6" w:rsidRDefault="00D51F5F">
            <w:pPr>
              <w:pStyle w:val="Style43"/>
            </w:pPr>
            <w:r>
              <w:t>3-4</w:t>
            </w:r>
            <w:r>
              <w:t>年</w:t>
            </w:r>
          </w:p>
        </w:tc>
        <w:tc>
          <w:tcPr>
            <w:tcW w:w="1276" w:type="pct"/>
          </w:tcPr>
          <w:p w:rsidR="00156DD6" w:rsidRDefault="00D51F5F">
            <w:pPr>
              <w:jc w:val="right"/>
            </w:pPr>
            <w:r>
              <w:rPr>
                <w:rFonts w:hint="eastAsia"/>
              </w:rPr>
              <w:t xml:space="preserve"> 20,930,148.06 </w:t>
            </w:r>
          </w:p>
        </w:tc>
        <w:tc>
          <w:tcPr>
            <w:tcW w:w="1299" w:type="pct"/>
          </w:tcPr>
          <w:p w:rsidR="00156DD6" w:rsidRDefault="00D51F5F">
            <w:pPr>
              <w:jc w:val="right"/>
            </w:pPr>
            <w:r>
              <w:rPr>
                <w:rFonts w:hint="eastAsia"/>
              </w:rPr>
              <w:t xml:space="preserve"> 6,279,044.42 </w:t>
            </w:r>
          </w:p>
        </w:tc>
        <w:tc>
          <w:tcPr>
            <w:tcW w:w="1267" w:type="pct"/>
          </w:tcPr>
          <w:p w:rsidR="00156DD6" w:rsidRDefault="00D51F5F">
            <w:pPr>
              <w:jc w:val="right"/>
            </w:pPr>
            <w:r>
              <w:rPr>
                <w:rFonts w:hint="eastAsia"/>
              </w:rPr>
              <w:t xml:space="preserve"> 30.00 </w:t>
            </w:r>
          </w:p>
        </w:tc>
      </w:tr>
      <w:tr w:rsidR="00156DD6">
        <w:tc>
          <w:tcPr>
            <w:tcW w:w="1158" w:type="pct"/>
          </w:tcPr>
          <w:p w:rsidR="00156DD6" w:rsidRDefault="00D51F5F">
            <w:pPr>
              <w:pStyle w:val="Style43"/>
            </w:pPr>
            <w:r>
              <w:t>4-5</w:t>
            </w:r>
            <w:r>
              <w:t>年</w:t>
            </w:r>
          </w:p>
        </w:tc>
        <w:tc>
          <w:tcPr>
            <w:tcW w:w="1276" w:type="pct"/>
          </w:tcPr>
          <w:p w:rsidR="00156DD6" w:rsidRDefault="00D51F5F">
            <w:pPr>
              <w:jc w:val="right"/>
            </w:pPr>
            <w:r>
              <w:rPr>
                <w:rFonts w:hint="eastAsia"/>
              </w:rPr>
              <w:t xml:space="preserve"> 9,143,092.67 </w:t>
            </w:r>
          </w:p>
        </w:tc>
        <w:tc>
          <w:tcPr>
            <w:tcW w:w="1299" w:type="pct"/>
          </w:tcPr>
          <w:p w:rsidR="00156DD6" w:rsidRDefault="00D51F5F">
            <w:pPr>
              <w:jc w:val="right"/>
            </w:pPr>
            <w:r>
              <w:rPr>
                <w:rFonts w:hint="eastAsia"/>
              </w:rPr>
              <w:t xml:space="preserve"> 4,571,546.34 </w:t>
            </w:r>
          </w:p>
        </w:tc>
        <w:tc>
          <w:tcPr>
            <w:tcW w:w="1267" w:type="pct"/>
          </w:tcPr>
          <w:p w:rsidR="00156DD6" w:rsidRDefault="00D51F5F">
            <w:pPr>
              <w:jc w:val="right"/>
            </w:pPr>
            <w:r>
              <w:rPr>
                <w:rFonts w:hint="eastAsia"/>
              </w:rPr>
              <w:t xml:space="preserve"> 50.00 </w:t>
            </w:r>
          </w:p>
        </w:tc>
      </w:tr>
      <w:tr w:rsidR="00156DD6">
        <w:tc>
          <w:tcPr>
            <w:tcW w:w="1158" w:type="pct"/>
          </w:tcPr>
          <w:p w:rsidR="00156DD6" w:rsidRDefault="00D51F5F">
            <w:pPr>
              <w:pStyle w:val="Style43"/>
            </w:pPr>
            <w:r>
              <w:t>5</w:t>
            </w:r>
            <w:r>
              <w:t>年以上</w:t>
            </w:r>
          </w:p>
        </w:tc>
        <w:tc>
          <w:tcPr>
            <w:tcW w:w="1276" w:type="pct"/>
          </w:tcPr>
          <w:p w:rsidR="00156DD6" w:rsidRDefault="00D51F5F">
            <w:pPr>
              <w:jc w:val="right"/>
            </w:pPr>
            <w:r>
              <w:rPr>
                <w:rFonts w:hint="eastAsia"/>
              </w:rPr>
              <w:t xml:space="preserve"> 5,908,134.20 </w:t>
            </w:r>
          </w:p>
        </w:tc>
        <w:tc>
          <w:tcPr>
            <w:tcW w:w="1299" w:type="pct"/>
          </w:tcPr>
          <w:p w:rsidR="00156DD6" w:rsidRDefault="00D51F5F">
            <w:pPr>
              <w:jc w:val="right"/>
            </w:pPr>
            <w:r>
              <w:rPr>
                <w:rFonts w:hint="eastAsia"/>
              </w:rPr>
              <w:t xml:space="preserve"> 5,908,134.20 </w:t>
            </w:r>
          </w:p>
        </w:tc>
        <w:tc>
          <w:tcPr>
            <w:tcW w:w="1267" w:type="pct"/>
          </w:tcPr>
          <w:p w:rsidR="00156DD6" w:rsidRDefault="00D51F5F">
            <w:pPr>
              <w:jc w:val="right"/>
            </w:pPr>
            <w:r>
              <w:rPr>
                <w:rFonts w:hint="eastAsia"/>
              </w:rPr>
              <w:t xml:space="preserve"> 100.00 </w:t>
            </w:r>
          </w:p>
        </w:tc>
      </w:tr>
      <w:tr w:rsidR="00156DD6">
        <w:tc>
          <w:tcPr>
            <w:tcW w:w="1158" w:type="pct"/>
            <w:vAlign w:val="center"/>
          </w:tcPr>
          <w:p w:rsidR="00156DD6" w:rsidRDefault="00D51F5F">
            <w:pPr>
              <w:jc w:val="center"/>
              <w:rPr>
                <w:color w:val="000000" w:themeColor="text1"/>
              </w:rPr>
            </w:pPr>
            <w:r>
              <w:rPr>
                <w:rFonts w:hint="eastAsia"/>
                <w:color w:val="000000" w:themeColor="text1"/>
              </w:rPr>
              <w:t>合计</w:t>
            </w:r>
          </w:p>
        </w:tc>
        <w:tc>
          <w:tcPr>
            <w:tcW w:w="1276" w:type="pct"/>
          </w:tcPr>
          <w:p w:rsidR="00156DD6" w:rsidRDefault="00D51F5F">
            <w:pPr>
              <w:jc w:val="right"/>
            </w:pPr>
            <w:r>
              <w:rPr>
                <w:rFonts w:hint="eastAsia"/>
              </w:rPr>
              <w:t xml:space="preserve"> 955,912,324.49 </w:t>
            </w:r>
          </w:p>
        </w:tc>
        <w:tc>
          <w:tcPr>
            <w:tcW w:w="1299" w:type="pct"/>
          </w:tcPr>
          <w:p w:rsidR="00156DD6" w:rsidRDefault="00D51F5F">
            <w:pPr>
              <w:jc w:val="right"/>
            </w:pPr>
            <w:r>
              <w:rPr>
                <w:rFonts w:hint="eastAsia"/>
              </w:rPr>
              <w:t xml:space="preserve"> 82,467,695.51 </w:t>
            </w:r>
          </w:p>
        </w:tc>
        <w:tc>
          <w:tcPr>
            <w:tcW w:w="1267" w:type="pct"/>
          </w:tcPr>
          <w:p w:rsidR="00156DD6" w:rsidRDefault="00D51F5F">
            <w:pPr>
              <w:jc w:val="right"/>
            </w:pPr>
            <w:r>
              <w:rPr>
                <w:rFonts w:hint="eastAsia"/>
              </w:rPr>
              <w:t xml:space="preserve"> 8.63 </w:t>
            </w:r>
          </w:p>
        </w:tc>
      </w:tr>
    </w:tbl>
    <w:p w:rsidR="00156DD6" w:rsidRDefault="00D51F5F">
      <w:pPr>
        <w:rPr>
          <w:color w:val="000000" w:themeColor="text1"/>
        </w:rPr>
      </w:pPr>
      <w:r>
        <w:rPr>
          <w:rFonts w:hint="eastAsia"/>
          <w:color w:val="000000" w:themeColor="text1"/>
        </w:rPr>
        <w:t>按组合计提坏账准备的说明：</w:t>
      </w:r>
    </w:p>
    <w:sdt>
      <w:sdtPr>
        <w:rPr>
          <w:color w:val="000000" w:themeColor="text1"/>
        </w:rPr>
        <w:alias w:val="是否适用：母公司应收账款按组合计提坏账的确认标准及说明[双击切换]"/>
        <w:tag w:val="_GBC_186c78f5430148f29cc239ac6b530e5e"/>
        <w:id w:val="32879801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496" w:name="_Hlk167980591"/>
      <w:bookmarkStart w:id="497" w:name="_Hlk534616017"/>
      <w:bookmarkEnd w:id="495"/>
      <w:r>
        <w:rPr>
          <w:rFonts w:hint="eastAsia"/>
          <w:color w:val="000000" w:themeColor="text1"/>
        </w:rPr>
        <w:t>按预期信用损失一般模型计提坏账准备</w:t>
      </w:r>
    </w:p>
    <w:sdt>
      <w:sdtPr>
        <w:rPr>
          <w:color w:val="000000" w:themeColor="text1"/>
        </w:rPr>
        <w:alias w:val="是否适用：母公司应收账款按一般预计信用损失模型计提坏账[双击切换]"/>
        <w:tag w:val="_GBC_f0abda0ef94e4c708c624cb545c56aeb"/>
        <w:id w:val="213597828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ind w:rightChars="50" w:right="105"/>
        <w:rPr>
          <w:color w:val="000000" w:themeColor="text1"/>
        </w:rPr>
      </w:pPr>
      <w:r>
        <w:rPr>
          <w:rFonts w:hint="eastAsia"/>
          <w:color w:val="000000" w:themeColor="text1"/>
        </w:rPr>
        <w:t>各阶段划分依据和坏账准备计提比例</w:t>
      </w:r>
    </w:p>
    <w:p w:rsidR="00156DD6" w:rsidRDefault="00D51F5F">
      <w:pPr>
        <w:rPr>
          <w:rFonts w:cs="Times New Roman"/>
          <w:color w:val="000000" w:themeColor="text1"/>
        </w:rPr>
      </w:pPr>
      <w:r>
        <w:rPr>
          <w:rFonts w:cs="Times New Roman" w:hint="eastAsia"/>
          <w:color w:val="000000" w:themeColor="text1"/>
        </w:rPr>
        <w:t>无</w:t>
      </w:r>
    </w:p>
    <w:p w:rsidR="00156DD6" w:rsidRDefault="00D51F5F">
      <w:pPr>
        <w:pStyle w:val="Style100"/>
        <w:rPr>
          <w:color w:val="000000" w:themeColor="text1"/>
          <w:sz w:val="21"/>
          <w:szCs w:val="21"/>
        </w:rPr>
      </w:pPr>
      <w:r>
        <w:rPr>
          <w:rFonts w:hint="eastAsia"/>
          <w:color w:val="000000" w:themeColor="text1"/>
          <w:sz w:val="21"/>
          <w:szCs w:val="21"/>
        </w:rPr>
        <w:t>对本期发生损失准备变动的应收账款账面余额显著变动的情况说明：</w:t>
      </w:r>
    </w:p>
    <w:sdt>
      <w:sdtPr>
        <w:rPr>
          <w:color w:val="000000" w:themeColor="text1"/>
        </w:rPr>
        <w:alias w:val="是否适用：母公司对本期发生损失准备变动的账面余额显著变动的情况说明[双击切换]"/>
        <w:tag w:val="_GBC_c77cf591dcd24f7788bd4150e02a7f8f"/>
        <w:id w:val="-1910294916"/>
        <w:placeholder>
          <w:docPart w:val="GBC22222222222222222222222222222"/>
        </w:placeholder>
      </w:sdtPr>
      <w:sdtEndPr/>
      <w:sdtContent>
        <w:p w:rsidR="00156DD6" w:rsidRDefault="00D51F5F">
          <w:pPr>
            <w:autoSpaceDE w:val="0"/>
            <w:autoSpaceDN w:val="0"/>
            <w:adjustRightInd w:val="0"/>
            <w:ind w:rightChars="50" w:right="105"/>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110"/>
        </w:numPr>
        <w:ind w:left="426" w:hangingChars="202" w:hanging="426"/>
        <w:rPr>
          <w:color w:val="000000" w:themeColor="text1"/>
          <w:sz w:val="21"/>
          <w:szCs w:val="21"/>
        </w:rPr>
      </w:pPr>
      <w:bookmarkStart w:id="498" w:name="_Hlk10540190"/>
      <w:bookmarkStart w:id="499" w:name="_Hlk10540207"/>
      <w:bookmarkEnd w:id="496"/>
      <w:bookmarkEnd w:id="497"/>
      <w:r>
        <w:rPr>
          <w:rFonts w:hint="eastAsia"/>
          <w:color w:val="000000" w:themeColor="text1"/>
          <w:sz w:val="21"/>
          <w:szCs w:val="21"/>
        </w:rPr>
        <w:t>坏账准备的情况</w:t>
      </w:r>
      <w:bookmarkEnd w:id="498"/>
    </w:p>
    <w:sdt>
      <w:sdtPr>
        <w:rPr>
          <w:color w:val="000000" w:themeColor="text1"/>
        </w:rPr>
        <w:alias w:val="是否适用：母公司应收账款坏账准备情况[双击切换]"/>
        <w:tag w:val="_GBC_f73789de2ecf49c4bad380c8767c93cf"/>
        <w:id w:val="2126886272"/>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snapToGrid w:val="0"/>
        <w:spacing w:line="240" w:lineRule="atLeast"/>
        <w:ind w:left="425" w:firstLineChars="0" w:firstLine="0"/>
        <w:jc w:val="right"/>
        <w:rPr>
          <w:rFonts w:ascii="宋体" w:hAnsi="宋体"/>
          <w:color w:val="000000" w:themeColor="text1"/>
          <w:szCs w:val="21"/>
        </w:rPr>
      </w:pPr>
      <w:bookmarkStart w:id="500" w:name="_Hlk41553597"/>
      <w:r>
        <w:rPr>
          <w:rFonts w:ascii="宋体" w:hAnsi="宋体" w:hint="eastAsia"/>
          <w:color w:val="000000" w:themeColor="text1"/>
          <w:szCs w:val="21"/>
        </w:rPr>
        <w:t>单位：</w:t>
      </w:r>
      <w:sdt>
        <w:sdtPr>
          <w:rPr>
            <w:rFonts w:ascii="宋体" w:hAnsi="宋体" w:hint="eastAsia"/>
            <w:color w:val="000000" w:themeColor="text1"/>
            <w:szCs w:val="21"/>
          </w:rPr>
          <w:alias w:val="单位：母公司应收账款坏账准备情况"/>
          <w:tag w:val="_GBC_b1cb6a2ed32f4cbba0ff71c0724458cf"/>
          <w:id w:val="11197276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母公司应收账款坏账准备情况"/>
          <w:tag w:val="_GBC_d354bf362fbe459f823a08ebfd7e3967"/>
          <w:id w:val="-21303923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9"/>
        <w:gridCol w:w="1906"/>
        <w:gridCol w:w="2069"/>
        <w:gridCol w:w="1905"/>
        <w:gridCol w:w="1910"/>
        <w:gridCol w:w="1905"/>
        <w:gridCol w:w="1899"/>
      </w:tblGrid>
      <w:tr w:rsidR="00156DD6">
        <w:trPr>
          <w:jc w:val="center"/>
        </w:trPr>
        <w:bookmarkEnd w:id="500" w:displacedByCustomXml="next"/>
        <w:bookmarkEnd w:id="499" w:displacedByCustomXml="next"/>
        <w:bookmarkStart w:id="501" w:name="_Hlk153789356" w:displacedByCustomXml="next"/>
        <w:bookmarkStart w:id="502" w:name="_Hlk167981805" w:displacedByCustomXml="next"/>
        <w:sdt>
          <w:sdtPr>
            <w:tag w:val="_PLD_f6bf13992bdc4b06bd6f364458e0df47"/>
            <w:id w:val="-2034111435"/>
          </w:sdtPr>
          <w:sdtEndPr/>
          <w:sdtContent>
            <w:tc>
              <w:tcPr>
                <w:tcW w:w="818" w:type="pct"/>
                <w:vMerge w:val="restart"/>
                <w:shd w:val="clear" w:color="auto" w:fill="FFFFFF"/>
                <w:vAlign w:val="center"/>
              </w:tcPr>
              <w:p w:rsidR="00156DD6" w:rsidRDefault="00D51F5F">
                <w:pPr>
                  <w:jc w:val="center"/>
                  <w:rPr>
                    <w:color w:val="000000" w:themeColor="text1"/>
                  </w:rPr>
                </w:pPr>
                <w:r>
                  <w:rPr>
                    <w:color w:val="000000" w:themeColor="text1"/>
                  </w:rPr>
                  <w:t>类别</w:t>
                </w:r>
              </w:p>
            </w:tc>
          </w:sdtContent>
        </w:sdt>
        <w:sdt>
          <w:sdtPr>
            <w:tag w:val="_PLD_579b33cd0d7e490d998a64c9f202ccfb"/>
            <w:id w:val="723412925"/>
          </w:sdtPr>
          <w:sdtEndPr/>
          <w:sdtContent>
            <w:tc>
              <w:tcPr>
                <w:tcW w:w="687" w:type="pct"/>
                <w:vMerge w:val="restart"/>
                <w:shd w:val="clear" w:color="auto" w:fill="FFFFFF"/>
                <w:vAlign w:val="center"/>
              </w:tcPr>
              <w:p w:rsidR="00156DD6" w:rsidRDefault="00D51F5F">
                <w:pPr>
                  <w:jc w:val="center"/>
                  <w:rPr>
                    <w:color w:val="000000" w:themeColor="text1"/>
                  </w:rPr>
                </w:pPr>
                <w:r>
                  <w:rPr>
                    <w:color w:val="000000" w:themeColor="text1"/>
                  </w:rPr>
                  <w:t>期初余额</w:t>
                </w:r>
              </w:p>
            </w:tc>
          </w:sdtContent>
        </w:sdt>
        <w:sdt>
          <w:sdtPr>
            <w:tag w:val="_PLD_2cbc55bce2ef44bbb40e4050dfe846f1"/>
            <w:id w:val="649872060"/>
          </w:sdtPr>
          <w:sdtEndPr/>
          <w:sdtContent>
            <w:tc>
              <w:tcPr>
                <w:tcW w:w="2809" w:type="pct"/>
                <w:gridSpan w:val="4"/>
                <w:shd w:val="clear" w:color="auto" w:fill="FFFFFF"/>
                <w:vAlign w:val="center"/>
              </w:tcPr>
              <w:p w:rsidR="00156DD6" w:rsidRDefault="00D51F5F">
                <w:pPr>
                  <w:jc w:val="center"/>
                  <w:rPr>
                    <w:color w:val="000000" w:themeColor="text1"/>
                  </w:rPr>
                </w:pPr>
                <w:r>
                  <w:rPr>
                    <w:rFonts w:hint="eastAsia"/>
                    <w:color w:val="000000" w:themeColor="text1"/>
                  </w:rPr>
                  <w:t>本期变动</w:t>
                </w:r>
                <w:r>
                  <w:rPr>
                    <w:color w:val="000000" w:themeColor="text1"/>
                  </w:rPr>
                  <w:t>金额</w:t>
                </w:r>
              </w:p>
            </w:tc>
          </w:sdtContent>
        </w:sdt>
        <w:sdt>
          <w:sdtPr>
            <w:tag w:val="_PLD_dcc9f714adf8465eb1a49da61466de1f"/>
            <w:id w:val="-2012518360"/>
          </w:sdtPr>
          <w:sdtEndPr/>
          <w:sdtContent>
            <w:tc>
              <w:tcPr>
                <w:tcW w:w="685" w:type="pct"/>
                <w:vMerge w:val="restart"/>
                <w:shd w:val="clear" w:color="auto" w:fill="FFFFFF"/>
                <w:vAlign w:val="center"/>
              </w:tcPr>
              <w:p w:rsidR="00156DD6" w:rsidRDefault="00D51F5F">
                <w:pPr>
                  <w:jc w:val="center"/>
                  <w:rPr>
                    <w:color w:val="000000" w:themeColor="text1"/>
                  </w:rPr>
                </w:pPr>
                <w:r>
                  <w:rPr>
                    <w:color w:val="000000" w:themeColor="text1"/>
                  </w:rPr>
                  <w:t>期末余额</w:t>
                </w:r>
              </w:p>
            </w:tc>
          </w:sdtContent>
        </w:sdt>
      </w:tr>
      <w:tr w:rsidR="00156DD6">
        <w:trPr>
          <w:jc w:val="center"/>
        </w:trPr>
        <w:tc>
          <w:tcPr>
            <w:tcW w:w="818" w:type="pct"/>
            <w:vMerge/>
            <w:shd w:val="clear" w:color="auto" w:fill="FFFFFF"/>
          </w:tcPr>
          <w:p w:rsidR="00156DD6" w:rsidRDefault="00156DD6">
            <w:pPr>
              <w:jc w:val="center"/>
              <w:rPr>
                <w:color w:val="000000" w:themeColor="text1"/>
              </w:rPr>
            </w:pPr>
          </w:p>
        </w:tc>
        <w:tc>
          <w:tcPr>
            <w:tcW w:w="687" w:type="pct"/>
            <w:vMerge/>
            <w:shd w:val="clear" w:color="auto" w:fill="FFFFFF"/>
          </w:tcPr>
          <w:p w:rsidR="00156DD6" w:rsidRDefault="00156DD6">
            <w:pPr>
              <w:jc w:val="center"/>
              <w:rPr>
                <w:color w:val="000000" w:themeColor="text1"/>
              </w:rPr>
            </w:pPr>
          </w:p>
        </w:tc>
        <w:sdt>
          <w:sdtPr>
            <w:tag w:val="_PLD_e4e43f7257b14faaaaf4b09b161bf7b7"/>
            <w:id w:val="463386874"/>
          </w:sdtPr>
          <w:sdtEndPr/>
          <w:sdtContent>
            <w:tc>
              <w:tcPr>
                <w:tcW w:w="746" w:type="pct"/>
                <w:shd w:val="clear" w:color="auto" w:fill="FFFFFF"/>
                <w:vAlign w:val="center"/>
              </w:tcPr>
              <w:p w:rsidR="00156DD6" w:rsidRDefault="00D51F5F">
                <w:pPr>
                  <w:jc w:val="center"/>
                  <w:rPr>
                    <w:color w:val="000000" w:themeColor="text1"/>
                  </w:rPr>
                </w:pPr>
                <w:r>
                  <w:rPr>
                    <w:color w:val="000000" w:themeColor="text1"/>
                  </w:rPr>
                  <w:t>计提</w:t>
                </w:r>
              </w:p>
            </w:tc>
          </w:sdtContent>
        </w:sdt>
        <w:sdt>
          <w:sdtPr>
            <w:tag w:val="_PLD_bf7fb55a6c2a4d18926896fd921fc857"/>
            <w:id w:val="-1042052925"/>
          </w:sdtPr>
          <w:sdtEndPr/>
          <w:sdtContent>
            <w:tc>
              <w:tcPr>
                <w:tcW w:w="687" w:type="pct"/>
                <w:shd w:val="clear" w:color="auto" w:fill="FFFFFF"/>
                <w:vAlign w:val="center"/>
              </w:tcPr>
              <w:p w:rsidR="00156DD6" w:rsidRDefault="00D51F5F">
                <w:pPr>
                  <w:jc w:val="center"/>
                  <w:rPr>
                    <w:color w:val="000000" w:themeColor="text1"/>
                  </w:rPr>
                </w:pPr>
                <w:r>
                  <w:rPr>
                    <w:rFonts w:hint="eastAsia"/>
                    <w:color w:val="000000" w:themeColor="text1"/>
                  </w:rPr>
                  <w:t>收回或转回</w:t>
                </w:r>
              </w:p>
            </w:tc>
          </w:sdtContent>
        </w:sdt>
        <w:tc>
          <w:tcPr>
            <w:tcW w:w="689" w:type="pct"/>
            <w:shd w:val="clear" w:color="auto" w:fill="FFFFFF"/>
            <w:vAlign w:val="center"/>
          </w:tcPr>
          <w:sdt>
            <w:sdtPr>
              <w:tag w:val="_PLD_536d31c824d74db3baaa7f5b6cd0a9ec"/>
              <w:id w:val="53510261"/>
            </w:sdtPr>
            <w:sdtEndPr/>
            <w:sdtContent>
              <w:p w:rsidR="00156DD6" w:rsidRDefault="00D51F5F">
                <w:pPr>
                  <w:jc w:val="center"/>
                  <w:rPr>
                    <w:color w:val="000000" w:themeColor="text1"/>
                  </w:rPr>
                </w:pPr>
                <w:r>
                  <w:rPr>
                    <w:rFonts w:hint="eastAsia"/>
                    <w:color w:val="000000" w:themeColor="text1"/>
                  </w:rPr>
                  <w:t>转销或核销</w:t>
                </w:r>
              </w:p>
            </w:sdtContent>
          </w:sdt>
        </w:tc>
        <w:tc>
          <w:tcPr>
            <w:tcW w:w="687" w:type="pct"/>
            <w:shd w:val="clear" w:color="auto" w:fill="FFFFFF"/>
            <w:vAlign w:val="center"/>
          </w:tcPr>
          <w:sdt>
            <w:sdtPr>
              <w:tag w:val="_PLD_32a7ce101f6b48d68c39e1edb6e78b82"/>
              <w:id w:val="1719934450"/>
            </w:sdtPr>
            <w:sdtEndPr/>
            <w:sdtContent>
              <w:p w:rsidR="00156DD6" w:rsidRDefault="00D51F5F">
                <w:pPr>
                  <w:jc w:val="right"/>
                  <w:rPr>
                    <w:color w:val="000000" w:themeColor="text1"/>
                  </w:rPr>
                </w:pPr>
                <w:r>
                  <w:rPr>
                    <w:rFonts w:hint="eastAsia"/>
                    <w:color w:val="000000" w:themeColor="text1"/>
                  </w:rPr>
                  <w:t>其他变动</w:t>
                </w:r>
              </w:p>
            </w:sdtContent>
          </w:sdt>
        </w:tc>
        <w:tc>
          <w:tcPr>
            <w:tcW w:w="685" w:type="pct"/>
            <w:vMerge/>
            <w:shd w:val="clear" w:color="auto" w:fill="FFFFFF"/>
          </w:tcPr>
          <w:p w:rsidR="00156DD6" w:rsidRDefault="00156DD6">
            <w:pPr>
              <w:jc w:val="right"/>
              <w:rPr>
                <w:color w:val="000000" w:themeColor="text1"/>
              </w:rPr>
            </w:pPr>
          </w:p>
        </w:tc>
      </w:tr>
      <w:tr w:rsidR="00156DD6">
        <w:trPr>
          <w:jc w:val="center"/>
        </w:trPr>
        <w:tc>
          <w:tcPr>
            <w:tcW w:w="818" w:type="pct"/>
          </w:tcPr>
          <w:p w:rsidR="00156DD6" w:rsidRDefault="00D51F5F">
            <w:pPr>
              <w:pStyle w:val="Style43"/>
            </w:pPr>
            <w:r>
              <w:t>按单项计提坏账准备</w:t>
            </w:r>
          </w:p>
        </w:tc>
        <w:tc>
          <w:tcPr>
            <w:tcW w:w="687" w:type="pct"/>
            <w:vAlign w:val="center"/>
          </w:tcPr>
          <w:p w:rsidR="00156DD6" w:rsidRDefault="00D51F5F">
            <w:pPr>
              <w:jc w:val="right"/>
            </w:pPr>
            <w:r>
              <w:t>26,918,902.65</w:t>
            </w:r>
          </w:p>
        </w:tc>
        <w:tc>
          <w:tcPr>
            <w:tcW w:w="746" w:type="pct"/>
          </w:tcPr>
          <w:p w:rsidR="00156DD6" w:rsidRDefault="00D51F5F">
            <w:pPr>
              <w:jc w:val="right"/>
            </w:pPr>
            <w:r>
              <w:rPr>
                <w:rFonts w:hint="eastAsia"/>
              </w:rPr>
              <w:t xml:space="preserve"> 1,700,441.55 </w:t>
            </w:r>
          </w:p>
        </w:tc>
        <w:tc>
          <w:tcPr>
            <w:tcW w:w="687" w:type="pct"/>
          </w:tcPr>
          <w:p w:rsidR="00156DD6" w:rsidRDefault="00D51F5F">
            <w:pPr>
              <w:jc w:val="right"/>
            </w:pPr>
            <w:r>
              <w:rPr>
                <w:rFonts w:hint="eastAsia"/>
              </w:rPr>
              <w:t xml:space="preserve"> 52,625.40 </w:t>
            </w:r>
          </w:p>
        </w:tc>
        <w:tc>
          <w:tcPr>
            <w:tcW w:w="689" w:type="pct"/>
          </w:tcPr>
          <w:p w:rsidR="00156DD6" w:rsidRDefault="00156DD6">
            <w:pPr>
              <w:jc w:val="right"/>
            </w:pPr>
          </w:p>
        </w:tc>
        <w:tc>
          <w:tcPr>
            <w:tcW w:w="687" w:type="pct"/>
          </w:tcPr>
          <w:p w:rsidR="00156DD6" w:rsidRDefault="00156DD6">
            <w:pPr>
              <w:jc w:val="right"/>
            </w:pPr>
          </w:p>
        </w:tc>
        <w:tc>
          <w:tcPr>
            <w:tcW w:w="685" w:type="pct"/>
          </w:tcPr>
          <w:p w:rsidR="00156DD6" w:rsidRDefault="00D51F5F">
            <w:pPr>
              <w:jc w:val="right"/>
            </w:pPr>
            <w:r>
              <w:rPr>
                <w:rFonts w:hint="eastAsia"/>
              </w:rPr>
              <w:t xml:space="preserve"> 28,566,718.80 </w:t>
            </w:r>
          </w:p>
        </w:tc>
      </w:tr>
      <w:tr w:rsidR="00156DD6">
        <w:trPr>
          <w:jc w:val="center"/>
        </w:trPr>
        <w:tc>
          <w:tcPr>
            <w:tcW w:w="818" w:type="pct"/>
          </w:tcPr>
          <w:p w:rsidR="00156DD6" w:rsidRDefault="00D51F5F">
            <w:pPr>
              <w:pStyle w:val="Style43"/>
            </w:pPr>
            <w:r>
              <w:t>按组合计提坏账准备</w:t>
            </w:r>
          </w:p>
        </w:tc>
        <w:tc>
          <w:tcPr>
            <w:tcW w:w="687" w:type="pct"/>
            <w:vAlign w:val="center"/>
          </w:tcPr>
          <w:p w:rsidR="00156DD6" w:rsidRDefault="00D51F5F">
            <w:pPr>
              <w:jc w:val="right"/>
            </w:pPr>
            <w:r>
              <w:t>79,591,139.76</w:t>
            </w:r>
          </w:p>
        </w:tc>
        <w:tc>
          <w:tcPr>
            <w:tcW w:w="746" w:type="pct"/>
          </w:tcPr>
          <w:p w:rsidR="00156DD6" w:rsidRDefault="00D51F5F">
            <w:pPr>
              <w:jc w:val="right"/>
            </w:pPr>
            <w:r>
              <w:rPr>
                <w:rFonts w:hint="eastAsia"/>
              </w:rPr>
              <w:t xml:space="preserve"> 2,876,555.75 </w:t>
            </w:r>
          </w:p>
        </w:tc>
        <w:tc>
          <w:tcPr>
            <w:tcW w:w="687" w:type="pct"/>
          </w:tcPr>
          <w:p w:rsidR="00156DD6" w:rsidRDefault="00156DD6">
            <w:pPr>
              <w:jc w:val="right"/>
            </w:pPr>
          </w:p>
        </w:tc>
        <w:tc>
          <w:tcPr>
            <w:tcW w:w="689" w:type="pct"/>
          </w:tcPr>
          <w:p w:rsidR="00156DD6" w:rsidRDefault="00156DD6">
            <w:pPr>
              <w:jc w:val="right"/>
            </w:pPr>
          </w:p>
        </w:tc>
        <w:tc>
          <w:tcPr>
            <w:tcW w:w="687" w:type="pct"/>
          </w:tcPr>
          <w:p w:rsidR="00156DD6" w:rsidRDefault="00156DD6">
            <w:pPr>
              <w:jc w:val="right"/>
            </w:pPr>
          </w:p>
        </w:tc>
        <w:tc>
          <w:tcPr>
            <w:tcW w:w="685" w:type="pct"/>
          </w:tcPr>
          <w:p w:rsidR="00156DD6" w:rsidRDefault="00D51F5F">
            <w:pPr>
              <w:jc w:val="right"/>
            </w:pPr>
            <w:r>
              <w:rPr>
                <w:rFonts w:hint="eastAsia"/>
              </w:rPr>
              <w:t xml:space="preserve"> 82,467,695.51 </w:t>
            </w:r>
          </w:p>
        </w:tc>
      </w:tr>
      <w:tr w:rsidR="00156DD6">
        <w:trPr>
          <w:jc w:val="center"/>
        </w:trPr>
        <w:tc>
          <w:tcPr>
            <w:tcW w:w="818" w:type="pct"/>
          </w:tcPr>
          <w:p w:rsidR="00156DD6" w:rsidRDefault="00D51F5F">
            <w:pPr>
              <w:jc w:val="center"/>
              <w:rPr>
                <w:color w:val="000000" w:themeColor="text1"/>
              </w:rPr>
            </w:pPr>
            <w:r>
              <w:rPr>
                <w:rFonts w:hint="eastAsia"/>
                <w:color w:val="000000" w:themeColor="text1"/>
              </w:rPr>
              <w:lastRenderedPageBreak/>
              <w:t>合计</w:t>
            </w:r>
          </w:p>
        </w:tc>
        <w:tc>
          <w:tcPr>
            <w:tcW w:w="687" w:type="pct"/>
            <w:vAlign w:val="center"/>
          </w:tcPr>
          <w:p w:rsidR="00156DD6" w:rsidRDefault="00D51F5F">
            <w:pPr>
              <w:jc w:val="right"/>
            </w:pPr>
            <w:r>
              <w:t>106,510,042.41</w:t>
            </w:r>
          </w:p>
        </w:tc>
        <w:tc>
          <w:tcPr>
            <w:tcW w:w="746" w:type="pct"/>
          </w:tcPr>
          <w:p w:rsidR="00156DD6" w:rsidRDefault="00D51F5F">
            <w:pPr>
              <w:jc w:val="right"/>
            </w:pPr>
            <w:r>
              <w:rPr>
                <w:rFonts w:hint="eastAsia"/>
              </w:rPr>
              <w:t xml:space="preserve"> 4,576,997.30 </w:t>
            </w:r>
          </w:p>
        </w:tc>
        <w:tc>
          <w:tcPr>
            <w:tcW w:w="687" w:type="pct"/>
          </w:tcPr>
          <w:p w:rsidR="00156DD6" w:rsidRDefault="00D51F5F">
            <w:pPr>
              <w:jc w:val="right"/>
            </w:pPr>
            <w:r>
              <w:rPr>
                <w:rFonts w:hint="eastAsia"/>
              </w:rPr>
              <w:t xml:space="preserve"> 52,625.40 </w:t>
            </w:r>
          </w:p>
        </w:tc>
        <w:tc>
          <w:tcPr>
            <w:tcW w:w="689" w:type="pct"/>
          </w:tcPr>
          <w:p w:rsidR="00156DD6" w:rsidRDefault="00156DD6">
            <w:pPr>
              <w:jc w:val="right"/>
            </w:pPr>
          </w:p>
        </w:tc>
        <w:tc>
          <w:tcPr>
            <w:tcW w:w="687" w:type="pct"/>
          </w:tcPr>
          <w:p w:rsidR="00156DD6" w:rsidRDefault="00156DD6">
            <w:pPr>
              <w:jc w:val="right"/>
            </w:pPr>
          </w:p>
        </w:tc>
        <w:tc>
          <w:tcPr>
            <w:tcW w:w="685" w:type="pct"/>
          </w:tcPr>
          <w:p w:rsidR="00156DD6" w:rsidRDefault="00D51F5F">
            <w:pPr>
              <w:jc w:val="right"/>
            </w:pPr>
            <w:r>
              <w:rPr>
                <w:rFonts w:hint="eastAsia"/>
              </w:rPr>
              <w:t xml:space="preserve"> 111,034,414.31 </w:t>
            </w:r>
          </w:p>
        </w:tc>
      </w:tr>
    </w:tbl>
    <w:p w:rsidR="00156DD6" w:rsidRDefault="00D51F5F">
      <w:pPr>
        <w:rPr>
          <w:color w:val="000000" w:themeColor="text1"/>
        </w:rPr>
      </w:pPr>
      <w:r>
        <w:rPr>
          <w:rFonts w:hint="eastAsia"/>
          <w:color w:val="000000" w:themeColor="text1"/>
        </w:rPr>
        <w:t>其中本期坏账准备收回或转回金额重要的：</w:t>
      </w:r>
    </w:p>
    <w:sdt>
      <w:sdtPr>
        <w:rPr>
          <w:color w:val="000000" w:themeColor="text1"/>
        </w:rPr>
        <w:alias w:val="是否适用：母公司其中本期坏账准备收回或转回金额重要的[双击切换]"/>
        <w:tag w:val="_GBC_29cbd6f1a56c4bc9843a0a61bcf42c88"/>
        <w:id w:val="5437201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应收账款坏账准备情况的说明"/>
        <w:tag w:val="_GBC_0ab588d220454a20ba505c5d15821534"/>
        <w:id w:val="1647780541"/>
        <w:placeholder>
          <w:docPart w:val="GBC22222222222222222222222222222"/>
        </w:placeholder>
      </w:sdtPr>
      <w:sdtEndPr/>
      <w:sdtContent>
        <w:p w:rsidR="00156DD6" w:rsidRDefault="00D51F5F">
          <w:pPr>
            <w:ind w:rightChars="-759" w:right="-1594"/>
            <w:rPr>
              <w:color w:val="000000" w:themeColor="text1"/>
            </w:rPr>
          </w:pPr>
          <w:r>
            <w:rPr>
              <w:rFonts w:hint="eastAsia"/>
              <w:color w:val="000000" w:themeColor="text1"/>
            </w:rPr>
            <w:t>无</w:t>
          </w:r>
        </w:p>
      </w:sdtContent>
    </w:sdt>
    <w:bookmarkEnd w:id="502"/>
    <w:bookmarkEnd w:id="501"/>
    <w:p w:rsidR="00156DD6" w:rsidRDefault="00D51F5F">
      <w:pPr>
        <w:pStyle w:val="Style47"/>
        <w:numPr>
          <w:ilvl w:val="3"/>
          <w:numId w:val="110"/>
        </w:numPr>
        <w:ind w:left="426" w:hangingChars="202" w:hanging="426"/>
        <w:rPr>
          <w:color w:val="000000" w:themeColor="text1"/>
          <w:sz w:val="21"/>
          <w:szCs w:val="21"/>
        </w:rPr>
      </w:pPr>
      <w:r>
        <w:rPr>
          <w:rFonts w:hint="eastAsia"/>
          <w:color w:val="000000" w:themeColor="text1"/>
          <w:sz w:val="21"/>
          <w:szCs w:val="21"/>
        </w:rPr>
        <w:t>本期实际核销的应收账款情况</w:t>
      </w:r>
    </w:p>
    <w:sdt>
      <w:sdtPr>
        <w:rPr>
          <w:color w:val="000000" w:themeColor="text1"/>
        </w:rPr>
        <w:alias w:val="是否适用：母公司本期实际核销的应收账款情况[双击切换]"/>
        <w:tag w:val="_GBC_a8b9861b74fa43bdb4a98d13449f8f5e"/>
        <w:id w:val="-105084282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其中重要的应收账款核销情况</w:t>
      </w:r>
    </w:p>
    <w:sdt>
      <w:sdtPr>
        <w:rPr>
          <w:color w:val="000000" w:themeColor="text1"/>
        </w:rPr>
        <w:alias w:val="是否适用：母公司其中重要的应收账款核销情况[双击切换]"/>
        <w:tag w:val="_GBC_827c9c10930747bc8ba843d89c64f1fb"/>
        <w:id w:val="-185618417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应收账款核销说明：</w:t>
      </w:r>
    </w:p>
    <w:sdt>
      <w:sdtPr>
        <w:rPr>
          <w:color w:val="000000" w:themeColor="text1"/>
        </w:rPr>
        <w:alias w:val="是否适用：母公司应收账款核销说明[双击切换]"/>
        <w:tag w:val="_GBC_36d2cef3128f4b3389b38ed29442e2b3"/>
        <w:id w:val="-573515650"/>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3"/>
          <w:numId w:val="110"/>
        </w:numPr>
        <w:ind w:left="426" w:hangingChars="202" w:hanging="426"/>
        <w:rPr>
          <w:color w:val="000000" w:themeColor="text1"/>
          <w:sz w:val="21"/>
          <w:szCs w:val="21"/>
        </w:rPr>
      </w:pPr>
      <w:bookmarkStart w:id="503" w:name="_Hlk90023019"/>
      <w:bookmarkStart w:id="504" w:name="_Hlk153789714"/>
      <w:bookmarkStart w:id="505" w:name="_Hlk167981941"/>
      <w:r>
        <w:rPr>
          <w:rFonts w:hint="eastAsia"/>
          <w:color w:val="000000" w:themeColor="text1"/>
          <w:sz w:val="21"/>
          <w:szCs w:val="21"/>
        </w:rPr>
        <w:t>按欠款方归集的期末余额前五名的应收账款和合同资产情况</w:t>
      </w:r>
    </w:p>
    <w:sdt>
      <w:sdtPr>
        <w:rPr>
          <w:rFonts w:hint="eastAsia"/>
          <w:color w:val="000000" w:themeColor="text1"/>
        </w:rPr>
        <w:alias w:val="是否适用：按欠款方归集的期末余额前五名的应收账款情况[双击切换]"/>
        <w:tag w:val="_GBC_9395e3af825547b4abf8734a6459492f"/>
        <w:id w:val="-1170950341"/>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snapToGrid w:val="0"/>
        <w:spacing w:line="240" w:lineRule="atLeast"/>
        <w:jc w:val="right"/>
        <w:rPr>
          <w:color w:val="000000" w:themeColor="text1"/>
        </w:rPr>
      </w:pPr>
      <w:r>
        <w:rPr>
          <w:rFonts w:hint="eastAsia"/>
          <w:color w:val="000000" w:themeColor="text1"/>
        </w:rPr>
        <w:t>单位：</w:t>
      </w:r>
      <w:sdt>
        <w:sdtPr>
          <w:rPr>
            <w:color w:val="000000" w:themeColor="text1"/>
          </w:rPr>
          <w:alias w:val="单位：财务附注：应收账款前五名欠款情况"/>
          <w:tag w:val="_GBC_d6261cbe3c904089bd795ccb3093ee73"/>
          <w:id w:val="-90344844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应收账款前五名欠款情况"/>
          <w:tag w:val="_GBC_e64ffa6f9fba457f8f4da7574e1bd056"/>
          <w:id w:val="-12399292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268"/>
        <w:gridCol w:w="1561"/>
        <w:gridCol w:w="2268"/>
        <w:gridCol w:w="2836"/>
        <w:gridCol w:w="1675"/>
      </w:tblGrid>
      <w:tr w:rsidR="00156DD6">
        <w:trPr>
          <w:cantSplit/>
        </w:trPr>
        <w:sdt>
          <w:sdtPr>
            <w:tag w:val="_PLD_66e33a7e6be44d5eb2d50643e6237cc4"/>
            <w:id w:val="93989389"/>
          </w:sdtPr>
          <w:sdtEndPr/>
          <w:sdtContent>
            <w:tc>
              <w:tcPr>
                <w:tcW w:w="1174" w:type="pct"/>
                <w:vAlign w:val="center"/>
              </w:tcPr>
              <w:p w:rsidR="00156DD6" w:rsidRDefault="00D51F5F">
                <w:pPr>
                  <w:ind w:right="105"/>
                  <w:jc w:val="center"/>
                  <w:rPr>
                    <w:color w:val="000000" w:themeColor="text1"/>
                  </w:rPr>
                </w:pPr>
                <w:r>
                  <w:rPr>
                    <w:rFonts w:hint="eastAsia"/>
                    <w:color w:val="000000" w:themeColor="text1"/>
                  </w:rPr>
                  <w:t>单位名称</w:t>
                </w:r>
              </w:p>
            </w:tc>
          </w:sdtContent>
        </w:sdt>
        <w:sdt>
          <w:sdtPr>
            <w:tag w:val="_PLD_e60db498c5ba4a96a970a6ce918e5153"/>
            <w:id w:val="-2035721475"/>
          </w:sdtPr>
          <w:sdtEndPr/>
          <w:sdtContent>
            <w:tc>
              <w:tcPr>
                <w:tcW w:w="818" w:type="pct"/>
                <w:vAlign w:val="center"/>
              </w:tcPr>
              <w:p w:rsidR="00156DD6" w:rsidRDefault="00D51F5F">
                <w:pPr>
                  <w:ind w:right="73"/>
                  <w:jc w:val="center"/>
                  <w:rPr>
                    <w:color w:val="000000" w:themeColor="text1"/>
                  </w:rPr>
                </w:pPr>
                <w:r>
                  <w:rPr>
                    <w:rFonts w:hint="eastAsia"/>
                    <w:color w:val="000000" w:themeColor="text1"/>
                  </w:rPr>
                  <w:t>应收账款期末余额</w:t>
                </w:r>
              </w:p>
            </w:tc>
          </w:sdtContent>
        </w:sdt>
        <w:sdt>
          <w:sdtPr>
            <w:tag w:val="_PLD_944b59d1898d47a2b9811200fe8238cc"/>
            <w:id w:val="-53395357"/>
          </w:sdtPr>
          <w:sdtEndPr/>
          <w:sdtContent>
            <w:tc>
              <w:tcPr>
                <w:tcW w:w="563" w:type="pct"/>
                <w:vAlign w:val="center"/>
              </w:tcPr>
              <w:p w:rsidR="00156DD6" w:rsidRDefault="00D51F5F">
                <w:pPr>
                  <w:jc w:val="center"/>
                  <w:rPr>
                    <w:color w:val="000000" w:themeColor="text1"/>
                  </w:rPr>
                </w:pPr>
                <w:r>
                  <w:rPr>
                    <w:rFonts w:hint="eastAsia"/>
                    <w:color w:val="000000" w:themeColor="text1"/>
                  </w:rPr>
                  <w:t>合同资产期末余额</w:t>
                </w:r>
              </w:p>
            </w:tc>
          </w:sdtContent>
        </w:sdt>
        <w:sdt>
          <w:sdtPr>
            <w:tag w:val="_PLD_301be10e795242c58ee556a8cd07660a"/>
            <w:id w:val="1452054836"/>
          </w:sdtPr>
          <w:sdtEndPr/>
          <w:sdtContent>
            <w:tc>
              <w:tcPr>
                <w:tcW w:w="818" w:type="pct"/>
                <w:vAlign w:val="center"/>
              </w:tcPr>
              <w:p w:rsidR="00156DD6" w:rsidRDefault="00D51F5F">
                <w:pPr>
                  <w:jc w:val="center"/>
                  <w:rPr>
                    <w:color w:val="000000" w:themeColor="text1"/>
                  </w:rPr>
                </w:pPr>
                <w:r>
                  <w:rPr>
                    <w:rFonts w:hint="eastAsia"/>
                    <w:color w:val="000000" w:themeColor="text1"/>
                  </w:rPr>
                  <w:t>应收账款和合同资产期末余额</w:t>
                </w:r>
              </w:p>
            </w:tc>
          </w:sdtContent>
        </w:sdt>
        <w:sdt>
          <w:sdtPr>
            <w:tag w:val="_PLD_9d7daec6d6fe4a5d9c133a5c71d1c062"/>
            <w:id w:val="-826214261"/>
          </w:sdtPr>
          <w:sdtEndPr/>
          <w:sdtContent>
            <w:tc>
              <w:tcPr>
                <w:tcW w:w="1023" w:type="pct"/>
                <w:vAlign w:val="center"/>
              </w:tcPr>
              <w:p w:rsidR="00156DD6" w:rsidRDefault="00D51F5F">
                <w:pPr>
                  <w:jc w:val="center"/>
                  <w:rPr>
                    <w:color w:val="000000" w:themeColor="text1"/>
                  </w:rPr>
                </w:pPr>
                <w:r>
                  <w:rPr>
                    <w:rFonts w:hint="eastAsia"/>
                    <w:color w:val="000000" w:themeColor="text1"/>
                  </w:rPr>
                  <w:t>占应收账款和合同资产期末余额合计数的比例（</w:t>
                </w:r>
                <w:r>
                  <w:rPr>
                    <w:rFonts w:hint="eastAsia"/>
                    <w:color w:val="000000" w:themeColor="text1"/>
                  </w:rPr>
                  <w:t>%</w:t>
                </w:r>
                <w:r>
                  <w:rPr>
                    <w:rFonts w:hint="eastAsia"/>
                    <w:color w:val="000000" w:themeColor="text1"/>
                  </w:rPr>
                  <w:t>）</w:t>
                </w:r>
              </w:p>
            </w:tc>
          </w:sdtContent>
        </w:sdt>
        <w:sdt>
          <w:sdtPr>
            <w:tag w:val="_PLD_50b08561bfef4171ad4e74488b9eb0c0"/>
            <w:id w:val="1399705908"/>
          </w:sdtPr>
          <w:sdtEndPr/>
          <w:sdtContent>
            <w:tc>
              <w:tcPr>
                <w:tcW w:w="604" w:type="pct"/>
                <w:vAlign w:val="center"/>
              </w:tcPr>
              <w:p w:rsidR="00156DD6" w:rsidRDefault="00D51F5F">
                <w:pPr>
                  <w:jc w:val="center"/>
                  <w:rPr>
                    <w:color w:val="000000" w:themeColor="text1"/>
                  </w:rPr>
                </w:pPr>
                <w:r>
                  <w:rPr>
                    <w:rFonts w:hint="eastAsia"/>
                    <w:color w:val="000000" w:themeColor="text1"/>
                  </w:rPr>
                  <w:t>坏账准备期末余额</w:t>
                </w:r>
              </w:p>
            </w:tc>
          </w:sdtContent>
        </w:sdt>
      </w:tr>
      <w:tr w:rsidR="00156DD6">
        <w:trPr>
          <w:cantSplit/>
        </w:trPr>
        <w:tc>
          <w:tcPr>
            <w:tcW w:w="1174" w:type="pct"/>
          </w:tcPr>
          <w:p w:rsidR="00156DD6" w:rsidRDefault="00D51F5F">
            <w:pPr>
              <w:ind w:right="105"/>
            </w:pPr>
            <w:r>
              <w:rPr>
                <w:rFonts w:hint="eastAsia"/>
              </w:rPr>
              <w:t>客户</w:t>
            </w:r>
            <w:r>
              <w:rPr>
                <w:rFonts w:hint="eastAsia"/>
              </w:rPr>
              <w:t>1</w:t>
            </w:r>
          </w:p>
        </w:tc>
        <w:tc>
          <w:tcPr>
            <w:tcW w:w="818" w:type="pct"/>
            <w:vAlign w:val="center"/>
          </w:tcPr>
          <w:p w:rsidR="00156DD6" w:rsidRDefault="00D51F5F">
            <w:pPr>
              <w:ind w:right="73"/>
              <w:jc w:val="right"/>
            </w:pPr>
            <w:r>
              <w:rPr>
                <w:rFonts w:hint="eastAsia"/>
              </w:rPr>
              <w:t xml:space="preserve"> 183,732,274.86 </w:t>
            </w:r>
          </w:p>
        </w:tc>
        <w:tc>
          <w:tcPr>
            <w:tcW w:w="563" w:type="pct"/>
            <w:vAlign w:val="center"/>
          </w:tcPr>
          <w:p w:rsidR="00156DD6" w:rsidRDefault="00156DD6">
            <w:pPr>
              <w:jc w:val="right"/>
            </w:pPr>
          </w:p>
        </w:tc>
        <w:tc>
          <w:tcPr>
            <w:tcW w:w="818" w:type="pct"/>
            <w:vAlign w:val="center"/>
          </w:tcPr>
          <w:p w:rsidR="00156DD6" w:rsidRDefault="00D51F5F">
            <w:pPr>
              <w:jc w:val="right"/>
            </w:pPr>
            <w:r>
              <w:rPr>
                <w:rFonts w:hint="eastAsia"/>
              </w:rPr>
              <w:t xml:space="preserve"> 183,732,274.86 </w:t>
            </w:r>
          </w:p>
        </w:tc>
        <w:tc>
          <w:tcPr>
            <w:tcW w:w="1023" w:type="pct"/>
            <w:vAlign w:val="center"/>
          </w:tcPr>
          <w:p w:rsidR="00156DD6" w:rsidRDefault="00D51F5F">
            <w:pPr>
              <w:jc w:val="right"/>
            </w:pPr>
            <w:r>
              <w:rPr>
                <w:rFonts w:hint="eastAsia"/>
              </w:rPr>
              <w:t xml:space="preserve"> 15.49 </w:t>
            </w:r>
          </w:p>
        </w:tc>
        <w:tc>
          <w:tcPr>
            <w:tcW w:w="604" w:type="pct"/>
            <w:vAlign w:val="center"/>
          </w:tcPr>
          <w:p w:rsidR="00156DD6" w:rsidRDefault="00D51F5F">
            <w:pPr>
              <w:jc w:val="right"/>
            </w:pPr>
            <w:r>
              <w:rPr>
                <w:rFonts w:hint="eastAsia"/>
              </w:rPr>
              <w:t xml:space="preserve">   </w:t>
            </w:r>
          </w:p>
        </w:tc>
      </w:tr>
      <w:tr w:rsidR="00156DD6">
        <w:trPr>
          <w:cantSplit/>
        </w:trPr>
        <w:tc>
          <w:tcPr>
            <w:tcW w:w="1174" w:type="pct"/>
          </w:tcPr>
          <w:p w:rsidR="00156DD6" w:rsidRDefault="00D51F5F">
            <w:pPr>
              <w:ind w:right="105"/>
            </w:pPr>
            <w:r>
              <w:rPr>
                <w:rFonts w:hint="eastAsia"/>
              </w:rPr>
              <w:t>客户</w:t>
            </w:r>
            <w:r>
              <w:rPr>
                <w:rFonts w:hint="eastAsia"/>
              </w:rPr>
              <w:t>2</w:t>
            </w:r>
          </w:p>
        </w:tc>
        <w:tc>
          <w:tcPr>
            <w:tcW w:w="818" w:type="pct"/>
            <w:vAlign w:val="center"/>
          </w:tcPr>
          <w:p w:rsidR="00156DD6" w:rsidRDefault="00D51F5F">
            <w:pPr>
              <w:ind w:right="73"/>
              <w:jc w:val="right"/>
            </w:pPr>
            <w:r>
              <w:rPr>
                <w:rFonts w:hint="eastAsia"/>
              </w:rPr>
              <w:t xml:space="preserve"> 18,929,003.28 </w:t>
            </w:r>
          </w:p>
        </w:tc>
        <w:tc>
          <w:tcPr>
            <w:tcW w:w="563" w:type="pct"/>
            <w:vAlign w:val="center"/>
          </w:tcPr>
          <w:p w:rsidR="00156DD6" w:rsidRDefault="00156DD6">
            <w:pPr>
              <w:jc w:val="right"/>
            </w:pPr>
          </w:p>
        </w:tc>
        <w:tc>
          <w:tcPr>
            <w:tcW w:w="818" w:type="pct"/>
            <w:vAlign w:val="center"/>
          </w:tcPr>
          <w:p w:rsidR="00156DD6" w:rsidRDefault="00D51F5F">
            <w:pPr>
              <w:jc w:val="right"/>
            </w:pPr>
            <w:r>
              <w:rPr>
                <w:rFonts w:hint="eastAsia"/>
              </w:rPr>
              <w:t xml:space="preserve"> 18,929,003.28 </w:t>
            </w:r>
          </w:p>
        </w:tc>
        <w:tc>
          <w:tcPr>
            <w:tcW w:w="1023" w:type="pct"/>
            <w:vAlign w:val="center"/>
          </w:tcPr>
          <w:p w:rsidR="00156DD6" w:rsidRDefault="00D51F5F">
            <w:pPr>
              <w:jc w:val="right"/>
            </w:pPr>
            <w:r>
              <w:rPr>
                <w:rFonts w:hint="eastAsia"/>
              </w:rPr>
              <w:t xml:space="preserve"> 1.60 </w:t>
            </w:r>
          </w:p>
        </w:tc>
        <w:tc>
          <w:tcPr>
            <w:tcW w:w="604" w:type="pct"/>
            <w:vAlign w:val="center"/>
          </w:tcPr>
          <w:p w:rsidR="00156DD6" w:rsidRDefault="00D51F5F">
            <w:pPr>
              <w:jc w:val="right"/>
            </w:pPr>
            <w:r>
              <w:rPr>
                <w:rFonts w:hint="eastAsia"/>
              </w:rPr>
              <w:t xml:space="preserve"> 1,892,900.33 </w:t>
            </w:r>
          </w:p>
        </w:tc>
      </w:tr>
      <w:tr w:rsidR="00156DD6">
        <w:trPr>
          <w:cantSplit/>
        </w:trPr>
        <w:tc>
          <w:tcPr>
            <w:tcW w:w="1174" w:type="pct"/>
          </w:tcPr>
          <w:p w:rsidR="00156DD6" w:rsidRDefault="00D51F5F">
            <w:pPr>
              <w:ind w:right="105"/>
            </w:pPr>
            <w:r>
              <w:rPr>
                <w:rFonts w:hint="eastAsia"/>
              </w:rPr>
              <w:t>客户</w:t>
            </w:r>
            <w:r>
              <w:rPr>
                <w:rFonts w:hint="eastAsia"/>
              </w:rPr>
              <w:t>3</w:t>
            </w:r>
          </w:p>
        </w:tc>
        <w:tc>
          <w:tcPr>
            <w:tcW w:w="818" w:type="pct"/>
            <w:vAlign w:val="center"/>
          </w:tcPr>
          <w:p w:rsidR="00156DD6" w:rsidRDefault="00D51F5F">
            <w:pPr>
              <w:ind w:right="73"/>
              <w:jc w:val="right"/>
            </w:pPr>
            <w:r>
              <w:rPr>
                <w:rFonts w:hint="eastAsia"/>
              </w:rPr>
              <w:t xml:space="preserve"> 15,335,026.71 </w:t>
            </w:r>
          </w:p>
        </w:tc>
        <w:tc>
          <w:tcPr>
            <w:tcW w:w="563" w:type="pct"/>
            <w:vAlign w:val="center"/>
          </w:tcPr>
          <w:p w:rsidR="00156DD6" w:rsidRDefault="00156DD6">
            <w:pPr>
              <w:jc w:val="right"/>
            </w:pPr>
          </w:p>
        </w:tc>
        <w:tc>
          <w:tcPr>
            <w:tcW w:w="818" w:type="pct"/>
            <w:vAlign w:val="center"/>
          </w:tcPr>
          <w:p w:rsidR="00156DD6" w:rsidRDefault="00D51F5F">
            <w:pPr>
              <w:jc w:val="right"/>
            </w:pPr>
            <w:r>
              <w:rPr>
                <w:rFonts w:hint="eastAsia"/>
              </w:rPr>
              <w:t xml:space="preserve"> 15,335,026.71 </w:t>
            </w:r>
          </w:p>
        </w:tc>
        <w:tc>
          <w:tcPr>
            <w:tcW w:w="1023" w:type="pct"/>
            <w:vAlign w:val="center"/>
          </w:tcPr>
          <w:p w:rsidR="00156DD6" w:rsidRDefault="00D51F5F">
            <w:pPr>
              <w:jc w:val="right"/>
            </w:pPr>
            <w:r>
              <w:rPr>
                <w:rFonts w:hint="eastAsia"/>
              </w:rPr>
              <w:t xml:space="preserve"> 1.29 </w:t>
            </w:r>
          </w:p>
        </w:tc>
        <w:tc>
          <w:tcPr>
            <w:tcW w:w="604" w:type="pct"/>
            <w:vAlign w:val="center"/>
          </w:tcPr>
          <w:p w:rsidR="00156DD6" w:rsidRDefault="00D51F5F">
            <w:pPr>
              <w:jc w:val="right"/>
            </w:pPr>
            <w:r>
              <w:rPr>
                <w:rFonts w:hint="eastAsia"/>
              </w:rPr>
              <w:t xml:space="preserve"> 766,751.34 </w:t>
            </w:r>
          </w:p>
        </w:tc>
      </w:tr>
      <w:tr w:rsidR="00156DD6">
        <w:trPr>
          <w:cantSplit/>
        </w:trPr>
        <w:tc>
          <w:tcPr>
            <w:tcW w:w="1174" w:type="pct"/>
          </w:tcPr>
          <w:p w:rsidR="00156DD6" w:rsidRDefault="00D51F5F">
            <w:pPr>
              <w:ind w:right="105"/>
            </w:pPr>
            <w:r>
              <w:rPr>
                <w:rFonts w:hint="eastAsia"/>
              </w:rPr>
              <w:t>客户</w:t>
            </w:r>
            <w:r>
              <w:rPr>
                <w:rFonts w:hint="eastAsia"/>
              </w:rPr>
              <w:t>4</w:t>
            </w:r>
          </w:p>
        </w:tc>
        <w:tc>
          <w:tcPr>
            <w:tcW w:w="818" w:type="pct"/>
            <w:vAlign w:val="center"/>
          </w:tcPr>
          <w:p w:rsidR="00156DD6" w:rsidRDefault="00D51F5F">
            <w:pPr>
              <w:ind w:right="73"/>
              <w:jc w:val="right"/>
            </w:pPr>
            <w:r>
              <w:rPr>
                <w:rFonts w:hint="eastAsia"/>
              </w:rPr>
              <w:t xml:space="preserve"> 13,920,000.10 </w:t>
            </w:r>
          </w:p>
        </w:tc>
        <w:tc>
          <w:tcPr>
            <w:tcW w:w="563" w:type="pct"/>
            <w:vAlign w:val="center"/>
          </w:tcPr>
          <w:p w:rsidR="00156DD6" w:rsidRDefault="00156DD6">
            <w:pPr>
              <w:jc w:val="right"/>
            </w:pPr>
          </w:p>
        </w:tc>
        <w:tc>
          <w:tcPr>
            <w:tcW w:w="818" w:type="pct"/>
            <w:vAlign w:val="center"/>
          </w:tcPr>
          <w:p w:rsidR="00156DD6" w:rsidRDefault="00D51F5F">
            <w:pPr>
              <w:jc w:val="right"/>
            </w:pPr>
            <w:r>
              <w:rPr>
                <w:rFonts w:hint="eastAsia"/>
              </w:rPr>
              <w:t xml:space="preserve"> 13,920,000.10 </w:t>
            </w:r>
          </w:p>
        </w:tc>
        <w:tc>
          <w:tcPr>
            <w:tcW w:w="1023" w:type="pct"/>
            <w:vAlign w:val="center"/>
          </w:tcPr>
          <w:p w:rsidR="00156DD6" w:rsidRDefault="00D51F5F">
            <w:pPr>
              <w:jc w:val="right"/>
            </w:pPr>
            <w:r>
              <w:rPr>
                <w:rFonts w:hint="eastAsia"/>
              </w:rPr>
              <w:t xml:space="preserve"> 1.17 </w:t>
            </w:r>
          </w:p>
        </w:tc>
        <w:tc>
          <w:tcPr>
            <w:tcW w:w="604" w:type="pct"/>
            <w:vAlign w:val="center"/>
          </w:tcPr>
          <w:p w:rsidR="00156DD6" w:rsidRDefault="00D51F5F">
            <w:pPr>
              <w:jc w:val="right"/>
            </w:pPr>
            <w:r>
              <w:rPr>
                <w:rFonts w:hint="eastAsia"/>
              </w:rPr>
              <w:t xml:space="preserve"> 696,000.01 </w:t>
            </w:r>
          </w:p>
        </w:tc>
      </w:tr>
      <w:tr w:rsidR="00156DD6">
        <w:trPr>
          <w:cantSplit/>
        </w:trPr>
        <w:tc>
          <w:tcPr>
            <w:tcW w:w="1174" w:type="pct"/>
          </w:tcPr>
          <w:p w:rsidR="00156DD6" w:rsidRDefault="00D51F5F">
            <w:pPr>
              <w:ind w:right="105"/>
            </w:pPr>
            <w:r>
              <w:rPr>
                <w:rFonts w:hint="eastAsia"/>
              </w:rPr>
              <w:t>客户</w:t>
            </w:r>
            <w:r>
              <w:rPr>
                <w:rFonts w:hint="eastAsia"/>
              </w:rPr>
              <w:t>5</w:t>
            </w:r>
          </w:p>
        </w:tc>
        <w:tc>
          <w:tcPr>
            <w:tcW w:w="818" w:type="pct"/>
            <w:vAlign w:val="center"/>
          </w:tcPr>
          <w:p w:rsidR="00156DD6" w:rsidRDefault="00D51F5F">
            <w:pPr>
              <w:ind w:right="73"/>
              <w:jc w:val="right"/>
            </w:pPr>
            <w:r>
              <w:rPr>
                <w:rFonts w:hint="eastAsia"/>
              </w:rPr>
              <w:t xml:space="preserve"> 13,038,927.74 </w:t>
            </w:r>
          </w:p>
        </w:tc>
        <w:tc>
          <w:tcPr>
            <w:tcW w:w="563" w:type="pct"/>
            <w:vAlign w:val="center"/>
          </w:tcPr>
          <w:p w:rsidR="00156DD6" w:rsidRDefault="00156DD6">
            <w:pPr>
              <w:jc w:val="right"/>
            </w:pPr>
          </w:p>
        </w:tc>
        <w:tc>
          <w:tcPr>
            <w:tcW w:w="818" w:type="pct"/>
            <w:vAlign w:val="center"/>
          </w:tcPr>
          <w:p w:rsidR="00156DD6" w:rsidRDefault="00D51F5F">
            <w:pPr>
              <w:jc w:val="right"/>
            </w:pPr>
            <w:r>
              <w:rPr>
                <w:rFonts w:hint="eastAsia"/>
              </w:rPr>
              <w:t xml:space="preserve"> 13,038,927.74 </w:t>
            </w:r>
          </w:p>
        </w:tc>
        <w:tc>
          <w:tcPr>
            <w:tcW w:w="1023" w:type="pct"/>
            <w:vAlign w:val="center"/>
          </w:tcPr>
          <w:p w:rsidR="00156DD6" w:rsidRDefault="00D51F5F">
            <w:pPr>
              <w:jc w:val="right"/>
            </w:pPr>
            <w:r>
              <w:rPr>
                <w:rFonts w:hint="eastAsia"/>
              </w:rPr>
              <w:t xml:space="preserve"> 1.10 </w:t>
            </w:r>
          </w:p>
        </w:tc>
        <w:tc>
          <w:tcPr>
            <w:tcW w:w="604" w:type="pct"/>
            <w:vAlign w:val="center"/>
          </w:tcPr>
          <w:p w:rsidR="00156DD6" w:rsidRDefault="00D51F5F">
            <w:pPr>
              <w:jc w:val="right"/>
            </w:pPr>
            <w:r>
              <w:rPr>
                <w:rFonts w:hint="eastAsia"/>
              </w:rPr>
              <w:t xml:space="preserve"> 651,946.39 </w:t>
            </w:r>
          </w:p>
        </w:tc>
      </w:tr>
      <w:tr w:rsidR="00156DD6">
        <w:trPr>
          <w:cantSplit/>
        </w:trPr>
        <w:tc>
          <w:tcPr>
            <w:tcW w:w="1174" w:type="pct"/>
          </w:tcPr>
          <w:p w:rsidR="00156DD6" w:rsidRDefault="00D51F5F">
            <w:pPr>
              <w:ind w:right="105"/>
              <w:jc w:val="center"/>
              <w:rPr>
                <w:color w:val="000000" w:themeColor="text1"/>
              </w:rPr>
            </w:pPr>
            <w:r>
              <w:rPr>
                <w:rFonts w:hint="eastAsia"/>
                <w:color w:val="000000" w:themeColor="text1"/>
              </w:rPr>
              <w:t>合计</w:t>
            </w:r>
          </w:p>
        </w:tc>
        <w:tc>
          <w:tcPr>
            <w:tcW w:w="818" w:type="pct"/>
            <w:vAlign w:val="center"/>
          </w:tcPr>
          <w:p w:rsidR="00156DD6" w:rsidRDefault="00D51F5F">
            <w:pPr>
              <w:ind w:right="73"/>
              <w:jc w:val="right"/>
            </w:pPr>
            <w:r>
              <w:rPr>
                <w:rFonts w:hint="eastAsia"/>
              </w:rPr>
              <w:t xml:space="preserve"> 244,955,232.69 </w:t>
            </w:r>
          </w:p>
        </w:tc>
        <w:tc>
          <w:tcPr>
            <w:tcW w:w="563" w:type="pct"/>
            <w:vAlign w:val="center"/>
          </w:tcPr>
          <w:p w:rsidR="00156DD6" w:rsidRDefault="00156DD6">
            <w:pPr>
              <w:jc w:val="right"/>
            </w:pPr>
          </w:p>
        </w:tc>
        <w:tc>
          <w:tcPr>
            <w:tcW w:w="818" w:type="pct"/>
            <w:vAlign w:val="center"/>
          </w:tcPr>
          <w:p w:rsidR="00156DD6" w:rsidRDefault="00D51F5F">
            <w:pPr>
              <w:jc w:val="right"/>
            </w:pPr>
            <w:r>
              <w:rPr>
                <w:rFonts w:hint="eastAsia"/>
              </w:rPr>
              <w:t xml:space="preserve"> 244,955,232.69 </w:t>
            </w:r>
          </w:p>
        </w:tc>
        <w:tc>
          <w:tcPr>
            <w:tcW w:w="1023" w:type="pct"/>
            <w:vAlign w:val="center"/>
          </w:tcPr>
          <w:p w:rsidR="00156DD6" w:rsidRDefault="00D51F5F">
            <w:pPr>
              <w:jc w:val="right"/>
            </w:pPr>
            <w:r>
              <w:rPr>
                <w:rFonts w:hint="eastAsia"/>
              </w:rPr>
              <w:t xml:space="preserve"> 20.65 </w:t>
            </w:r>
          </w:p>
        </w:tc>
        <w:tc>
          <w:tcPr>
            <w:tcW w:w="604" w:type="pct"/>
            <w:vAlign w:val="center"/>
          </w:tcPr>
          <w:p w:rsidR="00156DD6" w:rsidRDefault="00D51F5F">
            <w:pPr>
              <w:jc w:val="right"/>
            </w:pPr>
            <w:r>
              <w:rPr>
                <w:rFonts w:hint="eastAsia"/>
              </w:rPr>
              <w:t xml:space="preserve"> 4,007,598.07 </w:t>
            </w:r>
          </w:p>
        </w:tc>
      </w:tr>
    </w:tbl>
    <w:p w:rsidR="00156DD6" w:rsidRDefault="00D51F5F">
      <w:pPr>
        <w:snapToGrid w:val="0"/>
        <w:spacing w:line="240" w:lineRule="atLeast"/>
        <w:rPr>
          <w:color w:val="000000" w:themeColor="text1"/>
        </w:rPr>
      </w:pPr>
      <w:r>
        <w:rPr>
          <w:rFonts w:hint="eastAsia"/>
          <w:color w:val="000000" w:themeColor="text1"/>
        </w:rPr>
        <w:t>其他说明</w:t>
      </w:r>
    </w:p>
    <w:sdt>
      <w:sdtPr>
        <w:rPr>
          <w:color w:val="000000" w:themeColor="text1"/>
        </w:rPr>
        <w:alias w:val="按欠款方归集的期末余额前五名的应收账款情况的说明"/>
        <w:tag w:val="_GBC_60ef1597b00c4872bb998837689ad316"/>
        <w:id w:val="285090800"/>
        <w:placeholder>
          <w:docPart w:val="GBC22222222222222222222222222222"/>
        </w:placeholder>
      </w:sdtPr>
      <w:sdtEndPr/>
      <w:sdtContent>
        <w:p w:rsidR="00156DD6" w:rsidRDefault="00D51F5F">
          <w:pPr>
            <w:snapToGrid w:val="0"/>
            <w:spacing w:line="240" w:lineRule="atLeast"/>
            <w:rPr>
              <w:color w:val="000000" w:themeColor="text1"/>
            </w:rPr>
          </w:pPr>
          <w:r>
            <w:rPr>
              <w:rFonts w:hint="eastAsia"/>
              <w:color w:val="000000" w:themeColor="text1"/>
            </w:rPr>
            <w:t>无</w:t>
          </w:r>
        </w:p>
      </w:sdtContent>
    </w:sdt>
    <w:bookmarkEnd w:id="503"/>
    <w:bookmarkEnd w:id="504"/>
    <w:bookmarkEnd w:id="505"/>
    <w:p w:rsidR="00156DD6" w:rsidRDefault="00D51F5F">
      <w:pPr>
        <w:rPr>
          <w:color w:val="000000" w:themeColor="text1"/>
        </w:rPr>
      </w:pPr>
      <w:r>
        <w:rPr>
          <w:rFonts w:hint="eastAsia"/>
          <w:color w:val="000000" w:themeColor="text1"/>
        </w:rPr>
        <w:t>其他</w:t>
      </w:r>
      <w:r>
        <w:rPr>
          <w:color w:val="000000" w:themeColor="text1"/>
        </w:rPr>
        <w:t>说明：</w:t>
      </w:r>
    </w:p>
    <w:sdt>
      <w:sdtPr>
        <w:rPr>
          <w:rFonts w:hint="eastAsia"/>
          <w:color w:val="000000" w:themeColor="text1"/>
        </w:rPr>
        <w:alias w:val="是否适用：母公司应收账款其他说明[双击切换]"/>
        <w:tag w:val="_GBC_22a2c0a255e04aacadf1c076323bc980"/>
        <w:id w:val="144864674"/>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snapToGrid w:val="0"/>
        <w:spacing w:line="240" w:lineRule="atLeast"/>
        <w:rPr>
          <w:color w:val="000000" w:themeColor="text1"/>
        </w:rPr>
      </w:pPr>
    </w:p>
    <w:p w:rsidR="00156DD6" w:rsidRDefault="00156DD6">
      <w:pPr>
        <w:pStyle w:val="TOC6"/>
        <w:rPr>
          <w:rFonts w:ascii="宋体" w:hAnsi="宋体"/>
          <w:color w:val="000000" w:themeColor="text1"/>
          <w:szCs w:val="21"/>
        </w:rPr>
        <w:sectPr w:rsidR="00156DD6">
          <w:pgSz w:w="16838" w:h="11906" w:orient="landscape"/>
          <w:pgMar w:top="1797" w:right="1525" w:bottom="1276" w:left="1440" w:header="856" w:footer="992" w:gutter="0"/>
          <w:cols w:space="425"/>
          <w:docGrid w:linePitch="312"/>
        </w:sectPr>
      </w:pPr>
    </w:p>
    <w:p w:rsidR="00156DD6" w:rsidRDefault="00D51F5F">
      <w:pPr>
        <w:pStyle w:val="TOC6"/>
        <w:numPr>
          <w:ilvl w:val="0"/>
          <w:numId w:val="109"/>
        </w:numPr>
        <w:rPr>
          <w:rFonts w:ascii="宋体" w:hAnsi="宋体"/>
          <w:color w:val="000000" w:themeColor="text1"/>
          <w:sz w:val="21"/>
          <w:szCs w:val="22"/>
        </w:rPr>
      </w:pPr>
      <w:r>
        <w:rPr>
          <w:rFonts w:ascii="宋体" w:hAnsi="宋体" w:hint="eastAsia"/>
          <w:color w:val="000000" w:themeColor="text1"/>
          <w:sz w:val="21"/>
          <w:szCs w:val="22"/>
        </w:rPr>
        <w:lastRenderedPageBreak/>
        <w:t>其他应收款</w:t>
      </w:r>
    </w:p>
    <w:p w:rsidR="00156DD6" w:rsidRDefault="00D51F5F">
      <w:pPr>
        <w:pStyle w:val="Style47"/>
        <w:rPr>
          <w:rFonts w:ascii="宋体" w:hAnsi="宋体"/>
          <w:color w:val="000000" w:themeColor="text1"/>
          <w:sz w:val="21"/>
          <w:szCs w:val="32"/>
        </w:rPr>
      </w:pPr>
      <w:bookmarkStart w:id="506" w:name="_Hlk10546944"/>
      <w:r>
        <w:rPr>
          <w:rFonts w:ascii="宋体" w:hAnsi="宋体" w:hint="eastAsia"/>
          <w:color w:val="000000" w:themeColor="text1"/>
          <w:sz w:val="21"/>
          <w:szCs w:val="32"/>
        </w:rPr>
        <w:t>项目列示</w:t>
      </w:r>
    </w:p>
    <w:sdt>
      <w:sdtPr>
        <w:rPr>
          <w:color w:val="000000" w:themeColor="text1"/>
        </w:rPr>
        <w:alias w:val="是否适用：母公司其他应收款分类列示[双击切换]"/>
        <w:tag w:val="_GBC_529e259f053b47d993fd4e3216204522"/>
        <w:id w:val="32925145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母公司其他应收款分类列示"/>
          <w:tag w:val="_GBC_306e86db57e64b00a9602dc7cbf81457"/>
          <w:id w:val="-10491460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其他应收款分类列示"/>
          <w:tag w:val="_GBC_cd5866350ae3491e87e9f82a7ed2a7c3"/>
          <w:id w:val="3452891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13"/>
        <w:gridCol w:w="2862"/>
        <w:gridCol w:w="2848"/>
      </w:tblGrid>
      <w:tr w:rsidR="00156DD6">
        <w:trPr>
          <w:cantSplit/>
        </w:trPr>
        <w:sdt>
          <w:sdtPr>
            <w:tag w:val="_PLD_9b14d51b79194bdea749a527966a0a2e"/>
            <w:id w:val="-512769177"/>
          </w:sdtPr>
          <w:sdtEndPr/>
          <w:sdtContent>
            <w:tc>
              <w:tcPr>
                <w:tcW w:w="1764" w:type="pct"/>
                <w:vAlign w:val="center"/>
              </w:tcPr>
              <w:p w:rsidR="00156DD6" w:rsidRDefault="00D51F5F">
                <w:pPr>
                  <w:jc w:val="center"/>
                  <w:rPr>
                    <w:color w:val="000000" w:themeColor="text1"/>
                  </w:rPr>
                </w:pPr>
                <w:r>
                  <w:rPr>
                    <w:rFonts w:hint="eastAsia"/>
                    <w:color w:val="000000" w:themeColor="text1"/>
                  </w:rPr>
                  <w:t>项目</w:t>
                </w:r>
              </w:p>
            </w:tc>
          </w:sdtContent>
        </w:sdt>
        <w:sdt>
          <w:sdtPr>
            <w:tag w:val="_PLD_1dd12447c07a4bf5b8eef82f2f9f5577"/>
            <w:id w:val="-1704939982"/>
          </w:sdtPr>
          <w:sdtEndPr/>
          <w:sdtContent>
            <w:tc>
              <w:tcPr>
                <w:tcW w:w="1622" w:type="pct"/>
                <w:vAlign w:val="center"/>
              </w:tcPr>
              <w:p w:rsidR="00156DD6" w:rsidRDefault="00D51F5F">
                <w:pPr>
                  <w:jc w:val="center"/>
                  <w:rPr>
                    <w:color w:val="000000" w:themeColor="text1"/>
                  </w:rPr>
                </w:pPr>
                <w:r>
                  <w:rPr>
                    <w:rFonts w:hint="eastAsia"/>
                    <w:color w:val="000000" w:themeColor="text1"/>
                  </w:rPr>
                  <w:t>期末余额</w:t>
                </w:r>
              </w:p>
            </w:tc>
          </w:sdtContent>
        </w:sdt>
        <w:sdt>
          <w:sdtPr>
            <w:tag w:val="_PLD_2701e42352ac4ea1ae4d64adf5d28e89"/>
            <w:id w:val="188187436"/>
          </w:sdtPr>
          <w:sdtEndPr/>
          <w:sdtContent>
            <w:tc>
              <w:tcPr>
                <w:tcW w:w="1614" w:type="pct"/>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1764" w:type="pct"/>
          </w:tcPr>
          <w:p w:rsidR="00156DD6" w:rsidRDefault="00D51F5F">
            <w:pPr>
              <w:ind w:right="5"/>
              <w:rPr>
                <w:color w:val="000000" w:themeColor="text1"/>
              </w:rPr>
            </w:pPr>
            <w:r>
              <w:rPr>
                <w:rFonts w:hint="eastAsia"/>
                <w:color w:val="000000" w:themeColor="text1"/>
              </w:rPr>
              <w:t>应收利息</w:t>
            </w:r>
          </w:p>
        </w:tc>
        <w:tc>
          <w:tcPr>
            <w:tcW w:w="1622" w:type="pct"/>
          </w:tcPr>
          <w:p w:rsidR="00156DD6" w:rsidRDefault="00156DD6">
            <w:pPr>
              <w:ind w:right="5"/>
              <w:jc w:val="right"/>
            </w:pPr>
          </w:p>
        </w:tc>
        <w:tc>
          <w:tcPr>
            <w:tcW w:w="1614" w:type="pct"/>
          </w:tcPr>
          <w:p w:rsidR="00156DD6" w:rsidRDefault="00156DD6">
            <w:pPr>
              <w:ind w:right="5"/>
              <w:jc w:val="right"/>
            </w:pPr>
          </w:p>
        </w:tc>
      </w:tr>
      <w:tr w:rsidR="00156DD6">
        <w:trPr>
          <w:cantSplit/>
        </w:trPr>
        <w:tc>
          <w:tcPr>
            <w:tcW w:w="1764" w:type="pct"/>
          </w:tcPr>
          <w:p w:rsidR="00156DD6" w:rsidRDefault="00D51F5F">
            <w:pPr>
              <w:ind w:right="5"/>
              <w:rPr>
                <w:color w:val="000000" w:themeColor="text1"/>
              </w:rPr>
            </w:pPr>
            <w:r>
              <w:rPr>
                <w:rFonts w:hint="eastAsia"/>
                <w:color w:val="000000" w:themeColor="text1"/>
              </w:rPr>
              <w:t>应收股利</w:t>
            </w:r>
          </w:p>
        </w:tc>
        <w:tc>
          <w:tcPr>
            <w:tcW w:w="1622" w:type="pct"/>
          </w:tcPr>
          <w:p w:rsidR="00156DD6" w:rsidRDefault="00156DD6">
            <w:pPr>
              <w:ind w:right="5"/>
              <w:jc w:val="right"/>
            </w:pPr>
          </w:p>
        </w:tc>
        <w:tc>
          <w:tcPr>
            <w:tcW w:w="1614" w:type="pct"/>
          </w:tcPr>
          <w:p w:rsidR="00156DD6" w:rsidRDefault="00156DD6">
            <w:pPr>
              <w:ind w:right="5"/>
              <w:jc w:val="right"/>
            </w:pPr>
          </w:p>
        </w:tc>
      </w:tr>
      <w:tr w:rsidR="00156DD6">
        <w:trPr>
          <w:cantSplit/>
        </w:trPr>
        <w:tc>
          <w:tcPr>
            <w:tcW w:w="1764" w:type="pct"/>
          </w:tcPr>
          <w:p w:rsidR="00156DD6" w:rsidRDefault="00D51F5F">
            <w:pPr>
              <w:ind w:right="5"/>
              <w:rPr>
                <w:color w:val="000000" w:themeColor="text1"/>
              </w:rPr>
            </w:pPr>
            <w:r>
              <w:rPr>
                <w:rFonts w:hint="eastAsia"/>
                <w:color w:val="000000" w:themeColor="text1"/>
              </w:rPr>
              <w:t>其他应收款</w:t>
            </w:r>
          </w:p>
        </w:tc>
        <w:tc>
          <w:tcPr>
            <w:tcW w:w="1622" w:type="pct"/>
          </w:tcPr>
          <w:p w:rsidR="00156DD6" w:rsidRDefault="00D51F5F">
            <w:pPr>
              <w:ind w:right="5"/>
              <w:jc w:val="right"/>
            </w:pPr>
            <w:r>
              <w:rPr>
                <w:rFonts w:hint="eastAsia"/>
              </w:rPr>
              <w:t>314,096,393.47</w:t>
            </w:r>
          </w:p>
        </w:tc>
        <w:tc>
          <w:tcPr>
            <w:tcW w:w="1614" w:type="pct"/>
            <w:vAlign w:val="center"/>
          </w:tcPr>
          <w:p w:rsidR="00156DD6" w:rsidRDefault="00D51F5F">
            <w:pPr>
              <w:ind w:right="5"/>
              <w:jc w:val="right"/>
            </w:pPr>
            <w:r>
              <w:t>325,553,719.91</w:t>
            </w:r>
          </w:p>
        </w:tc>
      </w:tr>
      <w:tr w:rsidR="00156DD6">
        <w:trPr>
          <w:cantSplit/>
        </w:trPr>
        <w:tc>
          <w:tcPr>
            <w:tcW w:w="1764" w:type="pct"/>
            <w:vAlign w:val="center"/>
          </w:tcPr>
          <w:p w:rsidR="00156DD6" w:rsidRDefault="00D51F5F">
            <w:pPr>
              <w:autoSpaceDE w:val="0"/>
              <w:autoSpaceDN w:val="0"/>
              <w:adjustRightInd w:val="0"/>
              <w:jc w:val="center"/>
              <w:rPr>
                <w:color w:val="000000" w:themeColor="text1"/>
              </w:rPr>
            </w:pPr>
            <w:r>
              <w:rPr>
                <w:rFonts w:hint="eastAsia"/>
                <w:color w:val="000000" w:themeColor="text1"/>
              </w:rPr>
              <w:t>合计</w:t>
            </w:r>
          </w:p>
        </w:tc>
        <w:tc>
          <w:tcPr>
            <w:tcW w:w="1622" w:type="pct"/>
          </w:tcPr>
          <w:p w:rsidR="00156DD6" w:rsidRDefault="00D51F5F">
            <w:pPr>
              <w:jc w:val="right"/>
            </w:pPr>
            <w:r>
              <w:rPr>
                <w:rFonts w:hint="eastAsia"/>
              </w:rPr>
              <w:t>314,096,393.47</w:t>
            </w:r>
          </w:p>
        </w:tc>
        <w:tc>
          <w:tcPr>
            <w:tcW w:w="1614" w:type="pct"/>
            <w:vAlign w:val="center"/>
          </w:tcPr>
          <w:p w:rsidR="00156DD6" w:rsidRDefault="00D51F5F">
            <w:pPr>
              <w:jc w:val="right"/>
            </w:pPr>
            <w:r>
              <w:t>325,553,719.91</w:t>
            </w:r>
          </w:p>
        </w:tc>
      </w:tr>
    </w:tbl>
    <w:p w:rsidR="00156DD6" w:rsidRDefault="00D51F5F">
      <w:pPr>
        <w:rPr>
          <w:color w:val="000000" w:themeColor="text1"/>
        </w:rPr>
      </w:pPr>
      <w:bookmarkStart w:id="507" w:name="_Hlk533797002"/>
      <w:r>
        <w:rPr>
          <w:rFonts w:hint="eastAsia"/>
          <w:color w:val="000000" w:themeColor="text1"/>
        </w:rPr>
        <w:t>其他说明：</w:t>
      </w:r>
    </w:p>
    <w:sdt>
      <w:sdtPr>
        <w:rPr>
          <w:color w:val="000000" w:themeColor="text1"/>
        </w:rPr>
        <w:alias w:val="是否适用：母公司其他应收款分类列示其他说明[双击切换]"/>
        <w:tag w:val="_GBC_87c9afe4c5c54a4b93c9b78663bd8bf3"/>
        <w:id w:val="-180668421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506"/>
    <w:bookmarkEnd w:id="507"/>
    <w:p w:rsidR="00156DD6" w:rsidRDefault="00D51F5F">
      <w:pPr>
        <w:pStyle w:val="Style47"/>
        <w:rPr>
          <w:rFonts w:ascii="宋体" w:hAnsi="宋体"/>
          <w:color w:val="000000" w:themeColor="text1"/>
          <w:sz w:val="21"/>
          <w:szCs w:val="21"/>
        </w:rPr>
      </w:pPr>
      <w:r>
        <w:rPr>
          <w:rFonts w:ascii="宋体" w:hAnsi="宋体" w:hint="eastAsia"/>
          <w:color w:val="000000" w:themeColor="text1"/>
          <w:sz w:val="21"/>
          <w:szCs w:val="21"/>
        </w:rPr>
        <w:t>应收利息</w:t>
      </w:r>
    </w:p>
    <w:p w:rsidR="00156DD6" w:rsidRDefault="00D51F5F">
      <w:pPr>
        <w:pStyle w:val="Style48"/>
        <w:numPr>
          <w:ilvl w:val="0"/>
          <w:numId w:val="111"/>
        </w:numPr>
        <w:rPr>
          <w:sz w:val="21"/>
          <w:szCs w:val="21"/>
        </w:rPr>
      </w:pPr>
      <w:bookmarkStart w:id="508" w:name="_Hlk10547023"/>
      <w:bookmarkStart w:id="509" w:name="_Hlk10547033"/>
      <w:r>
        <w:rPr>
          <w:rFonts w:hint="eastAsia"/>
          <w:sz w:val="21"/>
          <w:szCs w:val="21"/>
        </w:rPr>
        <w:t>应收利息分类</w:t>
      </w:r>
      <w:bookmarkEnd w:id="508"/>
    </w:p>
    <w:sdt>
      <w:sdtPr>
        <w:rPr>
          <w:color w:val="000000" w:themeColor="text1"/>
        </w:rPr>
        <w:alias w:val="是否适用：母公司应收利息分类[双击切换]"/>
        <w:tag w:val="_GBC_7b29d5fc39c94a909c39eedf47c8008f"/>
        <w:id w:val="-165043644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111"/>
        </w:numPr>
        <w:rPr>
          <w:sz w:val="21"/>
          <w:szCs w:val="21"/>
        </w:rPr>
      </w:pPr>
      <w:bookmarkStart w:id="510" w:name="_Hlk10547054"/>
      <w:bookmarkStart w:id="511" w:name="_Hlk10547064"/>
      <w:bookmarkEnd w:id="509"/>
      <w:r>
        <w:rPr>
          <w:rFonts w:hint="eastAsia"/>
          <w:sz w:val="21"/>
          <w:szCs w:val="21"/>
        </w:rPr>
        <w:t>重要逾期利息</w:t>
      </w:r>
      <w:bookmarkEnd w:id="510"/>
    </w:p>
    <w:sdt>
      <w:sdtPr>
        <w:rPr>
          <w:color w:val="000000" w:themeColor="text1"/>
        </w:rPr>
        <w:alias w:val="是否适用：母公司重要逾期利息[双击切换]"/>
        <w:tag w:val="_GBC_2527ddfc737d4b8c8fa3ca7d6387408d"/>
        <w:id w:val="213575872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111"/>
        </w:numPr>
        <w:rPr>
          <w:sz w:val="21"/>
          <w:szCs w:val="21"/>
        </w:rPr>
      </w:pPr>
      <w:bookmarkStart w:id="512" w:name="_Hlk154149455"/>
      <w:bookmarkStart w:id="513" w:name="_Hlk153789950"/>
      <w:bookmarkStart w:id="514" w:name="_Hlk167983171"/>
      <w:bookmarkEnd w:id="511"/>
      <w:r>
        <w:rPr>
          <w:rFonts w:hint="eastAsia"/>
          <w:sz w:val="21"/>
          <w:szCs w:val="21"/>
        </w:rPr>
        <w:t>按坏账计提方法分类披露</w:t>
      </w:r>
    </w:p>
    <w:sdt>
      <w:sdtPr>
        <w:rPr>
          <w:color w:val="000000" w:themeColor="text1"/>
        </w:rPr>
        <w:alias w:val="是否适用：按坏账计提方法分类披露[双击切换]"/>
        <w:tag w:val="_GBC_9b6b7378a5064d4da42ce1b114ef0dd2"/>
        <w:id w:val="-73193181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w:t>
      </w:r>
    </w:p>
    <w:sdt>
      <w:sdtPr>
        <w:rPr>
          <w:color w:val="000000" w:themeColor="text1"/>
        </w:rPr>
        <w:alias w:val="是否适用：母公司按单项计提坏账准备的详细情况[双击切换]"/>
        <w:tag w:val="_GBC_9e66e9365aa445c3891c917c0b2cb0f8"/>
        <w:id w:val="-171926824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按单项计提坏账准备的说明：</w:t>
      </w:r>
    </w:p>
    <w:sdt>
      <w:sdtPr>
        <w:rPr>
          <w:color w:val="000000" w:themeColor="text1"/>
        </w:rPr>
        <w:alias w:val="是否适用：母公司按单项计提坏账准备的说明[双击切换]"/>
        <w:tag w:val="_GBC_61cf7a42166c410985a3f556c1a407d3"/>
        <w:id w:val="138213165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ascii="Calibri" w:hAnsi="Calibri" w:cs="Times New Roman"/>
          <w:color w:val="000000" w:themeColor="text1"/>
        </w:rPr>
      </w:pPr>
      <w:r>
        <w:rPr>
          <w:rFonts w:ascii="Calibri" w:hAnsi="Calibri" w:cs="Times New Roman" w:hint="eastAsia"/>
          <w:color w:val="000000" w:themeColor="text1"/>
        </w:rPr>
        <w:t>按组合计提坏账准备：</w:t>
      </w:r>
    </w:p>
    <w:sdt>
      <w:sdtPr>
        <w:rPr>
          <w:rFonts w:ascii="Calibri" w:hAnsi="Calibri" w:cs="Times New Roman"/>
          <w:color w:val="000000" w:themeColor="text1"/>
        </w:rPr>
        <w:alias w:val="是否适用：母公司按组合计提坏账准备的详细情况[双击切换]"/>
        <w:tag w:val="_GBC_d3043e47b1544d94a13ce780dd85e9fc"/>
        <w:id w:val="1885679738"/>
        <w:placeholder>
          <w:docPart w:val="GBC22222222222222222222222222222"/>
        </w:placeholder>
      </w:sdtPr>
      <w:sdtEndPr/>
      <w:sdtContent>
        <w:p w:rsidR="00156DD6" w:rsidRDefault="00D51F5F">
          <w:pPr>
            <w:rPr>
              <w:color w:val="000000" w:themeColor="text1"/>
            </w:rPr>
          </w:pP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□适用</w:instrText>
          </w:r>
          <w:r>
            <w:rPr>
              <w:rFonts w:cs="Times New Roman" w:hint="eastAsia"/>
              <w:color w:val="000000" w:themeColor="text1"/>
            </w:rPr>
            <w:instrText xml:space="preserve"> </w:instrText>
          </w:r>
          <w:r>
            <w:rPr>
              <w:rFonts w:cs="Times New Roman"/>
              <w:color w:val="000000" w:themeColor="text1"/>
            </w:rPr>
            <w:fldChar w:fldCharType="end"/>
          </w: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√不适用</w:instrText>
          </w:r>
          <w:r>
            <w:rPr>
              <w:rFonts w:cs="Times New Roman" w:hint="eastAsia"/>
              <w:color w:val="000000" w:themeColor="text1"/>
            </w:rPr>
            <w:instrText xml:space="preserve"> </w:instrText>
          </w:r>
          <w:r>
            <w:rPr>
              <w:rFonts w:cs="Times New Roman"/>
              <w:color w:val="000000" w:themeColor="text1"/>
            </w:rPr>
            <w:fldChar w:fldCharType="end"/>
          </w:r>
        </w:p>
      </w:sdtContent>
    </w:sdt>
    <w:p w:rsidR="00156DD6" w:rsidRDefault="00D51F5F">
      <w:pPr>
        <w:pStyle w:val="Style48"/>
        <w:numPr>
          <w:ilvl w:val="0"/>
          <w:numId w:val="111"/>
        </w:numPr>
        <w:rPr>
          <w:sz w:val="21"/>
          <w:szCs w:val="21"/>
        </w:rPr>
      </w:pPr>
      <w:bookmarkStart w:id="515" w:name="_Hlk10547083"/>
      <w:bookmarkStart w:id="516" w:name="_Hlk10547096"/>
      <w:bookmarkEnd w:id="512"/>
      <w:bookmarkEnd w:id="513"/>
      <w:bookmarkEnd w:id="514"/>
      <w:bookmarkEnd w:id="515"/>
      <w:r>
        <w:rPr>
          <w:rFonts w:hint="eastAsia"/>
          <w:sz w:val="21"/>
          <w:szCs w:val="21"/>
        </w:rPr>
        <w:t>按预期信用损失一般模型计提坏账准备</w:t>
      </w:r>
    </w:p>
    <w:sdt>
      <w:sdtPr>
        <w:rPr>
          <w:color w:val="000000" w:themeColor="text1"/>
        </w:rPr>
        <w:alias w:val="是否适用：母公司应收利息坏账准备调节表[双击切换]"/>
        <w:tag w:val="_GBC_051d1f4329834464b99226954bb8040d"/>
        <w:id w:val="16329166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111"/>
        </w:numPr>
        <w:rPr>
          <w:sz w:val="21"/>
          <w:szCs w:val="21"/>
        </w:rPr>
      </w:pPr>
      <w:bookmarkStart w:id="517" w:name="_Hlk154149866"/>
      <w:bookmarkStart w:id="518" w:name="_Hlk167984472"/>
      <w:bookmarkStart w:id="519" w:name="_Hlk10547119"/>
      <w:bookmarkStart w:id="520" w:name="_Hlk10547128"/>
      <w:bookmarkEnd w:id="516"/>
      <w:r>
        <w:rPr>
          <w:rFonts w:hint="eastAsia"/>
          <w:sz w:val="21"/>
          <w:szCs w:val="21"/>
        </w:rPr>
        <w:t>坏账准备的情况</w:t>
      </w:r>
    </w:p>
    <w:sdt>
      <w:sdtPr>
        <w:rPr>
          <w:color w:val="000000" w:themeColor="text1"/>
        </w:rPr>
        <w:alias w:val="是否适用：母公司坏账准备情况[双击切换]"/>
        <w:tag w:val="_GBC_4dc2b543f39042eeba6f1a6da14a23c7"/>
        <w:id w:val="-7675847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其中本期坏账准备收回或转回金额重要的：</w:t>
      </w:r>
    </w:p>
    <w:sdt>
      <w:sdtPr>
        <w:rPr>
          <w:color w:val="000000" w:themeColor="text1"/>
        </w:rPr>
        <w:alias w:val="是否适用：本期坏账准备收回或转回金额重要的[双击切换]"/>
        <w:tag w:val="_GBC_279266492b924c379c68ded1cd456b96"/>
        <w:id w:val="15802463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母公司坏账准备情况的说明"/>
        <w:tag w:val="_GBC_3ab55111e91142e6a9275bfe02be4915"/>
        <w:id w:val="-574127586"/>
        <w:placeholder>
          <w:docPart w:val="GBC22222222222222222222222222222"/>
        </w:placeholder>
      </w:sdtPr>
      <w:sdtEndPr/>
      <w:sdtContent>
        <w:p w:rsidR="00156DD6" w:rsidRDefault="00D51F5F">
          <w:pPr>
            <w:ind w:rightChars="20" w:right="42"/>
            <w:rPr>
              <w:color w:val="000000" w:themeColor="text1"/>
            </w:rPr>
          </w:pPr>
          <w:r>
            <w:rPr>
              <w:rFonts w:hint="eastAsia"/>
              <w:color w:val="000000" w:themeColor="text1"/>
            </w:rPr>
            <w:t>无</w:t>
          </w:r>
        </w:p>
      </w:sdtContent>
    </w:sdt>
    <w:p w:rsidR="00156DD6" w:rsidRDefault="00D51F5F">
      <w:pPr>
        <w:pStyle w:val="Style48"/>
        <w:numPr>
          <w:ilvl w:val="0"/>
          <w:numId w:val="111"/>
        </w:numPr>
        <w:rPr>
          <w:sz w:val="21"/>
          <w:szCs w:val="21"/>
        </w:rPr>
      </w:pPr>
      <w:r>
        <w:rPr>
          <w:rFonts w:hint="eastAsia"/>
          <w:sz w:val="21"/>
          <w:szCs w:val="21"/>
        </w:rPr>
        <w:t>本期实际核销的应收利息情况</w:t>
      </w:r>
    </w:p>
    <w:sdt>
      <w:sdtPr>
        <w:rPr>
          <w:color w:val="000000" w:themeColor="text1"/>
        </w:rPr>
        <w:alias w:val="是否适用：实际核销的情况[双击切换]"/>
        <w:tag w:val="_GBC_e26e6d4104e24b8ba3faa4e27a6c1045"/>
        <w:id w:val="29487452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w:instrText>
          </w:r>
          <w:r>
            <w:rPr>
              <w:rFonts w:hint="eastAsia"/>
              <w:color w:val="000000" w:themeColor="text1"/>
            </w:rPr>
            <w:instrText xml:space="preserve">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其中重要的应收利息核销情况</w:t>
      </w:r>
    </w:p>
    <w:sdt>
      <w:sdtPr>
        <w:rPr>
          <w:rFonts w:hint="eastAsia"/>
          <w:color w:val="000000" w:themeColor="text1"/>
        </w:rPr>
        <w:alias w:val="是否适用：母公司重要的核销情况[双击切换]"/>
        <w:tag w:val="_GBC_60da80ce578f488fb72578d4541af9c0"/>
        <w:id w:val="-93505436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母公司核销说明[双击切换]"/>
        <w:tag w:val="_GBC_ae6210dfe1cb4aa880cbee38195c69fa"/>
        <w:id w:val="983130812"/>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517"/>
    <w:bookmarkEnd w:id="518"/>
    <w:p w:rsidR="00156DD6" w:rsidRDefault="00D51F5F">
      <w:pPr>
        <w:rPr>
          <w:color w:val="000000" w:themeColor="text1"/>
        </w:rPr>
      </w:pPr>
      <w:r>
        <w:rPr>
          <w:rFonts w:hint="eastAsia"/>
          <w:color w:val="000000" w:themeColor="text1"/>
        </w:rPr>
        <w:t>其他说明：</w:t>
      </w:r>
      <w:bookmarkEnd w:id="519"/>
    </w:p>
    <w:sdt>
      <w:sdtPr>
        <w:rPr>
          <w:color w:val="000000" w:themeColor="text1"/>
        </w:rPr>
        <w:alias w:val="是否适用：母公司应收利息其他说明[双击切换]"/>
        <w:tag w:val="_GBC_936c374258514f469f2c9bb36b889c43"/>
        <w:id w:val="44735946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520"/>
    <w:p w:rsidR="00156DD6" w:rsidRDefault="00D51F5F">
      <w:pPr>
        <w:pStyle w:val="Style47"/>
        <w:rPr>
          <w:rFonts w:ascii="宋体" w:hAnsi="宋体"/>
          <w:color w:val="000000" w:themeColor="text1"/>
          <w:sz w:val="21"/>
          <w:szCs w:val="21"/>
        </w:rPr>
      </w:pPr>
      <w:r>
        <w:rPr>
          <w:rFonts w:ascii="宋体" w:hAnsi="宋体" w:hint="eastAsia"/>
          <w:color w:val="000000" w:themeColor="text1"/>
          <w:sz w:val="21"/>
          <w:szCs w:val="21"/>
        </w:rPr>
        <w:t>应收股利</w:t>
      </w:r>
    </w:p>
    <w:p w:rsidR="00156DD6" w:rsidRDefault="00D51F5F">
      <w:pPr>
        <w:pStyle w:val="Style48"/>
        <w:numPr>
          <w:ilvl w:val="0"/>
          <w:numId w:val="112"/>
        </w:numPr>
        <w:rPr>
          <w:sz w:val="21"/>
          <w:szCs w:val="21"/>
        </w:rPr>
      </w:pPr>
      <w:bookmarkStart w:id="521" w:name="_Hlk10547160"/>
      <w:bookmarkStart w:id="522" w:name="_Hlk10547171"/>
      <w:r>
        <w:rPr>
          <w:rFonts w:hint="eastAsia"/>
          <w:sz w:val="21"/>
          <w:szCs w:val="21"/>
        </w:rPr>
        <w:t>应收股利</w:t>
      </w:r>
      <w:bookmarkEnd w:id="521"/>
    </w:p>
    <w:sdt>
      <w:sdtPr>
        <w:rPr>
          <w:color w:val="000000" w:themeColor="text1"/>
        </w:rPr>
        <w:alias w:val="是否适用：母公司应收股利[双击切换]"/>
        <w:tag w:val="_GBC_3f36acb68ddd426b990a146c5c14da80"/>
        <w:id w:val="160985147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112"/>
        </w:numPr>
        <w:rPr>
          <w:sz w:val="21"/>
          <w:szCs w:val="21"/>
        </w:rPr>
      </w:pPr>
      <w:bookmarkStart w:id="523" w:name="_Hlk10547188"/>
      <w:bookmarkStart w:id="524" w:name="_Hlk10547199"/>
      <w:bookmarkEnd w:id="522"/>
      <w:r>
        <w:rPr>
          <w:rFonts w:hint="eastAsia"/>
          <w:sz w:val="21"/>
          <w:szCs w:val="21"/>
        </w:rPr>
        <w:t>重要的账龄超过</w:t>
      </w:r>
      <w:r>
        <w:rPr>
          <w:rFonts w:hint="eastAsia"/>
          <w:sz w:val="21"/>
          <w:szCs w:val="21"/>
        </w:rPr>
        <w:t>1</w:t>
      </w:r>
      <w:r>
        <w:rPr>
          <w:rFonts w:hint="eastAsia"/>
          <w:sz w:val="21"/>
          <w:szCs w:val="21"/>
        </w:rPr>
        <w:t>年的应收股利</w:t>
      </w:r>
      <w:bookmarkEnd w:id="523"/>
    </w:p>
    <w:sdt>
      <w:sdtPr>
        <w:rPr>
          <w:color w:val="000000" w:themeColor="text1"/>
        </w:rPr>
        <w:alias w:val="是否适用：母公司重要的账龄超过1年的应收股利[双击切换]"/>
        <w:tag w:val="_GBC_5ce593c40926400393bed620009e5006"/>
        <w:id w:val="153491448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112"/>
        </w:numPr>
        <w:rPr>
          <w:sz w:val="21"/>
          <w:szCs w:val="21"/>
        </w:rPr>
      </w:pPr>
      <w:bookmarkStart w:id="525" w:name="_Hlk154150045"/>
      <w:bookmarkStart w:id="526" w:name="_Hlk153790907"/>
      <w:bookmarkStart w:id="527" w:name="_Hlk168041814"/>
      <w:bookmarkEnd w:id="524"/>
      <w:r>
        <w:rPr>
          <w:rFonts w:hint="eastAsia"/>
          <w:sz w:val="21"/>
          <w:szCs w:val="21"/>
        </w:rPr>
        <w:lastRenderedPageBreak/>
        <w:t>按坏账计提方法分类披露</w:t>
      </w:r>
    </w:p>
    <w:sdt>
      <w:sdtPr>
        <w:rPr>
          <w:color w:val="000000" w:themeColor="text1"/>
        </w:rPr>
        <w:alias w:val="是否适用：母公司按坏账计提方法分类披露[双击切换]"/>
        <w:tag w:val="_GBC_606fd71a57c6434eaa16ce805f815d2e"/>
        <w:id w:val="122757366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w:t>
      </w:r>
    </w:p>
    <w:sdt>
      <w:sdtPr>
        <w:rPr>
          <w:color w:val="000000" w:themeColor="text1"/>
        </w:rPr>
        <w:alias w:val="是否适用：母公司按单项计提坏账准备的详细情况[双击切换]"/>
        <w:tag w:val="_GBC_02d5c836df9842559c42aa2f751aa5ba"/>
        <w:id w:val="99314706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按单项计提坏账准备的说明：</w:t>
      </w:r>
    </w:p>
    <w:sdt>
      <w:sdtPr>
        <w:rPr>
          <w:color w:val="000000" w:themeColor="text1"/>
        </w:rPr>
        <w:alias w:val="是否适用：母公司按单项计提坏账准备的说明[双击切换]"/>
        <w:tag w:val="_GBC_4af2b30a86cf42d091fd1188b15fbce6"/>
        <w:id w:val="-87900849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w:instrText>
          </w:r>
          <w:r>
            <w:rPr>
              <w:rFonts w:hint="eastAsia"/>
              <w:color w:val="000000" w:themeColor="text1"/>
            </w:rPr>
            <w:instrText xml:space="preserve">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rFonts w:ascii="Calibri" w:hAnsi="Calibri" w:cs="Times New Roman"/>
          <w:color w:val="000000" w:themeColor="text1"/>
        </w:rPr>
      </w:pPr>
      <w:r>
        <w:rPr>
          <w:rFonts w:ascii="Calibri" w:hAnsi="Calibri" w:cs="Times New Roman" w:hint="eastAsia"/>
          <w:color w:val="000000" w:themeColor="text1"/>
        </w:rPr>
        <w:t>按组合计提坏账准备：</w:t>
      </w:r>
    </w:p>
    <w:sdt>
      <w:sdtPr>
        <w:rPr>
          <w:rFonts w:ascii="Calibri" w:hAnsi="Calibri" w:cs="Times New Roman"/>
          <w:color w:val="000000" w:themeColor="text1"/>
        </w:rPr>
        <w:alias w:val="是否适用：母公司按组合计提坏账准备的详细情况[双击切换]"/>
        <w:tag w:val="_GBC_9f9d44f1ec164a3da4b2c14d4d129121"/>
        <w:id w:val="-1472045488"/>
        <w:placeholder>
          <w:docPart w:val="GBC22222222222222222222222222222"/>
        </w:placeholder>
      </w:sdtPr>
      <w:sdtEndPr/>
      <w:sdtContent>
        <w:p w:rsidR="00156DD6" w:rsidRDefault="00D51F5F">
          <w:pPr>
            <w:rPr>
              <w:color w:val="000000" w:themeColor="text1"/>
            </w:rPr>
          </w:pP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□适用</w:instrText>
          </w:r>
          <w:r>
            <w:rPr>
              <w:rFonts w:cs="Times New Roman" w:hint="eastAsia"/>
              <w:color w:val="000000" w:themeColor="text1"/>
            </w:rPr>
            <w:instrText xml:space="preserve"> </w:instrText>
          </w:r>
          <w:r>
            <w:rPr>
              <w:rFonts w:cs="Times New Roman"/>
              <w:color w:val="000000" w:themeColor="text1"/>
            </w:rPr>
            <w:fldChar w:fldCharType="end"/>
          </w:r>
          <w:r>
            <w:rPr>
              <w:rFonts w:cs="Times New Roman"/>
              <w:color w:val="000000" w:themeColor="text1"/>
            </w:rPr>
            <w:fldChar w:fldCharType="begin"/>
          </w:r>
          <w:r>
            <w:rPr>
              <w:rFonts w:cs="Times New Roman" w:hint="eastAsia"/>
              <w:color w:val="000000" w:themeColor="text1"/>
            </w:rPr>
            <w:instrText xml:space="preserve"> MACROBUTTON  SnrToggleCheckbox </w:instrText>
          </w:r>
          <w:r>
            <w:rPr>
              <w:rFonts w:cs="Times New Roman" w:hint="eastAsia"/>
              <w:color w:val="000000" w:themeColor="text1"/>
            </w:rPr>
            <w:instrText>√不适用</w:instrText>
          </w:r>
          <w:r>
            <w:rPr>
              <w:rFonts w:cs="Times New Roman" w:hint="eastAsia"/>
              <w:color w:val="000000" w:themeColor="text1"/>
            </w:rPr>
            <w:instrText xml:space="preserve"> </w:instrText>
          </w:r>
          <w:r>
            <w:rPr>
              <w:rFonts w:cs="Times New Roman"/>
              <w:color w:val="000000" w:themeColor="text1"/>
            </w:rPr>
            <w:fldChar w:fldCharType="end"/>
          </w:r>
        </w:p>
      </w:sdtContent>
    </w:sdt>
    <w:p w:rsidR="00156DD6" w:rsidRDefault="00D51F5F">
      <w:pPr>
        <w:pStyle w:val="Style48"/>
        <w:numPr>
          <w:ilvl w:val="0"/>
          <w:numId w:val="112"/>
        </w:numPr>
        <w:rPr>
          <w:sz w:val="21"/>
          <w:szCs w:val="21"/>
        </w:rPr>
      </w:pPr>
      <w:bookmarkStart w:id="528" w:name="_Hlk10547212"/>
      <w:bookmarkStart w:id="529" w:name="_Hlk10547224"/>
      <w:bookmarkEnd w:id="525"/>
      <w:bookmarkEnd w:id="526"/>
      <w:bookmarkEnd w:id="527"/>
      <w:bookmarkEnd w:id="528"/>
      <w:r>
        <w:rPr>
          <w:rFonts w:hint="eastAsia"/>
          <w:sz w:val="21"/>
          <w:szCs w:val="21"/>
        </w:rPr>
        <w:t>按预期信用损失一般模型计提坏账准备</w:t>
      </w:r>
    </w:p>
    <w:sdt>
      <w:sdtPr>
        <w:rPr>
          <w:color w:val="000000" w:themeColor="text1"/>
        </w:rPr>
        <w:alias w:val="是否适用：母公司应收股利坏账准备调节表[双击切换]"/>
        <w:tag w:val="_GBC_9d130aecb6cb4874ac083fcdce5ee739"/>
        <w:id w:val="-209677847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112"/>
        </w:numPr>
        <w:rPr>
          <w:sz w:val="21"/>
          <w:szCs w:val="21"/>
        </w:rPr>
      </w:pPr>
      <w:bookmarkStart w:id="530" w:name="_Hlk168042003"/>
      <w:bookmarkStart w:id="531" w:name="_Hlk153792018"/>
      <w:bookmarkStart w:id="532" w:name="_Hlk154150256"/>
      <w:bookmarkEnd w:id="529"/>
      <w:r>
        <w:rPr>
          <w:rFonts w:hint="eastAsia"/>
          <w:sz w:val="21"/>
          <w:szCs w:val="21"/>
        </w:rPr>
        <w:t>坏账准备的情况</w:t>
      </w:r>
    </w:p>
    <w:sdt>
      <w:sdtPr>
        <w:rPr>
          <w:color w:val="000000" w:themeColor="text1"/>
        </w:rPr>
        <w:alias w:val="是否适用：母公司坏账准备情况[双击切换]"/>
        <w:tag w:val="_GBC_4359768bbe6b4db5aaabe9fec181f50a"/>
        <w:id w:val="115379575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其中本期坏账准备收回或转回金额重要的：</w:t>
      </w:r>
    </w:p>
    <w:sdt>
      <w:sdtPr>
        <w:rPr>
          <w:color w:val="000000" w:themeColor="text1"/>
        </w:rPr>
        <w:alias w:val="是否适用：母公司本期坏账准备收回或转回金额重要的[双击切换]"/>
        <w:tag w:val="_GBC_15c983ff27c348dab992de66b12c1147"/>
        <w:id w:val="146222776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母公司坏账准备情况的说明"/>
        <w:tag w:val="_GBC_c23d2aac5be544dab9d6cfeb3fe4c5b9"/>
        <w:id w:val="1932387180"/>
        <w:placeholder>
          <w:docPart w:val="GBC22222222222222222222222222222"/>
        </w:placeholder>
      </w:sdtPr>
      <w:sdtEndPr/>
      <w:sdtContent>
        <w:p w:rsidR="00156DD6" w:rsidRDefault="00D51F5F">
          <w:pPr>
            <w:ind w:rightChars="20" w:right="42"/>
            <w:rPr>
              <w:color w:val="000000" w:themeColor="text1"/>
            </w:rPr>
          </w:pPr>
          <w:r>
            <w:rPr>
              <w:rFonts w:hint="eastAsia"/>
              <w:color w:val="000000" w:themeColor="text1"/>
            </w:rPr>
            <w:t>无</w:t>
          </w:r>
        </w:p>
      </w:sdtContent>
    </w:sdt>
    <w:p w:rsidR="00156DD6" w:rsidRDefault="00D51F5F">
      <w:pPr>
        <w:pStyle w:val="Style48"/>
        <w:numPr>
          <w:ilvl w:val="0"/>
          <w:numId w:val="112"/>
        </w:numPr>
        <w:rPr>
          <w:sz w:val="21"/>
          <w:szCs w:val="21"/>
        </w:rPr>
      </w:pPr>
      <w:bookmarkStart w:id="533" w:name="_Hlk155883151"/>
      <w:r>
        <w:rPr>
          <w:rFonts w:hint="eastAsia"/>
          <w:sz w:val="21"/>
          <w:szCs w:val="21"/>
        </w:rPr>
        <w:t>本期实际核销的应收股利情况</w:t>
      </w:r>
    </w:p>
    <w:sdt>
      <w:sdtPr>
        <w:rPr>
          <w:color w:val="000000" w:themeColor="text1"/>
        </w:rPr>
        <w:alias w:val="是否适用：母公司实际核销的情况[双击切换]"/>
        <w:tag w:val="_GBC_aa389cb741114553a4e1a7aed4aa319e"/>
        <w:id w:val="59860988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533"/>
    <w:p w:rsidR="00156DD6" w:rsidRDefault="00D51F5F">
      <w:pPr>
        <w:rPr>
          <w:color w:val="000000" w:themeColor="text1"/>
        </w:rPr>
      </w:pPr>
      <w:r>
        <w:rPr>
          <w:rFonts w:hint="eastAsia"/>
          <w:color w:val="000000" w:themeColor="text1"/>
        </w:rPr>
        <w:t>其中重要的应收股利核销情况</w:t>
      </w:r>
    </w:p>
    <w:sdt>
      <w:sdtPr>
        <w:rPr>
          <w:rFonts w:hint="eastAsia"/>
          <w:color w:val="000000" w:themeColor="text1"/>
        </w:rPr>
        <w:alias w:val="是否适用：母公司重要的核销情况[双击切换]"/>
        <w:tag w:val="_GBC_146148b0997846e4bafed15556419cf8"/>
        <w:id w:val="20732256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核销说明：</w:t>
      </w:r>
    </w:p>
    <w:sdt>
      <w:sdtPr>
        <w:rPr>
          <w:color w:val="000000" w:themeColor="text1"/>
        </w:rPr>
        <w:alias w:val="是否适用：母公司核销说明[双击切换]"/>
        <w:tag w:val="_GBC_61aa391f7973406cadb21e662d9b01ec"/>
        <w:id w:val="-1263911678"/>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534" w:name="_Hlk10547234"/>
      <w:bookmarkStart w:id="535" w:name="_Hlk10547244"/>
      <w:bookmarkEnd w:id="530"/>
      <w:bookmarkEnd w:id="531"/>
      <w:bookmarkEnd w:id="532"/>
      <w:r>
        <w:rPr>
          <w:rFonts w:hint="eastAsia"/>
          <w:color w:val="000000" w:themeColor="text1"/>
        </w:rPr>
        <w:t>其他说明：</w:t>
      </w:r>
      <w:bookmarkEnd w:id="534"/>
    </w:p>
    <w:sdt>
      <w:sdtPr>
        <w:rPr>
          <w:color w:val="000000" w:themeColor="text1"/>
        </w:rPr>
        <w:alias w:val="是否适用：母公司应收股利其他说明[双击切换]"/>
        <w:tag w:val="_GBC_79a2eb8844e84fe3b78bb5ffcf2a57d5"/>
        <w:id w:val="-94176399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535"/>
    <w:p w:rsidR="00156DD6" w:rsidRDefault="00D51F5F">
      <w:pPr>
        <w:pStyle w:val="Style47"/>
        <w:rPr>
          <w:rFonts w:ascii="宋体" w:hAnsi="宋体"/>
          <w:color w:val="000000" w:themeColor="text1"/>
          <w:sz w:val="21"/>
          <w:szCs w:val="21"/>
        </w:rPr>
      </w:pPr>
      <w:r>
        <w:rPr>
          <w:rFonts w:ascii="宋体" w:hAnsi="宋体" w:hint="eastAsia"/>
          <w:color w:val="000000" w:themeColor="text1"/>
          <w:sz w:val="21"/>
          <w:szCs w:val="21"/>
        </w:rPr>
        <w:t>其他应收款</w:t>
      </w:r>
    </w:p>
    <w:p w:rsidR="00156DD6" w:rsidRDefault="00D51F5F">
      <w:pPr>
        <w:pStyle w:val="Style48"/>
        <w:numPr>
          <w:ilvl w:val="0"/>
          <w:numId w:val="113"/>
        </w:numPr>
        <w:rPr>
          <w:sz w:val="21"/>
          <w:szCs w:val="21"/>
        </w:rPr>
      </w:pPr>
      <w:bookmarkStart w:id="536" w:name="_Hlk153797719"/>
      <w:bookmarkStart w:id="537" w:name="_Hlk168042601"/>
      <w:r>
        <w:rPr>
          <w:rFonts w:hint="eastAsia"/>
          <w:sz w:val="21"/>
          <w:szCs w:val="21"/>
        </w:rPr>
        <w:t>按账龄披露</w:t>
      </w:r>
    </w:p>
    <w:sdt>
      <w:sdtPr>
        <w:rPr>
          <w:color w:val="000000" w:themeColor="text1"/>
        </w:rPr>
        <w:alias w:val="是否适用：母公司其他应收款按账龄披露[双击切换]"/>
        <w:tag w:val="_GBC_5b9c67da114b4f51b08890c9615bd1d4"/>
        <w:id w:val="-174879769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母公司其他应收款按账龄披露"/>
          <w:tag w:val="_GBC_6ab414dc01fc4a13acb3e3755a5cc201"/>
          <w:id w:val="9226182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其他应收款按账龄披露"/>
          <w:tag w:val="_GBC_043422dceaa24b4d9763b5cc6404b654"/>
          <w:id w:val="-13007628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3"/>
        <w:gridCol w:w="2915"/>
        <w:gridCol w:w="2915"/>
      </w:tblGrid>
      <w:tr w:rsidR="00156DD6">
        <w:trPr>
          <w:cantSplit/>
        </w:trPr>
        <w:sdt>
          <w:sdtPr>
            <w:tag w:val="_PLD_af35a4cb8d9748a7bccbc4e491ccfe60"/>
            <w:id w:val="429548574"/>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账龄</w:t>
                </w:r>
              </w:p>
            </w:tc>
          </w:sdtContent>
        </w:sdt>
        <w:sdt>
          <w:sdtPr>
            <w:tag w:val="_PLD_21e0bb0de0cb4a07bdd466a200c90bfc"/>
            <w:id w:val="455768389"/>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6e9631382f39495983e2cd57b3906040"/>
              <w:id w:val="-1623996751"/>
            </w:sdtPr>
            <w:sdtEndPr/>
            <w:sdtContent>
              <w:p w:rsidR="00156DD6" w:rsidRDefault="00D51F5F">
                <w:pPr>
                  <w:jc w:val="center"/>
                  <w:rPr>
                    <w:color w:val="000000" w:themeColor="text1"/>
                  </w:rPr>
                </w:pPr>
                <w:r>
                  <w:rPr>
                    <w:rFonts w:hint="eastAsia"/>
                    <w:color w:val="000000" w:themeColor="text1"/>
                  </w:rPr>
                  <w:t>期初账面余额</w:t>
                </w:r>
              </w:p>
            </w:sdtContent>
          </w:sdt>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1</w:t>
            </w:r>
            <w:r>
              <w:rPr>
                <w:rFonts w:hint="eastAsia"/>
                <w:color w:val="000000" w:themeColor="text1"/>
              </w:rPr>
              <w:t>年以内（含</w:t>
            </w:r>
            <w:r>
              <w:rPr>
                <w:rFonts w:hint="eastAsia"/>
                <w:color w:val="000000" w:themeColor="text1"/>
              </w:rPr>
              <w:t>1</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311,864,689.26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322,878,334.11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1</w:t>
            </w:r>
            <w:r>
              <w:rPr>
                <w:rFonts w:hint="eastAsia"/>
                <w:color w:val="000000" w:themeColor="text1"/>
              </w:rPr>
              <w:t>至</w:t>
            </w:r>
            <w:r>
              <w:rPr>
                <w:rFonts w:hint="eastAsia"/>
                <w:color w:val="000000" w:themeColor="text1"/>
              </w:rPr>
              <w:t>2</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1,771,538.02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2,159,061.46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2</w:t>
            </w:r>
            <w:r>
              <w:rPr>
                <w:rFonts w:hint="eastAsia"/>
                <w:color w:val="000000" w:themeColor="text1"/>
              </w:rPr>
              <w:t>至</w:t>
            </w:r>
            <w:r>
              <w:rPr>
                <w:rFonts w:hint="eastAsia"/>
                <w:color w:val="000000" w:themeColor="text1"/>
              </w:rPr>
              <w:t>3</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1,101,345.47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1,057,051.33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3</w:t>
            </w:r>
            <w:r>
              <w:rPr>
                <w:rFonts w:hint="eastAsia"/>
                <w:color w:val="000000" w:themeColor="text1"/>
              </w:rPr>
              <w:t>至</w:t>
            </w:r>
            <w:r>
              <w:rPr>
                <w:rFonts w:hint="eastAsia"/>
                <w:color w:val="000000" w:themeColor="text1"/>
              </w:rPr>
              <w:t>4</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487,874.50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426,721.70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4</w:t>
            </w:r>
            <w:r>
              <w:rPr>
                <w:rFonts w:hint="eastAsia"/>
                <w:color w:val="000000" w:themeColor="text1"/>
              </w:rPr>
              <w:t>至</w:t>
            </w:r>
            <w:r>
              <w:rPr>
                <w:rFonts w:hint="eastAsia"/>
                <w:color w:val="000000" w:themeColor="text1"/>
              </w:rPr>
              <w:t>5</w:t>
            </w:r>
            <w:r>
              <w:rPr>
                <w:rFonts w:hint="eastAsia"/>
                <w:color w:val="000000" w:themeColor="text1"/>
              </w:rPr>
              <w:t>年</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571,980.12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587,430.92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5</w:t>
            </w:r>
            <w:r>
              <w:rPr>
                <w:rFonts w:hint="eastAsia"/>
                <w:color w:val="000000" w:themeColor="text1"/>
              </w:rPr>
              <w:t>年以上</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906,851.00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747,353.00 </w:t>
            </w:r>
          </w:p>
        </w:tc>
      </w:tr>
      <w:tr w:rsidR="00156DD6">
        <w:trPr>
          <w:cantSplit/>
        </w:trPr>
        <w:tc>
          <w:tcPr>
            <w:tcW w:w="169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316,704,278.37 </w:t>
            </w:r>
          </w:p>
        </w:tc>
        <w:tc>
          <w:tcPr>
            <w:tcW w:w="1652" w:type="pct"/>
            <w:tcBorders>
              <w:top w:val="single" w:sz="4" w:space="0" w:color="auto"/>
              <w:left w:val="single" w:sz="4" w:space="0" w:color="auto"/>
              <w:bottom w:val="single" w:sz="4" w:space="0" w:color="auto"/>
              <w:right w:val="single" w:sz="4" w:space="0" w:color="auto"/>
            </w:tcBorders>
          </w:tcPr>
          <w:p w:rsidR="00156DD6" w:rsidRDefault="00D51F5F">
            <w:pPr>
              <w:jc w:val="right"/>
            </w:pPr>
            <w:r>
              <w:t xml:space="preserve"> 327,855,952.52 </w:t>
            </w:r>
          </w:p>
        </w:tc>
      </w:tr>
    </w:tbl>
    <w:p w:rsidR="00156DD6" w:rsidRDefault="00D51F5F">
      <w:pPr>
        <w:pStyle w:val="Style48"/>
        <w:numPr>
          <w:ilvl w:val="0"/>
          <w:numId w:val="113"/>
        </w:numPr>
      </w:pPr>
      <w:bookmarkStart w:id="538" w:name="_Hlk10547648"/>
      <w:bookmarkEnd w:id="536"/>
      <w:bookmarkEnd w:id="537"/>
      <w:r>
        <w:rPr>
          <w:rFonts w:hint="eastAsia"/>
        </w:rPr>
        <w:t>按款项性质分类情况</w:t>
      </w:r>
    </w:p>
    <w:sdt>
      <w:sdtPr>
        <w:rPr>
          <w:color w:val="000000" w:themeColor="text1"/>
        </w:rPr>
        <w:alias w:val="是否适用：母公司其他应收款按款项性质分类情况[双击切换]"/>
        <w:tag w:val="_GBC_101fec10ac1f41f39330610cac041192"/>
        <w:id w:val="-45079029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财务附注：母公司其他应收款按款项性质分类情况"/>
          <w:tag w:val="_GBC_cdfadb9bdd864b32a99df11dec001a83"/>
          <w:id w:val="1463295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财务附注：母公司其他应收款按款项性质分类情况"/>
          <w:tag w:val="_GBC_cac854cfb75144bc86635f44f78d6611"/>
          <w:id w:val="-9840012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156DD6">
        <w:bookmarkEnd w:id="538" w:displacedByCustomXml="next"/>
        <w:bookmarkStart w:id="539" w:name="_Hlk10547765" w:displacedByCustomXml="next"/>
        <w:sdt>
          <w:sdtPr>
            <w:tag w:val="_PLD_797d39f4d1fd488e93d36af61d0bebfd"/>
            <w:id w:val="884224112"/>
          </w:sdtPr>
          <w:sdtEndPr/>
          <w:sdtContent>
            <w:tc>
              <w:tcPr>
                <w:tcW w:w="1700" w:type="pct"/>
                <w:vAlign w:val="center"/>
              </w:tcPr>
              <w:p w:rsidR="00156DD6" w:rsidRDefault="00D51F5F">
                <w:pPr>
                  <w:jc w:val="center"/>
                  <w:rPr>
                    <w:color w:val="000000" w:themeColor="text1"/>
                  </w:rPr>
                </w:pPr>
                <w:r>
                  <w:rPr>
                    <w:rFonts w:hint="eastAsia"/>
                    <w:color w:val="000000" w:themeColor="text1"/>
                  </w:rPr>
                  <w:t>款项性质</w:t>
                </w:r>
              </w:p>
            </w:tc>
          </w:sdtContent>
        </w:sdt>
        <w:sdt>
          <w:sdtPr>
            <w:tag w:val="_PLD_7853db088d0a4b218482e741ebbac8e0"/>
            <w:id w:val="-1884935461"/>
          </w:sdtPr>
          <w:sdtEndPr/>
          <w:sdtContent>
            <w:tc>
              <w:tcPr>
                <w:tcW w:w="1647" w:type="pct"/>
                <w:vAlign w:val="center"/>
              </w:tcPr>
              <w:p w:rsidR="00156DD6" w:rsidRDefault="00D51F5F">
                <w:pPr>
                  <w:jc w:val="center"/>
                  <w:rPr>
                    <w:color w:val="000000" w:themeColor="text1"/>
                  </w:rPr>
                </w:pPr>
                <w:r>
                  <w:rPr>
                    <w:rFonts w:hint="eastAsia"/>
                    <w:color w:val="000000" w:themeColor="text1"/>
                  </w:rPr>
                  <w:t>期末账面余额</w:t>
                </w:r>
              </w:p>
            </w:tc>
          </w:sdtContent>
        </w:sdt>
        <w:sdt>
          <w:sdtPr>
            <w:tag w:val="_PLD_56ab744bffee4ad28664bdf9e16551e2"/>
            <w:id w:val="1653014032"/>
          </w:sdtPr>
          <w:sdtEndPr/>
          <w:sdtContent>
            <w:tc>
              <w:tcPr>
                <w:tcW w:w="1653" w:type="pct"/>
                <w:vAlign w:val="center"/>
              </w:tcPr>
              <w:p w:rsidR="00156DD6" w:rsidRDefault="00D51F5F">
                <w:pPr>
                  <w:jc w:val="center"/>
                  <w:rPr>
                    <w:color w:val="000000" w:themeColor="text1"/>
                  </w:rPr>
                </w:pPr>
                <w:r>
                  <w:rPr>
                    <w:rFonts w:hint="eastAsia"/>
                    <w:color w:val="000000" w:themeColor="text1"/>
                  </w:rPr>
                  <w:t>期初账面余额</w:t>
                </w:r>
              </w:p>
            </w:tc>
          </w:sdtContent>
        </w:sdt>
      </w:tr>
      <w:tr w:rsidR="00156DD6">
        <w:tc>
          <w:tcPr>
            <w:tcW w:w="1700" w:type="pct"/>
          </w:tcPr>
          <w:p w:rsidR="00156DD6" w:rsidRDefault="00D51F5F">
            <w:pPr>
              <w:rPr>
                <w:highlight w:val="yellow"/>
              </w:rPr>
            </w:pPr>
            <w:r>
              <w:t>合并范围内关联方往来</w:t>
            </w:r>
          </w:p>
        </w:tc>
        <w:tc>
          <w:tcPr>
            <w:tcW w:w="1647" w:type="pct"/>
          </w:tcPr>
          <w:p w:rsidR="00156DD6" w:rsidRDefault="00D51F5F">
            <w:pPr>
              <w:jc w:val="right"/>
            </w:pPr>
            <w:r>
              <w:rPr>
                <w:rFonts w:hint="eastAsia"/>
              </w:rPr>
              <w:t xml:space="preserve"> 291,898,011.26 </w:t>
            </w:r>
          </w:p>
        </w:tc>
        <w:tc>
          <w:tcPr>
            <w:tcW w:w="1653" w:type="pct"/>
          </w:tcPr>
          <w:p w:rsidR="00156DD6" w:rsidRDefault="00D51F5F">
            <w:pPr>
              <w:jc w:val="right"/>
            </w:pPr>
            <w:r>
              <w:rPr>
                <w:rFonts w:hint="eastAsia"/>
              </w:rPr>
              <w:t xml:space="preserve"> 310,861,709.62 </w:t>
            </w:r>
          </w:p>
        </w:tc>
      </w:tr>
      <w:tr w:rsidR="00156DD6">
        <w:tc>
          <w:tcPr>
            <w:tcW w:w="1700" w:type="pct"/>
          </w:tcPr>
          <w:p w:rsidR="00156DD6" w:rsidRDefault="00D51F5F">
            <w:pPr>
              <w:rPr>
                <w:highlight w:val="yellow"/>
              </w:rPr>
            </w:pPr>
            <w:r>
              <w:t>押金及保证金</w:t>
            </w:r>
          </w:p>
        </w:tc>
        <w:tc>
          <w:tcPr>
            <w:tcW w:w="1647" w:type="pct"/>
          </w:tcPr>
          <w:p w:rsidR="00156DD6" w:rsidRDefault="00D51F5F">
            <w:pPr>
              <w:jc w:val="right"/>
            </w:pPr>
            <w:r>
              <w:rPr>
                <w:rFonts w:hint="eastAsia"/>
              </w:rPr>
              <w:t xml:space="preserve"> 17,175,155.59 </w:t>
            </w:r>
          </w:p>
        </w:tc>
        <w:tc>
          <w:tcPr>
            <w:tcW w:w="1653" w:type="pct"/>
          </w:tcPr>
          <w:p w:rsidR="00156DD6" w:rsidRDefault="00D51F5F">
            <w:pPr>
              <w:jc w:val="right"/>
            </w:pPr>
            <w:r>
              <w:rPr>
                <w:rFonts w:hint="eastAsia"/>
              </w:rPr>
              <w:t xml:space="preserve"> 14,577,178.79 </w:t>
            </w:r>
          </w:p>
        </w:tc>
      </w:tr>
      <w:tr w:rsidR="00156DD6">
        <w:tc>
          <w:tcPr>
            <w:tcW w:w="1700" w:type="pct"/>
          </w:tcPr>
          <w:p w:rsidR="00156DD6" w:rsidRDefault="00D51F5F">
            <w:pPr>
              <w:rPr>
                <w:highlight w:val="yellow"/>
              </w:rPr>
            </w:pPr>
            <w:r>
              <w:t>往来及其他</w:t>
            </w:r>
          </w:p>
        </w:tc>
        <w:tc>
          <w:tcPr>
            <w:tcW w:w="1647" w:type="pct"/>
          </w:tcPr>
          <w:p w:rsidR="00156DD6" w:rsidRDefault="00D51F5F">
            <w:pPr>
              <w:jc w:val="right"/>
            </w:pPr>
            <w:r>
              <w:rPr>
                <w:rFonts w:hint="eastAsia"/>
              </w:rPr>
              <w:t xml:space="preserve"> 7,631,111.52 </w:t>
            </w:r>
          </w:p>
        </w:tc>
        <w:tc>
          <w:tcPr>
            <w:tcW w:w="1653" w:type="pct"/>
          </w:tcPr>
          <w:p w:rsidR="00156DD6" w:rsidRDefault="00D51F5F">
            <w:pPr>
              <w:jc w:val="right"/>
            </w:pPr>
            <w:r>
              <w:rPr>
                <w:rFonts w:hint="eastAsia"/>
              </w:rPr>
              <w:t xml:space="preserve"> 2,417,064.11 </w:t>
            </w:r>
          </w:p>
        </w:tc>
      </w:tr>
      <w:tr w:rsidR="00156DD6">
        <w:tc>
          <w:tcPr>
            <w:tcW w:w="1700" w:type="pct"/>
          </w:tcPr>
          <w:p w:rsidR="00156DD6" w:rsidRDefault="00D51F5F">
            <w:pPr>
              <w:jc w:val="center"/>
              <w:rPr>
                <w:color w:val="000000" w:themeColor="text1"/>
              </w:rPr>
            </w:pPr>
            <w:r>
              <w:rPr>
                <w:color w:val="000000" w:themeColor="text1"/>
              </w:rPr>
              <w:t>合计</w:t>
            </w:r>
          </w:p>
        </w:tc>
        <w:tc>
          <w:tcPr>
            <w:tcW w:w="1647" w:type="pct"/>
          </w:tcPr>
          <w:p w:rsidR="00156DD6" w:rsidRDefault="00D51F5F">
            <w:pPr>
              <w:jc w:val="right"/>
            </w:pPr>
            <w:r>
              <w:rPr>
                <w:rFonts w:hint="eastAsia"/>
              </w:rPr>
              <w:t xml:space="preserve"> 316,704,278.37 </w:t>
            </w:r>
          </w:p>
        </w:tc>
        <w:tc>
          <w:tcPr>
            <w:tcW w:w="1653" w:type="pct"/>
          </w:tcPr>
          <w:p w:rsidR="00156DD6" w:rsidRDefault="00D51F5F">
            <w:pPr>
              <w:jc w:val="right"/>
            </w:pPr>
            <w:r>
              <w:rPr>
                <w:rFonts w:hint="eastAsia"/>
              </w:rPr>
              <w:t xml:space="preserve"> 327,855,952.52 </w:t>
            </w:r>
          </w:p>
        </w:tc>
      </w:tr>
    </w:tbl>
    <w:p w:rsidR="00156DD6" w:rsidRDefault="00D51F5F">
      <w:pPr>
        <w:pStyle w:val="Style48"/>
        <w:numPr>
          <w:ilvl w:val="0"/>
          <w:numId w:val="113"/>
        </w:numPr>
      </w:pPr>
      <w:r>
        <w:rPr>
          <w:rFonts w:hint="eastAsia"/>
        </w:rPr>
        <w:t>坏账准备计提情况</w:t>
      </w:r>
    </w:p>
    <w:sdt>
      <w:sdtPr>
        <w:rPr>
          <w:color w:val="000000" w:themeColor="text1"/>
        </w:rPr>
        <w:alias w:val="是否适用：母公司其他应收款坏账准备调节表[双击切换]"/>
        <w:tag w:val="_GBC_550996ad46c8493eb98c011d7acf7dfb"/>
        <w:id w:val="54302156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autoSpaceDE w:val="0"/>
        <w:autoSpaceDN w:val="0"/>
        <w:adjustRightInd w:val="0"/>
        <w:ind w:rightChars="50" w:right="105"/>
        <w:jc w:val="right"/>
        <w:rPr>
          <w:color w:val="000000" w:themeColor="text1"/>
        </w:rPr>
      </w:pPr>
      <w:r>
        <w:rPr>
          <w:rFonts w:hint="eastAsia"/>
          <w:color w:val="000000" w:themeColor="text1"/>
        </w:rPr>
        <w:t>单位：</w:t>
      </w:r>
      <w:sdt>
        <w:sdtPr>
          <w:rPr>
            <w:rFonts w:hint="eastAsia"/>
            <w:color w:val="000000" w:themeColor="text1"/>
          </w:rPr>
          <w:alias w:val="单位：母公司其他应收款坏账准备调节表"/>
          <w:tag w:val="_GBC_10c7491cbac54cf6a1a375367db16baf"/>
          <w:id w:val="-20115220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其他应收款坏账准备调节表"/>
          <w:tag w:val="_GBC_01762fded69841c1b87d684f3bcfb97f"/>
          <w:id w:val="-2626014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156DD6">
        <w:sdt>
          <w:sdtPr>
            <w:tag w:val="_PLD_a620ef8c0fe0407b955c4f58530e0b21"/>
            <w:id w:val="1960219628"/>
          </w:sdtPr>
          <w:sdtEndPr/>
          <w:sdtContent>
            <w:tc>
              <w:tcPr>
                <w:tcW w:w="1001" w:type="pct"/>
                <w:vMerge w:val="restar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坏账准备</w:t>
                </w:r>
              </w:p>
            </w:tc>
          </w:sdtContent>
        </w:sdt>
        <w:sdt>
          <w:sdtPr>
            <w:tag w:val="_PLD_8699e9827a744831bf2fdadfa1ac52e1"/>
            <w:id w:val="285553665"/>
          </w:sdtPr>
          <w:sdtEndPr/>
          <w:sdtContent>
            <w:tc>
              <w:tcPr>
                <w:tcW w:w="862" w:type="pct"/>
                <w:vAlign w:val="center"/>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第一阶段</w:t>
                </w:r>
              </w:p>
            </w:tc>
          </w:sdtContent>
        </w:sdt>
        <w:sdt>
          <w:sdtPr>
            <w:tag w:val="_PLD_d2f5c6d4cf0d4a86b39dc41f67fe87db"/>
            <w:id w:val="1583256546"/>
          </w:sdtPr>
          <w:sdtEndPr/>
          <w:sdtContent>
            <w:tc>
              <w:tcPr>
                <w:tcW w:w="1097" w:type="pct"/>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第二阶段</w:t>
                </w:r>
              </w:p>
            </w:tc>
          </w:sdtContent>
        </w:sdt>
        <w:sdt>
          <w:sdtPr>
            <w:tag w:val="_PLD_a09c7daba8c14a6498c7b83b77c97c72"/>
            <w:id w:val="-1604728674"/>
          </w:sdtPr>
          <w:sdtEndPr/>
          <w:sdtContent>
            <w:tc>
              <w:tcPr>
                <w:tcW w:w="1097" w:type="pct"/>
              </w:tcPr>
              <w:p w:rsidR="00156DD6" w:rsidRDefault="00D51F5F">
                <w:pPr>
                  <w:pStyle w:val="Style128"/>
                  <w:spacing w:after="0"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第三阶段</w:t>
                </w:r>
              </w:p>
            </w:tc>
          </w:sdtContent>
        </w:sdt>
        <w:sdt>
          <w:sdtPr>
            <w:tag w:val="_PLD_1ec064a14a75404dac24adc5e6ddd253"/>
            <w:id w:val="-848863258"/>
          </w:sdtPr>
          <w:sdtEndPr/>
          <w:sdtContent>
            <w:tc>
              <w:tcPr>
                <w:tcW w:w="943" w:type="pct"/>
                <w:vMerge w:val="restart"/>
                <w:vAlign w:val="center"/>
              </w:tcPr>
              <w:p w:rsidR="00156DD6" w:rsidRDefault="00D51F5F">
                <w:pPr>
                  <w:pStyle w:val="Style128"/>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合计</w:t>
                </w:r>
              </w:p>
            </w:tc>
          </w:sdtContent>
        </w:sdt>
      </w:tr>
      <w:tr w:rsidR="00156DD6">
        <w:tc>
          <w:tcPr>
            <w:tcW w:w="1001" w:type="pct"/>
            <w:vMerge/>
            <w:vAlign w:val="center"/>
          </w:tcPr>
          <w:p w:rsidR="00156DD6" w:rsidRDefault="00156DD6">
            <w:pPr>
              <w:jc w:val="center"/>
              <w:rPr>
                <w:color w:val="000000" w:themeColor="text1"/>
              </w:rPr>
            </w:pPr>
          </w:p>
        </w:tc>
        <w:sdt>
          <w:sdtPr>
            <w:tag w:val="_PLD_506da2a2f1db4ead819aa958edd702e2"/>
            <w:id w:val="1310128974"/>
          </w:sdtPr>
          <w:sdtEndPr/>
          <w:sdtContent>
            <w:tc>
              <w:tcPr>
                <w:tcW w:w="862" w:type="pct"/>
                <w:vAlign w:val="center"/>
              </w:tcPr>
              <w:p w:rsidR="00156DD6" w:rsidRDefault="00D51F5F">
                <w:pPr>
                  <w:pStyle w:val="Style128"/>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未来</w:t>
                </w:r>
                <w:r>
                  <w:rPr>
                    <w:rFonts w:ascii="宋体" w:eastAsia="宋体" w:hAnsi="宋体" w:cs="宋体" w:hint="eastAsia"/>
                    <w:color w:val="000000" w:themeColor="text1"/>
                    <w:sz w:val="21"/>
                    <w:szCs w:val="21"/>
                    <w:lang w:eastAsia="zh-CN"/>
                  </w:rPr>
                  <w:t>12</w:t>
                </w:r>
                <w:r>
                  <w:rPr>
                    <w:rFonts w:ascii="宋体" w:eastAsia="宋体" w:hAnsi="宋体" w:cs="宋体" w:hint="eastAsia"/>
                    <w:color w:val="000000" w:themeColor="text1"/>
                    <w:sz w:val="21"/>
                    <w:szCs w:val="21"/>
                    <w:lang w:eastAsia="zh-CN"/>
                  </w:rPr>
                  <w:t>个月预期信用损失</w:t>
                </w:r>
              </w:p>
            </w:tc>
          </w:sdtContent>
        </w:sdt>
        <w:sdt>
          <w:sdtPr>
            <w:tag w:val="_PLD_23a6590eef0649d4af75d4845c12f263"/>
            <w:id w:val="1159498466"/>
          </w:sdtPr>
          <w:sdtEndPr/>
          <w:sdtContent>
            <w:tc>
              <w:tcPr>
                <w:tcW w:w="1097" w:type="pct"/>
                <w:vAlign w:val="center"/>
              </w:tcPr>
              <w:p w:rsidR="00156DD6" w:rsidRDefault="00D51F5F">
                <w:pPr>
                  <w:pStyle w:val="Style128"/>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w:t>
                </w: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未发生信用减值</w:t>
                </w:r>
                <w:r>
                  <w:rPr>
                    <w:rFonts w:ascii="宋体" w:eastAsia="宋体" w:hAnsi="宋体" w:cs="宋体" w:hint="eastAsia"/>
                    <w:color w:val="000000" w:themeColor="text1"/>
                    <w:sz w:val="21"/>
                    <w:szCs w:val="21"/>
                    <w:lang w:eastAsia="zh-CN"/>
                  </w:rPr>
                  <w:t>)</w:t>
                </w:r>
              </w:p>
            </w:tc>
          </w:sdtContent>
        </w:sdt>
        <w:sdt>
          <w:sdtPr>
            <w:tag w:val="_PLD_44518f4265ac43078f96c79efe9dd487"/>
            <w:id w:val="1640840674"/>
          </w:sdtPr>
          <w:sdtEndPr/>
          <w:sdtContent>
            <w:tc>
              <w:tcPr>
                <w:tcW w:w="1097" w:type="pct"/>
                <w:vAlign w:val="center"/>
              </w:tcPr>
              <w:p w:rsidR="00156DD6" w:rsidRDefault="00D51F5F">
                <w:pPr>
                  <w:pStyle w:val="Style128"/>
                  <w:spacing w:line="240" w:lineRule="auto"/>
                  <w:jc w:val="center"/>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整个存续期预期信用损失</w:t>
                </w: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已发生信用减值</w:t>
                </w:r>
                <w:r>
                  <w:rPr>
                    <w:rFonts w:ascii="宋体" w:eastAsia="宋体" w:hAnsi="宋体" w:cs="宋体" w:hint="eastAsia"/>
                    <w:color w:val="000000" w:themeColor="text1"/>
                    <w:sz w:val="21"/>
                    <w:szCs w:val="21"/>
                    <w:lang w:eastAsia="zh-CN"/>
                  </w:rPr>
                  <w:t>)</w:t>
                </w:r>
              </w:p>
            </w:tc>
          </w:sdtContent>
        </w:sdt>
        <w:tc>
          <w:tcPr>
            <w:tcW w:w="943" w:type="pct"/>
            <w:vMerge/>
          </w:tcPr>
          <w:p w:rsidR="00156DD6" w:rsidRDefault="00156DD6">
            <w:pPr>
              <w:jc w:val="center"/>
              <w:rPr>
                <w:color w:val="000000" w:themeColor="text1"/>
              </w:rPr>
            </w:pPr>
          </w:p>
        </w:tc>
      </w:tr>
      <w:tr w:rsidR="00156DD6">
        <w:tc>
          <w:tcPr>
            <w:tcW w:w="1001"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color w:val="000000" w:themeColor="text1"/>
                <w:sz w:val="21"/>
                <w:szCs w:val="21"/>
                <w:lang w:eastAsia="zh-CN"/>
              </w:rPr>
              <w:t>2025</w:t>
            </w:r>
            <w:r>
              <w:rPr>
                <w:rFonts w:ascii="宋体" w:eastAsia="宋体" w:hAnsi="宋体" w:cs="宋体"/>
                <w:color w:val="000000" w:themeColor="text1"/>
                <w:sz w:val="21"/>
                <w:szCs w:val="21"/>
                <w:lang w:eastAsia="zh-CN"/>
              </w:rPr>
              <w:t>年</w:t>
            </w:r>
            <w:r>
              <w:rPr>
                <w:rFonts w:ascii="宋体" w:eastAsia="宋体" w:hAnsi="宋体" w:cs="宋体" w:hint="eastAsia"/>
                <w:color w:val="000000" w:themeColor="text1"/>
                <w:sz w:val="21"/>
                <w:szCs w:val="21"/>
                <w:lang w:eastAsia="zh-CN"/>
              </w:rPr>
              <w:t>1</w:t>
            </w:r>
            <w:r>
              <w:rPr>
                <w:rFonts w:ascii="宋体" w:eastAsia="宋体" w:hAnsi="宋体" w:cs="宋体" w:hint="eastAsia"/>
                <w:color w:val="000000" w:themeColor="text1"/>
                <w:sz w:val="21"/>
                <w:szCs w:val="21"/>
                <w:lang w:eastAsia="zh-CN"/>
              </w:rPr>
              <w:t>月</w:t>
            </w:r>
            <w:r>
              <w:rPr>
                <w:rFonts w:ascii="宋体" w:eastAsia="宋体" w:hAnsi="宋体" w:cs="宋体" w:hint="eastAsia"/>
                <w:color w:val="000000" w:themeColor="text1"/>
                <w:sz w:val="21"/>
                <w:szCs w:val="21"/>
                <w:lang w:eastAsia="zh-CN"/>
              </w:rPr>
              <w:t>1</w:t>
            </w:r>
            <w:r>
              <w:rPr>
                <w:rFonts w:ascii="宋体" w:eastAsia="宋体" w:hAnsi="宋体" w:cs="宋体" w:hint="eastAsia"/>
                <w:color w:val="000000" w:themeColor="text1"/>
                <w:sz w:val="21"/>
                <w:szCs w:val="21"/>
                <w:lang w:eastAsia="zh-CN"/>
              </w:rPr>
              <w:t>日余额</w:t>
            </w:r>
          </w:p>
        </w:tc>
        <w:tc>
          <w:tcPr>
            <w:tcW w:w="862" w:type="pct"/>
            <w:vAlign w:val="center"/>
          </w:tcPr>
          <w:p w:rsidR="00156DD6" w:rsidRDefault="00D51F5F">
            <w:pPr>
              <w:jc w:val="right"/>
            </w:pPr>
            <w:r>
              <w:t>600,831.22</w:t>
            </w:r>
          </w:p>
        </w:tc>
        <w:tc>
          <w:tcPr>
            <w:tcW w:w="1097" w:type="pct"/>
            <w:vAlign w:val="center"/>
          </w:tcPr>
          <w:p w:rsidR="00156DD6" w:rsidRDefault="00D51F5F">
            <w:pPr>
              <w:jc w:val="right"/>
            </w:pPr>
            <w:r>
              <w:t>214,906.15</w:t>
            </w:r>
          </w:p>
        </w:tc>
        <w:tc>
          <w:tcPr>
            <w:tcW w:w="1097" w:type="pct"/>
            <w:vAlign w:val="center"/>
          </w:tcPr>
          <w:p w:rsidR="00156DD6" w:rsidRDefault="00D51F5F">
            <w:pPr>
              <w:jc w:val="right"/>
            </w:pPr>
            <w:r>
              <w:t>1,486,495.24</w:t>
            </w:r>
          </w:p>
        </w:tc>
        <w:tc>
          <w:tcPr>
            <w:tcW w:w="943" w:type="pct"/>
            <w:vAlign w:val="center"/>
          </w:tcPr>
          <w:p w:rsidR="00156DD6" w:rsidRDefault="00D51F5F">
            <w:pPr>
              <w:jc w:val="right"/>
            </w:pPr>
            <w:r>
              <w:t>2,302,232.61</w:t>
            </w:r>
          </w:p>
        </w:tc>
      </w:tr>
      <w:tr w:rsidR="00156DD6">
        <w:tc>
          <w:tcPr>
            <w:tcW w:w="1001"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2025</w:t>
            </w:r>
            <w:r>
              <w:rPr>
                <w:rFonts w:ascii="宋体" w:eastAsia="宋体" w:hAnsi="宋体" w:cs="宋体" w:hint="eastAsia"/>
                <w:color w:val="000000" w:themeColor="text1"/>
                <w:sz w:val="21"/>
                <w:szCs w:val="21"/>
                <w:lang w:eastAsia="zh-CN"/>
              </w:rPr>
              <w:t>年</w:t>
            </w:r>
            <w:r>
              <w:rPr>
                <w:rFonts w:ascii="宋体" w:eastAsia="宋体" w:hAnsi="宋体" w:cs="宋体" w:hint="eastAsia"/>
                <w:color w:val="000000" w:themeColor="text1"/>
                <w:sz w:val="21"/>
                <w:szCs w:val="21"/>
                <w:lang w:eastAsia="zh-CN"/>
              </w:rPr>
              <w:t>1</w:t>
            </w:r>
            <w:r>
              <w:rPr>
                <w:rFonts w:ascii="宋体" w:eastAsia="宋体" w:hAnsi="宋体" w:cs="宋体" w:hint="eastAsia"/>
                <w:color w:val="000000" w:themeColor="text1"/>
                <w:sz w:val="21"/>
                <w:szCs w:val="21"/>
                <w:lang w:eastAsia="zh-CN"/>
              </w:rPr>
              <w:t>月</w:t>
            </w:r>
            <w:r>
              <w:rPr>
                <w:rFonts w:ascii="宋体" w:eastAsia="宋体" w:hAnsi="宋体" w:cs="宋体" w:hint="eastAsia"/>
                <w:color w:val="000000" w:themeColor="text1"/>
                <w:sz w:val="21"/>
                <w:szCs w:val="21"/>
                <w:lang w:eastAsia="zh-CN"/>
              </w:rPr>
              <w:t>1</w:t>
            </w:r>
            <w:r>
              <w:rPr>
                <w:rFonts w:ascii="宋体" w:eastAsia="宋体" w:hAnsi="宋体" w:cs="宋体" w:hint="eastAsia"/>
                <w:color w:val="000000" w:themeColor="text1"/>
                <w:sz w:val="21"/>
                <w:szCs w:val="21"/>
                <w:lang w:eastAsia="zh-CN"/>
              </w:rPr>
              <w:t>日余额在本期</w:t>
            </w:r>
          </w:p>
        </w:tc>
        <w:tc>
          <w:tcPr>
            <w:tcW w:w="862" w:type="pct"/>
          </w:tcPr>
          <w:p w:rsidR="00156DD6" w:rsidRDefault="00156DD6">
            <w:pPr>
              <w:jc w:val="right"/>
            </w:pPr>
          </w:p>
        </w:tc>
        <w:tc>
          <w:tcPr>
            <w:tcW w:w="1097" w:type="pct"/>
          </w:tcPr>
          <w:p w:rsidR="00156DD6" w:rsidRDefault="00156DD6">
            <w:pPr>
              <w:jc w:val="right"/>
            </w:pPr>
          </w:p>
        </w:tc>
        <w:tc>
          <w:tcPr>
            <w:tcW w:w="1097" w:type="pct"/>
          </w:tcPr>
          <w:p w:rsidR="00156DD6" w:rsidRDefault="00156DD6">
            <w:pPr>
              <w:jc w:val="right"/>
            </w:pPr>
          </w:p>
        </w:tc>
        <w:tc>
          <w:tcPr>
            <w:tcW w:w="943" w:type="pct"/>
          </w:tcPr>
          <w:p w:rsidR="00156DD6" w:rsidRDefault="00156DD6">
            <w:pPr>
              <w:jc w:val="right"/>
            </w:pPr>
          </w:p>
        </w:tc>
      </w:tr>
      <w:tr w:rsidR="00156DD6">
        <w:tc>
          <w:tcPr>
            <w:tcW w:w="1001"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转入第二阶段</w:t>
            </w:r>
          </w:p>
        </w:tc>
        <w:tc>
          <w:tcPr>
            <w:tcW w:w="862" w:type="pct"/>
            <w:vAlign w:val="center"/>
          </w:tcPr>
          <w:p w:rsidR="00156DD6" w:rsidRDefault="00D51F5F">
            <w:pPr>
              <w:jc w:val="right"/>
            </w:pPr>
            <w:r>
              <w:t xml:space="preserve"> -25,161.43 </w:t>
            </w:r>
          </w:p>
        </w:tc>
        <w:tc>
          <w:tcPr>
            <w:tcW w:w="1097" w:type="pct"/>
            <w:vAlign w:val="center"/>
          </w:tcPr>
          <w:p w:rsidR="00156DD6" w:rsidRDefault="00D51F5F">
            <w:pPr>
              <w:jc w:val="right"/>
            </w:pPr>
            <w:r>
              <w:t xml:space="preserve"> 25,161.43 </w:t>
            </w:r>
          </w:p>
        </w:tc>
        <w:tc>
          <w:tcPr>
            <w:tcW w:w="1097" w:type="pct"/>
            <w:vAlign w:val="center"/>
          </w:tcPr>
          <w:p w:rsidR="00156DD6" w:rsidRDefault="00156DD6">
            <w:pPr>
              <w:jc w:val="right"/>
            </w:pPr>
          </w:p>
        </w:tc>
        <w:tc>
          <w:tcPr>
            <w:tcW w:w="943" w:type="pct"/>
            <w:vAlign w:val="center"/>
          </w:tcPr>
          <w:p w:rsidR="00156DD6" w:rsidRDefault="00156DD6">
            <w:pPr>
              <w:jc w:val="right"/>
            </w:pPr>
          </w:p>
        </w:tc>
      </w:tr>
      <w:tr w:rsidR="00156DD6">
        <w:tc>
          <w:tcPr>
            <w:tcW w:w="1001"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转入第三阶段</w:t>
            </w:r>
          </w:p>
        </w:tc>
        <w:tc>
          <w:tcPr>
            <w:tcW w:w="862" w:type="pct"/>
            <w:vAlign w:val="center"/>
          </w:tcPr>
          <w:p w:rsidR="00156DD6" w:rsidRDefault="00156DD6">
            <w:pPr>
              <w:jc w:val="right"/>
            </w:pPr>
          </w:p>
        </w:tc>
        <w:tc>
          <w:tcPr>
            <w:tcW w:w="1097" w:type="pct"/>
            <w:vAlign w:val="center"/>
          </w:tcPr>
          <w:p w:rsidR="00156DD6" w:rsidRDefault="00D51F5F">
            <w:pPr>
              <w:jc w:val="right"/>
            </w:pPr>
            <w:r>
              <w:t xml:space="preserve"> -34,357.26 </w:t>
            </w:r>
          </w:p>
        </w:tc>
        <w:tc>
          <w:tcPr>
            <w:tcW w:w="1097" w:type="pct"/>
            <w:vAlign w:val="center"/>
          </w:tcPr>
          <w:p w:rsidR="00156DD6" w:rsidRDefault="00D51F5F">
            <w:pPr>
              <w:jc w:val="right"/>
            </w:pPr>
            <w:r>
              <w:t xml:space="preserve"> 34,357.26 </w:t>
            </w:r>
          </w:p>
        </w:tc>
        <w:tc>
          <w:tcPr>
            <w:tcW w:w="943" w:type="pct"/>
            <w:vAlign w:val="center"/>
          </w:tcPr>
          <w:p w:rsidR="00156DD6" w:rsidRDefault="00156DD6">
            <w:pPr>
              <w:jc w:val="right"/>
            </w:pPr>
          </w:p>
        </w:tc>
      </w:tr>
      <w:tr w:rsidR="00156DD6">
        <w:tc>
          <w:tcPr>
            <w:tcW w:w="1001"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转回第二阶段</w:t>
            </w:r>
          </w:p>
        </w:tc>
        <w:tc>
          <w:tcPr>
            <w:tcW w:w="862" w:type="pct"/>
            <w:vAlign w:val="center"/>
          </w:tcPr>
          <w:p w:rsidR="00156DD6" w:rsidRDefault="00156DD6">
            <w:pPr>
              <w:jc w:val="right"/>
            </w:pPr>
          </w:p>
        </w:tc>
        <w:tc>
          <w:tcPr>
            <w:tcW w:w="1097" w:type="pct"/>
            <w:vAlign w:val="center"/>
          </w:tcPr>
          <w:p w:rsidR="00156DD6" w:rsidRDefault="00156DD6">
            <w:pPr>
              <w:jc w:val="right"/>
            </w:pPr>
          </w:p>
        </w:tc>
        <w:tc>
          <w:tcPr>
            <w:tcW w:w="1097" w:type="pct"/>
            <w:vAlign w:val="center"/>
          </w:tcPr>
          <w:p w:rsidR="00156DD6" w:rsidRDefault="00156DD6">
            <w:pPr>
              <w:jc w:val="right"/>
            </w:pPr>
          </w:p>
        </w:tc>
        <w:tc>
          <w:tcPr>
            <w:tcW w:w="943" w:type="pct"/>
            <w:vAlign w:val="center"/>
          </w:tcPr>
          <w:p w:rsidR="00156DD6" w:rsidRDefault="00156DD6">
            <w:pPr>
              <w:jc w:val="right"/>
            </w:pPr>
          </w:p>
        </w:tc>
      </w:tr>
      <w:tr w:rsidR="00156DD6">
        <w:tc>
          <w:tcPr>
            <w:tcW w:w="1001"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w:t>
            </w:r>
            <w:r>
              <w:rPr>
                <w:rFonts w:ascii="宋体" w:eastAsia="宋体" w:hAnsi="宋体" w:cs="宋体" w:hint="eastAsia"/>
                <w:color w:val="000000" w:themeColor="text1"/>
                <w:sz w:val="21"/>
                <w:szCs w:val="21"/>
                <w:lang w:eastAsia="zh-CN"/>
              </w:rPr>
              <w:t>转回第一阶段</w:t>
            </w:r>
          </w:p>
        </w:tc>
        <w:tc>
          <w:tcPr>
            <w:tcW w:w="862" w:type="pct"/>
            <w:vAlign w:val="center"/>
          </w:tcPr>
          <w:p w:rsidR="00156DD6" w:rsidRDefault="00156DD6">
            <w:pPr>
              <w:jc w:val="right"/>
            </w:pPr>
          </w:p>
        </w:tc>
        <w:tc>
          <w:tcPr>
            <w:tcW w:w="1097" w:type="pct"/>
            <w:vAlign w:val="center"/>
          </w:tcPr>
          <w:p w:rsidR="00156DD6" w:rsidRDefault="00156DD6">
            <w:pPr>
              <w:jc w:val="right"/>
            </w:pPr>
          </w:p>
        </w:tc>
        <w:tc>
          <w:tcPr>
            <w:tcW w:w="1097" w:type="pct"/>
            <w:vAlign w:val="center"/>
          </w:tcPr>
          <w:p w:rsidR="00156DD6" w:rsidRDefault="00156DD6">
            <w:pPr>
              <w:jc w:val="right"/>
            </w:pPr>
          </w:p>
        </w:tc>
        <w:tc>
          <w:tcPr>
            <w:tcW w:w="943" w:type="pct"/>
            <w:vAlign w:val="center"/>
          </w:tcPr>
          <w:p w:rsidR="00156DD6" w:rsidRDefault="00156DD6">
            <w:pPr>
              <w:jc w:val="right"/>
            </w:pPr>
          </w:p>
        </w:tc>
      </w:tr>
      <w:tr w:rsidR="00156DD6">
        <w:tc>
          <w:tcPr>
            <w:tcW w:w="1001"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本期计提</w:t>
            </w:r>
          </w:p>
        </w:tc>
        <w:tc>
          <w:tcPr>
            <w:tcW w:w="862" w:type="pct"/>
            <w:vAlign w:val="center"/>
          </w:tcPr>
          <w:p w:rsidR="00156DD6" w:rsidRDefault="00D51F5F">
            <w:pPr>
              <w:jc w:val="right"/>
            </w:pPr>
            <w:r>
              <w:t xml:space="preserve"> 187,988.80 </w:t>
            </w:r>
          </w:p>
        </w:tc>
        <w:tc>
          <w:tcPr>
            <w:tcW w:w="1097" w:type="pct"/>
            <w:vAlign w:val="center"/>
          </w:tcPr>
          <w:p w:rsidR="00156DD6" w:rsidRDefault="00D51F5F">
            <w:pPr>
              <w:jc w:val="right"/>
            </w:pPr>
            <w:r>
              <w:t xml:space="preserve"> -28,556.51 </w:t>
            </w:r>
          </w:p>
        </w:tc>
        <w:tc>
          <w:tcPr>
            <w:tcW w:w="1097" w:type="pct"/>
            <w:vAlign w:val="center"/>
          </w:tcPr>
          <w:p w:rsidR="00156DD6" w:rsidRDefault="00D51F5F">
            <w:pPr>
              <w:jc w:val="right"/>
            </w:pPr>
            <w:r>
              <w:t xml:space="preserve"> 146,220.00 </w:t>
            </w:r>
          </w:p>
        </w:tc>
        <w:tc>
          <w:tcPr>
            <w:tcW w:w="943" w:type="pct"/>
            <w:vAlign w:val="center"/>
          </w:tcPr>
          <w:p w:rsidR="00156DD6" w:rsidRDefault="00D51F5F">
            <w:pPr>
              <w:jc w:val="right"/>
            </w:pPr>
            <w:r>
              <w:t xml:space="preserve"> 305,652.29 </w:t>
            </w:r>
          </w:p>
        </w:tc>
      </w:tr>
      <w:tr w:rsidR="00156DD6">
        <w:tc>
          <w:tcPr>
            <w:tcW w:w="1001" w:type="pct"/>
            <w:vAlign w:val="center"/>
          </w:tcPr>
          <w:p w:rsidR="00156DD6" w:rsidRDefault="00D51F5F">
            <w:pPr>
              <w:pStyle w:val="Style128"/>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本期转回</w:t>
            </w:r>
          </w:p>
        </w:tc>
        <w:tc>
          <w:tcPr>
            <w:tcW w:w="862" w:type="pct"/>
            <w:vAlign w:val="center"/>
          </w:tcPr>
          <w:p w:rsidR="00156DD6" w:rsidRDefault="00156DD6">
            <w:pPr>
              <w:jc w:val="right"/>
            </w:pPr>
          </w:p>
        </w:tc>
        <w:tc>
          <w:tcPr>
            <w:tcW w:w="1097" w:type="pct"/>
            <w:vAlign w:val="center"/>
          </w:tcPr>
          <w:p w:rsidR="00156DD6" w:rsidRDefault="00156DD6">
            <w:pPr>
              <w:jc w:val="right"/>
            </w:pPr>
          </w:p>
        </w:tc>
        <w:tc>
          <w:tcPr>
            <w:tcW w:w="1097" w:type="pct"/>
            <w:vAlign w:val="center"/>
          </w:tcPr>
          <w:p w:rsidR="00156DD6" w:rsidRDefault="00156DD6">
            <w:pPr>
              <w:jc w:val="right"/>
            </w:pPr>
          </w:p>
        </w:tc>
        <w:tc>
          <w:tcPr>
            <w:tcW w:w="943" w:type="pct"/>
            <w:vAlign w:val="center"/>
          </w:tcPr>
          <w:p w:rsidR="00156DD6" w:rsidRDefault="00156DD6">
            <w:pPr>
              <w:jc w:val="right"/>
            </w:pPr>
          </w:p>
        </w:tc>
      </w:tr>
      <w:tr w:rsidR="00156DD6">
        <w:tc>
          <w:tcPr>
            <w:tcW w:w="1001"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本期转销</w:t>
            </w:r>
          </w:p>
        </w:tc>
        <w:tc>
          <w:tcPr>
            <w:tcW w:w="862" w:type="pct"/>
            <w:vAlign w:val="center"/>
          </w:tcPr>
          <w:p w:rsidR="00156DD6" w:rsidRDefault="00156DD6">
            <w:pPr>
              <w:jc w:val="right"/>
            </w:pPr>
          </w:p>
        </w:tc>
        <w:tc>
          <w:tcPr>
            <w:tcW w:w="1097" w:type="pct"/>
            <w:vAlign w:val="center"/>
          </w:tcPr>
          <w:p w:rsidR="00156DD6" w:rsidRDefault="00156DD6">
            <w:pPr>
              <w:jc w:val="right"/>
            </w:pPr>
          </w:p>
        </w:tc>
        <w:tc>
          <w:tcPr>
            <w:tcW w:w="1097" w:type="pct"/>
            <w:vAlign w:val="center"/>
          </w:tcPr>
          <w:p w:rsidR="00156DD6" w:rsidRDefault="00156DD6">
            <w:pPr>
              <w:jc w:val="right"/>
            </w:pPr>
          </w:p>
        </w:tc>
        <w:tc>
          <w:tcPr>
            <w:tcW w:w="943" w:type="pct"/>
            <w:vAlign w:val="center"/>
          </w:tcPr>
          <w:p w:rsidR="00156DD6" w:rsidRDefault="00156DD6">
            <w:pPr>
              <w:jc w:val="right"/>
            </w:pPr>
          </w:p>
        </w:tc>
      </w:tr>
      <w:tr w:rsidR="00156DD6">
        <w:tc>
          <w:tcPr>
            <w:tcW w:w="1001" w:type="pct"/>
            <w:vAlign w:val="center"/>
          </w:tcPr>
          <w:p w:rsidR="00156DD6" w:rsidRDefault="00D51F5F">
            <w:pPr>
              <w:pStyle w:val="Style128"/>
              <w:spacing w:after="0" w:line="24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lang w:eastAsia="zh-CN"/>
              </w:rPr>
              <w:t>本期核销</w:t>
            </w:r>
          </w:p>
        </w:tc>
        <w:tc>
          <w:tcPr>
            <w:tcW w:w="862" w:type="pct"/>
            <w:vAlign w:val="center"/>
          </w:tcPr>
          <w:p w:rsidR="00156DD6" w:rsidRDefault="00156DD6">
            <w:pPr>
              <w:jc w:val="right"/>
            </w:pPr>
          </w:p>
        </w:tc>
        <w:tc>
          <w:tcPr>
            <w:tcW w:w="1097" w:type="pct"/>
            <w:vAlign w:val="center"/>
          </w:tcPr>
          <w:p w:rsidR="00156DD6" w:rsidRDefault="00156DD6">
            <w:pPr>
              <w:jc w:val="right"/>
            </w:pPr>
          </w:p>
        </w:tc>
        <w:tc>
          <w:tcPr>
            <w:tcW w:w="1097" w:type="pct"/>
            <w:vAlign w:val="center"/>
          </w:tcPr>
          <w:p w:rsidR="00156DD6" w:rsidRDefault="00156DD6">
            <w:pPr>
              <w:jc w:val="right"/>
            </w:pPr>
          </w:p>
        </w:tc>
        <w:tc>
          <w:tcPr>
            <w:tcW w:w="943" w:type="pct"/>
            <w:vAlign w:val="center"/>
          </w:tcPr>
          <w:p w:rsidR="00156DD6" w:rsidRDefault="00156DD6">
            <w:pPr>
              <w:jc w:val="right"/>
            </w:pPr>
          </w:p>
        </w:tc>
      </w:tr>
      <w:tr w:rsidR="00156DD6">
        <w:tc>
          <w:tcPr>
            <w:tcW w:w="1001" w:type="pct"/>
            <w:vAlign w:val="center"/>
          </w:tcPr>
          <w:p w:rsidR="00156DD6" w:rsidRDefault="00D51F5F">
            <w:pPr>
              <w:pStyle w:val="Style128"/>
              <w:spacing w:after="0" w:line="240" w:lineRule="auto"/>
              <w:jc w:val="both"/>
              <w:rPr>
                <w:rFonts w:ascii="宋体" w:eastAsia="宋体" w:hAnsi="宋体" w:cs="宋体"/>
                <w:color w:val="000000" w:themeColor="text1"/>
                <w:sz w:val="21"/>
                <w:szCs w:val="21"/>
                <w:lang w:eastAsia="zh-CN"/>
              </w:rPr>
            </w:pPr>
            <w:r>
              <w:rPr>
                <w:rFonts w:ascii="宋体" w:eastAsia="宋体" w:hAnsi="宋体" w:cs="宋体" w:hint="eastAsia"/>
                <w:color w:val="000000" w:themeColor="text1"/>
                <w:sz w:val="21"/>
                <w:szCs w:val="21"/>
                <w:lang w:eastAsia="zh-CN"/>
              </w:rPr>
              <w:t>其他变动</w:t>
            </w:r>
          </w:p>
        </w:tc>
        <w:tc>
          <w:tcPr>
            <w:tcW w:w="862" w:type="pct"/>
            <w:vAlign w:val="center"/>
          </w:tcPr>
          <w:p w:rsidR="00156DD6" w:rsidRDefault="00156DD6">
            <w:pPr>
              <w:jc w:val="right"/>
            </w:pPr>
          </w:p>
        </w:tc>
        <w:tc>
          <w:tcPr>
            <w:tcW w:w="1097" w:type="pct"/>
            <w:vAlign w:val="center"/>
          </w:tcPr>
          <w:p w:rsidR="00156DD6" w:rsidRDefault="00156DD6">
            <w:pPr>
              <w:jc w:val="right"/>
            </w:pPr>
          </w:p>
        </w:tc>
        <w:tc>
          <w:tcPr>
            <w:tcW w:w="1097" w:type="pct"/>
            <w:vAlign w:val="center"/>
          </w:tcPr>
          <w:p w:rsidR="00156DD6" w:rsidRDefault="00156DD6">
            <w:pPr>
              <w:jc w:val="right"/>
            </w:pPr>
          </w:p>
        </w:tc>
        <w:tc>
          <w:tcPr>
            <w:tcW w:w="943" w:type="pct"/>
            <w:vAlign w:val="center"/>
          </w:tcPr>
          <w:p w:rsidR="00156DD6" w:rsidRDefault="00156DD6">
            <w:pPr>
              <w:jc w:val="right"/>
            </w:pPr>
          </w:p>
        </w:tc>
      </w:tr>
      <w:tr w:rsidR="00156DD6">
        <w:tc>
          <w:tcPr>
            <w:tcW w:w="1001" w:type="pct"/>
            <w:vAlign w:val="center"/>
          </w:tcPr>
          <w:p w:rsidR="00156DD6" w:rsidRDefault="00D51F5F">
            <w:pPr>
              <w:pStyle w:val="Style128"/>
              <w:spacing w:after="0" w:line="240" w:lineRule="auto"/>
              <w:rPr>
                <w:rFonts w:ascii="宋体" w:eastAsia="宋体" w:hAnsi="宋体" w:cs="宋体"/>
                <w:color w:val="000000" w:themeColor="text1"/>
                <w:sz w:val="21"/>
                <w:szCs w:val="21"/>
                <w:lang w:eastAsia="zh-CN"/>
              </w:rPr>
            </w:pPr>
            <w:bookmarkStart w:id="540" w:name="OLE_LINK123"/>
            <w:r>
              <w:rPr>
                <w:rFonts w:ascii="宋体" w:eastAsia="宋体" w:hAnsi="宋体" w:cs="宋体"/>
                <w:color w:val="000000" w:themeColor="text1"/>
                <w:sz w:val="21"/>
                <w:szCs w:val="21"/>
                <w:lang w:eastAsia="zh-CN"/>
              </w:rPr>
              <w:t>2025</w:t>
            </w:r>
            <w:r>
              <w:rPr>
                <w:rFonts w:ascii="宋体" w:eastAsia="宋体" w:hAnsi="宋体" w:cs="宋体"/>
                <w:color w:val="000000" w:themeColor="text1"/>
                <w:sz w:val="21"/>
                <w:szCs w:val="21"/>
                <w:lang w:eastAsia="zh-CN"/>
              </w:rPr>
              <w:t>年</w:t>
            </w:r>
            <w:r>
              <w:rPr>
                <w:rFonts w:ascii="宋体" w:eastAsia="宋体" w:hAnsi="宋体" w:cs="宋体"/>
                <w:color w:val="000000" w:themeColor="text1"/>
                <w:sz w:val="21"/>
                <w:szCs w:val="21"/>
                <w:lang w:eastAsia="zh-CN"/>
              </w:rPr>
              <w:t>6</w:t>
            </w:r>
            <w:r>
              <w:rPr>
                <w:rFonts w:ascii="宋体" w:eastAsia="宋体" w:hAnsi="宋体" w:cs="宋体"/>
                <w:color w:val="000000" w:themeColor="text1"/>
                <w:sz w:val="21"/>
                <w:szCs w:val="21"/>
                <w:lang w:eastAsia="zh-CN"/>
              </w:rPr>
              <w:t>月</w:t>
            </w:r>
            <w:r>
              <w:rPr>
                <w:rFonts w:ascii="宋体" w:eastAsia="宋体" w:hAnsi="宋体" w:cs="宋体"/>
                <w:color w:val="000000" w:themeColor="text1"/>
                <w:sz w:val="21"/>
                <w:szCs w:val="21"/>
                <w:lang w:eastAsia="zh-CN"/>
              </w:rPr>
              <w:t>30</w:t>
            </w:r>
            <w:r>
              <w:rPr>
                <w:rFonts w:ascii="宋体" w:eastAsia="宋体" w:hAnsi="宋体" w:cs="宋体"/>
                <w:color w:val="000000" w:themeColor="text1"/>
                <w:sz w:val="21"/>
                <w:szCs w:val="21"/>
                <w:lang w:eastAsia="zh-CN"/>
              </w:rPr>
              <w:t>日</w:t>
            </w:r>
            <w:r>
              <w:rPr>
                <w:rFonts w:ascii="宋体" w:eastAsia="宋体" w:hAnsi="宋体" w:cs="宋体" w:hint="eastAsia"/>
                <w:color w:val="000000" w:themeColor="text1"/>
                <w:sz w:val="21"/>
                <w:szCs w:val="21"/>
                <w:lang w:eastAsia="zh-CN"/>
              </w:rPr>
              <w:t>余额</w:t>
            </w:r>
            <w:bookmarkEnd w:id="540"/>
          </w:p>
        </w:tc>
        <w:tc>
          <w:tcPr>
            <w:tcW w:w="862" w:type="pct"/>
            <w:vAlign w:val="center"/>
          </w:tcPr>
          <w:p w:rsidR="00156DD6" w:rsidRDefault="00D51F5F">
            <w:pPr>
              <w:jc w:val="right"/>
            </w:pPr>
            <w:r>
              <w:t xml:space="preserve"> 763,658.60 </w:t>
            </w:r>
          </w:p>
        </w:tc>
        <w:tc>
          <w:tcPr>
            <w:tcW w:w="1097" w:type="pct"/>
            <w:vAlign w:val="center"/>
          </w:tcPr>
          <w:p w:rsidR="00156DD6" w:rsidRDefault="00D51F5F">
            <w:pPr>
              <w:jc w:val="right"/>
            </w:pPr>
            <w:r>
              <w:t xml:space="preserve"> 177,153.80 </w:t>
            </w:r>
          </w:p>
        </w:tc>
        <w:tc>
          <w:tcPr>
            <w:tcW w:w="1097" w:type="pct"/>
            <w:vAlign w:val="center"/>
          </w:tcPr>
          <w:p w:rsidR="00156DD6" w:rsidRDefault="00D51F5F">
            <w:pPr>
              <w:jc w:val="right"/>
            </w:pPr>
            <w:r>
              <w:t xml:space="preserve"> 1,667,072.50 </w:t>
            </w:r>
          </w:p>
        </w:tc>
        <w:tc>
          <w:tcPr>
            <w:tcW w:w="943" w:type="pct"/>
            <w:vAlign w:val="center"/>
          </w:tcPr>
          <w:p w:rsidR="00156DD6" w:rsidRDefault="00D51F5F">
            <w:pPr>
              <w:jc w:val="right"/>
            </w:pPr>
            <w:r>
              <w:t xml:space="preserve">2,607,884.90 </w:t>
            </w:r>
          </w:p>
        </w:tc>
      </w:tr>
    </w:tbl>
    <w:p w:rsidR="00156DD6" w:rsidRDefault="00D51F5F">
      <w:pPr>
        <w:autoSpaceDE w:val="0"/>
        <w:autoSpaceDN w:val="0"/>
        <w:adjustRightInd w:val="0"/>
        <w:ind w:rightChars="50" w:right="105"/>
        <w:rPr>
          <w:color w:val="000000" w:themeColor="text1"/>
        </w:rPr>
      </w:pPr>
      <w:r>
        <w:rPr>
          <w:rFonts w:hint="eastAsia"/>
          <w:color w:val="000000" w:themeColor="text1"/>
        </w:rPr>
        <w:t>各阶段划分依据和坏账准备计提比例</w:t>
      </w:r>
    </w:p>
    <w:sdt>
      <w:sdtPr>
        <w:rPr>
          <w:rFonts w:cs="Times New Roman"/>
          <w:color w:val="000000" w:themeColor="text1"/>
          <w:szCs w:val="22"/>
        </w:rPr>
        <w:alias w:val="其他应收款各阶段划分依据和坏账准备计提比例"/>
        <w:tag w:val="_GBC_d1deab3352d44521aa56c337c4c1cf70"/>
        <w:id w:val="1553422581"/>
        <w:placeholder>
          <w:docPart w:val="GBC22222222222222222222222222222"/>
        </w:placeholder>
      </w:sdtPr>
      <w:sdtEndPr/>
      <w:sdtContent>
        <w:p w:rsidR="00156DD6" w:rsidRDefault="00D51F5F">
          <w:pPr>
            <w:rPr>
              <w:rFonts w:cs="Times New Roman"/>
              <w:color w:val="000000" w:themeColor="text1"/>
              <w:szCs w:val="22"/>
            </w:rPr>
          </w:pPr>
          <w:r>
            <w:rPr>
              <w:rFonts w:cs="Times New Roman" w:hint="eastAsia"/>
              <w:color w:val="000000" w:themeColor="text1"/>
              <w:szCs w:val="22"/>
            </w:rPr>
            <w:t>无</w:t>
          </w:r>
        </w:p>
      </w:sdtContent>
    </w:sdt>
    <w:p w:rsidR="00156DD6" w:rsidRDefault="00D51F5F">
      <w:pPr>
        <w:pStyle w:val="Style100"/>
        <w:rPr>
          <w:color w:val="000000" w:themeColor="text1"/>
        </w:rPr>
      </w:pPr>
      <w:r>
        <w:rPr>
          <w:rFonts w:hint="eastAsia"/>
          <w:color w:val="000000" w:themeColor="text1"/>
        </w:rPr>
        <w:t>对本期发生损失准备变动的其他应收款账面余额显著变动的情况说明：</w:t>
      </w:r>
    </w:p>
    <w:sdt>
      <w:sdtPr>
        <w:rPr>
          <w:color w:val="000000" w:themeColor="text1"/>
        </w:rPr>
        <w:alias w:val="是否适用：母公司其他应收款本期发生损失准备变动且账面余额显著变动的情况说明[双击切换]"/>
        <w:tag w:val="_GBC_51a7e143899e4bf4887327bb018327b9"/>
        <w:id w:val="-5640101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本期坏账准备计提金额以及评估金融工具的信用风险是否显著增加的采用依据：</w:t>
      </w:r>
    </w:p>
    <w:sdt>
      <w:sdtPr>
        <w:rPr>
          <w:color w:val="000000" w:themeColor="text1"/>
        </w:rPr>
        <w:alias w:val="是否适用：母公司其他应收款坏账准备计提金额以及评估金融工具的信用风险是否显著增加的采用依据[双击切换]"/>
        <w:tag w:val="_GBC_d5682930254743bebaaf3c46f4513c04"/>
        <w:id w:val="-79035466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113"/>
        </w:numPr>
      </w:pPr>
      <w:bookmarkStart w:id="541" w:name="_Hlk10548122"/>
      <w:bookmarkEnd w:id="539"/>
      <w:r>
        <w:rPr>
          <w:rFonts w:hint="eastAsia"/>
        </w:rPr>
        <w:t>坏账准备的情况</w:t>
      </w:r>
    </w:p>
    <w:sdt>
      <w:sdtPr>
        <w:rPr>
          <w:color w:val="000000" w:themeColor="text1"/>
        </w:rPr>
        <w:alias w:val="是否适用：其他应收款坏账准备[双击切换]"/>
        <w:tag w:val="_GBC_746f45a984d44f56a795e5587d8e7cf2"/>
        <w:id w:val="-769621142"/>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bookmarkStart w:id="542" w:name="_Hlk168055794"/>
      <w:bookmarkEnd w:id="541"/>
      <w:r>
        <w:rPr>
          <w:rFonts w:hint="eastAsia"/>
          <w:color w:val="000000" w:themeColor="text1"/>
        </w:rPr>
        <w:t>其中本期坏账准备转回或收回金额重要的：</w:t>
      </w:r>
    </w:p>
    <w:sdt>
      <w:sdtPr>
        <w:rPr>
          <w:color w:val="000000" w:themeColor="text1"/>
        </w:rPr>
        <w:alias w:val="是否适用：母公司其他应收款坏账准备转回或收回金额重要的[双击切换]"/>
        <w:tag w:val="_GBC_98cb10e0ff8642ad9141960d4dbb7d85"/>
        <w:id w:val="-51753697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ind w:rightChars="-759" w:right="-1594"/>
        <w:rPr>
          <w:color w:val="000000" w:themeColor="text1"/>
        </w:rPr>
      </w:pPr>
      <w:r>
        <w:rPr>
          <w:rFonts w:hint="eastAsia"/>
          <w:color w:val="000000" w:themeColor="text1"/>
        </w:rPr>
        <w:t>其他说明</w:t>
      </w:r>
    </w:p>
    <w:sdt>
      <w:sdtPr>
        <w:rPr>
          <w:color w:val="000000" w:themeColor="text1"/>
        </w:rPr>
        <w:alias w:val="其他应收款坏账准备情况的说明"/>
        <w:tag w:val="_GBC_83e986a007b44d029c897d7f19741e02"/>
        <w:id w:val="457151857"/>
        <w:placeholder>
          <w:docPart w:val="GBC22222222222222222222222222222"/>
        </w:placeholder>
      </w:sdtPr>
      <w:sdtEndPr/>
      <w:sdtContent>
        <w:p w:rsidR="00156DD6" w:rsidRDefault="00D51F5F">
          <w:pPr>
            <w:ind w:rightChars="-759" w:right="-1594"/>
            <w:rPr>
              <w:color w:val="000000" w:themeColor="text1"/>
            </w:rPr>
          </w:pPr>
          <w:r>
            <w:rPr>
              <w:rFonts w:hint="eastAsia"/>
              <w:color w:val="000000" w:themeColor="text1"/>
            </w:rPr>
            <w:t>无</w:t>
          </w:r>
        </w:p>
      </w:sdtContent>
    </w:sdt>
    <w:bookmarkEnd w:id="542"/>
    <w:p w:rsidR="00156DD6" w:rsidRDefault="00D51F5F">
      <w:pPr>
        <w:pStyle w:val="Style48"/>
        <w:numPr>
          <w:ilvl w:val="0"/>
          <w:numId w:val="113"/>
        </w:numPr>
      </w:pPr>
      <w:r>
        <w:rPr>
          <w:rFonts w:hint="eastAsia"/>
        </w:rPr>
        <w:t>本期实际核销的其他应收款情况</w:t>
      </w:r>
    </w:p>
    <w:sdt>
      <w:sdtPr>
        <w:rPr>
          <w:color w:val="000000" w:themeColor="text1"/>
        </w:rPr>
        <w:alias w:val="是否适用：母公司本期实际核销的其他应收款情况[双击切换]"/>
        <w:tag w:val="_GBC_dd1095756d2b471688ce5b700380fafc"/>
        <w:id w:val="174684153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其中重要的其他应收款核销情况：</w:t>
      </w:r>
    </w:p>
    <w:sdt>
      <w:sdtPr>
        <w:rPr>
          <w:color w:val="000000" w:themeColor="text1"/>
        </w:rPr>
        <w:alias w:val="是否适用：母公司其中重要的其他应收款核销情况[双击切换]"/>
        <w:tag w:val="_GBC_5dff1eacde3a41d6914cb7afef2e2acf"/>
        <w:id w:val="-90830421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napToGrid w:val="0"/>
        <w:spacing w:line="240" w:lineRule="atLeast"/>
        <w:rPr>
          <w:color w:val="000000" w:themeColor="text1"/>
        </w:rPr>
      </w:pPr>
      <w:r>
        <w:rPr>
          <w:rFonts w:hint="eastAsia"/>
          <w:color w:val="000000" w:themeColor="text1"/>
        </w:rPr>
        <w:t>其他应收款核销说明：</w:t>
      </w:r>
    </w:p>
    <w:sdt>
      <w:sdtPr>
        <w:rPr>
          <w:color w:val="000000" w:themeColor="text1"/>
        </w:rPr>
        <w:alias w:val="是否适用：母公司其他应收款核销说明[双击切换]"/>
        <w:tag w:val="_GBC_7e98a555990349648a39fba0c7228ab7"/>
        <w:id w:val="1954752725"/>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8"/>
        <w:numPr>
          <w:ilvl w:val="0"/>
          <w:numId w:val="113"/>
        </w:numPr>
      </w:pPr>
      <w:r>
        <w:rPr>
          <w:rFonts w:hint="eastAsia"/>
        </w:rPr>
        <w:t>按欠款方归集的期末余额前五名的其他应收款情况</w:t>
      </w:r>
    </w:p>
    <w:sdt>
      <w:sdtPr>
        <w:rPr>
          <w:color w:val="000000" w:themeColor="text1"/>
        </w:rPr>
        <w:alias w:val="是否适用：母公司按欠款方归集的期末余额前五名的其他应收款情况[双击切换]"/>
        <w:tag w:val="_GBC_c31bd7806af645a4b98780e353753bee"/>
        <w:id w:val="-120192386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母公司财务附注：其他应收账款前五名欠款情况"/>
          <w:tag w:val="_GBC_5eaec4085c10422f90a7a09ee515d922"/>
          <w:id w:val="-19662768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财务附注：其他应收账款前五名欠款情况"/>
          <w:tag w:val="_GBC_76fb156b47fb495eb1748f1f6ffdfc64"/>
          <w:id w:val="21192572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448"/>
        <w:gridCol w:w="1606"/>
        <w:gridCol w:w="1673"/>
        <w:gridCol w:w="1646"/>
        <w:gridCol w:w="1135"/>
        <w:gridCol w:w="1315"/>
      </w:tblGrid>
      <w:tr w:rsidR="00156DD6">
        <w:trPr>
          <w:cantSplit/>
        </w:trPr>
        <w:sdt>
          <w:sdtPr>
            <w:tag w:val="_PLD_1bf4103fa73c4527ab273af4182bdac9"/>
            <w:id w:val="1362784319"/>
          </w:sdtPr>
          <w:sdtEndPr/>
          <w:sdtContent>
            <w:tc>
              <w:tcPr>
                <w:tcW w:w="821" w:type="pct"/>
                <w:vAlign w:val="center"/>
              </w:tcPr>
              <w:p w:rsidR="00156DD6" w:rsidRDefault="00D51F5F">
                <w:pPr>
                  <w:ind w:right="105"/>
                  <w:jc w:val="center"/>
                  <w:rPr>
                    <w:color w:val="000000" w:themeColor="text1"/>
                  </w:rPr>
                </w:pPr>
                <w:r>
                  <w:rPr>
                    <w:rFonts w:hint="eastAsia"/>
                    <w:color w:val="000000" w:themeColor="text1"/>
                  </w:rPr>
                  <w:t>单位名称</w:t>
                </w:r>
              </w:p>
            </w:tc>
          </w:sdtContent>
        </w:sdt>
        <w:sdt>
          <w:sdtPr>
            <w:tag w:val="_PLD_2272ceae47e74a6489bfeb2c73aa1f4a"/>
            <w:id w:val="1780140332"/>
          </w:sdtPr>
          <w:sdtEndPr/>
          <w:sdtContent>
            <w:tc>
              <w:tcPr>
                <w:tcW w:w="910" w:type="pct"/>
                <w:vAlign w:val="center"/>
              </w:tcPr>
              <w:p w:rsidR="00156DD6" w:rsidRDefault="00D51F5F">
                <w:pPr>
                  <w:ind w:right="73"/>
                  <w:jc w:val="center"/>
                  <w:rPr>
                    <w:color w:val="000000" w:themeColor="text1"/>
                  </w:rPr>
                </w:pPr>
                <w:r>
                  <w:rPr>
                    <w:rFonts w:hint="eastAsia"/>
                    <w:color w:val="000000" w:themeColor="text1"/>
                  </w:rPr>
                  <w:t>期末余额</w:t>
                </w:r>
              </w:p>
            </w:tc>
          </w:sdtContent>
        </w:sdt>
        <w:sdt>
          <w:sdtPr>
            <w:tag w:val="_PLD_13e1362304be4663873f1e8f72848948"/>
            <w:id w:val="352003208"/>
          </w:sdtPr>
          <w:sdtEndPr/>
          <w:sdtContent>
            <w:tc>
              <w:tcPr>
                <w:tcW w:w="948" w:type="pct"/>
                <w:vAlign w:val="center"/>
              </w:tcPr>
              <w:p w:rsidR="00156DD6" w:rsidRDefault="00D51F5F">
                <w:pPr>
                  <w:jc w:val="center"/>
                  <w:rPr>
                    <w:color w:val="000000" w:themeColor="text1"/>
                  </w:rPr>
                </w:pPr>
                <w:r>
                  <w:rPr>
                    <w:rFonts w:hint="eastAsia"/>
                    <w:color w:val="000000" w:themeColor="text1"/>
                  </w:rPr>
                  <w:t>占其他应收款期末余额合计数的比例</w:t>
                </w:r>
                <w:r>
                  <w:rPr>
                    <w:rFonts w:hint="eastAsia"/>
                    <w:color w:val="000000" w:themeColor="text1"/>
                  </w:rPr>
                  <w:t>(</w:t>
                </w:r>
                <w:r>
                  <w:rPr>
                    <w:color w:val="000000" w:themeColor="text1"/>
                  </w:rPr>
                  <w:t>%)</w:t>
                </w:r>
              </w:p>
            </w:tc>
          </w:sdtContent>
        </w:sdt>
        <w:sdt>
          <w:sdtPr>
            <w:tag w:val="_PLD_13e90710aaf8432b8989b8a8d1ceae0c"/>
            <w:id w:val="-732317631"/>
          </w:sdtPr>
          <w:sdtEndPr/>
          <w:sdtContent>
            <w:tc>
              <w:tcPr>
                <w:tcW w:w="933" w:type="pct"/>
                <w:vAlign w:val="center"/>
              </w:tcPr>
              <w:p w:rsidR="00156DD6" w:rsidRDefault="00D51F5F">
                <w:pPr>
                  <w:ind w:right="73"/>
                  <w:jc w:val="center"/>
                  <w:rPr>
                    <w:color w:val="000000" w:themeColor="text1"/>
                  </w:rPr>
                </w:pPr>
                <w:r>
                  <w:rPr>
                    <w:rFonts w:hint="eastAsia"/>
                    <w:color w:val="000000" w:themeColor="text1"/>
                  </w:rPr>
                  <w:t>款项的性质</w:t>
                </w:r>
              </w:p>
            </w:tc>
          </w:sdtContent>
        </w:sdt>
        <w:sdt>
          <w:sdtPr>
            <w:tag w:val="_PLD_fcefa3ecef954c579974ef8beaeadf3a"/>
            <w:id w:val="-296062831"/>
          </w:sdtPr>
          <w:sdtEndPr/>
          <w:sdtContent>
            <w:tc>
              <w:tcPr>
                <w:tcW w:w="643" w:type="pct"/>
                <w:vAlign w:val="center"/>
              </w:tcPr>
              <w:p w:rsidR="00156DD6" w:rsidRDefault="00D51F5F">
                <w:pPr>
                  <w:ind w:right="73"/>
                  <w:jc w:val="center"/>
                  <w:rPr>
                    <w:color w:val="000000" w:themeColor="text1"/>
                  </w:rPr>
                </w:pPr>
                <w:r>
                  <w:rPr>
                    <w:rFonts w:hint="eastAsia"/>
                    <w:color w:val="000000" w:themeColor="text1"/>
                  </w:rPr>
                  <w:t>账龄</w:t>
                </w:r>
              </w:p>
            </w:tc>
          </w:sdtContent>
        </w:sdt>
        <w:sdt>
          <w:sdtPr>
            <w:tag w:val="_PLD_f2c7137b0fd6426d9d9640429eb47701"/>
            <w:id w:val="-1052996478"/>
          </w:sdtPr>
          <w:sdtEndPr/>
          <w:sdtContent>
            <w:tc>
              <w:tcPr>
                <w:tcW w:w="745" w:type="pct"/>
                <w:vAlign w:val="center"/>
              </w:tcPr>
              <w:p w:rsidR="00156DD6" w:rsidRDefault="00D51F5F">
                <w:pPr>
                  <w:jc w:val="center"/>
                  <w:rPr>
                    <w:color w:val="000000" w:themeColor="text1"/>
                  </w:rPr>
                </w:pPr>
                <w:r>
                  <w:rPr>
                    <w:rFonts w:hint="eastAsia"/>
                    <w:color w:val="000000" w:themeColor="text1"/>
                  </w:rPr>
                  <w:t>坏账准备</w:t>
                </w:r>
              </w:p>
              <w:p w:rsidR="00156DD6" w:rsidRDefault="00D51F5F">
                <w:pPr>
                  <w:jc w:val="center"/>
                  <w:rPr>
                    <w:color w:val="000000" w:themeColor="text1"/>
                  </w:rPr>
                </w:pPr>
                <w:r>
                  <w:rPr>
                    <w:rFonts w:hint="eastAsia"/>
                    <w:color w:val="000000" w:themeColor="text1"/>
                  </w:rPr>
                  <w:t>期末余额</w:t>
                </w:r>
              </w:p>
            </w:tc>
          </w:sdtContent>
        </w:sdt>
      </w:tr>
      <w:tr w:rsidR="00156DD6">
        <w:trPr>
          <w:cantSplit/>
        </w:trPr>
        <w:tc>
          <w:tcPr>
            <w:tcW w:w="821" w:type="pct"/>
            <w:vAlign w:val="center"/>
          </w:tcPr>
          <w:p w:rsidR="00156DD6" w:rsidRDefault="00D51F5F">
            <w:pPr>
              <w:ind w:right="105"/>
            </w:pPr>
            <w:r>
              <w:rPr>
                <w:rFonts w:hint="eastAsia"/>
              </w:rPr>
              <w:t>单位</w:t>
            </w:r>
            <w:r>
              <w:rPr>
                <w:rFonts w:hint="eastAsia"/>
              </w:rPr>
              <w:t>1</w:t>
            </w:r>
          </w:p>
        </w:tc>
        <w:tc>
          <w:tcPr>
            <w:tcW w:w="910" w:type="pct"/>
            <w:vAlign w:val="center"/>
          </w:tcPr>
          <w:p w:rsidR="00156DD6" w:rsidRDefault="00D51F5F">
            <w:pPr>
              <w:ind w:right="73"/>
              <w:jc w:val="right"/>
            </w:pPr>
            <w:r>
              <w:rPr>
                <w:rFonts w:hint="eastAsia"/>
              </w:rPr>
              <w:t xml:space="preserve">234,326,707.34 </w:t>
            </w:r>
          </w:p>
        </w:tc>
        <w:tc>
          <w:tcPr>
            <w:tcW w:w="948" w:type="pct"/>
            <w:vAlign w:val="center"/>
          </w:tcPr>
          <w:p w:rsidR="00156DD6" w:rsidRDefault="00D51F5F">
            <w:pPr>
              <w:jc w:val="right"/>
            </w:pPr>
            <w:r>
              <w:rPr>
                <w:rFonts w:hint="eastAsia"/>
              </w:rPr>
              <w:t xml:space="preserve"> 73.99 </w:t>
            </w:r>
          </w:p>
        </w:tc>
        <w:tc>
          <w:tcPr>
            <w:tcW w:w="933" w:type="pct"/>
            <w:vAlign w:val="center"/>
          </w:tcPr>
          <w:p w:rsidR="00156DD6" w:rsidRDefault="00D51F5F">
            <w:pPr>
              <w:ind w:right="73"/>
              <w:jc w:val="center"/>
            </w:pPr>
            <w:r>
              <w:rPr>
                <w:rFonts w:hint="eastAsia"/>
              </w:rPr>
              <w:t>往来及其他</w:t>
            </w:r>
          </w:p>
        </w:tc>
        <w:tc>
          <w:tcPr>
            <w:tcW w:w="643" w:type="pct"/>
            <w:vAlign w:val="center"/>
          </w:tcPr>
          <w:p w:rsidR="00156DD6" w:rsidRDefault="00D51F5F">
            <w:pPr>
              <w:ind w:right="73"/>
              <w:jc w:val="center"/>
            </w:pPr>
            <w:r>
              <w:rPr>
                <w:rFonts w:hint="eastAsia"/>
              </w:rPr>
              <w:t>1</w:t>
            </w:r>
            <w:r>
              <w:rPr>
                <w:rFonts w:hint="eastAsia"/>
              </w:rPr>
              <w:t>年以内</w:t>
            </w:r>
          </w:p>
        </w:tc>
        <w:tc>
          <w:tcPr>
            <w:tcW w:w="745" w:type="pct"/>
            <w:vAlign w:val="center"/>
          </w:tcPr>
          <w:p w:rsidR="00156DD6" w:rsidRDefault="00156DD6">
            <w:pPr>
              <w:jc w:val="right"/>
            </w:pPr>
          </w:p>
        </w:tc>
      </w:tr>
      <w:tr w:rsidR="00156DD6">
        <w:trPr>
          <w:cantSplit/>
        </w:trPr>
        <w:tc>
          <w:tcPr>
            <w:tcW w:w="821" w:type="pct"/>
            <w:vAlign w:val="center"/>
          </w:tcPr>
          <w:p w:rsidR="00156DD6" w:rsidRDefault="00D51F5F">
            <w:pPr>
              <w:ind w:right="105"/>
            </w:pPr>
            <w:r>
              <w:rPr>
                <w:rFonts w:hint="eastAsia"/>
              </w:rPr>
              <w:t>单位</w:t>
            </w:r>
            <w:r>
              <w:rPr>
                <w:rFonts w:hint="eastAsia"/>
              </w:rPr>
              <w:t>2</w:t>
            </w:r>
          </w:p>
        </w:tc>
        <w:tc>
          <w:tcPr>
            <w:tcW w:w="910" w:type="pct"/>
            <w:vAlign w:val="center"/>
          </w:tcPr>
          <w:p w:rsidR="00156DD6" w:rsidRDefault="00D51F5F">
            <w:pPr>
              <w:ind w:right="73"/>
              <w:jc w:val="right"/>
            </w:pPr>
            <w:r>
              <w:rPr>
                <w:rFonts w:hint="eastAsia"/>
              </w:rPr>
              <w:t xml:space="preserve"> 57,571,303.92 </w:t>
            </w:r>
          </w:p>
        </w:tc>
        <w:tc>
          <w:tcPr>
            <w:tcW w:w="948" w:type="pct"/>
            <w:vAlign w:val="center"/>
          </w:tcPr>
          <w:p w:rsidR="00156DD6" w:rsidRDefault="00D51F5F">
            <w:pPr>
              <w:jc w:val="right"/>
            </w:pPr>
            <w:r>
              <w:rPr>
                <w:rFonts w:hint="eastAsia"/>
              </w:rPr>
              <w:t xml:space="preserve"> 18.18 </w:t>
            </w:r>
          </w:p>
        </w:tc>
        <w:tc>
          <w:tcPr>
            <w:tcW w:w="933" w:type="pct"/>
            <w:vAlign w:val="center"/>
          </w:tcPr>
          <w:p w:rsidR="00156DD6" w:rsidRDefault="00D51F5F">
            <w:pPr>
              <w:ind w:right="73"/>
              <w:jc w:val="center"/>
            </w:pPr>
            <w:r>
              <w:rPr>
                <w:rFonts w:hint="eastAsia"/>
              </w:rPr>
              <w:t>往来及其他</w:t>
            </w:r>
          </w:p>
        </w:tc>
        <w:tc>
          <w:tcPr>
            <w:tcW w:w="643" w:type="pct"/>
            <w:vAlign w:val="center"/>
          </w:tcPr>
          <w:p w:rsidR="00156DD6" w:rsidRDefault="00D51F5F">
            <w:pPr>
              <w:ind w:right="73"/>
              <w:jc w:val="center"/>
            </w:pPr>
            <w:r>
              <w:rPr>
                <w:rFonts w:hint="eastAsia"/>
              </w:rPr>
              <w:t>1</w:t>
            </w:r>
            <w:r>
              <w:rPr>
                <w:rFonts w:hint="eastAsia"/>
              </w:rPr>
              <w:t>年以内</w:t>
            </w:r>
          </w:p>
        </w:tc>
        <w:tc>
          <w:tcPr>
            <w:tcW w:w="745" w:type="pct"/>
            <w:vAlign w:val="center"/>
          </w:tcPr>
          <w:p w:rsidR="00156DD6" w:rsidRDefault="00156DD6">
            <w:pPr>
              <w:jc w:val="right"/>
            </w:pPr>
          </w:p>
        </w:tc>
      </w:tr>
      <w:tr w:rsidR="00156DD6">
        <w:trPr>
          <w:cantSplit/>
        </w:trPr>
        <w:tc>
          <w:tcPr>
            <w:tcW w:w="821" w:type="pct"/>
            <w:vAlign w:val="center"/>
          </w:tcPr>
          <w:p w:rsidR="00156DD6" w:rsidRDefault="00D51F5F">
            <w:pPr>
              <w:ind w:right="105"/>
            </w:pPr>
            <w:r>
              <w:rPr>
                <w:rFonts w:hint="eastAsia"/>
              </w:rPr>
              <w:t>单位</w:t>
            </w:r>
            <w:r>
              <w:rPr>
                <w:rFonts w:hint="eastAsia"/>
              </w:rPr>
              <w:t>3</w:t>
            </w:r>
          </w:p>
        </w:tc>
        <w:tc>
          <w:tcPr>
            <w:tcW w:w="910" w:type="pct"/>
            <w:vAlign w:val="center"/>
          </w:tcPr>
          <w:p w:rsidR="00156DD6" w:rsidRDefault="00D51F5F">
            <w:pPr>
              <w:ind w:right="73"/>
              <w:jc w:val="right"/>
            </w:pPr>
            <w:r>
              <w:rPr>
                <w:rFonts w:hint="eastAsia"/>
              </w:rPr>
              <w:t xml:space="preserve"> 1,600,000.00 </w:t>
            </w:r>
          </w:p>
        </w:tc>
        <w:tc>
          <w:tcPr>
            <w:tcW w:w="948" w:type="pct"/>
            <w:vAlign w:val="center"/>
          </w:tcPr>
          <w:p w:rsidR="00156DD6" w:rsidRDefault="00D51F5F">
            <w:pPr>
              <w:jc w:val="right"/>
            </w:pPr>
            <w:r>
              <w:rPr>
                <w:rFonts w:hint="eastAsia"/>
              </w:rPr>
              <w:t xml:space="preserve"> 0.51 </w:t>
            </w:r>
          </w:p>
        </w:tc>
        <w:tc>
          <w:tcPr>
            <w:tcW w:w="933" w:type="pct"/>
            <w:vAlign w:val="center"/>
          </w:tcPr>
          <w:p w:rsidR="00156DD6" w:rsidRDefault="00D51F5F">
            <w:pPr>
              <w:ind w:right="73"/>
              <w:jc w:val="center"/>
            </w:pPr>
            <w:r>
              <w:rPr>
                <w:rFonts w:hint="eastAsia"/>
              </w:rPr>
              <w:t>押金及保证金</w:t>
            </w:r>
          </w:p>
        </w:tc>
        <w:tc>
          <w:tcPr>
            <w:tcW w:w="643" w:type="pct"/>
            <w:vAlign w:val="center"/>
          </w:tcPr>
          <w:p w:rsidR="00156DD6" w:rsidRDefault="00D51F5F">
            <w:pPr>
              <w:ind w:right="73"/>
              <w:jc w:val="center"/>
            </w:pPr>
            <w:r>
              <w:rPr>
                <w:rFonts w:hint="eastAsia"/>
              </w:rPr>
              <w:t>1</w:t>
            </w:r>
            <w:r>
              <w:rPr>
                <w:rFonts w:hint="eastAsia"/>
              </w:rPr>
              <w:t>年以内</w:t>
            </w:r>
          </w:p>
        </w:tc>
        <w:tc>
          <w:tcPr>
            <w:tcW w:w="745" w:type="pct"/>
            <w:vAlign w:val="center"/>
          </w:tcPr>
          <w:p w:rsidR="00156DD6" w:rsidRDefault="00D51F5F">
            <w:pPr>
              <w:jc w:val="right"/>
            </w:pPr>
            <w:r>
              <w:rPr>
                <w:rFonts w:hint="eastAsia"/>
              </w:rPr>
              <w:t xml:space="preserve"> 80,000.00 </w:t>
            </w:r>
          </w:p>
        </w:tc>
      </w:tr>
      <w:tr w:rsidR="00156DD6">
        <w:trPr>
          <w:cantSplit/>
        </w:trPr>
        <w:tc>
          <w:tcPr>
            <w:tcW w:w="821" w:type="pct"/>
            <w:vAlign w:val="center"/>
          </w:tcPr>
          <w:p w:rsidR="00156DD6" w:rsidRDefault="00D51F5F">
            <w:pPr>
              <w:ind w:right="105"/>
            </w:pPr>
            <w:r>
              <w:rPr>
                <w:rFonts w:hint="eastAsia"/>
              </w:rPr>
              <w:t>单位</w:t>
            </w:r>
            <w:r>
              <w:rPr>
                <w:rFonts w:hint="eastAsia"/>
              </w:rPr>
              <w:t>4</w:t>
            </w:r>
          </w:p>
        </w:tc>
        <w:tc>
          <w:tcPr>
            <w:tcW w:w="910" w:type="pct"/>
            <w:vAlign w:val="center"/>
          </w:tcPr>
          <w:p w:rsidR="00156DD6" w:rsidRDefault="00D51F5F">
            <w:pPr>
              <w:ind w:right="73"/>
              <w:jc w:val="right"/>
            </w:pPr>
            <w:r>
              <w:rPr>
                <w:rFonts w:hint="eastAsia"/>
              </w:rPr>
              <w:t xml:space="preserve"> 1,010,102.00 </w:t>
            </w:r>
          </w:p>
        </w:tc>
        <w:tc>
          <w:tcPr>
            <w:tcW w:w="948" w:type="pct"/>
            <w:vAlign w:val="center"/>
          </w:tcPr>
          <w:p w:rsidR="00156DD6" w:rsidRDefault="00D51F5F">
            <w:pPr>
              <w:jc w:val="right"/>
            </w:pPr>
            <w:r>
              <w:rPr>
                <w:rFonts w:hint="eastAsia"/>
              </w:rPr>
              <w:t xml:space="preserve"> 0.32 </w:t>
            </w:r>
          </w:p>
        </w:tc>
        <w:tc>
          <w:tcPr>
            <w:tcW w:w="933" w:type="pct"/>
            <w:vAlign w:val="center"/>
          </w:tcPr>
          <w:p w:rsidR="00156DD6" w:rsidRDefault="00D51F5F">
            <w:pPr>
              <w:ind w:right="73"/>
              <w:jc w:val="center"/>
            </w:pPr>
            <w:r>
              <w:rPr>
                <w:rFonts w:hint="eastAsia"/>
              </w:rPr>
              <w:t>押金及保证金</w:t>
            </w:r>
          </w:p>
        </w:tc>
        <w:tc>
          <w:tcPr>
            <w:tcW w:w="643" w:type="pct"/>
            <w:vAlign w:val="center"/>
          </w:tcPr>
          <w:p w:rsidR="00156DD6" w:rsidRDefault="00D51F5F">
            <w:pPr>
              <w:ind w:right="73"/>
              <w:jc w:val="center"/>
            </w:pPr>
            <w:r>
              <w:rPr>
                <w:rFonts w:hint="eastAsia"/>
              </w:rPr>
              <w:t>1</w:t>
            </w:r>
            <w:r>
              <w:rPr>
                <w:rFonts w:hint="eastAsia"/>
              </w:rPr>
              <w:t>年以内</w:t>
            </w:r>
          </w:p>
        </w:tc>
        <w:tc>
          <w:tcPr>
            <w:tcW w:w="745" w:type="pct"/>
            <w:vAlign w:val="center"/>
          </w:tcPr>
          <w:p w:rsidR="00156DD6" w:rsidRDefault="00D51F5F">
            <w:pPr>
              <w:jc w:val="right"/>
            </w:pPr>
            <w:r>
              <w:rPr>
                <w:rFonts w:hint="eastAsia"/>
              </w:rPr>
              <w:t xml:space="preserve"> 50,505.10 </w:t>
            </w:r>
          </w:p>
        </w:tc>
      </w:tr>
      <w:tr w:rsidR="00156DD6">
        <w:trPr>
          <w:cantSplit/>
        </w:trPr>
        <w:tc>
          <w:tcPr>
            <w:tcW w:w="821" w:type="pct"/>
            <w:vAlign w:val="center"/>
          </w:tcPr>
          <w:p w:rsidR="00156DD6" w:rsidRDefault="00D51F5F">
            <w:pPr>
              <w:ind w:right="105"/>
            </w:pPr>
            <w:r>
              <w:rPr>
                <w:rFonts w:hint="eastAsia"/>
              </w:rPr>
              <w:t>单位</w:t>
            </w:r>
            <w:r>
              <w:rPr>
                <w:rFonts w:hint="eastAsia"/>
              </w:rPr>
              <w:t>5</w:t>
            </w:r>
          </w:p>
        </w:tc>
        <w:tc>
          <w:tcPr>
            <w:tcW w:w="910" w:type="pct"/>
            <w:vAlign w:val="center"/>
          </w:tcPr>
          <w:p w:rsidR="00156DD6" w:rsidRDefault="00D51F5F">
            <w:pPr>
              <w:ind w:right="73"/>
              <w:jc w:val="right"/>
            </w:pPr>
            <w:r>
              <w:rPr>
                <w:rFonts w:hint="eastAsia"/>
              </w:rPr>
              <w:t xml:space="preserve"> 800,000.00 </w:t>
            </w:r>
          </w:p>
        </w:tc>
        <w:tc>
          <w:tcPr>
            <w:tcW w:w="948" w:type="pct"/>
            <w:vAlign w:val="center"/>
          </w:tcPr>
          <w:p w:rsidR="00156DD6" w:rsidRDefault="00D51F5F">
            <w:pPr>
              <w:jc w:val="right"/>
            </w:pPr>
            <w:r>
              <w:rPr>
                <w:rFonts w:hint="eastAsia"/>
              </w:rPr>
              <w:t xml:space="preserve"> 0.25 </w:t>
            </w:r>
          </w:p>
        </w:tc>
        <w:tc>
          <w:tcPr>
            <w:tcW w:w="933" w:type="pct"/>
            <w:vAlign w:val="center"/>
          </w:tcPr>
          <w:p w:rsidR="00156DD6" w:rsidRDefault="00D51F5F">
            <w:pPr>
              <w:ind w:right="73"/>
              <w:jc w:val="center"/>
            </w:pPr>
            <w:r>
              <w:rPr>
                <w:rFonts w:hint="eastAsia"/>
              </w:rPr>
              <w:t>押金及保证金</w:t>
            </w:r>
          </w:p>
        </w:tc>
        <w:tc>
          <w:tcPr>
            <w:tcW w:w="643" w:type="pct"/>
            <w:vAlign w:val="center"/>
          </w:tcPr>
          <w:p w:rsidR="00156DD6" w:rsidRDefault="00D51F5F">
            <w:pPr>
              <w:ind w:right="73"/>
              <w:jc w:val="center"/>
            </w:pPr>
            <w:r>
              <w:rPr>
                <w:rFonts w:hint="eastAsia"/>
              </w:rPr>
              <w:t>1</w:t>
            </w:r>
            <w:r>
              <w:rPr>
                <w:rFonts w:hint="eastAsia"/>
              </w:rPr>
              <w:t>年以内</w:t>
            </w:r>
          </w:p>
        </w:tc>
        <w:tc>
          <w:tcPr>
            <w:tcW w:w="745" w:type="pct"/>
            <w:vAlign w:val="center"/>
          </w:tcPr>
          <w:p w:rsidR="00156DD6" w:rsidRDefault="00D51F5F">
            <w:pPr>
              <w:jc w:val="right"/>
            </w:pPr>
            <w:r>
              <w:rPr>
                <w:rFonts w:hint="eastAsia"/>
              </w:rPr>
              <w:t xml:space="preserve"> 40,000.00 </w:t>
            </w:r>
          </w:p>
        </w:tc>
      </w:tr>
      <w:tr w:rsidR="00156DD6">
        <w:trPr>
          <w:cantSplit/>
        </w:trPr>
        <w:tc>
          <w:tcPr>
            <w:tcW w:w="821" w:type="pct"/>
          </w:tcPr>
          <w:p w:rsidR="00156DD6" w:rsidRDefault="00D51F5F">
            <w:pPr>
              <w:ind w:right="105"/>
              <w:jc w:val="center"/>
              <w:rPr>
                <w:color w:val="000000" w:themeColor="text1"/>
              </w:rPr>
            </w:pPr>
            <w:r>
              <w:rPr>
                <w:rFonts w:hint="eastAsia"/>
                <w:color w:val="000000" w:themeColor="text1"/>
              </w:rPr>
              <w:lastRenderedPageBreak/>
              <w:t>合计</w:t>
            </w:r>
          </w:p>
        </w:tc>
        <w:tc>
          <w:tcPr>
            <w:tcW w:w="910" w:type="pct"/>
          </w:tcPr>
          <w:p w:rsidR="00156DD6" w:rsidRDefault="00D51F5F">
            <w:pPr>
              <w:ind w:right="73"/>
              <w:jc w:val="right"/>
            </w:pPr>
            <w:r>
              <w:rPr>
                <w:rFonts w:hint="eastAsia"/>
              </w:rPr>
              <w:t xml:space="preserve">295,308,113.26 </w:t>
            </w:r>
          </w:p>
        </w:tc>
        <w:tc>
          <w:tcPr>
            <w:tcW w:w="948" w:type="pct"/>
          </w:tcPr>
          <w:p w:rsidR="00156DD6" w:rsidRDefault="00D51F5F">
            <w:pPr>
              <w:jc w:val="right"/>
            </w:pPr>
            <w:r>
              <w:rPr>
                <w:rFonts w:hint="eastAsia"/>
              </w:rPr>
              <w:t xml:space="preserve"> 93.25 </w:t>
            </w:r>
          </w:p>
        </w:tc>
        <w:tc>
          <w:tcPr>
            <w:tcW w:w="933" w:type="pct"/>
          </w:tcPr>
          <w:p w:rsidR="00156DD6" w:rsidRDefault="00D51F5F">
            <w:pPr>
              <w:ind w:right="73"/>
              <w:jc w:val="center"/>
              <w:rPr>
                <w:color w:val="000000" w:themeColor="text1"/>
              </w:rPr>
            </w:pPr>
            <w:r>
              <w:rPr>
                <w:rFonts w:hint="eastAsia"/>
              </w:rPr>
              <w:t xml:space="preserve"> /</w:t>
            </w:r>
          </w:p>
        </w:tc>
        <w:tc>
          <w:tcPr>
            <w:tcW w:w="643" w:type="pct"/>
          </w:tcPr>
          <w:p w:rsidR="00156DD6" w:rsidRDefault="00D51F5F">
            <w:pPr>
              <w:ind w:right="73"/>
              <w:jc w:val="center"/>
              <w:rPr>
                <w:color w:val="000000" w:themeColor="text1"/>
              </w:rPr>
            </w:pPr>
            <w:r>
              <w:rPr>
                <w:rFonts w:hint="eastAsia"/>
              </w:rPr>
              <w:t xml:space="preserve"> /</w:t>
            </w:r>
          </w:p>
        </w:tc>
        <w:tc>
          <w:tcPr>
            <w:tcW w:w="745" w:type="pct"/>
          </w:tcPr>
          <w:p w:rsidR="00156DD6" w:rsidRDefault="00D51F5F">
            <w:pPr>
              <w:jc w:val="right"/>
            </w:pPr>
            <w:r>
              <w:rPr>
                <w:rFonts w:hint="eastAsia"/>
              </w:rPr>
              <w:t xml:space="preserve"> 170,505.10 </w:t>
            </w:r>
          </w:p>
        </w:tc>
      </w:tr>
    </w:tbl>
    <w:p w:rsidR="00156DD6" w:rsidRDefault="00D51F5F">
      <w:pPr>
        <w:pStyle w:val="Style48"/>
        <w:numPr>
          <w:ilvl w:val="0"/>
          <w:numId w:val="113"/>
        </w:numPr>
      </w:pPr>
      <w:bookmarkStart w:id="543" w:name="_Hlk153798113"/>
      <w:bookmarkStart w:id="544" w:name="_Hlk168057150"/>
      <w:r>
        <w:rPr>
          <w:rFonts w:hint="eastAsia"/>
        </w:rPr>
        <w:t>因资金集中管理而列报于其他应收款</w:t>
      </w:r>
    </w:p>
    <w:sdt>
      <w:sdtPr>
        <w:rPr>
          <w:color w:val="000000" w:themeColor="text1"/>
        </w:rPr>
        <w:alias w:val="是否适用：母公司因资金集中管理而列报于其他应收款[双击切换]"/>
        <w:tag w:val="_GBC_e0997ad9657c40258adda569dcfcbb5a"/>
        <w:id w:val="-358515047"/>
        <w:placeholder>
          <w:docPart w:val="GBC22222222222222222222222222222"/>
        </w:placeholder>
      </w:sdtPr>
      <w:sdtEndPr/>
      <w:sdtContent>
        <w:p w:rsidR="00156DD6" w:rsidRDefault="00D51F5F">
          <w:pPr>
            <w:snapToGrid w:val="0"/>
            <w:spacing w:line="240" w:lineRule="atLeast"/>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543"/>
    <w:bookmarkEnd w:id="544"/>
    <w:p w:rsidR="00156DD6" w:rsidRDefault="00D51F5F">
      <w:pPr>
        <w:rPr>
          <w:color w:val="000000" w:themeColor="text1"/>
        </w:rPr>
      </w:pPr>
      <w:r>
        <w:rPr>
          <w:rFonts w:hint="eastAsia"/>
          <w:color w:val="000000" w:themeColor="text1"/>
        </w:rPr>
        <w:t>其他</w:t>
      </w:r>
      <w:r>
        <w:rPr>
          <w:color w:val="000000" w:themeColor="text1"/>
        </w:rPr>
        <w:t>说明：</w:t>
      </w:r>
    </w:p>
    <w:sdt>
      <w:sdtPr>
        <w:rPr>
          <w:color w:val="000000" w:themeColor="text1"/>
        </w:rPr>
        <w:alias w:val="是否适用：母公司其他应收款的其他说明[双击切换]"/>
        <w:tag w:val="_GBC_2e0f632cbc7d4916b89bf8824f4b71f0"/>
        <w:id w:val="31123197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156DD6">
      <w:pPr>
        <w:rPr>
          <w:color w:val="000000" w:themeColor="text1"/>
        </w:rPr>
        <w:sectPr w:rsidR="00156DD6">
          <w:pgSz w:w="11906" w:h="16838"/>
          <w:pgMar w:top="1525" w:right="1276" w:bottom="1440" w:left="1797" w:header="856" w:footer="992" w:gutter="0"/>
          <w:cols w:space="425"/>
          <w:docGrid w:linePitch="312"/>
        </w:sectPr>
      </w:pPr>
    </w:p>
    <w:p w:rsidR="00156DD6" w:rsidRDefault="00D51F5F">
      <w:pPr>
        <w:pStyle w:val="TOC6"/>
        <w:numPr>
          <w:ilvl w:val="0"/>
          <w:numId w:val="109"/>
        </w:numPr>
        <w:rPr>
          <w:rFonts w:ascii="宋体" w:hAnsi="宋体"/>
          <w:color w:val="000000" w:themeColor="text1"/>
          <w:sz w:val="21"/>
          <w:szCs w:val="22"/>
        </w:rPr>
      </w:pPr>
      <w:r>
        <w:rPr>
          <w:rFonts w:ascii="宋体" w:hAnsi="宋体" w:hint="eastAsia"/>
          <w:color w:val="000000" w:themeColor="text1"/>
          <w:sz w:val="21"/>
          <w:szCs w:val="22"/>
        </w:rPr>
        <w:lastRenderedPageBreak/>
        <w:t>长期股权投资</w:t>
      </w:r>
    </w:p>
    <w:sdt>
      <w:sdtPr>
        <w:rPr>
          <w:color w:val="000000" w:themeColor="text1"/>
        </w:rPr>
        <w:alias w:val="是否适用：母公司长期股权投资[双击切换]"/>
        <w:tag w:val="_GBC_61071b9a58624e83bfc4232808751b95"/>
        <w:id w:val="655962196"/>
        <w:lock w:val="contentLocked"/>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母公司财务附注：长期股权投资"/>
          <w:tag w:val="_GBC_ee2c3454a2494dfca9c0a07bba82ed3d"/>
          <w:id w:val="14574460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财务附注：长期股权投资"/>
          <w:tag w:val="_GBC_4b4d1a2b986f475e8058a041d2f5a6f9"/>
          <w:id w:val="-1707134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547"/>
        <w:gridCol w:w="1741"/>
        <w:gridCol w:w="1702"/>
        <w:gridCol w:w="1702"/>
        <w:gridCol w:w="1744"/>
        <w:gridCol w:w="1722"/>
        <w:gridCol w:w="1705"/>
      </w:tblGrid>
      <w:tr w:rsidR="00156DD6">
        <w:trPr>
          <w:cantSplit/>
        </w:trPr>
        <w:sdt>
          <w:sdtPr>
            <w:tag w:val="_PLD_69c4a2f49545484e8b3a149f64c9d21f"/>
            <w:id w:val="-689680606"/>
          </w:sdtPr>
          <w:sdtEndPr/>
          <w:sdtContent>
            <w:tc>
              <w:tcPr>
                <w:tcW w:w="1279" w:type="pct"/>
                <w:vMerge w:val="restart"/>
                <w:vAlign w:val="center"/>
              </w:tcPr>
              <w:p w:rsidR="00156DD6" w:rsidRDefault="00D51F5F">
                <w:pPr>
                  <w:jc w:val="center"/>
                  <w:rPr>
                    <w:color w:val="000000" w:themeColor="text1"/>
                  </w:rPr>
                </w:pPr>
                <w:r>
                  <w:rPr>
                    <w:rFonts w:hint="eastAsia"/>
                    <w:color w:val="000000" w:themeColor="text1"/>
                  </w:rPr>
                  <w:t>项目</w:t>
                </w:r>
              </w:p>
            </w:tc>
          </w:sdtContent>
        </w:sdt>
        <w:sdt>
          <w:sdtPr>
            <w:tag w:val="_PLD_f7d0566caa554c4c823029a05c5319eb"/>
            <w:id w:val="763418866"/>
          </w:sdtPr>
          <w:sdtEndPr/>
          <w:sdtContent>
            <w:tc>
              <w:tcPr>
                <w:tcW w:w="1856" w:type="pct"/>
                <w:gridSpan w:val="3"/>
                <w:vAlign w:val="center"/>
              </w:tcPr>
              <w:p w:rsidR="00156DD6" w:rsidRDefault="00D51F5F">
                <w:pPr>
                  <w:jc w:val="center"/>
                  <w:rPr>
                    <w:color w:val="000000" w:themeColor="text1"/>
                  </w:rPr>
                </w:pPr>
                <w:r>
                  <w:rPr>
                    <w:rFonts w:hint="eastAsia"/>
                    <w:color w:val="000000" w:themeColor="text1"/>
                  </w:rPr>
                  <w:t>期末余额</w:t>
                </w:r>
              </w:p>
            </w:tc>
          </w:sdtContent>
        </w:sdt>
        <w:sdt>
          <w:sdtPr>
            <w:tag w:val="_PLD_9d2cfae2492a49c2b441d1371a5e4673"/>
            <w:id w:val="841587936"/>
          </w:sdtPr>
          <w:sdtEndPr/>
          <w:sdtContent>
            <w:tc>
              <w:tcPr>
                <w:tcW w:w="1865" w:type="pct"/>
                <w:gridSpan w:val="3"/>
                <w:vAlign w:val="center"/>
              </w:tcPr>
              <w:p w:rsidR="00156DD6" w:rsidRDefault="00D51F5F">
                <w:pPr>
                  <w:jc w:val="center"/>
                  <w:rPr>
                    <w:color w:val="000000" w:themeColor="text1"/>
                  </w:rPr>
                </w:pPr>
                <w:r>
                  <w:rPr>
                    <w:rFonts w:hint="eastAsia"/>
                    <w:color w:val="000000" w:themeColor="text1"/>
                  </w:rPr>
                  <w:t>期初余额</w:t>
                </w:r>
              </w:p>
            </w:tc>
          </w:sdtContent>
        </w:sdt>
      </w:tr>
      <w:tr w:rsidR="00156DD6">
        <w:trPr>
          <w:cantSplit/>
        </w:trPr>
        <w:tc>
          <w:tcPr>
            <w:tcW w:w="1279" w:type="pct"/>
            <w:vMerge/>
            <w:vAlign w:val="center"/>
          </w:tcPr>
          <w:p w:rsidR="00156DD6" w:rsidRDefault="00156DD6">
            <w:pPr>
              <w:jc w:val="center"/>
              <w:rPr>
                <w:color w:val="000000" w:themeColor="text1"/>
              </w:rPr>
            </w:pPr>
          </w:p>
        </w:tc>
        <w:sdt>
          <w:sdtPr>
            <w:tag w:val="_PLD_9f664b17996c45f08a57544a9ec7e340"/>
            <w:id w:val="-1660693836"/>
          </w:sdtPr>
          <w:sdtEndPr/>
          <w:sdtContent>
            <w:tc>
              <w:tcPr>
                <w:tcW w:w="628" w:type="pct"/>
                <w:vAlign w:val="center"/>
              </w:tcPr>
              <w:p w:rsidR="00156DD6" w:rsidRDefault="00D51F5F">
                <w:pPr>
                  <w:jc w:val="center"/>
                  <w:rPr>
                    <w:color w:val="000000" w:themeColor="text1"/>
                  </w:rPr>
                </w:pPr>
                <w:r>
                  <w:rPr>
                    <w:rFonts w:hint="eastAsia"/>
                    <w:color w:val="000000" w:themeColor="text1"/>
                  </w:rPr>
                  <w:t>账面余额</w:t>
                </w:r>
              </w:p>
            </w:tc>
          </w:sdtContent>
        </w:sdt>
        <w:sdt>
          <w:sdtPr>
            <w:tag w:val="_PLD_5c150a7367994fc29e7f8b50d7ff2eab"/>
            <w:id w:val="-1610043233"/>
          </w:sdtPr>
          <w:sdtEndPr/>
          <w:sdtContent>
            <w:tc>
              <w:tcPr>
                <w:tcW w:w="614" w:type="pct"/>
                <w:vAlign w:val="center"/>
              </w:tcPr>
              <w:p w:rsidR="00156DD6" w:rsidRDefault="00D51F5F">
                <w:pPr>
                  <w:jc w:val="center"/>
                  <w:rPr>
                    <w:color w:val="000000" w:themeColor="text1"/>
                  </w:rPr>
                </w:pPr>
                <w:r>
                  <w:rPr>
                    <w:rFonts w:hint="eastAsia"/>
                    <w:color w:val="000000" w:themeColor="text1"/>
                  </w:rPr>
                  <w:t>减值准备</w:t>
                </w:r>
              </w:p>
            </w:tc>
          </w:sdtContent>
        </w:sdt>
        <w:sdt>
          <w:sdtPr>
            <w:tag w:val="_PLD_3db48da0eacd49568929884577dae51b"/>
            <w:id w:val="1057355037"/>
          </w:sdtPr>
          <w:sdtEndPr/>
          <w:sdtContent>
            <w:tc>
              <w:tcPr>
                <w:tcW w:w="614" w:type="pct"/>
                <w:vAlign w:val="center"/>
              </w:tcPr>
              <w:p w:rsidR="00156DD6" w:rsidRDefault="00D51F5F">
                <w:pPr>
                  <w:jc w:val="center"/>
                  <w:rPr>
                    <w:color w:val="000000" w:themeColor="text1"/>
                  </w:rPr>
                </w:pPr>
                <w:r>
                  <w:rPr>
                    <w:rFonts w:hint="eastAsia"/>
                    <w:color w:val="000000" w:themeColor="text1"/>
                  </w:rPr>
                  <w:t>账面价值</w:t>
                </w:r>
              </w:p>
            </w:tc>
          </w:sdtContent>
        </w:sdt>
        <w:sdt>
          <w:sdtPr>
            <w:tag w:val="_PLD_00d8a1d3b6754b52929b2c46a2e716c9"/>
            <w:id w:val="-1157681089"/>
          </w:sdtPr>
          <w:sdtEndPr/>
          <w:sdtContent>
            <w:tc>
              <w:tcPr>
                <w:tcW w:w="629" w:type="pct"/>
                <w:vAlign w:val="center"/>
              </w:tcPr>
              <w:p w:rsidR="00156DD6" w:rsidRDefault="00D51F5F">
                <w:pPr>
                  <w:jc w:val="center"/>
                  <w:rPr>
                    <w:color w:val="000000" w:themeColor="text1"/>
                  </w:rPr>
                </w:pPr>
                <w:r>
                  <w:rPr>
                    <w:rFonts w:hint="eastAsia"/>
                    <w:color w:val="000000" w:themeColor="text1"/>
                  </w:rPr>
                  <w:t>账面余额</w:t>
                </w:r>
              </w:p>
            </w:tc>
          </w:sdtContent>
        </w:sdt>
        <w:sdt>
          <w:sdtPr>
            <w:tag w:val="_PLD_0f2c77fc41ea456bab34653dee178805"/>
            <w:id w:val="997618541"/>
          </w:sdtPr>
          <w:sdtEndPr/>
          <w:sdtContent>
            <w:tc>
              <w:tcPr>
                <w:tcW w:w="621" w:type="pct"/>
                <w:vAlign w:val="center"/>
              </w:tcPr>
              <w:p w:rsidR="00156DD6" w:rsidRDefault="00D51F5F">
                <w:pPr>
                  <w:jc w:val="center"/>
                  <w:rPr>
                    <w:color w:val="000000" w:themeColor="text1"/>
                  </w:rPr>
                </w:pPr>
                <w:r>
                  <w:rPr>
                    <w:rFonts w:hint="eastAsia"/>
                    <w:color w:val="000000" w:themeColor="text1"/>
                  </w:rPr>
                  <w:t>减值准备</w:t>
                </w:r>
              </w:p>
            </w:tc>
          </w:sdtContent>
        </w:sdt>
        <w:sdt>
          <w:sdtPr>
            <w:tag w:val="_PLD_9ae07ed9769c419fa280d4c5ad3f03d7"/>
            <w:id w:val="1993757266"/>
          </w:sdtPr>
          <w:sdtEndPr/>
          <w:sdtContent>
            <w:tc>
              <w:tcPr>
                <w:tcW w:w="615" w:type="pct"/>
                <w:vAlign w:val="center"/>
              </w:tcPr>
              <w:p w:rsidR="00156DD6" w:rsidRDefault="00D51F5F">
                <w:pPr>
                  <w:jc w:val="center"/>
                  <w:rPr>
                    <w:color w:val="000000" w:themeColor="text1"/>
                  </w:rPr>
                </w:pPr>
                <w:r>
                  <w:rPr>
                    <w:rFonts w:hint="eastAsia"/>
                    <w:color w:val="000000" w:themeColor="text1"/>
                  </w:rPr>
                  <w:t>账面价值</w:t>
                </w:r>
              </w:p>
            </w:tc>
          </w:sdtContent>
        </w:sdt>
      </w:tr>
      <w:tr w:rsidR="00156DD6">
        <w:trPr>
          <w:cantSplit/>
        </w:trPr>
        <w:tc>
          <w:tcPr>
            <w:tcW w:w="1279" w:type="pct"/>
          </w:tcPr>
          <w:p w:rsidR="00156DD6" w:rsidRDefault="00D51F5F">
            <w:pPr>
              <w:rPr>
                <w:color w:val="000000" w:themeColor="text1"/>
              </w:rPr>
            </w:pPr>
            <w:r>
              <w:rPr>
                <w:rFonts w:hint="eastAsia"/>
                <w:color w:val="000000" w:themeColor="text1"/>
              </w:rPr>
              <w:t>对子公司投资</w:t>
            </w:r>
          </w:p>
        </w:tc>
        <w:tc>
          <w:tcPr>
            <w:tcW w:w="628" w:type="pct"/>
          </w:tcPr>
          <w:p w:rsidR="00156DD6" w:rsidRDefault="00D51F5F">
            <w:pPr>
              <w:jc w:val="right"/>
            </w:pPr>
            <w:r>
              <w:t xml:space="preserve"> 787,978,675.90 </w:t>
            </w:r>
          </w:p>
        </w:tc>
        <w:tc>
          <w:tcPr>
            <w:tcW w:w="614" w:type="pct"/>
          </w:tcPr>
          <w:p w:rsidR="00156DD6" w:rsidRDefault="00156DD6">
            <w:pPr>
              <w:jc w:val="right"/>
            </w:pPr>
          </w:p>
        </w:tc>
        <w:tc>
          <w:tcPr>
            <w:tcW w:w="614" w:type="pct"/>
          </w:tcPr>
          <w:p w:rsidR="00156DD6" w:rsidRDefault="00D51F5F">
            <w:pPr>
              <w:jc w:val="right"/>
            </w:pPr>
            <w:r>
              <w:t xml:space="preserve"> 787,978,675.90 </w:t>
            </w:r>
          </w:p>
        </w:tc>
        <w:tc>
          <w:tcPr>
            <w:tcW w:w="629" w:type="pct"/>
            <w:vAlign w:val="center"/>
          </w:tcPr>
          <w:p w:rsidR="00156DD6" w:rsidRDefault="00D51F5F">
            <w:pPr>
              <w:jc w:val="right"/>
            </w:pPr>
            <w:r>
              <w:t>660,425,575.90</w:t>
            </w:r>
          </w:p>
        </w:tc>
        <w:tc>
          <w:tcPr>
            <w:tcW w:w="621" w:type="pct"/>
            <w:vAlign w:val="center"/>
          </w:tcPr>
          <w:p w:rsidR="00156DD6" w:rsidRDefault="00156DD6">
            <w:pPr>
              <w:jc w:val="right"/>
            </w:pPr>
          </w:p>
        </w:tc>
        <w:tc>
          <w:tcPr>
            <w:tcW w:w="615" w:type="pct"/>
            <w:vAlign w:val="center"/>
          </w:tcPr>
          <w:p w:rsidR="00156DD6" w:rsidRDefault="00D51F5F">
            <w:pPr>
              <w:jc w:val="right"/>
            </w:pPr>
            <w:r>
              <w:t>660,425,575.90</w:t>
            </w:r>
          </w:p>
        </w:tc>
      </w:tr>
      <w:tr w:rsidR="00156DD6">
        <w:trPr>
          <w:cantSplit/>
        </w:trPr>
        <w:tc>
          <w:tcPr>
            <w:tcW w:w="1279" w:type="pct"/>
          </w:tcPr>
          <w:p w:rsidR="00156DD6" w:rsidRDefault="00D51F5F">
            <w:pPr>
              <w:rPr>
                <w:color w:val="000000" w:themeColor="text1"/>
              </w:rPr>
            </w:pPr>
            <w:r>
              <w:rPr>
                <w:rFonts w:hint="eastAsia"/>
                <w:color w:val="000000" w:themeColor="text1"/>
              </w:rPr>
              <w:t>对联营、合营企业投资</w:t>
            </w:r>
          </w:p>
        </w:tc>
        <w:tc>
          <w:tcPr>
            <w:tcW w:w="628" w:type="pct"/>
          </w:tcPr>
          <w:p w:rsidR="00156DD6" w:rsidRDefault="00D51F5F">
            <w:pPr>
              <w:jc w:val="right"/>
            </w:pPr>
            <w:r>
              <w:t xml:space="preserve"> 17,344,541.71 </w:t>
            </w:r>
          </w:p>
        </w:tc>
        <w:tc>
          <w:tcPr>
            <w:tcW w:w="614" w:type="pct"/>
          </w:tcPr>
          <w:p w:rsidR="00156DD6" w:rsidRDefault="00156DD6">
            <w:pPr>
              <w:jc w:val="right"/>
            </w:pPr>
          </w:p>
        </w:tc>
        <w:tc>
          <w:tcPr>
            <w:tcW w:w="614" w:type="pct"/>
          </w:tcPr>
          <w:p w:rsidR="00156DD6" w:rsidRDefault="00D51F5F">
            <w:pPr>
              <w:jc w:val="right"/>
            </w:pPr>
            <w:r>
              <w:t xml:space="preserve"> 17,344,541.71 </w:t>
            </w:r>
          </w:p>
        </w:tc>
        <w:tc>
          <w:tcPr>
            <w:tcW w:w="629" w:type="pct"/>
            <w:vAlign w:val="center"/>
          </w:tcPr>
          <w:p w:rsidR="00156DD6" w:rsidRDefault="00D51F5F">
            <w:pPr>
              <w:jc w:val="right"/>
            </w:pPr>
            <w:r>
              <w:t>14,718,479.56</w:t>
            </w:r>
          </w:p>
        </w:tc>
        <w:tc>
          <w:tcPr>
            <w:tcW w:w="621" w:type="pct"/>
            <w:vAlign w:val="center"/>
          </w:tcPr>
          <w:p w:rsidR="00156DD6" w:rsidRDefault="00156DD6">
            <w:pPr>
              <w:jc w:val="right"/>
            </w:pPr>
          </w:p>
        </w:tc>
        <w:tc>
          <w:tcPr>
            <w:tcW w:w="615" w:type="pct"/>
            <w:vAlign w:val="center"/>
          </w:tcPr>
          <w:p w:rsidR="00156DD6" w:rsidRDefault="00D51F5F">
            <w:pPr>
              <w:jc w:val="right"/>
            </w:pPr>
            <w:r>
              <w:t>14,718,479.56</w:t>
            </w:r>
          </w:p>
        </w:tc>
      </w:tr>
      <w:tr w:rsidR="00156DD6">
        <w:trPr>
          <w:cantSplit/>
        </w:trPr>
        <w:tc>
          <w:tcPr>
            <w:tcW w:w="1279" w:type="pct"/>
            <w:vAlign w:val="center"/>
          </w:tcPr>
          <w:p w:rsidR="00156DD6" w:rsidRDefault="00D51F5F">
            <w:pPr>
              <w:jc w:val="center"/>
              <w:rPr>
                <w:color w:val="000000" w:themeColor="text1"/>
              </w:rPr>
            </w:pPr>
            <w:r>
              <w:rPr>
                <w:rFonts w:hint="eastAsia"/>
                <w:color w:val="000000" w:themeColor="text1"/>
              </w:rPr>
              <w:t>合计</w:t>
            </w:r>
          </w:p>
        </w:tc>
        <w:tc>
          <w:tcPr>
            <w:tcW w:w="628" w:type="pct"/>
          </w:tcPr>
          <w:p w:rsidR="00156DD6" w:rsidRDefault="00D51F5F">
            <w:pPr>
              <w:jc w:val="right"/>
            </w:pPr>
            <w:r>
              <w:t xml:space="preserve"> 805,323,217.61 </w:t>
            </w:r>
          </w:p>
        </w:tc>
        <w:tc>
          <w:tcPr>
            <w:tcW w:w="614" w:type="pct"/>
          </w:tcPr>
          <w:p w:rsidR="00156DD6" w:rsidRDefault="00156DD6">
            <w:pPr>
              <w:jc w:val="right"/>
            </w:pPr>
          </w:p>
        </w:tc>
        <w:tc>
          <w:tcPr>
            <w:tcW w:w="614" w:type="pct"/>
          </w:tcPr>
          <w:p w:rsidR="00156DD6" w:rsidRDefault="00D51F5F">
            <w:pPr>
              <w:jc w:val="right"/>
            </w:pPr>
            <w:r>
              <w:t xml:space="preserve"> 805,323,217.61 </w:t>
            </w:r>
          </w:p>
        </w:tc>
        <w:tc>
          <w:tcPr>
            <w:tcW w:w="629" w:type="pct"/>
            <w:vAlign w:val="center"/>
          </w:tcPr>
          <w:p w:rsidR="00156DD6" w:rsidRDefault="00D51F5F">
            <w:pPr>
              <w:jc w:val="right"/>
            </w:pPr>
            <w:r>
              <w:t>675,144,055.46</w:t>
            </w:r>
          </w:p>
        </w:tc>
        <w:tc>
          <w:tcPr>
            <w:tcW w:w="621" w:type="pct"/>
            <w:vAlign w:val="center"/>
          </w:tcPr>
          <w:p w:rsidR="00156DD6" w:rsidRDefault="00156DD6">
            <w:pPr>
              <w:jc w:val="right"/>
            </w:pPr>
          </w:p>
        </w:tc>
        <w:tc>
          <w:tcPr>
            <w:tcW w:w="615" w:type="pct"/>
            <w:vAlign w:val="center"/>
          </w:tcPr>
          <w:p w:rsidR="00156DD6" w:rsidRDefault="00D51F5F">
            <w:pPr>
              <w:jc w:val="right"/>
            </w:pPr>
            <w:r>
              <w:t>675,144,055.46</w:t>
            </w:r>
          </w:p>
        </w:tc>
      </w:tr>
    </w:tbl>
    <w:p w:rsidR="00156DD6" w:rsidRDefault="00D51F5F">
      <w:pPr>
        <w:pStyle w:val="Style47"/>
        <w:numPr>
          <w:ilvl w:val="0"/>
          <w:numId w:val="114"/>
        </w:numPr>
        <w:rPr>
          <w:rFonts w:ascii="宋体" w:hAnsi="宋体"/>
          <w:color w:val="000000" w:themeColor="text1"/>
          <w:sz w:val="21"/>
          <w:szCs w:val="32"/>
        </w:rPr>
      </w:pPr>
      <w:bookmarkStart w:id="545" w:name="_Hlk199854867"/>
      <w:r>
        <w:rPr>
          <w:rFonts w:ascii="宋体" w:hAnsi="宋体" w:hint="eastAsia"/>
          <w:color w:val="000000" w:themeColor="text1"/>
          <w:sz w:val="21"/>
          <w:szCs w:val="32"/>
        </w:rPr>
        <w:t>对子公司投资</w:t>
      </w:r>
    </w:p>
    <w:sdt>
      <w:sdtPr>
        <w:rPr>
          <w:color w:val="000000" w:themeColor="text1"/>
        </w:rPr>
        <w:alias w:val="是否适用：母公司对子公司投资[双击切换]"/>
        <w:tag w:val="_GBC_c52cee49247d42a9a79deabbd4c8635c"/>
        <w:id w:val="207108016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母公司财务附注：对子公司投资"/>
          <w:tag w:val="_GBC_84c410d0b81f42e3adfddc3699487310"/>
          <w:id w:val="-9773015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财务附注：对子公司投资"/>
          <w:tag w:val="_GBC_97fad72310ba4b849377b0e1cebf7303"/>
          <w:id w:val="-718902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076"/>
        <w:gridCol w:w="1336"/>
        <w:gridCol w:w="1686"/>
        <w:gridCol w:w="1476"/>
        <w:gridCol w:w="1076"/>
        <w:gridCol w:w="556"/>
        <w:gridCol w:w="2076"/>
        <w:gridCol w:w="1336"/>
      </w:tblGrid>
      <w:tr w:rsidR="00156DD6">
        <w:trPr>
          <w:trHeight w:val="226"/>
        </w:trPr>
        <w:bookmarkEnd w:id="545" w:displacedByCustomXml="next"/>
        <w:bookmarkStart w:id="546" w:name="_Hlk199855034" w:displacedByCustomXml="next"/>
        <w:bookmarkStart w:id="547" w:name="_Hlk106375342" w:displacedByCustomXml="next"/>
        <w:sdt>
          <w:sdtPr>
            <w:tag w:val="_PLD_5e30a804ceaa4024b238d79c66b2f2dd"/>
            <w:id w:val="-1654293171"/>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pPr>
                <w:r>
                  <w:rPr>
                    <w:rFonts w:hint="eastAsia"/>
                  </w:rPr>
                  <w:t>被投资单位</w:t>
                </w:r>
              </w:p>
            </w:tc>
          </w:sdtContent>
        </w:sdt>
        <w:sdt>
          <w:sdtPr>
            <w:tag w:val="_PLD_414e7de75190451298fb101077dd4f51"/>
            <w:id w:val="1193885550"/>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pPr>
                <w:r>
                  <w:rPr>
                    <w:rFonts w:hint="eastAsia"/>
                  </w:rPr>
                  <w:t>期初余额（账面价值）</w:t>
                </w:r>
              </w:p>
            </w:tc>
          </w:sdtContent>
        </w:sdt>
        <w:sdt>
          <w:sdtPr>
            <w:tag w:val="_PLD_13c296ca5c774a46b83afc3a9c08fdab"/>
            <w:id w:val="-1172794174"/>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pPr>
                <w:r>
                  <w:rPr>
                    <w:rFonts w:hint="eastAsia"/>
                  </w:rPr>
                  <w:t>减值准备期初余额</w:t>
                </w:r>
              </w:p>
            </w:tc>
          </w:sdtContent>
        </w:sdt>
        <w:sdt>
          <w:sdtPr>
            <w:tag w:val="_PLD_38d284e511fe4000a53245d837ffe0fb"/>
            <w:id w:val="1146324415"/>
          </w:sdtPr>
          <w:sdtEndPr/>
          <w:sdtContent>
            <w:tc>
              <w:tcPr>
                <w:tcW w:w="0" w:type="auto"/>
                <w:gridSpan w:val="4"/>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本期增减变动</w:t>
                </w:r>
              </w:p>
            </w:tc>
          </w:sdtContent>
        </w:sdt>
        <w:sdt>
          <w:sdtPr>
            <w:tag w:val="_PLD_f92255f6ae8b4ccdb039b28bf9204156"/>
            <w:id w:val="1347059224"/>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pPr>
                <w:r>
                  <w:rPr>
                    <w:rFonts w:hint="eastAsia"/>
                  </w:rPr>
                  <w:t>期末余额（账面价值）</w:t>
                </w:r>
              </w:p>
            </w:tc>
          </w:sdtContent>
        </w:sdt>
        <w:sdt>
          <w:sdtPr>
            <w:tag w:val="_PLD_2f11e6808a6f4c8b9936f3229bb0c312"/>
            <w:id w:val="-1244636550"/>
          </w:sdtPr>
          <w:sdtEndPr/>
          <w:sdtContent>
            <w:tc>
              <w:tcPr>
                <w:tcW w:w="0" w:type="auto"/>
                <w:vMerge w:val="restart"/>
                <w:tcBorders>
                  <w:top w:val="single" w:sz="4" w:space="0" w:color="auto"/>
                  <w:left w:val="single" w:sz="4" w:space="0" w:color="auto"/>
                  <w:right w:val="single" w:sz="4" w:space="0" w:color="auto"/>
                </w:tcBorders>
                <w:vAlign w:val="center"/>
              </w:tcPr>
              <w:p w:rsidR="00156DD6" w:rsidRDefault="00D51F5F">
                <w:pPr>
                  <w:jc w:val="center"/>
                </w:pPr>
                <w:r>
                  <w:rPr>
                    <w:rFonts w:hint="eastAsia"/>
                  </w:rPr>
                  <w:t>减值准备期末余额</w:t>
                </w:r>
              </w:p>
            </w:tc>
          </w:sdtContent>
        </w:sdt>
      </w:tr>
      <w:tr w:rsidR="00156DD6">
        <w:trPr>
          <w:trHeight w:val="405"/>
        </w:trPr>
        <w:tc>
          <w:tcPr>
            <w:tcW w:w="0" w:type="auto"/>
            <w:vMerge/>
            <w:tcBorders>
              <w:left w:val="single" w:sz="4" w:space="0" w:color="auto"/>
              <w:bottom w:val="single" w:sz="4" w:space="0" w:color="auto"/>
              <w:right w:val="single" w:sz="4" w:space="0" w:color="auto"/>
            </w:tcBorders>
            <w:vAlign w:val="center"/>
          </w:tcPr>
          <w:p w:rsidR="00156DD6" w:rsidRDefault="00156DD6">
            <w:pPr>
              <w:jc w:val="center"/>
            </w:pPr>
          </w:p>
        </w:tc>
        <w:tc>
          <w:tcPr>
            <w:tcW w:w="0" w:type="auto"/>
            <w:vMerge/>
            <w:tcBorders>
              <w:left w:val="single" w:sz="4" w:space="0" w:color="auto"/>
              <w:bottom w:val="single" w:sz="4" w:space="0" w:color="auto"/>
              <w:right w:val="single" w:sz="4" w:space="0" w:color="auto"/>
            </w:tcBorders>
            <w:vAlign w:val="center"/>
          </w:tcPr>
          <w:p w:rsidR="00156DD6" w:rsidRDefault="00156DD6">
            <w:pPr>
              <w:jc w:val="center"/>
            </w:pPr>
          </w:p>
        </w:tc>
        <w:tc>
          <w:tcPr>
            <w:tcW w:w="0" w:type="auto"/>
            <w:vMerge/>
            <w:tcBorders>
              <w:left w:val="single" w:sz="4" w:space="0" w:color="auto"/>
              <w:bottom w:val="single" w:sz="4" w:space="0" w:color="auto"/>
              <w:right w:val="single" w:sz="4" w:space="0" w:color="auto"/>
            </w:tcBorders>
            <w:vAlign w:val="center"/>
          </w:tcPr>
          <w:p w:rsidR="00156DD6" w:rsidRDefault="00156DD6">
            <w:pPr>
              <w:jc w:val="center"/>
            </w:pPr>
          </w:p>
        </w:tc>
        <w:sdt>
          <w:sdtPr>
            <w:tag w:val="_PLD_f5b021383bb548b49923eb6da9f9508b"/>
            <w:id w:val="1107244642"/>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追加投资</w:t>
                </w:r>
              </w:p>
            </w:tc>
          </w:sdtContent>
        </w:sdt>
        <w:sdt>
          <w:sdtPr>
            <w:tag w:val="_PLD_b8d09cf97c8b48a3aaf395198d3c74de"/>
            <w:id w:val="-1464881712"/>
          </w:sdtPr>
          <w:sdtEndPr/>
          <w:sdtContent>
            <w:tc>
              <w:tcPr>
                <w:tcW w:w="0" w:type="auto"/>
                <w:tcBorders>
                  <w:left w:val="single" w:sz="4" w:space="0" w:color="auto"/>
                  <w:bottom w:val="single" w:sz="4" w:space="0" w:color="auto"/>
                  <w:right w:val="single" w:sz="4" w:space="0" w:color="auto"/>
                </w:tcBorders>
                <w:vAlign w:val="center"/>
              </w:tcPr>
              <w:p w:rsidR="00156DD6" w:rsidRDefault="00D51F5F">
                <w:pPr>
                  <w:jc w:val="center"/>
                </w:pPr>
                <w:r>
                  <w:rPr>
                    <w:rFonts w:hint="eastAsia"/>
                  </w:rPr>
                  <w:t>减少投资</w:t>
                </w:r>
              </w:p>
            </w:tc>
          </w:sdtContent>
        </w:sdt>
        <w:sdt>
          <w:sdtPr>
            <w:tag w:val="_PLD_65083c46ec1c4666ad2656e7657e9fd1"/>
            <w:id w:val="1815911685"/>
          </w:sdtPr>
          <w:sdtEndPr/>
          <w:sdtContent>
            <w:tc>
              <w:tcPr>
                <w:tcW w:w="0" w:type="auto"/>
                <w:tcBorders>
                  <w:left w:val="single" w:sz="4" w:space="0" w:color="auto"/>
                  <w:bottom w:val="single" w:sz="4" w:space="0" w:color="auto"/>
                  <w:right w:val="single" w:sz="4" w:space="0" w:color="auto"/>
                </w:tcBorders>
                <w:vAlign w:val="center"/>
              </w:tcPr>
              <w:p w:rsidR="00156DD6" w:rsidRDefault="00D51F5F">
                <w:pPr>
                  <w:jc w:val="center"/>
                </w:pPr>
                <w:r>
                  <w:rPr>
                    <w:rFonts w:hint="eastAsia"/>
                  </w:rPr>
                  <w:t>计提减值准备</w:t>
                </w:r>
              </w:p>
            </w:tc>
          </w:sdtContent>
        </w:sdt>
        <w:sdt>
          <w:sdtPr>
            <w:tag w:val="_PLD_2fd0b6df5fee4d3a8b432fa87f15d3c6"/>
            <w:id w:val="828242910"/>
          </w:sdtPr>
          <w:sdtEndPr/>
          <w:sdtContent>
            <w:tc>
              <w:tcPr>
                <w:tcW w:w="0" w:type="auto"/>
                <w:tcBorders>
                  <w:left w:val="single" w:sz="4" w:space="0" w:color="auto"/>
                  <w:bottom w:val="single" w:sz="4" w:space="0" w:color="auto"/>
                  <w:right w:val="single" w:sz="4" w:space="0" w:color="auto"/>
                </w:tcBorders>
                <w:vAlign w:val="center"/>
              </w:tcPr>
              <w:p w:rsidR="00156DD6" w:rsidRDefault="00D51F5F">
                <w:pPr>
                  <w:jc w:val="center"/>
                </w:pPr>
                <w:r>
                  <w:rPr>
                    <w:rFonts w:hint="eastAsia"/>
                  </w:rPr>
                  <w:t>其他</w:t>
                </w:r>
              </w:p>
            </w:tc>
          </w:sdtContent>
        </w:sdt>
        <w:tc>
          <w:tcPr>
            <w:tcW w:w="0" w:type="auto"/>
            <w:vMerge/>
            <w:tcBorders>
              <w:left w:val="single" w:sz="4" w:space="0" w:color="auto"/>
              <w:bottom w:val="single" w:sz="4" w:space="0" w:color="auto"/>
              <w:right w:val="single" w:sz="4" w:space="0" w:color="auto"/>
            </w:tcBorders>
            <w:vAlign w:val="center"/>
          </w:tcPr>
          <w:p w:rsidR="00156DD6" w:rsidRDefault="00156DD6">
            <w:pPr>
              <w:jc w:val="center"/>
            </w:pPr>
          </w:p>
        </w:tc>
        <w:tc>
          <w:tcPr>
            <w:tcW w:w="0" w:type="auto"/>
            <w:vMerge/>
            <w:tcBorders>
              <w:left w:val="single" w:sz="4" w:space="0" w:color="auto"/>
              <w:bottom w:val="single" w:sz="4" w:space="0" w:color="auto"/>
              <w:right w:val="single" w:sz="4" w:space="0" w:color="auto"/>
            </w:tcBorders>
            <w:vAlign w:val="center"/>
          </w:tcPr>
          <w:p w:rsidR="00156DD6" w:rsidRDefault="00156DD6">
            <w:pPr>
              <w:jc w:val="center"/>
            </w:pPr>
          </w:p>
        </w:tc>
      </w:tr>
      <w:tr w:rsidR="00156DD6">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rPr>
            </w:pPr>
            <w:r>
              <w:rPr>
                <w:color w:val="000000" w:themeColor="text1"/>
              </w:rPr>
              <w:t>云南变压器电气股份有限公司</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559,816,869.00</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120,413,100.00 </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680,229,969.00 </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rPr>
            </w:pPr>
            <w:r>
              <w:rPr>
                <w:color w:val="000000" w:themeColor="text1"/>
              </w:rPr>
              <w:t>黔南望江变压器有限公司</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60,427,202.24</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60,427,202.24 </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rPr>
            </w:pPr>
            <w:r>
              <w:rPr>
                <w:color w:val="000000" w:themeColor="text1"/>
              </w:rPr>
              <w:t>重庆惠泽电器有限公司</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40,181,504.66</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40,181,504.66 </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rPr>
            </w:pPr>
            <w:r>
              <w:rPr>
                <w:rFonts w:hint="eastAsia"/>
                <w:color w:val="000000" w:themeColor="text1"/>
              </w:rPr>
              <w:t>沈阳望泽电气有限公司</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5,100,000.00 </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5,100,000.00 </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rPr>
                <w:color w:val="000000" w:themeColor="text1"/>
              </w:rPr>
            </w:pPr>
            <w:r>
              <w:rPr>
                <w:rFonts w:hint="eastAsia"/>
                <w:color w:val="000000" w:themeColor="text1"/>
              </w:rPr>
              <w:t>上海渝申望变新能源科技有限公司</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10,200,000.00 </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8,160,000.00 </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2,040,000.00 </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center"/>
            </w:pPr>
            <w:r>
              <w:rPr>
                <w:rFonts w:hint="eastAsia"/>
              </w:rPr>
              <w:t>合计</w:t>
            </w:r>
          </w:p>
        </w:tc>
        <w:tc>
          <w:tcPr>
            <w:tcW w:w="0" w:type="auto"/>
            <w:tcBorders>
              <w:top w:val="single" w:sz="4" w:space="0" w:color="auto"/>
              <w:left w:val="single" w:sz="4" w:space="0" w:color="auto"/>
              <w:bottom w:val="single" w:sz="4" w:space="0" w:color="auto"/>
              <w:right w:val="single" w:sz="4" w:space="0" w:color="auto"/>
            </w:tcBorders>
          </w:tcPr>
          <w:p w:rsidR="00156DD6" w:rsidRDefault="00D51F5F">
            <w:pPr>
              <w:jc w:val="right"/>
            </w:pPr>
            <w:r>
              <w:t>660,425,575.90</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135,713,100.00 </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8,160,000.00 </w:t>
            </w: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156DD6">
            <w:pPr>
              <w:jc w:val="right"/>
            </w:pPr>
          </w:p>
        </w:tc>
        <w:tc>
          <w:tcPr>
            <w:tcW w:w="0" w:type="auto"/>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787,978,675.90 </w:t>
            </w:r>
          </w:p>
        </w:tc>
        <w:tc>
          <w:tcPr>
            <w:tcW w:w="0" w:type="auto"/>
            <w:tcBorders>
              <w:top w:val="single" w:sz="4" w:space="0" w:color="auto"/>
              <w:left w:val="single" w:sz="4" w:space="0" w:color="auto"/>
              <w:bottom w:val="single" w:sz="4" w:space="0" w:color="auto"/>
              <w:right w:val="single" w:sz="4" w:space="0" w:color="auto"/>
            </w:tcBorders>
          </w:tcPr>
          <w:p w:rsidR="00156DD6" w:rsidRDefault="00156DD6">
            <w:pPr>
              <w:jc w:val="right"/>
            </w:pPr>
          </w:p>
        </w:tc>
      </w:tr>
    </w:tbl>
    <w:p w:rsidR="00156DD6" w:rsidRDefault="00D51F5F">
      <w:pPr>
        <w:pStyle w:val="Style47"/>
        <w:numPr>
          <w:ilvl w:val="0"/>
          <w:numId w:val="114"/>
        </w:numPr>
        <w:rPr>
          <w:rFonts w:ascii="宋体" w:hAnsi="宋体"/>
          <w:color w:val="000000" w:themeColor="text1"/>
          <w:sz w:val="21"/>
          <w:szCs w:val="32"/>
        </w:rPr>
      </w:pPr>
      <w:r>
        <w:rPr>
          <w:rFonts w:ascii="宋体" w:hAnsi="宋体" w:hint="eastAsia"/>
          <w:color w:val="000000" w:themeColor="text1"/>
          <w:sz w:val="21"/>
          <w:szCs w:val="32"/>
        </w:rPr>
        <w:t>对联营、合营企业投资</w:t>
      </w:r>
    </w:p>
    <w:sdt>
      <w:sdtPr>
        <w:rPr>
          <w:color w:val="000000" w:themeColor="text1"/>
        </w:rPr>
        <w:alias w:val="是否适用：母公司对联营、合营企业投资[双击切换]"/>
        <w:tag w:val="_GBC_0837f60a15fc4684b64085618adca8d2"/>
        <w:id w:val="-27702829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母公司财务附注：对联营、合营企业投资"/>
          <w:tag w:val="_GBC_d8af48cd34c54e749df777d4e6a5e2ed"/>
          <w:id w:val="17540030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母公司财务附注：对联营、合营企业投资"/>
          <w:tag w:val="_GBC_5b4bb22c6cca42989bcd538938127ee2"/>
          <w:id w:val="-8117965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666"/>
        <w:gridCol w:w="823"/>
        <w:gridCol w:w="1476"/>
        <w:gridCol w:w="596"/>
        <w:gridCol w:w="1761"/>
        <w:gridCol w:w="823"/>
        <w:gridCol w:w="710"/>
        <w:gridCol w:w="993"/>
        <w:gridCol w:w="710"/>
        <w:gridCol w:w="482"/>
        <w:gridCol w:w="1780"/>
        <w:gridCol w:w="823"/>
      </w:tblGrid>
      <w:tr w:rsidR="00156DD6">
        <w:sdt>
          <w:sdtPr>
            <w:tag w:val="_PLD_abfaca7df388426499f44c3fb444b469"/>
            <w:id w:val="-34269505"/>
          </w:sdtPr>
          <w:sdtEndPr/>
          <w:sdtContent>
            <w:tc>
              <w:tcPr>
                <w:tcW w:w="440"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投资</w:t>
                </w:r>
              </w:p>
              <w:p w:rsidR="00156DD6" w:rsidRDefault="00D51F5F">
                <w:pPr>
                  <w:jc w:val="center"/>
                  <w:rPr>
                    <w:color w:val="000000" w:themeColor="text1"/>
                  </w:rPr>
                </w:pPr>
                <w:r>
                  <w:rPr>
                    <w:rFonts w:hint="eastAsia"/>
                    <w:color w:val="000000" w:themeColor="text1"/>
                  </w:rPr>
                  <w:lastRenderedPageBreak/>
                  <w:t>单位</w:t>
                </w:r>
              </w:p>
            </w:tc>
          </w:sdtContent>
        </w:sdt>
        <w:sdt>
          <w:sdtPr>
            <w:tag w:val="_PLD_05798c5c44604c97a951491f90362ede"/>
            <w:id w:val="-52316425"/>
          </w:sdtPr>
          <w:sdtEndPr/>
          <w:sdtContent>
            <w:tc>
              <w:tcPr>
                <w:tcW w:w="601"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期初</w:t>
                </w:r>
              </w:p>
              <w:p w:rsidR="00156DD6" w:rsidRDefault="00D51F5F">
                <w:pPr>
                  <w:jc w:val="center"/>
                  <w:rPr>
                    <w:color w:val="000000" w:themeColor="text1"/>
                  </w:rPr>
                </w:pPr>
                <w:r>
                  <w:rPr>
                    <w:rFonts w:hint="eastAsia"/>
                    <w:color w:val="000000" w:themeColor="text1"/>
                  </w:rPr>
                  <w:lastRenderedPageBreak/>
                  <w:t>余额（账面价值）</w:t>
                </w:r>
              </w:p>
            </w:tc>
          </w:sdtContent>
        </w:sdt>
        <w:tc>
          <w:tcPr>
            <w:tcW w:w="297" w:type="pct"/>
            <w:vMerge w:val="restart"/>
            <w:tcBorders>
              <w:top w:val="single" w:sz="4" w:space="0" w:color="auto"/>
              <w:left w:val="single" w:sz="4" w:space="0" w:color="auto"/>
              <w:right w:val="single" w:sz="4" w:space="0" w:color="auto"/>
            </w:tcBorders>
            <w:vAlign w:val="center"/>
          </w:tcPr>
          <w:sdt>
            <w:sdtPr>
              <w:tag w:val="_PLD_679614cb179b47cb8eca53d826d545ce"/>
              <w:id w:val="2007244396"/>
            </w:sdtPr>
            <w:sdtEndPr/>
            <w:sdtContent>
              <w:p w:rsidR="00156DD6" w:rsidRDefault="00D51F5F">
                <w:pPr>
                  <w:tabs>
                    <w:tab w:val="left" w:pos="370"/>
                  </w:tabs>
                  <w:jc w:val="center"/>
                </w:pPr>
                <w:r>
                  <w:rPr>
                    <w:rFonts w:hint="eastAsia"/>
                  </w:rPr>
                  <w:t>减值准备期初余额</w:t>
                </w:r>
              </w:p>
            </w:sdtContent>
          </w:sdt>
        </w:tc>
        <w:sdt>
          <w:sdtPr>
            <w:tag w:val="_PLD_0a2bbaaacf944dc499773ce9e49a7a44"/>
            <w:id w:val="1449118288"/>
          </w:sdtPr>
          <w:sdtEndPr/>
          <w:sdtContent>
            <w:tc>
              <w:tcPr>
                <w:tcW w:w="2723" w:type="pct"/>
                <w:gridSpan w:val="8"/>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本期增减变动</w:t>
                </w:r>
              </w:p>
            </w:tc>
          </w:sdtContent>
        </w:sdt>
        <w:sdt>
          <w:sdtPr>
            <w:tag w:val="_PLD_08d96ebd050e43e4a66f158230dee5ce"/>
            <w:id w:val="-741719421"/>
          </w:sdtPr>
          <w:sdtEndPr/>
          <w:sdtContent>
            <w:tc>
              <w:tcPr>
                <w:tcW w:w="642"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期末余额（账面价值）</w:t>
                </w:r>
              </w:p>
            </w:tc>
          </w:sdtContent>
        </w:sdt>
        <w:sdt>
          <w:sdtPr>
            <w:tag w:val="_PLD_7926cd06c0474fbd9ec1c3b927ae616d"/>
            <w:id w:val="-372855879"/>
          </w:sdtPr>
          <w:sdtEndPr/>
          <w:sdtContent>
            <w:tc>
              <w:tcPr>
                <w:tcW w:w="297"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减值准备期末余额</w:t>
                </w:r>
              </w:p>
            </w:tc>
          </w:sdtContent>
        </w:sdt>
      </w:tr>
      <w:tr w:rsidR="00156DD6">
        <w:tc>
          <w:tcPr>
            <w:tcW w:w="440"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tc>
          <w:tcPr>
            <w:tcW w:w="601"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tc>
          <w:tcPr>
            <w:tcW w:w="297"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sdt>
          <w:sdtPr>
            <w:tag w:val="_PLD_c2a32165f0334d7c8fde829ff4c17575"/>
            <w:id w:val="1085571111"/>
          </w:sdtPr>
          <w:sdtEndPr/>
          <w:sdtContent>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追加投资</w:t>
                </w:r>
              </w:p>
            </w:tc>
          </w:sdtContent>
        </w:sdt>
        <w:sdt>
          <w:sdtPr>
            <w:tag w:val="_PLD_71fe608b4d73467797eee694efbf7ebb"/>
            <w:id w:val="-1000347974"/>
          </w:sdtPr>
          <w:sdtEndPr/>
          <w:sdtContent>
            <w:tc>
              <w:tcPr>
                <w:tcW w:w="215"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减少投资</w:t>
                </w:r>
              </w:p>
            </w:tc>
          </w:sdtContent>
        </w:sdt>
        <w:sdt>
          <w:sdtPr>
            <w:tag w:val="_PLD_f05a50a0bc284599af7a40502cd10a40"/>
            <w:id w:val="-386733024"/>
          </w:sdtPr>
          <w:sdtEndPr/>
          <w:sdtContent>
            <w:tc>
              <w:tcPr>
                <w:tcW w:w="635"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权益法下确认的投资损益</w:t>
                </w:r>
              </w:p>
            </w:tc>
          </w:sdtContent>
        </w:sdt>
        <w:sdt>
          <w:sdtPr>
            <w:tag w:val="_PLD_02248a0958484589b824cff096f8d135"/>
            <w:id w:val="-126783198"/>
          </w:sdtPr>
          <w:sdtEndPr/>
          <w:sdtContent>
            <w:tc>
              <w:tcPr>
                <w:tcW w:w="29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其他综合收益调整</w:t>
                </w:r>
              </w:p>
            </w:tc>
          </w:sdtContent>
        </w:sdt>
        <w:sdt>
          <w:sdtPr>
            <w:tag w:val="_PLD_7fb58b4af07a4b58a9b3d08dc004f3ee"/>
            <w:id w:val="1825306080"/>
          </w:sdtPr>
          <w:sdtEndPr/>
          <w:sdtContent>
            <w:tc>
              <w:tcPr>
                <w:tcW w:w="25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其他权益变动</w:t>
                </w:r>
              </w:p>
            </w:tc>
          </w:sdtContent>
        </w:sdt>
        <w:sdt>
          <w:sdtPr>
            <w:tag w:val="_PLD_222556d83dca4844b27c9b0b28e96430"/>
            <w:id w:val="2563226"/>
          </w:sdtPr>
          <w:sdtEndPr/>
          <w:sdtContent>
            <w:tc>
              <w:tcPr>
                <w:tcW w:w="358"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宣告发放现金股利或利润</w:t>
                </w:r>
              </w:p>
            </w:tc>
          </w:sdtContent>
        </w:sdt>
        <w:sdt>
          <w:sdtPr>
            <w:tag w:val="_PLD_3ccc36abfffc49a99807a98ffb9d12d5"/>
            <w:id w:val="-2011827406"/>
          </w:sdtPr>
          <w:sdtEndPr/>
          <w:sdtContent>
            <w:tc>
              <w:tcPr>
                <w:tcW w:w="25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计提减值准备</w:t>
                </w:r>
              </w:p>
            </w:tc>
          </w:sdtContent>
        </w:sdt>
        <w:sdt>
          <w:sdtPr>
            <w:tag w:val="_PLD_a907ceb1e793491d9fd8ecad7300602c"/>
            <w:id w:val="581190458"/>
          </w:sdtPr>
          <w:sdtEndPr/>
          <w:sdtContent>
            <w:tc>
              <w:tcPr>
                <w:tcW w:w="174"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其他</w:t>
                </w:r>
              </w:p>
            </w:tc>
          </w:sdtContent>
        </w:sdt>
        <w:tc>
          <w:tcPr>
            <w:tcW w:w="642"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tc>
          <w:tcPr>
            <w:tcW w:w="297"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tr>
      <w:tr w:rsidR="00156DD6">
        <w:sdt>
          <w:sdtPr>
            <w:tag w:val="_PLD_61dc54109424419aa8f35cf797c2d59e"/>
            <w:id w:val="1541318291"/>
          </w:sdtPr>
          <w:sdtEndPr/>
          <w:sdtContent>
            <w:tc>
              <w:tcPr>
                <w:tcW w:w="5000" w:type="pct"/>
                <w:gridSpan w:val="13"/>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一、合营企业</w:t>
                </w:r>
              </w:p>
            </w:tc>
          </w:sdtContent>
        </w:sdt>
      </w:tr>
      <w:tr w:rsidR="00156DD6">
        <w:tc>
          <w:tcPr>
            <w:tcW w:w="440"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小计</w:t>
            </w:r>
          </w:p>
        </w:tc>
        <w:tc>
          <w:tcPr>
            <w:tcW w:w="601"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1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3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58"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4"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4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sdt>
          <w:sdtPr>
            <w:tag w:val="_PLD_90cc1e0799634510b44e4e55b4185a5a"/>
            <w:id w:val="-1206403626"/>
          </w:sdtPr>
          <w:sdtEndPr/>
          <w:sdtContent>
            <w:tc>
              <w:tcPr>
                <w:tcW w:w="5000" w:type="pct"/>
                <w:gridSpan w:val="13"/>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二、联营企业</w:t>
                </w:r>
              </w:p>
            </w:tc>
          </w:sdtContent>
        </w:sdt>
      </w:tr>
      <w:tr w:rsidR="00156DD6">
        <w:tc>
          <w:tcPr>
            <w:tcW w:w="440" w:type="pct"/>
            <w:tcBorders>
              <w:top w:val="single" w:sz="4" w:space="0" w:color="auto"/>
              <w:left w:val="single" w:sz="4" w:space="0" w:color="auto"/>
              <w:bottom w:val="single" w:sz="4" w:space="0" w:color="auto"/>
              <w:right w:val="single" w:sz="4" w:space="0" w:color="auto"/>
            </w:tcBorders>
          </w:tcPr>
          <w:p w:rsidR="00156DD6" w:rsidRDefault="00D51F5F">
            <w:pPr>
              <w:jc w:val="both"/>
            </w:pPr>
            <w:r>
              <w:rPr>
                <w:rFonts w:hint="eastAsia"/>
              </w:rPr>
              <w:t>重庆能投长寿经开区售电有限公司</w:t>
            </w:r>
          </w:p>
        </w:tc>
        <w:tc>
          <w:tcPr>
            <w:tcW w:w="601"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t>14,718,479.56</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32"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1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-635,639.22 </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58"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4"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14,082,840.34 </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440" w:type="pct"/>
            <w:tcBorders>
              <w:top w:val="single" w:sz="4" w:space="0" w:color="auto"/>
              <w:left w:val="single" w:sz="4" w:space="0" w:color="auto"/>
              <w:bottom w:val="single" w:sz="4" w:space="0" w:color="auto"/>
              <w:right w:val="single" w:sz="4" w:space="0" w:color="auto"/>
            </w:tcBorders>
          </w:tcPr>
          <w:p w:rsidR="00156DD6" w:rsidRDefault="00D51F5F">
            <w:pPr>
              <w:jc w:val="both"/>
            </w:pPr>
            <w:r>
              <w:rPr>
                <w:rFonts w:hint="eastAsia"/>
              </w:rPr>
              <w:t>深圳南海电气科技有限公司</w:t>
            </w:r>
          </w:p>
        </w:tc>
        <w:tc>
          <w:tcPr>
            <w:tcW w:w="601" w:type="pct"/>
            <w:tcBorders>
              <w:top w:val="single" w:sz="4" w:space="0" w:color="auto"/>
              <w:left w:val="single" w:sz="4" w:space="0" w:color="auto"/>
              <w:bottom w:val="single" w:sz="4" w:space="0" w:color="auto"/>
              <w:right w:val="single" w:sz="4" w:space="0" w:color="auto"/>
            </w:tcBorders>
            <w:vAlign w:val="center"/>
          </w:tcPr>
          <w:p w:rsidR="00156DD6" w:rsidRDefault="00156DD6">
            <w:pPr>
              <w:jc w:val="both"/>
            </w:pP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4,000,000.00 </w:t>
            </w:r>
          </w:p>
        </w:tc>
        <w:tc>
          <w:tcPr>
            <w:tcW w:w="21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-738,298.63 </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58"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4"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3,261,701.37 </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440" w:type="pct"/>
            <w:tcBorders>
              <w:top w:val="single" w:sz="4" w:space="0" w:color="auto"/>
              <w:left w:val="single" w:sz="4" w:space="0" w:color="auto"/>
              <w:bottom w:val="single" w:sz="4" w:space="0" w:color="auto"/>
              <w:right w:val="single" w:sz="4" w:space="0" w:color="auto"/>
            </w:tcBorders>
          </w:tcPr>
          <w:p w:rsidR="00156DD6" w:rsidRDefault="00D51F5F">
            <w:pPr>
              <w:jc w:val="both"/>
              <w:rPr>
                <w:color w:val="000000" w:themeColor="text1"/>
              </w:rPr>
            </w:pPr>
            <w:r>
              <w:rPr>
                <w:rFonts w:hint="eastAsia"/>
                <w:color w:val="000000" w:themeColor="text1"/>
              </w:rPr>
              <w:t>小计</w:t>
            </w:r>
          </w:p>
        </w:tc>
        <w:tc>
          <w:tcPr>
            <w:tcW w:w="601"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t>14,718,479.56</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4,000,000.00 </w:t>
            </w:r>
          </w:p>
        </w:tc>
        <w:tc>
          <w:tcPr>
            <w:tcW w:w="21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-1,373,937.85 </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58"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4"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17,344,541.71 </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r w:rsidR="00156DD6">
        <w:tc>
          <w:tcPr>
            <w:tcW w:w="440"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601" w:type="pct"/>
            <w:tcBorders>
              <w:top w:val="single" w:sz="4" w:space="0" w:color="auto"/>
              <w:left w:val="single" w:sz="4" w:space="0" w:color="auto"/>
              <w:bottom w:val="single" w:sz="4" w:space="0" w:color="auto"/>
              <w:right w:val="single" w:sz="4" w:space="0" w:color="auto"/>
            </w:tcBorders>
            <w:vAlign w:val="center"/>
          </w:tcPr>
          <w:p w:rsidR="00156DD6" w:rsidRDefault="00D51F5F">
            <w:pPr>
              <w:jc w:val="both"/>
            </w:pPr>
            <w:r>
              <w:t>14,718,479.56</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53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4,000,000.00 </w:t>
            </w:r>
          </w:p>
        </w:tc>
        <w:tc>
          <w:tcPr>
            <w:tcW w:w="215"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3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-1,373,937.85 </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358"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256"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174" w:type="pct"/>
            <w:tcBorders>
              <w:top w:val="single" w:sz="4" w:space="0" w:color="auto"/>
              <w:left w:val="single" w:sz="4" w:space="0" w:color="auto"/>
              <w:bottom w:val="single" w:sz="4" w:space="0" w:color="auto"/>
              <w:right w:val="single" w:sz="4" w:space="0" w:color="auto"/>
            </w:tcBorders>
          </w:tcPr>
          <w:p w:rsidR="00156DD6" w:rsidRDefault="00156DD6">
            <w:pPr>
              <w:jc w:val="right"/>
            </w:pPr>
          </w:p>
        </w:tc>
        <w:tc>
          <w:tcPr>
            <w:tcW w:w="642"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17,344,541.71 </w:t>
            </w:r>
          </w:p>
        </w:tc>
        <w:tc>
          <w:tcPr>
            <w:tcW w:w="297" w:type="pct"/>
            <w:tcBorders>
              <w:top w:val="single" w:sz="4" w:space="0" w:color="auto"/>
              <w:left w:val="single" w:sz="4" w:space="0" w:color="auto"/>
              <w:bottom w:val="single" w:sz="4" w:space="0" w:color="auto"/>
              <w:right w:val="single" w:sz="4" w:space="0" w:color="auto"/>
            </w:tcBorders>
          </w:tcPr>
          <w:p w:rsidR="00156DD6" w:rsidRDefault="00156DD6">
            <w:pPr>
              <w:jc w:val="right"/>
            </w:pPr>
          </w:p>
        </w:tc>
      </w:tr>
    </w:tbl>
    <w:bookmarkEnd w:id="547"/>
    <w:bookmarkEnd w:id="546"/>
    <w:p w:rsidR="00156DD6" w:rsidRDefault="00D51F5F">
      <w:pPr>
        <w:pStyle w:val="4"/>
        <w:numPr>
          <w:ilvl w:val="0"/>
          <w:numId w:val="114"/>
        </w:numPr>
        <w:rPr>
          <w:color w:val="000000" w:themeColor="text1"/>
          <w:szCs w:val="21"/>
        </w:rPr>
      </w:pPr>
      <w:r>
        <w:rPr>
          <w:rFonts w:hint="eastAsia"/>
          <w:color w:val="000000" w:themeColor="text1"/>
          <w:szCs w:val="21"/>
        </w:rPr>
        <w:t>长期股权投资的减值测试情况</w:t>
      </w:r>
    </w:p>
    <w:sdt>
      <w:sdtPr>
        <w:rPr>
          <w:color w:val="000000" w:themeColor="text1"/>
        </w:rPr>
        <w:alias w:val="是否适用：减值测试情况[双击切换]"/>
        <w:tag w:val="_GBC_c0857dc1a8eb4f79b18a90f9b4b26d58"/>
        <w:id w:val="1907036234"/>
        <w:placeholder>
          <w:docPart w:val="42993103ED63426C93DC281788A5EF1C"/>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rPr>
          <w:color w:val="000000" w:themeColor="text1"/>
        </w:rPr>
      </w:pPr>
      <w:r>
        <w:rPr>
          <w:rFonts w:hint="eastAsia"/>
          <w:color w:val="000000" w:themeColor="text1"/>
        </w:rPr>
        <w:t>其他说明：</w:t>
      </w:r>
    </w:p>
    <w:sdt>
      <w:sdtPr>
        <w:rPr>
          <w:color w:val="000000" w:themeColor="text1"/>
        </w:rPr>
        <w:alias w:val="是否适用：母公司长期股权投资其他说明[双击切换]"/>
        <w:tag w:val="_GBC_8b70582854684459adc77f46cbf4aac7"/>
        <w:id w:val="2053573554"/>
        <w:placeholder>
          <w:docPart w:val="42993103ED63426C93DC281788A5EF1C"/>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156DD6">
      <w:pPr>
        <w:rPr>
          <w:color w:val="000000" w:themeColor="text1"/>
        </w:rPr>
        <w:sectPr w:rsidR="00156DD6">
          <w:pgSz w:w="16838" w:h="11906" w:orient="landscape"/>
          <w:pgMar w:top="1797" w:right="1525" w:bottom="1276" w:left="1440" w:header="856" w:footer="992" w:gutter="0"/>
          <w:cols w:space="425"/>
          <w:docGrid w:linePitch="312"/>
        </w:sectPr>
      </w:pPr>
    </w:p>
    <w:p w:rsidR="00156DD6" w:rsidRDefault="00D51F5F">
      <w:pPr>
        <w:pStyle w:val="TOC6"/>
        <w:numPr>
          <w:ilvl w:val="0"/>
          <w:numId w:val="109"/>
        </w:numPr>
        <w:rPr>
          <w:rFonts w:ascii="宋体" w:hAnsi="宋体"/>
          <w:color w:val="000000" w:themeColor="text1"/>
          <w:sz w:val="21"/>
          <w:szCs w:val="22"/>
        </w:rPr>
      </w:pPr>
      <w:r>
        <w:rPr>
          <w:rFonts w:ascii="宋体" w:hAnsi="宋体" w:hint="eastAsia"/>
          <w:color w:val="000000" w:themeColor="text1"/>
          <w:sz w:val="21"/>
          <w:szCs w:val="22"/>
        </w:rPr>
        <w:lastRenderedPageBreak/>
        <w:t>营业收入和营业成本</w:t>
      </w:r>
    </w:p>
    <w:p w:rsidR="00156DD6" w:rsidRDefault="00D51F5F">
      <w:pPr>
        <w:pStyle w:val="Style47"/>
        <w:numPr>
          <w:ilvl w:val="0"/>
          <w:numId w:val="115"/>
        </w:numPr>
        <w:rPr>
          <w:rFonts w:ascii="宋体" w:hAnsi="宋体"/>
          <w:color w:val="000000" w:themeColor="text1"/>
          <w:sz w:val="21"/>
          <w:szCs w:val="32"/>
        </w:rPr>
      </w:pPr>
      <w:bookmarkStart w:id="548" w:name="_Hlk10548568"/>
      <w:r>
        <w:rPr>
          <w:rFonts w:ascii="宋体" w:hAnsi="宋体" w:hint="eastAsia"/>
          <w:color w:val="000000" w:themeColor="text1"/>
          <w:sz w:val="21"/>
          <w:szCs w:val="32"/>
        </w:rPr>
        <w:t>营业收入和营业成本情况</w:t>
      </w:r>
    </w:p>
    <w:sdt>
      <w:sdtPr>
        <w:rPr>
          <w:color w:val="000000" w:themeColor="text1"/>
        </w:rPr>
        <w:alias w:val="是否适用：母公司营业收入和营业成本[双击切换]"/>
        <w:tag w:val="_GBC_f62d83b1068f4bfaae3a590b0ac9f4d7"/>
        <w:id w:val="140025088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pStyle w:val="Style72"/>
        <w:ind w:firstLineChars="0" w:firstLine="0"/>
        <w:jc w:val="right"/>
        <w:rPr>
          <w:rFonts w:ascii="宋体" w:hAnsi="宋体"/>
          <w:color w:val="000000" w:themeColor="text1"/>
          <w:kern w:val="0"/>
          <w:szCs w:val="21"/>
        </w:rPr>
      </w:pPr>
      <w:r>
        <w:rPr>
          <w:rFonts w:ascii="宋体" w:hAnsi="宋体" w:hint="eastAsia"/>
          <w:color w:val="000000" w:themeColor="text1"/>
          <w:szCs w:val="21"/>
        </w:rPr>
        <w:t>单位：</w:t>
      </w:r>
      <w:sdt>
        <w:sdtPr>
          <w:rPr>
            <w:rFonts w:ascii="宋体" w:hAnsi="宋体" w:hint="eastAsia"/>
            <w:bCs/>
            <w:color w:val="000000" w:themeColor="text1"/>
            <w:szCs w:val="21"/>
          </w:rPr>
          <w:alias w:val="单位：母公司财务附注：营业收入"/>
          <w:tag w:val="_GBC_40a730bb869a41578a25e9cb66f4e28e"/>
          <w:id w:val="8103689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bCs/>
            <w:color w:val="000000" w:themeColor="text1"/>
            <w:szCs w:val="21"/>
          </w:rPr>
          <w:alias w:val="币种：母公司财务附注：营业收入"/>
          <w:tag w:val="_GBC_1b6056b90b2c445a9b1bcdc97aa104ec"/>
          <w:id w:val="1014685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896"/>
        <w:gridCol w:w="1896"/>
        <w:gridCol w:w="1896"/>
        <w:gridCol w:w="1897"/>
      </w:tblGrid>
      <w:tr w:rsidR="00156DD6">
        <w:sdt>
          <w:sdtPr>
            <w:tag w:val="_PLD_3dc9ae0da47e49d097992a176784945a"/>
            <w:id w:val="1703903281"/>
          </w:sdtPr>
          <w:sdtEndPr/>
          <w:sdtContent>
            <w:tc>
              <w:tcPr>
                <w:tcW w:w="702"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项目</w:t>
                </w:r>
              </w:p>
            </w:tc>
          </w:sdtContent>
        </w:sdt>
        <w:sdt>
          <w:sdtPr>
            <w:tag w:val="_PLD_b47efcaea8ca428781485b2625b4c252"/>
            <w:id w:val="670458218"/>
          </w:sdtPr>
          <w:sdtEndPr/>
          <w:sdtContent>
            <w:tc>
              <w:tcPr>
                <w:tcW w:w="2149"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本期发生额</w:t>
                </w:r>
              </w:p>
            </w:tc>
          </w:sdtContent>
        </w:sdt>
        <w:sdt>
          <w:sdtPr>
            <w:tag w:val="_PLD_44320683f4394adcaf1711775bb320ef"/>
            <w:id w:val="1782993896"/>
          </w:sdtPr>
          <w:sdtEndPr/>
          <w:sdtContent>
            <w:tc>
              <w:tcPr>
                <w:tcW w:w="2149"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上期发生额</w:t>
                </w:r>
              </w:p>
            </w:tc>
          </w:sdtContent>
        </w:sdt>
      </w:tr>
      <w:tr w:rsidR="00156DD6">
        <w:tc>
          <w:tcPr>
            <w:tcW w:w="702" w:type="pct"/>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sdt>
          <w:sdtPr>
            <w:tag w:val="_PLD_efb75dfbe3924c3a9f286eefd26b357f"/>
            <w:id w:val="1103152667"/>
          </w:sdtPr>
          <w:sdtEndPr/>
          <w:sdtContent>
            <w:tc>
              <w:tcPr>
                <w:tcW w:w="1074"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收入</w:t>
                </w:r>
              </w:p>
            </w:tc>
          </w:sdtContent>
        </w:sdt>
        <w:sdt>
          <w:sdtPr>
            <w:tag w:val="_PLD_9ecc7b9050c24dcebd801ee01e950a91"/>
            <w:id w:val="1828629372"/>
          </w:sdtPr>
          <w:sdtEndPr/>
          <w:sdtContent>
            <w:tc>
              <w:tcPr>
                <w:tcW w:w="1074"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成本</w:t>
                </w:r>
              </w:p>
            </w:tc>
          </w:sdtContent>
        </w:sdt>
        <w:sdt>
          <w:sdtPr>
            <w:tag w:val="_PLD_b2940b2f59f24f969eea718c85f99dda"/>
            <w:id w:val="590592332"/>
          </w:sdtPr>
          <w:sdtEndPr/>
          <w:sdtContent>
            <w:tc>
              <w:tcPr>
                <w:tcW w:w="1074"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收入</w:t>
                </w:r>
              </w:p>
            </w:tc>
          </w:sdtContent>
        </w:sdt>
        <w:sdt>
          <w:sdtPr>
            <w:tag w:val="_PLD_971c170c70c24975ba7524e53623bf00"/>
            <w:id w:val="-3664321"/>
          </w:sdtPr>
          <w:sdtEndPr/>
          <w:sdtContent>
            <w:tc>
              <w:tcPr>
                <w:tcW w:w="1075"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成本</w:t>
                </w:r>
              </w:p>
            </w:tc>
          </w:sdtContent>
        </w:sdt>
      </w:tr>
      <w:tr w:rsidR="00156DD6">
        <w:tc>
          <w:tcPr>
            <w:tcW w:w="702"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主营业务</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1,310,073,450.81 </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1,144,532,962.31 </w:t>
            </w:r>
          </w:p>
        </w:tc>
        <w:tc>
          <w:tcPr>
            <w:tcW w:w="107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1,199,045,470.30 </w:t>
            </w:r>
          </w:p>
        </w:tc>
        <w:tc>
          <w:tcPr>
            <w:tcW w:w="107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1,087,692,658.99 </w:t>
            </w:r>
          </w:p>
        </w:tc>
      </w:tr>
      <w:tr w:rsidR="00156DD6">
        <w:tc>
          <w:tcPr>
            <w:tcW w:w="702"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其他业务</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42,374,731.73 </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41,891,800.15 </w:t>
            </w:r>
          </w:p>
        </w:tc>
        <w:tc>
          <w:tcPr>
            <w:tcW w:w="107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33,204,343.69 </w:t>
            </w:r>
          </w:p>
        </w:tc>
        <w:tc>
          <w:tcPr>
            <w:tcW w:w="107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 31,950,062.16 </w:t>
            </w:r>
          </w:p>
        </w:tc>
      </w:tr>
      <w:tr w:rsidR="00156DD6">
        <w:tc>
          <w:tcPr>
            <w:tcW w:w="702"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1,352,448,182.54 </w:t>
            </w:r>
          </w:p>
        </w:tc>
        <w:tc>
          <w:tcPr>
            <w:tcW w:w="1074"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1,186,424,762.46 </w:t>
            </w:r>
          </w:p>
        </w:tc>
        <w:tc>
          <w:tcPr>
            <w:tcW w:w="1074"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1,232,249,813.99 </w:t>
            </w:r>
          </w:p>
        </w:tc>
        <w:tc>
          <w:tcPr>
            <w:tcW w:w="1075"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t xml:space="preserve">1,119,642,721.15 </w:t>
            </w:r>
          </w:p>
        </w:tc>
      </w:tr>
    </w:tbl>
    <w:bookmarkEnd w:id="548" w:displacedByCustomXml="next"/>
    <w:bookmarkStart w:id="549" w:name="_Hlk168057792" w:displacedByCustomXml="next"/>
    <w:bookmarkStart w:id="550" w:name="_Hlk533798810" w:displacedByCustomXml="next"/>
    <w:bookmarkStart w:id="551" w:name="_Hlk153798384" w:displacedByCustomXml="next"/>
    <w:sdt>
      <w:sdtPr>
        <w:rPr>
          <w:rFonts w:ascii="宋体" w:hAnsi="宋体" w:cs="宋体" w:hint="eastAsia"/>
          <w:b w:val="0"/>
          <w:bCs w:val="0"/>
          <w:color w:val="000000" w:themeColor="text1"/>
          <w:kern w:val="0"/>
          <w:sz w:val="21"/>
          <w:szCs w:val="24"/>
        </w:rPr>
        <w:alias w:val="模块:合同产生的收入的情况"/>
        <w:tag w:val="_SEC_55b67c614f984b14baf467a8376baa6d"/>
        <w:id w:val="-170417889"/>
        <w:placeholder>
          <w:docPart w:val="GBC22222222222222222222222222222"/>
        </w:placeholder>
      </w:sdtPr>
      <w:sdtEndPr>
        <w:rPr>
          <w:rFonts w:ascii="Times New Roman" w:hAnsi="Times New Roman" w:hint="default"/>
          <w:szCs w:val="21"/>
        </w:rPr>
      </w:sdtEndPr>
      <w:sdtContent>
        <w:p w:rsidR="00156DD6" w:rsidRDefault="00D51F5F">
          <w:pPr>
            <w:pStyle w:val="Style47"/>
            <w:numPr>
              <w:ilvl w:val="0"/>
              <w:numId w:val="115"/>
            </w:numPr>
            <w:rPr>
              <w:rFonts w:ascii="宋体" w:hAnsi="宋体"/>
              <w:color w:val="000000" w:themeColor="text1"/>
              <w:sz w:val="21"/>
              <w:szCs w:val="32"/>
            </w:rPr>
          </w:pPr>
          <w:r>
            <w:rPr>
              <w:rFonts w:ascii="宋体" w:hAnsi="宋体" w:hint="eastAsia"/>
              <w:color w:val="000000" w:themeColor="text1"/>
              <w:sz w:val="21"/>
              <w:szCs w:val="32"/>
            </w:rPr>
            <w:t>营业收入、营业成本的分解信息</w:t>
          </w:r>
          <w:r>
            <w:rPr>
              <w:rFonts w:ascii="宋体" w:hAnsi="宋体" w:hint="eastAsia"/>
              <w:color w:val="000000" w:themeColor="text1"/>
              <w:sz w:val="21"/>
              <w:szCs w:val="32"/>
            </w:rPr>
            <w:t xml:space="preserve"> </w:t>
          </w:r>
        </w:p>
        <w:sdt>
          <w:sdtPr>
            <w:rPr>
              <w:rFonts w:ascii="宋体" w:hAnsi="宋体"/>
              <w:color w:val="000000" w:themeColor="text1"/>
              <w:szCs w:val="21"/>
            </w:rPr>
            <w:alias w:val="是否适用：母公司营业收入、营业成本的分解信息 [双击切换]"/>
            <w:tag w:val="_GBC_f916612422c346448db58faef20dc792"/>
            <w:id w:val="-1082070428"/>
            <w:placeholder>
              <w:docPart w:val="GBC22222222222222222222222222222"/>
            </w:placeholder>
          </w:sdtPr>
          <w:sdtEndPr/>
          <w:sdtContent>
            <w:p w:rsidR="00156DD6" w:rsidRDefault="00D51F5F">
              <w:pPr>
                <w:pStyle w:val="Style72"/>
                <w:ind w:firstLineChars="0" w:firstLine="0"/>
                <w:jc w:val="left"/>
                <w:rPr>
                  <w:rFonts w:ascii="宋体" w:hAnsi="宋体"/>
                  <w:color w:val="000000" w:themeColor="text1"/>
                  <w:szCs w:val="21"/>
                </w:rPr>
              </w:pP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w:instrText>
              </w:r>
              <w:r>
                <w:rPr>
                  <w:rFonts w:ascii="宋体" w:hAnsi="宋体"/>
                  <w:color w:val="000000" w:themeColor="text1"/>
                  <w:szCs w:val="21"/>
                </w:rPr>
                <w:instrText>适用</w:instrText>
              </w:r>
              <w:r>
                <w:rPr>
                  <w:rFonts w:ascii="宋体" w:hAnsi="宋体"/>
                  <w:color w:val="000000" w:themeColor="text1"/>
                  <w:szCs w:val="21"/>
                </w:rPr>
                <w:instrText xml:space="preserve"> </w:instrText>
              </w:r>
              <w:r>
                <w:rPr>
                  <w:rFonts w:ascii="宋体" w:hAnsi="宋体"/>
                  <w:color w:val="000000" w:themeColor="text1"/>
                  <w:szCs w:val="21"/>
                </w:rPr>
                <w:fldChar w:fldCharType="end"/>
              </w:r>
              <w:r>
                <w:rPr>
                  <w:rFonts w:ascii="宋体" w:hAnsi="宋体"/>
                  <w:color w:val="000000" w:themeColor="text1"/>
                  <w:szCs w:val="21"/>
                </w:rPr>
                <w:fldChar w:fldCharType="begin"/>
              </w:r>
              <w:r>
                <w:rPr>
                  <w:rFonts w:ascii="宋体" w:hAnsi="宋体"/>
                  <w:color w:val="000000" w:themeColor="text1"/>
                  <w:szCs w:val="21"/>
                </w:rPr>
                <w:instrText xml:space="preserve"> MACROBUTTON  SnrToggleCheckbox □</w:instrText>
              </w:r>
              <w:r>
                <w:rPr>
                  <w:rFonts w:ascii="宋体" w:hAnsi="宋体"/>
                  <w:color w:val="000000" w:themeColor="text1"/>
                  <w:szCs w:val="21"/>
                </w:rPr>
                <w:instrText>不适用</w:instrText>
              </w:r>
              <w:r>
                <w:rPr>
                  <w:rFonts w:ascii="宋体" w:hAnsi="宋体"/>
                  <w:color w:val="000000" w:themeColor="text1"/>
                  <w:szCs w:val="21"/>
                </w:rPr>
                <w:instrText xml:space="preserve"> </w:instrText>
              </w:r>
              <w:r>
                <w:rPr>
                  <w:rFonts w:ascii="宋体" w:hAnsi="宋体"/>
                  <w:color w:val="000000" w:themeColor="text1"/>
                  <w:szCs w:val="21"/>
                </w:rPr>
                <w:fldChar w:fldCharType="end"/>
              </w:r>
            </w:p>
          </w:sdtContent>
        </w:sdt>
        <w:p w:rsidR="00156DD6" w:rsidRDefault="00D51F5F">
          <w:pPr>
            <w:pStyle w:val="Style72"/>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母公司营业收入、营业成本的分解信息 "/>
              <w:tag w:val="_GBC_e6b85420b31744ebb82faab81c66888a"/>
              <w:id w:val="17357361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w:t>
          </w:r>
          <w:r>
            <w:rPr>
              <w:rFonts w:ascii="宋体" w:hAnsi="宋体" w:hint="eastAsia"/>
              <w:color w:val="000000" w:themeColor="text1"/>
              <w:szCs w:val="21"/>
            </w:rPr>
            <w:t>币种：</w:t>
          </w:r>
          <w:sdt>
            <w:sdtPr>
              <w:rPr>
                <w:rFonts w:ascii="宋体" w:hAnsi="宋体" w:hint="eastAsia"/>
                <w:color w:val="000000" w:themeColor="text1"/>
                <w:szCs w:val="21"/>
              </w:rPr>
              <w:alias w:val="币种：母公司营业收入、营业成本的分解信息 "/>
              <w:tag w:val="_GBC_a21eea1b0c6c42afa80a1b7e1f7aaf81"/>
              <w:id w:val="-14407556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359"/>
            <w:gridCol w:w="2926"/>
          </w:tblGrid>
          <w:tr w:rsidR="00156DD6">
            <w:sdt>
              <w:sdtPr>
                <w:tag w:val="_PLD_088c04bc97c148b8985e04f4a2797f92"/>
                <w:id w:val="413055657"/>
              </w:sdtPr>
              <w:sdtEndPr/>
              <w:sdtContent>
                <w:tc>
                  <w:tcPr>
                    <w:tcW w:w="2005"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合同分类</w:t>
                    </w:r>
                  </w:p>
                </w:tc>
              </w:sdtContent>
            </w:sdt>
            <w:sdt>
              <w:sdtPr>
                <w:tag w:val="_PLD_1657446828694cd2a20836751aea1c9f"/>
                <w:id w:val="1327168062"/>
              </w:sdtPr>
              <w:sdtEndPr/>
              <w:sdtContent>
                <w:tc>
                  <w:tcPr>
                    <w:tcW w:w="2995"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合计</w:t>
                    </w:r>
                  </w:p>
                </w:tc>
              </w:sdtContent>
            </w:sdt>
          </w:tr>
          <w:tr w:rsidR="00156DD6">
            <w:tc>
              <w:tcPr>
                <w:tcW w:w="2005" w:type="pct"/>
                <w:vMerge/>
                <w:tcBorders>
                  <w:left w:val="single" w:sz="4" w:space="0" w:color="auto"/>
                  <w:bottom w:val="single" w:sz="4" w:space="0" w:color="auto"/>
                  <w:right w:val="single" w:sz="4" w:space="0" w:color="auto"/>
                </w:tcBorders>
              </w:tcPr>
              <w:p w:rsidR="00156DD6" w:rsidRDefault="00156DD6">
                <w:pPr>
                  <w:jc w:val="center"/>
                  <w:rPr>
                    <w:color w:val="000000" w:themeColor="text1"/>
                  </w:rPr>
                </w:pPr>
              </w:p>
            </w:tc>
            <w:sdt>
              <w:sdtPr>
                <w:tag w:val="_PLD_bda6864537c1473787995e2ab3492e49"/>
                <w:id w:val="-1695228253"/>
              </w:sdtPr>
              <w:sdtEndPr/>
              <w:sdtContent>
                <w:tc>
                  <w:tcPr>
                    <w:tcW w:w="133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rFonts w:hint="eastAsia"/>
                        <w:color w:val="000000" w:themeColor="text1"/>
                      </w:rPr>
                      <w:t>营业收入</w:t>
                    </w:r>
                  </w:p>
                </w:tc>
              </w:sdtContent>
            </w:sdt>
            <w:sdt>
              <w:sdtPr>
                <w:tag w:val="_PLD_ccd631421f91491e9a03bf7a01d32791"/>
                <w:id w:val="2029754711"/>
              </w:sdtPr>
              <w:sdtEndPr/>
              <w:sdtContent>
                <w:tc>
                  <w:tcPr>
                    <w:tcW w:w="1658"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营业成本</w:t>
                    </w:r>
                  </w:p>
                </w:tc>
              </w:sdtContent>
            </w:sdt>
          </w:tr>
          <w:tr w:rsidR="00156DD6">
            <w:tc>
              <w:tcPr>
                <w:tcW w:w="2005"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商品类型</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 xml:space="preserve">　</w:t>
                </w:r>
              </w:p>
            </w:tc>
            <w:tc>
              <w:tcPr>
                <w:tcW w:w="1658"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color w:val="000000" w:themeColor="text1"/>
                  </w:rPr>
                  <w:t xml:space="preserve">　</w:t>
                </w:r>
              </w:p>
            </w:tc>
          </w:tr>
          <w:tr w:rsidR="00156DD6">
            <w:tc>
              <w:tcPr>
                <w:tcW w:w="2005"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rPr>
                    <w:rFonts w:hint="eastAsia"/>
                  </w:rPr>
                  <w:t>输配电及控制设备</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582,849,614.13 </w:t>
                </w:r>
              </w:p>
            </w:tc>
            <w:tc>
              <w:tcPr>
                <w:tcW w:w="165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508,009,480.71 </w:t>
                </w:r>
              </w:p>
            </w:tc>
          </w:tr>
          <w:tr w:rsidR="00156DD6">
            <w:tc>
              <w:tcPr>
                <w:tcW w:w="2005"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t>取向硅钢</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727,223,836.68 </w:t>
                </w:r>
              </w:p>
            </w:tc>
            <w:tc>
              <w:tcPr>
                <w:tcW w:w="165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636,523,481.60 </w:t>
                </w:r>
              </w:p>
            </w:tc>
          </w:tr>
          <w:tr w:rsidR="00156DD6">
            <w:tc>
              <w:tcPr>
                <w:tcW w:w="2005"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rPr>
                    <w:rFonts w:hint="eastAsia"/>
                  </w:rPr>
                  <w:t>其他业务</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42,374,731.73 </w:t>
                </w:r>
              </w:p>
            </w:tc>
            <w:tc>
              <w:tcPr>
                <w:tcW w:w="1658"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41,891,800.15 </w:t>
                </w:r>
              </w:p>
            </w:tc>
          </w:tr>
          <w:tr w:rsidR="00156DD6">
            <w:tc>
              <w:tcPr>
                <w:tcW w:w="2005"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rFonts w:hint="eastAsia"/>
                    <w:color w:val="000000" w:themeColor="text1"/>
                  </w:rPr>
                  <w:t>按商品转让的时间分类</w:t>
                </w:r>
              </w:p>
            </w:tc>
            <w:tc>
              <w:tcPr>
                <w:tcW w:w="1337" w:type="pct"/>
                <w:tcBorders>
                  <w:top w:val="single" w:sz="4" w:space="0" w:color="auto"/>
                  <w:left w:val="single" w:sz="4" w:space="0" w:color="auto"/>
                  <w:bottom w:val="single" w:sz="4" w:space="0" w:color="auto"/>
                  <w:right w:val="single" w:sz="4" w:space="0" w:color="auto"/>
                </w:tcBorders>
              </w:tcPr>
              <w:p w:rsidR="00156DD6" w:rsidRDefault="00156DD6">
                <w:pPr>
                  <w:jc w:val="right"/>
                  <w:rPr>
                    <w:color w:val="000000" w:themeColor="text1"/>
                  </w:rPr>
                </w:pPr>
              </w:p>
            </w:tc>
            <w:tc>
              <w:tcPr>
                <w:tcW w:w="1658" w:type="pct"/>
                <w:tcBorders>
                  <w:top w:val="single" w:sz="4" w:space="0" w:color="auto"/>
                  <w:left w:val="single" w:sz="4" w:space="0" w:color="auto"/>
                  <w:bottom w:val="single" w:sz="4" w:space="0" w:color="auto"/>
                  <w:right w:val="single" w:sz="4" w:space="0" w:color="auto"/>
                </w:tcBorders>
              </w:tcPr>
              <w:p w:rsidR="00156DD6" w:rsidRDefault="00156DD6">
                <w:pPr>
                  <w:jc w:val="right"/>
                  <w:rPr>
                    <w:color w:val="000000" w:themeColor="text1"/>
                  </w:rPr>
                </w:pPr>
              </w:p>
            </w:tc>
          </w:tr>
          <w:tr w:rsidR="00156DD6">
            <w:tc>
              <w:tcPr>
                <w:tcW w:w="2005"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rPr>
                    <w:rFonts w:hint="eastAsia"/>
                  </w:rPr>
                  <w:t>在某一时点确认收入</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1,352,448,182.54 </w:t>
                </w:r>
              </w:p>
            </w:tc>
            <w:tc>
              <w:tcPr>
                <w:tcW w:w="1658" w:type="pct"/>
                <w:tcBorders>
                  <w:top w:val="single" w:sz="4" w:space="0" w:color="auto"/>
                  <w:left w:val="single" w:sz="4" w:space="0" w:color="auto"/>
                  <w:bottom w:val="single" w:sz="4" w:space="0" w:color="auto"/>
                  <w:right w:val="single" w:sz="4" w:space="0" w:color="auto"/>
                </w:tcBorders>
              </w:tcPr>
              <w:p w:rsidR="00156DD6" w:rsidRDefault="00D51F5F">
                <w:pPr>
                  <w:jc w:val="right"/>
                </w:pPr>
                <w:r>
                  <w:rPr>
                    <w:rFonts w:hint="eastAsia"/>
                  </w:rPr>
                  <w:t xml:space="preserve"> 1,186,424,762.46 </w:t>
                </w:r>
              </w:p>
            </w:tc>
          </w:tr>
          <w:tr w:rsidR="00156DD6">
            <w:tc>
              <w:tcPr>
                <w:tcW w:w="2005" w:type="pct"/>
                <w:tcBorders>
                  <w:top w:val="single" w:sz="4" w:space="0" w:color="auto"/>
                  <w:left w:val="single" w:sz="4" w:space="0" w:color="auto"/>
                  <w:bottom w:val="single" w:sz="4" w:space="0" w:color="auto"/>
                  <w:right w:val="single" w:sz="4" w:space="0" w:color="auto"/>
                </w:tcBorders>
              </w:tcPr>
              <w:p w:rsidR="00156DD6" w:rsidRDefault="00D51F5F">
                <w:pPr>
                  <w:ind w:firstLineChars="200" w:firstLine="420"/>
                </w:pPr>
                <w:r>
                  <w:rPr>
                    <w:rFonts w:hint="eastAsia"/>
                  </w:rPr>
                  <w:t>在某一时段内确认收入</w:t>
                </w:r>
              </w:p>
            </w:tc>
            <w:tc>
              <w:tcPr>
                <w:tcW w:w="1337" w:type="pct"/>
                <w:tcBorders>
                  <w:top w:val="single" w:sz="4" w:space="0" w:color="auto"/>
                  <w:left w:val="single" w:sz="4" w:space="0" w:color="auto"/>
                  <w:bottom w:val="single" w:sz="4" w:space="0" w:color="auto"/>
                  <w:right w:val="single" w:sz="4" w:space="0" w:color="auto"/>
                </w:tcBorders>
              </w:tcPr>
              <w:p w:rsidR="00156DD6" w:rsidRDefault="00156DD6">
                <w:pPr>
                  <w:jc w:val="right"/>
                  <w:rPr>
                    <w:color w:val="000000" w:themeColor="text1"/>
                  </w:rPr>
                </w:pPr>
              </w:p>
            </w:tc>
            <w:tc>
              <w:tcPr>
                <w:tcW w:w="1658" w:type="pct"/>
                <w:tcBorders>
                  <w:top w:val="single" w:sz="4" w:space="0" w:color="auto"/>
                  <w:left w:val="single" w:sz="4" w:space="0" w:color="auto"/>
                  <w:bottom w:val="single" w:sz="4" w:space="0" w:color="auto"/>
                  <w:right w:val="single" w:sz="4" w:space="0" w:color="auto"/>
                </w:tcBorders>
              </w:tcPr>
              <w:p w:rsidR="00156DD6" w:rsidRDefault="00156DD6">
                <w:pPr>
                  <w:jc w:val="right"/>
                  <w:rPr>
                    <w:color w:val="000000" w:themeColor="text1"/>
                  </w:rPr>
                </w:pPr>
              </w:p>
            </w:tc>
          </w:tr>
          <w:tr w:rsidR="00156DD6">
            <w:tc>
              <w:tcPr>
                <w:tcW w:w="2005" w:type="pct"/>
                <w:tcBorders>
                  <w:top w:val="single" w:sz="4" w:space="0" w:color="auto"/>
                  <w:left w:val="single" w:sz="4" w:space="0" w:color="auto"/>
                  <w:bottom w:val="single" w:sz="4" w:space="0" w:color="auto"/>
                  <w:right w:val="single" w:sz="4" w:space="0" w:color="auto"/>
                </w:tcBorders>
              </w:tcPr>
              <w:p w:rsidR="00156DD6" w:rsidRDefault="00D51F5F">
                <w:pPr>
                  <w:jc w:val="center"/>
                  <w:rPr>
                    <w:color w:val="000000" w:themeColor="text1"/>
                  </w:rPr>
                </w:pPr>
                <w:r>
                  <w:rPr>
                    <w:rFonts w:hint="eastAsia"/>
                    <w:color w:val="000000" w:themeColor="text1"/>
                  </w:rPr>
                  <w:t>合计</w:t>
                </w:r>
              </w:p>
            </w:tc>
            <w:tc>
              <w:tcPr>
                <w:tcW w:w="1337"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1,352,448,182.54 </w:t>
                </w:r>
              </w:p>
            </w:tc>
            <w:tc>
              <w:tcPr>
                <w:tcW w:w="1658" w:type="pct"/>
                <w:tcBorders>
                  <w:top w:val="single" w:sz="4" w:space="0" w:color="auto"/>
                  <w:left w:val="single" w:sz="4" w:space="0" w:color="auto"/>
                  <w:bottom w:val="single" w:sz="4" w:space="0" w:color="auto"/>
                  <w:right w:val="single" w:sz="4" w:space="0" w:color="auto"/>
                </w:tcBorders>
              </w:tcPr>
              <w:p w:rsidR="00156DD6" w:rsidRDefault="00D51F5F">
                <w:pPr>
                  <w:jc w:val="right"/>
                  <w:rPr>
                    <w:color w:val="000000" w:themeColor="text1"/>
                  </w:rPr>
                </w:pPr>
                <w:r>
                  <w:rPr>
                    <w:rFonts w:hint="eastAsia"/>
                  </w:rPr>
                  <w:t xml:space="preserve"> 1,186,424,762.46 </w:t>
                </w:r>
              </w:p>
            </w:tc>
          </w:tr>
        </w:tbl>
        <w:p w:rsidR="00156DD6" w:rsidRDefault="00D51F5F">
          <w:pPr>
            <w:rPr>
              <w:color w:val="000000" w:themeColor="text1"/>
            </w:rPr>
          </w:pPr>
          <w:r>
            <w:rPr>
              <w:rFonts w:hint="eastAsia"/>
              <w:color w:val="000000" w:themeColor="text1"/>
            </w:rPr>
            <w:t>其他说明</w:t>
          </w:r>
        </w:p>
        <w:sdt>
          <w:sdtPr>
            <w:rPr>
              <w:color w:val="000000" w:themeColor="text1"/>
            </w:rPr>
            <w:alias w:val="是否适用：母公司营业收入、营业成本的分解信息说明 [双击切换]"/>
            <w:tag w:val="_GBC_adf50e989b9642a6a5b483866ecd2065"/>
            <w:id w:val="-20510398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sdtContent>
    </w:sdt>
    <w:p w:rsidR="00156DD6" w:rsidRDefault="00D51F5F">
      <w:pPr>
        <w:pStyle w:val="Style47"/>
        <w:numPr>
          <w:ilvl w:val="0"/>
          <w:numId w:val="115"/>
        </w:numPr>
        <w:rPr>
          <w:rFonts w:ascii="宋体" w:hAnsi="宋体"/>
          <w:color w:val="000000" w:themeColor="text1"/>
          <w:sz w:val="21"/>
          <w:szCs w:val="21"/>
        </w:rPr>
      </w:pPr>
      <w:bookmarkStart w:id="552" w:name="_Hlk155961563"/>
      <w:bookmarkEnd w:id="551"/>
      <w:r>
        <w:rPr>
          <w:rFonts w:ascii="宋体" w:hAnsi="宋体" w:hint="eastAsia"/>
          <w:color w:val="000000" w:themeColor="text1"/>
          <w:sz w:val="21"/>
          <w:szCs w:val="21"/>
        </w:rPr>
        <w:t>履约义务的说明</w:t>
      </w:r>
    </w:p>
    <w:sdt>
      <w:sdtPr>
        <w:rPr>
          <w:color w:val="000000" w:themeColor="text1"/>
        </w:rPr>
        <w:alias w:val="是否适用：履约义务的说明[双击切换]"/>
        <w:tag w:val="_GBC_7eb65f1aefb848c3be4d6abd4048aef7"/>
        <w:id w:val="2067217309"/>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115"/>
        </w:numPr>
        <w:rPr>
          <w:rFonts w:ascii="宋体" w:hAnsi="宋体"/>
          <w:color w:val="000000" w:themeColor="text1"/>
          <w:sz w:val="21"/>
          <w:szCs w:val="21"/>
        </w:rPr>
      </w:pPr>
      <w:bookmarkStart w:id="553" w:name="_Hlk533798958"/>
      <w:bookmarkEnd w:id="550"/>
      <w:bookmarkEnd w:id="552"/>
      <w:r>
        <w:rPr>
          <w:rFonts w:ascii="宋体" w:hAnsi="宋体" w:hint="eastAsia"/>
          <w:color w:val="000000" w:themeColor="text1"/>
          <w:sz w:val="21"/>
          <w:szCs w:val="21"/>
        </w:rPr>
        <w:t>分摊至剩余履约义务的说明</w:t>
      </w:r>
    </w:p>
    <w:sdt>
      <w:sdtPr>
        <w:rPr>
          <w:color w:val="000000" w:themeColor="text1"/>
        </w:rPr>
        <w:alias w:val="是否适用：母公司分摊至剩余履约义务的说明[双击切换]"/>
        <w:tag w:val="_GBC_3aac73ec336d4015bdb4b42a7b0d24ea"/>
        <w:id w:val="1250079811"/>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Style47"/>
        <w:numPr>
          <w:ilvl w:val="0"/>
          <w:numId w:val="115"/>
        </w:numPr>
        <w:rPr>
          <w:rFonts w:ascii="宋体" w:hAnsi="宋体"/>
          <w:color w:val="000000" w:themeColor="text1"/>
          <w:sz w:val="21"/>
          <w:szCs w:val="21"/>
        </w:rPr>
      </w:pPr>
      <w:bookmarkStart w:id="554" w:name="_Hlk153798573"/>
      <w:bookmarkEnd w:id="553"/>
      <w:r>
        <w:rPr>
          <w:rFonts w:ascii="宋体" w:hAnsi="宋体" w:hint="eastAsia"/>
          <w:color w:val="000000" w:themeColor="text1"/>
          <w:sz w:val="21"/>
          <w:szCs w:val="21"/>
        </w:rPr>
        <w:t>重大合同变更或重大交易价格调整</w:t>
      </w:r>
    </w:p>
    <w:sdt>
      <w:sdtPr>
        <w:rPr>
          <w:color w:val="000000" w:themeColor="text1"/>
        </w:rPr>
        <w:alias w:val="是否适用：母公司重大合同变更或重大交易价格调整[双击切换]"/>
        <w:tag w:val="_GBC_37b150e92b5a4605be19135cd46e097e"/>
        <w:id w:val="-486868834"/>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pacing w:before="60" w:after="60"/>
        <w:rPr>
          <w:color w:val="000000" w:themeColor="text1"/>
        </w:rPr>
      </w:pPr>
      <w:bookmarkStart w:id="555" w:name="_Hlk533798751"/>
      <w:bookmarkEnd w:id="554"/>
      <w:r>
        <w:rPr>
          <w:rFonts w:hint="eastAsia"/>
          <w:color w:val="000000" w:themeColor="text1"/>
        </w:rPr>
        <w:t>其他说明：</w:t>
      </w:r>
    </w:p>
    <w:p w:rsidR="00156DD6" w:rsidRDefault="00D51F5F">
      <w:pPr>
        <w:rPr>
          <w:color w:val="000000" w:themeColor="text1"/>
        </w:rPr>
      </w:pPr>
      <w:sdt>
        <w:sdtPr>
          <w:rPr>
            <w:color w:val="000000" w:themeColor="text1"/>
          </w:rPr>
          <w:alias w:val="主营业务说明"/>
          <w:tag w:val="_GBC_1758332f6c7d4ddf94e12be06682add9"/>
          <w:id w:val="909661226"/>
          <w:placeholder>
            <w:docPart w:val="GBC22222222222222222222222222222"/>
          </w:placeholder>
        </w:sdtPr>
        <w:sdtEndPr/>
        <w:sdtContent>
          <w:r>
            <w:rPr>
              <w:rFonts w:hint="eastAsia"/>
              <w:color w:val="000000" w:themeColor="text1"/>
            </w:rPr>
            <w:t>无</w:t>
          </w:r>
        </w:sdtContent>
      </w:sdt>
    </w:p>
    <w:p w:rsidR="00156DD6" w:rsidRDefault="00D51F5F">
      <w:pPr>
        <w:pStyle w:val="TOC6"/>
        <w:numPr>
          <w:ilvl w:val="0"/>
          <w:numId w:val="109"/>
        </w:numPr>
        <w:rPr>
          <w:rFonts w:ascii="宋体" w:hAnsi="宋体"/>
          <w:color w:val="000000" w:themeColor="text1"/>
          <w:sz w:val="21"/>
          <w:szCs w:val="21"/>
        </w:rPr>
      </w:pPr>
      <w:bookmarkStart w:id="556" w:name="OLE_LINK6"/>
      <w:bookmarkStart w:id="557" w:name="_Hlk10548739"/>
      <w:bookmarkEnd w:id="549"/>
      <w:bookmarkEnd w:id="555"/>
      <w:r>
        <w:rPr>
          <w:rFonts w:ascii="宋体" w:hAnsi="宋体" w:hint="eastAsia"/>
          <w:color w:val="000000" w:themeColor="text1"/>
          <w:sz w:val="21"/>
          <w:szCs w:val="21"/>
        </w:rPr>
        <w:t>投资收益</w:t>
      </w:r>
      <w:bookmarkEnd w:id="556"/>
    </w:p>
    <w:sdt>
      <w:sdtPr>
        <w:rPr>
          <w:color w:val="000000" w:themeColor="text1"/>
        </w:rPr>
        <w:alias w:val="是否适用：母公司投资收益[双击切换]"/>
        <w:tag w:val="_GBC_bdba48f0322747499f6908fbbf78a16f"/>
        <w:id w:val="616106275"/>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color w:val="000000" w:themeColor="text1"/>
        </w:rPr>
        <w:t>单位</w:t>
      </w:r>
      <w:r>
        <w:rPr>
          <w:rFonts w:hint="eastAsia"/>
          <w:color w:val="000000" w:themeColor="text1"/>
        </w:rPr>
        <w:t>：</w:t>
      </w:r>
      <w:sdt>
        <w:sdtPr>
          <w:rPr>
            <w:rFonts w:hint="eastAsia"/>
            <w:color w:val="000000" w:themeColor="text1"/>
          </w:rPr>
          <w:alias w:val="单位：财务附注：会计报表中的投资收益项目增加"/>
          <w:tag w:val="_GBC_613aeed04bd941b2899e7b84fac67e3a"/>
          <w:id w:val="-10506147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元</w:t>
          </w:r>
        </w:sdtContent>
      </w:sdt>
      <w:r>
        <w:rPr>
          <w:color w:val="000000" w:themeColor="text1"/>
        </w:rPr>
        <w:t xml:space="preserve">  </w:t>
      </w:r>
      <w:r>
        <w:rPr>
          <w:color w:val="000000" w:themeColor="text1"/>
        </w:rPr>
        <w:t>币种</w:t>
      </w:r>
      <w:r>
        <w:rPr>
          <w:rFonts w:hint="eastAsia"/>
          <w:color w:val="000000" w:themeColor="text1"/>
        </w:rPr>
        <w:t>：</w:t>
      </w:r>
      <w:sdt>
        <w:sdtPr>
          <w:rPr>
            <w:rFonts w:hint="eastAsia"/>
            <w:color w:val="000000" w:themeColor="text1"/>
          </w:rPr>
          <w:alias w:val="币种：财务附注：会计报表中的投资收益项目增加"/>
          <w:tag w:val="_GBC_8976301949824df2a90aa6f83aad84f0"/>
          <w:id w:val="10897300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506"/>
        <w:gridCol w:w="2636"/>
      </w:tblGrid>
      <w:tr w:rsidR="00156DD6">
        <w:sdt>
          <w:sdtPr>
            <w:tag w:val="_PLD_1263506df19847a5a86c9b873a7b7673"/>
            <w:id w:val="-1826357821"/>
          </w:sdtPr>
          <w:sdtEndPr/>
          <w:sdtContent>
            <w:tc>
              <w:tcPr>
                <w:tcW w:w="2086" w:type="pct"/>
                <w:vAlign w:val="center"/>
              </w:tcPr>
              <w:p w:rsidR="00156DD6" w:rsidRDefault="00D51F5F">
                <w:pPr>
                  <w:ind w:left="420" w:hanging="420"/>
                  <w:jc w:val="center"/>
                  <w:rPr>
                    <w:color w:val="000000" w:themeColor="text1"/>
                  </w:rPr>
                </w:pPr>
                <w:r>
                  <w:rPr>
                    <w:rFonts w:hint="eastAsia"/>
                    <w:color w:val="000000" w:themeColor="text1"/>
                  </w:rPr>
                  <w:t>项目</w:t>
                </w:r>
              </w:p>
            </w:tc>
          </w:sdtContent>
        </w:sdt>
        <w:sdt>
          <w:sdtPr>
            <w:tag w:val="_PLD_6da456fe7d784e789fe8204c2cc499b3"/>
            <w:id w:val="-2001956843"/>
          </w:sdtPr>
          <w:sdtEndPr/>
          <w:sdtContent>
            <w:tc>
              <w:tcPr>
                <w:tcW w:w="1420" w:type="pct"/>
                <w:vAlign w:val="center"/>
              </w:tcPr>
              <w:p w:rsidR="00156DD6" w:rsidRDefault="00D51F5F">
                <w:pPr>
                  <w:jc w:val="center"/>
                  <w:rPr>
                    <w:color w:val="000000" w:themeColor="text1"/>
                  </w:rPr>
                </w:pPr>
                <w:r>
                  <w:rPr>
                    <w:rFonts w:hint="eastAsia"/>
                    <w:color w:val="000000" w:themeColor="text1"/>
                  </w:rPr>
                  <w:t>本期发生额</w:t>
                </w:r>
              </w:p>
            </w:tc>
          </w:sdtContent>
        </w:sdt>
        <w:sdt>
          <w:sdtPr>
            <w:tag w:val="_PLD_d81207d79e9643e0a08aec2616f96432"/>
            <w:id w:val="-945076224"/>
          </w:sdtPr>
          <w:sdtEndPr/>
          <w:sdtContent>
            <w:tc>
              <w:tcPr>
                <w:tcW w:w="1494" w:type="pct"/>
                <w:vAlign w:val="center"/>
              </w:tcPr>
              <w:p w:rsidR="00156DD6" w:rsidRDefault="00D51F5F">
                <w:pPr>
                  <w:jc w:val="center"/>
                  <w:rPr>
                    <w:color w:val="000000" w:themeColor="text1"/>
                  </w:rPr>
                </w:pPr>
                <w:r>
                  <w:rPr>
                    <w:rFonts w:hint="eastAsia"/>
                    <w:color w:val="000000" w:themeColor="text1"/>
                  </w:rPr>
                  <w:t>上期发生额</w:t>
                </w:r>
              </w:p>
            </w:tc>
          </w:sdtContent>
        </w:sdt>
      </w:tr>
      <w:tr w:rsidR="00156DD6">
        <w:tc>
          <w:tcPr>
            <w:tcW w:w="2086" w:type="pct"/>
          </w:tcPr>
          <w:p w:rsidR="00156DD6" w:rsidRDefault="00D51F5F">
            <w:pPr>
              <w:rPr>
                <w:color w:val="000000" w:themeColor="text1"/>
              </w:rPr>
            </w:pPr>
            <w:r>
              <w:rPr>
                <w:color w:val="000000" w:themeColor="text1"/>
              </w:rPr>
              <w:t>成本法核算的长期股权投资收益</w:t>
            </w:r>
          </w:p>
        </w:tc>
        <w:tc>
          <w:tcPr>
            <w:tcW w:w="1420" w:type="pct"/>
          </w:tcPr>
          <w:p w:rsidR="00156DD6" w:rsidRDefault="00156DD6">
            <w:pPr>
              <w:jc w:val="right"/>
            </w:pPr>
          </w:p>
        </w:tc>
        <w:tc>
          <w:tcPr>
            <w:tcW w:w="1494" w:type="pct"/>
            <w:vAlign w:val="center"/>
          </w:tcPr>
          <w:p w:rsidR="00156DD6" w:rsidRDefault="00D51F5F">
            <w:pPr>
              <w:jc w:val="right"/>
            </w:pPr>
            <w:r>
              <w:t xml:space="preserve"> 6,907,019.15 </w:t>
            </w:r>
          </w:p>
        </w:tc>
      </w:tr>
      <w:tr w:rsidR="00156DD6">
        <w:tc>
          <w:tcPr>
            <w:tcW w:w="2086" w:type="pct"/>
          </w:tcPr>
          <w:p w:rsidR="00156DD6" w:rsidRDefault="00D51F5F">
            <w:pPr>
              <w:rPr>
                <w:color w:val="000000" w:themeColor="text1"/>
              </w:rPr>
            </w:pPr>
            <w:r>
              <w:rPr>
                <w:rFonts w:hint="eastAsia"/>
                <w:color w:val="000000" w:themeColor="text1"/>
              </w:rPr>
              <w:t>权益法核算的长期股权投资收益</w:t>
            </w:r>
          </w:p>
        </w:tc>
        <w:tc>
          <w:tcPr>
            <w:tcW w:w="1420" w:type="pct"/>
            <w:vAlign w:val="center"/>
          </w:tcPr>
          <w:p w:rsidR="00156DD6" w:rsidRDefault="00D51F5F">
            <w:pPr>
              <w:jc w:val="right"/>
            </w:pPr>
            <w:r>
              <w:t xml:space="preserve"> -1,373,937.85 </w:t>
            </w:r>
          </w:p>
        </w:tc>
        <w:tc>
          <w:tcPr>
            <w:tcW w:w="1494" w:type="pct"/>
            <w:vAlign w:val="center"/>
          </w:tcPr>
          <w:p w:rsidR="00156DD6" w:rsidRDefault="00D51F5F">
            <w:pPr>
              <w:jc w:val="right"/>
            </w:pPr>
            <w:r>
              <w:t xml:space="preserve"> -74,502.67 </w:t>
            </w:r>
          </w:p>
        </w:tc>
      </w:tr>
      <w:tr w:rsidR="00156DD6">
        <w:tc>
          <w:tcPr>
            <w:tcW w:w="2086" w:type="pct"/>
          </w:tcPr>
          <w:p w:rsidR="00156DD6" w:rsidRDefault="00D51F5F">
            <w:pPr>
              <w:rPr>
                <w:color w:val="000000" w:themeColor="text1"/>
              </w:rPr>
            </w:pPr>
            <w:r>
              <w:rPr>
                <w:rFonts w:hint="eastAsia"/>
                <w:color w:val="000000" w:themeColor="text1"/>
              </w:rPr>
              <w:t>处置交易性金融资产取得的投资收益</w:t>
            </w:r>
          </w:p>
        </w:tc>
        <w:tc>
          <w:tcPr>
            <w:tcW w:w="1420" w:type="pct"/>
            <w:vAlign w:val="center"/>
          </w:tcPr>
          <w:p w:rsidR="00156DD6" w:rsidRDefault="00D51F5F">
            <w:pPr>
              <w:jc w:val="right"/>
            </w:pPr>
            <w:r>
              <w:t>70,897.54</w:t>
            </w:r>
          </w:p>
        </w:tc>
        <w:tc>
          <w:tcPr>
            <w:tcW w:w="1494" w:type="pct"/>
            <w:vAlign w:val="center"/>
          </w:tcPr>
          <w:p w:rsidR="00156DD6" w:rsidRDefault="00156DD6">
            <w:pPr>
              <w:jc w:val="right"/>
            </w:pPr>
          </w:p>
        </w:tc>
      </w:tr>
      <w:tr w:rsidR="00156DD6">
        <w:tc>
          <w:tcPr>
            <w:tcW w:w="2086" w:type="pct"/>
            <w:vAlign w:val="center"/>
          </w:tcPr>
          <w:p w:rsidR="00156DD6" w:rsidRDefault="00D51F5F">
            <w:pPr>
              <w:jc w:val="center"/>
              <w:rPr>
                <w:color w:val="000000" w:themeColor="text1"/>
              </w:rPr>
            </w:pPr>
            <w:r>
              <w:rPr>
                <w:rFonts w:hint="eastAsia"/>
                <w:color w:val="000000" w:themeColor="text1"/>
              </w:rPr>
              <w:t>合计</w:t>
            </w:r>
          </w:p>
        </w:tc>
        <w:tc>
          <w:tcPr>
            <w:tcW w:w="1420" w:type="pct"/>
            <w:vAlign w:val="center"/>
          </w:tcPr>
          <w:p w:rsidR="00156DD6" w:rsidRDefault="00D51F5F">
            <w:pPr>
              <w:jc w:val="right"/>
            </w:pPr>
            <w:r>
              <w:t xml:space="preserve"> -1,303,040.31 </w:t>
            </w:r>
          </w:p>
        </w:tc>
        <w:tc>
          <w:tcPr>
            <w:tcW w:w="1494" w:type="pct"/>
            <w:vAlign w:val="center"/>
          </w:tcPr>
          <w:p w:rsidR="00156DD6" w:rsidRDefault="00D51F5F">
            <w:pPr>
              <w:jc w:val="right"/>
            </w:pPr>
            <w:r>
              <w:t>6,832,516.48</w:t>
            </w:r>
          </w:p>
        </w:tc>
      </w:tr>
    </w:tbl>
    <w:p w:rsidR="00156DD6" w:rsidRDefault="00D51F5F">
      <w:pPr>
        <w:spacing w:line="360" w:lineRule="exact"/>
        <w:rPr>
          <w:color w:val="000000" w:themeColor="text1"/>
        </w:rPr>
      </w:pPr>
      <w:bookmarkStart w:id="558" w:name="_Hlk10720480"/>
      <w:bookmarkEnd w:id="557"/>
      <w:r>
        <w:rPr>
          <w:rFonts w:hint="eastAsia"/>
          <w:color w:val="000000" w:themeColor="text1"/>
        </w:rPr>
        <w:t>其他说明：</w:t>
      </w:r>
      <w:bookmarkEnd w:id="558"/>
    </w:p>
    <w:sdt>
      <w:sdtPr>
        <w:rPr>
          <w:color w:val="000000" w:themeColor="text1"/>
        </w:rPr>
        <w:alias w:val="投资收益说明"/>
        <w:tag w:val="_GBC_e91b47a8afc84e119383bf071cb9a50d"/>
        <w:id w:val="1844280266"/>
        <w:placeholder>
          <w:docPart w:val="GBC22222222222222222222222222222"/>
        </w:placeholder>
      </w:sdtPr>
      <w:sdtEndPr/>
      <w:sdtContent>
        <w:p w:rsidR="00156DD6" w:rsidRDefault="00D51F5F">
          <w:pPr>
            <w:rPr>
              <w:color w:val="000000" w:themeColor="text1"/>
            </w:rPr>
          </w:pPr>
          <w:r>
            <w:rPr>
              <w:rFonts w:hint="eastAsia"/>
              <w:color w:val="000000" w:themeColor="text1"/>
            </w:rPr>
            <w:t>无</w:t>
          </w:r>
        </w:p>
      </w:sdtContent>
    </w:sdt>
    <w:p w:rsidR="00156DD6" w:rsidRDefault="00D51F5F">
      <w:pPr>
        <w:pStyle w:val="TOC6"/>
        <w:numPr>
          <w:ilvl w:val="0"/>
          <w:numId w:val="109"/>
        </w:numPr>
        <w:rPr>
          <w:rFonts w:ascii="宋体" w:hAnsi="宋体"/>
          <w:color w:val="000000" w:themeColor="text1"/>
          <w:sz w:val="21"/>
          <w:szCs w:val="21"/>
        </w:rPr>
      </w:pPr>
      <w:r>
        <w:rPr>
          <w:rFonts w:ascii="宋体" w:hAnsi="宋体" w:hint="eastAsia"/>
          <w:color w:val="000000" w:themeColor="text1"/>
          <w:sz w:val="21"/>
          <w:szCs w:val="21"/>
        </w:rPr>
        <w:t>其他</w:t>
      </w:r>
    </w:p>
    <w:sdt>
      <w:sdtPr>
        <w:rPr>
          <w:color w:val="000000" w:themeColor="text1"/>
        </w:rPr>
        <w:alias w:val="是否适用：母公司会计报表附注的其他说明事项[双击切换]"/>
        <w:tag w:val="_GBC_198503cdf8c8448ea7bb4de3243a4de8"/>
        <w:id w:val="1448041357"/>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2CharCharChar"/>
        <w:numPr>
          <w:ilvl w:val="0"/>
          <w:numId w:val="33"/>
        </w:numPr>
        <w:ind w:left="420" w:hanging="420"/>
        <w:rPr>
          <w:rFonts w:ascii="宋体" w:hAnsi="宋体"/>
          <w:color w:val="000000" w:themeColor="text1"/>
          <w:sz w:val="21"/>
          <w:szCs w:val="21"/>
        </w:rPr>
      </w:pPr>
      <w:r>
        <w:rPr>
          <w:rFonts w:ascii="宋体" w:hAnsi="宋体" w:hint="eastAsia"/>
          <w:color w:val="000000" w:themeColor="text1"/>
          <w:sz w:val="21"/>
          <w:szCs w:val="21"/>
        </w:rPr>
        <w:lastRenderedPageBreak/>
        <w:t>补充资料</w:t>
      </w:r>
    </w:p>
    <w:p w:rsidR="00156DD6" w:rsidRDefault="00D51F5F">
      <w:pPr>
        <w:pStyle w:val="TOC6"/>
        <w:numPr>
          <w:ilvl w:val="0"/>
          <w:numId w:val="116"/>
        </w:numPr>
        <w:rPr>
          <w:rFonts w:ascii="宋体" w:hAnsi="宋体"/>
          <w:color w:val="000000" w:themeColor="text1"/>
          <w:sz w:val="21"/>
          <w:szCs w:val="21"/>
        </w:rPr>
      </w:pPr>
      <w:bookmarkStart w:id="559" w:name="_Hlk168057952"/>
      <w:bookmarkStart w:id="560" w:name="_Hlk535584690"/>
      <w:bookmarkStart w:id="561" w:name="_Hlk152579827"/>
      <w:r>
        <w:rPr>
          <w:rFonts w:ascii="宋体" w:hAnsi="宋体" w:hint="eastAsia"/>
          <w:color w:val="000000" w:themeColor="text1"/>
          <w:sz w:val="21"/>
          <w:szCs w:val="21"/>
        </w:rPr>
        <w:t>当期非经常性损益明细表</w:t>
      </w:r>
    </w:p>
    <w:sdt>
      <w:sdtPr>
        <w:rPr>
          <w:color w:val="000000" w:themeColor="text1"/>
        </w:rPr>
        <w:alias w:val="是否适用：当期非经常性损益明细表[双击切换]"/>
        <w:tag w:val="_GBC_28c90d0fec4248b7be00ea74910120f8"/>
        <w:id w:val="-2075882220"/>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p w:rsidR="00156DD6" w:rsidRDefault="00D51F5F">
      <w:pPr>
        <w:jc w:val="right"/>
        <w:rPr>
          <w:color w:val="000000" w:themeColor="text1"/>
        </w:rPr>
      </w:pPr>
      <w:r>
        <w:rPr>
          <w:rFonts w:hint="eastAsia"/>
          <w:color w:val="000000" w:themeColor="text1"/>
        </w:rPr>
        <w:t>单位：</w:t>
      </w:r>
      <w:sdt>
        <w:sdtPr>
          <w:rPr>
            <w:rFonts w:hint="eastAsia"/>
            <w:color w:val="000000" w:themeColor="text1"/>
          </w:rPr>
          <w:alias w:val="单位：扣除非经常性损益项目和金额"/>
          <w:tag w:val="_GBC_acdddcaac70249d2a73e5ac878d6874b"/>
          <w:id w:val="-1825658741"/>
          <w:placeholder>
            <w:docPart w:val="GBC22222222222222222222222222222"/>
          </w:placeholder>
          <w:dataBinding w:prefixMappings="xmlns:clcid-ci-ar='clcid-ci-ar'" w:xpath="/*/clcid-ci-ar:DanWeiKouChuFeiJingChangXingSunYiXiangMuHeJinE[not(@periodRef)]" w:storeItemID="{89EBAB94-44A0-46A2-B712-30D997D04A6D}"/>
          <w:comboBox w:lastValue="10000">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扣除非经常性损益项目和金额"/>
          <w:tag w:val="_GBC_84f107bd64a74a689cd74b834aaa0b17"/>
          <w:id w:val="925539446"/>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000000" w:themeColor="text1"/>
            </w:rPr>
            <w:t>人民币</w:t>
          </w:r>
        </w:sdtContent>
      </w:sdt>
    </w:p>
    <w:tbl>
      <w:tblPr>
        <w:tblStyle w:val="g2"/>
        <w:tblW w:w="5000" w:type="pct"/>
        <w:tblInd w:w="0" w:type="dxa"/>
        <w:tblLook w:val="04A0" w:firstRow="1" w:lastRow="0" w:firstColumn="1" w:lastColumn="0" w:noHBand="0" w:noVBand="1"/>
      </w:tblPr>
      <w:tblGrid>
        <w:gridCol w:w="4369"/>
        <w:gridCol w:w="2135"/>
        <w:gridCol w:w="2319"/>
      </w:tblGrid>
      <w:tr w:rsidR="00156DD6">
        <w:sdt>
          <w:sdtPr>
            <w:rPr>
              <w:sz w:val="21"/>
              <w:szCs w:val="21"/>
            </w:rPr>
            <w:tag w:val="_PLD_eb975916b80e49408e340b80d53082be"/>
            <w:id w:val="-904445654"/>
          </w:sdtPr>
          <w:sdtEndPr/>
          <w:sdtContent>
            <w:tc>
              <w:tcPr>
                <w:tcW w:w="2476" w:type="pct"/>
                <w:vAlign w:val="center"/>
              </w:tcPr>
              <w:p w:rsidR="00156DD6" w:rsidRDefault="00D51F5F">
                <w:pPr>
                  <w:pStyle w:val="Style72"/>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项目</w:t>
                </w:r>
              </w:p>
            </w:tc>
          </w:sdtContent>
        </w:sdt>
        <w:sdt>
          <w:sdtPr>
            <w:rPr>
              <w:sz w:val="21"/>
              <w:szCs w:val="21"/>
            </w:rPr>
            <w:tag w:val="_PLD_871069ab0242459987d2cd8153c439e3"/>
            <w:id w:val="-78293207"/>
          </w:sdtPr>
          <w:sdtEndPr/>
          <w:sdtContent>
            <w:tc>
              <w:tcPr>
                <w:tcW w:w="1210" w:type="pct"/>
                <w:vAlign w:val="center"/>
              </w:tcPr>
              <w:p w:rsidR="00156DD6" w:rsidRDefault="00D51F5F">
                <w:pPr>
                  <w:pStyle w:val="Style72"/>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金额</w:t>
                </w:r>
              </w:p>
            </w:tc>
          </w:sdtContent>
        </w:sdt>
        <w:sdt>
          <w:sdtPr>
            <w:rPr>
              <w:sz w:val="21"/>
              <w:szCs w:val="21"/>
            </w:rPr>
            <w:tag w:val="_PLD_2b6844f78d7043ca94a5b478c9729ca8"/>
            <w:id w:val="288477214"/>
          </w:sdtPr>
          <w:sdtEndPr/>
          <w:sdtContent>
            <w:tc>
              <w:tcPr>
                <w:tcW w:w="1314" w:type="pct"/>
                <w:vAlign w:val="center"/>
              </w:tcPr>
              <w:p w:rsidR="00156DD6" w:rsidRDefault="00D51F5F">
                <w:pPr>
                  <w:pStyle w:val="Style72"/>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说明</w:t>
                </w:r>
              </w:p>
            </w:tc>
          </w:sdtContent>
        </w:sdt>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非流动</w:t>
            </w:r>
            <w:r>
              <w:rPr>
                <w:rFonts w:hint="eastAsia"/>
                <w:color w:val="000000" w:themeColor="text1"/>
                <w:sz w:val="21"/>
                <w:szCs w:val="21"/>
              </w:rPr>
              <w:t>性</w:t>
            </w:r>
            <w:r>
              <w:rPr>
                <w:color w:val="000000" w:themeColor="text1"/>
                <w:sz w:val="21"/>
                <w:szCs w:val="21"/>
              </w:rPr>
              <w:t>资产处置损益</w:t>
            </w:r>
            <w:r>
              <w:rPr>
                <w:rFonts w:hint="eastAsia"/>
                <w:color w:val="000000" w:themeColor="text1"/>
                <w:sz w:val="21"/>
                <w:szCs w:val="21"/>
              </w:rPr>
              <w:t>，包括已计提资产减值准备的冲销部分</w:t>
            </w:r>
          </w:p>
        </w:tc>
        <w:tc>
          <w:tcPr>
            <w:tcW w:w="1210" w:type="pct"/>
            <w:vAlign w:val="center"/>
          </w:tcPr>
          <w:p w:rsidR="00156DD6" w:rsidRDefault="00D51F5F">
            <w:pPr>
              <w:jc w:val="right"/>
              <w:rPr>
                <w:color w:val="000000" w:themeColor="text1"/>
              </w:rPr>
            </w:pPr>
            <w:r>
              <w:rPr>
                <w:rFonts w:hint="eastAsia"/>
              </w:rPr>
              <w:t>9.44</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计入当期损益的政府补助</w:t>
            </w:r>
            <w:r>
              <w:rPr>
                <w:rFonts w:hint="eastAsia"/>
                <w:color w:val="000000" w:themeColor="text1"/>
                <w:sz w:val="21"/>
                <w:szCs w:val="21"/>
              </w:rPr>
              <w:t>，但与公司正常经营业务密切相关、符合国家政策规定、按照确定的标准享有、对公司损益产生持续影响的政府补助除外</w:t>
            </w:r>
          </w:p>
        </w:tc>
        <w:tc>
          <w:tcPr>
            <w:tcW w:w="1210" w:type="pct"/>
            <w:vAlign w:val="center"/>
          </w:tcPr>
          <w:p w:rsidR="00156DD6" w:rsidRDefault="00D51F5F">
            <w:pPr>
              <w:jc w:val="right"/>
              <w:rPr>
                <w:color w:val="000000" w:themeColor="text1"/>
              </w:rPr>
            </w:pPr>
            <w:r>
              <w:rPr>
                <w:rFonts w:hint="eastAsia"/>
              </w:rPr>
              <w:t>844.04</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rFonts w:hint="eastAsia"/>
                <w:color w:val="000000" w:themeColor="text1"/>
                <w:sz w:val="21"/>
                <w:szCs w:val="21"/>
              </w:rPr>
              <w:t>除同公司正常经营业务相关的有效套期保值业务外，</w:t>
            </w:r>
            <w:r>
              <w:rPr>
                <w:color w:val="000000" w:themeColor="text1"/>
                <w:sz w:val="21"/>
                <w:szCs w:val="21"/>
              </w:rPr>
              <w:t>非金融企业持有金融资产和金融负债产生的公允价值变动损益以及处置金融资产和金融负债产生的损益</w:t>
            </w:r>
          </w:p>
        </w:tc>
        <w:tc>
          <w:tcPr>
            <w:tcW w:w="1210" w:type="pct"/>
            <w:vAlign w:val="center"/>
          </w:tcPr>
          <w:p w:rsidR="00156DD6" w:rsidRDefault="00D51F5F">
            <w:pPr>
              <w:jc w:val="right"/>
              <w:rPr>
                <w:color w:val="000000" w:themeColor="text1"/>
              </w:rPr>
            </w:pPr>
            <w:r>
              <w:rPr>
                <w:rFonts w:hint="eastAsia"/>
              </w:rPr>
              <w:t>86.15</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计入当期损益的对非金融企业收取的资金占用费</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委托他人投资或管理资产的损益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对外委托贷款取得的损益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因不可抗力因</w:t>
            </w:r>
            <w:r>
              <w:rPr>
                <w:rFonts w:hint="eastAsia"/>
                <w:color w:val="000000" w:themeColor="text1"/>
                <w:sz w:val="21"/>
                <w:szCs w:val="21"/>
              </w:rPr>
              <w:t>素，如遭受自然灾害而产生的各项资产损失</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rFonts w:hint="eastAsia"/>
                <w:color w:val="000000" w:themeColor="text1"/>
                <w:sz w:val="21"/>
                <w:szCs w:val="21"/>
              </w:rPr>
              <w:t>单独进行减值测试的应收款项减值准备转回</w:t>
            </w:r>
          </w:p>
        </w:tc>
        <w:tc>
          <w:tcPr>
            <w:tcW w:w="1210" w:type="pct"/>
            <w:vAlign w:val="center"/>
          </w:tcPr>
          <w:p w:rsidR="00156DD6" w:rsidRDefault="00D51F5F">
            <w:pPr>
              <w:jc w:val="right"/>
              <w:rPr>
                <w:color w:val="000000" w:themeColor="text1"/>
              </w:rPr>
            </w:pPr>
            <w:r>
              <w:rPr>
                <w:rFonts w:hint="eastAsia"/>
                <w:color w:val="000000" w:themeColor="text1"/>
              </w:rPr>
              <w:t>14.96</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企业取得子公司、联营企业及合营企业的投资成本小于取得投资时应享有被投资单位可辨认净资产公允价值产生的收益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同一控制下企业合并产生的子公司期初至合并日的当期净损益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非货币性资产交换损益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债务重组损益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企业</w:t>
            </w:r>
            <w:r>
              <w:rPr>
                <w:rFonts w:hint="eastAsia"/>
                <w:color w:val="000000" w:themeColor="text1"/>
                <w:sz w:val="21"/>
                <w:szCs w:val="21"/>
              </w:rPr>
              <w:t>因相关经营活动不再持续而发生的一次性费用，如安置职工的支出等</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因税收、会计等法律、法规</w:t>
            </w:r>
            <w:r>
              <w:rPr>
                <w:rFonts w:hint="eastAsia"/>
                <w:color w:val="000000" w:themeColor="text1"/>
                <w:sz w:val="21"/>
                <w:szCs w:val="21"/>
              </w:rPr>
              <w:t>的调整对当期损益产生的一次性影响</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因取消、修改股权激励计划一次性确认的股份支付费用</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156DD6">
            <w:pPr>
              <w:pStyle w:val="Style43"/>
              <w:rPr>
                <w:sz w:val="21"/>
                <w:szCs w:val="21"/>
              </w:rPr>
            </w:pP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对于现金结算的股份支付，在可行权日之后，应付职工薪酬的公允价值变动产生的损益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156DD6">
            <w:pPr>
              <w:pStyle w:val="Style43"/>
              <w:rPr>
                <w:sz w:val="21"/>
                <w:szCs w:val="21"/>
              </w:rPr>
            </w:pP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采用公允价值模式进行后续计量的投资性房地产公允价值变动产生的损益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rFonts w:hint="eastAsia"/>
                <w:color w:val="000000" w:themeColor="text1"/>
                <w:sz w:val="21"/>
                <w:szCs w:val="21"/>
              </w:rPr>
              <w:t>交易价格显失公允的交易产生的收益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与公司正常经营业务无关的或有事项产生的损益</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受托经营取得的托管费收入</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除上述各项之外的其他营业外收入和支出</w:t>
            </w:r>
          </w:p>
        </w:tc>
        <w:tc>
          <w:tcPr>
            <w:tcW w:w="1210" w:type="pct"/>
            <w:vAlign w:val="center"/>
          </w:tcPr>
          <w:p w:rsidR="00156DD6" w:rsidRDefault="00D51F5F">
            <w:pPr>
              <w:jc w:val="right"/>
              <w:rPr>
                <w:color w:val="000000" w:themeColor="text1"/>
              </w:rPr>
            </w:pPr>
            <w:r>
              <w:rPr>
                <w:rFonts w:hint="eastAsia"/>
                <w:color w:val="000000" w:themeColor="text1"/>
              </w:rPr>
              <w:t>-225.72</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color w:val="000000" w:themeColor="text1"/>
                <w:sz w:val="21"/>
                <w:szCs w:val="21"/>
              </w:rPr>
              <w:t>其他符合非经常性损益定义的损益项目</w:t>
            </w:r>
          </w:p>
        </w:tc>
        <w:tc>
          <w:tcPr>
            <w:tcW w:w="1210" w:type="pct"/>
            <w:vAlign w:val="center"/>
          </w:tcPr>
          <w:p w:rsidR="00156DD6" w:rsidRDefault="00D51F5F">
            <w:pPr>
              <w:jc w:val="right"/>
              <w:rPr>
                <w:color w:val="000000" w:themeColor="text1"/>
              </w:rPr>
            </w:pPr>
            <w:r>
              <w:rPr>
                <w:rFonts w:hint="eastAsia"/>
                <w:color w:val="000000" w:themeColor="text1"/>
              </w:rPr>
              <w:t xml:space="preserve">　</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ind w:firstLineChars="0" w:firstLine="0"/>
              <w:jc w:val="left"/>
              <w:rPr>
                <w:color w:val="000000" w:themeColor="text1"/>
                <w:sz w:val="21"/>
                <w:szCs w:val="21"/>
              </w:rPr>
            </w:pPr>
            <w:r>
              <w:rPr>
                <w:rFonts w:hint="eastAsia"/>
                <w:color w:val="000000" w:themeColor="text1"/>
                <w:sz w:val="21"/>
                <w:szCs w:val="21"/>
              </w:rPr>
              <w:t>减：</w:t>
            </w:r>
            <w:r>
              <w:rPr>
                <w:color w:val="000000" w:themeColor="text1"/>
                <w:sz w:val="21"/>
                <w:szCs w:val="21"/>
              </w:rPr>
              <w:t>所得税影响额</w:t>
            </w:r>
          </w:p>
        </w:tc>
        <w:tc>
          <w:tcPr>
            <w:tcW w:w="1210" w:type="pct"/>
          </w:tcPr>
          <w:p w:rsidR="00156DD6" w:rsidRDefault="00D51F5F">
            <w:pPr>
              <w:jc w:val="right"/>
              <w:rPr>
                <w:color w:val="000000" w:themeColor="text1"/>
              </w:rPr>
            </w:pPr>
            <w:r>
              <w:rPr>
                <w:rFonts w:hint="eastAsia"/>
              </w:rPr>
              <w:t>109.30</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tcPr>
          <w:p w:rsidR="00156DD6" w:rsidRDefault="00D51F5F">
            <w:pPr>
              <w:pStyle w:val="Style72"/>
              <w:jc w:val="left"/>
              <w:rPr>
                <w:color w:val="000000" w:themeColor="text1"/>
                <w:sz w:val="21"/>
                <w:szCs w:val="21"/>
              </w:rPr>
            </w:pPr>
            <w:r>
              <w:rPr>
                <w:color w:val="000000" w:themeColor="text1"/>
                <w:sz w:val="21"/>
                <w:szCs w:val="21"/>
              </w:rPr>
              <w:t>少数股东权益影响额</w:t>
            </w:r>
            <w:r>
              <w:rPr>
                <w:rFonts w:hint="eastAsia"/>
                <w:color w:val="000000" w:themeColor="text1"/>
                <w:sz w:val="21"/>
                <w:szCs w:val="21"/>
              </w:rPr>
              <w:t>（税后）</w:t>
            </w:r>
          </w:p>
        </w:tc>
        <w:tc>
          <w:tcPr>
            <w:tcW w:w="1210" w:type="pct"/>
          </w:tcPr>
          <w:p w:rsidR="00156DD6" w:rsidRDefault="00D51F5F">
            <w:pPr>
              <w:jc w:val="right"/>
              <w:rPr>
                <w:color w:val="000000" w:themeColor="text1"/>
              </w:rPr>
            </w:pPr>
            <w:r>
              <w:rPr>
                <w:rFonts w:hint="eastAsia"/>
              </w:rPr>
              <w:t>77.92</w:t>
            </w:r>
          </w:p>
        </w:tc>
        <w:tc>
          <w:tcPr>
            <w:tcW w:w="1314" w:type="pct"/>
            <w:vAlign w:val="center"/>
          </w:tcPr>
          <w:p w:rsidR="00156DD6" w:rsidRDefault="00D51F5F">
            <w:pPr>
              <w:rPr>
                <w:color w:val="000000" w:themeColor="text1"/>
              </w:rPr>
            </w:pPr>
            <w:r>
              <w:rPr>
                <w:rFonts w:hint="eastAsia"/>
                <w:color w:val="000000" w:themeColor="text1"/>
              </w:rPr>
              <w:t xml:space="preserve">　</w:t>
            </w:r>
          </w:p>
        </w:tc>
      </w:tr>
      <w:tr w:rsidR="00156DD6">
        <w:tc>
          <w:tcPr>
            <w:tcW w:w="2476" w:type="pct"/>
            <w:vAlign w:val="center"/>
          </w:tcPr>
          <w:p w:rsidR="00156DD6" w:rsidRDefault="00D51F5F">
            <w:pPr>
              <w:pStyle w:val="Style72"/>
              <w:ind w:firstLineChars="0" w:firstLine="0"/>
              <w:jc w:val="center"/>
              <w:rPr>
                <w:color w:val="000000" w:themeColor="text1"/>
                <w:sz w:val="21"/>
                <w:szCs w:val="21"/>
              </w:rPr>
            </w:pPr>
            <w:r>
              <w:rPr>
                <w:color w:val="000000" w:themeColor="text1"/>
                <w:sz w:val="21"/>
                <w:szCs w:val="21"/>
              </w:rPr>
              <w:t>合计</w:t>
            </w:r>
          </w:p>
        </w:tc>
        <w:tc>
          <w:tcPr>
            <w:tcW w:w="1210" w:type="pct"/>
          </w:tcPr>
          <w:p w:rsidR="00156DD6" w:rsidRDefault="00D51F5F">
            <w:pPr>
              <w:jc w:val="right"/>
              <w:rPr>
                <w:color w:val="000000" w:themeColor="text1"/>
              </w:rPr>
            </w:pPr>
            <w:r>
              <w:rPr>
                <w:rFonts w:hint="eastAsia"/>
              </w:rPr>
              <w:t>541.66</w:t>
            </w:r>
          </w:p>
        </w:tc>
        <w:tc>
          <w:tcPr>
            <w:tcW w:w="1314" w:type="pct"/>
            <w:vAlign w:val="center"/>
          </w:tcPr>
          <w:p w:rsidR="00156DD6" w:rsidRDefault="00D51F5F">
            <w:pPr>
              <w:rPr>
                <w:color w:val="000000" w:themeColor="text1"/>
              </w:rPr>
            </w:pPr>
            <w:r>
              <w:rPr>
                <w:rFonts w:hint="eastAsia"/>
                <w:color w:val="000000" w:themeColor="text1"/>
              </w:rPr>
              <w:t xml:space="preserve">　</w:t>
            </w:r>
          </w:p>
        </w:tc>
      </w:tr>
    </w:tbl>
    <w:bookmarkEnd w:id="559"/>
    <w:bookmarkEnd w:id="560"/>
    <w:bookmarkEnd w:id="561"/>
    <w:p w:rsidR="00156DD6" w:rsidRDefault="00D51F5F">
      <w:pPr>
        <w:rPr>
          <w:color w:val="000000" w:themeColor="text1"/>
        </w:rPr>
      </w:pPr>
      <w:r>
        <w:rPr>
          <w:rFonts w:hint="eastAsia"/>
          <w:color w:val="000000" w:themeColor="text1"/>
        </w:rPr>
        <w:lastRenderedPageBreak/>
        <w:t>对公司</w:t>
      </w:r>
      <w:bookmarkStart w:id="562" w:name="_Hlk169079435"/>
      <w:r>
        <w:rPr>
          <w:rFonts w:hint="eastAsia"/>
          <w:color w:val="000000" w:themeColor="text1"/>
        </w:rPr>
        <w:t>将《公开发行证券的公司信息披露解释性公告第</w:t>
      </w:r>
      <w:r>
        <w:rPr>
          <w:color w:val="000000" w:themeColor="text1"/>
        </w:rPr>
        <w:t>1</w:t>
      </w:r>
      <w:r>
        <w:rPr>
          <w:color w:val="000000" w:themeColor="text1"/>
        </w:rPr>
        <w:t>号</w:t>
      </w:r>
      <w:r>
        <w:rPr>
          <w:color w:val="000000" w:themeColor="text1"/>
        </w:rPr>
        <w:t>——</w:t>
      </w:r>
      <w:r>
        <w:rPr>
          <w:color w:val="000000" w:themeColor="text1"/>
        </w:rPr>
        <w:t>非经常性损益》未列举的项目认定为非经常性损益项目且金额重大的，以及将《公开发行证券的公司信息披露解释性公告第</w:t>
      </w:r>
      <w:r>
        <w:rPr>
          <w:color w:val="000000" w:themeColor="text1"/>
        </w:rPr>
        <w:t>1</w:t>
      </w:r>
      <w:r>
        <w:rPr>
          <w:color w:val="000000" w:themeColor="text1"/>
        </w:rPr>
        <w:t>号</w:t>
      </w:r>
      <w:r>
        <w:rPr>
          <w:color w:val="000000" w:themeColor="text1"/>
        </w:rPr>
        <w:t>——</w:t>
      </w:r>
      <w:r>
        <w:rPr>
          <w:color w:val="000000" w:themeColor="text1"/>
        </w:rPr>
        <w:t>非经常性损益》中列举的非经常性损益项目界定为经常性损益的项目，应说明原因。</w:t>
      </w:r>
      <w:bookmarkEnd w:id="562"/>
    </w:p>
    <w:sdt>
      <w:sdtPr>
        <w:rPr>
          <w:color w:val="000000" w:themeColor="text1"/>
        </w:rPr>
        <w:alias w:val="是否适用：将非经常性损益项目界定为经常性损益项目[双击切换]"/>
        <w:tag w:val="_GBC_5f8a059d4da1440d8ef10197ecd89cd6"/>
        <w:id w:val="1731574493"/>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spacing w:line="360" w:lineRule="exact"/>
        <w:rPr>
          <w:color w:val="000000" w:themeColor="text1"/>
        </w:rPr>
      </w:pPr>
      <w:bookmarkStart w:id="563" w:name="_Hlk168058078"/>
      <w:r>
        <w:rPr>
          <w:rFonts w:hint="eastAsia"/>
          <w:color w:val="000000" w:themeColor="text1"/>
        </w:rPr>
        <w:t>其他说明</w:t>
      </w:r>
    </w:p>
    <w:sdt>
      <w:sdtPr>
        <w:rPr>
          <w:color w:val="000000" w:themeColor="text1"/>
        </w:rPr>
        <w:alias w:val="是否适用：非经常性损益的其他说明[双击切换]"/>
        <w:tag w:val="_GBC_98984b33dead4179aa5566c8753f4b5e"/>
        <w:id w:val="44690578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bookmarkEnd w:id="563"/>
    <w:p w:rsidR="00156DD6" w:rsidRDefault="00D51F5F">
      <w:pPr>
        <w:pStyle w:val="TOC6"/>
        <w:numPr>
          <w:ilvl w:val="0"/>
          <w:numId w:val="116"/>
        </w:numPr>
        <w:rPr>
          <w:rFonts w:ascii="宋体" w:hAnsi="宋体"/>
          <w:color w:val="000000" w:themeColor="text1"/>
          <w:sz w:val="21"/>
          <w:szCs w:val="21"/>
        </w:rPr>
      </w:pPr>
      <w:r>
        <w:rPr>
          <w:rFonts w:ascii="宋体" w:hAnsi="宋体" w:hint="eastAsia"/>
          <w:color w:val="000000" w:themeColor="text1"/>
          <w:sz w:val="21"/>
          <w:szCs w:val="21"/>
        </w:rPr>
        <w:t>净资产收益率及每股收益</w:t>
      </w:r>
    </w:p>
    <w:sdt>
      <w:sdtPr>
        <w:rPr>
          <w:color w:val="000000" w:themeColor="text1"/>
        </w:rPr>
        <w:alias w:val="是否适用：净资产收益率及每股收益[双击切换]"/>
        <w:tag w:val="_GBC_75866ebc8d184cdd988e79330ad3b083"/>
        <w:id w:val="1369567658"/>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tbl>
      <w:tblPr>
        <w:tblStyle w:val="Style5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0"/>
        <w:gridCol w:w="1795"/>
        <w:gridCol w:w="2093"/>
        <w:gridCol w:w="2095"/>
      </w:tblGrid>
      <w:tr w:rsidR="00156DD6">
        <w:trPr>
          <w:trHeight w:val="270"/>
        </w:trPr>
        <w:sdt>
          <w:sdtPr>
            <w:tag w:val="_PLD_680a8ba0e71a45459c0939cd6c78c07f"/>
            <w:id w:val="1920435856"/>
          </w:sdtPr>
          <w:sdtEndPr/>
          <w:sdtContent>
            <w:tc>
              <w:tcPr>
                <w:tcW w:w="1609" w:type="pct"/>
                <w:vMerge w:val="restar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报告期利润</w:t>
                </w:r>
              </w:p>
            </w:tc>
          </w:sdtContent>
        </w:sdt>
        <w:sdt>
          <w:sdtPr>
            <w:tag w:val="_PLD_608d0086e1154f8ca6d3c34247132ef0"/>
            <w:id w:val="-1877459632"/>
          </w:sdtPr>
          <w:sdtEndPr/>
          <w:sdtContent>
            <w:tc>
              <w:tcPr>
                <w:tcW w:w="1017" w:type="pct"/>
                <w:vMerge w:val="restart"/>
                <w:tcBorders>
                  <w:top w:val="single" w:sz="4" w:space="0" w:color="auto"/>
                  <w:left w:val="single" w:sz="4" w:space="0" w:color="auto"/>
                  <w:right w:val="single" w:sz="4" w:space="0" w:color="auto"/>
                </w:tcBorders>
                <w:vAlign w:val="center"/>
              </w:tcPr>
              <w:p w:rsidR="00156DD6" w:rsidRDefault="00D51F5F">
                <w:pPr>
                  <w:jc w:val="center"/>
                  <w:rPr>
                    <w:color w:val="000000" w:themeColor="text1"/>
                  </w:rPr>
                </w:pPr>
                <w:r>
                  <w:rPr>
                    <w:color w:val="000000" w:themeColor="text1"/>
                  </w:rPr>
                  <w:t>加权平均净资产收益率（</w:t>
                </w:r>
                <w:r>
                  <w:rPr>
                    <w:color w:val="000000" w:themeColor="text1"/>
                  </w:rPr>
                  <w:t>%</w:t>
                </w:r>
                <w:r>
                  <w:rPr>
                    <w:color w:val="000000" w:themeColor="text1"/>
                  </w:rPr>
                  <w:t>）</w:t>
                </w:r>
              </w:p>
            </w:tc>
          </w:sdtContent>
        </w:sdt>
        <w:sdt>
          <w:sdtPr>
            <w:tag w:val="_PLD_8b4a0bf973be4a19862ac5168193db93"/>
            <w:id w:val="-2027785403"/>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每股收益</w:t>
                </w:r>
              </w:p>
            </w:tc>
          </w:sdtContent>
        </w:sdt>
      </w:tr>
      <w:tr w:rsidR="00156DD6">
        <w:trPr>
          <w:trHeight w:val="360"/>
        </w:trPr>
        <w:tc>
          <w:tcPr>
            <w:tcW w:w="1609" w:type="pct"/>
            <w:vMerge/>
            <w:tcBorders>
              <w:top w:val="single" w:sz="4" w:space="0" w:color="auto"/>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tc>
          <w:tcPr>
            <w:tcW w:w="1017" w:type="pct"/>
            <w:vMerge/>
            <w:tcBorders>
              <w:left w:val="single" w:sz="4" w:space="0" w:color="auto"/>
              <w:bottom w:val="single" w:sz="4" w:space="0" w:color="auto"/>
              <w:right w:val="single" w:sz="4" w:space="0" w:color="auto"/>
            </w:tcBorders>
            <w:vAlign w:val="center"/>
          </w:tcPr>
          <w:p w:rsidR="00156DD6" w:rsidRDefault="00156DD6">
            <w:pPr>
              <w:jc w:val="center"/>
              <w:rPr>
                <w:color w:val="000000" w:themeColor="text1"/>
              </w:rPr>
            </w:pPr>
          </w:p>
        </w:tc>
        <w:sdt>
          <w:sdtPr>
            <w:tag w:val="_PLD_45472770a81744249d77e54c2efc412a"/>
            <w:id w:val="1969238551"/>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基本每股收益</w:t>
                </w:r>
              </w:p>
            </w:tc>
          </w:sdtContent>
        </w:sdt>
        <w:sdt>
          <w:sdtPr>
            <w:tag w:val="_PLD_c4e5be0bbc134fa28e28895e1a12e02c"/>
            <w:id w:val="-310638533"/>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156DD6" w:rsidRDefault="00D51F5F">
                <w:pPr>
                  <w:jc w:val="center"/>
                  <w:rPr>
                    <w:color w:val="000000" w:themeColor="text1"/>
                  </w:rPr>
                </w:pPr>
                <w:r>
                  <w:rPr>
                    <w:color w:val="000000" w:themeColor="text1"/>
                  </w:rPr>
                  <w:t>稀释每股收益</w:t>
                </w:r>
              </w:p>
            </w:tc>
          </w:sdtContent>
        </w:sdt>
      </w:tr>
      <w:tr w:rsidR="00156DD6">
        <w:trPr>
          <w:trHeight w:val="360"/>
        </w:trPr>
        <w:tc>
          <w:tcPr>
            <w:tcW w:w="1609"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color w:val="000000" w:themeColor="text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2.24 </w:t>
            </w:r>
          </w:p>
        </w:tc>
        <w:tc>
          <w:tcPr>
            <w:tcW w:w="1186"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0.17</w:t>
            </w:r>
          </w:p>
        </w:tc>
        <w:tc>
          <w:tcPr>
            <w:tcW w:w="118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0.17</w:t>
            </w:r>
          </w:p>
        </w:tc>
      </w:tr>
      <w:tr w:rsidR="00156DD6">
        <w:trPr>
          <w:trHeight w:val="360"/>
        </w:trPr>
        <w:tc>
          <w:tcPr>
            <w:tcW w:w="1609" w:type="pct"/>
            <w:tcBorders>
              <w:top w:val="single" w:sz="4" w:space="0" w:color="auto"/>
              <w:left w:val="single" w:sz="4" w:space="0" w:color="auto"/>
              <w:bottom w:val="single" w:sz="4" w:space="0" w:color="auto"/>
              <w:right w:val="single" w:sz="4" w:space="0" w:color="auto"/>
            </w:tcBorders>
          </w:tcPr>
          <w:p w:rsidR="00156DD6" w:rsidRDefault="00D51F5F">
            <w:pPr>
              <w:rPr>
                <w:color w:val="000000" w:themeColor="text1"/>
              </w:rPr>
            </w:pPr>
            <w:r>
              <w:rPr>
                <w:color w:val="000000" w:themeColor="text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 xml:space="preserve"> 2.02 </w:t>
            </w:r>
          </w:p>
        </w:tc>
        <w:tc>
          <w:tcPr>
            <w:tcW w:w="1186"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0.15</w:t>
            </w:r>
          </w:p>
        </w:tc>
        <w:tc>
          <w:tcPr>
            <w:tcW w:w="1187" w:type="pct"/>
            <w:tcBorders>
              <w:top w:val="single" w:sz="4" w:space="0" w:color="auto"/>
              <w:left w:val="single" w:sz="4" w:space="0" w:color="auto"/>
              <w:bottom w:val="single" w:sz="4" w:space="0" w:color="auto"/>
              <w:right w:val="single" w:sz="4" w:space="0" w:color="auto"/>
            </w:tcBorders>
            <w:vAlign w:val="center"/>
          </w:tcPr>
          <w:p w:rsidR="00156DD6" w:rsidRDefault="00D51F5F">
            <w:pPr>
              <w:jc w:val="right"/>
            </w:pPr>
            <w:r>
              <w:rPr>
                <w:rFonts w:hint="eastAsia"/>
              </w:rPr>
              <w:t>0.15</w:t>
            </w:r>
          </w:p>
        </w:tc>
      </w:tr>
    </w:tbl>
    <w:p w:rsidR="00156DD6" w:rsidRDefault="00D51F5F">
      <w:pPr>
        <w:pStyle w:val="3"/>
        <w:numPr>
          <w:ilvl w:val="0"/>
          <w:numId w:val="116"/>
        </w:numPr>
        <w:rPr>
          <w:rFonts w:ascii="宋体" w:hAnsi="宋体"/>
          <w:color w:val="000000" w:themeColor="text1"/>
          <w:szCs w:val="21"/>
        </w:rPr>
      </w:pPr>
      <w:r>
        <w:rPr>
          <w:rFonts w:ascii="宋体" w:hAnsi="宋体" w:hint="eastAsia"/>
          <w:color w:val="000000" w:themeColor="text1"/>
          <w:szCs w:val="21"/>
        </w:rPr>
        <w:t>境内外会计准则下会计数据差异</w:t>
      </w:r>
    </w:p>
    <w:sdt>
      <w:sdtPr>
        <w:rPr>
          <w:color w:val="000000" w:themeColor="text1"/>
        </w:rPr>
        <w:alias w:val="是否适用：境内外会计准则下会计数据差异[双击切换]"/>
        <w:tag w:val="_GBC_3482333eff2948139884cfdd1debc958"/>
        <w:id w:val="840052600"/>
        <w:placeholder>
          <w:docPart w:val="E4A80B7C2A934A8CBE316B04FD2F3CD0"/>
        </w:placeholder>
      </w:sdtPr>
      <w:sdtEndPr/>
      <w:sdtContent>
        <w:p w:rsidR="00156DD6" w:rsidRDefault="00D51F5F">
          <w:pPr>
            <w:rPr>
              <w:rFonts w:cstheme="minorBidi"/>
              <w:color w:val="000000" w:themeColor="text1"/>
              <w:kern w:val="2"/>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D51F5F">
      <w:pPr>
        <w:pStyle w:val="TOC6"/>
        <w:numPr>
          <w:ilvl w:val="0"/>
          <w:numId w:val="116"/>
        </w:numPr>
        <w:rPr>
          <w:rFonts w:ascii="宋体" w:hAnsi="宋体"/>
          <w:color w:val="000000" w:themeColor="text1"/>
          <w:szCs w:val="21"/>
        </w:rPr>
      </w:pPr>
      <w:r>
        <w:rPr>
          <w:rFonts w:ascii="宋体" w:hAnsi="宋体" w:hint="eastAsia"/>
          <w:color w:val="000000" w:themeColor="text1"/>
          <w:szCs w:val="21"/>
        </w:rPr>
        <w:t>其他</w:t>
      </w:r>
    </w:p>
    <w:sdt>
      <w:sdtPr>
        <w:rPr>
          <w:color w:val="000000" w:themeColor="text1"/>
        </w:rPr>
        <w:alias w:val="是否适用：补充资料其他说明事项[双击切换]"/>
        <w:tag w:val="_GBC_8954f89f8426424c966f1b658de53fe5"/>
        <w:id w:val="158268806"/>
        <w:placeholder>
          <w:docPart w:val="GBC22222222222222222222222222222"/>
        </w:placeholder>
      </w:sdtPr>
      <w:sdtEndPr/>
      <w:sdtContent>
        <w:p w:rsidR="00156DD6" w:rsidRDefault="00D51F5F">
          <w:pPr>
            <w:rPr>
              <w:color w:val="000000" w:themeColor="text1"/>
            </w:rPr>
          </w:pP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□适用</w:instrText>
          </w:r>
          <w:r>
            <w:rPr>
              <w:rFonts w:hint="eastAsia"/>
              <w:color w:val="000000" w:themeColor="text1"/>
            </w:rPr>
            <w:instrText xml:space="preserve">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w:instrText>
          </w:r>
          <w:r>
            <w:rPr>
              <w:rFonts w:hint="eastAsia"/>
              <w:color w:val="000000" w:themeColor="text1"/>
            </w:rPr>
            <w:instrText>√不适用</w:instrText>
          </w:r>
          <w:r>
            <w:rPr>
              <w:rFonts w:hint="eastAsia"/>
              <w:color w:val="000000" w:themeColor="text1"/>
            </w:rPr>
            <w:instrText xml:space="preserve"> </w:instrText>
          </w:r>
          <w:r>
            <w:rPr>
              <w:color w:val="000000" w:themeColor="text1"/>
            </w:rPr>
            <w:fldChar w:fldCharType="end"/>
          </w:r>
        </w:p>
      </w:sdtContent>
    </w:sdt>
    <w:p w:rsidR="00156DD6" w:rsidRDefault="00156DD6">
      <w:pPr>
        <w:rPr>
          <w:color w:val="000000" w:themeColor="text1"/>
        </w:rPr>
      </w:pPr>
    </w:p>
    <w:p w:rsidR="00156DD6" w:rsidRDefault="00156DD6">
      <w:pPr>
        <w:rPr>
          <w:color w:val="000000" w:themeColor="text1"/>
        </w:rPr>
      </w:pPr>
    </w:p>
    <w:p w:rsidR="00156DD6" w:rsidRDefault="00156DD6">
      <w:pPr>
        <w:spacing w:line="360" w:lineRule="exact"/>
        <w:ind w:right="5"/>
        <w:rPr>
          <w:b/>
          <w:color w:val="000000" w:themeColor="text1"/>
          <w:sz w:val="24"/>
        </w:rPr>
      </w:pPr>
      <w:bookmarkStart w:id="564" w:name="_Hlk76135020"/>
    </w:p>
    <w:p w:rsidR="00156DD6" w:rsidRDefault="00D51F5F">
      <w:pPr>
        <w:wordWrap w:val="0"/>
        <w:spacing w:line="360" w:lineRule="exact"/>
        <w:jc w:val="right"/>
        <w:rPr>
          <w:color w:val="000000" w:themeColor="text1"/>
          <w:u w:val="single"/>
        </w:rPr>
      </w:pPr>
      <w:r>
        <w:rPr>
          <w:color w:val="000000" w:themeColor="text1"/>
        </w:rPr>
        <w:t>董事长：</w:t>
      </w:r>
      <w:sdt>
        <w:sdtPr>
          <w:rPr>
            <w:color w:val="000000" w:themeColor="text1"/>
          </w:rPr>
          <w:alias w:val="报告发布人"/>
          <w:tag w:val="_GBC_f07cbb7287a94e798691f7fcb5112f49"/>
          <w:id w:val="2120406236"/>
          <w:placeholder>
            <w:docPart w:val="GBC22222222222222222222222222222"/>
          </w:placeholder>
        </w:sdtPr>
        <w:sdtEndPr/>
        <w:sdtContent>
          <w:r>
            <w:rPr>
              <w:rFonts w:hint="eastAsia"/>
              <w:color w:val="000000" w:themeColor="text1"/>
            </w:rPr>
            <w:t>杨泽民</w:t>
          </w:r>
        </w:sdtContent>
      </w:sdt>
      <w:r>
        <w:rPr>
          <w:rFonts w:hint="eastAsia"/>
          <w:color w:val="000000" w:themeColor="text1"/>
        </w:rPr>
        <w:t xml:space="preserve"> </w:t>
      </w:r>
    </w:p>
    <w:p w:rsidR="00156DD6" w:rsidRDefault="00D51F5F">
      <w:pPr>
        <w:spacing w:line="360" w:lineRule="exact"/>
        <w:jc w:val="right"/>
        <w:rPr>
          <w:color w:val="000000" w:themeColor="text1"/>
        </w:rPr>
      </w:pPr>
      <w:r>
        <w:rPr>
          <w:color w:val="000000" w:themeColor="text1"/>
        </w:rPr>
        <w:t>董事会批准报送日期：</w:t>
      </w:r>
      <w:r>
        <w:rPr>
          <w:rFonts w:hint="eastAsia"/>
          <w:color w:val="000000" w:themeColor="text1"/>
        </w:rPr>
        <w:t xml:space="preserve"> </w:t>
      </w:r>
      <w:sdt>
        <w:sdtPr>
          <w:rPr>
            <w:color w:val="000000" w:themeColor="text1"/>
          </w:rPr>
          <w:alias w:val="报告董事会批准报送日期"/>
          <w:tag w:val="_GBC_56d5d40e768a439aa604555fa2089c42"/>
          <w:id w:val="1847507891"/>
          <w:placeholder>
            <w:docPart w:val="GBC22222222222222222222222222222"/>
          </w:placeholder>
          <w:date w:fullDate="2025-08-27T00:00:00Z">
            <w:dateFormat w:val="yyyy'年'M'月'd'日'"/>
            <w:lid w:val="zh-CN"/>
            <w:storeMappedDataAs w:val="dateTime"/>
            <w:calendar w:val="gregorian"/>
          </w:date>
        </w:sdtPr>
        <w:sdtEndPr/>
        <w:sdtContent>
          <w:r>
            <w:rPr>
              <w:rFonts w:hint="eastAsia"/>
              <w:color w:val="000000" w:themeColor="text1"/>
            </w:rPr>
            <w:t>2025</w:t>
          </w:r>
          <w:r>
            <w:rPr>
              <w:rFonts w:hint="eastAsia"/>
              <w:color w:val="000000" w:themeColor="text1"/>
            </w:rPr>
            <w:t>年</w:t>
          </w:r>
          <w:r>
            <w:rPr>
              <w:rFonts w:hint="eastAsia"/>
              <w:color w:val="000000" w:themeColor="text1"/>
            </w:rPr>
            <w:t>8</w:t>
          </w:r>
          <w:r>
            <w:rPr>
              <w:rFonts w:hint="eastAsia"/>
              <w:color w:val="000000" w:themeColor="text1"/>
            </w:rPr>
            <w:t>月</w:t>
          </w:r>
          <w:r>
            <w:rPr>
              <w:rFonts w:hint="eastAsia"/>
              <w:color w:val="000000" w:themeColor="text1"/>
            </w:rPr>
            <w:t>27</w:t>
          </w:r>
          <w:r>
            <w:rPr>
              <w:rFonts w:hint="eastAsia"/>
              <w:color w:val="000000" w:themeColor="text1"/>
            </w:rPr>
            <w:t>日</w:t>
          </w:r>
        </w:sdtContent>
      </w:sdt>
      <w:r>
        <w:rPr>
          <w:rFonts w:hint="eastAsia"/>
          <w:color w:val="000000" w:themeColor="text1"/>
        </w:rPr>
        <w:t xml:space="preserve"> </w:t>
      </w:r>
    </w:p>
    <w:bookmarkEnd w:id="564"/>
    <w:p w:rsidR="00156DD6" w:rsidRDefault="00156DD6">
      <w:pPr>
        <w:rPr>
          <w:color w:val="000000" w:themeColor="text1"/>
        </w:rPr>
      </w:pPr>
    </w:p>
    <w:p w:rsidR="00156DD6" w:rsidRDefault="00156DD6">
      <w:pPr>
        <w:spacing w:line="360" w:lineRule="exact"/>
        <w:ind w:right="5"/>
        <w:rPr>
          <w:color w:val="000000" w:themeColor="text1"/>
          <w:u w:val="single"/>
        </w:rPr>
      </w:pPr>
    </w:p>
    <w:p w:rsidR="00156DD6" w:rsidRDefault="00D51F5F">
      <w:pPr>
        <w:spacing w:line="360" w:lineRule="exact"/>
        <w:ind w:right="5"/>
        <w:rPr>
          <w:b/>
          <w:color w:val="000000" w:themeColor="text1"/>
          <w:sz w:val="24"/>
        </w:rPr>
      </w:pPr>
      <w:r>
        <w:rPr>
          <w:b/>
          <w:color w:val="000000" w:themeColor="text1"/>
          <w:sz w:val="24"/>
        </w:rPr>
        <w:t>修订信息</w:t>
      </w:r>
    </w:p>
    <w:sdt>
      <w:sdtPr>
        <w:rPr>
          <w:b/>
          <w:color w:val="000000" w:themeColor="text1"/>
        </w:rPr>
        <w:alias w:val="是否适用：修订信息表[双击切换]"/>
        <w:tag w:val="_GBC_77b96fad3b8a43478db82cf4cb9686be"/>
        <w:id w:val="519515443"/>
        <w:placeholder>
          <w:docPart w:val="GBC22222222222222222222222222222"/>
        </w:placeholder>
      </w:sdtPr>
      <w:sdtEndPr>
        <w:rPr>
          <w:b w:val="0"/>
        </w:rPr>
      </w:sdtEndPr>
      <w:sdtContent>
        <w:p w:rsidR="00156DD6" w:rsidRDefault="00D51F5F">
          <w:pPr>
            <w:rPr>
              <w:color w:val="000000" w:themeColor="text1"/>
            </w:rPr>
          </w:pPr>
          <w:r>
            <w:rPr>
              <w:color w:val="000000" w:themeColor="text1"/>
            </w:rPr>
            <w:fldChar w:fldCharType="begin"/>
          </w:r>
          <w:r>
            <w:rPr>
              <w:color w:val="000000" w:themeColor="text1"/>
            </w:rPr>
            <w:instrText xml:space="preserve"> MACROBUTTON  SnrToggleCheckbox □</w:instrText>
          </w:r>
          <w:r>
            <w:rPr>
              <w:color w:val="000000" w:themeColor="text1"/>
            </w:rPr>
            <w:instrText>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w:instrText>
          </w:r>
          <w:r>
            <w:rPr>
              <w:color w:val="000000" w:themeColor="text1"/>
            </w:rPr>
            <w:instrText>不适用</w:instrText>
          </w:r>
          <w:r>
            <w:rPr>
              <w:color w:val="000000" w:themeColor="text1"/>
            </w:rPr>
            <w:instrText xml:space="preserve"> </w:instrText>
          </w:r>
          <w:r>
            <w:rPr>
              <w:color w:val="000000" w:themeColor="text1"/>
            </w:rPr>
            <w:fldChar w:fldCharType="end"/>
          </w:r>
        </w:p>
      </w:sdtContent>
    </w:sdt>
    <w:sectPr w:rsidR="00156DD6">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F5F" w:rsidRDefault="00D51F5F">
      <w:r>
        <w:separator/>
      </w:r>
    </w:p>
  </w:endnote>
  <w:endnote w:type="continuationSeparator" w:id="0">
    <w:p w:rsidR="00D51F5F" w:rsidRDefault="00D51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charset w:val="86"/>
    <w:family w:val="swiss"/>
    <w:pitch w:val="default"/>
    <w:sig w:usb0="00000000" w:usb1="00000000" w:usb2="00000016" w:usb3="00000000" w:csb0="002E0107" w:csb1="00000000"/>
  </w:font>
  <w:font w:name="Arial Unicode MS">
    <w:panose1 w:val="020B0604020202020204"/>
    <w:charset w:val="86"/>
    <w:family w:val="swiss"/>
    <w:pitch w:val="default"/>
    <w:sig w:usb0="00000000" w:usb1="00000000" w:usb2="0000003F" w:usb3="00000000" w:csb0="603F01FF" w:csb1="FFFF0000"/>
  </w:font>
  <w:font w:name="Helvetica-Narrow">
    <w:altName w:val="Arial Narrow"/>
    <w:charset w:val="00"/>
    <w:family w:val="swiss"/>
    <w:pitch w:val="default"/>
    <w:sig w:usb0="00000000" w:usb1="00000000" w:usb2="00000000" w:usb3="00000000" w:csb0="00000001" w:csb1="00000000"/>
  </w:font>
  <w:font w:name="FZLTSK--GBK1-0">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408834"/>
    </w:sdtPr>
    <w:sdtEndPr/>
    <w:sdtContent>
      <w:sdt>
        <w:sdtPr>
          <w:id w:val="98381352"/>
        </w:sdtPr>
        <w:sdtEndPr/>
        <w:sdtContent>
          <w:p w:rsidR="00156DD6" w:rsidRDefault="00D51F5F">
            <w:pPr>
              <w:pStyle w:val="ae"/>
              <w:jc w:val="center"/>
            </w:pPr>
            <w:r>
              <w:rPr>
                <w:b/>
                <w:bCs w:val="0"/>
                <w:sz w:val="24"/>
                <w:szCs w:val="24"/>
              </w:rPr>
              <w:fldChar w:fldCharType="begin"/>
            </w:r>
            <w:r>
              <w:rPr>
                <w:b/>
              </w:rPr>
              <w:instrText>PAGE</w:instrText>
            </w:r>
            <w:r>
              <w:rPr>
                <w:b/>
                <w:bCs w:val="0"/>
                <w:sz w:val="24"/>
                <w:szCs w:val="24"/>
              </w:rPr>
              <w:fldChar w:fldCharType="separate"/>
            </w:r>
            <w:r w:rsidR="007C00D5">
              <w:rPr>
                <w:b/>
                <w:noProof/>
              </w:rPr>
              <w:t>46</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sidR="007C00D5">
              <w:rPr>
                <w:b/>
                <w:noProof/>
              </w:rPr>
              <w:t>186</w:t>
            </w:r>
            <w:r>
              <w:rPr>
                <w:b/>
                <w:bCs w:val="0"/>
                <w:sz w:val="24"/>
                <w:szCs w:val="24"/>
              </w:rPr>
              <w:fldChar w:fldCharType="end"/>
            </w:r>
          </w:p>
        </w:sdtContent>
      </w:sdt>
    </w:sdtContent>
  </w:sdt>
  <w:p w:rsidR="00156DD6" w:rsidRDefault="00156DD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F5F" w:rsidRDefault="00D51F5F">
      <w:r>
        <w:separator/>
      </w:r>
    </w:p>
  </w:footnote>
  <w:footnote w:type="continuationSeparator" w:id="0">
    <w:p w:rsidR="00D51F5F" w:rsidRDefault="00D51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DD6" w:rsidRDefault="00D51F5F">
    <w:pPr>
      <w:pStyle w:val="af0"/>
      <w:tabs>
        <w:tab w:val="clear" w:pos="8306"/>
        <w:tab w:val="left" w:pos="8364"/>
        <w:tab w:val="left" w:pos="8505"/>
      </w:tabs>
      <w:ind w:rightChars="10" w:right="21"/>
      <w:rPr>
        <w:rFonts w:ascii="宋体" w:hAnsi="宋体"/>
      </w:rPr>
    </w:pPr>
    <w:sdt>
      <w:sdtPr>
        <w:rPr>
          <w:rFonts w:ascii="宋体" w:hAnsi="宋体" w:hint="eastAsia"/>
        </w:rPr>
        <w:alias w:val="公司法定中文名称"/>
        <w:tag w:val="_GBC_782d803d917f4432be22f5ded01fbc6d"/>
        <w:id w:val="842976418"/>
        <w:dataBinding w:prefixMappings="xmlns:clcid-cgi='clcid-cgi'" w:xpath="/*/clcid-cgi:GongSiFaDingZhongWenMingCheng[not(@periodRef)]" w:storeItemID="{89EBAB94-44A0-46A2-B712-30D997D04A6D}"/>
        <w:text/>
      </w:sdtPr>
      <w:sdtEndPr/>
      <w:sdtContent>
        <w:r>
          <w:rPr>
            <w:rFonts w:ascii="宋体" w:hAnsi="宋体" w:hint="eastAsia"/>
          </w:rPr>
          <w:t>重庆望变电气（集团）股份有限公司</w:t>
        </w:r>
      </w:sdtContent>
    </w:sdt>
    <w:r>
      <w:rPr>
        <w:rFonts w:ascii="宋体" w:hAnsi="宋体" w:hint="eastAsia"/>
      </w:rPr>
      <w:t>202</w:t>
    </w:r>
    <w:r>
      <w:rPr>
        <w:rFonts w:ascii="宋体" w:hAnsi="宋体"/>
      </w:rPr>
      <w:t>5</w:t>
    </w:r>
    <w:r>
      <w:rPr>
        <w:rFonts w:ascii="宋体" w:hAnsi="宋体"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73A4"/>
    <w:multiLevelType w:val="multilevel"/>
    <w:tmpl w:val="004B73A4"/>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02620AF9"/>
    <w:multiLevelType w:val="multilevel"/>
    <w:tmpl w:val="02620AF9"/>
    <w:lvl w:ilvl="0">
      <w:start w:val="1"/>
      <w:numFmt w:val="decimal"/>
      <w:suff w:val="nothing"/>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2941550"/>
    <w:multiLevelType w:val="multilevel"/>
    <w:tmpl w:val="02941550"/>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BCD77F8"/>
    <w:multiLevelType w:val="multilevel"/>
    <w:tmpl w:val="0BCD77F8"/>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E57538F"/>
    <w:multiLevelType w:val="multilevel"/>
    <w:tmpl w:val="0E57538F"/>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0E5B5B75"/>
    <w:multiLevelType w:val="multilevel"/>
    <w:tmpl w:val="0E5B5B75"/>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0E981BEC"/>
    <w:multiLevelType w:val="multilevel"/>
    <w:tmpl w:val="0E981BEC"/>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0E981E0B"/>
    <w:multiLevelType w:val="multilevel"/>
    <w:tmpl w:val="0E981E0B"/>
    <w:lvl w:ilvl="0">
      <w:start w:val="1"/>
      <w:numFmt w:val="decimal"/>
      <w:suff w:val="space"/>
      <w:lvlText w:val="(%1)."/>
      <w:lvlJc w:val="left"/>
      <w:pPr>
        <w:ind w:left="360" w:hanging="360"/>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EDA76D9"/>
    <w:multiLevelType w:val="multilevel"/>
    <w:tmpl w:val="0EDA76D9"/>
    <w:lvl w:ilvl="0">
      <w:start w:val="1"/>
      <w:numFmt w:val="decimal"/>
      <w:lvlText w:val="%1、"/>
      <w:lvlJc w:val="left"/>
      <w:pPr>
        <w:ind w:left="420" w:hanging="420"/>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1BC1727"/>
    <w:multiLevelType w:val="multilevel"/>
    <w:tmpl w:val="11BC172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12307DFE"/>
    <w:multiLevelType w:val="multilevel"/>
    <w:tmpl w:val="12307DFE"/>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2CF5340"/>
    <w:multiLevelType w:val="multilevel"/>
    <w:tmpl w:val="12CF5340"/>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4F9442D"/>
    <w:multiLevelType w:val="multilevel"/>
    <w:tmpl w:val="14F9442D"/>
    <w:lvl w:ilvl="0">
      <w:start w:val="1"/>
      <w:numFmt w:val="decimal"/>
      <w:suff w:val="space"/>
      <w:lvlText w:val="(%1)."/>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19285BC9"/>
    <w:multiLevelType w:val="multilevel"/>
    <w:tmpl w:val="19285BC9"/>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97F4871"/>
    <w:multiLevelType w:val="multilevel"/>
    <w:tmpl w:val="197F4871"/>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A35138A"/>
    <w:multiLevelType w:val="multilevel"/>
    <w:tmpl w:val="1A35138A"/>
    <w:lvl w:ilvl="0">
      <w:start w:val="1"/>
      <w:numFmt w:val="chineseCountingThousand"/>
      <w:lvlText w:val="(%1)"/>
      <w:lvlJc w:val="left"/>
      <w:pPr>
        <w:ind w:left="420" w:hanging="420"/>
      </w:pPr>
      <w:rPr>
        <w:rFonts w:asciiTheme="minorHAnsi" w:hAnsiTheme="minorHAnsi"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8C1B91"/>
    <w:multiLevelType w:val="multilevel"/>
    <w:tmpl w:val="1A8C1B91"/>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1BD8674B"/>
    <w:multiLevelType w:val="multilevel"/>
    <w:tmpl w:val="1BD8674B"/>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E0312B8"/>
    <w:multiLevelType w:val="multilevel"/>
    <w:tmpl w:val="1E0312B8"/>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1F437283"/>
    <w:multiLevelType w:val="multilevel"/>
    <w:tmpl w:val="1F437283"/>
    <w:lvl w:ilvl="0">
      <w:start w:val="1"/>
      <w:numFmt w:val="chineseCountingThousand"/>
      <w:suff w:val="space"/>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F872596"/>
    <w:multiLevelType w:val="singleLevel"/>
    <w:tmpl w:val="1F872596"/>
    <w:lvl w:ilvl="0">
      <w:start w:val="1"/>
      <w:numFmt w:val="chineseCounting"/>
      <w:suff w:val="nothing"/>
      <w:lvlText w:val="（%1）"/>
      <w:lvlJc w:val="left"/>
      <w:rPr>
        <w:rFonts w:hint="eastAsia"/>
      </w:rPr>
    </w:lvl>
  </w:abstractNum>
  <w:abstractNum w:abstractNumId="21" w15:restartNumberingAfterBreak="0">
    <w:nsid w:val="20713565"/>
    <w:multiLevelType w:val="multilevel"/>
    <w:tmpl w:val="20713565"/>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21917F20"/>
    <w:multiLevelType w:val="singleLevel"/>
    <w:tmpl w:val="21917F20"/>
    <w:lvl w:ilvl="0">
      <w:start w:val="1"/>
      <w:numFmt w:val="decimal"/>
      <w:suff w:val="nothing"/>
      <w:lvlText w:val="%1、"/>
      <w:lvlJc w:val="left"/>
      <w:pPr>
        <w:ind w:left="105" w:firstLine="0"/>
      </w:pPr>
    </w:lvl>
  </w:abstractNum>
  <w:abstractNum w:abstractNumId="23" w15:restartNumberingAfterBreak="0">
    <w:nsid w:val="21D64319"/>
    <w:multiLevelType w:val="multilevel"/>
    <w:tmpl w:val="21D64319"/>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226C4B4B"/>
    <w:multiLevelType w:val="multilevel"/>
    <w:tmpl w:val="226C4B4B"/>
    <w:lvl w:ilvl="0">
      <w:start w:val="1"/>
      <w:numFmt w:val="decimal"/>
      <w:suff w:val="nothing"/>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23215AE8"/>
    <w:multiLevelType w:val="multilevel"/>
    <w:tmpl w:val="23215AE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25852BC1"/>
    <w:multiLevelType w:val="multilevel"/>
    <w:tmpl w:val="25852BC1"/>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6CB7B85"/>
    <w:multiLevelType w:val="multilevel"/>
    <w:tmpl w:val="26CB7B85"/>
    <w:lvl w:ilvl="0">
      <w:start w:val="1"/>
      <w:numFmt w:val="chineseCountingThousand"/>
      <w:lvlText w:val="(%1)"/>
      <w:lvlJc w:val="left"/>
      <w:pPr>
        <w:ind w:left="420" w:hanging="420"/>
      </w:pPr>
      <w:rPr>
        <w:rFonts w:asciiTheme="minorHAnsi" w:hAnsiTheme="minorHAnsi"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771421E"/>
    <w:multiLevelType w:val="multilevel"/>
    <w:tmpl w:val="2771421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2A23498E"/>
    <w:multiLevelType w:val="multilevel"/>
    <w:tmpl w:val="2A23498E"/>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30" w15:restartNumberingAfterBreak="0">
    <w:nsid w:val="2A7B6040"/>
    <w:multiLevelType w:val="multilevel"/>
    <w:tmpl w:val="2A7B6040"/>
    <w:lvl w:ilvl="0">
      <w:start w:val="1"/>
      <w:numFmt w:val="decimal"/>
      <w:suff w:val="space"/>
      <w:lvlText w:val="(%1)."/>
      <w:lvlJc w:val="left"/>
      <w:pPr>
        <w:ind w:left="360" w:hanging="360"/>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2F370764"/>
    <w:multiLevelType w:val="multilevel"/>
    <w:tmpl w:val="2F370764"/>
    <w:lvl w:ilvl="0">
      <w:start w:val="1"/>
      <w:numFmt w:val="decimal"/>
      <w:suff w:val="space"/>
      <w:lvlText w:val="(%1)."/>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15:restartNumberingAfterBreak="0">
    <w:nsid w:val="3113647E"/>
    <w:multiLevelType w:val="multilevel"/>
    <w:tmpl w:val="3113647E"/>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1DA4296"/>
    <w:multiLevelType w:val="multilevel"/>
    <w:tmpl w:val="31DA429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32A52C6E"/>
    <w:multiLevelType w:val="multilevel"/>
    <w:tmpl w:val="32A52C6E"/>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52332F1"/>
    <w:multiLevelType w:val="multilevel"/>
    <w:tmpl w:val="352332F1"/>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35855E99"/>
    <w:multiLevelType w:val="multilevel"/>
    <w:tmpl w:val="35855E99"/>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35AC50F7"/>
    <w:multiLevelType w:val="multilevel"/>
    <w:tmpl w:val="35AC50F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15:restartNumberingAfterBreak="0">
    <w:nsid w:val="3653575F"/>
    <w:multiLevelType w:val="multilevel"/>
    <w:tmpl w:val="3653575F"/>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6EC4C2A"/>
    <w:multiLevelType w:val="multilevel"/>
    <w:tmpl w:val="36EC4C2A"/>
    <w:lvl w:ilvl="0">
      <w:start w:val="1"/>
      <w:numFmt w:val="decimal"/>
      <w:lvlText w:val="(%1)."/>
      <w:lvlJc w:val="left"/>
      <w:pPr>
        <w:ind w:left="425" w:hanging="425"/>
      </w:pPr>
      <w:rPr>
        <w:rFonts w:asciiTheme="majorEastAsia" w:eastAsiaTheme="majorEastAsia"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37451675"/>
    <w:multiLevelType w:val="multilevel"/>
    <w:tmpl w:val="37451675"/>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374A3EB0"/>
    <w:multiLevelType w:val="multilevel"/>
    <w:tmpl w:val="374A3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15:restartNumberingAfterBreak="0">
    <w:nsid w:val="376F5A46"/>
    <w:multiLevelType w:val="multilevel"/>
    <w:tmpl w:val="376F5A46"/>
    <w:lvl w:ilvl="0">
      <w:start w:val="1"/>
      <w:numFmt w:val="decimal"/>
      <w:lvlText w:val="(%1)."/>
      <w:lvlJc w:val="left"/>
      <w:pPr>
        <w:ind w:left="360" w:hanging="360"/>
      </w:pPr>
      <w:rPr>
        <w:rFonts w:asciiTheme="majorEastAsia" w:eastAsiaTheme="majorEastAsia"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37DE6F59"/>
    <w:multiLevelType w:val="multilevel"/>
    <w:tmpl w:val="37DE6F59"/>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387D41E1"/>
    <w:multiLevelType w:val="multilevel"/>
    <w:tmpl w:val="387D41E1"/>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3894498D"/>
    <w:multiLevelType w:val="multilevel"/>
    <w:tmpl w:val="3894498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15:restartNumberingAfterBreak="0">
    <w:nsid w:val="38AF49FD"/>
    <w:multiLevelType w:val="multilevel"/>
    <w:tmpl w:val="38AF49F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15:restartNumberingAfterBreak="0">
    <w:nsid w:val="3C9D0A21"/>
    <w:multiLevelType w:val="multilevel"/>
    <w:tmpl w:val="3C9D0A21"/>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40833171"/>
    <w:multiLevelType w:val="multilevel"/>
    <w:tmpl w:val="40833171"/>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9" w15:restartNumberingAfterBreak="0">
    <w:nsid w:val="41686C4B"/>
    <w:multiLevelType w:val="multilevel"/>
    <w:tmpl w:val="41686C4B"/>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41E6567E"/>
    <w:multiLevelType w:val="multilevel"/>
    <w:tmpl w:val="41E6567E"/>
    <w:lvl w:ilvl="0">
      <w:start w:val="1"/>
      <w:numFmt w:val="decimal"/>
      <w:suff w:val="nothing"/>
      <w:lvlText w:val="(%1)."/>
      <w:lvlJc w:val="left"/>
      <w:pPr>
        <w:ind w:left="440" w:hanging="440"/>
      </w:pPr>
      <w:rPr>
        <w:rFonts w:asciiTheme="minorEastAsia" w:eastAsia="宋体" w:hAnsiTheme="minorEastAsia" w:hint="eastAsia"/>
        <w:b/>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1" w15:restartNumberingAfterBreak="0">
    <w:nsid w:val="42336FBF"/>
    <w:multiLevelType w:val="multilevel"/>
    <w:tmpl w:val="42336FBF"/>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27F52D2"/>
    <w:multiLevelType w:val="multilevel"/>
    <w:tmpl w:val="427F52D2"/>
    <w:lvl w:ilvl="0">
      <w:start w:val="1"/>
      <w:numFmt w:val="decimal"/>
      <w:suff w:val="space"/>
      <w:lvlText w:val="%1、 "/>
      <w:lvlJc w:val="left"/>
      <w:pPr>
        <w:ind w:left="440" w:hanging="440"/>
      </w:pPr>
      <w:rPr>
        <w:rFonts w:ascii="宋体" w:eastAsia="宋体" w:hAnsi="宋体" w:hint="eastAsia"/>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3" w15:restartNumberingAfterBreak="0">
    <w:nsid w:val="4471632B"/>
    <w:multiLevelType w:val="multilevel"/>
    <w:tmpl w:val="4471632B"/>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453429F5"/>
    <w:multiLevelType w:val="multilevel"/>
    <w:tmpl w:val="453429F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15:restartNumberingAfterBreak="0">
    <w:nsid w:val="466E2342"/>
    <w:multiLevelType w:val="multilevel"/>
    <w:tmpl w:val="466E23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48397F51"/>
    <w:multiLevelType w:val="multilevel"/>
    <w:tmpl w:val="48397F51"/>
    <w:lvl w:ilvl="0">
      <w:start w:val="1"/>
      <w:numFmt w:val="decimal"/>
      <w:lvlText w:val="%1、"/>
      <w:lvlJc w:val="left"/>
      <w:pPr>
        <w:ind w:left="360" w:hanging="360"/>
      </w:pPr>
      <w:rPr>
        <w:rFonts w:asci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48D714E7"/>
    <w:multiLevelType w:val="multilevel"/>
    <w:tmpl w:val="48D714E7"/>
    <w:lvl w:ilvl="0">
      <w:start w:val="1"/>
      <w:numFmt w:val="decimal"/>
      <w:lvlText w:val="(%1)."/>
      <w:lvlJc w:val="left"/>
      <w:pPr>
        <w:ind w:left="440" w:hanging="440"/>
      </w:pPr>
      <w:rPr>
        <w:rFonts w:asciiTheme="minorEastAsia" w:eastAsia="宋体"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8" w15:restartNumberingAfterBreak="0">
    <w:nsid w:val="4A590F11"/>
    <w:multiLevelType w:val="multilevel"/>
    <w:tmpl w:val="4A590F11"/>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4DB25F71"/>
    <w:multiLevelType w:val="multilevel"/>
    <w:tmpl w:val="4DB25F7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4DE93287"/>
    <w:multiLevelType w:val="multilevel"/>
    <w:tmpl w:val="4DE93287"/>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4E8F17B6"/>
    <w:multiLevelType w:val="multilevel"/>
    <w:tmpl w:val="4E8F17B6"/>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F38529D"/>
    <w:multiLevelType w:val="multilevel"/>
    <w:tmpl w:val="4F38529D"/>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3" w15:restartNumberingAfterBreak="0">
    <w:nsid w:val="4FB935A6"/>
    <w:multiLevelType w:val="multilevel"/>
    <w:tmpl w:val="4FB935A6"/>
    <w:lvl w:ilvl="0">
      <w:start w:val="1"/>
      <w:numFmt w:val="decimal"/>
      <w:suff w:val="nothing"/>
      <w:lvlText w:val="%1、"/>
      <w:lvlJc w:val="left"/>
      <w:pPr>
        <w:ind w:left="105" w:firstLine="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4" w15:restartNumberingAfterBreak="0">
    <w:nsid w:val="4FF06FDD"/>
    <w:multiLevelType w:val="multilevel"/>
    <w:tmpl w:val="4FF06FDD"/>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5" w15:restartNumberingAfterBreak="0">
    <w:nsid w:val="52275E83"/>
    <w:multiLevelType w:val="multilevel"/>
    <w:tmpl w:val="52275E83"/>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6" w15:restartNumberingAfterBreak="0">
    <w:nsid w:val="537E5C44"/>
    <w:multiLevelType w:val="multilevel"/>
    <w:tmpl w:val="537E5C4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15:restartNumberingAfterBreak="0">
    <w:nsid w:val="56C6203E"/>
    <w:multiLevelType w:val="multilevel"/>
    <w:tmpl w:val="56C6203E"/>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8" w15:restartNumberingAfterBreak="0">
    <w:nsid w:val="57F526C5"/>
    <w:multiLevelType w:val="multilevel"/>
    <w:tmpl w:val="57F526C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58E216F3"/>
    <w:multiLevelType w:val="multilevel"/>
    <w:tmpl w:val="58E216F3"/>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58E45DDF"/>
    <w:multiLevelType w:val="multilevel"/>
    <w:tmpl w:val="58E45DDF"/>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59153F88"/>
    <w:multiLevelType w:val="multilevel"/>
    <w:tmpl w:val="59153F88"/>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2" w15:restartNumberingAfterBreak="0">
    <w:nsid w:val="5A524461"/>
    <w:multiLevelType w:val="multilevel"/>
    <w:tmpl w:val="5A524461"/>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5AE71648"/>
    <w:multiLevelType w:val="multilevel"/>
    <w:tmpl w:val="5AE71648"/>
    <w:lvl w:ilvl="0">
      <w:start w:val="1"/>
      <w:numFmt w:val="decimal"/>
      <w:suff w:val="nothing"/>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5B227468"/>
    <w:multiLevelType w:val="multilevel"/>
    <w:tmpl w:val="5B227468"/>
    <w:lvl w:ilvl="0">
      <w:start w:val="1"/>
      <w:numFmt w:val="decimal"/>
      <w:lvlText w:val="(%1)."/>
      <w:lvlJc w:val="left"/>
      <w:pPr>
        <w:ind w:left="440" w:hanging="440"/>
      </w:pPr>
      <w:rPr>
        <w:rFonts w:asciiTheme="minorEastAsia" w:eastAsia="宋体"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5" w15:restartNumberingAfterBreak="0">
    <w:nsid w:val="5CE161CB"/>
    <w:multiLevelType w:val="multilevel"/>
    <w:tmpl w:val="5CE161C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E680DF9"/>
    <w:multiLevelType w:val="multilevel"/>
    <w:tmpl w:val="5E680DF9"/>
    <w:lvl w:ilvl="0">
      <w:start w:val="1"/>
      <w:numFmt w:val="decimal"/>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E76253F"/>
    <w:multiLevelType w:val="multilevel"/>
    <w:tmpl w:val="5E76253F"/>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5E9B19AF"/>
    <w:multiLevelType w:val="singleLevel"/>
    <w:tmpl w:val="5E9B19AF"/>
    <w:lvl w:ilvl="0">
      <w:start w:val="1"/>
      <w:numFmt w:val="decimal"/>
      <w:suff w:val="nothing"/>
      <w:lvlText w:val="%1、"/>
      <w:lvlJc w:val="left"/>
      <w:pPr>
        <w:ind w:left="105" w:firstLine="0"/>
      </w:pPr>
    </w:lvl>
  </w:abstractNum>
  <w:abstractNum w:abstractNumId="79" w15:restartNumberingAfterBreak="0">
    <w:nsid w:val="5F43533F"/>
    <w:multiLevelType w:val="multilevel"/>
    <w:tmpl w:val="5F43533F"/>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5F452FAB"/>
    <w:multiLevelType w:val="multilevel"/>
    <w:tmpl w:val="5F452FAB"/>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5F5A39BC"/>
    <w:multiLevelType w:val="multilevel"/>
    <w:tmpl w:val="5F5A39B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15:restartNumberingAfterBreak="0">
    <w:nsid w:val="60526CA3"/>
    <w:multiLevelType w:val="multilevel"/>
    <w:tmpl w:val="60526CA3"/>
    <w:lvl w:ilvl="0">
      <w:start w:val="1"/>
      <w:numFmt w:val="decimal"/>
      <w:suff w:val="nothing"/>
      <w:lvlText w:val="(%1)."/>
      <w:lvlJc w:val="left"/>
      <w:pPr>
        <w:ind w:left="420" w:hanging="420"/>
      </w:pPr>
      <w:rPr>
        <w:rFonts w:ascii="宋体" w:eastAsia="宋体" w:hAnsi="宋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3" w15:restartNumberingAfterBreak="0">
    <w:nsid w:val="60EA4134"/>
    <w:multiLevelType w:val="multilevel"/>
    <w:tmpl w:val="60EA4134"/>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15:restartNumberingAfterBreak="0">
    <w:nsid w:val="614E4B5A"/>
    <w:multiLevelType w:val="multilevel"/>
    <w:tmpl w:val="614E4B5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636E393F"/>
    <w:multiLevelType w:val="multilevel"/>
    <w:tmpl w:val="636E393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3841CDE"/>
    <w:multiLevelType w:val="multilevel"/>
    <w:tmpl w:val="63841CDE"/>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64A2584F"/>
    <w:multiLevelType w:val="multilevel"/>
    <w:tmpl w:val="64A2584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651E7BCD"/>
    <w:multiLevelType w:val="multilevel"/>
    <w:tmpl w:val="651E7BCD"/>
    <w:lvl w:ilvl="0">
      <w:start w:val="1"/>
      <w:numFmt w:val="decimal"/>
      <w:suff w:val="space"/>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65524467"/>
    <w:multiLevelType w:val="multilevel"/>
    <w:tmpl w:val="6552446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15:restartNumberingAfterBreak="0">
    <w:nsid w:val="66937588"/>
    <w:multiLevelType w:val="multilevel"/>
    <w:tmpl w:val="6693758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15:restartNumberingAfterBreak="0">
    <w:nsid w:val="673D5E78"/>
    <w:multiLevelType w:val="multilevel"/>
    <w:tmpl w:val="673D5E78"/>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2" w15:restartNumberingAfterBreak="0">
    <w:nsid w:val="67B96236"/>
    <w:multiLevelType w:val="multilevel"/>
    <w:tmpl w:val="67B96236"/>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67FD2D48"/>
    <w:multiLevelType w:val="multilevel"/>
    <w:tmpl w:val="67FD2D48"/>
    <w:lvl w:ilvl="0">
      <w:start w:val="1"/>
      <w:numFmt w:val="decimal"/>
      <w:lvlText w:val="(%1). "/>
      <w:lvlJc w:val="left"/>
      <w:pPr>
        <w:ind w:left="704"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4" w15:restartNumberingAfterBreak="0">
    <w:nsid w:val="692B524C"/>
    <w:multiLevelType w:val="multilevel"/>
    <w:tmpl w:val="692B524C"/>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15:restartNumberingAfterBreak="0">
    <w:nsid w:val="697A4972"/>
    <w:multiLevelType w:val="multilevel"/>
    <w:tmpl w:val="697A497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69F406A9"/>
    <w:multiLevelType w:val="multilevel"/>
    <w:tmpl w:val="69F406A9"/>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7" w15:restartNumberingAfterBreak="0">
    <w:nsid w:val="6BAF5822"/>
    <w:multiLevelType w:val="multilevel"/>
    <w:tmpl w:val="6BAF5822"/>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15:restartNumberingAfterBreak="0">
    <w:nsid w:val="6CA25990"/>
    <w:multiLevelType w:val="multilevel"/>
    <w:tmpl w:val="6CA2599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9" w15:restartNumberingAfterBreak="0">
    <w:nsid w:val="6DDA2044"/>
    <w:multiLevelType w:val="multilevel"/>
    <w:tmpl w:val="6DDA2044"/>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0" w15:restartNumberingAfterBreak="0">
    <w:nsid w:val="6DFD46CE"/>
    <w:multiLevelType w:val="multilevel"/>
    <w:tmpl w:val="6DFD46C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6F392C56"/>
    <w:multiLevelType w:val="multilevel"/>
    <w:tmpl w:val="6F392C56"/>
    <w:lvl w:ilvl="0">
      <w:start w:val="1"/>
      <w:numFmt w:val="decimal"/>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2" w15:restartNumberingAfterBreak="0">
    <w:nsid w:val="6FC35448"/>
    <w:multiLevelType w:val="multilevel"/>
    <w:tmpl w:val="6FC35448"/>
    <w:lvl w:ilvl="0">
      <w:start w:val="1"/>
      <w:numFmt w:val="decimal"/>
      <w:suff w:val="space"/>
      <w:lvlText w:val="(%1)."/>
      <w:lvlJc w:val="left"/>
      <w:pPr>
        <w:ind w:left="435" w:hanging="435"/>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15:restartNumberingAfterBreak="0">
    <w:nsid w:val="6FF55C46"/>
    <w:multiLevelType w:val="multilevel"/>
    <w:tmpl w:val="6FF55C4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776D7585"/>
    <w:multiLevelType w:val="multilevel"/>
    <w:tmpl w:val="776D7585"/>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7837377C"/>
    <w:multiLevelType w:val="multilevel"/>
    <w:tmpl w:val="7837377C"/>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6" w15:restartNumberingAfterBreak="0">
    <w:nsid w:val="78C26E7E"/>
    <w:multiLevelType w:val="multilevel"/>
    <w:tmpl w:val="78C26E7E"/>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 w15:restartNumberingAfterBreak="0">
    <w:nsid w:val="7941185D"/>
    <w:multiLevelType w:val="multilevel"/>
    <w:tmpl w:val="7941185D"/>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8" w15:restartNumberingAfterBreak="0">
    <w:nsid w:val="796C7C52"/>
    <w:multiLevelType w:val="multilevel"/>
    <w:tmpl w:val="796C7C5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15:restartNumberingAfterBreak="0">
    <w:nsid w:val="7A282064"/>
    <w:multiLevelType w:val="multilevel"/>
    <w:tmpl w:val="7A282064"/>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15:restartNumberingAfterBreak="0">
    <w:nsid w:val="7B3E544B"/>
    <w:multiLevelType w:val="multilevel"/>
    <w:tmpl w:val="7B3E544B"/>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1" w15:restartNumberingAfterBreak="0">
    <w:nsid w:val="7CAC2D1B"/>
    <w:multiLevelType w:val="multilevel"/>
    <w:tmpl w:val="7CAC2D1B"/>
    <w:lvl w:ilvl="0">
      <w:start w:val="1"/>
      <w:numFmt w:val="decimal"/>
      <w:lvlText w:val="(%1)."/>
      <w:lvlJc w:val="left"/>
      <w:pPr>
        <w:ind w:left="440" w:hanging="440"/>
      </w:pPr>
      <w:rPr>
        <w:rFonts w:asciiTheme="minorEastAsia" w:eastAsiaTheme="minorEastAsia" w:hAnsiTheme="min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2" w15:restartNumberingAfterBreak="0">
    <w:nsid w:val="7D17411F"/>
    <w:multiLevelType w:val="multilevel"/>
    <w:tmpl w:val="7D17411F"/>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7FAB145B"/>
    <w:multiLevelType w:val="multilevel"/>
    <w:tmpl w:val="7FAB145B"/>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9"/>
  </w:num>
  <w:num w:numId="2">
    <w:abstractNumId w:val="3"/>
  </w:num>
  <w:num w:numId="3">
    <w:abstractNumId w:val="87"/>
  </w:num>
  <w:num w:numId="4">
    <w:abstractNumId w:val="83"/>
  </w:num>
  <w:num w:numId="5">
    <w:abstractNumId w:val="85"/>
  </w:num>
  <w:num w:numId="6">
    <w:abstractNumId w:val="20"/>
  </w:num>
  <w:num w:numId="7">
    <w:abstractNumId w:val="22"/>
  </w:num>
  <w:num w:numId="8">
    <w:abstractNumId w:val="78"/>
  </w:num>
  <w:num w:numId="9">
    <w:abstractNumId w:val="15"/>
  </w:num>
  <w:num w:numId="10">
    <w:abstractNumId w:val="63"/>
  </w:num>
  <w:num w:numId="11">
    <w:abstractNumId w:val="2"/>
  </w:num>
  <w:num w:numId="12">
    <w:abstractNumId w:val="43"/>
  </w:num>
  <w:num w:numId="13">
    <w:abstractNumId w:val="7"/>
  </w:num>
  <w:num w:numId="14">
    <w:abstractNumId w:val="105"/>
  </w:num>
  <w:num w:numId="15">
    <w:abstractNumId w:val="11"/>
  </w:num>
  <w:num w:numId="16">
    <w:abstractNumId w:val="64"/>
  </w:num>
  <w:num w:numId="17">
    <w:abstractNumId w:val="26"/>
  </w:num>
  <w:num w:numId="18">
    <w:abstractNumId w:val="67"/>
  </w:num>
  <w:num w:numId="19">
    <w:abstractNumId w:val="27"/>
  </w:num>
  <w:num w:numId="20">
    <w:abstractNumId w:val="97"/>
  </w:num>
  <w:num w:numId="21">
    <w:abstractNumId w:val="10"/>
  </w:num>
  <w:num w:numId="22">
    <w:abstractNumId w:val="75"/>
  </w:num>
  <w:num w:numId="23">
    <w:abstractNumId w:val="14"/>
  </w:num>
  <w:num w:numId="24">
    <w:abstractNumId w:val="106"/>
  </w:num>
  <w:num w:numId="25">
    <w:abstractNumId w:val="8"/>
  </w:num>
  <w:num w:numId="26">
    <w:abstractNumId w:val="56"/>
  </w:num>
  <w:num w:numId="27">
    <w:abstractNumId w:val="34"/>
  </w:num>
  <w:num w:numId="28">
    <w:abstractNumId w:val="110"/>
  </w:num>
  <w:num w:numId="29">
    <w:abstractNumId w:val="46"/>
  </w:num>
  <w:num w:numId="30">
    <w:abstractNumId w:val="21"/>
  </w:num>
  <w:num w:numId="31">
    <w:abstractNumId w:val="41"/>
  </w:num>
  <w:num w:numId="32">
    <w:abstractNumId w:val="32"/>
  </w:num>
  <w:num w:numId="33">
    <w:abstractNumId w:val="80"/>
  </w:num>
  <w:num w:numId="34">
    <w:abstractNumId w:val="76"/>
  </w:num>
  <w:num w:numId="35">
    <w:abstractNumId w:val="6"/>
  </w:num>
  <w:num w:numId="36">
    <w:abstractNumId w:val="88"/>
  </w:num>
  <w:num w:numId="37">
    <w:abstractNumId w:val="35"/>
  </w:num>
  <w:num w:numId="38">
    <w:abstractNumId w:val="25"/>
  </w:num>
  <w:num w:numId="39">
    <w:abstractNumId w:val="31"/>
  </w:num>
  <w:num w:numId="40">
    <w:abstractNumId w:val="79"/>
  </w:num>
  <w:num w:numId="41">
    <w:abstractNumId w:val="72"/>
  </w:num>
  <w:num w:numId="42">
    <w:abstractNumId w:val="109"/>
  </w:num>
  <w:num w:numId="43">
    <w:abstractNumId w:val="13"/>
  </w:num>
  <w:num w:numId="44">
    <w:abstractNumId w:val="49"/>
  </w:num>
  <w:num w:numId="45">
    <w:abstractNumId w:val="84"/>
  </w:num>
  <w:num w:numId="46">
    <w:abstractNumId w:val="23"/>
  </w:num>
  <w:num w:numId="47">
    <w:abstractNumId w:val="24"/>
  </w:num>
  <w:num w:numId="48">
    <w:abstractNumId w:val="66"/>
  </w:num>
  <w:num w:numId="49">
    <w:abstractNumId w:val="18"/>
  </w:num>
  <w:num w:numId="50">
    <w:abstractNumId w:val="74"/>
  </w:num>
  <w:num w:numId="51">
    <w:abstractNumId w:val="57"/>
  </w:num>
  <w:num w:numId="52">
    <w:abstractNumId w:val="77"/>
  </w:num>
  <w:num w:numId="53">
    <w:abstractNumId w:val="13"/>
    <w:lvlOverride w:ilvl="0">
      <w:lvl w:ilvl="0">
        <w:start w:val="1"/>
        <w:numFmt w:val="decimal"/>
        <w:suff w:val="nothing"/>
        <w:lvlText w:val="%1、"/>
        <w:lvlJc w:val="left"/>
        <w:pPr>
          <w:ind w:left="420" w:hanging="420"/>
        </w:pPr>
        <w:rPr>
          <w:rFonts w:ascii="宋体" w:eastAsia="宋体" w:hAnsi="宋体" w:hint="eastAsia"/>
          <w:b/>
        </w:rPr>
      </w:lvl>
    </w:lvlOverride>
    <w:lvlOverride w:ilvl="1">
      <w:lvl w:ilvl="1" w:tentative="1">
        <w:start w:val="1"/>
        <w:numFmt w:val="lowerLetter"/>
        <w:lvlText w:val="%2)"/>
        <w:lvlJc w:val="left"/>
        <w:pPr>
          <w:ind w:left="880" w:hanging="440"/>
        </w:pPr>
      </w:lvl>
    </w:lvlOverride>
    <w:lvlOverride w:ilvl="2">
      <w:lvl w:ilvl="2" w:tentative="1">
        <w:start w:val="1"/>
        <w:numFmt w:val="lowerRoman"/>
        <w:lvlText w:val="%3."/>
        <w:lvlJc w:val="right"/>
        <w:pPr>
          <w:ind w:left="1320" w:hanging="440"/>
        </w:pPr>
      </w:lvl>
    </w:lvlOverride>
    <w:lvlOverride w:ilvl="3">
      <w:lvl w:ilvl="3" w:tentative="1">
        <w:start w:val="1"/>
        <w:numFmt w:val="decimal"/>
        <w:lvlText w:val="%4."/>
        <w:lvlJc w:val="left"/>
        <w:pPr>
          <w:ind w:left="1760" w:hanging="440"/>
        </w:pPr>
      </w:lvl>
    </w:lvlOverride>
    <w:lvlOverride w:ilvl="4">
      <w:lvl w:ilvl="4" w:tentative="1">
        <w:start w:val="1"/>
        <w:numFmt w:val="lowerLetter"/>
        <w:lvlText w:val="%5)"/>
        <w:lvlJc w:val="left"/>
        <w:pPr>
          <w:ind w:left="2200" w:hanging="440"/>
        </w:pPr>
      </w:lvl>
    </w:lvlOverride>
    <w:lvlOverride w:ilvl="5">
      <w:lvl w:ilvl="5" w:tentative="1">
        <w:start w:val="1"/>
        <w:numFmt w:val="lowerRoman"/>
        <w:lvlText w:val="%6."/>
        <w:lvlJc w:val="right"/>
        <w:pPr>
          <w:ind w:left="2640" w:hanging="440"/>
        </w:pPr>
      </w:lvl>
    </w:lvlOverride>
    <w:lvlOverride w:ilvl="6">
      <w:lvl w:ilvl="6" w:tentative="1">
        <w:start w:val="1"/>
        <w:numFmt w:val="decimal"/>
        <w:lvlText w:val="%7."/>
        <w:lvlJc w:val="left"/>
        <w:pPr>
          <w:ind w:left="3080" w:hanging="440"/>
        </w:pPr>
      </w:lvl>
    </w:lvlOverride>
    <w:lvlOverride w:ilvl="7">
      <w:lvl w:ilvl="7" w:tentative="1">
        <w:start w:val="1"/>
        <w:numFmt w:val="lowerLetter"/>
        <w:lvlText w:val="%8)"/>
        <w:lvlJc w:val="left"/>
        <w:pPr>
          <w:ind w:left="3520" w:hanging="440"/>
        </w:pPr>
      </w:lvl>
    </w:lvlOverride>
    <w:lvlOverride w:ilvl="8">
      <w:lvl w:ilvl="8" w:tentative="1">
        <w:start w:val="1"/>
        <w:numFmt w:val="lowerRoman"/>
        <w:lvlText w:val="%9."/>
        <w:lvlJc w:val="right"/>
        <w:pPr>
          <w:ind w:left="3960" w:hanging="440"/>
        </w:pPr>
      </w:lvl>
    </w:lvlOverride>
  </w:num>
  <w:num w:numId="54">
    <w:abstractNumId w:val="17"/>
  </w:num>
  <w:num w:numId="55">
    <w:abstractNumId w:val="54"/>
  </w:num>
  <w:num w:numId="56">
    <w:abstractNumId w:val="65"/>
  </w:num>
  <w:num w:numId="57">
    <w:abstractNumId w:val="0"/>
  </w:num>
  <w:num w:numId="58">
    <w:abstractNumId w:val="9"/>
  </w:num>
  <w:num w:numId="59">
    <w:abstractNumId w:val="96"/>
  </w:num>
  <w:num w:numId="60">
    <w:abstractNumId w:val="70"/>
  </w:num>
  <w:num w:numId="61">
    <w:abstractNumId w:val="44"/>
  </w:num>
  <w:num w:numId="62">
    <w:abstractNumId w:val="99"/>
  </w:num>
  <w:num w:numId="63">
    <w:abstractNumId w:val="13"/>
    <w:lvlOverride w:ilvl="0">
      <w:lvl w:ilvl="0">
        <w:start w:val="1"/>
        <w:numFmt w:val="decimal"/>
        <w:suff w:val="nothing"/>
        <w:lvlText w:val="%1、"/>
        <w:lvlJc w:val="left"/>
        <w:pPr>
          <w:ind w:left="420" w:hanging="420"/>
        </w:pPr>
        <w:rPr>
          <w:rFonts w:ascii="宋体" w:eastAsia="宋体" w:hAnsi="宋体" w:hint="eastAsia"/>
          <w:b/>
        </w:rPr>
      </w:lvl>
    </w:lvlOverride>
    <w:lvlOverride w:ilvl="1">
      <w:lvl w:ilvl="1" w:tentative="1">
        <w:start w:val="1"/>
        <w:numFmt w:val="lowerLetter"/>
        <w:lvlText w:val="%2)"/>
        <w:lvlJc w:val="left"/>
        <w:pPr>
          <w:ind w:left="880" w:hanging="440"/>
        </w:pPr>
      </w:lvl>
    </w:lvlOverride>
    <w:lvlOverride w:ilvl="2">
      <w:lvl w:ilvl="2" w:tentative="1">
        <w:start w:val="1"/>
        <w:numFmt w:val="lowerRoman"/>
        <w:lvlText w:val="%3."/>
        <w:lvlJc w:val="right"/>
        <w:pPr>
          <w:ind w:left="1320" w:hanging="440"/>
        </w:pPr>
      </w:lvl>
    </w:lvlOverride>
    <w:lvlOverride w:ilvl="3">
      <w:lvl w:ilvl="3" w:tentative="1">
        <w:start w:val="1"/>
        <w:numFmt w:val="decimal"/>
        <w:lvlText w:val="%4."/>
        <w:lvlJc w:val="left"/>
        <w:pPr>
          <w:ind w:left="1760" w:hanging="440"/>
        </w:pPr>
      </w:lvl>
    </w:lvlOverride>
    <w:lvlOverride w:ilvl="4">
      <w:lvl w:ilvl="4" w:tentative="1">
        <w:start w:val="1"/>
        <w:numFmt w:val="lowerLetter"/>
        <w:lvlText w:val="%5)"/>
        <w:lvlJc w:val="left"/>
        <w:pPr>
          <w:ind w:left="2200" w:hanging="440"/>
        </w:pPr>
      </w:lvl>
    </w:lvlOverride>
    <w:lvlOverride w:ilvl="5">
      <w:lvl w:ilvl="5" w:tentative="1">
        <w:start w:val="1"/>
        <w:numFmt w:val="lowerRoman"/>
        <w:lvlText w:val="%6."/>
        <w:lvlJc w:val="right"/>
        <w:pPr>
          <w:ind w:left="2640" w:hanging="440"/>
        </w:pPr>
      </w:lvl>
    </w:lvlOverride>
    <w:lvlOverride w:ilvl="6">
      <w:lvl w:ilvl="6" w:tentative="1">
        <w:start w:val="1"/>
        <w:numFmt w:val="decimal"/>
        <w:lvlText w:val="%7."/>
        <w:lvlJc w:val="left"/>
        <w:pPr>
          <w:ind w:left="3080" w:hanging="440"/>
        </w:pPr>
      </w:lvl>
    </w:lvlOverride>
    <w:lvlOverride w:ilvl="7">
      <w:lvl w:ilvl="7" w:tentative="1">
        <w:start w:val="1"/>
        <w:numFmt w:val="lowerLetter"/>
        <w:lvlText w:val="%8)"/>
        <w:lvlJc w:val="left"/>
        <w:pPr>
          <w:ind w:left="3520" w:hanging="440"/>
        </w:pPr>
      </w:lvl>
    </w:lvlOverride>
    <w:lvlOverride w:ilvl="8">
      <w:lvl w:ilvl="8" w:tentative="1">
        <w:start w:val="1"/>
        <w:numFmt w:val="lowerRoman"/>
        <w:lvlText w:val="%9."/>
        <w:lvlJc w:val="right"/>
        <w:pPr>
          <w:ind w:left="3960" w:hanging="440"/>
        </w:pPr>
      </w:lvl>
    </w:lvlOverride>
  </w:num>
  <w:num w:numId="64">
    <w:abstractNumId w:val="91"/>
  </w:num>
  <w:num w:numId="65">
    <w:abstractNumId w:val="104"/>
  </w:num>
  <w:num w:numId="66">
    <w:abstractNumId w:val="12"/>
  </w:num>
  <w:num w:numId="67">
    <w:abstractNumId w:val="94"/>
  </w:num>
  <w:num w:numId="68">
    <w:abstractNumId w:val="103"/>
  </w:num>
  <w:num w:numId="69">
    <w:abstractNumId w:val="40"/>
  </w:num>
  <w:num w:numId="70">
    <w:abstractNumId w:val="51"/>
  </w:num>
  <w:num w:numId="71">
    <w:abstractNumId w:val="48"/>
  </w:num>
  <w:num w:numId="72">
    <w:abstractNumId w:val="50"/>
  </w:num>
  <w:num w:numId="73">
    <w:abstractNumId w:val="107"/>
  </w:num>
  <w:num w:numId="74">
    <w:abstractNumId w:val="93"/>
  </w:num>
  <w:num w:numId="75">
    <w:abstractNumId w:val="58"/>
  </w:num>
  <w:num w:numId="76">
    <w:abstractNumId w:val="60"/>
  </w:num>
  <w:num w:numId="77">
    <w:abstractNumId w:val="53"/>
  </w:num>
  <w:num w:numId="78">
    <w:abstractNumId w:val="111"/>
  </w:num>
  <w:num w:numId="79">
    <w:abstractNumId w:val="82"/>
  </w:num>
  <w:num w:numId="80">
    <w:abstractNumId w:val="29"/>
  </w:num>
  <w:num w:numId="81">
    <w:abstractNumId w:val="39"/>
  </w:num>
  <w:num w:numId="82">
    <w:abstractNumId w:val="100"/>
  </w:num>
  <w:num w:numId="83">
    <w:abstractNumId w:val="102"/>
  </w:num>
  <w:num w:numId="84">
    <w:abstractNumId w:val="52"/>
  </w:num>
  <w:num w:numId="85">
    <w:abstractNumId w:val="98"/>
  </w:num>
  <w:num w:numId="86">
    <w:abstractNumId w:val="73"/>
  </w:num>
  <w:num w:numId="87">
    <w:abstractNumId w:val="1"/>
  </w:num>
  <w:num w:numId="88">
    <w:abstractNumId w:val="81"/>
  </w:num>
  <w:num w:numId="89">
    <w:abstractNumId w:val="90"/>
  </w:num>
  <w:num w:numId="90">
    <w:abstractNumId w:val="36"/>
  </w:num>
  <w:num w:numId="91">
    <w:abstractNumId w:val="37"/>
  </w:num>
  <w:num w:numId="92">
    <w:abstractNumId w:val="113"/>
  </w:num>
  <w:num w:numId="93">
    <w:abstractNumId w:val="69"/>
  </w:num>
  <w:num w:numId="94">
    <w:abstractNumId w:val="30"/>
  </w:num>
  <w:num w:numId="95">
    <w:abstractNumId w:val="42"/>
  </w:num>
  <w:num w:numId="96">
    <w:abstractNumId w:val="89"/>
  </w:num>
  <w:num w:numId="97">
    <w:abstractNumId w:val="55"/>
  </w:num>
  <w:num w:numId="98">
    <w:abstractNumId w:val="4"/>
  </w:num>
  <w:num w:numId="99">
    <w:abstractNumId w:val="47"/>
  </w:num>
  <w:num w:numId="100">
    <w:abstractNumId w:val="68"/>
  </w:num>
  <w:num w:numId="101">
    <w:abstractNumId w:val="16"/>
  </w:num>
  <w:num w:numId="102">
    <w:abstractNumId w:val="95"/>
  </w:num>
  <w:num w:numId="103">
    <w:abstractNumId w:val="108"/>
  </w:num>
  <w:num w:numId="104">
    <w:abstractNumId w:val="112"/>
  </w:num>
  <w:num w:numId="105">
    <w:abstractNumId w:val="28"/>
  </w:num>
  <w:num w:numId="106">
    <w:abstractNumId w:val="33"/>
  </w:num>
  <w:num w:numId="107">
    <w:abstractNumId w:val="101"/>
  </w:num>
  <w:num w:numId="108">
    <w:abstractNumId w:val="38"/>
  </w:num>
  <w:num w:numId="109">
    <w:abstractNumId w:val="92"/>
  </w:num>
  <w:num w:numId="110">
    <w:abstractNumId w:val="45"/>
  </w:num>
  <w:num w:numId="111">
    <w:abstractNumId w:val="62"/>
  </w:num>
  <w:num w:numId="112">
    <w:abstractNumId w:val="5"/>
  </w:num>
  <w:num w:numId="113">
    <w:abstractNumId w:val="71"/>
  </w:num>
  <w:num w:numId="114">
    <w:abstractNumId w:val="59"/>
  </w:num>
  <w:num w:numId="115">
    <w:abstractNumId w:val="86"/>
  </w:num>
  <w:num w:numId="116">
    <w:abstractNumId w:val="6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attachedTemplate r:id="rId1"/>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 w:name="fix_control_content_version" w:val="1.0"/>
    <w:docVar w:name="RemoveRepeatedWord" w:val="true"/>
  </w:docVars>
  <w:rsids>
    <w:rsidRoot w:val="00F64466"/>
    <w:rsid w:val="00000DE1"/>
    <w:rsid w:val="00001274"/>
    <w:rsid w:val="00003A30"/>
    <w:rsid w:val="00003D40"/>
    <w:rsid w:val="00006AD5"/>
    <w:rsid w:val="0001310E"/>
    <w:rsid w:val="0001356A"/>
    <w:rsid w:val="0001421F"/>
    <w:rsid w:val="00020562"/>
    <w:rsid w:val="000214AB"/>
    <w:rsid w:val="000269F2"/>
    <w:rsid w:val="00032C82"/>
    <w:rsid w:val="0003496F"/>
    <w:rsid w:val="00034A8B"/>
    <w:rsid w:val="000368BB"/>
    <w:rsid w:val="00037CEF"/>
    <w:rsid w:val="00037D3C"/>
    <w:rsid w:val="00040C82"/>
    <w:rsid w:val="00041244"/>
    <w:rsid w:val="00041FB7"/>
    <w:rsid w:val="00045A08"/>
    <w:rsid w:val="00047FEE"/>
    <w:rsid w:val="00050705"/>
    <w:rsid w:val="00053CCD"/>
    <w:rsid w:val="0005579D"/>
    <w:rsid w:val="00060268"/>
    <w:rsid w:val="0006088F"/>
    <w:rsid w:val="0006324A"/>
    <w:rsid w:val="000655E3"/>
    <w:rsid w:val="00066168"/>
    <w:rsid w:val="00067417"/>
    <w:rsid w:val="000704B8"/>
    <w:rsid w:val="00070782"/>
    <w:rsid w:val="00072092"/>
    <w:rsid w:val="000723E0"/>
    <w:rsid w:val="00072AC2"/>
    <w:rsid w:val="0007325D"/>
    <w:rsid w:val="00073F74"/>
    <w:rsid w:val="0007432A"/>
    <w:rsid w:val="00075103"/>
    <w:rsid w:val="000757AA"/>
    <w:rsid w:val="000765F1"/>
    <w:rsid w:val="00076B59"/>
    <w:rsid w:val="000779DA"/>
    <w:rsid w:val="00080665"/>
    <w:rsid w:val="000819F0"/>
    <w:rsid w:val="00081A0B"/>
    <w:rsid w:val="00082528"/>
    <w:rsid w:val="00083B75"/>
    <w:rsid w:val="000861F8"/>
    <w:rsid w:val="000866C4"/>
    <w:rsid w:val="0009074E"/>
    <w:rsid w:val="00092401"/>
    <w:rsid w:val="00092D3D"/>
    <w:rsid w:val="00094D65"/>
    <w:rsid w:val="000979D0"/>
    <w:rsid w:val="00097E95"/>
    <w:rsid w:val="000A2118"/>
    <w:rsid w:val="000A2FA4"/>
    <w:rsid w:val="000A3672"/>
    <w:rsid w:val="000A3B81"/>
    <w:rsid w:val="000A3FD5"/>
    <w:rsid w:val="000A49B9"/>
    <w:rsid w:val="000A524C"/>
    <w:rsid w:val="000A5911"/>
    <w:rsid w:val="000B079A"/>
    <w:rsid w:val="000B2A02"/>
    <w:rsid w:val="000B2E00"/>
    <w:rsid w:val="000B314C"/>
    <w:rsid w:val="000B42C5"/>
    <w:rsid w:val="000B5DE0"/>
    <w:rsid w:val="000C065F"/>
    <w:rsid w:val="000C12B8"/>
    <w:rsid w:val="000C2DFF"/>
    <w:rsid w:val="000C2EE0"/>
    <w:rsid w:val="000C3D67"/>
    <w:rsid w:val="000D064A"/>
    <w:rsid w:val="000D0BFE"/>
    <w:rsid w:val="000D1F8F"/>
    <w:rsid w:val="000D2213"/>
    <w:rsid w:val="000D3DFB"/>
    <w:rsid w:val="000D3F0B"/>
    <w:rsid w:val="000D4350"/>
    <w:rsid w:val="000D4E96"/>
    <w:rsid w:val="000D71F2"/>
    <w:rsid w:val="000E08C8"/>
    <w:rsid w:val="000E0CEF"/>
    <w:rsid w:val="000E2979"/>
    <w:rsid w:val="000E377A"/>
    <w:rsid w:val="000E38A3"/>
    <w:rsid w:val="000E4718"/>
    <w:rsid w:val="000E599F"/>
    <w:rsid w:val="000E59E5"/>
    <w:rsid w:val="000E623F"/>
    <w:rsid w:val="000E6593"/>
    <w:rsid w:val="000F2631"/>
    <w:rsid w:val="000F2942"/>
    <w:rsid w:val="000F40F3"/>
    <w:rsid w:val="000F4200"/>
    <w:rsid w:val="000F4232"/>
    <w:rsid w:val="000F5AAE"/>
    <w:rsid w:val="000F69F0"/>
    <w:rsid w:val="000F6F7D"/>
    <w:rsid w:val="000F7494"/>
    <w:rsid w:val="00101701"/>
    <w:rsid w:val="00101929"/>
    <w:rsid w:val="0010286D"/>
    <w:rsid w:val="00102AF2"/>
    <w:rsid w:val="00103749"/>
    <w:rsid w:val="001062A3"/>
    <w:rsid w:val="00106B7C"/>
    <w:rsid w:val="00106CBA"/>
    <w:rsid w:val="00112FE3"/>
    <w:rsid w:val="00114080"/>
    <w:rsid w:val="001140E4"/>
    <w:rsid w:val="00114CE9"/>
    <w:rsid w:val="001154E5"/>
    <w:rsid w:val="001157C5"/>
    <w:rsid w:val="0011583F"/>
    <w:rsid w:val="00116115"/>
    <w:rsid w:val="00116A88"/>
    <w:rsid w:val="00117142"/>
    <w:rsid w:val="00117FC8"/>
    <w:rsid w:val="00122C76"/>
    <w:rsid w:val="001274D9"/>
    <w:rsid w:val="00130411"/>
    <w:rsid w:val="00130AF3"/>
    <w:rsid w:val="00131032"/>
    <w:rsid w:val="00132185"/>
    <w:rsid w:val="00135CB4"/>
    <w:rsid w:val="00136B3F"/>
    <w:rsid w:val="00140558"/>
    <w:rsid w:val="0014113B"/>
    <w:rsid w:val="00141FA5"/>
    <w:rsid w:val="00142B54"/>
    <w:rsid w:val="00144CB9"/>
    <w:rsid w:val="00146131"/>
    <w:rsid w:val="0014649E"/>
    <w:rsid w:val="001471ED"/>
    <w:rsid w:val="00153269"/>
    <w:rsid w:val="00153CE2"/>
    <w:rsid w:val="00153D5E"/>
    <w:rsid w:val="00153DA4"/>
    <w:rsid w:val="00155DBA"/>
    <w:rsid w:val="00156DD6"/>
    <w:rsid w:val="001575B0"/>
    <w:rsid w:val="00161D0C"/>
    <w:rsid w:val="00162E34"/>
    <w:rsid w:val="00164916"/>
    <w:rsid w:val="00164ACB"/>
    <w:rsid w:val="00164AE8"/>
    <w:rsid w:val="0016540B"/>
    <w:rsid w:val="001655CD"/>
    <w:rsid w:val="00170D18"/>
    <w:rsid w:val="00170D43"/>
    <w:rsid w:val="00171BC5"/>
    <w:rsid w:val="00171FEC"/>
    <w:rsid w:val="0017381F"/>
    <w:rsid w:val="00173E7A"/>
    <w:rsid w:val="0017658D"/>
    <w:rsid w:val="0017665D"/>
    <w:rsid w:val="00176CA9"/>
    <w:rsid w:val="00177E82"/>
    <w:rsid w:val="00180781"/>
    <w:rsid w:val="00181D1F"/>
    <w:rsid w:val="0018426C"/>
    <w:rsid w:val="00184E93"/>
    <w:rsid w:val="00185DA4"/>
    <w:rsid w:val="00187ABE"/>
    <w:rsid w:val="00190433"/>
    <w:rsid w:val="00190AE0"/>
    <w:rsid w:val="00192B3F"/>
    <w:rsid w:val="00192EF0"/>
    <w:rsid w:val="0019310F"/>
    <w:rsid w:val="00193510"/>
    <w:rsid w:val="00193F11"/>
    <w:rsid w:val="00196BF4"/>
    <w:rsid w:val="001A19C7"/>
    <w:rsid w:val="001A1EF1"/>
    <w:rsid w:val="001A5066"/>
    <w:rsid w:val="001A7521"/>
    <w:rsid w:val="001A7B7E"/>
    <w:rsid w:val="001B017E"/>
    <w:rsid w:val="001B20A7"/>
    <w:rsid w:val="001B3A5D"/>
    <w:rsid w:val="001C0F03"/>
    <w:rsid w:val="001C1177"/>
    <w:rsid w:val="001C17F1"/>
    <w:rsid w:val="001C260E"/>
    <w:rsid w:val="001C31D2"/>
    <w:rsid w:val="001C362D"/>
    <w:rsid w:val="001C5238"/>
    <w:rsid w:val="001C7A7B"/>
    <w:rsid w:val="001D1AEC"/>
    <w:rsid w:val="001D2BEC"/>
    <w:rsid w:val="001D3B36"/>
    <w:rsid w:val="001D3C3F"/>
    <w:rsid w:val="001D3EDA"/>
    <w:rsid w:val="001D4B27"/>
    <w:rsid w:val="001D51A0"/>
    <w:rsid w:val="001D79BF"/>
    <w:rsid w:val="001E06A3"/>
    <w:rsid w:val="001E0809"/>
    <w:rsid w:val="001E0B7D"/>
    <w:rsid w:val="001E1D5F"/>
    <w:rsid w:val="001E25D7"/>
    <w:rsid w:val="001E2CFE"/>
    <w:rsid w:val="001E3B99"/>
    <w:rsid w:val="001E49C7"/>
    <w:rsid w:val="001E5A14"/>
    <w:rsid w:val="001E72EB"/>
    <w:rsid w:val="001E7B24"/>
    <w:rsid w:val="001F00B8"/>
    <w:rsid w:val="001F0B77"/>
    <w:rsid w:val="001F29B5"/>
    <w:rsid w:val="001F4496"/>
    <w:rsid w:val="001F63FF"/>
    <w:rsid w:val="001F7949"/>
    <w:rsid w:val="00204C55"/>
    <w:rsid w:val="00204D91"/>
    <w:rsid w:val="00205657"/>
    <w:rsid w:val="00212E19"/>
    <w:rsid w:val="0022052D"/>
    <w:rsid w:val="002227E6"/>
    <w:rsid w:val="002237DE"/>
    <w:rsid w:val="00225B04"/>
    <w:rsid w:val="00225F85"/>
    <w:rsid w:val="00225F8D"/>
    <w:rsid w:val="002276AF"/>
    <w:rsid w:val="002279F0"/>
    <w:rsid w:val="00233F66"/>
    <w:rsid w:val="00234179"/>
    <w:rsid w:val="0023487C"/>
    <w:rsid w:val="00235B12"/>
    <w:rsid w:val="00235B3A"/>
    <w:rsid w:val="00235C91"/>
    <w:rsid w:val="00235E99"/>
    <w:rsid w:val="0023639A"/>
    <w:rsid w:val="00236656"/>
    <w:rsid w:val="00241D64"/>
    <w:rsid w:val="00243174"/>
    <w:rsid w:val="00243CA5"/>
    <w:rsid w:val="00246572"/>
    <w:rsid w:val="00246F34"/>
    <w:rsid w:val="00250F4B"/>
    <w:rsid w:val="00255FEF"/>
    <w:rsid w:val="00256F87"/>
    <w:rsid w:val="002574F2"/>
    <w:rsid w:val="00260600"/>
    <w:rsid w:val="0026097E"/>
    <w:rsid w:val="00264003"/>
    <w:rsid w:val="00264259"/>
    <w:rsid w:val="00265B9C"/>
    <w:rsid w:val="00266032"/>
    <w:rsid w:val="00267E6A"/>
    <w:rsid w:val="002705F9"/>
    <w:rsid w:val="00270ACE"/>
    <w:rsid w:val="00270FE7"/>
    <w:rsid w:val="00271173"/>
    <w:rsid w:val="00271D31"/>
    <w:rsid w:val="00272FB9"/>
    <w:rsid w:val="00275B41"/>
    <w:rsid w:val="0028198B"/>
    <w:rsid w:val="0028271C"/>
    <w:rsid w:val="00282899"/>
    <w:rsid w:val="00283470"/>
    <w:rsid w:val="002834D4"/>
    <w:rsid w:val="00284E0C"/>
    <w:rsid w:val="00286DC1"/>
    <w:rsid w:val="002909FE"/>
    <w:rsid w:val="00291915"/>
    <w:rsid w:val="00291E47"/>
    <w:rsid w:val="00293756"/>
    <w:rsid w:val="00295490"/>
    <w:rsid w:val="00295589"/>
    <w:rsid w:val="002961F2"/>
    <w:rsid w:val="00296233"/>
    <w:rsid w:val="002967E3"/>
    <w:rsid w:val="002A1FEB"/>
    <w:rsid w:val="002A4033"/>
    <w:rsid w:val="002A4D23"/>
    <w:rsid w:val="002A5C13"/>
    <w:rsid w:val="002A6EFE"/>
    <w:rsid w:val="002B0A4C"/>
    <w:rsid w:val="002B1A1D"/>
    <w:rsid w:val="002B1DA4"/>
    <w:rsid w:val="002B215D"/>
    <w:rsid w:val="002B23E7"/>
    <w:rsid w:val="002B29A9"/>
    <w:rsid w:val="002B36A7"/>
    <w:rsid w:val="002B3FFE"/>
    <w:rsid w:val="002B5E52"/>
    <w:rsid w:val="002B6D5F"/>
    <w:rsid w:val="002B7AE0"/>
    <w:rsid w:val="002C08B4"/>
    <w:rsid w:val="002C0FA5"/>
    <w:rsid w:val="002C2B78"/>
    <w:rsid w:val="002C514D"/>
    <w:rsid w:val="002D0668"/>
    <w:rsid w:val="002D401F"/>
    <w:rsid w:val="002D637E"/>
    <w:rsid w:val="002D65DF"/>
    <w:rsid w:val="002E1EA5"/>
    <w:rsid w:val="002E3731"/>
    <w:rsid w:val="002E3C0B"/>
    <w:rsid w:val="002E5442"/>
    <w:rsid w:val="002E7666"/>
    <w:rsid w:val="002F2859"/>
    <w:rsid w:val="002F2D43"/>
    <w:rsid w:val="002F3A16"/>
    <w:rsid w:val="002F4003"/>
    <w:rsid w:val="002F414D"/>
    <w:rsid w:val="002F4274"/>
    <w:rsid w:val="002F4B35"/>
    <w:rsid w:val="002F5712"/>
    <w:rsid w:val="00300363"/>
    <w:rsid w:val="00301F7B"/>
    <w:rsid w:val="003025D7"/>
    <w:rsid w:val="003029A1"/>
    <w:rsid w:val="00303103"/>
    <w:rsid w:val="00305EA8"/>
    <w:rsid w:val="003064C4"/>
    <w:rsid w:val="003073BF"/>
    <w:rsid w:val="003105E8"/>
    <w:rsid w:val="00310949"/>
    <w:rsid w:val="00310A95"/>
    <w:rsid w:val="00313674"/>
    <w:rsid w:val="00313816"/>
    <w:rsid w:val="00313E2A"/>
    <w:rsid w:val="00317846"/>
    <w:rsid w:val="003178A1"/>
    <w:rsid w:val="003213EF"/>
    <w:rsid w:val="00322532"/>
    <w:rsid w:val="0032269A"/>
    <w:rsid w:val="00323CAA"/>
    <w:rsid w:val="0032498E"/>
    <w:rsid w:val="00325A8B"/>
    <w:rsid w:val="0032617C"/>
    <w:rsid w:val="00331B84"/>
    <w:rsid w:val="00331D56"/>
    <w:rsid w:val="00333A09"/>
    <w:rsid w:val="00333E05"/>
    <w:rsid w:val="00334E14"/>
    <w:rsid w:val="00335A0D"/>
    <w:rsid w:val="00336FEA"/>
    <w:rsid w:val="0034076B"/>
    <w:rsid w:val="0034180D"/>
    <w:rsid w:val="003425D4"/>
    <w:rsid w:val="0034268B"/>
    <w:rsid w:val="0034380F"/>
    <w:rsid w:val="00343967"/>
    <w:rsid w:val="00346880"/>
    <w:rsid w:val="00347F28"/>
    <w:rsid w:val="00350A10"/>
    <w:rsid w:val="003511A3"/>
    <w:rsid w:val="00351E70"/>
    <w:rsid w:val="003546BC"/>
    <w:rsid w:val="003568FD"/>
    <w:rsid w:val="003569CF"/>
    <w:rsid w:val="0036585F"/>
    <w:rsid w:val="00366A58"/>
    <w:rsid w:val="00366B25"/>
    <w:rsid w:val="003673FD"/>
    <w:rsid w:val="003677C8"/>
    <w:rsid w:val="003677E5"/>
    <w:rsid w:val="003713E8"/>
    <w:rsid w:val="00372B16"/>
    <w:rsid w:val="003736B9"/>
    <w:rsid w:val="003743FE"/>
    <w:rsid w:val="00375254"/>
    <w:rsid w:val="0037650A"/>
    <w:rsid w:val="00376EBE"/>
    <w:rsid w:val="003808C5"/>
    <w:rsid w:val="00381448"/>
    <w:rsid w:val="003817A4"/>
    <w:rsid w:val="003843A1"/>
    <w:rsid w:val="00384417"/>
    <w:rsid w:val="00385A0C"/>
    <w:rsid w:val="00386F11"/>
    <w:rsid w:val="003871D7"/>
    <w:rsid w:val="00391EF5"/>
    <w:rsid w:val="003929C3"/>
    <w:rsid w:val="00396FFA"/>
    <w:rsid w:val="003A041B"/>
    <w:rsid w:val="003A29DE"/>
    <w:rsid w:val="003A3B1F"/>
    <w:rsid w:val="003A49E1"/>
    <w:rsid w:val="003A5410"/>
    <w:rsid w:val="003A5A6B"/>
    <w:rsid w:val="003A5CD2"/>
    <w:rsid w:val="003A6039"/>
    <w:rsid w:val="003A6B2A"/>
    <w:rsid w:val="003B0288"/>
    <w:rsid w:val="003B1233"/>
    <w:rsid w:val="003B13DD"/>
    <w:rsid w:val="003B33EE"/>
    <w:rsid w:val="003B63B7"/>
    <w:rsid w:val="003B7BC8"/>
    <w:rsid w:val="003C10CA"/>
    <w:rsid w:val="003C37EF"/>
    <w:rsid w:val="003C6772"/>
    <w:rsid w:val="003C6C29"/>
    <w:rsid w:val="003D2599"/>
    <w:rsid w:val="003D3749"/>
    <w:rsid w:val="003D4645"/>
    <w:rsid w:val="003D4736"/>
    <w:rsid w:val="003D6694"/>
    <w:rsid w:val="003D670A"/>
    <w:rsid w:val="003D7035"/>
    <w:rsid w:val="003E0AD7"/>
    <w:rsid w:val="003E0B92"/>
    <w:rsid w:val="003E1AC8"/>
    <w:rsid w:val="003E26B4"/>
    <w:rsid w:val="003E5A44"/>
    <w:rsid w:val="003E690F"/>
    <w:rsid w:val="003E6C13"/>
    <w:rsid w:val="003E6D6A"/>
    <w:rsid w:val="003E7084"/>
    <w:rsid w:val="003E7107"/>
    <w:rsid w:val="003E782A"/>
    <w:rsid w:val="003F05B9"/>
    <w:rsid w:val="003F27EF"/>
    <w:rsid w:val="003F4C66"/>
    <w:rsid w:val="003F685E"/>
    <w:rsid w:val="004004C7"/>
    <w:rsid w:val="00400F12"/>
    <w:rsid w:val="00401CD3"/>
    <w:rsid w:val="00404977"/>
    <w:rsid w:val="00404AAC"/>
    <w:rsid w:val="00407618"/>
    <w:rsid w:val="00410602"/>
    <w:rsid w:val="00411229"/>
    <w:rsid w:val="00411964"/>
    <w:rsid w:val="00411FB9"/>
    <w:rsid w:val="00412010"/>
    <w:rsid w:val="0041476C"/>
    <w:rsid w:val="004147C1"/>
    <w:rsid w:val="00416BC3"/>
    <w:rsid w:val="00417248"/>
    <w:rsid w:val="00417C4C"/>
    <w:rsid w:val="004253A3"/>
    <w:rsid w:val="0042572B"/>
    <w:rsid w:val="004264B2"/>
    <w:rsid w:val="004268DA"/>
    <w:rsid w:val="00427F96"/>
    <w:rsid w:val="0043215E"/>
    <w:rsid w:val="004321EE"/>
    <w:rsid w:val="004323F9"/>
    <w:rsid w:val="00433D7E"/>
    <w:rsid w:val="004351EE"/>
    <w:rsid w:val="004409A9"/>
    <w:rsid w:val="00441C24"/>
    <w:rsid w:val="004434CF"/>
    <w:rsid w:val="00443D35"/>
    <w:rsid w:val="00444FC1"/>
    <w:rsid w:val="00447268"/>
    <w:rsid w:val="00447349"/>
    <w:rsid w:val="004510F9"/>
    <w:rsid w:val="004513CA"/>
    <w:rsid w:val="00451AAE"/>
    <w:rsid w:val="004533D6"/>
    <w:rsid w:val="00453FAC"/>
    <w:rsid w:val="00454255"/>
    <w:rsid w:val="00455074"/>
    <w:rsid w:val="00462C35"/>
    <w:rsid w:val="00464468"/>
    <w:rsid w:val="0046574D"/>
    <w:rsid w:val="0046688A"/>
    <w:rsid w:val="00472010"/>
    <w:rsid w:val="004800E2"/>
    <w:rsid w:val="00481A1F"/>
    <w:rsid w:val="004836D6"/>
    <w:rsid w:val="00483F95"/>
    <w:rsid w:val="004841F4"/>
    <w:rsid w:val="00485464"/>
    <w:rsid w:val="004857B3"/>
    <w:rsid w:val="004866C9"/>
    <w:rsid w:val="004873D6"/>
    <w:rsid w:val="00491D04"/>
    <w:rsid w:val="00491E13"/>
    <w:rsid w:val="004928C8"/>
    <w:rsid w:val="00494D23"/>
    <w:rsid w:val="0049504B"/>
    <w:rsid w:val="0049528E"/>
    <w:rsid w:val="00496695"/>
    <w:rsid w:val="004969A2"/>
    <w:rsid w:val="004A01E8"/>
    <w:rsid w:val="004A02E5"/>
    <w:rsid w:val="004A0844"/>
    <w:rsid w:val="004A0CA5"/>
    <w:rsid w:val="004A106F"/>
    <w:rsid w:val="004A1E51"/>
    <w:rsid w:val="004A2E8D"/>
    <w:rsid w:val="004A3E58"/>
    <w:rsid w:val="004A52E9"/>
    <w:rsid w:val="004B01A1"/>
    <w:rsid w:val="004B166A"/>
    <w:rsid w:val="004B224E"/>
    <w:rsid w:val="004B42B4"/>
    <w:rsid w:val="004B5883"/>
    <w:rsid w:val="004B6238"/>
    <w:rsid w:val="004B7CFD"/>
    <w:rsid w:val="004C243A"/>
    <w:rsid w:val="004C4970"/>
    <w:rsid w:val="004C5275"/>
    <w:rsid w:val="004D3E90"/>
    <w:rsid w:val="004D44D0"/>
    <w:rsid w:val="004D4794"/>
    <w:rsid w:val="004D5874"/>
    <w:rsid w:val="004D64A1"/>
    <w:rsid w:val="004D6BCC"/>
    <w:rsid w:val="004D6C3F"/>
    <w:rsid w:val="004D7373"/>
    <w:rsid w:val="004E018D"/>
    <w:rsid w:val="004E07AE"/>
    <w:rsid w:val="004E3D78"/>
    <w:rsid w:val="004E5B1F"/>
    <w:rsid w:val="004E662E"/>
    <w:rsid w:val="004E76A8"/>
    <w:rsid w:val="004E7A9A"/>
    <w:rsid w:val="004F0F29"/>
    <w:rsid w:val="004F1935"/>
    <w:rsid w:val="004F1D96"/>
    <w:rsid w:val="004F23C6"/>
    <w:rsid w:val="004F2488"/>
    <w:rsid w:val="004F24A3"/>
    <w:rsid w:val="004F2F16"/>
    <w:rsid w:val="004F5EE5"/>
    <w:rsid w:val="004F769C"/>
    <w:rsid w:val="00500B6E"/>
    <w:rsid w:val="00501BAE"/>
    <w:rsid w:val="00502B12"/>
    <w:rsid w:val="0050468F"/>
    <w:rsid w:val="00504DF0"/>
    <w:rsid w:val="0050664C"/>
    <w:rsid w:val="00510176"/>
    <w:rsid w:val="00510807"/>
    <w:rsid w:val="00511999"/>
    <w:rsid w:val="00513947"/>
    <w:rsid w:val="005142B2"/>
    <w:rsid w:val="00515384"/>
    <w:rsid w:val="0051595F"/>
    <w:rsid w:val="00516BA8"/>
    <w:rsid w:val="0051712A"/>
    <w:rsid w:val="00517EC5"/>
    <w:rsid w:val="00520040"/>
    <w:rsid w:val="00520DF6"/>
    <w:rsid w:val="0052156C"/>
    <w:rsid w:val="00522323"/>
    <w:rsid w:val="005233FC"/>
    <w:rsid w:val="00523461"/>
    <w:rsid w:val="005241C1"/>
    <w:rsid w:val="005278F7"/>
    <w:rsid w:val="00533A16"/>
    <w:rsid w:val="0053530C"/>
    <w:rsid w:val="00536734"/>
    <w:rsid w:val="005371EB"/>
    <w:rsid w:val="0054129E"/>
    <w:rsid w:val="00541F8F"/>
    <w:rsid w:val="00543592"/>
    <w:rsid w:val="005468DF"/>
    <w:rsid w:val="00550816"/>
    <w:rsid w:val="0055092D"/>
    <w:rsid w:val="00551127"/>
    <w:rsid w:val="00552CF3"/>
    <w:rsid w:val="00554623"/>
    <w:rsid w:val="005547BC"/>
    <w:rsid w:val="00557569"/>
    <w:rsid w:val="00560947"/>
    <w:rsid w:val="00561B44"/>
    <w:rsid w:val="00562985"/>
    <w:rsid w:val="00563C45"/>
    <w:rsid w:val="005662AA"/>
    <w:rsid w:val="005674B7"/>
    <w:rsid w:val="00567A12"/>
    <w:rsid w:val="0057053C"/>
    <w:rsid w:val="00571616"/>
    <w:rsid w:val="0057359C"/>
    <w:rsid w:val="00573F3E"/>
    <w:rsid w:val="00575A30"/>
    <w:rsid w:val="0057730B"/>
    <w:rsid w:val="005779FF"/>
    <w:rsid w:val="00580BA9"/>
    <w:rsid w:val="005835FC"/>
    <w:rsid w:val="00583E97"/>
    <w:rsid w:val="0058420E"/>
    <w:rsid w:val="0058471E"/>
    <w:rsid w:val="005873BA"/>
    <w:rsid w:val="00591433"/>
    <w:rsid w:val="00592E20"/>
    <w:rsid w:val="00594196"/>
    <w:rsid w:val="0059450B"/>
    <w:rsid w:val="00594A8B"/>
    <w:rsid w:val="00596695"/>
    <w:rsid w:val="005966BA"/>
    <w:rsid w:val="00596DCB"/>
    <w:rsid w:val="00597209"/>
    <w:rsid w:val="005A02A6"/>
    <w:rsid w:val="005A063E"/>
    <w:rsid w:val="005A1015"/>
    <w:rsid w:val="005A325D"/>
    <w:rsid w:val="005A3C8E"/>
    <w:rsid w:val="005A3CB7"/>
    <w:rsid w:val="005A48DE"/>
    <w:rsid w:val="005A7306"/>
    <w:rsid w:val="005B2490"/>
    <w:rsid w:val="005B2AFC"/>
    <w:rsid w:val="005B31EB"/>
    <w:rsid w:val="005B49CB"/>
    <w:rsid w:val="005B5888"/>
    <w:rsid w:val="005B6202"/>
    <w:rsid w:val="005B6912"/>
    <w:rsid w:val="005B707E"/>
    <w:rsid w:val="005C313F"/>
    <w:rsid w:val="005C36B7"/>
    <w:rsid w:val="005C5ED8"/>
    <w:rsid w:val="005C6BB5"/>
    <w:rsid w:val="005D0773"/>
    <w:rsid w:val="005D303F"/>
    <w:rsid w:val="005D3700"/>
    <w:rsid w:val="005D39EC"/>
    <w:rsid w:val="005D3ECA"/>
    <w:rsid w:val="005D4364"/>
    <w:rsid w:val="005D7C67"/>
    <w:rsid w:val="005E07B2"/>
    <w:rsid w:val="005E20FD"/>
    <w:rsid w:val="005E46FE"/>
    <w:rsid w:val="005E6851"/>
    <w:rsid w:val="005E6A24"/>
    <w:rsid w:val="005E7792"/>
    <w:rsid w:val="005F5113"/>
    <w:rsid w:val="005F560B"/>
    <w:rsid w:val="005F7016"/>
    <w:rsid w:val="005F730D"/>
    <w:rsid w:val="00600E36"/>
    <w:rsid w:val="0060122B"/>
    <w:rsid w:val="0060349E"/>
    <w:rsid w:val="00603DE9"/>
    <w:rsid w:val="0060474F"/>
    <w:rsid w:val="00604EFF"/>
    <w:rsid w:val="00605C30"/>
    <w:rsid w:val="00605C66"/>
    <w:rsid w:val="00607209"/>
    <w:rsid w:val="00607466"/>
    <w:rsid w:val="006107DE"/>
    <w:rsid w:val="006115BB"/>
    <w:rsid w:val="00614B2A"/>
    <w:rsid w:val="00614E19"/>
    <w:rsid w:val="00614EF8"/>
    <w:rsid w:val="00615457"/>
    <w:rsid w:val="00620E1D"/>
    <w:rsid w:val="00621322"/>
    <w:rsid w:val="00621A87"/>
    <w:rsid w:val="00624230"/>
    <w:rsid w:val="00624978"/>
    <w:rsid w:val="00624E68"/>
    <w:rsid w:val="00625775"/>
    <w:rsid w:val="00626751"/>
    <w:rsid w:val="006273C2"/>
    <w:rsid w:val="0062780C"/>
    <w:rsid w:val="0063457F"/>
    <w:rsid w:val="00637841"/>
    <w:rsid w:val="00640488"/>
    <w:rsid w:val="006434DE"/>
    <w:rsid w:val="0064674D"/>
    <w:rsid w:val="00647FC9"/>
    <w:rsid w:val="00650442"/>
    <w:rsid w:val="006526A4"/>
    <w:rsid w:val="00653420"/>
    <w:rsid w:val="00660198"/>
    <w:rsid w:val="0066555F"/>
    <w:rsid w:val="00665D3E"/>
    <w:rsid w:val="0066706F"/>
    <w:rsid w:val="00667868"/>
    <w:rsid w:val="00670266"/>
    <w:rsid w:val="00670DF0"/>
    <w:rsid w:val="00671C86"/>
    <w:rsid w:val="0067203A"/>
    <w:rsid w:val="00673033"/>
    <w:rsid w:val="006744F9"/>
    <w:rsid w:val="0067675A"/>
    <w:rsid w:val="00681C53"/>
    <w:rsid w:val="00681ECB"/>
    <w:rsid w:val="00684E5B"/>
    <w:rsid w:val="00686396"/>
    <w:rsid w:val="00686B05"/>
    <w:rsid w:val="00686B67"/>
    <w:rsid w:val="00687023"/>
    <w:rsid w:val="00687108"/>
    <w:rsid w:val="00687DDB"/>
    <w:rsid w:val="00691F7F"/>
    <w:rsid w:val="00692A83"/>
    <w:rsid w:val="00694C56"/>
    <w:rsid w:val="00695562"/>
    <w:rsid w:val="006956D0"/>
    <w:rsid w:val="00696160"/>
    <w:rsid w:val="00697BC1"/>
    <w:rsid w:val="006A12BC"/>
    <w:rsid w:val="006A1348"/>
    <w:rsid w:val="006A2830"/>
    <w:rsid w:val="006A324C"/>
    <w:rsid w:val="006A58BE"/>
    <w:rsid w:val="006A7B67"/>
    <w:rsid w:val="006B1A3A"/>
    <w:rsid w:val="006B1BE8"/>
    <w:rsid w:val="006B4A04"/>
    <w:rsid w:val="006B652C"/>
    <w:rsid w:val="006B7F35"/>
    <w:rsid w:val="006C009D"/>
    <w:rsid w:val="006C1060"/>
    <w:rsid w:val="006C27C9"/>
    <w:rsid w:val="006C287F"/>
    <w:rsid w:val="006C339D"/>
    <w:rsid w:val="006C449B"/>
    <w:rsid w:val="006C62FD"/>
    <w:rsid w:val="006C6BC0"/>
    <w:rsid w:val="006D0D2B"/>
    <w:rsid w:val="006D14DE"/>
    <w:rsid w:val="006D1C58"/>
    <w:rsid w:val="006D3C8D"/>
    <w:rsid w:val="006D42B9"/>
    <w:rsid w:val="006E34DE"/>
    <w:rsid w:val="006E3C30"/>
    <w:rsid w:val="006E4E45"/>
    <w:rsid w:val="006F5637"/>
    <w:rsid w:val="006F57DE"/>
    <w:rsid w:val="006F7067"/>
    <w:rsid w:val="006F75F9"/>
    <w:rsid w:val="006F7E8E"/>
    <w:rsid w:val="007003EF"/>
    <w:rsid w:val="0070072B"/>
    <w:rsid w:val="007016BC"/>
    <w:rsid w:val="00703031"/>
    <w:rsid w:val="00703AD6"/>
    <w:rsid w:val="007100A6"/>
    <w:rsid w:val="00711263"/>
    <w:rsid w:val="00711BD1"/>
    <w:rsid w:val="00713CDE"/>
    <w:rsid w:val="007156A3"/>
    <w:rsid w:val="00716E0A"/>
    <w:rsid w:val="00717670"/>
    <w:rsid w:val="00717A61"/>
    <w:rsid w:val="007205EA"/>
    <w:rsid w:val="00721FF5"/>
    <w:rsid w:val="00723F6E"/>
    <w:rsid w:val="0072514A"/>
    <w:rsid w:val="0072654B"/>
    <w:rsid w:val="007300E6"/>
    <w:rsid w:val="00730F6B"/>
    <w:rsid w:val="0073134B"/>
    <w:rsid w:val="007319BB"/>
    <w:rsid w:val="00732159"/>
    <w:rsid w:val="00733887"/>
    <w:rsid w:val="00733B2C"/>
    <w:rsid w:val="00740A9B"/>
    <w:rsid w:val="00741129"/>
    <w:rsid w:val="007424F9"/>
    <w:rsid w:val="00743B88"/>
    <w:rsid w:val="0074443B"/>
    <w:rsid w:val="00744A10"/>
    <w:rsid w:val="00744C26"/>
    <w:rsid w:val="007453BF"/>
    <w:rsid w:val="007472B4"/>
    <w:rsid w:val="00747570"/>
    <w:rsid w:val="00747EDC"/>
    <w:rsid w:val="007506A4"/>
    <w:rsid w:val="00750C24"/>
    <w:rsid w:val="00751F6D"/>
    <w:rsid w:val="00752E59"/>
    <w:rsid w:val="00756091"/>
    <w:rsid w:val="007657D2"/>
    <w:rsid w:val="0076619D"/>
    <w:rsid w:val="007668D3"/>
    <w:rsid w:val="00772BE4"/>
    <w:rsid w:val="0077327C"/>
    <w:rsid w:val="007736D8"/>
    <w:rsid w:val="00776781"/>
    <w:rsid w:val="00776983"/>
    <w:rsid w:val="007773F9"/>
    <w:rsid w:val="007777AF"/>
    <w:rsid w:val="00777ECC"/>
    <w:rsid w:val="00780FD7"/>
    <w:rsid w:val="00782B06"/>
    <w:rsid w:val="00782C6B"/>
    <w:rsid w:val="0078624C"/>
    <w:rsid w:val="00786BD6"/>
    <w:rsid w:val="00787141"/>
    <w:rsid w:val="0079006A"/>
    <w:rsid w:val="00791DFD"/>
    <w:rsid w:val="00793160"/>
    <w:rsid w:val="0079335A"/>
    <w:rsid w:val="0079412D"/>
    <w:rsid w:val="00797F5E"/>
    <w:rsid w:val="007A023E"/>
    <w:rsid w:val="007A092C"/>
    <w:rsid w:val="007A1076"/>
    <w:rsid w:val="007A18C2"/>
    <w:rsid w:val="007A1A15"/>
    <w:rsid w:val="007A350A"/>
    <w:rsid w:val="007A40DC"/>
    <w:rsid w:val="007A52AC"/>
    <w:rsid w:val="007A5730"/>
    <w:rsid w:val="007A7D68"/>
    <w:rsid w:val="007B00EB"/>
    <w:rsid w:val="007B33DC"/>
    <w:rsid w:val="007B3FF3"/>
    <w:rsid w:val="007B5266"/>
    <w:rsid w:val="007B5331"/>
    <w:rsid w:val="007B581D"/>
    <w:rsid w:val="007B702C"/>
    <w:rsid w:val="007C0049"/>
    <w:rsid w:val="007C00D5"/>
    <w:rsid w:val="007C09DE"/>
    <w:rsid w:val="007C259B"/>
    <w:rsid w:val="007C51DC"/>
    <w:rsid w:val="007C5622"/>
    <w:rsid w:val="007C57D1"/>
    <w:rsid w:val="007C59A9"/>
    <w:rsid w:val="007D0B8A"/>
    <w:rsid w:val="007D133B"/>
    <w:rsid w:val="007D14FC"/>
    <w:rsid w:val="007D29C1"/>
    <w:rsid w:val="007D484C"/>
    <w:rsid w:val="007D4E58"/>
    <w:rsid w:val="007D58C9"/>
    <w:rsid w:val="007D5DD9"/>
    <w:rsid w:val="007D5EE2"/>
    <w:rsid w:val="007D6AE5"/>
    <w:rsid w:val="007D6C72"/>
    <w:rsid w:val="007D6CC0"/>
    <w:rsid w:val="007D7CA3"/>
    <w:rsid w:val="007E1932"/>
    <w:rsid w:val="007E44B0"/>
    <w:rsid w:val="007E5A22"/>
    <w:rsid w:val="007E6A89"/>
    <w:rsid w:val="007E6F44"/>
    <w:rsid w:val="007E73AD"/>
    <w:rsid w:val="007E79D2"/>
    <w:rsid w:val="007F0D44"/>
    <w:rsid w:val="007F1D55"/>
    <w:rsid w:val="007F2A41"/>
    <w:rsid w:val="007F2D2C"/>
    <w:rsid w:val="007F3C23"/>
    <w:rsid w:val="007F7929"/>
    <w:rsid w:val="00801AB3"/>
    <w:rsid w:val="00801DA7"/>
    <w:rsid w:val="008020D2"/>
    <w:rsid w:val="008024C7"/>
    <w:rsid w:val="008031B2"/>
    <w:rsid w:val="008033E5"/>
    <w:rsid w:val="00803839"/>
    <w:rsid w:val="00803E2E"/>
    <w:rsid w:val="00803F28"/>
    <w:rsid w:val="00804FF9"/>
    <w:rsid w:val="00805275"/>
    <w:rsid w:val="0080652C"/>
    <w:rsid w:val="00807345"/>
    <w:rsid w:val="008076D7"/>
    <w:rsid w:val="00807788"/>
    <w:rsid w:val="00810C60"/>
    <w:rsid w:val="00810EE5"/>
    <w:rsid w:val="0081251B"/>
    <w:rsid w:val="008125B5"/>
    <w:rsid w:val="00812BFB"/>
    <w:rsid w:val="00814724"/>
    <w:rsid w:val="0081494C"/>
    <w:rsid w:val="008170A3"/>
    <w:rsid w:val="00821123"/>
    <w:rsid w:val="0082184F"/>
    <w:rsid w:val="00821B07"/>
    <w:rsid w:val="00822D2E"/>
    <w:rsid w:val="00824FCF"/>
    <w:rsid w:val="00825D8E"/>
    <w:rsid w:val="00826FAA"/>
    <w:rsid w:val="0082710B"/>
    <w:rsid w:val="008274FE"/>
    <w:rsid w:val="00827F44"/>
    <w:rsid w:val="00831139"/>
    <w:rsid w:val="008343CD"/>
    <w:rsid w:val="00835689"/>
    <w:rsid w:val="008361DC"/>
    <w:rsid w:val="008364CC"/>
    <w:rsid w:val="008366B7"/>
    <w:rsid w:val="00836A28"/>
    <w:rsid w:val="00837F36"/>
    <w:rsid w:val="00847783"/>
    <w:rsid w:val="00850976"/>
    <w:rsid w:val="008512E7"/>
    <w:rsid w:val="0085161A"/>
    <w:rsid w:val="00854F6A"/>
    <w:rsid w:val="008614D9"/>
    <w:rsid w:val="00861FDA"/>
    <w:rsid w:val="00862CD6"/>
    <w:rsid w:val="00863C27"/>
    <w:rsid w:val="0086405B"/>
    <w:rsid w:val="008646E9"/>
    <w:rsid w:val="00865750"/>
    <w:rsid w:val="00867167"/>
    <w:rsid w:val="00870005"/>
    <w:rsid w:val="00872D15"/>
    <w:rsid w:val="00872E75"/>
    <w:rsid w:val="00873115"/>
    <w:rsid w:val="0087333E"/>
    <w:rsid w:val="00876DED"/>
    <w:rsid w:val="008807B4"/>
    <w:rsid w:val="008814A6"/>
    <w:rsid w:val="00881E4C"/>
    <w:rsid w:val="0088543E"/>
    <w:rsid w:val="008903B3"/>
    <w:rsid w:val="00890587"/>
    <w:rsid w:val="00890CD0"/>
    <w:rsid w:val="0089349B"/>
    <w:rsid w:val="0089792D"/>
    <w:rsid w:val="008A17A1"/>
    <w:rsid w:val="008A1C5B"/>
    <w:rsid w:val="008A792A"/>
    <w:rsid w:val="008B1154"/>
    <w:rsid w:val="008B15B1"/>
    <w:rsid w:val="008B1A1A"/>
    <w:rsid w:val="008B1E88"/>
    <w:rsid w:val="008B28CD"/>
    <w:rsid w:val="008B65F2"/>
    <w:rsid w:val="008C0094"/>
    <w:rsid w:val="008C01B9"/>
    <w:rsid w:val="008C1B19"/>
    <w:rsid w:val="008C55DA"/>
    <w:rsid w:val="008C5648"/>
    <w:rsid w:val="008C6895"/>
    <w:rsid w:val="008D1B1C"/>
    <w:rsid w:val="008D616A"/>
    <w:rsid w:val="008E2D27"/>
    <w:rsid w:val="008E7B2F"/>
    <w:rsid w:val="008F1374"/>
    <w:rsid w:val="008F16E5"/>
    <w:rsid w:val="008F20E3"/>
    <w:rsid w:val="008F4994"/>
    <w:rsid w:val="008F655F"/>
    <w:rsid w:val="008F6589"/>
    <w:rsid w:val="008F6896"/>
    <w:rsid w:val="008F6F40"/>
    <w:rsid w:val="008F7A77"/>
    <w:rsid w:val="0090161F"/>
    <w:rsid w:val="00901AF8"/>
    <w:rsid w:val="00903572"/>
    <w:rsid w:val="009039F5"/>
    <w:rsid w:val="00905852"/>
    <w:rsid w:val="009062BE"/>
    <w:rsid w:val="00907499"/>
    <w:rsid w:val="009108B1"/>
    <w:rsid w:val="00910F84"/>
    <w:rsid w:val="00910FED"/>
    <w:rsid w:val="00911652"/>
    <w:rsid w:val="00911D52"/>
    <w:rsid w:val="00912143"/>
    <w:rsid w:val="00912EB9"/>
    <w:rsid w:val="00913114"/>
    <w:rsid w:val="009144DE"/>
    <w:rsid w:val="00914B8D"/>
    <w:rsid w:val="009219C0"/>
    <w:rsid w:val="00921B65"/>
    <w:rsid w:val="00923D3D"/>
    <w:rsid w:val="0092495C"/>
    <w:rsid w:val="009305AE"/>
    <w:rsid w:val="00932328"/>
    <w:rsid w:val="00935ECB"/>
    <w:rsid w:val="00936756"/>
    <w:rsid w:val="00941A4E"/>
    <w:rsid w:val="009426F4"/>
    <w:rsid w:val="009433E2"/>
    <w:rsid w:val="00945E41"/>
    <w:rsid w:val="00946EB1"/>
    <w:rsid w:val="00950850"/>
    <w:rsid w:val="009526C0"/>
    <w:rsid w:val="0095574C"/>
    <w:rsid w:val="00956C7D"/>
    <w:rsid w:val="00957156"/>
    <w:rsid w:val="009578C7"/>
    <w:rsid w:val="0096058E"/>
    <w:rsid w:val="00962168"/>
    <w:rsid w:val="0096520F"/>
    <w:rsid w:val="00970117"/>
    <w:rsid w:val="009710A4"/>
    <w:rsid w:val="009722AA"/>
    <w:rsid w:val="00974062"/>
    <w:rsid w:val="009740B9"/>
    <w:rsid w:val="0097496F"/>
    <w:rsid w:val="00981C68"/>
    <w:rsid w:val="00982B38"/>
    <w:rsid w:val="009848E9"/>
    <w:rsid w:val="009850CF"/>
    <w:rsid w:val="009853FC"/>
    <w:rsid w:val="0098554E"/>
    <w:rsid w:val="009871ED"/>
    <w:rsid w:val="009920AA"/>
    <w:rsid w:val="00992DFA"/>
    <w:rsid w:val="00993002"/>
    <w:rsid w:val="00993AB1"/>
    <w:rsid w:val="0099460E"/>
    <w:rsid w:val="009949A6"/>
    <w:rsid w:val="0099587D"/>
    <w:rsid w:val="009963BA"/>
    <w:rsid w:val="00996AF4"/>
    <w:rsid w:val="009A0530"/>
    <w:rsid w:val="009A1B09"/>
    <w:rsid w:val="009A2403"/>
    <w:rsid w:val="009A72B4"/>
    <w:rsid w:val="009A7F2E"/>
    <w:rsid w:val="009B08A3"/>
    <w:rsid w:val="009B2951"/>
    <w:rsid w:val="009B42A1"/>
    <w:rsid w:val="009B5CC6"/>
    <w:rsid w:val="009B6E13"/>
    <w:rsid w:val="009B7594"/>
    <w:rsid w:val="009C1DE1"/>
    <w:rsid w:val="009C2470"/>
    <w:rsid w:val="009C2678"/>
    <w:rsid w:val="009C268D"/>
    <w:rsid w:val="009C2AB9"/>
    <w:rsid w:val="009C3537"/>
    <w:rsid w:val="009C3B4F"/>
    <w:rsid w:val="009C4000"/>
    <w:rsid w:val="009C4AF0"/>
    <w:rsid w:val="009D048C"/>
    <w:rsid w:val="009D3D04"/>
    <w:rsid w:val="009D3D0B"/>
    <w:rsid w:val="009D4E2C"/>
    <w:rsid w:val="009E02E0"/>
    <w:rsid w:val="009E06A4"/>
    <w:rsid w:val="009E2610"/>
    <w:rsid w:val="009E30DA"/>
    <w:rsid w:val="009E3FAA"/>
    <w:rsid w:val="009E49A8"/>
    <w:rsid w:val="009E4C11"/>
    <w:rsid w:val="009E4DCF"/>
    <w:rsid w:val="009E4F59"/>
    <w:rsid w:val="009E59F1"/>
    <w:rsid w:val="009E5B75"/>
    <w:rsid w:val="009E7565"/>
    <w:rsid w:val="009F0DB0"/>
    <w:rsid w:val="009F1233"/>
    <w:rsid w:val="009F302A"/>
    <w:rsid w:val="009F315D"/>
    <w:rsid w:val="009F34AC"/>
    <w:rsid w:val="009F468A"/>
    <w:rsid w:val="009F614F"/>
    <w:rsid w:val="00A102FB"/>
    <w:rsid w:val="00A10C26"/>
    <w:rsid w:val="00A10E63"/>
    <w:rsid w:val="00A11D60"/>
    <w:rsid w:val="00A12E70"/>
    <w:rsid w:val="00A1452C"/>
    <w:rsid w:val="00A17E0C"/>
    <w:rsid w:val="00A17E0D"/>
    <w:rsid w:val="00A20B23"/>
    <w:rsid w:val="00A22A67"/>
    <w:rsid w:val="00A240D2"/>
    <w:rsid w:val="00A24BD7"/>
    <w:rsid w:val="00A25DFD"/>
    <w:rsid w:val="00A262FE"/>
    <w:rsid w:val="00A27AB1"/>
    <w:rsid w:val="00A30435"/>
    <w:rsid w:val="00A306D1"/>
    <w:rsid w:val="00A340EA"/>
    <w:rsid w:val="00A34404"/>
    <w:rsid w:val="00A3497F"/>
    <w:rsid w:val="00A34B99"/>
    <w:rsid w:val="00A34E16"/>
    <w:rsid w:val="00A36DD1"/>
    <w:rsid w:val="00A41AFB"/>
    <w:rsid w:val="00A4281F"/>
    <w:rsid w:val="00A44912"/>
    <w:rsid w:val="00A46E77"/>
    <w:rsid w:val="00A5073F"/>
    <w:rsid w:val="00A51EE7"/>
    <w:rsid w:val="00A5305C"/>
    <w:rsid w:val="00A55079"/>
    <w:rsid w:val="00A57C1C"/>
    <w:rsid w:val="00A60E99"/>
    <w:rsid w:val="00A61FEC"/>
    <w:rsid w:val="00A640CC"/>
    <w:rsid w:val="00A642E1"/>
    <w:rsid w:val="00A64CFD"/>
    <w:rsid w:val="00A65591"/>
    <w:rsid w:val="00A656B1"/>
    <w:rsid w:val="00A66D86"/>
    <w:rsid w:val="00A67303"/>
    <w:rsid w:val="00A70AF8"/>
    <w:rsid w:val="00A70B60"/>
    <w:rsid w:val="00A7158E"/>
    <w:rsid w:val="00A71C9F"/>
    <w:rsid w:val="00A72734"/>
    <w:rsid w:val="00A73B59"/>
    <w:rsid w:val="00A741DD"/>
    <w:rsid w:val="00A7626B"/>
    <w:rsid w:val="00A76C76"/>
    <w:rsid w:val="00A80D7F"/>
    <w:rsid w:val="00A83EE5"/>
    <w:rsid w:val="00A84388"/>
    <w:rsid w:val="00A845DA"/>
    <w:rsid w:val="00A847C1"/>
    <w:rsid w:val="00A85BB4"/>
    <w:rsid w:val="00A85EC7"/>
    <w:rsid w:val="00A864DA"/>
    <w:rsid w:val="00A86B53"/>
    <w:rsid w:val="00A86DCF"/>
    <w:rsid w:val="00A87D8E"/>
    <w:rsid w:val="00A9300A"/>
    <w:rsid w:val="00A945C3"/>
    <w:rsid w:val="00A957B8"/>
    <w:rsid w:val="00A96066"/>
    <w:rsid w:val="00AA1FA9"/>
    <w:rsid w:val="00AA39D2"/>
    <w:rsid w:val="00AA55AB"/>
    <w:rsid w:val="00AA5C6F"/>
    <w:rsid w:val="00AA5F62"/>
    <w:rsid w:val="00AA62FF"/>
    <w:rsid w:val="00AA7DFB"/>
    <w:rsid w:val="00AB0291"/>
    <w:rsid w:val="00AB11F7"/>
    <w:rsid w:val="00AB1C0E"/>
    <w:rsid w:val="00AB3D08"/>
    <w:rsid w:val="00AB4190"/>
    <w:rsid w:val="00AB5646"/>
    <w:rsid w:val="00AB66F8"/>
    <w:rsid w:val="00AC0B16"/>
    <w:rsid w:val="00AC11FF"/>
    <w:rsid w:val="00AC4007"/>
    <w:rsid w:val="00AC5C85"/>
    <w:rsid w:val="00AC6B89"/>
    <w:rsid w:val="00AD2887"/>
    <w:rsid w:val="00AD2C51"/>
    <w:rsid w:val="00AD473E"/>
    <w:rsid w:val="00AE0399"/>
    <w:rsid w:val="00AE0D65"/>
    <w:rsid w:val="00AE0FE3"/>
    <w:rsid w:val="00AE17FD"/>
    <w:rsid w:val="00AE1AF7"/>
    <w:rsid w:val="00AE61B6"/>
    <w:rsid w:val="00AE6FDF"/>
    <w:rsid w:val="00AF27D8"/>
    <w:rsid w:val="00AF665F"/>
    <w:rsid w:val="00AF6FBE"/>
    <w:rsid w:val="00B00386"/>
    <w:rsid w:val="00B023AE"/>
    <w:rsid w:val="00B0246B"/>
    <w:rsid w:val="00B02502"/>
    <w:rsid w:val="00B02CFD"/>
    <w:rsid w:val="00B04965"/>
    <w:rsid w:val="00B052B2"/>
    <w:rsid w:val="00B06418"/>
    <w:rsid w:val="00B17C5E"/>
    <w:rsid w:val="00B17D11"/>
    <w:rsid w:val="00B203AF"/>
    <w:rsid w:val="00B20AA2"/>
    <w:rsid w:val="00B2169A"/>
    <w:rsid w:val="00B2439C"/>
    <w:rsid w:val="00B2494F"/>
    <w:rsid w:val="00B26822"/>
    <w:rsid w:val="00B3078C"/>
    <w:rsid w:val="00B3325A"/>
    <w:rsid w:val="00B33ADC"/>
    <w:rsid w:val="00B33F3C"/>
    <w:rsid w:val="00B34C5A"/>
    <w:rsid w:val="00B3540C"/>
    <w:rsid w:val="00B35818"/>
    <w:rsid w:val="00B35B14"/>
    <w:rsid w:val="00B362D3"/>
    <w:rsid w:val="00B36F55"/>
    <w:rsid w:val="00B37B4C"/>
    <w:rsid w:val="00B4071F"/>
    <w:rsid w:val="00B51FB2"/>
    <w:rsid w:val="00B52053"/>
    <w:rsid w:val="00B52F55"/>
    <w:rsid w:val="00B54A29"/>
    <w:rsid w:val="00B56181"/>
    <w:rsid w:val="00B56D99"/>
    <w:rsid w:val="00B60193"/>
    <w:rsid w:val="00B60ACA"/>
    <w:rsid w:val="00B63AF0"/>
    <w:rsid w:val="00B64498"/>
    <w:rsid w:val="00B663D2"/>
    <w:rsid w:val="00B668B0"/>
    <w:rsid w:val="00B673C6"/>
    <w:rsid w:val="00B726C7"/>
    <w:rsid w:val="00B72847"/>
    <w:rsid w:val="00B737A3"/>
    <w:rsid w:val="00B74267"/>
    <w:rsid w:val="00B75332"/>
    <w:rsid w:val="00B7560D"/>
    <w:rsid w:val="00B76187"/>
    <w:rsid w:val="00B763E3"/>
    <w:rsid w:val="00B80FD2"/>
    <w:rsid w:val="00B81CBF"/>
    <w:rsid w:val="00B82F40"/>
    <w:rsid w:val="00B855AC"/>
    <w:rsid w:val="00B923A6"/>
    <w:rsid w:val="00B92EDF"/>
    <w:rsid w:val="00B93691"/>
    <w:rsid w:val="00B94496"/>
    <w:rsid w:val="00B951FF"/>
    <w:rsid w:val="00B9520A"/>
    <w:rsid w:val="00B95395"/>
    <w:rsid w:val="00B97122"/>
    <w:rsid w:val="00B975F9"/>
    <w:rsid w:val="00B97CA9"/>
    <w:rsid w:val="00B97E70"/>
    <w:rsid w:val="00BA06F2"/>
    <w:rsid w:val="00BA0944"/>
    <w:rsid w:val="00BA0AA2"/>
    <w:rsid w:val="00BA1D16"/>
    <w:rsid w:val="00BA2EC7"/>
    <w:rsid w:val="00BA4150"/>
    <w:rsid w:val="00BA5126"/>
    <w:rsid w:val="00BA5581"/>
    <w:rsid w:val="00BA74A8"/>
    <w:rsid w:val="00BB083F"/>
    <w:rsid w:val="00BB2336"/>
    <w:rsid w:val="00BB3779"/>
    <w:rsid w:val="00BB42F1"/>
    <w:rsid w:val="00BB56D1"/>
    <w:rsid w:val="00BC1524"/>
    <w:rsid w:val="00BC163F"/>
    <w:rsid w:val="00BC4FEC"/>
    <w:rsid w:val="00BC6FF2"/>
    <w:rsid w:val="00BD0240"/>
    <w:rsid w:val="00BD15FA"/>
    <w:rsid w:val="00BD1E7D"/>
    <w:rsid w:val="00BD25EB"/>
    <w:rsid w:val="00BD26D4"/>
    <w:rsid w:val="00BD364F"/>
    <w:rsid w:val="00BD3856"/>
    <w:rsid w:val="00BD7164"/>
    <w:rsid w:val="00BD724D"/>
    <w:rsid w:val="00BD7EA6"/>
    <w:rsid w:val="00BE02F0"/>
    <w:rsid w:val="00BE15E5"/>
    <w:rsid w:val="00BE2C54"/>
    <w:rsid w:val="00BE2EB9"/>
    <w:rsid w:val="00BE2F39"/>
    <w:rsid w:val="00BE47D8"/>
    <w:rsid w:val="00BE6A1C"/>
    <w:rsid w:val="00BE7BAE"/>
    <w:rsid w:val="00BF0B15"/>
    <w:rsid w:val="00BF252D"/>
    <w:rsid w:val="00BF282F"/>
    <w:rsid w:val="00BF3D2B"/>
    <w:rsid w:val="00BF5B0F"/>
    <w:rsid w:val="00C00421"/>
    <w:rsid w:val="00C027DE"/>
    <w:rsid w:val="00C02BE6"/>
    <w:rsid w:val="00C06443"/>
    <w:rsid w:val="00C064E4"/>
    <w:rsid w:val="00C12BA5"/>
    <w:rsid w:val="00C13366"/>
    <w:rsid w:val="00C15E1B"/>
    <w:rsid w:val="00C17147"/>
    <w:rsid w:val="00C17D8A"/>
    <w:rsid w:val="00C21427"/>
    <w:rsid w:val="00C22594"/>
    <w:rsid w:val="00C24EAD"/>
    <w:rsid w:val="00C27DE3"/>
    <w:rsid w:val="00C30AB7"/>
    <w:rsid w:val="00C31DAB"/>
    <w:rsid w:val="00C341BC"/>
    <w:rsid w:val="00C35147"/>
    <w:rsid w:val="00C360CF"/>
    <w:rsid w:val="00C41094"/>
    <w:rsid w:val="00C4158F"/>
    <w:rsid w:val="00C42A1B"/>
    <w:rsid w:val="00C42B10"/>
    <w:rsid w:val="00C440C2"/>
    <w:rsid w:val="00C44770"/>
    <w:rsid w:val="00C44889"/>
    <w:rsid w:val="00C449D3"/>
    <w:rsid w:val="00C44C51"/>
    <w:rsid w:val="00C44D4D"/>
    <w:rsid w:val="00C4524D"/>
    <w:rsid w:val="00C470E8"/>
    <w:rsid w:val="00C507DC"/>
    <w:rsid w:val="00C50D59"/>
    <w:rsid w:val="00C54CEB"/>
    <w:rsid w:val="00C56C74"/>
    <w:rsid w:val="00C56CE8"/>
    <w:rsid w:val="00C67E17"/>
    <w:rsid w:val="00C70885"/>
    <w:rsid w:val="00C8044B"/>
    <w:rsid w:val="00C81642"/>
    <w:rsid w:val="00C81E52"/>
    <w:rsid w:val="00C82483"/>
    <w:rsid w:val="00C82B85"/>
    <w:rsid w:val="00C832C0"/>
    <w:rsid w:val="00C83416"/>
    <w:rsid w:val="00C842C2"/>
    <w:rsid w:val="00C8656F"/>
    <w:rsid w:val="00C86D62"/>
    <w:rsid w:val="00C878A0"/>
    <w:rsid w:val="00C90766"/>
    <w:rsid w:val="00C91256"/>
    <w:rsid w:val="00C914CA"/>
    <w:rsid w:val="00C92AE8"/>
    <w:rsid w:val="00C94863"/>
    <w:rsid w:val="00C94D1B"/>
    <w:rsid w:val="00C95E13"/>
    <w:rsid w:val="00C96E77"/>
    <w:rsid w:val="00C9780B"/>
    <w:rsid w:val="00CA0210"/>
    <w:rsid w:val="00CA04FF"/>
    <w:rsid w:val="00CA4037"/>
    <w:rsid w:val="00CA5170"/>
    <w:rsid w:val="00CA6ED6"/>
    <w:rsid w:val="00CB06E7"/>
    <w:rsid w:val="00CB3AB8"/>
    <w:rsid w:val="00CB4390"/>
    <w:rsid w:val="00CB56CF"/>
    <w:rsid w:val="00CC0796"/>
    <w:rsid w:val="00CC10C4"/>
    <w:rsid w:val="00CC25E6"/>
    <w:rsid w:val="00CC3DA6"/>
    <w:rsid w:val="00CD3D66"/>
    <w:rsid w:val="00CD4532"/>
    <w:rsid w:val="00CD5F54"/>
    <w:rsid w:val="00CD7F12"/>
    <w:rsid w:val="00CE30A4"/>
    <w:rsid w:val="00CE3CED"/>
    <w:rsid w:val="00CE421F"/>
    <w:rsid w:val="00CE7B93"/>
    <w:rsid w:val="00CF3922"/>
    <w:rsid w:val="00CF5559"/>
    <w:rsid w:val="00CF61C2"/>
    <w:rsid w:val="00D022A3"/>
    <w:rsid w:val="00D05D52"/>
    <w:rsid w:val="00D06F1B"/>
    <w:rsid w:val="00D07AAE"/>
    <w:rsid w:val="00D11F61"/>
    <w:rsid w:val="00D124FB"/>
    <w:rsid w:val="00D15602"/>
    <w:rsid w:val="00D16CA9"/>
    <w:rsid w:val="00D203A2"/>
    <w:rsid w:val="00D21A02"/>
    <w:rsid w:val="00D21EAA"/>
    <w:rsid w:val="00D2231E"/>
    <w:rsid w:val="00D30BFD"/>
    <w:rsid w:val="00D324C5"/>
    <w:rsid w:val="00D325B3"/>
    <w:rsid w:val="00D32AC7"/>
    <w:rsid w:val="00D3368A"/>
    <w:rsid w:val="00D35355"/>
    <w:rsid w:val="00D36B88"/>
    <w:rsid w:val="00D3799E"/>
    <w:rsid w:val="00D41518"/>
    <w:rsid w:val="00D44874"/>
    <w:rsid w:val="00D44D37"/>
    <w:rsid w:val="00D47861"/>
    <w:rsid w:val="00D518E3"/>
    <w:rsid w:val="00D51F5F"/>
    <w:rsid w:val="00D52178"/>
    <w:rsid w:val="00D55344"/>
    <w:rsid w:val="00D55622"/>
    <w:rsid w:val="00D55714"/>
    <w:rsid w:val="00D5664B"/>
    <w:rsid w:val="00D63898"/>
    <w:rsid w:val="00D63FB6"/>
    <w:rsid w:val="00D659B2"/>
    <w:rsid w:val="00D65DA5"/>
    <w:rsid w:val="00D66512"/>
    <w:rsid w:val="00D66B9E"/>
    <w:rsid w:val="00D700F1"/>
    <w:rsid w:val="00D70CF7"/>
    <w:rsid w:val="00D71D5A"/>
    <w:rsid w:val="00D721AA"/>
    <w:rsid w:val="00D725FF"/>
    <w:rsid w:val="00D73437"/>
    <w:rsid w:val="00D737D8"/>
    <w:rsid w:val="00D7387A"/>
    <w:rsid w:val="00D73D74"/>
    <w:rsid w:val="00D74272"/>
    <w:rsid w:val="00D74964"/>
    <w:rsid w:val="00D759DA"/>
    <w:rsid w:val="00D76A0B"/>
    <w:rsid w:val="00D81529"/>
    <w:rsid w:val="00D82235"/>
    <w:rsid w:val="00D824AD"/>
    <w:rsid w:val="00D83AA3"/>
    <w:rsid w:val="00D83CD3"/>
    <w:rsid w:val="00D93317"/>
    <w:rsid w:val="00D9354E"/>
    <w:rsid w:val="00D938D4"/>
    <w:rsid w:val="00D94442"/>
    <w:rsid w:val="00D954EA"/>
    <w:rsid w:val="00D9767D"/>
    <w:rsid w:val="00DA1509"/>
    <w:rsid w:val="00DA2012"/>
    <w:rsid w:val="00DA2095"/>
    <w:rsid w:val="00DA2961"/>
    <w:rsid w:val="00DA3906"/>
    <w:rsid w:val="00DA4B31"/>
    <w:rsid w:val="00DA65F5"/>
    <w:rsid w:val="00DA6614"/>
    <w:rsid w:val="00DB04DC"/>
    <w:rsid w:val="00DB4455"/>
    <w:rsid w:val="00DB5D3A"/>
    <w:rsid w:val="00DB68CF"/>
    <w:rsid w:val="00DB69AA"/>
    <w:rsid w:val="00DB76E7"/>
    <w:rsid w:val="00DB7AD5"/>
    <w:rsid w:val="00DB7ADB"/>
    <w:rsid w:val="00DC0DF4"/>
    <w:rsid w:val="00DC1407"/>
    <w:rsid w:val="00DC186B"/>
    <w:rsid w:val="00DC3680"/>
    <w:rsid w:val="00DC624E"/>
    <w:rsid w:val="00DC73F8"/>
    <w:rsid w:val="00DD09D9"/>
    <w:rsid w:val="00DD22E8"/>
    <w:rsid w:val="00DD2438"/>
    <w:rsid w:val="00DD39B3"/>
    <w:rsid w:val="00DE0196"/>
    <w:rsid w:val="00DE40AC"/>
    <w:rsid w:val="00DE58A1"/>
    <w:rsid w:val="00DE70B3"/>
    <w:rsid w:val="00DF0B7F"/>
    <w:rsid w:val="00DF292A"/>
    <w:rsid w:val="00DF293A"/>
    <w:rsid w:val="00DF55E2"/>
    <w:rsid w:val="00DF5662"/>
    <w:rsid w:val="00DF58CB"/>
    <w:rsid w:val="00DF6ACC"/>
    <w:rsid w:val="00DF7441"/>
    <w:rsid w:val="00DF7465"/>
    <w:rsid w:val="00E00408"/>
    <w:rsid w:val="00E017CF"/>
    <w:rsid w:val="00E04A65"/>
    <w:rsid w:val="00E0517F"/>
    <w:rsid w:val="00E05487"/>
    <w:rsid w:val="00E06B12"/>
    <w:rsid w:val="00E071F7"/>
    <w:rsid w:val="00E07E1F"/>
    <w:rsid w:val="00E07E3F"/>
    <w:rsid w:val="00E10E86"/>
    <w:rsid w:val="00E1312C"/>
    <w:rsid w:val="00E1325E"/>
    <w:rsid w:val="00E146FF"/>
    <w:rsid w:val="00E22FE2"/>
    <w:rsid w:val="00E2362E"/>
    <w:rsid w:val="00E24666"/>
    <w:rsid w:val="00E24C6B"/>
    <w:rsid w:val="00E307B0"/>
    <w:rsid w:val="00E312AD"/>
    <w:rsid w:val="00E31CFA"/>
    <w:rsid w:val="00E32950"/>
    <w:rsid w:val="00E32C73"/>
    <w:rsid w:val="00E335BF"/>
    <w:rsid w:val="00E33837"/>
    <w:rsid w:val="00E356A9"/>
    <w:rsid w:val="00E40326"/>
    <w:rsid w:val="00E409A9"/>
    <w:rsid w:val="00E41835"/>
    <w:rsid w:val="00E41A04"/>
    <w:rsid w:val="00E41DF5"/>
    <w:rsid w:val="00E42207"/>
    <w:rsid w:val="00E4467B"/>
    <w:rsid w:val="00E44C22"/>
    <w:rsid w:val="00E45334"/>
    <w:rsid w:val="00E45A16"/>
    <w:rsid w:val="00E46915"/>
    <w:rsid w:val="00E5062B"/>
    <w:rsid w:val="00E6299F"/>
    <w:rsid w:val="00E62C47"/>
    <w:rsid w:val="00E646C7"/>
    <w:rsid w:val="00E67603"/>
    <w:rsid w:val="00E705C8"/>
    <w:rsid w:val="00E71A45"/>
    <w:rsid w:val="00E71A5F"/>
    <w:rsid w:val="00E736EB"/>
    <w:rsid w:val="00E74097"/>
    <w:rsid w:val="00E745B7"/>
    <w:rsid w:val="00E806C8"/>
    <w:rsid w:val="00E81075"/>
    <w:rsid w:val="00E81328"/>
    <w:rsid w:val="00E85D83"/>
    <w:rsid w:val="00E87B27"/>
    <w:rsid w:val="00E87C41"/>
    <w:rsid w:val="00E87E52"/>
    <w:rsid w:val="00E90AEC"/>
    <w:rsid w:val="00E92DB1"/>
    <w:rsid w:val="00E9486D"/>
    <w:rsid w:val="00E97638"/>
    <w:rsid w:val="00EA243E"/>
    <w:rsid w:val="00EA25FC"/>
    <w:rsid w:val="00EA276F"/>
    <w:rsid w:val="00EA40F2"/>
    <w:rsid w:val="00EA48E6"/>
    <w:rsid w:val="00EA49DC"/>
    <w:rsid w:val="00EA5BF5"/>
    <w:rsid w:val="00EB053B"/>
    <w:rsid w:val="00EB18D3"/>
    <w:rsid w:val="00EB1A45"/>
    <w:rsid w:val="00EB1BAC"/>
    <w:rsid w:val="00EB3726"/>
    <w:rsid w:val="00EB3ADC"/>
    <w:rsid w:val="00EB3BB2"/>
    <w:rsid w:val="00EB3FBF"/>
    <w:rsid w:val="00EB4C36"/>
    <w:rsid w:val="00EB4D81"/>
    <w:rsid w:val="00EB59ED"/>
    <w:rsid w:val="00EB6C9B"/>
    <w:rsid w:val="00EC0A08"/>
    <w:rsid w:val="00EC1578"/>
    <w:rsid w:val="00EC3C73"/>
    <w:rsid w:val="00EC61E5"/>
    <w:rsid w:val="00EC644D"/>
    <w:rsid w:val="00EC6E4E"/>
    <w:rsid w:val="00EC6F85"/>
    <w:rsid w:val="00EC6FA3"/>
    <w:rsid w:val="00EC7231"/>
    <w:rsid w:val="00EC77BD"/>
    <w:rsid w:val="00ED034A"/>
    <w:rsid w:val="00ED0F8D"/>
    <w:rsid w:val="00ED3911"/>
    <w:rsid w:val="00ED74C9"/>
    <w:rsid w:val="00ED7F3B"/>
    <w:rsid w:val="00EE3352"/>
    <w:rsid w:val="00EE380D"/>
    <w:rsid w:val="00EE5494"/>
    <w:rsid w:val="00EE71D7"/>
    <w:rsid w:val="00EE789C"/>
    <w:rsid w:val="00EF0D8F"/>
    <w:rsid w:val="00EF33E4"/>
    <w:rsid w:val="00EF3E66"/>
    <w:rsid w:val="00EF3E99"/>
    <w:rsid w:val="00EF3F91"/>
    <w:rsid w:val="00EF562D"/>
    <w:rsid w:val="00EF57B7"/>
    <w:rsid w:val="00F0079A"/>
    <w:rsid w:val="00F046DD"/>
    <w:rsid w:val="00F049C7"/>
    <w:rsid w:val="00F0534A"/>
    <w:rsid w:val="00F05693"/>
    <w:rsid w:val="00F06243"/>
    <w:rsid w:val="00F06878"/>
    <w:rsid w:val="00F100E5"/>
    <w:rsid w:val="00F1069A"/>
    <w:rsid w:val="00F109FB"/>
    <w:rsid w:val="00F10A19"/>
    <w:rsid w:val="00F12018"/>
    <w:rsid w:val="00F145A2"/>
    <w:rsid w:val="00F158F1"/>
    <w:rsid w:val="00F160E1"/>
    <w:rsid w:val="00F174D6"/>
    <w:rsid w:val="00F20776"/>
    <w:rsid w:val="00F209A6"/>
    <w:rsid w:val="00F20F8D"/>
    <w:rsid w:val="00F227B9"/>
    <w:rsid w:val="00F2531F"/>
    <w:rsid w:val="00F25CF5"/>
    <w:rsid w:val="00F267A0"/>
    <w:rsid w:val="00F303CA"/>
    <w:rsid w:val="00F32757"/>
    <w:rsid w:val="00F32F15"/>
    <w:rsid w:val="00F330BA"/>
    <w:rsid w:val="00F333DF"/>
    <w:rsid w:val="00F3426F"/>
    <w:rsid w:val="00F3659D"/>
    <w:rsid w:val="00F366BA"/>
    <w:rsid w:val="00F376C0"/>
    <w:rsid w:val="00F4002E"/>
    <w:rsid w:val="00F40C78"/>
    <w:rsid w:val="00F4135D"/>
    <w:rsid w:val="00F41590"/>
    <w:rsid w:val="00F418E4"/>
    <w:rsid w:val="00F41E3B"/>
    <w:rsid w:val="00F42AB3"/>
    <w:rsid w:val="00F43C08"/>
    <w:rsid w:val="00F45874"/>
    <w:rsid w:val="00F46319"/>
    <w:rsid w:val="00F46E56"/>
    <w:rsid w:val="00F46FF5"/>
    <w:rsid w:val="00F47853"/>
    <w:rsid w:val="00F605AF"/>
    <w:rsid w:val="00F6196F"/>
    <w:rsid w:val="00F64064"/>
    <w:rsid w:val="00F64466"/>
    <w:rsid w:val="00F65BA9"/>
    <w:rsid w:val="00F66E36"/>
    <w:rsid w:val="00F7373C"/>
    <w:rsid w:val="00F738D8"/>
    <w:rsid w:val="00F739FC"/>
    <w:rsid w:val="00F73A94"/>
    <w:rsid w:val="00F73F4E"/>
    <w:rsid w:val="00F751EA"/>
    <w:rsid w:val="00F7702E"/>
    <w:rsid w:val="00F77806"/>
    <w:rsid w:val="00F77E78"/>
    <w:rsid w:val="00F81722"/>
    <w:rsid w:val="00F82A09"/>
    <w:rsid w:val="00F83AE7"/>
    <w:rsid w:val="00F86DB3"/>
    <w:rsid w:val="00F87880"/>
    <w:rsid w:val="00F926D9"/>
    <w:rsid w:val="00F93DFB"/>
    <w:rsid w:val="00F93F9F"/>
    <w:rsid w:val="00F93FF5"/>
    <w:rsid w:val="00F94A47"/>
    <w:rsid w:val="00F95562"/>
    <w:rsid w:val="00F97D6D"/>
    <w:rsid w:val="00FA4BE7"/>
    <w:rsid w:val="00FA5482"/>
    <w:rsid w:val="00FB11AF"/>
    <w:rsid w:val="00FB1D31"/>
    <w:rsid w:val="00FB26F2"/>
    <w:rsid w:val="00FB36B2"/>
    <w:rsid w:val="00FB4E54"/>
    <w:rsid w:val="00FB5494"/>
    <w:rsid w:val="00FB5ED8"/>
    <w:rsid w:val="00FB6708"/>
    <w:rsid w:val="00FB670A"/>
    <w:rsid w:val="00FB7D18"/>
    <w:rsid w:val="00FC0C22"/>
    <w:rsid w:val="00FC190D"/>
    <w:rsid w:val="00FC1AA4"/>
    <w:rsid w:val="00FC211C"/>
    <w:rsid w:val="00FC2693"/>
    <w:rsid w:val="00FC2DE1"/>
    <w:rsid w:val="00FC4CCE"/>
    <w:rsid w:val="00FC6749"/>
    <w:rsid w:val="00FC6794"/>
    <w:rsid w:val="00FD227F"/>
    <w:rsid w:val="00FD2A95"/>
    <w:rsid w:val="00FD2C8E"/>
    <w:rsid w:val="00FD3176"/>
    <w:rsid w:val="00FD37D8"/>
    <w:rsid w:val="00FD49A1"/>
    <w:rsid w:val="00FD6066"/>
    <w:rsid w:val="00FD7578"/>
    <w:rsid w:val="00FE0FB4"/>
    <w:rsid w:val="00FE10F0"/>
    <w:rsid w:val="00FE5DA7"/>
    <w:rsid w:val="00FF193C"/>
    <w:rsid w:val="00FF2EB2"/>
    <w:rsid w:val="00FF5896"/>
    <w:rsid w:val="00FF7E4A"/>
    <w:rsid w:val="01E13A48"/>
    <w:rsid w:val="024725F3"/>
    <w:rsid w:val="02E334FC"/>
    <w:rsid w:val="033F63D9"/>
    <w:rsid w:val="05C93C81"/>
    <w:rsid w:val="06A719C1"/>
    <w:rsid w:val="076577C8"/>
    <w:rsid w:val="0CBD3D6A"/>
    <w:rsid w:val="0CBD4DA7"/>
    <w:rsid w:val="0CD619C5"/>
    <w:rsid w:val="0D6951E5"/>
    <w:rsid w:val="0DD92AC2"/>
    <w:rsid w:val="0E052817"/>
    <w:rsid w:val="1002130E"/>
    <w:rsid w:val="144A24F5"/>
    <w:rsid w:val="158970AB"/>
    <w:rsid w:val="18533C93"/>
    <w:rsid w:val="192C753C"/>
    <w:rsid w:val="1DC31AF1"/>
    <w:rsid w:val="1E311899"/>
    <w:rsid w:val="1EE6343F"/>
    <w:rsid w:val="2047766D"/>
    <w:rsid w:val="244A2F6C"/>
    <w:rsid w:val="24E37283"/>
    <w:rsid w:val="25830E85"/>
    <w:rsid w:val="2A0B6CFA"/>
    <w:rsid w:val="2DE514A9"/>
    <w:rsid w:val="2E4B67D6"/>
    <w:rsid w:val="2F940257"/>
    <w:rsid w:val="2FFF6FBB"/>
    <w:rsid w:val="303577B8"/>
    <w:rsid w:val="30DE3BD2"/>
    <w:rsid w:val="316423EB"/>
    <w:rsid w:val="32212957"/>
    <w:rsid w:val="324D339C"/>
    <w:rsid w:val="34F45A5A"/>
    <w:rsid w:val="390B05B1"/>
    <w:rsid w:val="3AFD268F"/>
    <w:rsid w:val="3E607FDE"/>
    <w:rsid w:val="3EAD0C60"/>
    <w:rsid w:val="40906046"/>
    <w:rsid w:val="41151F5E"/>
    <w:rsid w:val="41DC2C82"/>
    <w:rsid w:val="42051E29"/>
    <w:rsid w:val="44E4041B"/>
    <w:rsid w:val="452B0B93"/>
    <w:rsid w:val="4609638B"/>
    <w:rsid w:val="49374B80"/>
    <w:rsid w:val="4D6B52C9"/>
    <w:rsid w:val="4EBE3A8B"/>
    <w:rsid w:val="4F450881"/>
    <w:rsid w:val="4FF97471"/>
    <w:rsid w:val="52045C59"/>
    <w:rsid w:val="56510263"/>
    <w:rsid w:val="56625F0A"/>
    <w:rsid w:val="56DA5532"/>
    <w:rsid w:val="5BC56459"/>
    <w:rsid w:val="5D3F5F0C"/>
    <w:rsid w:val="60903BBB"/>
    <w:rsid w:val="643B2718"/>
    <w:rsid w:val="656B4CE4"/>
    <w:rsid w:val="67534C3F"/>
    <w:rsid w:val="67D36157"/>
    <w:rsid w:val="6A671F2A"/>
    <w:rsid w:val="6C8C3BA9"/>
    <w:rsid w:val="6E166FE8"/>
    <w:rsid w:val="6E6E73A9"/>
    <w:rsid w:val="6FF2171C"/>
    <w:rsid w:val="71DB6F0E"/>
    <w:rsid w:val="72244ED7"/>
    <w:rsid w:val="73221457"/>
    <w:rsid w:val="769F0779"/>
    <w:rsid w:val="79570BE0"/>
    <w:rsid w:val="7A2F7A4A"/>
    <w:rsid w:val="7A9C0875"/>
    <w:rsid w:val="7AFB611E"/>
    <w:rsid w:val="7BC72595"/>
    <w:rsid w:val="7C952D02"/>
    <w:rsid w:val="7CEC595B"/>
    <w:rsid w:val="7EB16412"/>
    <w:rsid w:val="7FC85E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5CE1457-DEA8-4A30-9A1E-756001D0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bCs/>
      <w:sz w:val="21"/>
      <w:szCs w:val="21"/>
    </w:rPr>
  </w:style>
  <w:style w:type="paragraph" w:styleId="1">
    <w:name w:val="heading 1"/>
    <w:basedOn w:val="a"/>
    <w:next w:val="a"/>
    <w:link w:val="10"/>
    <w:uiPriority w:val="99"/>
    <w:qFormat/>
    <w:pPr>
      <w:keepNext/>
      <w:keepLines/>
      <w:widowControl w:val="0"/>
      <w:spacing w:before="60" w:after="60" w:line="360" w:lineRule="auto"/>
      <w:jc w:val="center"/>
      <w:outlineLvl w:val="0"/>
    </w:pPr>
    <w:rPr>
      <w:rFonts w:ascii="Calibri" w:eastAsia="黑体" w:hAnsi="Calibri" w:cs="Times New Roman"/>
      <w:b/>
      <w:bCs w:val="0"/>
      <w:kern w:val="44"/>
      <w:sz w:val="28"/>
      <w:szCs w:val="44"/>
    </w:rPr>
  </w:style>
  <w:style w:type="paragraph" w:styleId="2">
    <w:name w:val="heading 2"/>
    <w:basedOn w:val="a"/>
    <w:next w:val="a"/>
    <w:link w:val="20"/>
    <w:qFormat/>
    <w:pPr>
      <w:keepNext/>
      <w:keepLines/>
      <w:widowControl w:val="0"/>
      <w:spacing w:before="60" w:after="60"/>
      <w:jc w:val="both"/>
      <w:outlineLvl w:val="1"/>
    </w:pPr>
    <w:rPr>
      <w:rFonts w:ascii="Arial" w:hAnsi="Arial" w:cs="Times New Roman"/>
      <w:b/>
      <w:bCs w:val="0"/>
      <w:kern w:val="2"/>
    </w:rPr>
  </w:style>
  <w:style w:type="paragraph" w:styleId="3">
    <w:name w:val="heading 3"/>
    <w:basedOn w:val="a"/>
    <w:next w:val="a"/>
    <w:link w:val="30"/>
    <w:uiPriority w:val="9"/>
    <w:qFormat/>
    <w:pPr>
      <w:keepNext/>
      <w:keepLines/>
      <w:widowControl w:val="0"/>
      <w:spacing w:before="60" w:after="60"/>
      <w:jc w:val="both"/>
      <w:outlineLvl w:val="2"/>
    </w:pPr>
    <w:rPr>
      <w:rFonts w:ascii="Calibri" w:hAnsi="Calibri" w:cs="Times New Roman"/>
      <w:b/>
      <w:bCs w:val="0"/>
      <w:kern w:val="2"/>
      <w:szCs w:val="32"/>
    </w:rPr>
  </w:style>
  <w:style w:type="paragraph" w:styleId="4">
    <w:name w:val="heading 4"/>
    <w:basedOn w:val="a"/>
    <w:next w:val="a"/>
    <w:link w:val="40"/>
    <w:uiPriority w:val="9"/>
    <w:qFormat/>
    <w:pPr>
      <w:keepNext/>
      <w:keepLines/>
      <w:widowControl w:val="0"/>
      <w:spacing w:before="60" w:after="60"/>
      <w:jc w:val="both"/>
      <w:outlineLvl w:val="3"/>
    </w:pPr>
    <w:rPr>
      <w:rFonts w:ascii="Cambria" w:hAnsi="Cambria" w:cs="Times New Roman"/>
      <w:b/>
      <w:bCs w:val="0"/>
      <w:kern w:val="2"/>
      <w:szCs w:val="28"/>
    </w:rPr>
  </w:style>
  <w:style w:type="paragraph" w:styleId="5">
    <w:name w:val="heading 5"/>
    <w:basedOn w:val="a"/>
    <w:next w:val="a"/>
    <w:link w:val="50"/>
    <w:uiPriority w:val="9"/>
    <w:qFormat/>
    <w:pPr>
      <w:keepNext/>
      <w:keepLines/>
      <w:widowControl w:val="0"/>
      <w:spacing w:before="60" w:after="60"/>
      <w:jc w:val="both"/>
      <w:outlineLvl w:val="4"/>
    </w:pPr>
    <w:rPr>
      <w:rFonts w:ascii="Calibri" w:hAnsi="Calibri" w:cs="Times New Roman"/>
      <w:b/>
      <w:bCs w:val="0"/>
      <w:kern w:val="2"/>
      <w:szCs w:val="28"/>
    </w:rPr>
  </w:style>
  <w:style w:type="paragraph" w:styleId="6">
    <w:name w:val="heading 6"/>
    <w:basedOn w:val="a"/>
    <w:next w:val="a"/>
    <w:link w:val="60"/>
    <w:uiPriority w:val="9"/>
    <w:unhideWhenUsed/>
    <w:qFormat/>
    <w:pPr>
      <w:keepNext/>
      <w:keepLines/>
      <w:spacing w:before="60" w:after="60"/>
      <w:outlineLvl w:val="5"/>
    </w:pPr>
    <w:rPr>
      <w:rFonts w:asciiTheme="majorHAnsi" w:hAnsiTheme="majorHAnsi" w:cstheme="majorBidi"/>
      <w:b/>
      <w:bCs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qFormat/>
    <w:pPr>
      <w:widowControl w:val="0"/>
      <w:jc w:val="center"/>
    </w:pPr>
    <w:rPr>
      <w:rFonts w:ascii="Times New Roman" w:hAnsi="Times New Roman" w:cs="Times New Roman"/>
      <w:kern w:val="2"/>
    </w:rPr>
  </w:style>
  <w:style w:type="paragraph" w:styleId="a5">
    <w:name w:val="Normal Indent"/>
    <w:basedOn w:val="a"/>
    <w:qFormat/>
    <w:pPr>
      <w:widowControl w:val="0"/>
      <w:ind w:firstLineChars="200" w:firstLine="420"/>
      <w:jc w:val="both"/>
    </w:pPr>
    <w:rPr>
      <w:rFonts w:ascii="Times New Roman" w:hAnsi="Times New Roman" w:cs="Times New Roman"/>
      <w:kern w:val="2"/>
    </w:rPr>
  </w:style>
  <w:style w:type="paragraph" w:styleId="a6">
    <w:name w:val="annotation text"/>
    <w:basedOn w:val="a"/>
    <w:link w:val="a7"/>
    <w:qFormat/>
  </w:style>
  <w:style w:type="paragraph" w:styleId="a8">
    <w:name w:val="Salutation"/>
    <w:basedOn w:val="a"/>
    <w:next w:val="a"/>
    <w:link w:val="a9"/>
    <w:uiPriority w:val="99"/>
    <w:qFormat/>
    <w:pPr>
      <w:widowControl w:val="0"/>
      <w:jc w:val="both"/>
    </w:pPr>
    <w:rPr>
      <w:rFonts w:ascii="Times New Roman" w:hAnsi="Times New Roman" w:cs="Times New Roman"/>
      <w:kern w:val="2"/>
    </w:rPr>
  </w:style>
  <w:style w:type="paragraph" w:styleId="aa">
    <w:name w:val="Plain Text"/>
    <w:basedOn w:val="a"/>
    <w:link w:val="ab"/>
    <w:qFormat/>
    <w:pPr>
      <w:widowControl w:val="0"/>
      <w:jc w:val="both"/>
    </w:pPr>
    <w:rPr>
      <w:rFonts w:ascii="Times New Roman" w:hAnsi="Courier New" w:cs="Times New Roman"/>
      <w:kern w:val="2"/>
      <w:szCs w:val="20"/>
    </w:rPr>
  </w:style>
  <w:style w:type="paragraph" w:styleId="ac">
    <w:name w:val="Balloon Text"/>
    <w:basedOn w:val="a"/>
    <w:link w:val="ad"/>
    <w:uiPriority w:val="99"/>
    <w:unhideWhenUsed/>
    <w:qFormat/>
    <w:rPr>
      <w:sz w:val="18"/>
      <w:szCs w:val="18"/>
    </w:rPr>
  </w:style>
  <w:style w:type="paragraph" w:styleId="ae">
    <w:name w:val="footer"/>
    <w:basedOn w:val="a"/>
    <w:link w:val="af"/>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styleId="af0">
    <w:name w:val="header"/>
    <w:basedOn w:val="a"/>
    <w:link w:val="af1"/>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11">
    <w:name w:val="toc 1"/>
    <w:basedOn w:val="a"/>
    <w:next w:val="a"/>
    <w:autoRedefine/>
    <w:uiPriority w:val="39"/>
    <w:qFormat/>
    <w:pPr>
      <w:spacing w:line="360" w:lineRule="auto"/>
      <w:ind w:left="200" w:hangingChars="200" w:hanging="200"/>
    </w:pPr>
    <w:rPr>
      <w:rFonts w:ascii="Times New Roman" w:hAnsi="Times New Roman" w:cstheme="minorHAnsi"/>
      <w:b/>
      <w:caps/>
      <w:szCs w:val="20"/>
    </w:rPr>
  </w:style>
  <w:style w:type="paragraph" w:styleId="61">
    <w:name w:val="toc 6"/>
    <w:basedOn w:val="a"/>
    <w:next w:val="a"/>
    <w:autoRedefine/>
    <w:uiPriority w:val="39"/>
    <w:unhideWhenUsed/>
    <w:qFormat/>
    <w:pPr>
      <w:ind w:left="1050"/>
    </w:pPr>
    <w:rPr>
      <w:rFonts w:asciiTheme="minorHAnsi" w:hAnsiTheme="minorHAnsi" w:cstheme="minorHAnsi"/>
      <w:bCs w:val="0"/>
      <w:sz w:val="18"/>
      <w:szCs w:val="18"/>
    </w:rPr>
  </w:style>
  <w:style w:type="paragraph" w:styleId="af2">
    <w:name w:val="Normal (Web)"/>
    <w:basedOn w:val="a"/>
    <w:uiPriority w:val="99"/>
    <w:qFormat/>
    <w:pPr>
      <w:spacing w:before="100" w:beforeAutospacing="1" w:after="100" w:afterAutospacing="1"/>
    </w:pPr>
    <w:rPr>
      <w:rFonts w:ascii="Times New Roman" w:hAnsi="Times New Roman"/>
      <w:sz w:val="24"/>
    </w:rPr>
  </w:style>
  <w:style w:type="paragraph" w:styleId="af3">
    <w:name w:val="annotation subject"/>
    <w:basedOn w:val="a6"/>
    <w:next w:val="a6"/>
    <w:link w:val="af4"/>
    <w:uiPriority w:val="99"/>
    <w:unhideWhenUsed/>
    <w:qFormat/>
    <w:rPr>
      <w:b/>
    </w:rPr>
  </w:style>
  <w:style w:type="table" w:styleId="af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link w:val="Style47"/>
    <w:qFormat/>
    <w:rPr>
      <w:b/>
    </w:rPr>
  </w:style>
  <w:style w:type="paragraph" w:customStyle="1" w:styleId="Style47">
    <w:name w:val="_Style 47"/>
    <w:basedOn w:val="Style43"/>
    <w:link w:val="af6"/>
    <w:uiPriority w:val="9"/>
    <w:qFormat/>
    <w:pPr>
      <w:keepNext/>
      <w:keepLines/>
      <w:widowControl w:val="0"/>
      <w:spacing w:before="60" w:after="60"/>
      <w:jc w:val="both"/>
      <w:outlineLvl w:val="3"/>
    </w:pPr>
    <w:rPr>
      <w:rFonts w:ascii="Cambria" w:hAnsi="Cambria"/>
      <w:b/>
      <w:bCs/>
      <w:kern w:val="2"/>
      <w:szCs w:val="28"/>
    </w:rPr>
  </w:style>
  <w:style w:type="paragraph" w:customStyle="1" w:styleId="Style43">
    <w:name w:val="_Style 43"/>
    <w:qFormat/>
  </w:style>
  <w:style w:type="character" w:styleId="af7">
    <w:name w:val="Hyperlink"/>
    <w:basedOn w:val="a0"/>
    <w:uiPriority w:val="99"/>
    <w:qFormat/>
    <w:rPr>
      <w:color w:val="0000FF" w:themeColor="hyperlink"/>
      <w:u w:val="single"/>
    </w:rPr>
  </w:style>
  <w:style w:type="character" w:styleId="af8">
    <w:name w:val="annotation reference"/>
    <w:basedOn w:val="a0"/>
    <w:uiPriority w:val="99"/>
    <w:qFormat/>
    <w:rPr>
      <w:sz w:val="21"/>
      <w:szCs w:val="21"/>
    </w:rPr>
  </w:style>
  <w:style w:type="character" w:customStyle="1" w:styleId="10">
    <w:name w:val="标题 1 字符"/>
    <w:basedOn w:val="a0"/>
    <w:link w:val="1"/>
    <w:uiPriority w:val="99"/>
    <w:qFormat/>
    <w:rPr>
      <w:rFonts w:eastAsia="黑体"/>
      <w:b/>
      <w:kern w:val="44"/>
      <w:sz w:val="28"/>
      <w:szCs w:val="44"/>
    </w:rPr>
  </w:style>
  <w:style w:type="character" w:customStyle="1" w:styleId="20">
    <w:name w:val="标题 2 字符"/>
    <w:basedOn w:val="a0"/>
    <w:link w:val="2"/>
    <w:qFormat/>
    <w:rPr>
      <w:rFonts w:ascii="Arial" w:hAnsi="Arial" w:cs="Times New Roman"/>
      <w:b/>
      <w:kern w:val="2"/>
    </w:rPr>
  </w:style>
  <w:style w:type="character" w:customStyle="1" w:styleId="30">
    <w:name w:val="标题 3 字符"/>
    <w:basedOn w:val="a0"/>
    <w:link w:val="3"/>
    <w:uiPriority w:val="9"/>
    <w:qFormat/>
    <w:rPr>
      <w:b/>
      <w:kern w:val="2"/>
      <w:sz w:val="21"/>
      <w:szCs w:val="32"/>
    </w:rPr>
  </w:style>
  <w:style w:type="character" w:customStyle="1" w:styleId="40">
    <w:name w:val="标题 4 字符"/>
    <w:basedOn w:val="a0"/>
    <w:link w:val="4"/>
    <w:uiPriority w:val="9"/>
    <w:qFormat/>
    <w:rPr>
      <w:rFonts w:ascii="Cambria" w:hAnsi="Cambria"/>
      <w:b/>
      <w:kern w:val="2"/>
      <w:sz w:val="21"/>
      <w:szCs w:val="28"/>
    </w:rPr>
  </w:style>
  <w:style w:type="character" w:customStyle="1" w:styleId="50">
    <w:name w:val="标题 5 字符"/>
    <w:basedOn w:val="a0"/>
    <w:link w:val="5"/>
    <w:uiPriority w:val="9"/>
    <w:qFormat/>
    <w:rPr>
      <w:b/>
      <w:kern w:val="2"/>
      <w:sz w:val="21"/>
      <w:szCs w:val="28"/>
    </w:rPr>
  </w:style>
  <w:style w:type="character" w:customStyle="1" w:styleId="a9">
    <w:name w:val="称呼 字符"/>
    <w:basedOn w:val="a0"/>
    <w:link w:val="a8"/>
    <w:uiPriority w:val="99"/>
    <w:qFormat/>
    <w:rPr>
      <w:rFonts w:ascii="Times New Roman" w:eastAsia="宋体" w:hAnsi="Times New Roman" w:cs="Times New Roman"/>
      <w:szCs w:val="21"/>
    </w:rPr>
  </w:style>
  <w:style w:type="character" w:customStyle="1" w:styleId="af1">
    <w:name w:val="页眉 字符"/>
    <w:basedOn w:val="a0"/>
    <w:link w:val="af0"/>
    <w:uiPriority w:val="99"/>
    <w:qFormat/>
    <w:rPr>
      <w:rFonts w:ascii="Calibri" w:eastAsia="宋体" w:hAnsi="Calibri" w:cs="Times New Roman"/>
      <w:sz w:val="18"/>
      <w:szCs w:val="18"/>
    </w:rPr>
  </w:style>
  <w:style w:type="character" w:customStyle="1" w:styleId="af">
    <w:name w:val="页脚 字符"/>
    <w:basedOn w:val="a0"/>
    <w:link w:val="ae"/>
    <w:uiPriority w:val="99"/>
    <w:qFormat/>
    <w:rPr>
      <w:rFonts w:ascii="Calibri" w:eastAsia="宋体" w:hAnsi="Calibri" w:cs="Times New Roman"/>
      <w:sz w:val="18"/>
      <w:szCs w:val="18"/>
    </w:rPr>
  </w:style>
  <w:style w:type="character" w:customStyle="1" w:styleId="ab">
    <w:name w:val="纯文本 字符"/>
    <w:basedOn w:val="a0"/>
    <w:link w:val="aa"/>
    <w:qFormat/>
    <w:rPr>
      <w:rFonts w:ascii="宋体" w:eastAsia="宋体" w:hAnsi="Courier New" w:cs="Times New Roman"/>
      <w:szCs w:val="20"/>
    </w:rPr>
  </w:style>
  <w:style w:type="character" w:customStyle="1" w:styleId="a4">
    <w:name w:val="注释标题 字符"/>
    <w:basedOn w:val="a0"/>
    <w:link w:val="a3"/>
    <w:uiPriority w:val="99"/>
    <w:qFormat/>
    <w:rPr>
      <w:rFonts w:ascii="Times New Roman" w:eastAsia="宋体" w:hAnsi="Times New Roman" w:cs="Times New Roman"/>
      <w:szCs w:val="21"/>
    </w:rPr>
  </w:style>
  <w:style w:type="character" w:customStyle="1" w:styleId="Char">
    <w:name w:val="正文的样式 Char"/>
    <w:basedOn w:val="a0"/>
    <w:link w:val="af9"/>
    <w:qFormat/>
    <w:rPr>
      <w:kern w:val="2"/>
      <w:sz w:val="21"/>
      <w:szCs w:val="24"/>
    </w:rPr>
  </w:style>
  <w:style w:type="paragraph" w:customStyle="1" w:styleId="af9">
    <w:name w:val="正文的样式"/>
    <w:basedOn w:val="a"/>
    <w:link w:val="Char"/>
    <w:qFormat/>
    <w:pPr>
      <w:widowControl w:val="0"/>
      <w:spacing w:before="100" w:after="100"/>
      <w:jc w:val="both"/>
    </w:pPr>
    <w:rPr>
      <w:rFonts w:ascii="Calibri" w:hAnsi="Calibri" w:cs="Times New Roman"/>
      <w:kern w:val="2"/>
    </w:rPr>
  </w:style>
  <w:style w:type="paragraph" w:styleId="afa">
    <w:name w:val="No Spacing"/>
    <w:uiPriority w:val="1"/>
    <w:qFormat/>
    <w:pPr>
      <w:widowControl w:val="0"/>
      <w:jc w:val="both"/>
    </w:pPr>
    <w:rPr>
      <w:rFonts w:cs="宋体"/>
      <w:bCs/>
      <w:kern w:val="2"/>
      <w:sz w:val="21"/>
      <w:szCs w:val="22"/>
    </w:rPr>
  </w:style>
  <w:style w:type="character" w:customStyle="1" w:styleId="60">
    <w:name w:val="标题 6 字符"/>
    <w:basedOn w:val="a0"/>
    <w:link w:val="6"/>
    <w:uiPriority w:val="9"/>
    <w:qFormat/>
    <w:rPr>
      <w:rFonts w:asciiTheme="majorHAnsi" w:hAnsiTheme="majorHAnsi" w:cstheme="majorBidi"/>
      <w:b/>
      <w:sz w:val="21"/>
      <w:szCs w:val="24"/>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12">
    <w:name w:val="正文1"/>
    <w:qFormat/>
    <w:pPr>
      <w:jc w:val="both"/>
    </w:pPr>
    <w:rPr>
      <w:kern w:val="2"/>
      <w:sz w:val="21"/>
      <w:szCs w:val="21"/>
    </w:rPr>
  </w:style>
  <w:style w:type="paragraph" w:customStyle="1" w:styleId="Style99">
    <w:name w:val="_Style 99"/>
    <w:basedOn w:val="a"/>
    <w:qFormat/>
    <w:pPr>
      <w:jc w:val="both"/>
    </w:pPr>
    <w:rPr>
      <w:rFonts w:ascii="Times New Roman" w:hAnsi="Times New Roman" w:cs="Times New Roman"/>
      <w:bCs w:val="0"/>
      <w:kern w:val="2"/>
    </w:rPr>
  </w:style>
  <w:style w:type="paragraph" w:customStyle="1" w:styleId="afb">
    <w:name w:val="年报正文"/>
    <w:basedOn w:val="a"/>
    <w:qFormat/>
    <w:pPr>
      <w:widowControl w:val="0"/>
      <w:spacing w:beforeLines="50" w:after="100" w:afterAutospacing="1" w:line="360" w:lineRule="auto"/>
      <w:ind w:firstLineChars="200" w:firstLine="480"/>
      <w:jc w:val="both"/>
    </w:pPr>
    <w:rPr>
      <w:bCs w:val="0"/>
    </w:rPr>
  </w:style>
  <w:style w:type="paragraph" w:customStyle="1" w:styleId="21">
    <w:name w:val="正文2"/>
    <w:qFormat/>
    <w:pPr>
      <w:jc w:val="both"/>
    </w:pPr>
    <w:rPr>
      <w:kern w:val="2"/>
      <w:sz w:val="21"/>
      <w:szCs w:val="21"/>
    </w:rPr>
  </w:style>
  <w:style w:type="table" w:customStyle="1" w:styleId="g8">
    <w:name w:val="g8"/>
    <w:basedOn w:val="a1"/>
    <w:semiHidden/>
    <w:qFormat/>
    <w:rPr>
      <w:rFonts w:ascii="Calibri" w:eastAsia="Times New Roman" w:hAnsi="Calibri" w:cs="Calibri"/>
    </w:rPr>
    <w:tblPr/>
  </w:style>
  <w:style w:type="table" w:customStyle="1" w:styleId="g2">
    <w:name w:val="g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4">
    <w:name w:val="g4"/>
    <w:uiPriority w:val="99"/>
    <w:semiHidden/>
    <w:unhideWhenUsed/>
    <w:qFormat/>
    <w:rPr>
      <w:bCs/>
    </w:rPr>
    <w:tblPr>
      <w:tblCellMar>
        <w:top w:w="0" w:type="dxa"/>
        <w:left w:w="108" w:type="dxa"/>
        <w:bottom w:w="0" w:type="dxa"/>
        <w:right w:w="108" w:type="dxa"/>
      </w:tblCellMar>
    </w:tblPr>
  </w:style>
  <w:style w:type="table" w:customStyle="1" w:styleId="g5">
    <w:name w:val="g5"/>
    <w:uiPriority w:val="99"/>
    <w:semiHidden/>
    <w:unhideWhenUsed/>
    <w:qFormat/>
    <w:tblPr>
      <w:tblCellMar>
        <w:top w:w="0" w:type="dxa"/>
        <w:left w:w="108" w:type="dxa"/>
        <w:bottom w:w="0" w:type="dxa"/>
        <w:right w:w="108" w:type="dxa"/>
      </w:tblCellMar>
    </w:tblPr>
  </w:style>
  <w:style w:type="paragraph" w:customStyle="1" w:styleId="afc">
    <w:name w:val="正文缩进 字符"/>
    <w:basedOn w:val="Style43"/>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2CharCharChar">
    <w:name w:val="标题 2 Char Char Char"/>
    <w:basedOn w:val="Style43"/>
    <w:qFormat/>
    <w:pPr>
      <w:keepNext/>
      <w:keepLines/>
      <w:widowControl w:val="0"/>
      <w:spacing w:before="60" w:after="60"/>
      <w:jc w:val="both"/>
      <w:outlineLvl w:val="1"/>
    </w:pPr>
    <w:rPr>
      <w:rFonts w:ascii="Arial" w:hAnsi="Arial"/>
      <w:b/>
      <w:bCs/>
      <w:kern w:val="2"/>
    </w:rPr>
  </w:style>
  <w:style w:type="paragraph" w:customStyle="1" w:styleId="TOC6">
    <w:name w:val="TOC 6 字符"/>
    <w:basedOn w:val="Style43"/>
    <w:uiPriority w:val="9"/>
    <w:qFormat/>
    <w:pPr>
      <w:keepNext/>
      <w:keepLines/>
      <w:widowControl w:val="0"/>
      <w:spacing w:before="60" w:after="60"/>
      <w:jc w:val="both"/>
      <w:outlineLvl w:val="2"/>
    </w:pPr>
    <w:rPr>
      <w:rFonts w:ascii="Calibri" w:hAnsi="Calibri"/>
      <w:b/>
      <w:bCs/>
      <w:kern w:val="2"/>
      <w:szCs w:val="32"/>
    </w:rPr>
  </w:style>
  <w:style w:type="paragraph" w:customStyle="1" w:styleId="Style48">
    <w:name w:val="_Style 48"/>
    <w:basedOn w:val="Style43"/>
    <w:uiPriority w:val="9"/>
    <w:qFormat/>
    <w:pPr>
      <w:keepNext/>
      <w:keepLines/>
      <w:widowControl w:val="0"/>
      <w:spacing w:before="60" w:after="60"/>
      <w:jc w:val="both"/>
      <w:outlineLvl w:val="4"/>
    </w:pPr>
    <w:rPr>
      <w:rFonts w:ascii="Calibri" w:hAnsi="Calibri"/>
      <w:b/>
      <w:bCs/>
      <w:kern w:val="2"/>
      <w:szCs w:val="28"/>
    </w:rPr>
  </w:style>
  <w:style w:type="paragraph" w:customStyle="1" w:styleId="Style49">
    <w:name w:val="_Style 49"/>
    <w:basedOn w:val="Style43"/>
    <w:uiPriority w:val="9"/>
    <w:unhideWhenUsed/>
    <w:qFormat/>
    <w:pPr>
      <w:keepNext/>
      <w:keepLines/>
      <w:spacing w:before="60" w:after="60"/>
      <w:outlineLvl w:val="5"/>
    </w:pPr>
    <w:rPr>
      <w:rFonts w:asciiTheme="majorHAnsi" w:hAnsiTheme="majorHAnsi" w:cstheme="majorBidi"/>
      <w:b/>
      <w:bCs/>
    </w:rPr>
  </w:style>
  <w:style w:type="paragraph" w:customStyle="1" w:styleId="Style50">
    <w:name w:val="_Style 50"/>
    <w:basedOn w:val="Style43"/>
    <w:uiPriority w:val="9"/>
    <w:unhideWhenUsed/>
    <w:qFormat/>
    <w:pPr>
      <w:keepNext/>
      <w:keepLines/>
      <w:spacing w:before="240" w:after="64" w:line="320" w:lineRule="auto"/>
      <w:outlineLvl w:val="6"/>
    </w:pPr>
    <w:rPr>
      <w:b/>
      <w:bCs/>
      <w:sz w:val="24"/>
    </w:rPr>
  </w:style>
  <w:style w:type="character" w:customStyle="1" w:styleId="Style51">
    <w:name w:val="_Style 51"/>
    <w:uiPriority w:val="1"/>
    <w:semiHidden/>
    <w:unhideWhenUsed/>
    <w:qFormat/>
  </w:style>
  <w:style w:type="table" w:customStyle="1" w:styleId="Style52">
    <w:name w:val="_Style 52"/>
    <w:uiPriority w:val="99"/>
    <w:semiHidden/>
    <w:unhideWhenUsed/>
    <w:qFormat/>
    <w:tblPr>
      <w:tblCellMar>
        <w:top w:w="0" w:type="dxa"/>
        <w:left w:w="108" w:type="dxa"/>
        <w:bottom w:w="0" w:type="dxa"/>
        <w:right w:w="108" w:type="dxa"/>
      </w:tblCellMar>
    </w:tblPr>
  </w:style>
  <w:style w:type="character" w:customStyle="1" w:styleId="Style53">
    <w:name w:val="_Style 53"/>
    <w:basedOn w:val="Style51"/>
    <w:uiPriority w:val="99"/>
    <w:qFormat/>
    <w:rPr>
      <w:rFonts w:eastAsia="黑体"/>
      <w:b/>
      <w:bCs/>
      <w:kern w:val="44"/>
      <w:sz w:val="28"/>
      <w:szCs w:val="44"/>
    </w:rPr>
  </w:style>
  <w:style w:type="character" w:customStyle="1" w:styleId="2CharCharChar0">
    <w:name w:val="标题 2 Char Char Char 字符"/>
    <w:basedOn w:val="Style51"/>
    <w:qFormat/>
    <w:rPr>
      <w:rFonts w:ascii="Arial" w:hAnsi="Arial" w:cs="Times New Roman"/>
      <w:b/>
      <w:bCs/>
      <w:kern w:val="2"/>
    </w:rPr>
  </w:style>
  <w:style w:type="character" w:customStyle="1" w:styleId="Style55">
    <w:name w:val="_Style 55"/>
    <w:basedOn w:val="Style51"/>
    <w:uiPriority w:val="9"/>
    <w:qFormat/>
    <w:rPr>
      <w:b/>
      <w:bCs/>
      <w:kern w:val="2"/>
      <w:sz w:val="21"/>
      <w:szCs w:val="32"/>
    </w:rPr>
  </w:style>
  <w:style w:type="character" w:customStyle="1" w:styleId="Style56">
    <w:name w:val="_Style 56"/>
    <w:basedOn w:val="Style51"/>
    <w:uiPriority w:val="9"/>
    <w:qFormat/>
    <w:rPr>
      <w:rFonts w:ascii="Cambria" w:hAnsi="Cambria"/>
      <w:b/>
      <w:bCs/>
      <w:kern w:val="2"/>
      <w:sz w:val="21"/>
      <w:szCs w:val="28"/>
    </w:rPr>
  </w:style>
  <w:style w:type="character" w:customStyle="1" w:styleId="Style57">
    <w:name w:val="_Style 57"/>
    <w:basedOn w:val="Style51"/>
    <w:uiPriority w:val="9"/>
    <w:qFormat/>
    <w:rPr>
      <w:b/>
      <w:bCs/>
      <w:kern w:val="2"/>
      <w:sz w:val="21"/>
      <w:szCs w:val="28"/>
    </w:rPr>
  </w:style>
  <w:style w:type="paragraph" w:customStyle="1" w:styleId="Style58">
    <w:name w:val="_Style 58"/>
    <w:basedOn w:val="afc"/>
    <w:uiPriority w:val="39"/>
    <w:qFormat/>
    <w:pPr>
      <w:widowControl/>
      <w:spacing w:before="480" w:after="0" w:line="276" w:lineRule="auto"/>
      <w:outlineLvl w:val="9"/>
    </w:pPr>
    <w:rPr>
      <w:rFonts w:ascii="Cambria" w:eastAsia="宋体" w:hAnsi="Cambria"/>
      <w:color w:val="365F91"/>
      <w:kern w:val="0"/>
      <w:szCs w:val="28"/>
    </w:rPr>
  </w:style>
  <w:style w:type="paragraph" w:customStyle="1" w:styleId="Style59">
    <w:name w:val="_Style 59"/>
    <w:basedOn w:val="Style43"/>
    <w:autoRedefine/>
    <w:uiPriority w:val="39"/>
    <w:qFormat/>
    <w:pPr>
      <w:spacing w:line="360" w:lineRule="auto"/>
      <w:ind w:left="200" w:hangingChars="200" w:hanging="200"/>
    </w:pPr>
    <w:rPr>
      <w:rFonts w:cstheme="minorHAnsi"/>
      <w:b/>
      <w:caps/>
    </w:rPr>
  </w:style>
  <w:style w:type="paragraph" w:customStyle="1" w:styleId="Style60">
    <w:name w:val="_Style 60"/>
    <w:basedOn w:val="Style43"/>
    <w:autoRedefine/>
    <w:uiPriority w:val="39"/>
    <w:qFormat/>
    <w:pPr>
      <w:ind w:left="210"/>
    </w:pPr>
    <w:rPr>
      <w:rFonts w:asciiTheme="minorHAnsi" w:hAnsiTheme="minorHAnsi" w:cstheme="minorHAnsi"/>
      <w:bCs/>
      <w:smallCaps/>
    </w:rPr>
  </w:style>
  <w:style w:type="character" w:customStyle="1" w:styleId="Style61">
    <w:name w:val="_Style 61"/>
    <w:basedOn w:val="Style51"/>
    <w:uiPriority w:val="99"/>
    <w:qFormat/>
    <w:rPr>
      <w:rFonts w:cs="Times New Roman"/>
      <w:color w:val="0000FF"/>
      <w:u w:val="single"/>
    </w:rPr>
  </w:style>
  <w:style w:type="character" w:customStyle="1" w:styleId="Style62">
    <w:name w:val="_Style 62"/>
    <w:basedOn w:val="Style51"/>
    <w:uiPriority w:val="99"/>
    <w:qFormat/>
    <w:rPr>
      <w:rFonts w:eastAsia="宋体" w:cs="Times New Roman"/>
      <w:kern w:val="2"/>
      <w:sz w:val="21"/>
      <w:szCs w:val="21"/>
      <w:lang w:val="en-US" w:eastAsia="zh-CN" w:bidi="ar-SA"/>
    </w:rPr>
  </w:style>
  <w:style w:type="paragraph" w:customStyle="1" w:styleId="Style63">
    <w:name w:val="_Style 63"/>
    <w:basedOn w:val="Style43"/>
    <w:qFormat/>
    <w:pPr>
      <w:widowControl w:val="0"/>
    </w:pPr>
    <w:rPr>
      <w:kern w:val="2"/>
    </w:rPr>
  </w:style>
  <w:style w:type="character" w:customStyle="1" w:styleId="Style64">
    <w:name w:val="_Style 64"/>
    <w:basedOn w:val="Style51"/>
    <w:qFormat/>
    <w:rPr>
      <w:rFonts w:ascii="Times New Roman" w:eastAsia="宋体" w:hAnsi="Times New Roman" w:cs="Times New Roman"/>
      <w:szCs w:val="21"/>
    </w:rPr>
  </w:style>
  <w:style w:type="table" w:customStyle="1" w:styleId="Style65">
    <w:name w:val="_Style 65"/>
    <w:basedOn w:val="Style5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6">
    <w:name w:val="_Style 66"/>
    <w:basedOn w:val="Style43"/>
    <w:uiPriority w:val="99"/>
    <w:unhideWhenUsed/>
    <w:qFormat/>
    <w:pPr>
      <w:widowControl w:val="0"/>
      <w:jc w:val="both"/>
    </w:pPr>
    <w:rPr>
      <w:rFonts w:ascii="Calibri" w:hAnsi="Calibri"/>
      <w:kern w:val="2"/>
      <w:sz w:val="18"/>
      <w:szCs w:val="18"/>
    </w:rPr>
  </w:style>
  <w:style w:type="character" w:customStyle="1" w:styleId="Style67">
    <w:name w:val="_Style 67"/>
    <w:basedOn w:val="Style51"/>
    <w:uiPriority w:val="99"/>
    <w:qFormat/>
    <w:rPr>
      <w:rFonts w:ascii="Calibri" w:eastAsia="宋体" w:hAnsi="Calibri" w:cs="Times New Roman"/>
      <w:sz w:val="18"/>
      <w:szCs w:val="18"/>
    </w:rPr>
  </w:style>
  <w:style w:type="paragraph" w:customStyle="1" w:styleId="Style68">
    <w:name w:val="_Style 68"/>
    <w:basedOn w:val="Style43"/>
    <w:uiPriority w:val="99"/>
    <w:qFormat/>
    <w:pPr>
      <w:widowControl w:val="0"/>
      <w:jc w:val="both"/>
    </w:pPr>
    <w:rPr>
      <w:kern w:val="2"/>
    </w:rPr>
  </w:style>
  <w:style w:type="character" w:customStyle="1" w:styleId="Style69">
    <w:name w:val="_Style 69"/>
    <w:basedOn w:val="Style51"/>
    <w:uiPriority w:val="99"/>
    <w:qFormat/>
    <w:rPr>
      <w:rFonts w:ascii="Times New Roman" w:eastAsia="宋体" w:hAnsi="Times New Roman" w:cs="Times New Roman"/>
      <w:szCs w:val="21"/>
    </w:rPr>
  </w:style>
  <w:style w:type="character" w:customStyle="1" w:styleId="Style70">
    <w:name w:val="_Style 70"/>
    <w:basedOn w:val="Style51"/>
    <w:uiPriority w:val="99"/>
    <w:qFormat/>
    <w:rPr>
      <w:rFonts w:eastAsia="宋体" w:cs="Times New Roman"/>
      <w:color w:val="FF0000"/>
      <w:kern w:val="2"/>
      <w:sz w:val="24"/>
      <w:szCs w:val="24"/>
      <w:lang w:val="en-US" w:eastAsia="zh-CN" w:bidi="ar-SA"/>
    </w:rPr>
  </w:style>
  <w:style w:type="paragraph" w:customStyle="1" w:styleId="Style71">
    <w:name w:val="_Style 71"/>
    <w:basedOn w:val="Style43"/>
    <w:uiPriority w:val="99"/>
    <w:qFormat/>
    <w:pPr>
      <w:spacing w:before="100" w:after="100"/>
      <w:jc w:val="right"/>
    </w:pPr>
    <w:rPr>
      <w:rFonts w:ascii="Arial Unicode MS" w:eastAsia="Arial Unicode MS"/>
      <w:sz w:val="18"/>
      <w:szCs w:val="18"/>
    </w:rPr>
  </w:style>
  <w:style w:type="paragraph" w:customStyle="1" w:styleId="Style72">
    <w:name w:val="_Style 72"/>
    <w:basedOn w:val="Style43"/>
    <w:uiPriority w:val="34"/>
    <w:qFormat/>
    <w:pPr>
      <w:widowControl w:val="0"/>
      <w:ind w:firstLineChars="200" w:firstLine="420"/>
      <w:jc w:val="both"/>
    </w:pPr>
    <w:rPr>
      <w:rFonts w:ascii="Calibri" w:hAnsi="Calibri"/>
      <w:kern w:val="2"/>
      <w:szCs w:val="22"/>
    </w:rPr>
  </w:style>
  <w:style w:type="character" w:customStyle="1" w:styleId="Style73">
    <w:name w:val="_Style 73"/>
    <w:basedOn w:val="Style64"/>
    <w:uiPriority w:val="99"/>
    <w:qFormat/>
    <w:rPr>
      <w:rFonts w:ascii="Calibri" w:eastAsia="宋体" w:hAnsi="Calibri" w:cs="Times New Roman"/>
      <w:b/>
      <w:bCs/>
      <w:szCs w:val="21"/>
    </w:rPr>
  </w:style>
  <w:style w:type="paragraph" w:customStyle="1" w:styleId="Style74">
    <w:name w:val="_Style 74"/>
    <w:basedOn w:val="Style63"/>
    <w:uiPriority w:val="99"/>
    <w:unhideWhenUsed/>
    <w:qFormat/>
    <w:rPr>
      <w:rFonts w:ascii="Calibri" w:hAnsi="Calibri"/>
      <w:b/>
      <w:bCs/>
      <w:szCs w:val="22"/>
    </w:rPr>
  </w:style>
  <w:style w:type="paragraph" w:customStyle="1" w:styleId="Style75">
    <w:name w:val="_Style 75"/>
    <w:basedOn w:val="Style43"/>
    <w:autoRedefine/>
    <w:uiPriority w:val="39"/>
    <w:unhideWhenUsed/>
    <w:qFormat/>
    <w:pPr>
      <w:ind w:left="420"/>
    </w:pPr>
    <w:rPr>
      <w:rFonts w:asciiTheme="minorHAnsi" w:hAnsiTheme="minorHAnsi" w:cstheme="minorHAnsi"/>
      <w:bCs/>
      <w:i/>
      <w:iCs/>
    </w:rPr>
  </w:style>
  <w:style w:type="paragraph" w:customStyle="1" w:styleId="Style76">
    <w:name w:val="_Style 76"/>
    <w:basedOn w:val="Style43"/>
    <w:uiPriority w:val="99"/>
    <w:unhideWhenUsed/>
    <w:qFormat/>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Style77">
    <w:name w:val="_Style 77"/>
    <w:basedOn w:val="Style51"/>
    <w:uiPriority w:val="99"/>
    <w:qFormat/>
    <w:rPr>
      <w:rFonts w:ascii="Calibri" w:eastAsia="宋体" w:hAnsi="Calibri" w:cs="Times New Roman"/>
      <w:sz w:val="18"/>
      <w:szCs w:val="18"/>
    </w:rPr>
  </w:style>
  <w:style w:type="paragraph" w:customStyle="1" w:styleId="Style78">
    <w:name w:val="_Style 78"/>
    <w:basedOn w:val="Style43"/>
    <w:uiPriority w:val="99"/>
    <w:unhideWhenUsed/>
    <w:qFormat/>
    <w:pPr>
      <w:widowControl w:val="0"/>
      <w:tabs>
        <w:tab w:val="center" w:pos="4153"/>
        <w:tab w:val="right" w:pos="8306"/>
      </w:tabs>
      <w:snapToGrid w:val="0"/>
    </w:pPr>
    <w:rPr>
      <w:rFonts w:ascii="Calibri" w:hAnsi="Calibri"/>
      <w:kern w:val="2"/>
      <w:sz w:val="18"/>
      <w:szCs w:val="18"/>
    </w:rPr>
  </w:style>
  <w:style w:type="character" w:customStyle="1" w:styleId="Style79">
    <w:name w:val="_Style 79"/>
    <w:basedOn w:val="Style51"/>
    <w:uiPriority w:val="99"/>
    <w:qFormat/>
    <w:rPr>
      <w:rFonts w:ascii="Calibri" w:eastAsia="宋体" w:hAnsi="Calibri" w:cs="Times New Roman"/>
      <w:sz w:val="18"/>
      <w:szCs w:val="18"/>
    </w:rPr>
  </w:style>
  <w:style w:type="paragraph" w:customStyle="1" w:styleId="Style80">
    <w:name w:val="_Style 80"/>
    <w:basedOn w:val="Style43"/>
    <w:qFormat/>
    <w:pPr>
      <w:widowControl w:val="0"/>
      <w:jc w:val="both"/>
    </w:pPr>
    <w:rPr>
      <w:rFonts w:hAnsi="Courier New"/>
      <w:kern w:val="2"/>
    </w:rPr>
  </w:style>
  <w:style w:type="character" w:customStyle="1" w:styleId="Style81">
    <w:name w:val="_Style 81"/>
    <w:basedOn w:val="Style51"/>
    <w:qFormat/>
    <w:rPr>
      <w:rFonts w:ascii="宋体" w:eastAsia="宋体" w:hAnsi="Courier New" w:cs="Times New Roman"/>
      <w:szCs w:val="20"/>
    </w:rPr>
  </w:style>
  <w:style w:type="character" w:customStyle="1" w:styleId="Style82">
    <w:name w:val="_Style 82"/>
    <w:basedOn w:val="Style51"/>
    <w:qFormat/>
    <w:rPr>
      <w:rFonts w:eastAsia="宋体" w:cs="Times New Roman"/>
      <w:kern w:val="2"/>
      <w:sz w:val="24"/>
      <w:szCs w:val="24"/>
      <w:lang w:val="en-US" w:eastAsia="zh-CN" w:bidi="ar-SA"/>
    </w:rPr>
  </w:style>
  <w:style w:type="paragraph" w:customStyle="1" w:styleId="Style83">
    <w:name w:val="_Style 83"/>
    <w:basedOn w:val="Style43"/>
    <w:uiPriority w:val="99"/>
    <w:qFormat/>
    <w:pPr>
      <w:widowControl w:val="0"/>
      <w:spacing w:after="120"/>
      <w:jc w:val="both"/>
    </w:pPr>
    <w:rPr>
      <w:kern w:val="2"/>
    </w:rPr>
  </w:style>
  <w:style w:type="character" w:customStyle="1" w:styleId="Style84">
    <w:name w:val="_Style 84"/>
    <w:basedOn w:val="Style51"/>
    <w:uiPriority w:val="99"/>
    <w:qFormat/>
    <w:rPr>
      <w:rFonts w:ascii="Times New Roman" w:eastAsia="宋体" w:hAnsi="Times New Roman" w:cs="Times New Roman"/>
      <w:szCs w:val="21"/>
    </w:rPr>
  </w:style>
  <w:style w:type="paragraph" w:customStyle="1" w:styleId="Style85">
    <w:name w:val="_Style 85"/>
    <w:basedOn w:val="Style43"/>
    <w:uiPriority w:val="99"/>
    <w:qFormat/>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Style86">
    <w:name w:val="_Style 86"/>
    <w:basedOn w:val="Style43"/>
    <w:uiPriority w:val="99"/>
    <w:qFormat/>
    <w:pPr>
      <w:widowControl w:val="0"/>
      <w:ind w:leftChars="2500" w:left="100"/>
      <w:jc w:val="both"/>
    </w:pPr>
    <w:rPr>
      <w:kern w:val="2"/>
    </w:rPr>
  </w:style>
  <w:style w:type="character" w:customStyle="1" w:styleId="Style87">
    <w:name w:val="_Style 87"/>
    <w:basedOn w:val="Style51"/>
    <w:uiPriority w:val="99"/>
    <w:qFormat/>
    <w:rPr>
      <w:rFonts w:ascii="Times New Roman" w:eastAsia="宋体" w:hAnsi="Times New Roman" w:cs="Times New Roman"/>
      <w:szCs w:val="21"/>
    </w:rPr>
  </w:style>
  <w:style w:type="paragraph" w:customStyle="1" w:styleId="Style88">
    <w:name w:val="_Style 88"/>
    <w:basedOn w:val="Style43"/>
    <w:uiPriority w:val="99"/>
    <w:qFormat/>
    <w:pPr>
      <w:widowControl w:val="0"/>
      <w:jc w:val="center"/>
    </w:pPr>
    <w:rPr>
      <w:kern w:val="2"/>
    </w:rPr>
  </w:style>
  <w:style w:type="character" w:customStyle="1" w:styleId="Style89">
    <w:name w:val="_Style 89"/>
    <w:basedOn w:val="Style51"/>
    <w:uiPriority w:val="99"/>
    <w:qFormat/>
    <w:rPr>
      <w:rFonts w:ascii="Times New Roman" w:eastAsia="宋体" w:hAnsi="Times New Roman" w:cs="Times New Roman"/>
      <w:szCs w:val="21"/>
    </w:rPr>
  </w:style>
  <w:style w:type="paragraph" w:customStyle="1" w:styleId="Style90">
    <w:name w:val="_Style 90"/>
    <w:basedOn w:val="Style43"/>
    <w:semiHidden/>
    <w:qFormat/>
    <w:pPr>
      <w:widowControl w:val="0"/>
      <w:spacing w:before="120"/>
      <w:jc w:val="both"/>
    </w:pPr>
    <w:rPr>
      <w:rFonts w:ascii="Arial" w:hAnsi="Arial"/>
      <w:b/>
      <w:bCs/>
      <w:kern w:val="2"/>
    </w:rPr>
  </w:style>
  <w:style w:type="paragraph" w:customStyle="1" w:styleId="Style91">
    <w:name w:val="_Style 91"/>
    <w:basedOn w:val="Style43"/>
    <w:qFormat/>
    <w:pPr>
      <w:keepNext/>
      <w:keepLines/>
      <w:widowControl w:val="0"/>
      <w:spacing w:before="60" w:after="60"/>
      <w:ind w:hangingChars="200" w:hanging="420"/>
      <w:jc w:val="both"/>
      <w:outlineLvl w:val="4"/>
    </w:pPr>
    <w:rPr>
      <w:b/>
      <w:bCs/>
      <w:kern w:val="2"/>
    </w:rPr>
  </w:style>
  <w:style w:type="paragraph" w:customStyle="1" w:styleId="Style92">
    <w:name w:val="_Style 92"/>
    <w:hidden/>
    <w:uiPriority w:val="99"/>
    <w:semiHidden/>
    <w:qFormat/>
    <w:rPr>
      <w:kern w:val="2"/>
      <w:szCs w:val="22"/>
    </w:rPr>
  </w:style>
  <w:style w:type="character" w:customStyle="1" w:styleId="Style93">
    <w:name w:val="_Style 93"/>
    <w:basedOn w:val="Style51"/>
    <w:qFormat/>
    <w:rPr>
      <w:kern w:val="2"/>
      <w:sz w:val="21"/>
      <w:szCs w:val="24"/>
    </w:rPr>
  </w:style>
  <w:style w:type="paragraph" w:customStyle="1" w:styleId="Style94">
    <w:name w:val="_Style 94"/>
    <w:basedOn w:val="Style43"/>
    <w:qFormat/>
    <w:pPr>
      <w:widowControl w:val="0"/>
      <w:spacing w:before="100" w:after="100"/>
      <w:jc w:val="both"/>
    </w:pPr>
    <w:rPr>
      <w:rFonts w:ascii="Calibri" w:hAnsi="Calibri"/>
      <w:kern w:val="2"/>
    </w:rPr>
  </w:style>
  <w:style w:type="paragraph" w:customStyle="1" w:styleId="Style95">
    <w:name w:val="_Style 95"/>
    <w:basedOn w:val="Style43"/>
    <w:uiPriority w:val="99"/>
    <w:semiHidden/>
    <w:unhideWhenUsed/>
    <w:qFormat/>
    <w:pPr>
      <w:widowControl w:val="0"/>
      <w:jc w:val="both"/>
    </w:pPr>
    <w:rPr>
      <w:rFonts w:hAnsi="Calibri"/>
      <w:kern w:val="2"/>
      <w:sz w:val="18"/>
      <w:szCs w:val="18"/>
    </w:rPr>
  </w:style>
  <w:style w:type="character" w:customStyle="1" w:styleId="Style96">
    <w:name w:val="_Style 96"/>
    <w:basedOn w:val="Style51"/>
    <w:uiPriority w:val="99"/>
    <w:semiHidden/>
    <w:qFormat/>
    <w:rPr>
      <w:rFonts w:ascii="宋体"/>
      <w:kern w:val="2"/>
      <w:sz w:val="18"/>
      <w:szCs w:val="18"/>
    </w:rPr>
  </w:style>
  <w:style w:type="character" w:customStyle="1" w:styleId="Style97">
    <w:name w:val="_Style 97"/>
    <w:basedOn w:val="Style51"/>
    <w:uiPriority w:val="99"/>
    <w:qFormat/>
    <w:rPr>
      <w:color w:val="auto"/>
    </w:rPr>
  </w:style>
  <w:style w:type="paragraph" w:customStyle="1" w:styleId="Style98">
    <w:name w:val="_Style 98"/>
    <w:basedOn w:val="Style43"/>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Style991">
    <w:name w:val="_Style 991"/>
    <w:basedOn w:val="Style51"/>
    <w:uiPriority w:val="10"/>
    <w:qFormat/>
    <w:rPr>
      <w:rFonts w:asciiTheme="majorHAnsi" w:hAnsiTheme="majorHAnsi" w:cstheme="majorBidi"/>
      <w:b/>
      <w:bCs/>
      <w:kern w:val="2"/>
      <w:sz w:val="32"/>
      <w:szCs w:val="32"/>
    </w:rPr>
  </w:style>
  <w:style w:type="paragraph" w:customStyle="1" w:styleId="Style100">
    <w:name w:val="_Style 100"/>
    <w:uiPriority w:val="1"/>
    <w:qFormat/>
    <w:pPr>
      <w:widowControl w:val="0"/>
      <w:jc w:val="both"/>
    </w:pPr>
    <w:rPr>
      <w:kern w:val="2"/>
      <w:szCs w:val="22"/>
    </w:rPr>
  </w:style>
  <w:style w:type="paragraph" w:customStyle="1" w:styleId="Style101">
    <w:name w:val="_Style 101"/>
    <w:basedOn w:val="Style43"/>
    <w:autoRedefine/>
    <w:uiPriority w:val="39"/>
    <w:unhideWhenUsed/>
    <w:qFormat/>
    <w:pPr>
      <w:ind w:left="630"/>
    </w:pPr>
    <w:rPr>
      <w:rFonts w:asciiTheme="minorHAnsi" w:hAnsiTheme="minorHAnsi" w:cstheme="minorHAnsi"/>
      <w:bCs/>
      <w:sz w:val="18"/>
      <w:szCs w:val="18"/>
    </w:rPr>
  </w:style>
  <w:style w:type="paragraph" w:customStyle="1" w:styleId="Style102">
    <w:name w:val="_Style 102"/>
    <w:basedOn w:val="Style43"/>
    <w:autoRedefine/>
    <w:uiPriority w:val="39"/>
    <w:unhideWhenUsed/>
    <w:qFormat/>
    <w:pPr>
      <w:ind w:left="840"/>
    </w:pPr>
    <w:rPr>
      <w:rFonts w:asciiTheme="minorHAnsi" w:hAnsiTheme="minorHAnsi" w:cstheme="minorHAnsi"/>
      <w:bCs/>
      <w:sz w:val="18"/>
      <w:szCs w:val="18"/>
    </w:rPr>
  </w:style>
  <w:style w:type="paragraph" w:customStyle="1" w:styleId="Style103">
    <w:name w:val="_Style 103"/>
    <w:basedOn w:val="Style43"/>
    <w:autoRedefine/>
    <w:uiPriority w:val="39"/>
    <w:unhideWhenUsed/>
    <w:qFormat/>
    <w:pPr>
      <w:ind w:left="1050"/>
    </w:pPr>
    <w:rPr>
      <w:rFonts w:asciiTheme="minorHAnsi" w:hAnsiTheme="minorHAnsi" w:cstheme="minorHAnsi"/>
      <w:bCs/>
      <w:sz w:val="18"/>
      <w:szCs w:val="18"/>
    </w:rPr>
  </w:style>
  <w:style w:type="paragraph" w:customStyle="1" w:styleId="Style104">
    <w:name w:val="_Style 104"/>
    <w:basedOn w:val="Style43"/>
    <w:autoRedefine/>
    <w:uiPriority w:val="39"/>
    <w:unhideWhenUsed/>
    <w:qFormat/>
    <w:pPr>
      <w:ind w:left="1260"/>
    </w:pPr>
    <w:rPr>
      <w:rFonts w:asciiTheme="minorHAnsi" w:hAnsiTheme="minorHAnsi" w:cstheme="minorHAnsi"/>
      <w:bCs/>
      <w:sz w:val="18"/>
      <w:szCs w:val="18"/>
    </w:rPr>
  </w:style>
  <w:style w:type="paragraph" w:customStyle="1" w:styleId="Style105">
    <w:name w:val="_Style 105"/>
    <w:basedOn w:val="Style43"/>
    <w:autoRedefine/>
    <w:uiPriority w:val="39"/>
    <w:unhideWhenUsed/>
    <w:qFormat/>
    <w:pPr>
      <w:ind w:left="1470"/>
    </w:pPr>
    <w:rPr>
      <w:rFonts w:asciiTheme="minorHAnsi" w:hAnsiTheme="minorHAnsi" w:cstheme="minorHAnsi"/>
      <w:bCs/>
      <w:sz w:val="18"/>
      <w:szCs w:val="18"/>
    </w:rPr>
  </w:style>
  <w:style w:type="paragraph" w:customStyle="1" w:styleId="Style106">
    <w:name w:val="_Style 106"/>
    <w:basedOn w:val="Style43"/>
    <w:autoRedefine/>
    <w:uiPriority w:val="39"/>
    <w:unhideWhenUsed/>
    <w:qFormat/>
    <w:pPr>
      <w:ind w:left="1680"/>
    </w:pPr>
    <w:rPr>
      <w:rFonts w:asciiTheme="minorHAnsi" w:hAnsiTheme="minorHAnsi" w:cstheme="minorHAnsi"/>
      <w:bCs/>
      <w:sz w:val="18"/>
      <w:szCs w:val="18"/>
    </w:rPr>
  </w:style>
  <w:style w:type="character" w:customStyle="1" w:styleId="Style107">
    <w:name w:val="_Style 107"/>
    <w:basedOn w:val="Style51"/>
    <w:uiPriority w:val="9"/>
    <w:qFormat/>
    <w:rPr>
      <w:rFonts w:asciiTheme="majorHAnsi" w:hAnsiTheme="majorHAnsi" w:cstheme="majorBidi"/>
      <w:b/>
      <w:bCs/>
      <w:sz w:val="21"/>
      <w:szCs w:val="24"/>
    </w:rPr>
  </w:style>
  <w:style w:type="paragraph" w:customStyle="1" w:styleId="Style108">
    <w:name w:val="_Style 108"/>
    <w:basedOn w:val="Style43"/>
    <w:uiPriority w:val="99"/>
    <w:qFormat/>
    <w:pPr>
      <w:spacing w:before="100" w:beforeAutospacing="1" w:after="100" w:afterAutospacing="1"/>
    </w:pPr>
    <w:rPr>
      <w:sz w:val="24"/>
    </w:rPr>
  </w:style>
  <w:style w:type="paragraph" w:customStyle="1" w:styleId="Style109">
    <w:name w:val="_Style 109"/>
    <w:basedOn w:val="Style43"/>
    <w:uiPriority w:val="99"/>
    <w:semiHidden/>
    <w:unhideWhenUsed/>
    <w:qFormat/>
    <w:pPr>
      <w:snapToGrid w:val="0"/>
    </w:pPr>
  </w:style>
  <w:style w:type="character" w:customStyle="1" w:styleId="Style110">
    <w:name w:val="_Style 110"/>
    <w:basedOn w:val="Style51"/>
    <w:uiPriority w:val="99"/>
    <w:semiHidden/>
    <w:qFormat/>
    <w:rPr>
      <w:rFonts w:ascii="宋体" w:hAnsi="宋体" w:cs="宋体"/>
      <w:sz w:val="21"/>
      <w:szCs w:val="24"/>
    </w:rPr>
  </w:style>
  <w:style w:type="character" w:customStyle="1" w:styleId="Style111">
    <w:name w:val="_Style 111"/>
    <w:basedOn w:val="Style51"/>
    <w:uiPriority w:val="99"/>
    <w:semiHidden/>
    <w:unhideWhenUsed/>
    <w:qFormat/>
    <w:rPr>
      <w:vertAlign w:val="superscript"/>
    </w:rPr>
  </w:style>
  <w:style w:type="character" w:customStyle="1" w:styleId="Style112">
    <w:name w:val="_Style 112"/>
    <w:basedOn w:val="Style64"/>
    <w:uiPriority w:val="99"/>
    <w:semiHidden/>
    <w:qFormat/>
    <w:rPr>
      <w:rFonts w:ascii="Times New Roman" w:eastAsia="宋体" w:hAnsi="Times New Roman" w:cs="Times New Roman"/>
      <w:b/>
      <w:bCs/>
      <w:szCs w:val="21"/>
    </w:rPr>
  </w:style>
  <w:style w:type="paragraph" w:customStyle="1" w:styleId="Style113">
    <w:name w:val="_Style 113"/>
    <w:basedOn w:val="Style43"/>
    <w:qFormat/>
    <w:pPr>
      <w:keepNext/>
      <w:keepLines/>
      <w:widowControl w:val="0"/>
      <w:spacing w:before="100" w:beforeAutospacing="1" w:after="100" w:afterAutospacing="1" w:line="415" w:lineRule="auto"/>
      <w:jc w:val="both"/>
    </w:pPr>
    <w:rPr>
      <w:b/>
      <w:kern w:val="2"/>
    </w:rPr>
  </w:style>
  <w:style w:type="character" w:customStyle="1" w:styleId="Style114">
    <w:name w:val="_Style 114"/>
    <w:basedOn w:val="Style51"/>
    <w:qFormat/>
    <w:rPr>
      <w:rFonts w:ascii="Times New Roman" w:hAnsi="Times New Roman"/>
      <w:b/>
      <w:kern w:val="2"/>
      <w:sz w:val="21"/>
      <w:szCs w:val="24"/>
    </w:rPr>
  </w:style>
  <w:style w:type="character" w:customStyle="1" w:styleId="Style115">
    <w:name w:val="_Style 115"/>
    <w:basedOn w:val="Style64"/>
    <w:uiPriority w:val="99"/>
    <w:semiHidden/>
    <w:qFormat/>
    <w:rPr>
      <w:rFonts w:ascii="Times New Roman" w:eastAsia="宋体" w:hAnsi="Times New Roman" w:cs="Times New Roman"/>
      <w:b/>
      <w:bCs/>
      <w:szCs w:val="21"/>
    </w:rPr>
  </w:style>
  <w:style w:type="character" w:customStyle="1" w:styleId="Style116">
    <w:name w:val="_Style 116"/>
    <w:basedOn w:val="Style51"/>
    <w:uiPriority w:val="9"/>
    <w:qFormat/>
    <w:rPr>
      <w:rFonts w:ascii="宋体" w:hAnsi="宋体" w:cs="宋体"/>
      <w:b/>
      <w:bCs/>
      <w:sz w:val="24"/>
      <w:szCs w:val="24"/>
    </w:rPr>
  </w:style>
  <w:style w:type="paragraph" w:customStyle="1" w:styleId="Style117">
    <w:name w:val="_Style 117"/>
    <w:basedOn w:val="Style43"/>
    <w:autoRedefine/>
    <w:semiHidden/>
    <w:qFormat/>
    <w:pPr>
      <w:ind w:firstLineChars="200" w:firstLine="420"/>
    </w:pPr>
    <w:rPr>
      <w:color w:val="000000"/>
    </w:rPr>
  </w:style>
  <w:style w:type="character" w:customStyle="1" w:styleId="Style118">
    <w:name w:val="_Style 118"/>
    <w:basedOn w:val="Style51"/>
    <w:qFormat/>
  </w:style>
  <w:style w:type="paragraph" w:customStyle="1" w:styleId="Style119">
    <w:name w:val="_Style 119"/>
    <w:basedOn w:val="Style43"/>
    <w:qFormat/>
    <w:pPr>
      <w:widowControl w:val="0"/>
      <w:ind w:firstLineChars="200" w:firstLine="420"/>
      <w:jc w:val="both"/>
    </w:pPr>
    <w:rPr>
      <w:kern w:val="2"/>
    </w:rPr>
  </w:style>
  <w:style w:type="paragraph" w:customStyle="1" w:styleId="Style120">
    <w:name w:val="_Style 120"/>
    <w:basedOn w:val="Style43"/>
    <w:qFormat/>
    <w:pPr>
      <w:widowControl w:val="0"/>
      <w:tabs>
        <w:tab w:val="left" w:pos="1200"/>
      </w:tabs>
      <w:jc w:val="both"/>
    </w:pPr>
    <w:rPr>
      <w:kern w:val="2"/>
    </w:rPr>
  </w:style>
  <w:style w:type="character" w:customStyle="1" w:styleId="Style121">
    <w:name w:val="_Style 121"/>
    <w:uiPriority w:val="9"/>
    <w:qFormat/>
    <w:rPr>
      <w:rFonts w:ascii="Cambria" w:hAnsi="Cambria"/>
      <w:b/>
      <w:bCs/>
      <w:kern w:val="2"/>
      <w:sz w:val="21"/>
      <w:szCs w:val="28"/>
    </w:rPr>
  </w:style>
  <w:style w:type="paragraph" w:customStyle="1" w:styleId="Style122">
    <w:name w:val="_Style 122"/>
    <w:basedOn w:val="Style43"/>
    <w:uiPriority w:val="34"/>
    <w:qFormat/>
    <w:pPr>
      <w:widowControl w:val="0"/>
      <w:ind w:firstLineChars="200" w:firstLine="420"/>
      <w:jc w:val="both"/>
    </w:pPr>
    <w:rPr>
      <w:rFonts w:ascii="Calibri" w:hAnsi="Calibri"/>
      <w:kern w:val="2"/>
      <w:szCs w:val="22"/>
    </w:rPr>
  </w:style>
  <w:style w:type="table" w:customStyle="1" w:styleId="Style123">
    <w:name w:val="_Style 123"/>
    <w:basedOn w:val="Style52"/>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24">
    <w:name w:val="_Style 124"/>
    <w:basedOn w:val="Style43"/>
    <w:uiPriority w:val="34"/>
    <w:qFormat/>
    <w:pPr>
      <w:widowControl w:val="0"/>
      <w:ind w:firstLineChars="200" w:firstLine="420"/>
      <w:jc w:val="both"/>
    </w:pPr>
    <w:rPr>
      <w:rFonts w:ascii="Calibri" w:hAnsi="Calibri"/>
      <w:kern w:val="2"/>
      <w:szCs w:val="22"/>
    </w:rPr>
  </w:style>
  <w:style w:type="character" w:customStyle="1" w:styleId="Style125">
    <w:name w:val="_Style 125"/>
    <w:uiPriority w:val="9"/>
    <w:qFormat/>
    <w:rPr>
      <w:b/>
      <w:bCs/>
      <w:kern w:val="2"/>
      <w:sz w:val="21"/>
      <w:szCs w:val="32"/>
    </w:rPr>
  </w:style>
  <w:style w:type="paragraph" w:customStyle="1" w:styleId="Style126">
    <w:name w:val="_Style 126"/>
    <w:basedOn w:val="Style43"/>
    <w:uiPriority w:val="34"/>
    <w:qFormat/>
    <w:pPr>
      <w:widowControl w:val="0"/>
      <w:ind w:firstLineChars="200" w:firstLine="420"/>
      <w:jc w:val="both"/>
    </w:pPr>
    <w:rPr>
      <w:rFonts w:ascii="Calibri" w:hAnsi="Calibri"/>
      <w:kern w:val="2"/>
      <w:szCs w:val="22"/>
    </w:rPr>
  </w:style>
  <w:style w:type="paragraph" w:customStyle="1" w:styleId="Style127">
    <w:name w:val="_Style 127"/>
    <w:basedOn w:val="Style43"/>
    <w:uiPriority w:val="34"/>
    <w:qFormat/>
    <w:pPr>
      <w:widowControl w:val="0"/>
      <w:ind w:firstLineChars="200" w:firstLine="420"/>
      <w:jc w:val="both"/>
    </w:pPr>
    <w:rPr>
      <w:rFonts w:ascii="Calibri" w:hAnsi="Calibri"/>
      <w:kern w:val="2"/>
      <w:szCs w:val="22"/>
    </w:rPr>
  </w:style>
  <w:style w:type="paragraph" w:customStyle="1" w:styleId="Style128">
    <w:name w:val="_Style 128"/>
    <w:basedOn w:val="Style43"/>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129">
    <w:name w:val="_Style 129"/>
    <w:qFormat/>
    <w:rPr>
      <w:rFonts w:ascii="Times New Roman" w:hAnsi="Times New Roman"/>
      <w:kern w:val="2"/>
      <w:sz w:val="21"/>
      <w:szCs w:val="21"/>
    </w:rPr>
  </w:style>
  <w:style w:type="character" w:customStyle="1" w:styleId="Style130">
    <w:name w:val="_Style 130"/>
    <w:uiPriority w:val="9"/>
    <w:qFormat/>
    <w:rPr>
      <w:b/>
      <w:bCs/>
      <w:kern w:val="2"/>
      <w:sz w:val="21"/>
      <w:szCs w:val="28"/>
    </w:rPr>
  </w:style>
  <w:style w:type="paragraph" w:customStyle="1" w:styleId="Style131">
    <w:name w:val="_Style 131"/>
    <w:basedOn w:val="Style43"/>
    <w:uiPriority w:val="34"/>
    <w:qFormat/>
    <w:pPr>
      <w:widowControl w:val="0"/>
      <w:ind w:firstLineChars="200" w:firstLine="420"/>
      <w:jc w:val="both"/>
    </w:pPr>
    <w:rPr>
      <w:rFonts w:ascii="Calibri" w:hAnsi="Calibri"/>
      <w:kern w:val="2"/>
      <w:szCs w:val="22"/>
    </w:rPr>
  </w:style>
  <w:style w:type="character" w:customStyle="1" w:styleId="Style132">
    <w:name w:val="_Style 132"/>
    <w:qFormat/>
    <w:rPr>
      <w:rFonts w:ascii="Times New Roman" w:hAnsi="Times New Roman"/>
      <w:kern w:val="2"/>
      <w:sz w:val="21"/>
      <w:szCs w:val="21"/>
    </w:rPr>
  </w:style>
  <w:style w:type="character" w:customStyle="1" w:styleId="Style133">
    <w:name w:val="_Style 133"/>
    <w:uiPriority w:val="9"/>
    <w:qFormat/>
    <w:rPr>
      <w:b/>
      <w:bCs/>
      <w:kern w:val="2"/>
      <w:sz w:val="21"/>
      <w:szCs w:val="32"/>
    </w:rPr>
  </w:style>
  <w:style w:type="character" w:customStyle="1" w:styleId="2CharCharCharChar">
    <w:name w:val="标题 2 Char Char Char Char"/>
    <w:qFormat/>
    <w:rPr>
      <w:rFonts w:ascii="Arial" w:hAnsi="Arial"/>
      <w:b/>
      <w:bCs/>
      <w:kern w:val="2"/>
      <w:sz w:val="21"/>
      <w:szCs w:val="21"/>
    </w:rPr>
  </w:style>
  <w:style w:type="character" w:customStyle="1" w:styleId="Style135">
    <w:name w:val="_Style 135"/>
    <w:uiPriority w:val="9"/>
    <w:qFormat/>
    <w:rPr>
      <w:rFonts w:ascii="Cambria" w:hAnsi="Cambria"/>
      <w:b/>
      <w:bCs/>
      <w:kern w:val="2"/>
      <w:sz w:val="21"/>
      <w:szCs w:val="28"/>
    </w:rPr>
  </w:style>
  <w:style w:type="character" w:customStyle="1" w:styleId="Style136">
    <w:name w:val="_Style 136"/>
    <w:uiPriority w:val="9"/>
    <w:qFormat/>
    <w:rPr>
      <w:b/>
      <w:bCs/>
      <w:kern w:val="2"/>
      <w:sz w:val="21"/>
      <w:szCs w:val="28"/>
    </w:rPr>
  </w:style>
  <w:style w:type="paragraph" w:customStyle="1" w:styleId="Style137">
    <w:name w:val="_Style 137"/>
    <w:basedOn w:val="Style43"/>
    <w:uiPriority w:val="34"/>
    <w:qFormat/>
    <w:pPr>
      <w:widowControl w:val="0"/>
      <w:ind w:firstLineChars="200" w:firstLine="420"/>
      <w:jc w:val="both"/>
    </w:pPr>
    <w:rPr>
      <w:rFonts w:ascii="Calibri" w:hAnsi="Calibri"/>
      <w:kern w:val="2"/>
      <w:szCs w:val="22"/>
    </w:rPr>
  </w:style>
  <w:style w:type="character" w:customStyle="1" w:styleId="Style138">
    <w:name w:val="_Style 138"/>
    <w:uiPriority w:val="99"/>
    <w:qFormat/>
    <w:rPr>
      <w:rFonts w:ascii="Times New Roman" w:hAnsi="Times New Roman"/>
      <w:kern w:val="2"/>
      <w:sz w:val="21"/>
      <w:szCs w:val="21"/>
    </w:rPr>
  </w:style>
  <w:style w:type="character" w:customStyle="1" w:styleId="Style139">
    <w:name w:val="_Style 139"/>
    <w:qFormat/>
    <w:rPr>
      <w:rFonts w:ascii="Times New Roman" w:hAnsi="Times New Roman" w:cs="Times New Roman"/>
      <w:bCs/>
      <w:kern w:val="2"/>
      <w:sz w:val="21"/>
      <w:szCs w:val="21"/>
    </w:rPr>
  </w:style>
  <w:style w:type="character" w:customStyle="1" w:styleId="Style140">
    <w:name w:val="_Style 140"/>
    <w:uiPriority w:val="99"/>
    <w:qFormat/>
    <w:rPr>
      <w:rFonts w:ascii="Times New Roman" w:hAnsi="Times New Roman"/>
      <w:kern w:val="2"/>
      <w:sz w:val="21"/>
      <w:szCs w:val="21"/>
    </w:rPr>
  </w:style>
  <w:style w:type="character" w:customStyle="1" w:styleId="Style141">
    <w:name w:val="_Style 141"/>
    <w:qFormat/>
    <w:rPr>
      <w:rFonts w:ascii="FZLTSK--GBK1-0" w:hAnsi="FZLTSK--GBK1-0" w:hint="default"/>
      <w:color w:val="000000"/>
      <w:sz w:val="20"/>
      <w:szCs w:val="20"/>
    </w:rPr>
  </w:style>
  <w:style w:type="character" w:customStyle="1" w:styleId="Style142">
    <w:name w:val="_Style 142"/>
    <w:uiPriority w:val="99"/>
    <w:semiHidden/>
    <w:qFormat/>
    <w:locked/>
    <w:rPr>
      <w:rFonts w:ascii="Times New Roman" w:hAnsi="Times New Roman"/>
      <w:kern w:val="2"/>
      <w:sz w:val="21"/>
      <w:szCs w:val="21"/>
    </w:rPr>
  </w:style>
  <w:style w:type="character" w:customStyle="1" w:styleId="2CharCharCharChar1">
    <w:name w:val="标题 2 Char Char Char Char1"/>
    <w:qFormat/>
    <w:rPr>
      <w:rFonts w:ascii="Arial" w:hAnsi="Arial"/>
      <w:b/>
      <w:bCs/>
      <w:kern w:val="2"/>
      <w:sz w:val="21"/>
      <w:szCs w:val="21"/>
    </w:rPr>
  </w:style>
  <w:style w:type="character" w:customStyle="1" w:styleId="Style144">
    <w:name w:val="_Style 144"/>
    <w:uiPriority w:val="9"/>
    <w:qFormat/>
    <w:rPr>
      <w:b/>
      <w:bCs/>
      <w:kern w:val="2"/>
      <w:sz w:val="21"/>
      <w:szCs w:val="28"/>
    </w:rPr>
  </w:style>
  <w:style w:type="character" w:customStyle="1" w:styleId="Style145">
    <w:name w:val="_Style 145"/>
    <w:uiPriority w:val="9"/>
    <w:qFormat/>
    <w:rPr>
      <w:b/>
      <w:bCs/>
      <w:kern w:val="2"/>
      <w:sz w:val="21"/>
      <w:szCs w:val="32"/>
    </w:rPr>
  </w:style>
  <w:style w:type="character" w:customStyle="1" w:styleId="Style146">
    <w:name w:val="_Style 146"/>
    <w:uiPriority w:val="9"/>
    <w:qFormat/>
    <w:rPr>
      <w:b/>
      <w:bCs/>
      <w:kern w:val="2"/>
      <w:sz w:val="21"/>
      <w:szCs w:val="32"/>
    </w:rPr>
  </w:style>
  <w:style w:type="paragraph" w:customStyle="1" w:styleId="Style147">
    <w:name w:val="_Style 147"/>
    <w:basedOn w:val="Style43"/>
    <w:uiPriority w:val="99"/>
    <w:semiHidden/>
    <w:unhideWhenUsed/>
    <w:qFormat/>
    <w:pPr>
      <w:widowControl w:val="0"/>
      <w:snapToGrid w:val="0"/>
    </w:pPr>
    <w:rPr>
      <w:rFonts w:ascii="Calibri" w:hAnsi="Calibri"/>
      <w:bCs/>
      <w:kern w:val="2"/>
      <w:sz w:val="18"/>
      <w:szCs w:val="18"/>
    </w:rPr>
  </w:style>
  <w:style w:type="character" w:customStyle="1" w:styleId="Style148">
    <w:name w:val="_Style 148"/>
    <w:basedOn w:val="Style51"/>
    <w:uiPriority w:val="99"/>
    <w:semiHidden/>
    <w:qFormat/>
    <w:rPr>
      <w:rFonts w:ascii="Calibri" w:hAnsi="Calibri" w:cs="Times New Roman"/>
      <w:bCs/>
      <w:kern w:val="2"/>
      <w:sz w:val="18"/>
      <w:szCs w:val="18"/>
    </w:rPr>
  </w:style>
  <w:style w:type="character" w:customStyle="1" w:styleId="Style149">
    <w:name w:val="_Style 149"/>
    <w:uiPriority w:val="99"/>
    <w:semiHidden/>
    <w:unhideWhenUsed/>
    <w:qFormat/>
    <w:rPr>
      <w:vertAlign w:val="superscript"/>
    </w:rPr>
  </w:style>
  <w:style w:type="table" w:customStyle="1" w:styleId="Style150">
    <w:name w:val="_Style 150"/>
    <w:uiPriority w:val="99"/>
    <w:semiHidden/>
    <w:unhideWhenUsed/>
    <w:qFormat/>
    <w:rPr>
      <w:bCs/>
    </w:rPr>
    <w:tblPr>
      <w:tblCellMar>
        <w:top w:w="0" w:type="dxa"/>
        <w:left w:w="108" w:type="dxa"/>
        <w:bottom w:w="0" w:type="dxa"/>
        <w:right w:w="108" w:type="dxa"/>
      </w:tblCellMar>
    </w:tblPr>
  </w:style>
  <w:style w:type="paragraph" w:customStyle="1" w:styleId="Style151">
    <w:name w:val="_Style 151"/>
    <w:qFormat/>
    <w:rPr>
      <w:rFonts w:ascii="宋体" w:hAnsi="宋体"/>
      <w:szCs w:val="24"/>
    </w:rPr>
  </w:style>
  <w:style w:type="character" w:customStyle="1" w:styleId="Style152">
    <w:name w:val="_Style 152"/>
    <w:basedOn w:val="Style51"/>
    <w:unhideWhenUsed/>
    <w:qFormat/>
    <w:rPr>
      <w:rFonts w:ascii="宋体" w:hAnsi="宋体"/>
      <w:sz w:val="20"/>
      <w:szCs w:val="24"/>
    </w:rPr>
  </w:style>
  <w:style w:type="table" w:customStyle="1" w:styleId="Style153">
    <w:name w:val="_Style 153"/>
    <w:uiPriority w:val="99"/>
    <w:semiHidden/>
    <w:unhideWhenUsed/>
    <w:qFormat/>
    <w:tblPr>
      <w:tblCellMar>
        <w:top w:w="0" w:type="dxa"/>
        <w:left w:w="108" w:type="dxa"/>
        <w:bottom w:w="0" w:type="dxa"/>
        <w:right w:w="108" w:type="dxa"/>
      </w:tblCellMar>
    </w:tblPr>
  </w:style>
  <w:style w:type="character" w:customStyle="1" w:styleId="a7">
    <w:name w:val="批注文字 字符"/>
    <w:basedOn w:val="a0"/>
    <w:link w:val="a6"/>
    <w:qFormat/>
    <w:rPr>
      <w:rFonts w:ascii="宋体" w:hAnsi="宋体" w:cs="宋体"/>
      <w:bCs/>
      <w:sz w:val="21"/>
      <w:szCs w:val="21"/>
    </w:rPr>
  </w:style>
  <w:style w:type="character" w:customStyle="1" w:styleId="ad">
    <w:name w:val="批注框文本 字符"/>
    <w:basedOn w:val="a0"/>
    <w:link w:val="ac"/>
    <w:uiPriority w:val="99"/>
    <w:qFormat/>
    <w:rPr>
      <w:rFonts w:ascii="宋体" w:hAnsi="宋体" w:cs="宋体"/>
      <w:bCs/>
      <w:sz w:val="18"/>
      <w:szCs w:val="18"/>
    </w:rPr>
  </w:style>
  <w:style w:type="character" w:customStyle="1" w:styleId="af4">
    <w:name w:val="批注主题 字符"/>
    <w:basedOn w:val="a7"/>
    <w:link w:val="af3"/>
    <w:uiPriority w:val="99"/>
    <w:qFormat/>
    <w:rPr>
      <w:rFonts w:ascii="宋体" w:hAnsi="宋体" w:cs="宋体"/>
      <w:b/>
      <w:bCs/>
      <w:sz w:val="21"/>
      <w:szCs w:val="21"/>
    </w:rPr>
  </w:style>
  <w:style w:type="character" w:styleId="afd">
    <w:name w:val="Placeholder Text"/>
    <w:basedOn w:val="a0"/>
    <w:uiPriority w:val="99"/>
    <w:qFormat/>
    <w:rPr>
      <w:color w:val="808080"/>
    </w:rPr>
  </w:style>
  <w:style w:type="paragraph" w:styleId="afe">
    <w:name w:val="List Paragraph"/>
    <w:basedOn w:val="a"/>
    <w:uiPriority w:val="99"/>
    <w:unhideWhenUsed/>
    <w:qFormat/>
    <w:pPr>
      <w:ind w:firstLineChars="200" w:firstLine="420"/>
    </w:pPr>
  </w:style>
  <w:style w:type="paragraph" w:customStyle="1" w:styleId="13">
    <w:name w:val="修订1"/>
    <w:hidden/>
    <w:uiPriority w:val="99"/>
    <w:unhideWhenUsed/>
    <w:qFormat/>
    <w:rPr>
      <w:rFonts w:ascii="宋体" w:hAnsi="宋体" w:cs="宋体"/>
      <w:bCs/>
      <w:sz w:val="21"/>
      <w:szCs w:val="21"/>
    </w:rPr>
  </w:style>
  <w:style w:type="paragraph" w:customStyle="1" w:styleId="22">
    <w:name w:val="修订2"/>
    <w:hidden/>
    <w:uiPriority w:val="99"/>
    <w:unhideWhenUsed/>
    <w:qFormat/>
    <w:rPr>
      <w:rFonts w:ascii="宋体" w:hAnsi="宋体" w:cs="宋体"/>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2025&#24180;&#21322;&#24180;&#24230;&#25253;&#21578;%20&#21512;&#24182;&#25253;&#21578;-18.docx" TargetMode="Externa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B327B1" w:rsidRDefault="00B66786">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54795268-88DE-4BB2-A320-6C6C52CBF450}"/>
      </w:docPartPr>
      <w:docPartBody>
        <w:p w:rsidR="00B327B1" w:rsidRDefault="00B66786">
          <w:r>
            <w:rPr>
              <w:rStyle w:val="a3"/>
              <w:color w:val="333399"/>
              <w:u w:val="single"/>
            </w:rPr>
            <w:t xml:space="preserve">　　　</w:t>
          </w:r>
        </w:p>
      </w:docPartBody>
    </w:docPart>
    <w:docPart>
      <w:docPartPr>
        <w:name w:val="1BB26D6223FC4D3D965A1D85FA04E066"/>
        <w:category>
          <w:name w:val="常规"/>
          <w:gallery w:val="placeholder"/>
        </w:category>
        <w:types>
          <w:type w:val="bbPlcHdr"/>
        </w:types>
        <w:behaviors>
          <w:behavior w:val="content"/>
        </w:behaviors>
        <w:guid w:val="{F664217E-6992-47C8-B821-93C61B894781}"/>
      </w:docPartPr>
      <w:docPartBody>
        <w:p w:rsidR="00B327B1" w:rsidRDefault="00B66786">
          <w:pPr>
            <w:pStyle w:val="1BB26D6223FC4D3D965A1D85FA04E066"/>
          </w:pPr>
          <w:r>
            <w:rPr>
              <w:rStyle w:val="a3"/>
              <w:color w:val="333399"/>
              <w:u w:val="single"/>
            </w:rPr>
            <w:t xml:space="preserve">　　　</w:t>
          </w:r>
        </w:p>
      </w:docPartBody>
    </w:docPart>
    <w:docPart>
      <w:docPartPr>
        <w:name w:val="2EB67F227C904DD48AD119BCD29A8BBF"/>
        <w:category>
          <w:name w:val="常规"/>
          <w:gallery w:val="placeholder"/>
        </w:category>
        <w:types>
          <w:type w:val="bbPlcHdr"/>
        </w:types>
        <w:behaviors>
          <w:behavior w:val="content"/>
        </w:behaviors>
        <w:guid w:val="{76514C78-0729-4C21-BA37-A1C750AE6BD2}"/>
      </w:docPartPr>
      <w:docPartBody>
        <w:p w:rsidR="00B327B1" w:rsidRDefault="00B66786">
          <w:pPr>
            <w:pStyle w:val="2EB67F227C904DD48AD119BCD29A8BBF"/>
          </w:pPr>
          <w:r>
            <w:rPr>
              <w:rStyle w:val="a3"/>
              <w:color w:val="333399"/>
              <w:u w:val="single"/>
            </w:rPr>
            <w:t xml:space="preserve">　　　</w:t>
          </w:r>
        </w:p>
      </w:docPartBody>
    </w:docPart>
    <w:docPart>
      <w:docPartPr>
        <w:name w:val="42993103ED63426C93DC281788A5EF1C"/>
        <w:category>
          <w:name w:val="常规"/>
          <w:gallery w:val="placeholder"/>
        </w:category>
        <w:types>
          <w:type w:val="bbPlcHdr"/>
        </w:types>
        <w:behaviors>
          <w:behavior w:val="content"/>
        </w:behaviors>
        <w:guid w:val="{60608691-814C-434E-9FC2-001D72D7104B}"/>
      </w:docPartPr>
      <w:docPartBody>
        <w:p w:rsidR="00B327B1" w:rsidRDefault="00B66786">
          <w:pPr>
            <w:pStyle w:val="42993103ED63426C93DC281788A5EF1C"/>
          </w:pPr>
          <w:r>
            <w:rPr>
              <w:rStyle w:val="a3"/>
              <w:color w:val="333399"/>
              <w:u w:val="single"/>
            </w:rPr>
            <w:t xml:space="preserve">　　　</w:t>
          </w:r>
        </w:p>
      </w:docPartBody>
    </w:docPart>
    <w:docPart>
      <w:docPartPr>
        <w:name w:val="E4A80B7C2A934A8CBE316B04FD2F3CD0"/>
        <w:category>
          <w:name w:val="常规"/>
          <w:gallery w:val="placeholder"/>
        </w:category>
        <w:types>
          <w:type w:val="bbPlcHdr"/>
        </w:types>
        <w:behaviors>
          <w:behavior w:val="content"/>
        </w:behaviors>
        <w:guid w:val="{007BC8D4-2A81-41D9-815A-4EDC07873FE5}"/>
      </w:docPartPr>
      <w:docPartBody>
        <w:p w:rsidR="00B327B1" w:rsidRDefault="00B66786">
          <w:pPr>
            <w:pStyle w:val="E4A80B7C2A934A8CBE316B04FD2F3CD0"/>
          </w:pPr>
          <w:r>
            <w:rPr>
              <w:rStyle w:val="a3"/>
              <w:color w:val="333399"/>
              <w:u w:val="single"/>
            </w:rPr>
            <w:t xml:space="preserve">　　　</w:t>
          </w:r>
        </w:p>
      </w:docPartBody>
    </w:docPart>
    <w:docPart>
      <w:docPartPr>
        <w:name w:val="74F3EBD48A7E46CEBC0D2CDC9AC79F82"/>
        <w:category>
          <w:name w:val="常规"/>
          <w:gallery w:val="placeholder"/>
        </w:category>
        <w:types>
          <w:type w:val="bbPlcHdr"/>
        </w:types>
        <w:behaviors>
          <w:behavior w:val="content"/>
        </w:behaviors>
        <w:guid w:val="{AA378955-1EED-47CD-AF42-C8CA62ED8CFC}"/>
      </w:docPartPr>
      <w:docPartBody>
        <w:p w:rsidR="00B327B1" w:rsidRDefault="00B66786">
          <w:pPr>
            <w:pStyle w:val="74F3EBD48A7E46CEBC0D2CDC9AC79F82"/>
          </w:pPr>
          <w:r>
            <w:rPr>
              <w:rStyle w:val="a3"/>
              <w:color w:val="333399"/>
              <w:u w:val="single"/>
            </w:rPr>
            <w:t xml:space="preserve">　　　</w:t>
          </w:r>
        </w:p>
      </w:docPartBody>
    </w:docPart>
    <w:docPart>
      <w:docPartPr>
        <w:name w:val="F734F578DB684DF999A45D35DA9FEABA"/>
        <w:category>
          <w:name w:val="常规"/>
          <w:gallery w:val="placeholder"/>
        </w:category>
        <w:types>
          <w:type w:val="bbPlcHdr"/>
        </w:types>
        <w:behaviors>
          <w:behavior w:val="content"/>
        </w:behaviors>
        <w:guid w:val="{982E0594-5346-468C-8A30-BA9D9403720E}"/>
      </w:docPartPr>
      <w:docPartBody>
        <w:p w:rsidR="00B327B1" w:rsidRDefault="00B66786">
          <w:pPr>
            <w:pStyle w:val="F734F578DB684DF999A45D35DA9FEABA"/>
          </w:pPr>
          <w:r>
            <w:rPr>
              <w:rStyle w:val="a3"/>
              <w:color w:val="333399"/>
              <w:u w:val="single"/>
            </w:rPr>
            <w:t xml:space="preserve">　　　</w:t>
          </w:r>
        </w:p>
      </w:docPartBody>
    </w:docPart>
    <w:docPart>
      <w:docPartPr>
        <w:name w:val="CF6267A320704EFD9ADFD6731CC70E6F"/>
        <w:category>
          <w:name w:val="常规"/>
          <w:gallery w:val="placeholder"/>
        </w:category>
        <w:types>
          <w:type w:val="bbPlcHdr"/>
        </w:types>
        <w:behaviors>
          <w:behavior w:val="content"/>
        </w:behaviors>
        <w:guid w:val="{F7E0985D-2BDD-4EA2-A87A-666E10D52564}"/>
      </w:docPartPr>
      <w:docPartBody>
        <w:p w:rsidR="00B327B1" w:rsidRDefault="00B66786">
          <w:pPr>
            <w:pStyle w:val="CF6267A320704EFD9ADFD6731CC70E6F"/>
          </w:pPr>
          <w:r>
            <w:rPr>
              <w:rStyle w:val="a3"/>
              <w:color w:val="333399"/>
              <w:u w:val="single"/>
            </w:rPr>
            <w:t xml:space="preserve">　　　</w:t>
          </w:r>
        </w:p>
      </w:docPartBody>
    </w:docPart>
    <w:docPart>
      <w:docPartPr>
        <w:name w:val="FC03B5D471284A6BA8F7145A9BFD275B"/>
        <w:category>
          <w:name w:val="常规"/>
          <w:gallery w:val="placeholder"/>
        </w:category>
        <w:types>
          <w:type w:val="bbPlcHdr"/>
        </w:types>
        <w:behaviors>
          <w:behavior w:val="content"/>
        </w:behaviors>
        <w:guid w:val="{0A13D7D1-21F2-480F-A2A2-526EAFDE9908}"/>
      </w:docPartPr>
      <w:docPartBody>
        <w:p w:rsidR="00B327B1" w:rsidRDefault="00B66786">
          <w:pPr>
            <w:pStyle w:val="FC03B5D471284A6BA8F7145A9BFD275B"/>
          </w:pPr>
          <w:r>
            <w:rPr>
              <w:rStyle w:val="a3"/>
              <w:color w:val="333399"/>
              <w:u w:val="single"/>
            </w:rPr>
            <w:t xml:space="preserve">　　　</w:t>
          </w:r>
        </w:p>
      </w:docPartBody>
    </w:docPart>
    <w:docPart>
      <w:docPartPr>
        <w:name w:val="9F83990B8D2E43CDBFD3DB439B4BBE75"/>
        <w:category>
          <w:name w:val="常规"/>
          <w:gallery w:val="placeholder"/>
        </w:category>
        <w:types>
          <w:type w:val="bbPlcHdr"/>
        </w:types>
        <w:behaviors>
          <w:behavior w:val="content"/>
        </w:behaviors>
        <w:guid w:val="{197B1E2A-56D3-423A-BC9F-870C4565A433}"/>
      </w:docPartPr>
      <w:docPartBody>
        <w:p w:rsidR="00B327B1" w:rsidRDefault="00B66786">
          <w:pPr>
            <w:pStyle w:val="9F83990B8D2E43CDBFD3DB439B4BBE75"/>
          </w:pPr>
          <w:r>
            <w:rPr>
              <w:rStyle w:val="a3"/>
              <w:color w:val="333399"/>
              <w:u w:val="single"/>
            </w:rPr>
            <w:t xml:space="preserve">　　　</w:t>
          </w:r>
        </w:p>
      </w:docPartBody>
    </w:docPart>
    <w:docPart>
      <w:docPartPr>
        <w:name w:val="20F0C8AEEC744F71BEC27C116BBC3E1F"/>
        <w:category>
          <w:name w:val="常规"/>
          <w:gallery w:val="placeholder"/>
        </w:category>
        <w:types>
          <w:type w:val="bbPlcHdr"/>
        </w:types>
        <w:behaviors>
          <w:behavior w:val="content"/>
        </w:behaviors>
        <w:guid w:val="{B8C19EC0-DC0B-485F-9731-92C52DF0386A}"/>
      </w:docPartPr>
      <w:docPartBody>
        <w:p w:rsidR="00B327B1" w:rsidRDefault="00B66786">
          <w:pPr>
            <w:pStyle w:val="20F0C8AEEC744F71BEC27C116BBC3E1F"/>
          </w:pPr>
          <w:r>
            <w:rPr>
              <w:rStyle w:val="a3"/>
              <w:color w:val="333399"/>
              <w:u w:val="single"/>
            </w:rPr>
            <w:t xml:space="preserve">　　　</w:t>
          </w:r>
        </w:p>
      </w:docPartBody>
    </w:docPart>
    <w:docPart>
      <w:docPartPr>
        <w:name w:val="A663ACB53F174A8EA085F4F539857946"/>
        <w:category>
          <w:name w:val="常规"/>
          <w:gallery w:val="placeholder"/>
        </w:category>
        <w:types>
          <w:type w:val="bbPlcHdr"/>
        </w:types>
        <w:behaviors>
          <w:behavior w:val="content"/>
        </w:behaviors>
        <w:guid w:val="{008F2B47-CD0E-4585-990F-759B3BBE3A81}"/>
      </w:docPartPr>
      <w:docPartBody>
        <w:p w:rsidR="00B327B1" w:rsidRDefault="00B66786">
          <w:pPr>
            <w:pStyle w:val="A663ACB53F174A8EA085F4F539857946"/>
          </w:pPr>
          <w:r>
            <w:rPr>
              <w:rStyle w:val="a3"/>
              <w:color w:val="333399"/>
              <w:u w:val="single"/>
            </w:rPr>
            <w:t xml:space="preserve">　　　</w:t>
          </w:r>
        </w:p>
      </w:docPartBody>
    </w:docPart>
    <w:docPart>
      <w:docPartPr>
        <w:name w:val="FB83003AAF4441C0B27B0059F1A872F9"/>
        <w:category>
          <w:name w:val="常规"/>
          <w:gallery w:val="placeholder"/>
        </w:category>
        <w:types>
          <w:type w:val="bbPlcHdr"/>
        </w:types>
        <w:behaviors>
          <w:behavior w:val="content"/>
        </w:behaviors>
        <w:guid w:val="{722FD982-8564-43E3-9262-DBF3A4A49187}"/>
      </w:docPartPr>
      <w:docPartBody>
        <w:p w:rsidR="00B327B1" w:rsidRDefault="00B66786">
          <w:pPr>
            <w:pStyle w:val="FB83003AAF4441C0B27B0059F1A872F9"/>
          </w:pPr>
          <w:r>
            <w:rPr>
              <w:rStyle w:val="a3"/>
              <w:color w:val="333399"/>
              <w:u w:val="single"/>
            </w:rPr>
            <w:t xml:space="preserve">　　　</w:t>
          </w:r>
        </w:p>
      </w:docPartBody>
    </w:docPart>
    <w:docPart>
      <w:docPartPr>
        <w:name w:val="6C2C0EDBD0284771944ECF94CDE96414"/>
        <w:category>
          <w:name w:val="常规"/>
          <w:gallery w:val="placeholder"/>
        </w:category>
        <w:types>
          <w:type w:val="bbPlcHdr"/>
        </w:types>
        <w:behaviors>
          <w:behavior w:val="content"/>
        </w:behaviors>
        <w:guid w:val="{76313C2C-9F50-4C9C-B60A-E7D85D256969}"/>
      </w:docPartPr>
      <w:docPartBody>
        <w:p w:rsidR="00B327B1" w:rsidRDefault="00B66786">
          <w:pPr>
            <w:pStyle w:val="6C2C0EDBD0284771944ECF94CDE96414"/>
          </w:pPr>
          <w:r>
            <w:rPr>
              <w:rStyle w:val="a3"/>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charset w:val="86"/>
    <w:family w:val="swiss"/>
    <w:pitch w:val="default"/>
    <w:sig w:usb0="00000000" w:usb1="00000000" w:usb2="00000016" w:usb3="00000000" w:csb0="002E0107" w:csb1="00000000"/>
  </w:font>
  <w:font w:name="Arial Unicode MS">
    <w:panose1 w:val="020B0604020202020204"/>
    <w:charset w:val="86"/>
    <w:family w:val="swiss"/>
    <w:pitch w:val="default"/>
    <w:sig w:usb0="00000000" w:usb1="00000000" w:usb2="0000003F" w:usb3="00000000" w:csb0="603F01FF" w:csb1="FFFF0000"/>
  </w:font>
  <w:font w:name="Helvetica-Narrow">
    <w:altName w:val="Arial Narrow"/>
    <w:charset w:val="00"/>
    <w:family w:val="swiss"/>
    <w:pitch w:val="default"/>
    <w:sig w:usb0="00000000" w:usb1="00000000" w:usb2="00000000" w:usb3="00000000" w:csb0="00000001" w:csb1="00000000"/>
  </w:font>
  <w:font w:name="FZLTSK--GBK1-0">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宋体-方正超大字符集">
    <w:altName w:val="宋体"/>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6F7"/>
    <w:rsid w:val="00013823"/>
    <w:rsid w:val="000139B6"/>
    <w:rsid w:val="00081A0B"/>
    <w:rsid w:val="000866C4"/>
    <w:rsid w:val="00092D3D"/>
    <w:rsid w:val="000F21D3"/>
    <w:rsid w:val="0012722E"/>
    <w:rsid w:val="00164ACB"/>
    <w:rsid w:val="00174A99"/>
    <w:rsid w:val="001814AB"/>
    <w:rsid w:val="001A5066"/>
    <w:rsid w:val="001D1ADA"/>
    <w:rsid w:val="001D1AEC"/>
    <w:rsid w:val="001D4F96"/>
    <w:rsid w:val="001E1CC7"/>
    <w:rsid w:val="00207D09"/>
    <w:rsid w:val="0024671D"/>
    <w:rsid w:val="002518D8"/>
    <w:rsid w:val="00256084"/>
    <w:rsid w:val="00263271"/>
    <w:rsid w:val="002705F9"/>
    <w:rsid w:val="002731D0"/>
    <w:rsid w:val="002D3348"/>
    <w:rsid w:val="00334E14"/>
    <w:rsid w:val="00362797"/>
    <w:rsid w:val="003E7084"/>
    <w:rsid w:val="004276EF"/>
    <w:rsid w:val="00464E8E"/>
    <w:rsid w:val="00466112"/>
    <w:rsid w:val="004A1E51"/>
    <w:rsid w:val="004B07EB"/>
    <w:rsid w:val="004B46EA"/>
    <w:rsid w:val="00505AC1"/>
    <w:rsid w:val="00507631"/>
    <w:rsid w:val="00524B4B"/>
    <w:rsid w:val="00546617"/>
    <w:rsid w:val="00550035"/>
    <w:rsid w:val="005A325D"/>
    <w:rsid w:val="005A7306"/>
    <w:rsid w:val="00644E57"/>
    <w:rsid w:val="006C449B"/>
    <w:rsid w:val="006C46C5"/>
    <w:rsid w:val="00723D32"/>
    <w:rsid w:val="00733189"/>
    <w:rsid w:val="00746884"/>
    <w:rsid w:val="007472B4"/>
    <w:rsid w:val="007A52AC"/>
    <w:rsid w:val="007D3F7F"/>
    <w:rsid w:val="007D60A3"/>
    <w:rsid w:val="007F3B17"/>
    <w:rsid w:val="007F7929"/>
    <w:rsid w:val="00835689"/>
    <w:rsid w:val="0085069D"/>
    <w:rsid w:val="00864A05"/>
    <w:rsid w:val="00891FA8"/>
    <w:rsid w:val="008B79A9"/>
    <w:rsid w:val="008F761C"/>
    <w:rsid w:val="00970042"/>
    <w:rsid w:val="009A50D6"/>
    <w:rsid w:val="009B1074"/>
    <w:rsid w:val="009E7DA1"/>
    <w:rsid w:val="00A065EF"/>
    <w:rsid w:val="00A17E0D"/>
    <w:rsid w:val="00A7198B"/>
    <w:rsid w:val="00A80D7F"/>
    <w:rsid w:val="00AC5C85"/>
    <w:rsid w:val="00AD4A45"/>
    <w:rsid w:val="00AE6FDF"/>
    <w:rsid w:val="00B0246B"/>
    <w:rsid w:val="00B115FE"/>
    <w:rsid w:val="00B327B1"/>
    <w:rsid w:val="00B66786"/>
    <w:rsid w:val="00B67880"/>
    <w:rsid w:val="00B8405D"/>
    <w:rsid w:val="00B919D0"/>
    <w:rsid w:val="00BA37C8"/>
    <w:rsid w:val="00BA3C94"/>
    <w:rsid w:val="00BE47D8"/>
    <w:rsid w:val="00C379C1"/>
    <w:rsid w:val="00C97CC0"/>
    <w:rsid w:val="00CA0293"/>
    <w:rsid w:val="00CF4C35"/>
    <w:rsid w:val="00D1022E"/>
    <w:rsid w:val="00D550DE"/>
    <w:rsid w:val="00D63D33"/>
    <w:rsid w:val="00E176F7"/>
    <w:rsid w:val="00E835A1"/>
    <w:rsid w:val="00EC77BD"/>
    <w:rsid w:val="00F047DB"/>
    <w:rsid w:val="00F10A8D"/>
    <w:rsid w:val="00F46FF5"/>
    <w:rsid w:val="00F9592C"/>
    <w:rsid w:val="00FC65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qFormat/>
    <w:rPr>
      <w:color w:val="808080"/>
    </w:rPr>
  </w:style>
  <w:style w:type="paragraph" w:customStyle="1" w:styleId="1BB26D6223FC4D3D965A1D85FA04E066">
    <w:name w:val="1BB26D6223FC4D3D965A1D85FA04E066"/>
    <w:qFormat/>
    <w:pPr>
      <w:widowControl w:val="0"/>
      <w:jc w:val="both"/>
    </w:pPr>
    <w:rPr>
      <w:kern w:val="2"/>
      <w:sz w:val="21"/>
      <w:szCs w:val="22"/>
    </w:rPr>
  </w:style>
  <w:style w:type="paragraph" w:customStyle="1" w:styleId="2EB67F227C904DD48AD119BCD29A8BBF">
    <w:name w:val="2EB67F227C904DD48AD119BCD29A8BBF"/>
    <w:qFormat/>
    <w:pPr>
      <w:widowControl w:val="0"/>
      <w:spacing w:after="160" w:line="278" w:lineRule="auto"/>
    </w:pPr>
    <w:rPr>
      <w:kern w:val="2"/>
      <w:sz w:val="22"/>
      <w:szCs w:val="24"/>
      <w14:ligatures w14:val="standardContextual"/>
    </w:rPr>
  </w:style>
  <w:style w:type="paragraph" w:customStyle="1" w:styleId="42993103ED63426C93DC281788A5EF1C">
    <w:name w:val="42993103ED63426C93DC281788A5EF1C"/>
    <w:qFormat/>
    <w:pPr>
      <w:widowControl w:val="0"/>
      <w:spacing w:after="160" w:line="278" w:lineRule="auto"/>
    </w:pPr>
    <w:rPr>
      <w:kern w:val="2"/>
      <w:sz w:val="22"/>
      <w:szCs w:val="24"/>
      <w14:ligatures w14:val="standardContextual"/>
    </w:rPr>
  </w:style>
  <w:style w:type="paragraph" w:customStyle="1" w:styleId="E4A80B7C2A934A8CBE316B04FD2F3CD0">
    <w:name w:val="E4A80B7C2A934A8CBE316B04FD2F3CD0"/>
    <w:qFormat/>
    <w:pPr>
      <w:widowControl w:val="0"/>
      <w:spacing w:after="160" w:line="278" w:lineRule="auto"/>
    </w:pPr>
    <w:rPr>
      <w:kern w:val="2"/>
      <w:sz w:val="22"/>
      <w:szCs w:val="24"/>
      <w14:ligatures w14:val="standardContextual"/>
    </w:rPr>
  </w:style>
  <w:style w:type="paragraph" w:customStyle="1" w:styleId="74F3EBD48A7E46CEBC0D2CDC9AC79F82">
    <w:name w:val="74F3EBD48A7E46CEBC0D2CDC9AC79F82"/>
    <w:qFormat/>
    <w:pPr>
      <w:widowControl w:val="0"/>
      <w:spacing w:after="160" w:line="278" w:lineRule="auto"/>
    </w:pPr>
    <w:rPr>
      <w:kern w:val="2"/>
      <w:sz w:val="22"/>
      <w:szCs w:val="24"/>
      <w14:ligatures w14:val="standardContextual"/>
    </w:rPr>
  </w:style>
  <w:style w:type="paragraph" w:customStyle="1" w:styleId="F734F578DB684DF999A45D35DA9FEABA">
    <w:name w:val="F734F578DB684DF999A45D35DA9FEABA"/>
    <w:qFormat/>
    <w:pPr>
      <w:widowControl w:val="0"/>
      <w:spacing w:after="160" w:line="278" w:lineRule="auto"/>
    </w:pPr>
    <w:rPr>
      <w:kern w:val="2"/>
      <w:sz w:val="22"/>
      <w:szCs w:val="24"/>
      <w14:ligatures w14:val="standardContextual"/>
    </w:rPr>
  </w:style>
  <w:style w:type="paragraph" w:customStyle="1" w:styleId="CF6267A320704EFD9ADFD6731CC70E6F">
    <w:name w:val="CF6267A320704EFD9ADFD6731CC70E6F"/>
    <w:qFormat/>
    <w:pPr>
      <w:widowControl w:val="0"/>
      <w:spacing w:after="160" w:line="278" w:lineRule="auto"/>
    </w:pPr>
    <w:rPr>
      <w:kern w:val="2"/>
      <w:sz w:val="22"/>
      <w:szCs w:val="24"/>
      <w14:ligatures w14:val="standardContextual"/>
    </w:rPr>
  </w:style>
  <w:style w:type="paragraph" w:customStyle="1" w:styleId="FC03B5D471284A6BA8F7145A9BFD275B">
    <w:name w:val="FC03B5D471284A6BA8F7145A9BFD275B"/>
    <w:qFormat/>
    <w:pPr>
      <w:widowControl w:val="0"/>
      <w:spacing w:after="160" w:line="278" w:lineRule="auto"/>
    </w:pPr>
    <w:rPr>
      <w:kern w:val="2"/>
      <w:sz w:val="22"/>
      <w:szCs w:val="24"/>
      <w14:ligatures w14:val="standardContextual"/>
    </w:rPr>
  </w:style>
  <w:style w:type="paragraph" w:customStyle="1" w:styleId="9F83990B8D2E43CDBFD3DB439B4BBE75">
    <w:name w:val="9F83990B8D2E43CDBFD3DB439B4BBE75"/>
    <w:qFormat/>
    <w:pPr>
      <w:widowControl w:val="0"/>
      <w:spacing w:after="160" w:line="278" w:lineRule="auto"/>
    </w:pPr>
    <w:rPr>
      <w:kern w:val="2"/>
      <w:sz w:val="22"/>
      <w:szCs w:val="24"/>
      <w14:ligatures w14:val="standardContextual"/>
    </w:rPr>
  </w:style>
  <w:style w:type="paragraph" w:customStyle="1" w:styleId="20F0C8AEEC744F71BEC27C116BBC3E1F">
    <w:name w:val="20F0C8AEEC744F71BEC27C116BBC3E1F"/>
    <w:qFormat/>
    <w:pPr>
      <w:widowControl w:val="0"/>
      <w:spacing w:after="160" w:line="278" w:lineRule="auto"/>
    </w:pPr>
    <w:rPr>
      <w:kern w:val="2"/>
      <w:sz w:val="22"/>
      <w:szCs w:val="24"/>
      <w14:ligatures w14:val="standardContextual"/>
    </w:rPr>
  </w:style>
  <w:style w:type="paragraph" w:customStyle="1" w:styleId="A663ACB53F174A8EA085F4F539857946">
    <w:name w:val="A663ACB53F174A8EA085F4F539857946"/>
    <w:qFormat/>
    <w:pPr>
      <w:widowControl w:val="0"/>
      <w:spacing w:after="160" w:line="278" w:lineRule="auto"/>
    </w:pPr>
    <w:rPr>
      <w:kern w:val="2"/>
      <w:sz w:val="22"/>
      <w:szCs w:val="24"/>
      <w14:ligatures w14:val="standardContextual"/>
    </w:rPr>
  </w:style>
  <w:style w:type="paragraph" w:customStyle="1" w:styleId="FB83003AAF4441C0B27B0059F1A872F9">
    <w:name w:val="FB83003AAF4441C0B27B0059F1A872F9"/>
    <w:qFormat/>
    <w:pPr>
      <w:widowControl w:val="0"/>
      <w:spacing w:after="160" w:line="278" w:lineRule="auto"/>
    </w:pPr>
    <w:rPr>
      <w:kern w:val="2"/>
      <w:sz w:val="22"/>
      <w:szCs w:val="24"/>
      <w14:ligatures w14:val="standardContextual"/>
    </w:rPr>
  </w:style>
  <w:style w:type="paragraph" w:customStyle="1" w:styleId="6C2C0EDBD0284771944ECF94CDE96414">
    <w:name w:val="6C2C0EDBD0284771944ECF94CDE96414"/>
    <w:qFormat/>
    <w:pPr>
      <w:widowControl w:val="0"/>
      <w:spacing w:after="160" w:line="278" w:lineRule="auto"/>
    </w:pPr>
    <w:rPr>
      <w:kern w:val="2"/>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sections xmlns:sc="http://mapping.word.org/2014/section/customize"/>
</file>

<file path=customXml/item2.xml><?xml version="1.0" encoding="utf-8"?>
<sc:sections xmlns:sc="http://mapping.word.org/2014/section/customize"/>
</file>

<file path=customXml/item3.xml><?xml version="1.0" encoding="utf-8"?>
<m:mapping xmlns:m="http://mapping.word.org/2012/mapping">
  <m:sm4><![CDATA[eaP/wtM2ox60GNZ0gC4LDzlWz6OyHGOgDNgbNcJItC7GYX1OUlIRQYJm2qtQaNHQ4BftD6rV6dcZAXG/flDStHKt3SS1DGMQxDom5jl9fO7XrSUxbNr30iB+u1bvSLxsEtm1N1HfZdNsmsurmof7JWBGqSldVChfYAJzeXc1Qgwrcq80znM4htinwaB1RIT0B7u6P7+wU8oxeV4vZ4pjFWi0kfdZThuGi1rFyghemqIi6eAxwvmm3WQN7yCIQJUpoztL4qtlh1hZmWRClOTowzcZpf1YGCsN+7B25c70fpuaLOJyKbu2rKQfwv8txAlafAW7fgY0TSh6h2Oqe8bhEqPG+rsg/HSL2IGsRPui3y7U0nzMTiStVlCMacBQNYUWR69g+J4xXkEK0voW7m68A5itYQ6ZwN5xXVagOMz7iu1uIevpDc7SFcCHQNl5e4PTsWDh8Vcq7ZXkcckz/oCM/eWcPvFpnw+7wTWXU6WUl7WAy7nBuJ1YMF/vY7bMX7wd1O7Az3y/u7m9devIF9Xixw4lyQDXi/GMLOuttbwe2WxP8sszUORzjBfbCOArNJ5ge2Rwl+6HrZXYkGloudCw2J7fkeVb0fVjQJcke9jJM72qz9GtSrj7HX69trF9LCn+1QS3kDw5zZeSOR6yErslKh6/8dMtmnCzYuBH5/BJa4k5Oh97hwx8xSqK2rAX4GtvtFuRWer4gynYgdHlXAhbI050Z8rhHhnxl4ihimpXshpcC1ZsEcp4ykRMl5NWcRXQbbiIgqlMLnurVigHUqN+iJshREwg6nllAUOGVd8PpN7eDPyY+BmCvtPBhqmcK2K6Vu+D2y0RiwSbbWPtOEXzCtqQ+O61kdIlIlwMHny5DuOh27gn2zdl6nseOq6GH9yNPLLdvbQSPHpVWBR9/SafDta4c+txUmvMwNnN/QVt/FxLMyo8EXZrau8T6+KJV/Ivu8nly5BjQtH5qCZzSpNmCopI5UuRQJ8tnncInCG+MWSjfB6XtqB+J6bAgcQuW6yYrB0HaAm5Q+ur6AbOugBeRYMnc5nJs+qbJFy3gs+f8g/gI9/DLdwAcdF28MlhxJXzs1U62pSzYu+vXqGbX8FKPupbyeZEHmQdQt/9zGUQ5hdIXANq2/u74SFVR4LWFoLecV7Ur6W94c/I8RfwAA7Hix5eHWi3QIV8agBlc20GOnLydOCeiROboDABaArwCd6CDzIatVmejRN/u8XhltWC1IRKTfIwS2ieQd692zMauxvWKzZA+vrD0FvIWAvBj/Yg0i3d3XHMcFkZqZ64FjlEeQam6nhd6tEwW93DlqYODPj8hTZCYiX5379LhNyxB9ESDqiyU9UpKee9AsLDezBNC+FZs5MFfljYl8JZTCC369wmjWGgvJyh/TjsmIJJuTJSykTSS59cDolvR2xtWDf72lf9KnvFYGq47NWW8UovbmEgUnvXUZhe3CSYC8IPzMTf+KMUrH1bW7MiPNGYV4URVwmA/GT8bi2xD+tU5RldyylQ/R4fhJrfkQb+LsAtZV7tEcIRodsdiL1jazDKsraKSZ9AwKiIkdOE1hKd1Z5annbF9DPAZVehHJcKx8kHUdogM6jNT9mHhlGGxGdqNO/gqcsIYXlgPxaJXWgUX03B5pa+u8gAQMDUXjHw8HXFMdcf7zcE9gxeFdao7iNZgESdc0Si+rYYuddNIZkxxXNRFza3FabNhjPJ9io0gdlm5gmaIPmLZTdGFs37forEA37JEcOYAvI5jmkkdta5y1LG2D+A4BPMhGIsLR1gMLl/2728AyuYaM7Ez2jQUfPIvK+Uacbt6tTGfFkp7B34TDVJD1vTvZcBhMvSvAQdp4BxisVXdSLiNDkJZN6V8KAbZ+y6JOL8pJCTqNNyIS/IG5xTmgMjHUcYbJ1XDHLo53xGEoezVhgyvPxJTWgG0TFIKN0ePmYQFuyCfFlnmBFiptH4rgy4V/tkHKAg1gLaOjJ3ufAVatdHiY70aUTbc/im4aPUKd3XYPEv+2gCKTKqt5+9SxUou12AlkUbppdzPHJgmebWXbu0YRxO0jZB+qjcQG8iPUQOVJee30F8yEIDQ1xWOMDro2Gp8zsbFfoULu+c+W73WOT0NOPBrFHBtetUft4WvdtFBgUzPkvhKBCHOEmneJRl1ExIU7OHX7AxZThk3Xk1cXzQC9693sC4sjwZfsN0JvNLKjw4jGloU0UBLFLlazPhhiqTo6I6PAv5ZJIKYW97VYCmEAZDEuVAzJw4opf4x1yF6vo5R/4psiyRj+8cD5BS641jWvml22TimMhJCjBwVscy3bsxzDPOqSnvU3XfFWMAB6yrSFZznWt+72Qq2N5Mrl4XlAwLJXM5gvSevJzPb6eWx8TqZqvRZez46jhIUSb4h6BTXwi+0PkIVA3VCOPvoN/X25RRHKe4EyYYrsZElSssppueN6AsTIk61lFw7HEFRvpEo9O4urU61Hip4wl7jiKsSxrL3/di3/gBto5/bfreKRuqT2VnMrMrjgFGJ099iRrTigSxtZt9bUmBG7Kf4GtrP0k4ldpH8P5znSx6pEEYwehoXzDhc1ZwbURL9m2FxBWT7yoCpF1SSzsoQjefad5JHg4TcMEm7NecHJUVA7hyIzPJbzkvC11/Ihke0DshOp1nsEXSczsTkoOWJgs1aELEAtTOa/NXxptl2c14TEs5LdOxt84AKmpaq8dFhcrctEdO4CG1ShIFUZ3u3sNGzQtRx8V272kN1eLQkZXVYPFujrv+Fgmxt16KNYRrmzU5Yg9VewudqxQgj2sVj6aiXJ/s/0s7dLLA+QbkGEQTPYwAxqL7ZUNiP7p5b4EmmGnJKxVXIfk+lCsdzIZOgJWDe1P8kCxy8SxdFE6xp8A5d11bqA31TPJhbWG6+YAWIzdKPLcxGKH/2sY+8IF07f7q7NOgKywI+di4TMAgNI1ygrJci2qj1P/TO5JZ3akfIdVzDMdmesej3xLHoOqchpGovo6Yf8pkldR5PL0jhO/47sh1zEXqWUVk+V8ge4D4u99HUfn7n7Cx2NU8K2BIVpkE8KMNhExD6MJ9+HjYioOtX8HDD1JFOlDkT8OsqroP4MXj64P+NmpXspN6Eayiy1O4gf2GcUOMVvHK9FpdOMu99fPZ87g7ZeMFU+JDCwXuu3hQF2dWGMec960Q3inxHHj03caX36dEFCY1kcsCvkcdimHxl08n8CdQkoPN/pezzVRJNjfD9JsZuAAlUCvCHw+BXhlL5GwqkIicEHLI8j19+i+6d3KqbceZUSQ19bac1FYW/zwSKm4SxAeGH9EpZhbwymisiqs/uram6orvG25kNOe437RdLombP/6fcALqCi2yKlBZhWa8xUS/6GVWFBvqdlH7VTdhRWbDU+41MUKHf/dVWdCT2AqS67ysztyrWBwF8U4XIAUnUTvXWkjbtwlHLrc2VNmh6U8bKUS0IIlAxlOkOASlBjXvanUTl73rma+w/BvzWwiuDT01Fm56sHZys66vvW099/0G7T+1NpAXQSO/V1yb+fmq+CVLX6hgTlraZetL6+GZu80iG6lcVwEHlxbv8axxPfPdepTXGXKX4zK761bdgPsZ/GS83QxO2K50ohpe4k0cfgz/MDMUI9L/4XIi4K+6Ikz+3wSQ9mOd6KwMJboKwDSegQzvsxe8ZKA7XDkwGTJH7a6fF1UX4IVcU15xkxiEDeJ84D+WVgBlHVV6eztD4hm8U5WkQtUn2be1OYYVpHzf/kVpQ5ndg2gTP/gsXJCnVtGDN4obWQel97NKtvnahpBcg1rlGDsklu933SBAWXJfiy1ZoFlHes+qQ/87AnkP/sIGTG1C02ELB0fuCTXryx3EruUJzpqkkf5qHd7yUy454YKuOYrOuW0S5Y1u5gvMWapJwiW7Cav99N1uZyBS5B0/zjTOFI9IiPIpJeObBVTxMFs9rfHHRNCZxnUYSZS1b1r7ZZL27LieJBsKE8CzvbdIIvTwtPixBwOXSRd7RHGvKQ5hVHXCFMGA9oIzmhSwoL+o2F8Rhdf/K9BXOuiN+61X1CMU8ycCkwNk/1ecHVs8xJk4QwZoElsuWXnpzVvlHiTqC/AsLFdjBVKdCV1XXS8gmpfk2CISTB8z+oPwATcyfFyi3WlGnVixW6su/P/QtHrwHYUu1W9jbFj3KPl3U+hcdbmdu0S0UCgcqVJzozYUO60I2fUh6+89/lhqsSxFFKxTUNnK/bZ5PmJs0hMugV6fsgeWfbfisBG5WOuvOoNUWfaKt6phjanzk0dIPMx78RTslGHUfLIWpYsb7zqhcAlNuNtUKtkEr7Kw+/b/574018CEtd4Yq9JP1BsWfoPmF70rsq7/RkbCHPMh7dlLntZykqo2VSuep50lSQXTbI68zXzlAWY8LWMH7UL6JkZHGgyeJ4RKB4O+Jd6qSHaMd3N6BuEfVYaE4rW8/zLfuGIO9UbQx6o7zh8f0PfFmsNa8HOCZRA+0OYRIUfQ5lCDorTvaJ3lrqCowe+vDlm+NHQLqyISyIws3Jt/rOqaZpX6OCHsVlqXXzABMyCSoYQO84Nvi3J3FNo+ibCkjxR8Oo111Dw14vyuqiPTEYck2GxWpdzw08O14/ZjDGQ0l2gxMFaW2wWRM88DwRaRLwTURWQQ03pRdUEDI/PED9c48BZ+sGPFgLa2Gsw3Zuotu4nXyqVLmFvsoDvgT02yRbtkzwx3fbmYiaRQS2SpX2DV3GUi+tDroQDP0gh0DuEmECLFC8otBqCxrm4jBJ2IYRIKY5BAqoREJwXmU9dQmNiXwBzO7pwMg0eTw4wx00Qdc5hvwgkwPZJpusYxczp5LiS1+KiDPYB1SxJHWvfZ1N0TYflMM/NajU1jKBddWyz3PhPivawduzn2XuPrfN0tqlfZ5grLezz0TxCtyAh1Dzk2CTYmkZtX7AGX0osBECUV66rV5uDvgpOu/t+vJHzeSYUKJBjMXTCNmT5vqGLkkPjPdtTQKebEyesRcR1HqES8cndmnaIATJ8ldTjmaVuaQ2B7zV1TYbJRCd+09hCcoQ0Uh08AM+kwF0qg33Q4POQu77PmOrLj5LOQw9VfT7xgigkMU1KjaglhokjL+lwPMt3kXDgAQjyb69q4IGejO+HcDSvWnmaWYbNrQbEK+eoZkWE+6IGMWgDb2XZJk+BdEawoWode8kjGGZYPafq8uY1iD4U3M0wJHOa1wVYNCRbdPy365UODo7Zvw/qgzZgbRiP7fkqKXqUUItrL5cIUeDKM9gpLYUYpTMUI4SaJSNrEQBjB49skDIdnJAFoi/ihI0oeeoY9bzVRdUejjMQfbkArbOEl+/5l7CzPdOnZ1fUtmk69yrf45cAxt64ozjqKMxze1x/Y535oI5iw6ufq2hauT3Cp+W9OrB/R/87YtRE5YoUvIkuA11Kv6nZw12c982at/Y1CEK/iX/pXDHEaPD1GsyFP0UKVB9vNJBqN6SZ7CSwrDWJ1Ug/8rDdugU/MinXaDm6Aw4bLBXYmD1bB9vEoTEcCPb5oDFpBrH0ElweRQvRyjX+mYkHccOyeqUn3gLvigMAFJugieJGrrr84RER6NrrAWJ7SeAr5gRCRqXlH1Xk6OKR1ichanEDMNNon8FxJcOwBRj7bt2H0gamQbN8SDWrx0zF/1OlEf5zfQWykGLGPhr3gDvCf+5zkOjpn3pflIXH+Im/0rnkB+e7m5sL6JO4hc9gVGk51GmLEB/OldJc2ir6oYVpksfjG4S+UwspGvlDg+PCQvx+VnysOCLvV3RoU7rTK7HNfslMTJ4SG+EfRy15gh6XUzyZHkxEXa2iA6nM7H7AAU+5DJZGoNwc7bYW6bD6Mberz2t4lfILSOzXQObDqv0Yv/b7rjQryi+aSjufXFSp6jBWXlyuVHUGmBCUVvnMJurAxSx1E3sxWwxHuAvY7U5QvDtwaflUEQzXuzZSRs4J1wNjUQKswqSTVQ8DBnuBwVLF5ehya13RXczxiiX9NbZYJjPyPvGBiSoYt6wpYCxfWkzd39Jo6dNpgfdpWparOymB4BZ4F4G+LS5qCLNDP6ky3MhaAUkIV+yQzPkE4fxW9iaki/NBI/vlHA/szxAquDj6t6xrL44fV2S4vCCeib10fSi3nz5VnjlabeyYteQ5KYbguf+Fo5+TPgLhauCKqOcU084Yc+Rz5jyPz76o20kbqOOAWqAb1XUdH1BijGZK+tkEFqqNdbjBQaJB9ZlahB15c5q87TM+YRWe9DwaTGe4nc1tYnEBjDc8GE9afn5UK+xs4nsHRMntojP0O7QAXhmc9UfF9LPJf31n74NiG236pYHi3e47ESdpX8GSW7QKfS2ZSTOqLJK6Yhyg06ulDdARhf8+IP/GCAAC3HpC7tVSm790P4246K99si2iMf/QZe1mKG/CZXHPJ3xDKdvpbYcP1lHNs5jmAEyuEmDol5UmYxaaXL6M0WV2poaOt8iV0N2dh9IadJoKld8VtCiTZGjQYNZ3K3wjTHuVyKlqdH1rKQLXktJqoL9qFCLE97E5IPhnwm6iMsW17F01PkMYpnwAibNBqgwvv/15OUrf+AHhEJ+sLvkCJTQpBuclMtNfUNlMWYICU+XxAEQjSMcurBVlJ2YvK8FlJq8NuAzSNyXBb+QdTR8s8hTNFsdJa7edTo5+7uUrZhxTWg4O1o+8f+aSovIPlr5aw90bY8BtFYO4tblwHD1/oVFLU6UV9ojUmRCkIhdOADZD3kpYfnufbMvJxAitvA+Kn1uvohCI6H5c3vny0N4N11/0rGQgbtcqCHafk4EcKWV8RAxDsprxhE5KyyOI9y+db6qbG/iAiaCBHLyOoVLkSlgJjYu+4SjZjTWjViYem0OiPK8cBQjnfTNoqJsbSY256waE5h6+FqFBV/m674P+7c8jEv/sB8h27S0bJSFxYjdpxSpty3miMjFLljWF4pjoTqwAm12ZxRCSfERXf/kGc2pT+4oV19bL7L75/biS8Rh5h21fDlWaWhnAgn4dOgPFPrgpVAidEBrRupH72FB832C8FZM+Q3s/aYFrSv5hWkjr2QIygEqD4tr57WUSr9KsX4GKRLmYgvE//f8znMEXKy+ffc5iIUMXf+FnvF1ch6gy18/8ME0YCZyJ9JVdJuuLw1u48pTVLyf7Y/eDMqCZ7E+EVT8aw0BILpEKyCMV8RkCAZpGXM+aPoaTp/2oduBJXI11HUaUP98241ndW5QAn4BHJVoz24HIVZv1YRG0txs8jee4brFWFUHlup+0eCyO97xBi5aU/dCOthhx1Clp/mJMtS7e24vASSo0ZBEVFDjfACXzG0S06xOqZo1U9pt/ePB2je4QGJTCkdH5Ae7Awk6nh2vCRWiG8PcRE3do3MHyNSVKYMEHO5bKCd1HYWNuBkgDw+9XxG3Jp8ZSvdk+RCLgOsD7P7L8ONA6eiy5CCKSCV09KBGgi+My1rAaW7zr4Gg3kw8pPAuRudtd4JPYSi4Uwbs4Wl8A9ts2y0jzIplkGgSzX08e7zgNpHsGlcuJzuLilvEtDeK/Ofmr9CIF2J/bdSB7v8nIROw//C4NtEh1uehzQQdjYmMqK3XrPt+goqkLq9Y7j1x9yqK0eIjjnJzbvFBNj4tNWeKvfzBJf3UFjmWwF2SJ5C/PXZNMwYOwBU0qytmQHoIjjUK/X/Ta9cq7c1ik20b4k98bRndfggRI8vAp7k0qXNbu09+7Oq1VYqPOlqX9SIn+w2yU/Pq8hUvYOzAA0phCy8KIx25pWZu63HXKc0JwJppB9QvkbyY6qIwJ83BeKr6bhfolmD/6ywMXxD/c9pCp4A6/bvOITk4lHOuF5tCCmx2/1xQcf0N5HNnDz+IS1BzZGUycC/Z6G+b95kbBsPa0jAysCfuOImeSrIvyXL445UFdci0kOg4NXs+UF9+MCBmfpZ7UEEldG9ex+5FaBPgRRf0nRJAwD8BWX4BzV0ci0DY0mpCBcLGTvRcIbYMFHCBfawZAIyOqr0/WZZQB2WVdfFmY/5C5U4HNugcEdUPJZ0eKgXPJYbsx6LUwaeTJ2w1zDtPD1E0TasIqWgCAR4NGOSUW8NltMtzttUcuucUyk/0TI+Av8QdZQzbX4h9NWX6bNdvwiuZbz874WSNTWIVYuBU8v942RTjDL/78UzZ8HTOljDMRg6l3yqMlltycA5vt7ehzTo7s+SS8qzftEdt2wiiuxiLWp+6tjdI1NuptsIjHJS1KKaUlm1hXgsdeXyNEkkbdHNunpO71esaWqbs+/dGPAYQ+WoAMTqR/Vc1pwGauXJiLTl0SKjbuMzCFUmKy2yRTBYtFMEfT3UUTMFhPUhphsT93Hj37d0nygdbeASM1gkhwUQA+4qf5ckJpHBzgFgPmMz/S/zyxVYsu56OyrjrKfltvk3wLcBGJqEuArECP810qk2KAYrmHwIczab8W7/3Lik30VAoKfMqafWO3pWe6Wwqq+DP6X0KqCwAu33JMFpUZ8esACvmFmHTl0xvKGPNMe5GRjizBlWBbNoNWBFN8jVZk+0N9tSw+mUU7a4LxS6koAj148QMzo/llaz/dFEga35LKkzKA2MniLtZiplzw75ycfW3gd/ETnlzwZuZUmrwaIv4ohWSDllHPcdDduxHaBlV680ad2b3xrL4+zCL+hFNPecoyz3fk6pMxTWxBc3uJ8hpPOO+AvEHJAqe9ki7f9oyv9StW6NoVjPALq1kSLz/4Fdm1Maog18iyj2n51fuLLU9ZWRwwaTCj1DV15INkqD+4X7BlnOp4LJzcOWaRDKdIR926pwu/DfzpRe63TJiwP3KeqlrzVALY22Z8zdIxHdcuYlmuVPhKvOT9EP5OwIX3kStcYABAglJP4BjVJ9AM7Tty6Lc4K8EvMg6sXfgG8/ZxKsieMKct0WOZUo72pFJG4qBDvimB7XpRFPxP3Xk0jHuEkA7Qhj5t4afX716dl4IN7u/2sbxQ3rHJEc2+wGf0IT4YTpBQRMaQdKl6cAabU3G6DmGYQ3siJ9Juela862ADpLaDYr/AzzDLxMpX8KUVp0cvLKGRpizx/Av7YhKqzwMlvwn8z8ERtSrcrPKJumhQGiHBlobHNmVef/jEqg8Nn1BIxLhCEQ5+QmklRgpDBKm+lnsXNcdL58jhUVqF2lte+0jWZA7vDR4oItDChwEwSg7eTyBWiGfJUScSCggGfhNKMUmhS437d5mrsGnOd/WywAtngsTEhL56ApRzHe+FAHRzXVuerOVA1GyG+A420CcNmb1wFYy4H8OMWscYzQMgy5w2bVej2m1QwdQZOI6XhR2nU1vtfHKFrJ1lUVCZsazeCW8jIFI6QrGgHisRbVK8T3ltAlQvVh1VJJ9aL5wSl+sHDRrA+As7Rd5bxY/inzMYRrOu9019KKx9OS1LvTxjpPNQeIHjCwE0p3C9MOYLCIEy2eERjw/redThmJjHUJUh8DYqBZSA8vtX9aaiDEGjkgeOo65Mp3jx303kymOATf5PNYdQzdS/98f+6JuUZDy8DkdYVlavgwcwhOH6hY/6muhNFY5LKdQZI+6GAfhqw1qWwBabh+QZkWes4awX7207Og5ieCWCA81yWNPH37bFWz6G5TXLduXfAeXgWQk+mqarm/p4bvtupgl9o+6nIN6eUeSISphOn0hzNvNr7ICA2R0+2GlehUSxzoUh46XRCaTZXuQ8YEDteKaBfkKV5ek2zqMIloj2uuoNnDEfN86UlUdstfP9stX86ADEiWWWBMqenNcDHlIo4oBhULNij2OlUPJGknvxXmQkxwGsHupo1BcymnTSwNQrddzxzVZ5YHriV9eZxPyU+78k9owWYE3rmPtsxbP+xNHR7N5HUVoq3ClJUofQdRiILrTPcHzKR0+bRJ9bwY5wFQXVglP1B0jvxxtM7cKFR49J6xOk9BVyJw4j0iLu2V9x8r9QXTBIVCk+Xy+au1sALDqNFxAxgJ6t5R1x0d2LJRbcWcq+Bj2T/FXgnVMcCkfF61rApdHbzT3BkhhKoj7cKGeBjt0/it68Ac4DwjNSgAlvIK/AxVKcgOOaoU/zohL4bQFZgry9GLHvBt7tjT6H7VSzf7/dm0mZeLaVMIC7qc/7JMxMIvLEJ16LcFKlg+cteC11ocpa6gsRXoE3S5aL1fOxJmk1lsVHeAJ2AyDcmjJs9t6JZcQZRT0mdJJUgJL6Lpa3dlMVfF3I4FqYGWrYYFOK5UF7UdgCE07ZnB+QgKTuQKF0Ie8mmJTTNZMQ4QVjln81XQAvecrhg26lDUvxVZr0LsvWavzJHawKC8NH15w5DpHfyCXog6VcuI4JclVh2u3lVqvwQVAsGIpCwJhr5+PCD+rMAbIywOxeOZOY9jogQJw1SU/BAhTVov3hnlfvnZgiEg9ilYqE858McTBG0HOfRTGtDnDwAQxa4Gggj1KSPsxGp+JStFH2BikDE4pI+G/yulRiVOUyy1zbgghiHqHajPwSilv8RHZEh+a3wNP4F0RwYnBf1AbXsqOVLbn9HjlAxgJbcFdIdAnv6VChvQpxcxFIJC3e79LT68N4zEjz5VEz+XceIjeSwR1Od9ESjYQ45ZWX3aQrpemSOQ8CVwgX61lz0UBtAEUvzLi9lOMCUElLcEW0dxcAtrvtDuJDxWvg5hW5KR1LYM68Cy5uBTFRTm08dSaisI4Xff4LzeYuB3eIjW1y19yqCNG6KbuyRAeoKVhCTUX0Np9Wc/xnyAeNC1+vGghb+CnXJ37x7zBiY9935EZyEKACknZspefXEJRcXyncnSVtArffrrS19BBEvbtZpONOySjg+VDAqnF0Z8I7wTdK3TspL8wHNgKdcTB2WwB9oj3gK/DbIhypqlDU6rK/dQEnCVItAAO3kPv8hDzbsHcD0fEdkJDFMPPbzM5xnoAVDyeqWcHHL3QRyKUxJddpMcYoS+7atZr2nvLkoQcUZWTgN7maoylX/efiDX2Dp3A/Lgei8Nd653VQWSf1j6Wt8i9SFdGdkY6oof/DAsBQiDljUbc1eIk+heEpfhSKVtZAVNHkkbhpG942diKzQmEGblb3ioyWv6e3eogu0SMiPKC8QgAYpi99CzxyoxVgzU2u+u11488UeLj7JUtlm/f8zHLkweAXvJ9/n5oB0LsYk2NvFVxOmcJsG+XL5k4rapuCbOgANkxU9SLKItcQBc66Po5gblGDmWIywfQe/6GL68VCjhrtPNCfdWVilwgCtu4OD62xdyDr8AHQeniCVhsIC03G2JhaTLxRcMMO2Akr7a0Ex8VHZ587bWrjufC4aI+QqUm9f0QVL2kJ/vsYW6yC4x6xFDSLTwYx+5sEFnPrr7KvP2qKzLhWPveuAOWE7e/RqeHNSW/H+TUntGxAUTnfaqsqHInqKzZq5rpyB7C9mjETUbmJNS+GNaezNN96I0lKPOhVCGjFNdQaNJjMSe4xy98ZNGce3JaS9zBS/xX4K4bbComBNQkpVAh5SJIftKPcC2Nv+YdhoGcBYB+pMfxKfWN00XFRbZmp2OfJ2iish/mPO9eo5gsrMTSUluqPnEQuCxYR4XidG7WIpHZ6VRk7HEio/pqgkVLwBVJbCdmxZVHQBJD1tk2AQzaonnTdtgtawUsQBKd42HaUVVZ7yiQ2z/stGVpbCe1uxxPolHyz9gbhYEGLb4Df3/tC0uPBygWUlbDl3yA+XZ5ootacRps12tz44Z7JmPr3Dmn0Z1cjylYdEDl5IKqECESikBRmoFkYULbJH6LqRQDh/GzY+2xkANgz4cQbgR3mVzJu3RNKOVr1CAtWQGN9naoJchxU3dGK0RvSTWWALL+GrZvQwVix+Be3WeKtcHzKzJUVLYFjt4cU0hph8iQGf2Djjwg3cxzKP91asIWeGfNBAdUWqjQgYfYWUvG0plH8iF834SJ4ePUhoICNo7ZpEn3/SiaP2EXr86ylPWeskPZBxob83hRzvbtpi596kxzmN3Ade9hrQ1cZelsVGpSgKJfIQffFyZ7W46UJG7Vv+hBtoPtUKHi8h9MSCxRR2+BAslFWb0HSRrigElBrFfgWnr6LIf6SAyG4y3wab/38O/DA+NdByf+g70/jOAUD6tOr+v9B5XoihU/62wMcTZlwXPFfx5RjTGow35xjpsKO0C9bFf+jsN8gUtJGk04HFZxOsEeV1DqaWunR3DlG/yYDuuuRI7I4XOjk4pVKBr/ar29QBJmB+FTL+BDTUKE7jfDIdTpcUnvqVhaPkH6II4yMlmB9nrRBnQOsAx2uJB/QzTdC/EmDDyqn7pYFsWYWagSeo/YeLL9HsYSxZ8FB6Flow5u8HEXvdWH+FwBTfRIZlWSWQuCuXB5qq6pw5EoxVAlWro7pmJuFzRqd0ni8jpuV0jHi9ucN79E1w0pyAtrY4iPWipJ1QN3XtaBYF3qCdB8FVvNl2Che7AErk4pV+GqmiLKF0KAkubU+E1/rw6t/rg3FgFtv0QN8dHY31qSGCH2pcDlQV0WJPd2TZtWr05+mqzAdX1NoVix73K0e7eR6bVksH3uOlxQ2EYeRw5ktdXmrWWcb2ij7Z685TCSA3jO+2fTRed99TJnjoTuVqkz5FDGNBfQMjrPBTPl7Zds8AIjorExP7BRbLhYhcUM1z3H87e9jwjBvSdVkDiVxXpf9QCTg5zJIts9asZNn3N8ejM7A36v7Oc4OFt4KqlkAlrCSUDraXn+hKTpOpYShJrlEMEbVXQxJlFCgbCFO7r/iefCkpElTIp+TmoU8Kv/tfBjUmAz9Ko9UtvumjGHrW3szsgke6hVKZ7NsBop2mPtZz0Nfr+uyYerZmCn3VFv9tMetqNBLxzQmiCK9sIEHXQruWWK9WKBl99CCKGhoWI0ht2VgmYbbRyVNR0kkekTZR8u2f6ET1BRdPQJoV2AXvjV5oOh7OneGXcgzrHWbNogIMv1sVz6fFDVLrCVQqhdbtiGJkDcfEaLiC3bUQnOjyAYec4iS3q98HQw/37nSCOzDzyByxC3zrW+CabJnnEYSACW8oPxzBTzgaAnhYy+I5vxO0hr+8woLlZ/lbrb55q7Yvzmg0s9PedWHe29NUgfYaKfHs1ze19vVk+ozzNBQVOXkxIIo3Wi/anXbyKrN0KXVoBd5tifzs4CwtiRMytapLFCKehISP1laDbFwmu2dW+SAkWf79AUMEo1KYNDdUAuzw8Z/+KG+PAOcetJs5KUlgGhdz0s+nVBZ3KRkBb4GD4swwSIkemzsAflP1SFmnR+MR0JYDQzAy6CXXRu9W+fBGfH44fATJkNhvUhH6xWrqRy8xNOh2ad5DbWYeouvOIrfOB6p2NdOyWnR+IYFrbcgHKlO5OaIJVWIQJIz6FZCEhdyfU1kXIFywadlpeDYPkxUqJXOZ9O29h9iUwKn5z/dt1V7KtAbzTdObD5yKbuLsxCqNh3tPRo1fi7p1/L6fiOkgggSaac9gBpqmgbWzHnD0ELaCyyJas7AM5eE2N5NYKSvBpoF6MZr9fFXHIOt1VoYaUmy9KxrBztvnY8Kb2I3NwnELse9ES+mtGgesrnIBf2EoY86e4DAwJA5yaMje2r2WM2GAJD2XTqe/KnpuT6NjR1ei7sy0VttcAftE5+xg5iJd6bX893gn1gdSwBFGw6dnb8VIp1iWDaF2FdgVugnOq2JJMfcqDHY+uSJNdOIwf3ZoaVjutUaQCCgNYPjDf6K1M0qYj8+kt5lzTWFwKtCXgIyTGy0J33ZimoKOHlQJZ87kUoAHyuAXXW1RZTYcrz7mD9hoOSnKfV7pois9HoNcNL0DVyrlIjWco5szQSAmb8hgM+2Mgc8kZcAZl3bT3R18R9MYAAb1679H8KhaS3LG4XTFV+ImU1bZCrI+q2OjKj2EyWp3e+ZDdtPjAtTsYFTLHXSa8+vkNBApZWySX11tefT6el2qSDm1SN+qnlCo5PeYadnhBlTw66YsZeo79eODSIeJyjFrrZE5tEldUj1br7voptg+o5aAOycQxxo8rUnBYuvpjAdX7NBawKWTWnUmfssZMLsiyS9dw0OAg3zIQKKzqZt9YBU62lryAqpcFhpnHwqw9VLAae/jsK+Bj9LaP46zqQS1wrgJXfVjMda/pwcWW9rYxWMKHSWvBVGc9n4Ny0t0LPz+pnRzgFePtnmTbNwhzw/Hm+4k4Ewh7IxuUJQVj2E7XJFOk+PQG4h7icAiPplbnEUDkJxzS2l9hsa4vtr7gUEbYzdkyqfmPEpbDFhxyJ7NLn5yLhN66SBRk79YulGCyGSFVOADmeEaFwQBF1x34pO9cZhV8t4HWsTAbliEDVNBQZ5yQplgkIeofnegcBWOeS2Prp0qbVh7pOqmaiJxXXbjoKlyN6rRz1z7oUZ2xmxhm3K5kCn0JtQhBoeQpIwvYwfmQ7cuCnxa2H+O5Xi193UUhMXBLPuNnZBXv7AwrhgqX4e/bg5zvFGe6L+kGnJv9haZShQWfC1UDCDwxVceejcbbahBQOKjOEWLeGNtL4VzAXjDK6cWZbgOCQHpTAU0OjCRjhOZl+PbkIkgIrpffE2HMWu1AP2bR6PNrX/g80wLpuZmZfzJvCW6q7MKKeY2nuBIm9JWWW05ZXokiId7ivktCiqgAjHGf8k7l5xalqUpIntxztRMRDfepReAp3WuDAG43o5vmKJsEw0U9YGrfDB29MtCL+ee6lMf8Yhe/CQpFWBaKnW5E9r7z6iYYoToKdIF+t1iglCFc7I1V30u8Rn5cTaetUULdf/iM4j+YxxUClGrffWZwUfHwaKEQcuDQnWLhRTJMR91ASDlX7Vh6YiKUAwLI8SP1+dPHCdl8TCqo+iULxmDmPtyaJZs9tpUgdH8kLRheDBbsidYakHaWrlW1MGcvNMj7XtS+Jkdxp4gd3TY2yN1BB+j9kYXrl3C3jW4i9M2/3gE+Qy282dP7F0P6h1Myoui1qotKO3ogU8BFVWF6YRyZVHTs/g9vBtzNDvrsCCx18zISRuzJRyU2rYduIb9BoEV1TZlGnKi6mNHtD73CmPCgtLaD4GJfG7ec9wYz9qcHWZg+CI+b/37de30ASwP7XAObufrlvvMNmkt3WF3RkkiAgBthpPyccFexLDA9lrrHh0fF9Usr72KGDfGpFVl/0EmIwtnk8bPMQ5oOc+fZ6b+QqKeqk0UHYi7skkTBpYCfxeGh8tMheR7WEykMMXqtcN2XShqv4wr+Q0qRTfE1NCHy7V6+H87BlusH6RKgEnvItQkSx6wzGEMESwaVOqggB/6RSlMETkvOzQoO3N0oZWQkzALp/nZ8Qo4Z5eu7TmQtEr3e6IhyQo5LFdIuAoLVVrvJJCpeKlXEYuPXBTzaYT3IWUOJhH5tgnlgtS+8lfDWIV7NYH6L10MxFXKgOVv9WRBmA4EXtOr4790sIF2tMW+8o4jcIrbFcudgK7jdviwkC+yyD/CtkNG66fmKwoHiM3M0IACXMTbiziNw81qA/Oh5eiymho2yVpCBcXNcaeezxhcUfhAwwhvW27i6FmYNu/liM8qLSxqyANyDTeimnStpwUB/DScSjwDs5v0s78gKR9jHIfDZYJEjmfe+Mb+KjOEVYOEfjJg6djs3FxWilhHyezuaqfZLUAGpG/zNLUHZ2zz0KtmnmxysB52rep/PTEjI+rs4+cB4aG0UA80HQ/Fmkax1h0BcuEkbi8uiCxWR+16XoncsTnx+xiFswxSoye+8UAePSdm8ZJ/C2HzTrVs6WA6D0CZXjFSsJtuZv9+o9n8JHyrDW8Zm6acVToD9w/UDMPhArmmXGMhGvadPRlYlk6jvRJd4m4VJLKu6gIq4QS2acVgqY6J3orAQ6E6xD3+jTOTRnNidHLs+qPGIj6EwUi6FtqIMal1aHA05Hau9OsovQfc8SlbBQ6D+ETL8Z88Wao2CoNAJKkEeuFh/9OwGPj/F1jLuUkrnsnjTc/FeDE//I1ke5lJm4tW7V4F2QPAbc6QTnTmrcFXkOIfp+9cc1lvMMzkA08prZL0BFIDggSLDHw7P4D/fGCzWfy/UL9CrOee+0pmOMxUZJMhrSRlvt56gzL8VIzj8dtKbwsKoJFrQpXpYZVZ26anNaAKfsRCjupRASNklT7N2cxNwRvQB5dgxnDk45+69uameNNW4JgeApd9Xa6XJzqq9h7oRHYWea2GrMHffi70u3UtVyNrCDiHKtOkLBYslCb857GdepD1HiMX2pDz86lqpKNJkCydplzpKfIyW076J6eqrA7uMQBd546jPrhnQRsroPcqTr9xd2iTGQWaIZyqxdOOMS7Eph1jlJ4DYGdFrRbQeJqF3GjRkmqKL4ouzR7sQ+/3F4tlHv+pmvZtLe8TUasu2GpmfwevxlcO8x+Yggpc2+c4oH2XlTySA927rjzgBXj7wkEuyq18BGkSXM+/HsFdjXGab5Bb3yjXX09riEV8luIAmlI+jW3yeu9rFLt1GgweLfDXm7ZY3nMmRnTZL1XnmkR7olXnc1Lbxih1igfXkoNovacBjnRGux9JHylRveUmz0vGEx7RBEekd3j1aQkgcxS9nw2WyGLuwG7+qE9VZkEfWxFUh+72OxGp06o9J1ee4g7Qhp75kyOaWLLadC+xmZj77+HAKyOJEwdyOpJrLrRZbGSCLTocc7F1usVOgbdZD4jVdkBXumOxBxud7XHaYpk3Ndsutyxahoz/5YPJ3CRcHSJU3ow6IyYkpU0A/WfO2/Kx4W2sJ/mqyfSR47EGRQKaOf9lifepyCKYDvJfNjcMkPWsu8YynR0lAvafHfhF2Eu8bJUZK9YiiOVlNA/C68gU1+A4jRC4VEpqM18l5IXhfGliQvf7hms6XNYaQUts9XY8TJ3vreYlhu4OWcC4nSg11h5pE7BdQkEaABHqT6PVHtF9sl1/jg6VvHHCudHuB3uTED+YNU6g5MC54cm1VbupypwJNNEMIDFBbqMjc8sUqoTqzF00GxfVXMuyKMMMemCOX1CN0lu/imCF/1hlOmP7U+mw3DpXbEO1zAMyas0IgDMGxQwZYTcLrFdruC4S/x9Gjr5Xbe79Qt+Eu2NUp06olh8vYLvHhY34onbopmpyVa59aZebAF9yK6TkMKeYeqMRfZet/ko4g4Nw4PV+6Zl/S9xeGxG2n9FwF6+XtRbmoWh40TmUa/H3mdDXpRz2FMeO8QAQzl1uKgt84Hy+r499EOwnjU7Qw9hMVMgVISXouMa2AfEkWePCiTQcpVT8JMV88BNrNx50MV2ETYgHrerebrD3Mv+EOV89fQGJ5WS86YtdfdV2tgzLlUdlSewCx7NK+l0vITIn8jB92DrwQCe00vufnehN1zx4IDdC7cX7ZqvEmOheDM7NW8w2n4KIL/xXMEAqqjTX31q7Ce0+nrdz28NJ48d4IPWf/j7ub4RxX7sjSaGuSAMdcKFs32fYhuCLegwEzXS5BWyuoMI8CLP7CNbRjuQi35CZMof5Y90/ji3aTjYMveoRskb+8b7OGNL0HfDeMvUQDqSc0THN47NEG0ukJ6BCMa2hOFLolXLP47U1ekClHwaL452aNYjTpNUSrusNdsvH/cSIyhP+PmYnaEcxOGFBLyJLh9VmymcOHkLKaNDUhWw+XgkL/E15PuBeVxlcHX2qnjJC4vXF36ygjrn2Kur8h2TwnpesYPB78jZkia9G5vLKaDqnqPPx37lVo63wOfPJEdpuo7s++wX/rahvDxMz2kpWRUhcoajihqwzNwFWzbmL1uhRsJ3MWmvub6OqbGWrhKAoQCahT/lt/AoU99QrSvD/CBfwwo26JJ1F6i6sGixAZTmWM6HkBlK1uVAY8JAJfx4whP+nQUEcZdjl7QQ+EMmSVPaLM7fu6vJ2z/m+NlQikRQRJ/rffzjZuaO5BFXpDZ/nWSScGCmm1qU1WVFYXq109W0aprGkB7jrDxBykC7g9KR2OzZg9JIm1DDVMJBgzf/SuQCAKUDA07CVxnW7Eg7qC82+Fqzib+SykbBvqWmVkLZ63wUMTOCbWH4/mBpI/vD14zxzBWLrIzuefv4LnMT2EFxfpABoFB6L8F8u4/4jF0iRgOiySqHzz2AfxZ0VR+6jLPoj8SEW/L+0VHs/zMeGPaijbJyepe+aYhCpbO7lRghadUZSMXe0IR3hhl1gjZXk/vUfstcNiLS5N8kquj9i1EYLzD5E4YURjVnGmtGLGJAIG0YFoK+3Y4thU4UAz19+VtvQOgMkTLOI/3HVLB7tDni1JKylbf56Nlk/BItbBVWkcr0PnlVsiX6MaxS5hfDQmCurAQDPoeuDQ4Uj2jNmV39GrGyd6cRrCVUG5x+4hI4bTmH7lI0Q3v5iPWCkNxNKSTpBSNr977/n4YXq4S08Daw3rihFUPCUlxq90z8gnsqpgr16neyA+HbiDu/a/N7EsaHlzBwSOfSczhinzaXHE/ZetZiNObWpc+XvtOt+1gSRJvQYOwuqKOopPSWmjOFCzKbwOWZHPk/i6j6T49+61ETGid8YCxbbksqmjehBxApT0mrDpi3H6EqEyEs7tzieKuDRMhYqnTPFbzeRYJat3/3OpapHTASq7M4J9M4QsgeAKvQxmRH3hlZ7dmS8KxaCg1UdPtdtgLWidfRjlQ4vlk0cPYT1A8I6Pkv+0b+elfPMCtt4Xo70Osr/lsO7Foxw0Vk7w9SUF4Y+Kshak6aM5F56aJOIEt9b0MY7+LA2QMt13UNihhnIwfraRFqo/TG1JD7XU2cLOLi4EqRy2HQTWpGozsaigSODcJm9tz6332t6riH+kjE36jchb+8gyqHrdZK2e5UN8drG7sK5SaIqGAmoUI20fjfAfoc/rUP3uK5sy603ngnb54Txer7Ace6pKJsDxJ+gFNWH530AE8/RYUqVt0bIWq72MZp644+I2K9Jdj111DeQ2xUo/ux8dTAeZ+ntgmXxaUBLMch3er51q5+ACBwK76Bb1zb2cqS8H7kEycGaV9xuR7RXqswTvqYSAX31HiLlyhpcz6tyLI0I0MPJAcNgoDyb26H+QltYW7mkEMU+vnmwXnHkFd2x0OeHijyOltE2AejpUoDFUpP/hjaqYdG5OGeTC6L8iN08ZQBiDB2o+gd+T7RL2xvM8QujIx4OANRmQP3/fvV2M/AIxn0GKHBvPfosUC1ceFKjZE0MZZ1MZzAskjzWgorIaYiCJmD2HMt3hGZapcdkDshGSQUCE6ptJmF+OA5fSpxt0FH+gFAp2HZMPGEgvNRa1GGx59SHoMtCA/OfXGbJS+/ykLMVo866ASLRPad2TTBCsACY+EdlupEDa9YhSqBSxCEqoElyWXaN0QwzdsuMu+1YzJJEUg9wlb9J2qu/N+P8hbW8tF4V8b4p4ArldxOm/NSG4/kzx0Em+mhuuXxUGVJEAnZ7z7k3ctlKJAt99WRiqvepZBrZOqIwcF0pX+zOmwM1IOqgD8UXVJErEgs/k+kv9l4dgs+T+cMOr5DaZE+8LjKKMckR5cmEFFLE+uWJEc0wdV0bQaiQl1LakkcPfE5I3gcDRhowiD7GbNdMjn2iJ1vRxxpRyRmQiqI+8+uAk1AQeTgmMIiMrY+iIM6onmQRyCPxvB1GlhWfzfO4ifQl6fHzQLMw9tM3XmeQpdtUrM3tqeMY3NRenYwxqLWozqcou4y6VwkyHE2Jb17qJDqxzrn5ocrascJKZ2KXA/1WZ29WnvsSegpxAswcjCItNsHtQA7F4dSNZsSYBViNg6C7RLxLYCBjaA0H0LdX/OyNaO5hC6eJi+79x0Rebg5hKO6ElzsNf4LHru68hBO0D/0NljuVwTAKETaUvONvOzHmegf8omgCk5c1NnO1BpeSRYnEOzE8oSBTDvObzGnf2KjirVeudbJwPCArHPFZiMHCNz7UULTELHKuSIbU0Y797pH/PyHmpoGNtrH5rPefJe6OWJ7XVpYBaFrE4V+j76qz2YsFMRHp8yx7+EHjy1jwph3HdbCr1WQwvc6pNurDwcgw6RNXdv7X5m3fh5I4t8LmD/kX1/ZwGnzo28m4rdp6syqaOzqMg+a49gqXS8yJT9Eci2JIyEC/DNuvEbkaitLT8/1gjLp9ibyDLJ8vjmEX9NkljEF4xnpfUGtLlxgc7OROVo9dQdvkQ1rNn8vu6RpYMfh6xAYHV4LYZqDnxAC1jpmQ6dOS3NlClhY78fFEfGagBRYSzrU2EpGUS/uv5dTccawtZpQquZ1pyjApdle/CmuCINxlbHCSACWTl5Ke7+ZIEkYvfQsLKmtSrWK0vLOppeTMScJiPZJKb4BON2R34ZDzSGR5StNKSSuW72kcOORlqEgtARJuPREBmzHdqsODQSloHwkF9H4omGVby9yEuj6sBuZxa3GI6qQpt7H2294X5jWcOVOsf8D9MeYFN+99XWJzVskim7RAykOJG9kNx+REqisJcfyo0y6Mbrqlu1ruUxcQkMDWEjqmbzvNYm8iGsM/9iHvOSHvlaz8nmve3/ohKKqn4pegr2h8teem6omuKjpIIq2lEL1SOOOH8/k4MwopmZFsP9Scd0CIxqvLsUxFIZ6RkVQq6yEuZo26tvaf1HpR3GfCQu8plXx/g83y709MtI8faDYi8khlpTnJ4vXfUzenpDpH15JqwOIAE5+CSwsV6yRUhDJCfhCmg7KTTSRrY7a/UumTQpTvwkpbB0oM9jYtpMtbMrZnH4sVcrVaP4CJS3Nv5XnkzgcoXIMK1vTfFYqXS14gxuf9Vx00gRQ3zJ0lCuEQ7q5HIQ7ptppSiXsHNvV6aXUkhm1hKGiO9drPBqjWHKbi2tKvmAQlTpUpCJEY8PrCk/AoDISKS2RhAJvvKb3Vu/rAf18kCxksy1wYshEa84W2D5IX5Jn42HXglgqRvRFq//iBZ3eVXGksfbKAxuc8eMvhcheXqes4kXCwXsmRhSasEEBcqWwmIRl8HzUNWF31qEoXlhfeVdNzWGtWfgYnmEUYzZMrw8JTKfDLsZOyaN+cNbCNr/RSIsm/0+srZ/i8JQPtHNR9hYe7fym4v2kajt/ZcbQ970WQ+Gspo7KZawFcCysFX1YDClJWmyLCQKFp14uiUgEWwfQs1MaMQr86CxWbZKzaeID98sY2l6sPrhlxBmvKiklVsPSI2mfLz0GEG8bYmzBFsY51IfvieVBHNeQepjPUZHkU68av2pEM+H77060IsauN7LKAjRSlnjvJA89GYUbNg8wp/2TgZhTT1Ag7b4XOi5ufPL8QkPkTrJwm+2IuCSA19D23Y2xYXaY5sstU0zZ8N4XjCWCG5VDKrQZhQf2Sku/69sh2+G7aTMYDqyUQK0HO7sE0Em+g+fUw5DXHL1U0o4Wjk2Swp9w6DejiELp33n3VGfDnhGoumYj5H3fi8rls5nwo6FvU1VcgX2gg7eSy+mRwj6PQ+ZYItk47umlVtPl+wKMrL3+LAkC3rx6J98p4ueH0exX3FgbGg/KmSpfHaQlgIEI6kOyFTrJfl67OcTnSq4Zo+vhCHghJ1ndzj6zd9N7Fu05cDrsF4O+6A3gHUBWTWYZ4KYd7qGndzlPitcKAXiGona+BLxszq9F0OH/HcFlaZPcOJRmgJgYUKeZtfgDJo6VKatPRpQd32yfwfmTwEJmJF9Gzr0Zv5hez3nt8ub/qem+saNSGilUdiMYVupdR5Cr2k8cx0flzbFe9ZE4u86uGps9nG81TVhbiYqK/52y8qTIioP2udInbDFrQ2OebMQLEHy0o3dG9jbbVX0DxGwgAI9u+3yU6B7kpW1yRmLJaBqA7BBLNOD4zkfnGkPO4t9uoh7cub0+DE4jYPPKi196mqU/gCQEFJ9ZMWK4JFFeQSAzrtSNt9YaqjvzAj/9kgGFVSLBO2rq4tTL56b07gBm1oY1mgQrge9OJ3JzuseBw5bT2aqzW4Wx0fjk3opBHc1ET5GWolIY9an5i/4AyYmWQprCTpxdzkL/7EFRRazHI1ofgk7YnC8SjI6SyuNOmpCKDz1RngeCyGbN1LduW/OGoCDVgu/bhpxxk6rJ0ArUhscBWtptNO/BWLfkjhCEaEtez44B0eszOT7SVc3aAL0OpmhmtbrGHYxK3qhICONw92bZncxfiQAlo4OWu8Ob9Tv24SKtB6WAQ5dlFitLkyMzwQvMvK/x26XQTHkGzZM6DJIzQcmL6is7Pa7LbHKCKgfBhG6QiNsSKify/YUk/9gbL3N1PoYHRjcrxsx7uT4RZYijFVJzFLjPEb9g4tJxH0v48gT28rD5hx6Vlmb/F9Su6OwqmhuSYpIc6j03qJhsIgIGFfipI+oZ7DDz2V8uEBoqg0/qWcpxvZJQXBPZD0VItnnjZbjOti2lm7MrUaqz68zSBpKjMzrGCJykGIY08N6um/s80MMPzAM0wxbFWqIOqZEDl2qMWCv0Uyd5L6mOCu6lkqqQ3H6anPqQZDPvoDZsfPNSA8Of1OQo3SzRz+gfoQu7iD6m6N12q3EP3ZCzlNvqOlYRGMu5Q6FoBxeGd6Wh0VJ9CasauKpY6VkrkhNP6dMAHFkCX44BAbZVHCXIVDWjgjGnMhNQjDTr/y+0N9AAopzZfFKBBm+eHJXWVoiwUCwRg4nYJb75ODJN2YA5wGr7vYOEuMC2BMZPpOPgxFhxPfkK0yH8eUPglnvfYnHjUhsPbm2T8OX2fHEn9cH2BczKnN1lAzAM5XmzO4pxPuuBknP9tzxE1wF/ykk/s9F/yjssYL7xKJAQ6eZHq7vKdJLV5EYru5EuZv6UaLQASo7ghIhVCOW1Ri1lzVvyMDFa+vPdsSuQb9LJLIdEWJJdRo8qCPqi17MEmf/al5MraamL6p8nXMfdbquSr/OI7o/1ZQqU6QHRaXA1ewOmhznFTEAbQZjUUyril4quayV7ofIccBw9wVfTiX4S7KkOhe8kMOaIe2BYU6KvpR1xw96ubw+qlqsHPX32YsEJH+grjsjRRE2PzxcaCftGHh5mBaRJ0Av1j+88lHX9EVdyH7J5c79BPcTNMB3WbpWHAZyDaWx4lNXtw9mo2e64dJn/gcuc/R0rbLLU4jRG6f2sUN/4aujlwqSEMbdEk6uoAitw02AMhvv8QMiSdgbNbU0v04WgaUVZM9V1S2fMYFvwbgAx+Gzq1VqiLTNdoaVXxweeixf3jSKE3Ls0uESyK2ZpcYVlPpZWcJnBMsY7NY0onAR/xRTJXVJDzcpH2ELeKZV4OjMAmpSdbYAglRQ9E9nls3WZIXRMESnGiSDI08i9HUVW6nLl0OXI6dP+1b7pb0JvJAeOgDeoS+ON4I3rP/PCNq+LcxUAECpDg+aNo9kNMzHITKw1rr54PWpeY/NUlS9lgXn6KjTFBytXkX4jn2yyQqI6kUjk4sVhZZZ1g0m0AvMIwoJ9AvPy8TfhHFEi6CutFV7wQs6RIsLbNweSrAF75hgl/I1l42V81OUR+/w+S9rMGckCrdgJnKPSRMfDtgAQ0BcL+HJx9YPypa1bAjzSRPNEugQKD6k42LhOBzraoD7RZ0jjnUNgAV9DkLJLqgpvglVw2NKiD6j2qQ6ome3lZwSaEi8dL29z0Fi7naMRKd/W/zdY6uv5+kIhdhjznkTaXHZCO3skQwITon2O+u4Hx1ZkQ4JjHbZLDjLTPXWUfOwnXTsKa+xCiDf7gQZ67yxuatV9TIOl0PScV9fM6LOTdVtDv7AnpW6bFAzqSJASnidF7ytbk6TY/y/AwBrvL4Rx2fkxbBzpalN6yWe9xUCVED+n3N+FmmMkOywLDQXY0tdBu1hpRts9uNqIQSpVfHDrXjwv+cnDf7QviicO3BFCLgVE/frQXO+rGQ3q4u7LBTo7YRAxEYnTj5Ge1YkJUusckgSu9KAkyvuh/ftaryonWRtCo3Pq+dVzW5ESdU/QgljKNPsq/JIEOFdlStO77ONRyy5JIB01A74QqgWNXIrIhQszDh5i7YylP2gppfFnZC4wEM9YH7APZHuCm39zHgG4Eur9YnY2dEFSrrgFMwgUj4IumHIcQ7hv0ZnbMk9K+Bx6VbPlpT0MUOPGzI9Dr9NsVfGTbOOLGqGP1Jd4N33VWN1ZkioJGMviOEtILkeko07EuXyde8k0q01nT1E0dZNumlExO3e38uEB/J/UANYvudBu86NDmbmO8VjN0Xz3VPDOABoC04QqtT5Gt7wMSBz78PW15kFYacM4Wu0+WSGxRBewYTbCo/BHzjOl3fG7ZAXi0RZchZ/4uVkXNwRfwXBmq4rYbLiTaLImZS7xfki/Q0564u6Qm55EOT2egRv232HaDOMdORurzkdQZCeyWUGCZNXBbGYk02pL2HCaoVgZjlfbpL50IM143AoOQjV76lsKwS3+uaLxvNePmDOZ2QxsBCDfaX4Rtmvm2rw7VMCPv8k3Mfn+jDH7Kpa9Czxu5Qe15moRngVTdhmA/UDDIM/UEMmYDWH4MAd2lWqfl6X20+pUNUXiRs90+Pm/7hT80Vgcpr8D3Luf5cx9jFzjQNcVcIofqsNN+2qfCMQng/hg5M1NC/5RxOG0/Xxy9+931y0k4QpKZDqoWGIhcKUJVN+JGUl6W2JwkNMlu2dM6hGZwZAMszVGBW/INHgPT+blCrrBRi2S5QMtD0/5z6N26WfQKgJQqP82ha20A5mGGd7MpgeklFcAzSG5TA9Ypt661o/5szsfnVLk7B03YEThsZfAADHG4MYre11laTiyctwO624Y5I7stKXuJXiT9YK2oX23M6nHfjeijOjXmt7pS/MhLK2pGThi4N6jxh0sKKe09/JxlqsaClexkYtlrwRqJsiG+UPjVvWVsm8iTEp2cepY297kUAl5/RsbT+lYULd95VePrzzMKYoFMREnKgOPYYxodTdR6UhtoU3LhBJNYFfbWMbqXmzZwmVxzyk+qmodhSHu2LNh6S3A32bIHpZOkHbaDutTWLTltCQ/FsnlY61Y3rG37qDFKHToS4VviRY/NkpYCUHkc7DbYCkp2AXacwlPPc7Gg/0djlPpqF44kp0H2VAgWA6UqVvDwwS48pR2T1OQtP9YySln5jiVLYtcmskKt5hrgydXNiZZc3kMApO2ofeO/4itAp8/oVeX2f8qTMxXpWpliIhOoxWTbNKiHQ6nCXM5T3IOQBT6gYgYZJtwKuV7GFQOaNVJyYLXUH5v9Opf7YbCg8FljazRrvv1ZLDVjSUPaDgdR4jU4DAZu6uiZ9VLqqrdx0VMq4nHLcyThQ33L6GvXbHibAjBnhDGVL20rw13OPf+tEkkgsW9ZUPpx+HflHgeC0CHf/O5FT91tjoFxIuU5ySxXKYMKwHiZSN2C+lc6dXkpM0In9PZ05LnPc2zHKnV+BxRME7oFuygywWNdTB03SkA0pWzX7l4g9im6q6ImSTwaQcrFG415p18SU6ZE9oBkSVQrwLTULRFjEQS1iJfksQZtCzDYPn+KhqMXq8Rq8828fJuRZbDhxoA0UCaY5/jJ6IYLqcHtdoQpbbKNctuYaqRPHqDIyrsw3ErTl+I/XF97pyuGdktrgOvOz2OkBt6/tC2wlpEeVgy5owluVrGYbBlXwHJYx5aAIMHBMvYCujLi+mGQGn1cb00PZQ70/oF/NSNHX+kb3UZJXdq9YUkJGPKqc+iKwd5Ce3s6nhKiHLksN7gQQpsEzLOVkiWwpvTSv8qiIL7uILBSzSdM5ak2IMDu58EiBF8bw6CvIIdgR4kGvl7Ef1zyEgIOUaJc8I3O9gVH1Er9/ZblIuRrr8rVQZmYS5BikqZsQvqWTRQ0JwhU2DCBs2heoB9FMjWNZi4d4CjLG4mxYCvCaKGGuqNG/fH6K4NupTq+M1M7yrYoR93gdCsuO9tA3JFUwBQMTArdqe+rtPxnkc5Wxu8sB37zlhpcZ5W6U2kpGn0UUvkj3YEisNm0eIvTSuVs2Icz+WoAgVKsiHmy+6hufqVMSNUsj8yBJm80tpRG8WsIMa4pIdlaozM80D2KADLgTVM+cIehst1bMmJB61fEkg02Ce7N88BfiMsjOkuv2gupnW0Fl2t7z8cEBSLLlz3A7Cc2X7dPzTCRIy8wTH8MulOLEkYgT58/SvjQWTYKn2uZxWDrb1sqk4qGDF5ZkLWWH345pb0WYU/xBDm2yyUbaalhiAv7XMP5hMOGzBKMfh8lV/UoCtY4LlSFENPszOk3Z0cik/iNcxQwlX710nDzRq0M62ZneYW9bPWXb/aYOQihmtSoeB9Bi+/PRMrn1bO9LJ67RMT3RuZOt9McIPby74xUAxnVk6hps/xn72MI13Wi6+rlT6laOPO5nSc1INil/VXhHqFDtCs6FG3nzVb/JkMKZsbvBqLj9v1orU+jA2ETWt9GPCkfJhDLrn7RFn6dSiZ5Z/xj4PabaNpq/li7RhJj47p0WC+VCty8ENmpk0TCZ5cDyAic28UW+XyBvSE+ICTG3hNC2cURdW32b9JykhjqUYZ9oOa+FCEAakFOifaPUFcqApme3TJK/iA1BbcHFAWULs/xcNLqXgr32rNJuaoZVP+28jlvPwKB8DRbEBX1NLXr22QhTHHIQ5OHYWICzkq7SlLUlADEuUSWFxqe2eyRMrgj73DkCkOVuqhzGrv+O+3v+VBusXdZYKQ3V4ikZZaO4s4bgQOXJzaVDauqz6fPX2MVD7w0MjNerGZ46YUa9dfcYZIpsSRy1xLKlazOjtnszpz4AmYclG7i3VnBt2z3+JY8lJ1wNS8qtCF47I4wZCwbTUK+f1ri/esWk4wB8pIJTnkhrB5m1U998OWNS15i5f27SYcyAauK27WnOUEXQ/KEUaQuOvNoE40uOd6oOQGmLnA+k+l/g6d2ULKAEP6DC49LU9wsuMrZTqDnTENZljyIJoqW3PEG6oT7M+u5Il3sehximVk5mRRTX11Kpg0iDZHxobtwdWGWuFOEEyZ5oxZBFSriQjDqdU1LXKXPfIfq1xpsC+EtFCpt3FyOlPqhSOu4TjUW+AvpOv77TefJ6wXbVWS9DJc9Ben7Fc/ui6f9/GWisIr6i9S/7RWpGCV0XqZcsPnBU3dPUAuZv1jIjGSiFO7/R00wI4iEXdcBW8a55kbIZb6mm7GzL9WRwdyHRf7HikiizeGh99EXH/q2OKHggyMpQgaLNhoT/0KBqwPxyOgWEEFrtZnocM2ir0gWLylqs70lJYp+bVyryordeFQchAWTMx4zHDIV8lvEZMXtrLpDWIG0ZsghDS/1rnBTPS9zSMvd2jlqIqpt4Wj80k8cP1rbyHdBSe63IuIOc8QUZZlJBk03SaVEFDapvUZGhgBxbPOxNH8B+JwGf4D17h22MsRmp3uLTO9qMDLI45NMimouMBYhk9DwxS2A/pgHEa41xkYcJgpPWmKCvKE+tn9Gs/lWF7fgIMs6TRu4VNxbacxYEqrXv8aMvyWxDI/L0zcYr32g9E/Tqb7t15oOWUv7JeoN6WZHyEoSXWxMuG7YT3BBxOWLlq/wfvYneDENGGnSEuYjppM3nY1rnko0we2C5LuiH04YwsSgj0V3muR9woMwUI9tzgaQ+7/0m7ccpagYBkoCkp+epOfhxqEAUGitSDbj3vE7nY1SRR6XoISFZXLFMPYseGKIaoFjEK+avM09UN5jrnKLDpngX0zXzaVFdyECFtxKYFwtTjg3YTKEfHZaXhHKt986Utv8peEa2URWTTei9uWAcvb+6zN58fYptghlUi8Y/GUGBYb7aOdq+qrwHKrgWsFYoJWWny1bP3V03bnpq/nkqRNVr0/8BazQlln6q9bHIDlbyjV2NpF+bVWE5oc3sp5BdzfTrOKILzpqFUmAVbn3/bG3xwmqoqaOxDMDgwcOB8MOD77oj1h8PU9Fz7IXAw/tDQSx5axPgBNywTSdPwVEcefnFOIGbx8DhmXxlONvmSiZ81PVan/2SI2QWxIp/fSNEeEWUAjkwh0V967zB1UxMpuzdSMiMhHvm8QjEwCS3rIbKCW7IBs8hgPk32W2UvB9ytdZJyXkq1VCR4AOJ0leYsqm5pgVbrwUF/CmtJwwQeakRHPLQhDdWkXPwd6rkDW1bIY5Q0Q05QDFcNjVUSnwaa0qlr1/BAFAJB+G+D3Z54kEdy8hjdznV9nq6/T7C65yPmyC+xQaM0LeIsOLPBwlJZBEoarkPKfU4IAuQV1PnEHXsjilIeVooikUPxNAPT8Wz8B2CH8lwY3+hog5w2K4hSyyPgTWq6yRd8bD45M/p1XwTBLD9095G70WhDgnnKFoxUAOhWdo6oQlgfbTDLbHFNYweejKzoJQQ2kJonk0pezKUStljr3DOEC+zJOiHCATlYavsVrPNtM7nDTUAhTCL9RLxoTWbNdJKvaRbp1wYXZNjA+qqyISPIoRfAjsktCa4uU9HFKfy0hmj0FmPGX4rRHHKeQebSUj3miDt0OIVB5tR/2D3jgls/hH+YBm35hIdYgkuPzLWo4TJrjar2pPH5v/dCxNE1cuWEeAxA/UOgoyeRu9BkZukF5wlqfa21hF2aKt63k0BmYSNsX/Up0KgoGyASNlKUjELPP4EdmaKR4Se1/fzTujfKp2FBvc/urLjNBNe6y87fZs+kvTQOtedwoeZgTfkvPb6kjzljadjbhFlf4HVDte+WFHGr0X5p2yM6OAkuw6qQUTgB/o+m0iql/P+bdWFOiHZ/YwSq/JSQU9FMZBBDFR10zAMSqz4nxB5m/nW/LEBqDHzJbnVQK6Ep9v5JATCjWpHkCDswtrBGfmhOvUoiZgNGaU0pwNHFsf6sO4ji9sXy6CVHFEcoDWW5pl6UmR2/FPR6Nop10vipVbnouxPGtuZAMZdq4nnZoImGrTfKw6rVMRvT3KdBEhdAppMhHAD3/pr5wOHhrW5gBsMOhG++pqA1t1lfQupT967Dm4aTJLIz9615z4qk5O+AWbA4wC5ysMWL5dNb7G+AA+vuuhfMaxhdkO23PRGz6tNxu9B3WaY8VEdDHsfBHE3mmTbqpVFsOIHXpcmBHs0SNZ5ZgocVjnqcrGZ38CqNEobkV3GtXYEEdjEY18APDKzYgy8yM4YsKxGOktkTKh/W+T70telQL+55mz0nblE7GjggMBf49azKuEmrVSAWS1TS623/vkJC4aA+h8aM1ySXlm33WZSFXSLCreyognTNuYrRNRzSn8WH1OX/ALgVjw5TRskWBamWbbahbiAQEY+Dzs6zr+elnb2r31v1g9J8jEI3gxUAHRlNKwMI44tRroEEi3xaFPteMNV2dN5wyf7Ir3iT4mFQ0xI47/wphoS7wME72Lb2I7A9Eb7U4W7lacHxXBwRuXmjvD2S0i6ABNZhgM7jBTg7kT2z/2gD2W42joV6iwkBABnC8hXr82h54xbDufVnyw1XXGoAWdU7SUsPVphCplfmZtcL9qmkacctBTHSLD5w/pMRw74Qc6uksXcJZ3wBO5CA0ls5gsp2pzij7Kxgs89FYv4zIJo5EZvmeZt3568nx+vYSmYyihiI5jWV38iBKJ+t099Z9++NN6XpRzhOvBoetmajtTROAP61j4tt+RG8IcTx6+cl29PkO0LglM0otrYXXgiFTGPWfaH+j6Bz5U8Lsr/y+v9d/o5VN0qar7JQw+i01k9NVkf9A48yIwsjdTkGP9q4+Jq+aWEYZG9HGpRNr+Xd9bojPVd78wi1+9ocz+pO0zA6LmSTs34zmgWd/x4EiNaB+nn1RThuqsqrXghuLINM/S2g6RjrBenGGhMVKHFfcAgs5BnRtb0GHEgcdNAVXIBgQpgwLltuaADOYQyo5gsLIbehrhCCq29L8NwlKw1StChS3IaDStxPf3EL8gbY9slaDQYpRP4gC64ZlH7a93Lr/fC092PITfJ3l/BheP7aDTMiIBFqwWP0Q3L+7X/PKEiF7BXn/2V5dfd5QPIXhcJ8uiHjpJXkaxQFmXp3lxb0W6JOV5xUW5m0r+DOgecmOURTNa5o6lxtJCM+CbNTo9LAd5m24YFUJyE0LyYSz5igPnbgOJeaY9D5BNSHyG2pQizHPlhPUEVNcw1CxYdVOKnTNoGH2rC5UNMLc/G6rr9NeSqDIBiJPVI/cEA3XxJpqdnjIebhIdGjz7QXucOL5hOQRaxK0XvCTLDTiMibMcpBAcCwG94Kx9nut+iN1tph9Y83LlVzk6uo2PxHNmPXoG2gaQdKK24KxFZcCoG9AD42RbfkhgKP/c5YunUJ5JNG14W2d9xvVpPmM+O22CPUhpugBo55QthP2sTyOnjm3GIN0JLsccBdkqLMiwDLvQhfc9TThO7hPoR8NiU1S2HRCfiqjliXDpL9ixru/NQ3ZeF0sVtNDPX0ddjYXymreETNXAaODbLh+sQqJvT0ZWfWejbF72/s1bgpu/WYLVazL34zqWWPKG4wH62LEhxWhIKZMReFWwpblLcVqhd4ckOMi2T7KQwWQrmgcMzqlC+P9eMwdiIMRDC0VM3XHh9CgXjN0u1fobIzf5PgMflRRqN0yYwt3A+vWlAjyUc8/hONvpeARC8ag+zbACPpcEOvhp/OQc/VbtTxp5mVqHix1sLcu+RihLmEwIWMSYhxdtAET81MquSsRFyrb7DAevXoVewKbLqHyPLVkkEM1pWBOkPyOv1bzO0IEn32696B0chEeoryLdvVaNRoyfeB/4zrnrswu6q/C6fRsCWX6sX2a5YlptVH++gCnQy6OdRMOsxNdK7rx4nUmDjm17C60KVwZk0oohvLZWPrMexXlS2MjbynopoNJbK3GQMrmUvXzdO6Aug5AyVMxiEPJwj7EEt41rtTgXY7dUhXzS2+l53XmfrLWMcw+/H8x/SkDH0dhaYqRZIoz4TafIg2cly9LnWani8YoJPPh4DsXyZgZXq0SpAqAXg+IFPDhyAoir9I8IdIxVeyWFPRPNGOFVTRc2EAF2EhOu84uShRhfK7u25Ly58pqgtYm4FWAqoa14oKDW/YelFH205RYtR15HkeHOiHRWvxzTCEs4M4X2Cbv8r29LicaiGyvhVByeg/XyDmVFxbmH4Eorj1Tuqp7qDBG/A3q+akrixr38gVdIRRcFbpS9lwsyJm2Pu65ZVyTFHzJy7RlVBic0cLQ5OLqDEbU0wyczgQcSCPCSaSaUxaOk1g8rxWsJY9iNppHymu6l+Vc8bbPD6MhgmOvAn5wtuderXdm9a6Gdn3L+UzL4dwrTnAWQZp++ZfMD5qKhjnT5kq1kPHeeQZp90aeS1P7YZ3XVN2SIKv6xarZUmpG0X91hRltsxU+9GSNmyzzKXqDyV0NfXe8tex4A29Ki/AbJjnn0SWB7BaWn0b6p6hKLjKuVuijUduePpaQSyfzjZ2LB1ChUqTtP4l/I2RlyUOPO+6MDxBEdsUvJ0SzWy+jd64N9VmesjcwNhOf3RjEt3o76FRuilloN7RXVXQqcLwRNjY4laSk1s7qdYP9pp3trNRjChbxdl1IEftoo+rCT+I4L8fuLjN4SP8z9ir7i0MmsnPTJPOWgWlzfDIuz8Qaqt8lwotFPKmthQWJQEh2E+eouuaWTvlpW3pa7NS3JUPS7xBw9r7SUpTl/sJO+dFXZE3smruNz+K/sc4f4ScQpczbjeHIgSX+DTFsZpBGFOVxR+7NY1gkFwr14/czZTicTGN8mTWGRng/InD+/plAOBm/Sd8QSkevfL9lU5NOzTUQe7Se2BQ5XfgpYhWKQKGmNgbULz9Y7KttDS/whOeGMk/aIzL9B8kYOgO6cEhmqRcYM6Fi+8NgZN174tvG1GoIl4NAssWeEP8uxlhrmeid0ck9LcYBlokhvt/1fztRD2vhTQ+M2xFGCaQmBjGGIWUbWPTfEIEnai1WX8YAPKrJkEi6occfmVvT8wvtxLCT900LflHggRCSSRLTo9a22DbaLyvXd2lRjUuDQDdk2hDGc0FTMRvGvu90R0FSRioQhLKafOcwdnFri4MNdO488MHxQqykvnqTYg2VNT5hdnpRCl41jx98NxkQKS/Y9VTpabRG/A+YyEgsik1yEgNif1/W5x0c79FsHLA0hADoRXtRz9ytqV3koqSnHKqmoA3xS55KZsWn/xgS6ujcmB1jnhswNPI/021YBsOAsVKWP0Emn4GMauSbP0tjkEywSwWEyfA76IOyVzONkKQpVhUDczW3+3bMMwXfd3AenXKkCmMbgqo9sXpjGQqTIxSXKp6eG5hpZJnj2w6wTV7MFEgt99FBcPSem422DjYJTcrLdeFxkRW0c4iUNxQ7kqwkn+SLeqcixMoQMxSTRoLZ42QMTFkIxSk6ND9gAxqoGRH6xr9DRxWizV2t6B23dOr24G2nmIO6dVeTNbHbZGaHstgomb2MGgBtPpTbMmzkwXjaLmjE+KbuybY4FoaWzHZKBbZ3CrMEXu1TpNovUN+IxXK3pJOAkYqccXqlusELpYZCFI69CZI43Csy23KVyM6jD4o716YTxJnBDYXNjEhRs0fhTX2QswPK0u4CI0256AGJnUSaDqsKxl5ZUfqImJfUzh6ERXpYtEvDSraIGCW7EbcbthwrgAjO4IZYLPSqJtatNf7qiYqnDnJYp9bQOgW7hEQvPN0lwW89tZbY0bGIy58SEPFahU8Tj0ahExQdA+yL47YVFi0sQR6yypbqi+X0/6IQXt+bT65VABBG9v8uSLTl+6KMfjU9tjEo0gWVLGiYZelrJZM0L65gMx9ddakVSQfiWoa1r92vSzXh3iUvgw/sbUvO5HNEiub7iLRqQiGQxQ/VWEJmgqucBWwSEyNiSu9oxM3Y/oSPA7emlLimKMGUdmN1P9o1Z6QJj775s9rfq/SKu33NDKbVQljP/fWiqWnDzlmsXZ5Gm3fe+t/uxhIgrZ0Z35Y9haf+07eEUD8Ir0ACTMBA99rVETmdlik2yLP9uXavSDJEMXjV7mwYhuZyYnl8e+E9co5r8rUSMmYEfGeH+surQ8ssZAUxIfutl7tEVKYJD0ZN0j1gZwDtIjJGBRGzeQI1OZn8B3B3PplTV8GXjWfDWf4voJgU7YbxxH1/D9nLmrkTaE5XA7Ba/06pjJDOjfwBjhq+5q/rknNm1CDPB/YZpxaFK30ojOFVtuJoEUCXC2hcPFEEbjuCZEileGNkCKfH6SZ3ZsXCFLXF++9LoGqnpHOROEzBzgaxrG9bzmof/wZKjUlZJjcOCLu/m/CTAtPQ7yC19eZKPNf29xR5UVe1H1MthZ5SEEU6bNJyAruqoA6qk9XumnfPR8iKt2F6c/uEhIYn5ozQiw7lISN+dlz5PbmNh2Ppeh2z56P1Q/bz41tWvrLaCd/GnfpmMM4yVNQodCSiF5XOXCScceaVTRoHXSCVco6VI5rtkcrCfNkAqqMab3qVlpVfIqNcbwhRCJYat5k2Ht3tBCPzzaF1WSqhNGg1g2XwaOkwfi+Dc8M5woudawIB8d0WcI6dlI+v39lLFXtR//h6OGfHciEtQ4zTMwnzgepLw49ErBzKfxQFD+kxhKQA1pG+Pi4DqDIDSml9fckg4sgHkVrV/Z4/0TqU9nTT0tezxn7Zj+hJnZXdIF6iYXXhuORkyb9Z+L7HkDxdf7aflcB+n8OBDgev+DWfadgWF1tovo9rnA5910X9DwjiZcxtVs2/FU98XUTs49MOKgPgfYs5G37wMnYPZtjyXYkSPCRRs4tzAQNlGHWtagZ4gSmioVZfK/681WQp3N2jU1ALgHnWrRH6j80ljR/ZJbpzGngXswU7EMIYb3TLtLrxEgkcqWa6jCEwepe7dlDapyA+XgskGQR2I42YXt1xOGxN7p6um7NRvbCme+Ki0FwM5hDsJI52tdZ1iWQCQS8SH3vuwgcUk0g8hOLB0OnXQIASB3iEMI7m/M6Pqv/zThNRrJCI8vkLxV4WIFIIVpULFt/8k4vyMV1r+8q+biiZ001cUzNxFzo3AGAFrnBdgiymSVuvIwo/C4l9n/eTp+o+Byh5W/oZnoJiNIcA0BpRYpTmdK14FJwxegQkCmOAQ1ZL4J/0fZfwDf6+xVG2K/qXk6zZ7GrcvUkYLFAIyca0uWEQMcXYuSZBSFE8hLTMzG7X/KpS73MuadkcYJm0PqIUI+bp7HDxBCWu0FrRmFxkcX4fqxQs1256KyFYa+KJjhYwMy4Xd2rKFBC6Qle4vTxVkbiqdRREPntGOjeguYVTItAe0Wf1wd/LJmu7hFgAb08PrTFGZdqFFPRAFnrFwGlbim38TvxGVJ9YBFRBRX4SGjZ/ErpDcsAOdfyhWFNY8x+iURapwtdry6O1dZqFvo+vDvASIaIUCAdsJRgCZOzMpvAI9/k91+14KfLIbNeFzAwpKx74htzp8g1ejsW2dZmQgsGQMAtwUFYCrrYkOQEBlUc1g6uF+dzRD+n0YgGecyBy6AHD219F/PW8p8RXDvcU+Gy51r++avBrEjwEhSPkADnQVCFJ1VMlpdu2TC7YBghl8HdnVZI61pIxXA66S51LNMdkXZY2dyZhNwaCDF6jQH4MXBmnfBYpY+omS3oA8vPrs4v0wzXK/tf11oxtTuU+m2bgF3KD6MA64tSrZagK5G/VllWsqNz7TsTdDqE3nSfgC6B0FwK6fF37Rk+gjqljMd4AtS9g+e56Ifdh4h3x2bVmyxlls59gYCV6kp7eqkGcwCb49+Xu+62hnZNdLa/EhP9AWWQiNw0xWASRmocUKkHDpTedYQkvYBdS+sE3tZ2r09VOjXpueYJHeQyIUp73ZDZv3PnzQloukcsH1k4WlRtseEbAxC1P1Xwh+RiOIdmI2E4U6T97Bu7rT9l0iD7IEgB/PSRH/HSQghbtQPhSiTK21HkpG2F3JacYyhsJ9vCUyr/OF1/lXt+zoZw71Bzi60jzdcCNqpUTyo5c3tVqZJ0V4L6kY+QvK8E4ARm1uigdKxrB5d91qhLOiCZ+Wcibq0motZqPHqjBNw5Bym3ZejU19BsVVJ+y6aSrqJ6cWpKVm6PHrz9sTVGmIaVxzmIvoO85Iy12wyiala/oWsMuIs/0c8upVhdpl2Pnfq9AnSlU6PnCoakgYzzIoCHEPP/3AAbu2pARgh1mnTvwNgYuMfAAYSo0qIdCT/AwJqXyq9vf87d4hT9aECFnCPjTpwoT1cOlVpLpSnDw1tP+5lTTAan9uFa3qMpjYv7aTfUKw7QRb3s8GkGEaEWhij4jlfiuVttrV6R90tgSnbXITTLLs3brVNR3o9LVc/EbXZqa90rzoF/2RwkBld9AKBCVhJy7xAoxDrfR40AUMDYfJVvH9x7s1c1VJsxCnwy0HV3Vvtw9kFxQyQdmzFxZWJ/cBM9wWjI1R1BawAVF2kSs6XUpvOeRbE7AYrJ2NA6FKMXNFIf2puf4ZNB7DB/UQOHlhsGlznYDn6YPbhBShMGih00KuBEWXc8T03nb5SoBtXV5Ye4B8sVMq5mH/VHY8iqlKm3Eueyos1W6RH0x7x5nQKunZtYnP23vzpFhlccUw5LSoeSkUwDKNoL0u6y7vEehkVDincoV3y6PKgxdmuug7zeN5aolP+C1f5RoqWFVZV+xFGGtDBV49y5FI/UvNv9dKEBJ7id1clWCnhOWg58ntK8nXKsdc5fPBBBgHzw/nuD4his9kQfTCJr47jSz4/CtEPlT2LUoxu+GXM69SfzTO/oGGJukSWVIInUsVE+WT5n0vXcr7Ja2O6xRO+NwDmwy9M2yh1HKRaYJ9pUQL3u5lzk90k0pxDbB3+23U0pXMssJ1IGldTP9CimeRIKaZaIApfOQVcq9yPyJlI+JENw8oxItsQuBBNCRRkEYdrSO5tQazGi8JgYyW02IuSLEm6DrtB/Ast6Dx4Q6YVbSgje1N4ZAWbwJl/KdBHzOqD7PTLXznIG8ecdTwcWR+nNsHEtCyXWs1bY6lUwq6GWW2j/F660Db1n/FThrRxzyMuG9JWexvdT9lkhJi5u4qTiZ6jqPb7TZ8OqbGV83zeWEb9tpOrc3obNUdHZR3Y/PE0PdVew0fqkNwoGzEjjguBEcsYuPkWH4/aBsu3IaR6P0yNpKXpxNFqi4OhofUnlAAzbYY5hCwxK8+AjfBoaSEUfty1xIoiK4kwojna3nEzsWAaO6bRxNtVmy4MoZq9H+m50HdoqIZSCUpxogJkdzdAfzdPiXDF/cYp7KZL9FWeI4VsPgGwpWhvI2MNEy/JqNL7F5Fjwr9IknU3Sy/dCJAz/esup0p/TBlexjCxbXRqsBbAIdAUZqx5EdabbM/gMTO5s3BC3tKdu9fN3DVTqQyaWGqzsL6MnMMDTiMwQA8uQjmQboFxECJmfawht21N+Ij9VlM7w52cKtBkajKiMWpHyJKQ/iVkmDJIdT+uGdflR6Cwzm/jnZuAcF3oLx7GFFM36fCTNgq8L7oAse9Mx6rsjkAE9W+tUjOtbD51OwbSX7Cn/fYX7KchQbdCrIMUdKlumJ94uCkLQgyaTsTq4ZgWB5ECS8xFFetXk53IruF8hU2f6FQbxsBIUpJ/FlhpR+5kFmClw/mIIPg1b6Hsi/MNOCfaN+kr8sOcolJ7N6GTIhg3yq7PBcAxsXpTGbn+W3soKQUJhPCkhHjipfSn4oxrh6FOcTJQUcuqs4Yil0f+aYEZC6KNqsjILIIgVY1z4rQp8FJucOI8kLP63GLNID3kZrVHgWjvPOF3U5wIw+nYZlr21MBWMSd79ZRqKV9Nfd4bAPil+aloVnHwsWBiFu0vQYpnO3yW3zzIi627FNrYBNlIbPmZkWPlS45oWYGbZ9Lwu1yO2vemv+A/wIZG5tvri1yGycu0vx6/wNdDmB/b4EtHIOVKVi89Fen3uB6yAHR5QicUxI1VpCbR9AWzU1XaYOZXpd53IXYVSRWcUyENE72LTAUDnKE/pHW0sOEFLez9tSDNOUM9QL9Pgmf1ufsrdZHC1IgY9muR1H+vTet6tULz7HMzlEBAcV62g0Q/kEQ3fCQ8OR1aroxfCWWooyfyIUdrWfqLHNQoZ1MBEgyowgz2nLJ3zObaU0BbvILnN+kjTKh+xHN+n2Hf3mK0vKkQOseQlcbGK6MuS56myv0hD3MRnUtqK4GX+xnTm5aSiPZe30setGyTkuhINSkq0UUolLgffkUxyHPIaIYLpe77MTAN6VbtQ7hbbAbA8oUxohQacXJQ0nWwkaey0/zOFUekT2dz8hgRRtWP2BIdVY15wghfvK3lOMDf7ewHgwvPqr0MEVdtAQ3uKneRW4lOE37DzzXKSAPiudM5i6a/7qZYgvf28x2cZ8S38xmBOW0E1qnROswelQZfb6h696TfxzcYH1BUOrG6sfWbTUE3gynuhvVLM/stjmhZNOwjlqiQspwdTJQYjS9A/0WtUeaRORLabEKGX/3DSXMfEeZoSmc5wLvTcjCyttMDWyrGpFEv1CIuBa9fpZIcATJJEEsrKUL3SR+w3MKRj+xscE8HA5tBatn5HDn3MWixW7f7jBvlPBRI0Y33218aBEG09T1aIXO8TGA0TKzgj9vXfwU3yeGZ7QwjW2a0H9L+UDK48jskaiuxdpzYMi6paBbxbhBKZk8k3BAywN5FGLVJk7m+Rl2W77MScRaU+6ZxmpP8SHvYgys5b0BuhcHgTf019mNMXATbsycjexBKGgwXHBMMP9+wIJmLIiDnGXvK+duAuZCWDN7qP7Apz84pvsA4elWdIAwsJjwcXPje8j8ocNDMbYBLhXJNFRSpJy9g5CnpYiSpSJtHUfbdf1h5aha3st8231hMsoKO/9P1wzAjGuIE4oGP1QaqeSwMaRAq+3ok8qhf2nPZGvPQlzqkZkECElQCQEetHHS47eypakHV/49sEwKT3lt6N/XmAxzuCsdYmtMkXg0aioiB80WrXdFMcW8/iJSBATse0UfPNsivlEa8NFKjtEm5kGGFZQnZ0wv6nEW8epQjik09bHR94P5n9SmC9xgWoB9UpQE8Ke9p3wDheM0Y5XvRbjP5NrvphMtfbfCH7MoB+VIWN6tj+zIP20+Et97mKiU6Y6I1riBmRfESGVisX68prdgAzwkN1yLb4O5nx3cwtaWMj78CDXUgqtH9LDgj47+IaD3mcMbKgHpVEvtFg64WvSkdCLzib8THtAd15jOQ8M3BeKb//QnkGbx7J5r+pbfQuk3mydwGY4SnVMkamP9z/uR9bCWPD0ZjaQWQMPNaJxUVVwMuA2/tpvgvvH7EoGZOUOtmU18edXcuyOD69sydGo0T8YPbEXwnqcZCFsjmvfHnv7YzeCHxRDHq9ORp6uaU7wu0NHOlv/vOtR2D7tqDR1e88nx90TbXrLk7J4zOmx2SFll4V1Nx5KoGcSERF/GX7lhbbGb/DKNlWBfUD8d+VrJ9DqTb0t8M+ypMb9/i7h/udNqpJ7pzNYSNSylVA2wPCaz6EdFopc/QpEpukVq3OPiJkf/7RBWseKPdSqzdBZMyxjrA6zGlMzUJcGmQ4YGXCDyp8zHSG3ox74tC5q4l+ACk9+BRCvv/Ee005L81JVG4EkIuT493Wskrjlt+umtJMLVVTESrlf9S9ZtoZ5XvYYqqIcaqSEYSdBdeSfvNziadzZQmdDQ3GnB3TuYpOwo+XRMgUy5yt/CkPQumjS+q13SPlffp5aLE26tTz6RrUZstUFXGxv2aO1NPuNuustL1hV3uIi6/wcEHgGXvMKGTgh7zp0mPDUNt8jPzOu2hWS3fgCQq8Sn1WgzUr9h5B1a5q0L3o1Ym+w12Adlck194Cx7llNXb4IOTejJBni89lDIXx06AQJ5aPJd8EeDAMTa0PhWTwjRfysV5emXEll9VG6LcwxXv3VcRM9KWAgedsksKNV8qp0dmaeCOWFMvP1KjOunIEga3Ij7SrBst6uq/JIquiXMBQPK5ihPy/PoHZDAvVSM2HwpRTHKFfSsIB5OuxUrglJhQjSlSi4LeWBedMX6RqVqLIQKt2a4m3xM7xIzqXAYYDSjtfy3c3F30kTJL1jN23P3X+M60j6bnTjcYfMZ3ns/T6QSkvmxN1o09ZJVHaUGhKucbzkMUEGdl4JZiXInSR0vKWujs/1zW/KfF0p6ss5bb8K5qkNU9WKJTKHYK/JODOKP2vc3HlcK4z9yZ2t3XB47MY8PE2gCBb+ScgRuLDfNxGKJcI8Ixj3oF/iiAOzCSL3SOUePtVKCgiWUfzIzWAYU5ngXx03gJrgO8ary+9M8E5ovg4u0TJ6caLDPXjRaSm7fdu7B9VJt0mpcGjO4YHvi3Nx0iNd1fQMthXee05DEO0KznhS3Toh5TOlLRvXYU0pHBWWHF73w3GzTESCC7Yk5Frli3IPBzhbKRXwJFTN+v1GtzUuiwIxyPF+9VxGOAfzo9e3nbBIxfa0Eg9Gb0f8jEpxlUXHOgpDk7plyTp12KVktdoei/tHpjD1dxw98HDsaeEr+t0rF46sHdJEfzy6XVK4k1megZl9G/YYixUWAn4bRjNkDb1cfr+Bjtf+i4Ipn3X9R+IPW6b7wuV7DQvNk8casZJkqMXzNuRb4LFdz5gykcTjcut2FbMzub6dE3XDDHI9+hrHe5K291z++hvdoRGQ9QvZJaSYw/VHI7CH8bSvuWepitT3lPrIW2aMFmfDJBdKyJniBEqjEnRBbV2HMcsrdcwxeycqaKpjOvOpmQOX1KUUqzEDAaH6unah8wT18tbWZv0FrBRCSNMFRYD7EL/PegoQkRpCa2aCAyrJQVK4pHFPC5XtVq5x8XbCo8ZUQdDY8/e8nHivfrqWBjgvnUuV1B6lpRyMZYHzZxx3OIm5jwNv/JB0lnBwIQi8PgVmy/sXXSY1RjGzf3PMwMx+zmp7DjHRE/Ee1xNB9oA6Fz9nXomOZTcRLns61HoOjCD/hNZzv0UfXdb59nNz0GJHuRbXRi0OFqvK9e9e79EEi2UcwPCztnPgW0mDkykp63CajLPNomJw5qTYfeZv7mhh9iY5MNtq/c8SKvDbgB4VgYP5p6lt2t5Xdh+W4Qs32JnFz/c4pi3nS2mgUxVL9JD5nJUiMBdyPFn5TXuqZNjgGZCagIoZjg95yc82MwDhWZq1hMKnZyRwzbMV6ybmKR7fBZLV9BHimVJ6xPLQBzrXB/4v2oETaq/OccU/Wt0Z/tE0/Pm9s4JWD+kYq2u9KtLcT2BsY0oFWBcn29I2t//Da6X8lEaqOgjj62tgtltwJNuz7rYrj3UFC2nr268PR8DHtEOx8SsdpZ67kZWsTQsQx8aHF8CYfqE6uB6iJi2JzzWe6s8wVAoeolB8XACAonToyPRhRg6pmENXjsbeyjjRBG4j6M26TQ9UUGd9y5sA3oqnXq1+UoV50gtKNB4FQSvcWo/D3Q341VYmB0WsOVU9s/0PafG1JWFSUShWOhbVj5HyM9qmQjXtU3u0wprRM3JiY9vAni2KJfrGjhkqZzGnNRTcHNaf34IT2+jXPp+wr/9gMbyme7fDJUBl0gwSjE0CN5YI1QG6YaD3cotL/yu1dc4xYxNR7lsqVCQmTnjvaH/JMDLh4s+3CsFclzh76fKbzulVt+krgxsQ6OB7ERerTKoZpF2IoJZwcfX5Uqa6BE38krCfSZQ/3uDr4Cfxnt+e/KjftKvO0SB02QEa1lKs6b+f6ql0LT7jBwe82YTk9n26x+ijEV+L7b4gFPcgEKKwNBo+PileQ/a/7hZcPUd0AlOdrkfRYs8tofED+8OygU1O9KdiKxTQOUI+h14pOA9GUimwmyRhlXnmktIzaQJioQrtAnDLz2OXcIY79DoTUHyeM8lUsEllO5+9A9u5VzgKJZoApMHAssd4gt/ynx9CsHL8XziFArss0/lfs0phck8CqosjORv6mvAph/FmhWwYECexcMeFWYcJoBU2Cw1hpueouOXAHSI50d/V5H8/Yl+Pcz28n7s1q8nvFMvKuxUKDzPGp2pSXJOTgGkHV+tqL6QLZLwtlq0MuC9i2TMFVt+vateJc79+U33IeacYAEl9ETWOU7H6iQZztsjIn+sIVki1h/ozd3pRJXmInU6xS9hNBuYJdxT7GZ8YLQvyuQweAkHYySPCEuxOu8gOEq/QoKpT0JyMDK21Iy+xnBfFKfH7IuBbybmXe1zx6difu/s+tQ/wbdAfvjMyJj8sDoHGHho3E45GcFbHizADbGxg8EyXoc4XqhVn9wEVXkHx9xiEjvgnU6nBahaPBTWuVFMpT+tf/0j/fnxkPMoOaFwvmaZmPNrp9u1XsZQZeFqe8hASPbMRFJE0925K3N0mINQ+Wd8dXAz20kkfvnrdD5hIzKtPT/8yAlgMalrjK/x5IRrkUzOzX/oVIwfWK5uxuuQwEq1pGUoIjQOZH0s9AWOkr96qCcFQbnjrJcu1lh5n4MB1s8OcK2b65RSnGgihAz17oTVZq0bpvWfaWPAP9HIm/fXE0dwD6EG5S5+JFdK6tGZPeH4we7yYFth08SJGwVnIoYU0J8kfqcNfXc6uORGk9KqWJ9SsErt7xeS+4qk/spwTHKz6iGuHAMec+4+C2mvXhrtW1CymH+ZeoUTL1ObsadtAt01aOzUaYz0417S1k5a9weW+vwuExz524GQFKnpz03qjp77hjqNyzV7R75pmn+D7hZF9UzmdToFVbaVpSE3to779CgwddaNN3Hi9Jf15/H+lZkgVLcuJ2bdMz0dTZXXgUU59z5m3W5bff3Go7bUcDBQSXGuPfeuYk7+d1K6ptvJULfJTc8IJc7eR31M/7YKe43LG6UNUhnP9Q5VWeCD8Gf9k7PEANB4/FCXJO5zv6qdtldJP5+0WJlysPMNwEtLfo46+h4yfvGmO+P4OeZNAyVZPFR7T5qg8n1y87ATrT3O3gRoLJJwnu67FKRzmbMlIVlMbET3xLEAF9TAEnjWzBjXonteAjCx5HvYp0ND4v2PX1RGSATPSC0FZxR6P7iEy0IWwWVatvgsr708/4WTQ2Le+br4sGwvYGsSigI4V+AYQK5HIKKaMpwVYIFQS7PkuZhaMCsQ3RJ7hEz0aJeUYRvu2h8SFscTeIRnozxgLC4zx5uljsGlIn+0BielLa0JrB1XMspTsv8yZTJx8qv886Y+I+Rk0iPx8CWBA95iM2M45obs12nAYsukLiRSOkE39uwXWT6dmh5ZQlFz04yxRnwsumP5dcd+ystkFc5qPT85ctngxRrvVj6sHXWCjKDjhT8+KQJ0Am7atv+2Q3wH9ORqh8aqUQJqHJW3/5xqaPe44JCSsfw/vngEvgo3yHmEqGZDn2gmRJ6Iu7VkM66dt/xcaO8X1d6WZgqRaAhoP6E/hLvcy5LRj7vB028KWHfePb9CEmt9nklhrlpmnV1HJoZuGh3UB/H3bUouWzJzotUShEq/8z2btSJLQzYVSl4LyVhNwmVoVoMwikOi6Wl4t3aWP5zexZ5ntUnypGaBNx2EpoVttFoTy3dSAtg7cMCzQ1aVLunVZ69i/b3aYucXKlstvWRKQCCOFE/+XqqZODWlhB9DKIeMdSjZVkO2zoJelmRMfY5bVF8vZF4V9MBGOtp5HFnTzGfp8g8Y0CZTWG5pwvvgn3NQ0faKGWd9dMFMyLG//Ocx90+wBJ8OEObpGcHTbst/3jbrMsW4bcrIieOgFW0/UqsfW+RbHRbFLPJFPl+2NzSrhNCQaVa0ISiE6Nc0qHVmN9HROgj7NVUkTI6iZYgytSOIviVAUnDSWlOraxJZTbxv9Kt+APs7vOOPpJzrB70BaowjTAsZplTb3t/RVvgewlmYJorN+x/2sCt4+rFmrhBj/ChcwWcNi0aF0TWU80fYpotIoJ3Skk5+YyV7alQ+3bmMUS4VbJs5Sux6oyvMXL9/gPC0meEKHwKP7hYYduV5dTKY2C0ebjm3nbZZ/E8thrQpMvHwdFykqYMz4gCZUenGAAEK1b3qztecNL1IK5zSFQ/Wd0UGbRO9wupSYk3nCSaWLJ+SrGTk+oifCoV3kuW3t/0K4lMsWBf/WjebnBSPb1+yxlMc2J0vCtkj4dVJ5eGFneUoltyhMV1mfwnpDSVwC5oV3RUuqeatPRXA/kTFi2+HaosKSPYh+0tAV2n3VftHDlXJKztv3NZHgO1g6PbcoTCQj13Y36d0f1eNv1oE0hebepMKnmqDTcvQurN/mngioRAA84241ZZH6zXU/TSLf323e4lxINcahH3ZsnoADtBaf5zpNG2bWDEWYI6cPef/XY+8Zzkr03bO2Hi2WXlaJdd+kSTJtGtjpxEvjeOlr5s3SLSEnT+FK5bVmB9fWEs8uZElJoQSYJpvYoEMOnFxMAj31m1OMmjG0ygtOA+QeBcwPEVDdEXJ71WU9uXpl0P2dtxxqnGdiwwZRkDTnKObQbYETSQo2iCTgkHjgeR4z2eXxHRBBRpCfvh8WFx7mcTVnnhSlObED7s5s7FoPktv6sE8Z6HCJAN9lnVOuuh7iV5dyZYW69P1tOikXo0r2cVckEoPaTEQ8HAHAfDWL81aTBMeRSfhXZfNituceBcFFURQkNmT8RaH4VlM9YQa6+GhV5I3g0ylQ3Nju5RJP5HIUy+/qYWwOfTL0e/QaI3wWFBzhZAHD9UyI1P7BrrodJdX86q1aoiWgY6oC1PKfIgM8rZhRa2DxxpaycUibzHr5k5vpe+KXETd6Gi3vnhKkn0W5NB8XMJb7IMq+uOyuuhHKqch0ySRn+A7iQHB2kF4sNqxaUpaTDMWhXtY785H7RT+ZMzc6wyIdEwAzURw+EEPoXZiDjdg0gFCeuPXc/NrWxsp8NWA7iAVcvE/HuuuLcwhNd54xKv5sKMUPQawiske45003a1JOR8E0paWeuR8KpHCpUBDNvs/Wbmc1rSaxExeiumUExwvoKHeAgA8xDpXotHocZmjdllZOd2fZoF2uAUE8rdID1bWeXAQZOP0GCWqdlaZzsMBuNlIXCni91JnUYAJiqGOOUugjXDPD3S1lu60/fuV1NdxDYD+xPD62OrBw15S1pwS+uvf0scaaeo7ffZLAR/FjuowOBRSwfFQZDAg1Z33T3d3cenNPCZWu32W0+ozucIsAb6bq0g6K9k2bVT6d/2aIi8K/j9QaNrEHbzzlYLaYEvfYg01kyP+43N1rSRcFfhbKxD9jr5YdxJ6AJoR4z2Z0SKWkao0O09Gyk28Z52RazdrZVKSlDgycjvOk5e+MFs+DmOgN3AEucOS1Wgh5GOu2/8ezT77TsEpwyofZMCzMcXbsWyYzz7weh3sdQjOpr3hKqgJIs9OmWFdspIScXcjq8XrnTSLgtA5w04ZETv97Tx6bB4XG+8c/tGeEpG6G33QNbfMhirvGalJcyq3vBYX1qgnoXupdh0xsokRZsDakzxFnOtlVL1a+5KHPSMID6e33xPYm5lesg3YAzFmsF6E3354E8Mh4renoQm5GAP+dWDdaKOqe2jaeXrT0BffFr01zLnV19Q2wKpqJJOAUNy6bkjjt3QaehlmTcNzMJDJjlgIE2Vup6hI8gh4M0TeHZ99CbsoGgbIVbp6J+eKBL+MLdpfiqJ1lqW6qpBaad7SaZiLD/v7z0t05tbbNASMgy889lhfsjqHIqk9GfolidyKPOCccRhh3ZvFHy2psKz794sGlbLNwGsgiaj5RSa3Mb09qVqSe0GJ5d+2ybK5GBcH0U+1J+mi0QNHv963OL60LoO72oMvt+q+OEpW+QbHG24SN6ON/2+JepkO27PKwfnpM/QQDAhZQTlez5Lv8p5UucxM/s3Ap3YQMwcawr5AMjrwvis1IEEHaEVcc8EV+3el+17Xz8at+NJI8WlRV0e8CIGWFWY/xmU60a8jJkO3b7TsevoHvPtGSVyet+zmP6X2bsz9ZimDC3F9gf7+Ogxc8Bw5RY1HSuwWUdirLfCdifwcGDevNlh0h/Pmhmfm4UoC+KcJjfRNQY8WJRwTt0G/vTgcScfROXmGFfmnqxFLoe9XVfg4oZPIOahg4dTInY2Kk+aebTyFOSzvbLXd3diH19Oxrxl5pw8qwbYX00B/NaemVdsQ0uNbrtACNQ2x+NgvLDABV0iumU+an+mmXZVmFtPwmO9qDvyzvD8rVT4ctB3l4a+MTUeolgfadcMQ3rB0UI3sIHw0fJ6SeckFBgFAToWN6N+ltjxOKYRaI7cv+e9p3vcJFmGwcyCOWtQcbNAZZL5SFfMeSlZclVWPIDVzgjsxbFQgR8LUINF4Z+d/0VZ3yzS3qROpAyA7Z3TK86DNr2iqxLxOpJBFOVu836OHOU5M+ziicn8pvr39isgl/BlZHbR4jsN9cHd8PK8ewvAgojFIXYnyZ+TRdpFRSOP4AEIo5w0nN79rKSGmScpilMNhuViCmf/JRtI2jVlxM9B1oaNYvOAXFC+cTor/1LOex2d28SBeUEM2p9aWpL65x8GWDCSsld0fi4s+Ck92sDyuytvLhD0luzUNj1z+Ja1Q7rrRYb6qunm08YRsMnIcYDKYp6fjffbPOlt1O5M2rIaV7K0syv/0OkPCzApDD0KqFTHrz0D1vjIuQ7cQpwwwdEN0avq2/p0UtWMVHP/U3o00NJ/GrJyMGzJmZvRBEq/V52L6l9vQMMeolY60qyljzeCvyx/ZrafgCj65r0fY9TVbJjTdkeO8TVj1igb7GdZiMg4IAJ0jECd6Pus8qCxmMd42MbPDKzCVDv/jp1zCK77Nc71Au2jCUDPCmPzsPk7gm9b+y30tG5AhZQmpicDdhzGK5Dr5hSDGJE7IVXdgzkyuvUi5+WWVO/aOId8prEhrEbGI8Zq8XiCj8CsgDyA6E/5INIsjoKxsZCJ4vFqVmGaDSMxHW0dt6abeFKyQWU2vqh90DlL+Jzo6kRQnR/YLx/BEIeAZwZ0M5pZqkrF2s1HLAVARqEWO/RVeovHtOjTJ0icc9qqJu2sP4yDMTplPhpfHXjo4lpsToPzBRzqfMQuvQTaA7eljsC3JgYG0Zw3taWIlOi2PivmABP7ZhTgX2OFo8+NetYLdl9MeEGNYj6qz3Sq9OZOGHMLoih/qdArNisrfpMd5Ic0tZRmKNsVeIFrve91uwFMNrCsIDzijhpA3t9Vi5RoGC9R/DbFVZp0UYQ2OJZ84EqLkJHgSwv3XV3cA2TcFlAn3azPymP2l04pT6aifgLQuwAy2HhHEtJM0Bniach7L5xDtS2+53gKYi+l3RaNgMCKKG0VaicD63n+hUZPEM0x88nz7KS8/gPd9CEjBjbVlQZAy017Eb0xDlR7RgIO3HmMwvnqGI4znsEld+ENMJnghQzO169eZ3n5lNddpB7aXNJsYxxOvpZApc38D756IsmQvmjLWvjo1bLE2AOrVwgxYJuB5cudG0MAHoM9EDUVEXjDA1wiSxt0xl+7Xpjzb6gp5AFqSKSCAxzAV8aQxWZ6St5IuhypLawyeWDT9UGKrgdzajZQHo/1aOedYu6b1u3muOr9/5pFGikYlijLMby44oyhtSWiTg0fAIYH1byjc7AilHsu27XjZHrT2kH4s+WUUWbhYhfh84KMSDxZBQO+Hn0L6TnXss348xvKNX4tOfSs/2iB/V5e3mZIsZ7EiJDoBWgGFKD7B2T366hZ02l1cFI9DzApXDGdDGGUfu3WZl1Nto2Htvkq8JalWGV7+ZaBD8Z3vrKnRjKyRhE5HnyQDUqwigivU0Bhy4PGvKhYi29X/8Mz/nvqSy7ri8Ues5F5YSc8WPMNpo/3cM1f0nHkGiNpihIkdbcqaN6ejliXiVhBy47Ewz2lrzXKWh0Kmu6nz1hJavHtBmB2clYCtJPakuKNzMhLC9GyrYNYY7HiwUMupQ/UnLgrpYLzkCFbBN0hCdITGyKaDkyeo74VhUfVbYEFZgjKaVolF5nwvskHRhvinq1VkGFG0B3CjyY9+IwMhvSN2DNBL94Qw2VcGaxh2hiERI0wgn2xonP7+O/nAUA0lgc3tGEeBYi5R9zEIoT+77SPPqfII8vg3aKTpvOJVegcS58QNLzkSCW/aNTq+qrnKbrjNfFvyKWnzY8rSZDsz2NrjhAF8evZ0ztB07zR1A7y+jdDgEArqmNrVHF0qrYFwf4mueYuyn+NhhPvRmAC+2qPzkWTh2WxSA6njnVOrIL6RLtvW7dUODxL7XihEKX7qFkiFXxqJn2jCF1hwxXTw04y1HAYne18451dQ/V6peFr2x51io1pTwYMsrP9wqYynpmdb9RRoSgsxzFjgL6yUb52IzykF8y/LEv5b0r1GgtIB0U9dv+HUJiXvsx6mYZ4pL9hKeHCNmxD1aPuJ+vTbWlkS1JFQZQ++rqvh+aZxgIBGWj8Ry0pvWbmzoGEtYUh1pTlxzu7w+4koKdnrtk4KIX8C1Yu7WQI78cXchzwsrie19mm8oa66Tz2hS+PXLzAXNY9QfufPOukP8r7JM87TL2OAXssDAj6nlyFrvOovW/gfkBWeTjCDA+GlEUYh9qLIEmbn3OxLL2U0qzTS2Tbfc7izsz3HzhyYziqQfAjRlCWk8fuhuLJav1yx2G8BRW1NoeDE1DdDbUawqMigmp2PbPsy0uShLRrJdEVHvORFv2kHs+uL8a+86Dq8nSyGav5Z3y7OXBEbwnDsquknjV0hd6WIQ2ySd++Zo3QXoq0izj/zfL7p3noPbD7JfP5rDN8KRQKitVI4+lOSLIHWtMGhkq/TDnorU8aQas6HQUif1+CeW8wP3a1EVZdUQChaS0NtFCCc16GsD8WHFBofwkETiBsy4S1LTqHm1qnM2ENOPrfCRZf40L5bbIZWvbVVT1D3giPRpPdpnegdZtcRzGUTeQfm52qb17t8p1EJQY87p2jwlM/teoHSpq/ZJoTQZf8gnDKVJk/250BwN3BrJ/73JTJXeli/PdgWUCdQ+hKUYXDYw77y+0PkE8Wlufkuoon6EJeVpxNpwMFuJFgTeDGxgC2eqxnuAhEQA/jBVNBb0H7Q1jV7OdsL4F4yCNCwfglUtXl37ReC+T2QnWwe2kqkHOuJKHB7fEliQcY9zSxnypjPjkTDjD1lzhqTu2CSUQLtN2H6wGxsg0DLf/XCL4iFETXqepUPij/T3WFX1dGDFeHxITUE0HsYoCwq1ILTsMVfiKqAgeFxdP2aLK3ygxPQb01mECRhO/6xiYpoyCboUKnxDIyJNvbo9u1VKt8QnDltki7bNHq8oyr1GuyF6LDz/EFaL2fycojGBM+6rI/lZCtapCg1j5mBn5E5bpV6wnvwhuuPc5vEucrzHBbuYcntFGE9pwDDqvcu4fOIRxFHDJOyOSlBTf5qqTpX/1HavKYtJtaKvhfciZiyjtTF0rjSQMB3JUrVONBDbXKR5jEPhkYSQYj1X2eIMSTUvylBdTt7eZYZpAuHgGrB3h6bwleZkKY/1+bPLTFxqu1+2QBMvOUraAT2bLqy8K5s+BjAY9cFFTQQEgwcNmCMxZ8c5Jymd5gYtQn62vsKMoA5ZpSWNj6yJY3yskZx373TBV165u/tVFb2uxtEYWP4XbUnzY6iqBxTbISIljHHn+/HR9INqNzGd3M9MvrqHRkhC6ppgZmm+RdOgDc0oUS6CJeDfOJFaFkZ12kgcz4ctgk4XvMiJJT2/NlEYFCzpyyvnCfv6quSZxUN90FBD8JTBvQzprR4dpxxnNXwI1q/vBzDfPiJSY6poLwOt632mjKGMb3q8g0vGx4hE5t61k78azW9RJI0dtiUU8xP6pk2AGyCZjC4GjxwrQatVW/fP33luGDeLKxPusFZ0SSZJEbDYcFvjpCpcbWHZCYqjj6SqkEokj1L6sPc2ZtqSfkoSHln86C5jUA1bvn6aleQMVEj7qxRXDK4hOpWBhSwkK4dG3WUG0WINrp+lFxLs3c77Wouk1yzkcPQCIxBzxpYSw4I2Y225noPjq3Yrgm+yET9LHoq4KdTHG+BOPH5yW/lJji1oaHElplvtirfUD4qarSyQl+rszyJQ0dBT0DEsiRJGNZyFniPSUszGeWaL+b5l1b4N3Hmm8jbsZXwonc3Xdgm2I+HVY2w0c3sbS2yRUQncrj91kh3bSmuneBLfqm9qnRg/h2D1U2namMwjkn0mz4LdZ8+oUrg+6AENJ4N7vPQU1OzLep7b793Nv3Cvj68s+WMKL4mgGZF07fQ6Ym+qNmlmzS4BbPFMwnfvLJ93WceECX28eEuCYwl97Tp1uZBpCLAtZYV/crfc94UpnSu0HMDi7fcnsSNiQX19lnU1i3n5j9sbvizBUckd+5SLWfYMdWYrqI2hWYnCq3bvlnMIFqQC1rxhaZXkkKrh5GUxDBjbFYwDjIeTCivDV17CstPF+uoOjs8i8YoYHXN73HwuHgf3du1ftcc+SXgJZRxFV1mCrp+wd0pT7M2OknjRDoe7EtJ3U5iEGyVekC71twojLSTMknpMIf5OCZBLceO+UlZzlU24lQzrYmHSG8pvOMSXURsuX1XyNlylrfgFQFA3zWCTl7oTuXU5yyURZCSH/aoV4B8U/kDJmtYL1Lytx/UI+mGCNThfu7McG2px2CtJLebbqbcDKzfqQU1DKmlM1uCSdWoF5iMU5bOo9EP+0Ve5DdzJyV++H5Ymie2o2Ln9wx7icwWzar/yZY3RdSZoh3/zQb9g9OtVxCjsrB2SS9aqdSwApiQaIYZti/DwA/lmDlPFj5JbZauiD1Zz0L587fMEMQVG2pMInETMUNbbqpZ2K2lVu35XeteLcdcuuur2zfC9YzQao+di7+gILm8hkGk6tnYr55j2ZIy8Fnu/pZGoQUV91v28OtzxnmfnYzWpNdNt0D3WT/mRmX7OwHwWmJ6N4/hSRDD6RuEE5XO4D88FBfW4JZ9OEr8OEl5MB/7yyCmdqP3eAG1rL4rYeaTrdgW1XG528R17fCLaOiDGAwPKGqPCAuQA6Tdr/5ttNu2O+wfdsKmu5CI/H/hteyYxC9a81sakV+dz7n/pHfXLLOBEo5TbQQor9qfd1GbPSJZnNgC7136gXLTvjGDqVvAQlkBZq5DZpfF2JX7lqzvMYAFAdXlb3IS85IH1NoQVnsuEh4qcTdnfgZYly9rDoaQrL0QbCEdsVADiJgQb50pFUpIIVKDAYNnzKJWBD3dJbDC4BFv0AAS/tO/4Ad0K0uP9JRD8KypQ2m5fTI9JdVhhzmkpoPEkZznhiFo2/8Zm+fr4rtMRfuFrll+Hey3uKjzCqGKK931Kj7gZMDOrQs4ijWUMgbcuMW4BO6cKVTSvDDrANB0mgnPEVR2cptUsEOZPc0IUgJSb4HNIZnAvRdsPWX/YNs3H0jvaunUeJzMwFoNq7shu6zT8NFL+1+NSwsj5duKZqgoL7INE2YEfqnIXeRadMhjZC/mKqycYx63kkhRgTl17n+NEBBWaIaskT/xpFT2sOLaPnjstXSrSHU+HPgQFf2O8pjRMgqqTC/VRvtHApQySmvO12+RCpJYAAuFZT6xTWKOo3/HD50A0fZyNJPjnUlH7Jqb5rm0TqHzkWilhFUkdBZTf9viooYIwk9Nd9LrAtiCsiAT8h8fehGnW6Y9uY0WIQqVPZ47r9wvS31V8rqWulzptISq0/ybOT5vIopT7oKu5oDMPG6HsDE7sacWBoqputwhEYrFIEi8xsrVDR2hHS1SwhG8s1rESJBu4TG69/zvSdKgkCF6KMm0XYPux51y7E9n8UQZ8Xx0FJ5WwKP2mg6esnFmbWpxtGb3otYPAGp/1okKCH1vvSmWBwP1Ew1qM5x6C3uoc2EheokguhakZg4qyuzSjIdPDID5ymqL5x2A12bYN6dpBSt+eBLQ3VXBGDrC+AbeNtragZkLnGY/Z4dsbEOB9ZuNA9+8UsMmCBVa9cLm0Hsxfz92irxDhKZkuSHc5TsnRjHPOwJdrwTNCNcRQrNAOBmfeuwy/Rtt992JqNOs2FU5OtTQ6C8y0R/68+tI3DbNZ14EGxgxYCuzsuUobAQFASLKyq3PCPu0C/bnLDUESGnurWPJJOn6T8M98dV9MHY0xGlyskAeIngoeD8wwmTeqr/owWv2kuPacRTz1Rzb80o8N5UxMnwmnH36r1MkQg8AYsjK6G4S1oZNGb5uE2w7zPehP+keuWikOFUXW5clguEyXyuGQAUHftdqSQU1/OiVEpxo0doFJNf2DyvW1aBPQcuqqALte8jr57SwV7sqmtXFuStWG1nDOpQcOy+7nw205VcISt3nAC/t8xiTpMsrw3QTOFPE7SgVkNjQuzT7NTE5rLgtdzrA7Qzw7IsylrKTr94Xb193QCajK/30zy0oQ+wzNpisV63oNlTTblayZbJ3J/rbk+bMnjxZj5HFWyidsiV19B8j/B+A+ZaIKy+Cfz6y/fqHs8eNNhS7uqArTBK5JG/YAbEEAL1z+lirTO9UY50wLpLT8vqInImLLRtC6Lrg/I/yxbStTCW8GRLGlciFIBoj5rxHKQ4VDjShE0ITBS4/59b+dmKAJ7rJXWjUwjsXMKrv4B20Tgwcrh/AC9nztWm6DpC593NmPfP60SHkzGnB80tw7mfG1forCTSp6tADpJVW0twkH/s93th9CaTJCpXaFrzSNQJxIvBKN1Au51qiGJ3BovMTMM6pPkJfebW93+Bop0xvKOEJWgzGVWuBz2gA+NzYfe9CQ9gjFHJlTJkql+kij+GzF/B3OdhjotXGOG0TsrGCes+FlN5Z5cOyf5K9Df5syHftwTCBLmawJCHPq7ngDzPg6AiF6cve04WrmR4GclIZOxyS9sVKx5po3sRWqfTxeD8AdqAjmdbGDQ0v7uo9kbhOGqMTl2TJLMnE/4bdQ5VupstIV1n2s89pStZ7pusXjmpbk42WqonGMEQdHmaprA0Qm55E4ZnaWXuR91NADxk8Hdjaf4G0IVJG5kbsv7aDTYl91AorSGBnAMxKjdCi1MK2/Vm2LtnBl17Vi0iblIpYJfK+0XCPnDf1V0M4Lh9vPsdJjZHlVgZScNejCwgdqoR4ASK73sB/1FlOVS0/aw8TI8Ug0wquoBDBLK4qAyEShR6JMdFECORPeyYhGqtNCbHZtbs0fTJZoe0VkK3p6eCo2KKmdvh7x2+qRLUQb6egdZ2sssx9aGWff0kgRDj1VFiKWyUsWdaPMzTFb98Zl08JfIMfOLAaIMpVAJLKb48Nf9UkE/u3bvJEjHxO0+uhCbkmjogW1bQbSsAw3Osoai7YUvnxudxu46keu+j5nEj56Ns2y3PFz/6sSxJxQYbQrK3UWuKbKIwTV4vNHJ58K6XL32WjaSIIZmCKvFCywJd40OK7M6JJCw5Qpu3ZZCM9pYlTb/bq0DCZ9qrLG3NGaus/R6YhrWjnCyjQ9Y/ox9qf7xgYgJZqQpHfx7+3IwFAV5vFkRs7jNp37Dmzpu0rh8/35txbwlJ0k8L3pqHIRutB+QCRx2q2EvJvHqIgYVWHfcr4RdwPwRR0a69MAWkchX3LKsd16HlOG5P6Xj832koDX1hvDir7PwQgbZVAD3sENODr8rDbeImNOcDlJW7TVFknKX0rPCurzpGzxoSgT+3Is7jZZtzBFPC1gHAg61c2HZcJMPrFsy7x6n03pTrJy3ad5rPCyZ/uqqokRYK17yKtglUUZ9N1YDlR7cMub4/To3GnPok2E16rqz1/OSQALkQrWohe8I/r6e7ZSt0EdptF+MaqHdrEr1YNLlOwa+gnRzby+/xOSuZl2v0UK8vRM+gkcmJrmVHcxJl1hJRf8jsfQbpPymwh3+aQh5tbq3wGP6TxFZQatIvOXm4+MfxmmrWsEght5kjtmEVVD2qYETtmbdbFIGr0vtRx/P81GvsMZErAhTd3XsDa/lm1KTG7YY1MMpvWmCaLyl2eUGm+u5HKNe26HBzy558xc6FAdZk/EQXjjY/kJrirIi+sm604E+nFrGJB3B+MHT0O2KXyWFy408RKq/7zCxpPkf80LRef+l0gomrtP0W+f1P/QEU3JKz6d9OWiX+Ld3lKj/me6ryTh0MDALTxbpkaumXIDRSul/N99QC7yZ6NG8uOOOx0iQ80zpZmkiHWgkcOi1s6rZgK/HprNHACVzggmcS42KXR0WDd62xmzE+6Y6Rcx2wYcEYszuFG+EaF/xumid7NImFAOngUSjLtt/ZVkp88TzcjLq93FLbaKPsr9FNSo/gIhZoQhQeYqpeAql/JOFprSa4o0mTfgVeSj81eCJ9kky/mNnqQdEsFKQAIf4JFV+YluHnZmt5PmXwXUJghI5f0SuWtNdsnQBy2Zs9ZLTR2jv+Ma+7pCMLNfD9NW0qHMNKmbi1pms7ZpKmRqxqRYW+SqmC2c57j+p9fu+OWjsCihXdb/AUuJaAmrAd7uxStsE3yQxdd/Bwvkzxw34KBpksYPnHI7vw3+ob3pdrFrvRCMj8yPqpqbQMN2i2PV1iKhjG3I7ItX1hydp5D+EqC6pYV23phkdRTcKKJw42AX0w5dgYysgkCzDQ4Vv2hZvE++lisI0vmNdOCAhnI0zuI6UpF+YncIVV5Aekb9R/RIx7B0K9elNr23iO54aPZEwHTSpHz0DydZyDpFEurOvT1Pb3ZlkJcI3Bz7V0b3xYOhX4mn+b7brugwIE2M/v5PFTTIWIx0TgyGGuWzmiuGBmMtbUK+TW2V2NG89gDOWJXHjqR+c40kFw8k9vHq5PxNTZ1GloWfwPp+OFRsXqgGwCAnfI57ocyoNpbmKqMcH9mlIFUPTeCMeP7SoyNqsFIY2d/2CjbSwqzCClNc/j+IdNRTBrMTkwXTyN9NgvoWu84RfeVpGUGFVmJ+GapiDJ2q+vCjKkANMqDvckx27xX0rmviXyHZ6VmewDmJWheONpFtVBjwOyaoHKpeX37+AE9valtNO/YrX6GWdw1zKfnrapz4XOYuU8+h0i1Z9+tD8Ct85PCtEmwZ1HA2FxxN2CS9bw/ovZPo7gq1EsgjHTzV9aaibXWnF8OZaUUMY7MWNfVlsxODZmS1dL70G44tNbeYf1BmlxZhSD3bwpPViILntJcIBF4QJ7szKkxoVXsK5WSnq+Veanufn1QOwjQa/qdx0nWTZnyfw3WpCrh1kbS4widcRjmhkv6VbsAHmvObvcI6miWgN1OABqbskP7yy7iTuYLlG5NK8Vz1naRfkTXOH/z09urgm45aUoMZNqsvSuLOFdpvtZ4vmfEItEiRl0/JpwNKQ4scnKiSEy/6yiSEtKWZryC6lcMvwNt2i3xaGoUB6ovw3n6/HDkvX47ivI0g80cXTaFyNHA5sIvSA7LFw1dyjB4Kf6Ia3wr1Ksv99z8Ck1Apl8hdNR4HbaIqB/VBeHSV4WfgahppmfQXK4rvd7u9b3J4p1o67ZuPKMDFc+Gxkg/WeiiQtJtX7fg9d4towxUBi2wcG8QgGsOTSLaBhk/z2/3N1KlXwWK9jfbEl2+eJI5Fjzxo+Z/4TdZAZfvgUdBsSOnWZwZeVQmsvKJ2VP8cN3cPdb3oHHioaNH15XuFpXRLXo0hQgkhfFZggkNBrZlEQA+tjbUBGdfAedkq54sdH9IZ0K3cV1IJoi6ij0jUNqh9v5/V4BoPPwdbh+BK+CBsxt3VfQW0+4dD1iyKe6F5TcrGOp8gYqWm9KF0xjOFF7Ng5wkPLzvUWncJBwFtUHfuSLzJceBWIFOGSeONpbna4gP3A9JFwQqsS65wMJJ79qMbeeNh3C5KhQJCgiGJc+O0ox56PSRHoAfVwfydmkQu+lJF+KLFBHVlNzQqpHE91nzRc27HXhcBvlGwvCrSfF2OBOGx/+V3r66yNUgaPirj6nYwPRwX01kUE0RwcEttH2Nq9joO1wA0erZ/EdyM4DLa8iafB5KOpEPi1MJHHp4jcQB1EJpbCHUrSKWVyssZPa5cnABRjASWHsd9NUKGi9lJ6BUWxtxZecyoB2SUMz+yGJFxnyIiuRw1PoAncvVr8vEthWxavCdaX+/wpBo+brveNR9j9jUOBMfoGZ7hPQ9GS2uYPEvzN2ByhcKv663nj6MReJGT3p3YhImC3zzAq29OXIzCDES0vcSixw7kVPT0T/T/7vClyvCPGsVHsfEefMrXB4WpLLlBGCifbwDb9eNGtNk8oKY1KVTEY4ZFWveM1zrRp46+ukDInroDu9W+D/wuoy9ZI2cuk1dezghZ1AGq/W89sdKSokzly5oOQclgeB1KBVLY05TdyQLa88Dka+KnzuGhtMrOLlFHHnGhU6ZOuALVk5nO0VdSCGIzEb5SGe30FySzwfmtVi4Bb1z0iUC+jmKH33DUip5dRpY5n6wYWCtOcj8r2ovEyBodk2JVOuGweP5Y4Fn0GLpqm465U/yhvzfnUkCEpDW2ifx0dtbjErGmmAVQhVBzsgOJhP7mnFT7sSWvhF0uffJiJZ5Fo4vZ2AWf1TnyG/X7ZviEs2ir0CqPl21aSDZvKRW9lcQRmRqA7HpG9E/lVmx8BEkevrBhNAhpETkXrP3LF8yMWq70ILfCt1FGJ0tjRNClxKV/cSFBev2ENgAchWypLVI/elWbxkcM12LQxbdg1yqlyKiXJkBpJIab4de8UVSIQTOQpkVXeLjkxhBGg6gCgvEoI3EOUkmAjGyvpb6CGrsG/49cMmZpOBnGiwBaWkhviTaM9m/dlqHCSnoBbts8a+yPxI7mAswFZfAm+YsraAVq8oXT14G+1j+bvxfFJDEkDtZog/XzpEAn7r5XXDQ9czeJlo6tTJKVuUwS93pQWiaA9P2s8mGPOKEn/bL/QYAmW6mry/CFrdF+vRBytKTNgKK0ZDr0gwJ4mGBYc8DDVfRwzJlMvTdTW9DARLFIZBy08k+G4XLL6pU+p1BTbiPRvc/Ri2ZmNOcjyH2nTONVgYbs7drYtcteJflns4G+TR2jm4GJQzprOuT2pn+orDiQeJ+MdpO+zyfmHBXprvjF8lTgdVH8bbM75WTsYArzAsYAn+/4+afRljBf0hYugq3F864uvfXcMEvxkN+v3LpWCiFrUy7Mjs99sH7kzNSr6p+tIlPEpfZWUw7xaJg/jnCyIgeAbmqA+ewJyaeS2b+ln5cu7vBSd5ybBfu1ZmyfVxuoMxUUJMs4DxkoKcQX/xSiQ930EfbFjIzwBL2s6p2kVOEXQRAAPxamlPc38Sz9IhJNEbKsvloMRfO7cYPRvj65yXjWjXgQkO49HP90Iy66KNHR4NRYvODUYQBRwhXxews8x7xMos3JumCagz0bToQ8UXpyzM6U2GTu5DqryPXeaK3pWLI3RlItidNzIoV2RKhs9WiR9l6m2ErrL4obkd/F36jISgjgKqkzpQYlFrI62YbPw+nZixwz64m4rNDA/6ktDgA6oFZGsza66ummFnG8SBfze/Q5U6NdKcxYbq5XhIbRCKhoK+MUNTubG8UGZIJd6Wwzgzv0Vu4/Chh9duZzOLBX/v9aB7FzmF8hGB7+aKzkGwIotzkkpNLhTUNBalS7AhRJcN9iHw/e8vxguUP0WBvVTv6pz6+08YocvbZd/rh1/dN7v5PiKMsoKh8RDWntZTXWifE3JQc5O8Prh6+r738cKx5GpkchVjCLRxmN4T8jEUBwbU/k7I9bvkGyVhr+cBJrml5xN1nTvjv/AeZJ9rB0s1A5tqduH+HaNeVCvkNAjj6vM1+S6CtbIhTsj0LOvDKrkFyV2sdKpq/VkS967CDLz289ieAr6PuH0PHuNjwXEngTlj3NtT22XcWfxx/C64WiXpBKIjS3EedsyS/cKvnfY3PEGr5zolkCT0B768GY2jAWrwpal4Fop2NCuEdgSb6lVX6+JI2vWPRxHGC4NeozFNPpe5pJhTqy4Y7TSNsuckF5yHy0pBn+oLIK/w4Ht92mYqQQkW7liFAZLujFs15lv+FHBHhyNoUvbOIvH58HH2Y0i1S6GQJ0O/+NKl5VbcwUjtCwDvBFtyBsfLt6U1BJk7Y6U2wvCyS26idWeSrdPb20Aj3i5DyNvkc9w+Fk3RPJHYDetvOuwSpBtge+IdaD2Q/S89bWAZb+VVPVAaJ0wm7/MPDAbgj7PHfYxGQpeEege92J72FoqG1A6+zxCROzcbbkgqYP322L9RNNQd9+A9/pRAlO0o28cMvUnuZJ5J9ik8RxohKmAD79y6iqLhzI317jfM4CpoEb0lb8/hL7Gv3EGmbXahqqnQkqBMHBJ7YBJGr36ThSo9D9xQgK1HDbQXhaIY4SPjrxGgrNQNmSs/Hk0Xr1qkLQdXzhMlpspjKobpgYsjs1Zd796dj4AeMl07V1feVB7F7hYpTvY2h/19NhYQPn+Ohx1QVmUKG5hOAWkz9LMMzWz/X80Rwezc/CE41F2dDRXGqgSHONPypD1I/aUUSDW+Wliau5S2Azx32SUSwfsaaGAFho7SrpwEkyXrgr4VoIGiYAisLk0zIbvhT0+AS73ZdaYkj3/cehQA2aIhHl2gsS0/iHi7L2XecloZCAX4/HQqvNap9mxgLzk0xt6AB8Ey8dYt8f/K9K8lWFAURHdGrr1/UsELVTxlJgR3eXSBf+c8OVSBCmnoOFeN1Im6U48Lk47Z/FctLyo8/c5jWwVpFkCrU9/TuoYQbsmAr1lrhccTzt9eUPhiJ+D1Ro7gzrkeJyUEGvUnxjNq7j0FmLA2iVHMi2s1o8Dhs9/+2OIU32FWvMlnqqxHQX/RskzZYna2fzQEdqG1Mgj0u2EkAUZhp6QwAoSNgA1isWGE7FeBEGNS2EzQntYp8AoDyEpttj6VGGc72U8iK62HAm+w+qyfoYsohGiGPTkMJ/ilvhBhUdGSgnczkjJzO7D6s5o8Yzsoawdr3JSgbAzNAM09NXnf2Avz3xhlNWUX9WHlJhSJJDZFlyS90dMvuWkNsfiE9ldsZaYUyWEAbS28zUmMx624/W7plO99Pg3eOu+79CUth4b3s1Ex8cl11c4X+Jxuc/T9Fk3br4sYHWP7NpOmxmWmwSPOce+iVx/qI7kHLNsQ1x0eUy8SzOEr3LEO7AMfCio7oReIdsm+yyGAFh13BoCRVkL+oESTANRCRubQllZXPBGn6y5lNDMUvGQKSRaSb42NXkEGvKqtU9fChNW3Ig5ibf1vQgtyMb79qua2ffTuD/yJ2oaSJtT3mJApSC1Fre7bkqHiHUQssyotp5w7YEAeN6Hs6w68LTcmBCrOzJ31imt4vGf+NvJBIvPhpfXbLK6DjLRhc5QTTdOV4coMpZuxlh467Cz+vGzfE2yMlNBlVU6+dAZ62d0JpZrIJoLYIBewScrhZtUtNjMZbr+OuP4GRr0WPnr/rJFxy8ubD3qgTU672eLJkSPEEg9jmF5HVJXH6IUj33nnlTmBnOl3P7dhP/8hmbfbdySm4TMj9lWMKn3+ttlGnX9vGPU6PP7c4lCVmw98pqGnm0hWwfcCsgyYu6NZNrBpgeXAbciNeyQaA8KEFa22C5jKv5oiv+0C672QeGuhRtvfdmludHtvoR8QRU1TQGa30Ib0tn3Vp82E2sn7xwiqCYdEDfycnZ/B8erEJMPML96SNnvaf32idPHaQCEP2G/eITX63r3ZkLEd6mleghar5rggzcPEZKC2OCvlxvAPZSRcPV2OVOkzjtT/TdoGMLQQamQUmZddIzh6ZlSWK44ZcKKt9RqZevZ/7uOZsqsn9oldadgJF0Ybpw2KUTsiHin7fxHhcm5S//StssGIOQaLeFwBGMxOs1y7Tn0hJ4EkEhCWKKPF79NBDvBzy5kcMCpueBdwbB+mMXhLMOwuMC28PTHy8FfvqFbKcLzl1zEJVbsYgBzcJHdpL956dXKZBOy+cisQDmaBTqNK7pZbgPHZWCitAXFCEg3hiikYvK0muJJIFgz+lYfkz/DYMITlBAhAF+Wpv3uLm8Jqtemo8HQDd56ttOlYKCKu6x7hNZkITLYFpnCCWP31sSrMpqUjoBsvkfQiBRcps3kOVVxLdKFzusSkTT1wE1kHTVDJ6qItj8U2Er6y8luwNk1dLAs9mOF31L7w1b+jqZAYsLCVXKT6QjPrue6GffaOmcLA5g/MulhuC1n+sNJ9TDJIv3AIUwzQ7TgHjhRAUzlYsS2baSWF6JaPkQ/LTD73CAVFC1QVzM0RRb34PmqczxrVUDbx54VfScY6gbndnBw60KcParAcNJiLshQC/PLsOnbKpMNzyyQDqiPQDrz2rkDLbI6poctBZP7kXYkrJKKTM51W3mcDtnD5Gr80XHYnRghP6h4KNarthX06+rQrH6VHYPTVtl3msvP2YztbQg2iwn59TYWAFvQ5mHP7U8iYvyz/+nQKnrO/LsBsdDHCBQZa/86T+5FvOYGn3oKNRPrIq6C8lKY9rFrFBwTB3hPnUkaD3fWj18rSQv4dQNKLgA6mXMAcBiBZsQ1NCarjzQrNhBas0RCr/U1c6MheDWAuy96jxNiNy8c+1K9NbtKUjEicmMZNzq+Tp9tVcvJDskDRBbLo0udH5Ju5amNRdRRCp4MHzx7k8rh0aQprgV9oqQE+AHAVkTI80fL4OKfxJGAraMzoV8O25yQmlpdVF3RNKpaPn40PdUP1byhjOW8Z/2NkeFPlfkQZFnUS/+4h6PpG5IeCaFqLxEhSfJEQULcXGkA3N0aof3QsPvKYju+EWTB8SOmLaheZk4jjE/mnbHIc6K3xS7hx+0TcipCWR4vge9Mwz7IpCt2kudee5PjCWHX4bLnkgtzRKiq50z+JZZ2HoaRbvNBxaiGib/LICqBiy67WvAnFNwJ/sCRKh4EiE5w1zuqreODysmFFgFq0G7TG0HRniGdgxMygUUFXgnqAn2Lul6/ofevGs9a7MYiQS9+nGILfC1Mm0HKX+EqMhX/Fil29GG0wwHGMvSYYlHYUweOVOjrRDmIMwdhWkVs6cAR0Al+eABWCEPOQw6KL3XrkKblJGqnYEIUZknhZBo0ANWfoQuVPIAXpwpS+3oI4gMg5+KS7+00hb/f2NoR4ZaYWHMmhe49LU1lMX1Sqbo//9RK1BKn3GL/y3t3d5yC6pksqyUwPSfjoL9zp2MoCryOPcC+gzq32g9BcztBm0IpgwBH5jYCW0tGPko5KLCapj4QpkjSdjzJkerulPfq3jVHarYw07/kffwJJGuWZnexUZNQHNIub3b3JLKFMxrLUxtyHPMqtgG4R0cGCsVpEQ5VoMxQFhjSvxGVlSH0/K3xvS1Nh3SuLc8UN6qzMRlqpP1f97UIfvPYUbbdhu9W6slaBBhkuvsS7CmXwKAcSWKwaqJKz8n2MqNhQIynx4qyUkjE4G38SQXPMji8f5gNCqYy98xH57OSa8hvBDiwQ1p/8BLnMACXgKMc1SaTPaF8vhjqwj7H7RLW92K/ovIwWauPQWrUj42bkx93SFUUAlYKaxSelZs3zyZF5XuZn6gBjOTFcNpJkfPghKltFYeu21e7Nkn3Ar2p/A66f73lsBD5SilfLSnvNgm5Dp77xUm3QhzCw3i8XpUBqaWT9WkaAm8Y1ybgFFzDFx1t1ymGE5yMzTTILPfGX1CDjyweW9o6yxh49KCJN7oblnUxnAcMyLXtJnfPrEtSEOPBZUNcsehQLQS1iIQnyIzTMshXnVm21xb0FEyC4wHoulGFvhQnDeiTBl6g/0JOCx141A3wloQ73QmPuMFMvvhf8ypZR8W1NTmciX+hCN6lLcF1NPaJkqaOJvts8bi9xmS5e0BvepooEnDQsZOWTbSSNue5o0nhn9z2WmYgBM3bP+2wLe2Gf172EpeXJK2R5YfeAknA25rDim6sU8eNMqI1Ehh4VINIbZBNZPkxZ0+zF4jYvnDPUB5aY+iSlMVlrEfYPr4HwzXHOEuFcLvVPjB6unOFw6bopOpcHUgsFtzpKUbJtM4uj52u+Rlkl/YhzxNKIxND1vJnK9PLd1s4uNAyatrE9UP4mgfks84reVenY419ZGsKo64n72OA2fy3/6LvtCwt56SlTaRFfpeMhH1G3KDhoneiMH+dWFXQcZTsOhvq19EjAk7zyjZDAjlpC5quk+xSPENdIAHmg5HGe8bga8UkZsVXqPnW4FwQ6iGPOcAKWbHq/YD3PkjDRdEIs6Dki7g0JRKv+rSrOXLRsxKm+N4bWXd9EdI7PsqlbP6jej0RRJB5/BmJ2GVLmPGvrK+NBF2CVLkZsh4eoRGN0hyBbWjHtt88Z5KHTy3RqbF/pRlyYQWX13885sita6N2HLWJaxYIY2F2cAJ6gWC7LY6O5qf+4rKCaKqFMEEPr4hxFkbQulEdd+d9D5qmnCADPxOaN95YsjF/+U5T/zP2J3Tp5hCwxync7Qy07VaAdQt3DU8eqy2wq7w6MLxeyTCxXXHpa9RHyayuqAEP+RkePEdgBmllqcbLNSSs+bmnjZk6m9872Iw+qPZlBhca0/wmOGZclS56Uq8X2FdMY5OKxrWmrlSFFwObf0A4M2ff3VnS//USYeVhsfzuQ6Hh81pa3jW5hXqWR0d6VFtKYLyzH0JRswZwmdm9aksPFgnW4NOfvgHU1CHvOEvQGwRA2U4FjjAWG2QOvc3c8LNNnhphMEM24DR4tQrQuqVDa7pQXRPgcoV/z3Lw2T3n0F6cOLaaMc8SNpJbn9SvryQbLzvjNT/96yJEiEQ9rwLt4CLwLaCvu7aDnWjuBblU+KzTk+eUTpcx7mMNL7CkOvGV49MZAyh6ejPvyPMP8TpJ2G8O5V0KVrCDlx6bWScrGo4EFopf/FysNwgYn01Gds3zkRS2Ag62lRBBWp1lB/QSDCIGn3IF32mjBjRqSrR8MUixtl1WVQUlWzXsOi6Sc6/P8NCmqYF2zv/CYWe9xumi0r/im8JImtLLuSZPCHBw9uZxPUgzw5l3jo2UrnPvwyJbQtpBuwrFW9niDvpSSPFMu8GOBXAkvj0PfkH2VSaMgfM1alZVXe6QiAn0bod61LU80n8aKwolc002fUe4cv80GPm0bmmaXtpll/xUhuyjO/tzetDRCZtv7sQ7ljapYVytZfn/Jp+rntWzgAswJHodGxvysBgIkfxSXmCK2xywVgYuppDz+3QLGSzd1AHuyF4HNKahaKHYaNDTnBSgvMz6GjKK7SejWHVPM42HSoE9Mh65rkH6phi+NPq5Mewp8GI7Q8l6W3ZZRNb8r2jYeQngbhYxySl9+TGxFzwwu9MlnQ5ak0MrGZXkApPwSEXJHFiK8KYLMarcWghwwVdU/VyZRTw+330+AZ6aSCetdG2aCM1FFQL/lnlRKZ6dfN87ot4CA3Eg9KEefCtI3LnYbkwMqkKP6NHczDZGkX4BezaFojxqLUkWsMRgKMaq4U9rtQn//FwOm0+2RVMRsasEHGDIlWL1kuXZciwJk6ijzhyn0+BBpsMp/VEHtr9KhzytwF026BN8OWAC8yNE0hS9A0wcJCKO9+cKuimB9kJPv0FMmNgJPcfKOBCCGpcrQ+A9bz6tQENFvtopjx+kICIqu43/G6yD4ixwQavPLutIwypD92LHk8ruTZ/9Zd91KEhXpgFBieHfWqL2UK+a+coy+iKbdBtkVj8qCBePKUx4+1crm0TAf3QIK0MYEgRt0Be8mGS9DhTjBFYVZTtduqGIaiYcD8q6mWMMNrKpXN6222A4kVTXwFSu+rPlXiwm0wz4UScneaeKGr38Y7WCXA2LJldEHUA01qLkcQzMHHlPAM6lzoZ3z48jnlhvEFndTdhuX08BcoXU48e0rJ1tyTcwnye1GRL/Rx0kyzPe2Rss8elO/CCKZKGC07skNUCZmMB9eitiuXmOpg/PDud0ib9z9S7oZuQIb9K6mtJIUPCNIgRSd4S+ZyOwTSYtrUqWz/W64GtrPhWgZ4D+EP/UgyKluuIvrkFQLBnkImS/ADJmEI7EPNheAdtuhVPXjaVMb5wrmHt0Z3uKUsocUOXjLvP3lemUanoxO+qFpIsnZ7yyyRMU+l4Lk2BiaBgjUsjuG0WDG4ITnFhZw9blfnxRwd1pOvG7DpK3vVwbs82OPLL+BAoZIIwitHKAFwVGrBCoVF3J5gNlcowJSURjiM7VLxhLrJe0HeixNyGtQFznFw9GQ/DWkp5T06aajyRdw9TMx8u4b05kSN9CLwsSV07+JjD7H4m9B4eLXI15Fs4GdpIP6oW7iAhCPye6K9CXhZQT0oiQNADd2XO1j5u/qbHXtyXRPUYeWSZqyw7dIIbEfW2QyXLUyFS1x02meTeIHSZtTo+B7at3Tvabde26ZdTCnZV3cUHeP2F0TkxsWhzhIyXxr3yKg5QnpRLwtvWJ+VGkgMTsJWvWXtnE93TQy3k9vnnmD2dSpc9NQDOkAXaKLHZ84XzBkz8kYhMTLLgRx8CryAyKyluK+MuLkDs2Id0EjyavC+9Fg5e4tZnJHammjxpriIJ8F6Qm6b+F83WpwNgo+xF0bvXEar/yVVXdc/IRRkgn0bR12Ew+IfEhDwPOdmspuCsMnINaW0o0PYf80ySjV6MG46cjdmj0yQeCEHuprkwiLpBgqAJO3iaW9ybzYhZfscF9fD4XLQC5dC7RDx0zmRGwhx8/aASEXcsrN+oTUIT7NcwKy9bulxWQGl+URf+tgJYL9TEvR8jNqYHeAsqCN8yQNcx4ghYZdIhEF0NTp9JaFie46FQ+/WlOLE2Ry3SHcbnV25r9nY+1lbtLzO9GvTi5VthvpuD/58RS/Qh7Tf8cGzIMBez8Lc06f8vYFTNtHrf1y9GCJDLlPcJSfy3G08ehuuuUK+ewpAWWa7frDAfgHfhylPicsYyPesIg9LPbIv0gln3iFVXkILlxfSaifqSe7U40ii/VetpIqQztc4hFhIVTJMssiKLibJzIwsySTU7gRIlnCVeTBMqG5rl7Bb/okFmN+zav/NLM0CmGayIW5IAIbJz0AaxGeZgQsxwdhgaUy1hfrdwScRBxyeybtIir3qLJZ+pXz7wcWolhOyocTKY0lRLY/keJAi5nfgLVveSJXQRSbDVHdGROdIGDxlIoIds2qQozs7Qv76Jet+QHoV+0zUjAK1n2RXHMS4yQt1U+uyH0Xr/wPIRmv0goWgRKUfU37lkPL9shT4075UwXtEu38izhi3oAwqOxtcPp/ApBzHOX8evZj8sOmJyispXB9AffngJbISfIJelMwy3IyzNZv2e2xoeROTFLbn1c4lefbw14lHFh+A6ojFkXfYNzlYy4wnGC2yEWx+kp9dqSsgn4kAM43HMsO6pHQCYURU8yhU8yqSbwOArhHOsuSrRJAb58Sz7ZW/BljMGf2VkZVAUTnkjN57Ef6KIhlD9dfjVpKqdoMnEgflJa0azlCPgioWt3IpdTAEt6OhtHrmArbt2nRC/uGge8iQ08rUH3bmUMI3PzwU2EY9jw9ObcYy81K5Aq77N1V2Y25B38EzgYHFHJvpfZU6aBTam4uQ3vlaoCgIXxh8Vfm5H28FuxoD1ANn629ljN1k8BGR1I67Q7LJOZE9a/qObAsrjGXNgzlN+TQ77pEXBZbCj+aCpVlmxAuBUHOqc2wxqqe6bNbtCcsoBk/gieCIp/nmR0b7giqR4ayrqPqBQgbS9R3lrQ0DU2ImRDs3Jxu9tjUTh2x4RGj33gCYXfgPYy2umNMkaObrnzcN5t+/b+Wjb/2jEh2knrqDlmfRJb9oaQmR3HFw0hzTW+urPlb9I/lzlD95aMjXEN66Ihej5yYzw496j5U7SOFiwb4g9xj8hmWBtVKxBYxhU40LAWU6pCcIQBrwSoXMleVIfnaLyuXs+FdJo9lMLbV7jDjQg0eZuSq1TJSkDyrGZG4/GN3z9XRpyKN78B4f82qnbpo7ZdHhb04QLYTrcc15lFCYUSqK0IOg5uJHzBl3MXrVwhDn/bX4dQsc56JrVQCnLVdEYdhmlRaVq7IITtgnyvePcMLq7cLKHfgmxliMwEiw9bVOMHeec2sVEo2yl0fnEYsjq+ALY2d4qHmniHzlDo0tLMlDYj3iVZ3QqCOUFbT6SelJ8ky3MlQxd9qTxi9JriCFpWQ4YXMFpwwdnQdHv6y/ojxlaDlAhZ/44bGqIkUzngttrfNuVgoC0WY8SfGtlvrkDph3E0j5en25EwL0TZ+NCjtJyeliCE2B5kM8cHxx3NJhXaonKFulIEpoPzxFiGqHHwFv7AG2sy72gKCM6Ao6/DeJSFr7H3SLAzD3xNfoesGlO2h3RMxjxLeUK0OMd91f3sJ+HlG3fqYFIWZAvUusYr3qEM/KZgLg3zMTZjq1Mdw5nzaiY11KuwEmgPOAnO2jMSCa6OmbaNv793C6envI2z3t5eVNH1TJXR+BwelExlo+ziGm/krECHl2OCR9jRRYsKfYHftYipTUPUEFUUFLc0rZ/XUoeKtNkR8rn9ibmzu3y0dBMGSWtpAEV2JG5jNQscbDZoE86n2lxcBI7aQaUZ41LitpGTUGQvfdOWP/xn8OU/k0/Q6jyHZz+M9YbAcTdvNGo98aOcyyBeLmymNPzyagA5K6L+vRYs2Day2IFSkmLTSk3PD38UtFAOdBeYimtE8ETltPj0PUds+4FsV/ExLmFDazcNYZ4443WMr5DF8LYNIeIK3hzhln0ie8lRKe81teYhX2/tegJkJqWXBvjeb+Ybb28XsuSbVH7i7oi2HMUcZwuEEONaqhKa1ywJ7FpvBChZK9OkeLHcR8083GrBKDvMpHwEOI0e23RRrkSJyotwGs+QOAK7NvRvgKXVds+WWkQHdFcAOD4mUJG1bfIzIMnzLAfX9qsdMgPE38aL5OGbdlvfLwhcOV5ElXSvjsUWAfTzesOlLzTbMqddibs59bPZL8arDxNoR4zvkNgng61clYkH+ldtTG5uFOwlB+5krQXBZkj7kJHbnPrLusdJr5YdCsbrk46Hw5n1oILtOJH3gYKe9du6haVPg+jBgA6tt+Jsjajlz+HQo+ec1fxov+egLho312ZGev38gGcPGmWaqIryivOyyf+c+LDmKnV09Y8FUHQIssInurG8rmnAVclPtsMG0eg7PCQ5yVLcAr2BieS3MGOJbFjY7n8PawUQ79j/ItxflZ61qLEdSQ/WXzq0jqIoimzLL7PCh7GUs+aMXHPZAUSPbn+kZsQHrEsguMUX0vzdlFjI6x2cvYbLJPTTEed3Ef/VvBtfXc1OdlqTJ03WBi3U0QcXY3BEV2XjW8vaCupXw+km76+r+Ddssyibd/wop46yUKp2waBZMsAlSKyd3YN7U3D6NyHrRfMnyymPQEv9IhkeGk5PjSQT2c0L9E/sovUVnvsxB9S1w4hCWp37MVhjtOSXaF2RMjjUO1uQAfF/UdH3BjKPu+5JdsD2a5MSL0r1Va77JwcZNa8l6+xIiIavPGnu7Kv2ZklnXgxbyQ/TOZ6u/YYeCsxR1C+/ic33QW1JsaU/+cCkUGVvIquqRX1S54PvbNFmOA3p2fIqMiPSPqu3xSPvOIoYUmSc7GzYqG9IU1EqBvV1ha8mzH6ScToWrECPodCfuHHmExPbkZsGdh7XBbqtQxuOQYwAD9akLUd8RszlFh5LibGrv6aWsrltzhIAXpOwwIJXeHtiRHjGygPnPb880tdpMUsR128OgD73+KZOeIbViKaGYoNssp/95oQQlS0yQZkwuCF6djNObHreP/YIOBpeFP0v73cG1oQzLpGsNOmrGk80h3zuxI7fOvcj5HRh3fYsh3GhCkPksMRd/htpfGfZModWRsdi1abwheIjGlvGBMV90/pa5x5jnknJlEcSXTi/JOL3BjAEr3GqS+gvaO2qc8BjgSocW1FpHxkv3zrsxhGT8oytTlThXqMaW1/66JQEXg9+WtzW3mKdbfJnuCFIzKLtfKhD+4CgO2BLtngYa6QOjyLbYgjQ5FIQ+AmnjhCZ6QCIm6Z3dMQsKmDEHIujQuIcuOFX6WYscCrsiF2gbrihgw1PlHrzkNUa8f2fOJFEN3K7jpQjzxWb2gCPlt1LUO/TRX3wY9EU0x0YgFiVffssFQDJR4PBiEEU5ctdNkGMEzyaPvyS8DjND//u8toR+c35qulacfHaJ4gdY+di6VoE7lsI7ZAEMVZmoPN0pFD4TpBVmzsp6Y2S6FQQTO6vUazYDkRT7tel8KD8nwo076Mgk1Z5BvusKelIu00TTCV6XeUS8qPvej9eUHvNbSnrAU3EJiGulyv/ISSOfrovjq0OTU29kKE5CuYCBJPnzyoTcHCI/hP2mxWjk2P//bPnq2RRwWyTKrr4IM8h9KxwrcgcINDLESnk5XNVmTD+KiODp77Z4NPkdIhQVG1Y2GRvsF03+wuOJ2ilhGphg8VB8PpYlYaIdAEo2F11O0nrE4h8MnwtpzlLkAEOledxEjpEm3hnH3pp1hfhDRHDE2c7OhOEk+vBDk6GQTzTwzDT1PtW2jZUC+Jw67izwbS3DFEPNT9wJVs8VOb5ZmAJgjXeBc17MCgTzMduNMbpB10AMWKBITYBp7ORzFwyWLynjpjVbjlnNhHpaT18rTqH0BfZrInI7d5RBD5bszAl/9/USCaI8Lg8xWDLLQcIgaDrVrME2H1f1HpY4vaND6eBVWV/+MM3r9a81/C1k3qCW3BSZslzGtI8YSzJsWsRqKTaEyeGn5NJ9U+HME63GEzGKaG2sny2jX3S8k9aqmoS036JR77vYPM5ap8tUvM8TSOp3/O1XvHjDjH0dnnxC1/08EYtQyOcMpNzsUl0UMhrNZZwlrfkdZL5ADMpuCDmMQTweiTBUBlMdHM2F3BMIvbxOUytmT4kb4FW7oks88bP80ZxoyhedyBe5n9/9+FQOZ3OocmcVsTlpjb7UC9cdLJgvT+IGKWdRY3CQZ0MKnc5dfJGYPiFcqdvchEnID8vOd6gn2mcn9SSyoO26bcU0ng+nYM5HvJlu4Z0B6nWCUQgIGtf6iddXQTLEfysWXfTi3sBrsHOaNdm+umYBIjbhLvV2Fxa4BnF3zE4PamM3svE4+oz5RsGiwNUqfcjClFhIu7t9yMm0XlQN0LSOSeQh9JbnuY/NZBQsxgqXEdrzKukQ6k2TFksOjaRdlHwP4ZgsF2zkmDEHqrTvABeNKYm+8/WyxM7caME+NuTv5qHYgMG3FUlvgYjkNwfHy/ALu5t7hasuxfe+3KSVRg5HcIFX05Gj2PFkVpCTr1RH3RVqTha043vG2ZvFxaxf+niD92r9eQh2/Olkps1prVddifmliMOwuwymvB+SU5C7WdgXBVRFIFZtKUGCmJNhxXjC0EbYhTTWPriqafB+d/4J2WJH7uujGSimtCF+QDHDxMVaQgGJBDfQvkgUAJhg5tWZr8g9qY0oGvOyCvyiWkhjHPbg2q1qZ4fz4QSiUqxeLGU+SJEkNB4yfiDrFkzAOef8h42PIvFyyb7DcCWAcJzIQPqIQsn2VyEKWgpVqcF7/Y1ROBh9L2xK2TCc+b5+UUMexHpaOH/skBDnYa3JouwSfMHprjQhW7kDZe448/P/T+FuzykE3OVj6ZCYwfB+cohI42fV3yS/BXNCEN3Rb4KUoGLLXRwRjHXjRmvsUfm7bE76LV8UV/ROOOxWHGIYMEIYLSprMqYuESKurI/Xrx0+mWZ0m1RNz4TsAKHPuccFvERS5zMJWnkKImtUxMIrnKGOUlLe1hpxZh/bAJVwsoNg2YwDnERFs/l86IrEE2hgUja6UPks5s/IDbSje9aTa9982ZDuH+sybxp40cAIB82R52W5q67mRlYAqGmVeaQr/nuo+19teAZ2hIGfa/DGptwDWy1r32t81Q3HsqKnyJbHWymVCNjlybiz5Z5erwOg6izGQGsrAvuNQ+NsRq79mKJA9kIzgZq/BK91fke155jLd+7E+zAPl5A2FNhPnIokVLnOjS3FReYb4NxKiXIRic+89O832HnrT+JjbbEGMa39OqSPxhiq/bNO2mdi5BTMK6Sny41JOY1EO8tmtSpeBqfaPXIiXtBAr8ZtJO4s/PdncC9eZw+9JEVNTIIZ8e19gE1lpWs7CaYxTLCaw6YGMkWAFnuqYWR3pDexhfn+IMyeIzzEHPrWhTX6wBAiEWQ+zJn2vRN0T/PT/fzLK0EZ4NtLC2g0a8CIZ0zfAMaQMG7z5ZbYMrIBM61icBPH1obm+/3VXqewOrqSiClR8rPu8JM6HrfqDyKjcnIzC3xy/TszFrP1LnZD3dBfiRHaiDYJnHhMP5sW0rM+ghJnFPD9W4FnpK8Fcwj4uEqRvVg4OcBNgvaG3VyBA3b6ZgVe+gObCRTMHSvjk3I/NoS8YykOleB//qf7u+88YHruSO+GLZv/wWRMf8L/kL+uTfJ8Omchhi5mIkuO5SBcFgTD0xc3j9tq4EgouQ6f4g2/IGvuMSGtz06q/CqB5S15/DEymVnB4OctYpRz6RxihLhC1dBzi/lHqSITq6DaqfaVQVsh2o91sD4Ra4KUeL6YhYhM+KS0ozriUPV4oj1zS4e8pThY5McZEjxYsM64tZ+LnvqSJbwDusGq34pR9+i9ddmqX8jl3DKvdnK94+ylbKQQs3JIjgyR3P7IlrSMiBfVq/DTgBQjhtla6q/LWnyFhSW4trW1twls4bKxaUB483zBv7tRqvBY3qk1Z8AjzqC4+QTes2l8F+PfF5XkbjUnSxvS06UQJX5IiufTX3bqLp4j88aBI2tJjmpXV2nKsdXWfAa92eENcE7MsPaBdGMzi8gEnAvB1w9WTEDHzELtCl9B+e8/gqQDo8+EEnV/pLeztZkHjSoovbqQBkaIbzC/N3f+XdFR/fWAonag/5MCuW2wfFpRFROXTNkQ5zqnAxiDaK6YJV7Ess2YX6nuwzPo4/+fx/Rc74LYHRZp5dkSCRv1Rn1OZ9DoeBX34V7TcA1+afK9FwyLcyx9TThZHeUWsFdPMUv5r4ro3yhPwbsdoDyfYkVyewLebNsET3uTNB62gjU96tcqXmEf0r9ByxHvXZnI9pAwTaItVY4fkz+2P+/XiyU8KLiZU5vwwGeEhI3Q4Al+gcRUGkf0n9oJvsc0HE7kuXs/QgmhJhGTNBB1lYPe+0sorNFxgiM4hGJosXEW+lzjphhIYkqDK2jhRq5CDh4kMIhUeoyoMRWDOLMu40oWAxBLgYAXdRk264KMBxDicwwGi/qf25dRLcxzf7ljrfAEib/wUC3sfqzgbALLyzXf7NM9CSbiE1q3TRG0XGgLMAoj8mWVja9MLgomCqrCJSJ7ZQYRKhzz9rLrbfGhKFxIiIkiJJtz5jVDcEldeE1reI2CZels3taWFZakUwcLNlr3guLas0tWJ24XK6M/7bAJE3mKNtZwadjqaQdgA/wFhJihSFX5LYEkoN6xA7ztJS0N8H7xJ/urGtarg+f0TPE/17LL8m776M/Q0lieq4lml0z1eJvuMhMj/Mvca0Xs3vTPLqMgPJNSBYqKQm6GrbwiAjfOe6X0ma2NCte6/4LO9maow382qFH+PAOfaj4kO/ix9oiTK3QiY6S6XIOndEBs2ukYfdLOlJFWca+kQxuBeiznx36RM+LWgZpouNh8mFvyJsjYZITaKmJ/ak26xm0A1g3S6G4daylc+OOpZlg8pFfE77b2RSwDynah0CZe4hJUeS1oUCVbMpi2GtYdD5N4nS8zDd/+J5Hw/8Ps9uvlW8ixo8SX+BFDcP2LHBAPF0EJ1/g2mqtv2B98go2QuwbVz1/N1cI2caBPmE6KJCIuWyid2mOIagKsFA17moMNqs0XY1xsDHc3mhdBu1Jk5Xk9GKnSWeiyY2alPUTpCimButo+Td12fOpKD23ESBLmg4ZCmHtc5mzziMk+qUTe4atOy+VxRxMUv5ACcfln6gJ7mw/tu17DYbaclXvo1ffBjX+2uuPso683tfwT9sKjQfi08/LImsXlP6P3zz3fuCuy4w7FDNpxrKqV9gHztlCAAzLYwYcPUgCSD06aPxXc5jxo7oe3BVjpnJb9q4pqKMlvlhsiYkekXKLGl0s/a8vdqK87prZEAEiLJt2PC1WifvGRsMsfQ3k+Nhr+GVKLz8+BZDa4ewQt5YcUe2ZCCkzxsyavb0+N6ESbP7hPUupx8hB2f2f87hKQ6sOPMNTqmfj3UBADRpkZ1ICspRqO0qfMK3xo3Mh4OKtPuRSlG1AQXBIff9lyrc6HUa1TLj7HWQ5Hdh4M4pEt7UTVL4vmN5JAlmCSilKkV7icYUB//PImb+ONcwMF+3/heiWQ9YcWvrSAKFVSnwq77XtpaXNu2u6L+xgzI9NXgm/uLU73sNy0RNd0NheDUrgtNHvVX0PIE07BIdbN+qHag7M+OvKkpqb0mCTbhTp4//DUBdmsNBv1bkTLzRUDghadiFyFlx0o3mep2rRghwHXwu7Qc68LjEnGjKh4yjHU0YEN+ZcaPwJs8Z8tTe0EjJeOZe+VxQnT4ze2AfTpXzNNdylDCgADQ/E5O7mv1Fc/4spgw1QHWE52TaqGqqDShT3sJFeY0I+8dEELH51u9EdF6aukjcdTzI69KduEVWTBLFsfpwb1Xst4wNGt0lSrzQdgaKapMPg0xEt+/87pIzP/kzf8UFXeVQr7EkPGObC1lYsYeSjHnYKkhzE/pdsmyxaFQ7Ua3rE/v6eAarGduP7qv0fQjZy00nlDfgs5/ywygps9IT/opYx9pYowhDWKiYSHgml652oLIdFTLJTclfyPTCxDwczynHjFKdkBwE/FMdJv+SlDjUdF/NlTXj8wFl/j1i1CZSw68snfDNl8o5kghEfcoWHpM6HNkDzTpqoM7sooO1qp+SScLmKab4LBsVzcd5CQ05oVuW6TP7d8RfHdigdpjHJwFQnkwMMgPz2Udb64vblhfwZBBvlrdsrq6RO/ZKHROgp/9pGr7Uw0UICQIo8loCE14YYP5V//AJ0C0KWo+5F+5Hu6cKA7nnQuw1Ib1Agi9zMCDUfPK+ykUAXBgj5toRrrXba5Z512QccrekcfQrlt/NXHIo9sFxZZJcWDA0kSDip2EUMjETTYDtGyoN5Sqr0258iM77giNfbx0DJcGYcjsp08GPBsfrj/mwBaLxM0Dt2QNbBhXEoRPlbLCFHAOpDQ0cO+WyThgk+I7EeYBttHbVYszMF6c9xWlrErB71qcmP9Zx3ci2geuwzo4a17kiYe6e9auBIxFH9F8H3N0wb4wgtVB5quvykcO2V6aMk1EMMY/Oe7aJc8IWi87exglatbA0ETxrWTS3zQbyAPXJp0BHMs43ULOgkt9+DebACoh33FTXQB8wmN0c9kR0+zbwgq31FnJ3UTO+jkeVxnUYf01iw84ebX2GNyR0oYeSPsA8ptKy4dPVvpDiEXJAZX8x5B8B4O0P6OstDqPM9N3ec8y58n/1rM8RYsl4tc1Gb40fm0bt/9WOyG+wgoO2Bmh70EVMGLtlEdu+HCsBVMH9bQnExpSHF+f16sdV7GARRaCAnDaIAujW35Kv3k914Cvd+S7ML8K+fXR040AtaF9lwHWOQuqvp/WTdtAcYW/AGTbbOmbgDYdhaDMoJ24wjFeGQL7+QA7f/b4Msb6feO5cajMpiqZ3MytHUCWCc0XNoMF+HVmkdyIzWHkunSVZiU276tOU4FbO+1k5WR/oq+FBQQeT14dhn8NBexjYfmImjA/Asm+ny80jmox7llsZE7dP0jhiHkjGPOygw7QrarEBXIS0LoJP7ECbcvDNIwetVZMBWFRq/abgM8PCuWOk4SkhlwGRAhzESWROQYIi4JGqQQS3jpwEEWkGGgs5rzUiTUoBcl518NeG9Axy6tPozmaX041DIgZj0ewoJSY3VuaN4DweIuNUfZwUBB52XeHri36Xx1cz3iF64wIRhi6CPqOLZ8QB/Qo8paW3NyPacaDrCmg/XJiZwTYFlDWiKE53pu/hEUHLBMtFj1Z5eYkgga+J8MC6ly3bDoz4T5nCVs4uzSbfcRMF5jT2gyvRCxv7sBPlxiXiVfHWZWRCn5OuWIq8pVwzCHaHBkdeA+27d2+azbUSAldc4EIpBYkST2Pe82x8nDAAMi0JbiEqTk8dl/W7rCcjQFyNZGfJdvmPL9NeuPe3DSYHisUHlb0AevqD3A6AbD85DnZZU6v42b2t+O+Q8s4/sqmoDFv9rRfEm7jXmyXMpEtWUFX5bAdgHMHIcJBWOa2ZptTy1bvuARFXmZsPGBhxs0clkKyDemLPPTaf3F4vNldOKeGkCTQRXrmRtHFwjp/GCGeqqlOLGR3C8Z5ebVcnAqlkEhOhvaZdjkNj4aTzqWlGBsA1j+ap5cuS+bcXupzErdnHyORBj1BxL7+Lyh4dkpnEiPVyAOUrKvlXDp+jhShEREKrXCekj/FcTi+vH96CjZMzq5zXSy+TZjrnC+/8KZgu9OuglgWckZaPoTGqREX71Ur3ZZVuMZF09Ip/EBCvwyrilLrWuXcOLw2q+1T3vAJ6hZpqCvqZDhtB9pKr/QFs1HNOyQYel6Tw7lWTOFYclltej98tsjIYdXJDxk94YQRtAXmR0VhHcP6JQmP9zPHAUqhQDT4kQ04gUsHF6ch2EFmFcs+6jMNx25unay4wi5GrA0jRfbjhAUeUEnQFE7BaFKqiwasnT2bSPs85FTbSNi0oYkZFIu0op/wq1i3S/tWnSf+Sw0W3eS6KRVQqC3Cf7SUXeBBxkMaxGif7I3QH9EaQEyVn44Zk16d6h50+ODJxhGtD2Y9+laiH/aPCY3rn4VmNc+vBZM95zS5nyoJeBG+/e1CXPa4z40CCLWzmRQBpSwvLXVfeIXxloippFm2FAvUF9MYsTO7UlW1hvMo5kJ+xdFsw6NDYCnz5N2K/QirikpM9LgUNXLqIdiLbumsteeayMLQztck0p2Year4IH+U6CyPiSwsJFvreVVcWHx45uPjAGa7m9EAlTSQIIsHGIwRJe8uolz7lTl2cg+smDLGDDB3u2aPf2djh8Hj2H27CjV3Kc1s2s9UjqpSKZNNl1AjqRoipEfqriO17A5FeBknrgtP6gXEx1PUBd/0qHWPfNzBL1reWU4a2kwe1pv4iLckwXI5mkCs4AGh7gOGZRqJsU95EC1e92SuYWnhqAkyeH3BHSp4qBH5upiwBMAGMkXH1QL8a131ASYrOpYae+ViPwpZ0B9v14DHPqSU1lTW/4agjvIMwNFY1eL3FSLqQjjxFkuHecomdvLBqHKbkLc7H4thAIeHaIJXNPseHDAqNrjXd92OJQLgeUWfWeVcoXqYlc4svJSs1EorxYtxZ6N3mCYyQ/clIczjzhPhUTUdb+eDx42BUYMoB4KzN6Gi90NPbRTe4ibguyhoEnClzvr4v2DCiShRXrlN0ZZmkYRnrzDQxeirx63cvkB/2hhpg4JxiBEV1/2G0wVHMisZwdWz9DcAah1NgdrejIYCMWzD6J7oj/1K0tfJsDdFM0iokTAnUJoAMvq1hR1sjePZHMm1IdcTUodQGELVKY9HfSB9jL30S9A71mdvVR+pQxrVOdealbhwn9kn7gsugYkN3LHjD2xf+nQDZAxVy8KEIXO+nNhS6C6EyLU+rM1Unh4+ztajXk9bbCIA3uFQF3dF6BeP/kxldmlILqXyBzyHnTRRDDCX13OREn5e8qFWWpAGHSkTE/846sFXQvEK4vOt54jkDEWdmq4XyQ4KK3lfrxIwvvPvbowqs5UyWPVJcDNqHLRxLTpt2vbndaI5BYjVjqE1zH88ELhLLY0J0qGY5wNM2D4gC8o0QVFnjfuaUo1F3KtwnU28gQo6jB6aCh2Dcyjp7P9kgDhKlLsqrbi7LFfwlrsN6huM6O2iOGLJwxS0h/1QnKE0/U5N8BwYywCLBUxWrWiobr7Y8cIp/GDcQOHM5X8D0jl9x0d1Y2GUHBx43uSUj9A1JwOq614T+RVM+KaCzqINGSk6x47Ueg2lG8quJVqXzr8mw7jMOAXnqXWA6IPx4aXU9+AY29EHYZCeJkNb+gA0o9JYS7DM4UkG/p7BYajHNJD1SkykPP49rLEEigFneUCUZsUGTgobqd0UuZUSpTVa3qdUsRAJqhSh+iPR8tB1BCD+HfMybmTTDEHJ1v0OfKwdLm3Q+yK5TyaY+5+pDMBXksDDNLnuQqVO5Gp0EiFNsPmh9+wtZPcJz8cxJzCFq7Bos6d/suqxBEMvy7zdRFUvkB+d4WDCdCNuhlgNHGZrIs04MOB9YMIsH/sUAPKFzxA5spC+XgvCZfyNanjT6x6GkxB14+2R9MypH5e4JLvBtLOx9klSx3rJbYKuyjRy236R7lL67K4fiRTpBDJOxi9YImiEd0/lwi/P51iQQhSx8GQXNUi1Crq+cgbUeCGYVZL5ir7M9XxssKicM1DXK8zUc+MSNVMDIQfS+Hrl3wEKBz3jcf4YhOc0ai0uqN5aKJN6o3+/aGgTeOKPO9RIjF1muCgMlIaVpWosrKqJePrZfDjNLIT4g+AHkJxsqH7xYh0uTyZK7iteS4+vtmTGISXiSe0+Z34YhQ8ajhl1pBzAc9rI00e2I5m4CuuGpKk7voDpMLhmvSZVYvXj9BSR8aZaOnBvPKbYsiUEKfw8pzOoUn4uyQyoZwNHN9J6TkcJUeNEaiLBMZb+wN4soImRGgEO3qMZZ0pMawqiKNDL6BtSpFo0Kjhoh1Kvy4mdPqyYTUqqQyuD1AO+5Wgr2GGE3NBWetBHUtqAacGkwHyCUqPwDnB32456M7VxqINpn6wx/MJ4W1ynvvX/MYE/z2Dxv2pT2SAgRYxg7kaFS1mmGd+bzZXdNVSIWVwsALvDZWa5adm1VbkxB/YMel/Sl7ESJXgDEkCxzi0OPbZ8tkpTwHeemtjJMlkiBHpUSpi6VmZ9Uc7NQF7ApRIw74pCcHMU/ISYSsnzqHQ91upnK/PtZPv5MBj5/+Z50etj03K9tZhbGsWEbSslDwGdeioqyBM0c6Vvg+mXWahjOGmt5aC7ue5P7Egd6Xopl5mvo5t8ENqjHfLt++9hoECFoJvXpn3lXT+dOR5UrEnWcrEuzvlMZCVMQyE37nMderZXNIuyqLlu/AUoauKPL+fPWWMKsrYgq/dEk7gt3uTEewH0Dg/sYByalCU9vGbZ7QU5m59eW5aTnJcqfqQWcVPT1ab/g6RKfNV7oq/uiKBNUY6c1Pk3khnzHJBSLJ7K5/GH+LElEUnXlwzXlvSeqVZGf959AVeeQGXjrxzY8grgvtg4RIm8aMwN0blUp5uepxpEkeovodSUqCaA8DBHcBHkFrHb6p0zqdHqNAEBR7u7j7yVrCh5i2YMXmZn3d+XK7MC1qoYyoTgCYJT3j+el+3hmS+mPap8di7ZawCrW9RE3T6gpmMoUbBigGLwisleRqhTGpklZDBIkhgdvI92K9vWl1k7K2wuIqbCaIZPCFVwKd9eomCRxHdYJOLlvyv2Rzx4iPnCIabwT4hUsJ6dxl7jiS1RUMmP9sk9V4qppX0/U1ogS5GDcasYuGJv/j85QZv0umPs75lDFVC1DhN0PAtArIY+teR6P9Ptpn1BwwqI52g2rG9Wd3nvKqsuiwt/oV6FPnt1pnvuTmwByLD5o8enArjOeU1CJtKPX/3uoiJOL9Pjt5fQmzUk7ljoD93PF6SrpJNnAwCWEGG78RDmWnd373VmZtELjxIlmmjjnBlADkXmSNnutdtPZkiflGSLvSuJ0l0YYUsu/Kew//lL9mNgqVmKcMN7ykQ/EGBvVm7fjqhrYfknlfk9LjRM9lkxTpNsTU3wviAynbjxdV7nPkOjkncwF4+maWSpUYZLNFBf6nSAytV0gAXdsok3hAk+XNFiinfEQp83Klkx8z4EPKqe/AviC6PWHSxZMU+o/v30M1CW4bJiuzlazlDTW2KdusdrRyWj1ywYgW1Lo1rl9X0QlCES4QF8itwgv2aV2js/2DDQBEAPL3Ky3wLptXzhw/zGBmwNavSoUpjOip1MP/TElRhMhB3mtVJnGnae2pjZiKhDik31cS+0xaFYu0xET2WfXAFccuYJjCF+c2KAoos5zyP/DeGxK14YPiZRJ4J+j0WW+8p0i0J29dBkxiyHdIJ+G0Ra25drqzgxfB+qCSr0fJZV7sNydQE6X3IfSWE1+IJydqHiHVl1jfQK3Uu2oWUuVZKXcDsQOR7eqiDLCKhcOX5gTCDKhH5hlTf4HSjoKP9qQGEnlMalNGzw6G95sG+/F3ioJSiRpz3QgvVP/yO48LYkGGadKPrDZLxdY74wfe5wlsUugooyktl+Hpa5BGk4EoREh1WGchrHmSW+MuT60oFEKq5kEwgpUcqit5BdKJD3TYC+2Ty7AA3IlPRh/N6++u4w01jLZ0rN9KK3qhT2qwC789eP7rX75F34tyx3eAtDpA1+j/A6HsX6XAHdOqhX2C9GQYW6oRoSHGCrE7r5nrLY2NzzXY/zyAxQoAsNV+r3jNH4kGQFOtORf1QdNOdlGw1sOfBHuOxxvUKmaQg9r4wTqTT6wo2j2kzKIjSq4jQQhj9mF6dfGgl5ETPdHR7CENm2wYsuJ0QhKoZGY6Ukh/59FI02i1CxUMQs9MI6fFjDiOi6XXjeThWdouLHjQoiELTzREQIWEEYzsX7VOJQWLek7jh+0Zfi2uc6AbHYgTdjjMqHim4Wo4oAZsfPOpFYqPNlEsn6s9/iKvZKkbk90mLcVFEoFtVq5brh9VWyBhkFSjCFYzv0AAowyOnIjhr27XmAMQy85sE+2pvZnD50L8A6F/JRI5h9tkjVFiYraR5nch1R3c9uJ52FuDwRqK/R+3MCNfr75zVaTQ5aLfN2lf2fephv0HZD69VcOFFXzOKKPJDc5mEKqwe4jOkWlLAbA4h4En69XW/MR9rem0Qkxme13ZzHy+vIqjRnyBAGMtad1M397ELwnHPafpKfcf6AQDpwF+ESFrU5DTf1E1wn/s+ewYsNrw4r88CenjTaBuUYaMdkeacOqSGISr//qUheJP6+gObUV0X6eoi9iV/LIB6xEMMtTQmmQAGIQuY46FGzHNqSmnKThrE8SHkIwVynFkrUfxl+MbItZdzTNB0gafDbktl8367eXZsGbxFCyL1KJZpS0P/prUz+dv0f4Lu5oali7MG51MSWw2lo0F4J8+9MaANfpwET88MWSwDD/4nIakMvvD60+kDe+l+4v7pur86mGfZ1mUsEKwL69+QtldIzdK6f1oS9gTvU5vlVt+0mtzGagODEq/Beohx5y5vBdaJqlmRBEKiEL7W0kTlJJhI2Inhg6F3VkIFAYsgRKZnfdSOIk/xVvAOjwGrQQgrwbk1WDqsGOv0fbs9wlAZSxqx176X88hCPqc1cfH11XCArz+L+gip8KF8fmRYuUx6VQUzBBN9ENkLHFJv4d1BxsVhYAJUP42q4h1h5lgdONXQE/3TL48H8W4eblpYxGS+zoro1mjyH4peH/2XwwkTo+MhMEaygckbq6PgLLweuTclbLwwcz8qXZonSZRNyCzEi14vVFa7dIiLIiDFf8h6QszUHdt8SZi2NQVXPCg/wE3eCOBRGuEzeYT1kxrH0BUw689AqlKu2pBM1/5H00shj6Vl/Sku3aBN3+xY4JvEyvagLO0eYZMTfe+TEPOJaGhqeMeHqDiMWVs2s2a2PZMG0otoMqvG4AELVLY5qOG0Q/WhfVURQBJ6mZRPeek9aoXd8YChi9v0Ueq5YuYMQSv9eoUPTp5ghBet0kdpD+Bo4Ezk+uEdoVlpGosZrFndTmUwod6vLZoshrUpT7CW/px23dTLdYND1DnV8dxxXqlr2SXI8ymAQEssOxXJASj5YQxtnee70OP+6jx5RTllV1oZOrNe5tnjC39SX5uiXJy0lRuKFPqWyu9ZEZxK+vbjw8Jm8uaSQoNZyM86Dg5171nPoguQSlMnFehRmrsG41ZUUVOeen5kcr7UIJIIOERfpd5gOaGuxXR7QjJ2uCWKhuwKMExiNBUNgTh9AIg2JbekgXqLwbq8JyUUC1Gidm62dOj8VF+6DLX+qVd8hAvC/CiYqQirRP+2s6pelsx+vxgHwxv954wQQ7doCFlri3YMHuguo/u1FEwH8NOQQ/Q66KkRgz08dRlCAx9R+EKTolTOK/xj8KzWQnqCX5k/DcfwmHNd7puPYJh7pL/9m4tkjqks++OamM2TQqt+OmRUc5VJ3OPLzwKW+FOOmYFNuJdZvQKVJZ5YflTmYsW56jKehwYzgbA3hOKCQ1yTHKTpK2BBjW5P0VHaDYgnbaBydnnjEXI2SxNUcZM2SiqU5OS3VK4eEobtXHkq2rFYovQqNC1hk2SA5N5/wAtXqOdl4pbPzQ9gNzlkhu6R+5/5uvnxd1MwhvsVQMsKlN1qXy0kDImU5ax4kXqAbPY4Xn4h3FgZsITg5WKFV3cvHAMJfAhJXd0xAS1LnOChwVG70DufyoiAil7tMIsuPc809iLRHeZup6S9TGMBVDqc4YPuqj+ULnnAvckG+EBmmlb3dKz+wGTb0VRzbTIYyN58JLfiSMPTAHCQ0MIB4LsQyTJjrXJPBfteTkV0zwbmwYECfaAhT+BfYPwk0Uft8ngaiEFOFe7vGaUGStWySv8Gqpwcizz1IPOEHWirricSCYpKzRy6gfad2TRb5XblvtRtp/Q5nkoHY+RLE3vfJ6+wdzzAVoHYZSpPQcHOaXh7HKySVsb0m7jRqFmceFnokuMjVSR9oneTgQlbQVV03aXblA9wg5QKsgB9ypEmL3D0/9SS1IjCSvC6s+c+7Qx8iPO9aPe1wE79BKH8KTEb98rhc0i2NtHFt7qgCkEUweVsUA1Xd8NroktQwxY0vcnMgXt7vTod9Ox/OZ2s2LscGlVWlpMZDmSBlGriod8woL+oMj1SKySNdymFE7OVqn2n3Y9LSb/mAWdpENV1jJX254gUgmZLgNlkyjSTEq3vXFzfutS/Lo+MLOBrZ77BJzgRLccMqQ0FOvnDkDt3fL+jbDVGXfHgjRAaesqlza8Yn5RxU7C9SdKbbkimktKy1hBgNrGtV72UAUZDpK0sFXUvWtq9MM2FAaeSTkbVn/61pfLSte1D6gtGYI44f1GEa61t0zWeX0qdRXLpJtMFFnrt4rKgiaUIj1GapDA9L8vx2dcVwwE4H661DyqPTP7nnvXZFcD4kZ6+BB1sQGOoDm17+q1LMRIBj1PNuz3RRnRleSH/iw3m/ieMibf5HygfsdULTx6MjLQ7ID7N0uCiMPXHAtnF/drZzPnSV+ggKI/Y25WGD3sXQBrHlbAgsvxYmAxKBGdLdHILUcbTkJ3LmalbqBIQ/l06bVkbcH+ostNp72BZltCapa/9VpgUFwB2PAx3HfR0LFIriqDCi+vd76CjvPxLXfej/tIwZfS3z29yLnYEUmyGPYO4zdkHXl5w/UVtc/ruHr2oGV7yNtp8ucDQlyAFxgoQ0Z/x4njCgYeabXwepJI7Z2j6YFxoT1ofahDbHym4HMRyqyr0javyouS+n5bpNKahbe3RXLBFuDn1zwO2bhf2V4roHXWU0gVy5QurUiIHKAOJhUw5goQ1+Pd1ZYP69siz77Dn2YfL0QSwRq2Eng6et7GBIRgLwyfxTTKr35vjj6vLeiGuaWxlXuBZ8mXbJaRs2VDrDLJV5zHUnciiH4VznFqX6B46BnWECKO1VZV1a7HKcjBShq32Zp4BG1H2Q4G5bcnuD85WjZaWA60Ub+ozp7faawKhO59EUpMwA/3+cNrjc7koqtBE8EJ89hkbQSRC0MXvIdwTXkGxVlupz+Ilqvz9Q9FMf/6pmkb5bKdGFA/xt+jGZ65vjP1M+pBzNkaPYZ0zIdW1PRErvsVXo0/HMesjhKect5yI2fDBtxNRq15QtKerQO4eVY2VaddIbZcV+a8OiqLk/JRWsUabV0rQSLjsKlQitqe5y68ByXe0I6AGfHjcoieSukpnv9sbhxw0gnfHx6aR0eybfzpOCWR/7iI/smg0b5Q6FtdpISlTy/x1aHZtJbRZxiy2OZm8e8YI+zjMdyW526JtGkv01FH52PfMFBWSaIziPlWz9nKOOV0FAkV9pslgvtlICWdfezG7xMCvIbMwONYdBcmmZCzw/IYczQ+h+YNSPJwifGvEocttreR8DyeOQhhlxfseqrntzubrvAL1jetqOvXBpvxH03YfdmcsGDm+2Cc5DlMmdmjFkXB+ReQ2Daxeh1PZuh9YE/B1X0XRVZGZ0sZ+XXbFITUpV5zwf7dhSkmEcJ/yfJwQxFDKaRKRDi+rjEBfl8KTfEFhA43ceu0I67U7gSeNzEb0o81daT/dkf/voPYWdnwGrLgMSBqI83yvJoGEPOjkOBvVlrJtlrsG3MmMgGJG83vMQ0huVDD4Nbvzjp9RpHsg4INi9kqQDmqE6MtYmU6JE+AkAacMWqYoZIB3kobe+lFhbIkrZfqdQBfuZWYMyuXpIgETa51MaPXmFme0C/A0aVuN/3a2oBY+0Qxa2juwv6XTlQR02lY5Im8jroElwl8RaQ/CutYNZWUR/N7c6Tq0KBUMXGgXQNBBQ8PL7qxVOpzuETKUjBV2mWyKejSLU0Rsx/XJ5RX0vz8kxrstI86ryHusCIWnc3guGKwv7w3cy5/7hl5pTB89X5mON4NZnWKKrrcaKkQKLV7VPxkMu6tgNCsxgihOE+zI96ZsY2UqmB2wk6u13oVUVsvzR43wNIqZkTwvQUnCIPu+9zjdr1JF5XSzfKngUdRdkOJ2a21czct8p/B26DaUg0zGI6O1hDD4f5ove35L1znrDmaXA+Q4CfKEvoJ0h8CGZUzakAvJJbCIv8GxVRhMtzpAc/miTeMo9vK/mV+jZ/DCzjp05sJyTCg61axJRKRBx5wHUNVZmkyrAEheVw4BzMB/l543Zf9NkAPrm+V1Kzw2ACkpv5PA9XQQ871piVVzFfiuWq1DFSc09jFbx21I7+WB/+Y/Jzt4hqGayY27UmWgZFEewtyEX5nIJwum2HL8SIvsvA1ovgqX5zb8FQBMkxwXX9uwqfwOX1/a4LFpdK1HiFrJ5x2/TBpZeCrSXdCcX8/V2zzhGcMDR/3TscAXbhHDawSJnfz9bir0/24QUUetzpz+kAo/oPhEaN8qg70HJrYQmY49Oap7GRTatBNJASzuHrSNui7Bu18Vel+MLDT3ImQ5/WdrV0nnXUyUDQp2fn6AtSidvUajlmNBVAWBef+eTB9BlwP/BxXioKPN11ucAgW02y/fntCuz9jHIaMHy+p6HyGEyYRfNZtAefcblISITlM0Wo2pdF92GlsRLbyYc1f9BNPJZirnnjKPdA9ANFS0WR0pcUhhT22LDfdKvZnveB+8GYZGMBvSPjtDBtAnWahfpUP2R89EcpHDikbbe5fwG37hmIcL0X+KunuyVln3+h2lB78jVPkPbeDXsi2WjuKqE6dCiB+N+em4xJegTm07MxKBw4prmg2G76EQtwbFaluuu9RSNLyF3xJmB1A+U6/JhWrB3ySGIqb1Ds/LjIylFkEuQvdxTrRSFocmF6IjTxP2C/Y4jOUZoePLxYiheG/FOeSNnRkl/xf7vy4NWA9qk5soAe0Mt1gz2sN5AjRBFGqGSY+IzmuqNJVCIuN5G+P4JmytWVAk/Y7JSF+fiedLCSX89+d6tkiadyVX0fQ0gzw7BNMM/7p972E9pSPdrxCu0ODEsJ9H17grAO1g/8/I12l70JUC+EFtuNjzkgr59wYKteQP+1E0UgpIUG+t9gD7B6o7erH8RxJ2E/LYz79wh/yVarOdyUPPbV+QJnVH8BtFk2yhCS3EnOQb4f52/nBCtSdhHshH3EagB9h0RUyz3QKeiQMFunyyRKRHuFGkwsazvLe5wIw8mYe2qdol2gh4KEhnukZ45tHja8otpPimxa+9wxn0SwctOAssH4UHK1gDs+gsZQLcVgfzpZwngocJZGOHBfLjWRGDTUdFz8Fp2mJXACZpyKzTTlEEMbUQ3gNYxxMP3iZEqe+HY7FKONDdqxNYBAKeHByeDTxb2HdDwmpQ2zZ59S0F3CeLsfwipQ3+j8QLOT8vPCdkfqCgE7xmRYqFNBliVk1NzRJVPaYvA7y1aMK6tIS2w1AfIDhVgclJq4jtx0xvb9xI+6Ux13veLupujh6Tf2T3kBmJRkHmUD/QTKVnlWJmKdnuLMkXFlJxYZWWOyvFH6GDAH6tV/BFHL3XB5nVk1YaJnm26QEVrl5Yuf8EEGp5FOOkoGdRjZ5VlJzeLm8K6+Vs/7std06DrfcEg9xuroPHROXroXHKyLJXiXLeoO0TlJMyvk4Xp/0MwzhwCdF3VBgGAjPl47ebCqiT/TZirrff2RG3Eh/I2oAFzk+oktR1OwkugzTzGKFOEhuFOcLEwwreHR7n2MWWKseixgj9j5B2yhgUN9FcqYVz7Z130snUdCsZMwQZ36J1czqK5oDXKPHoZt2YFt+iKt7TCpenFuT41qpw7cUrIxtmr3OeYdd96wBIfr0jHbmD8t/RyCWLlds+0P1NqUp/03Byb6/v1+HkOuytL0L7xznMPfIpiO2GqlI54/IzShGp2AKvtvTHq6RgdcNv84wg18PX1EL5joyWYiK5/v6+Qd3xeTO169MnbOj93puzg1rNHpC+KeDXz/bYuJKIFgYMJoF+wjDM3OgqpqExF9VLSIdjcn2DkypNwP7D5Z+xtl+Fr628tDpbFM6yMuSqkbbqr79hU0vuJCelz1pA+hVoVOj9ESCNMoA8xyGl+EpVL+qg5CQbQsTHzPx+Z3bC0O37kbBQk6Iqege9jSndKwBiPXxMatp8o4RhpgzSzv3TNhmwDT/VHaMhQG8+ngg434HV1Fk06ajelnks+DJSOzvKrfoxU2z98ov4bS66grLTkWnviLJymwYmSka6HvkYLA2JHOHaxKNrf+mh+38Yj5lshbvJMDVIbPbNhIa1sGwTucKKHwZrP3gQWHrLYmCFrXUVerLrbRDk+6+A0PrABmbKCLDvo/TPw7Qsd2X5M2dMOUi5IzBa+3hUIpcDVzSHU+hGiHJLv+/5mu0o0msXhjiYXWs/fulsDpC7shhLza1nw8LjVmuRjTdGMUdL9eVZOWvnnTqMygyoQWFFg5b2BHwgy6mEC1AgQHhf0fE1lMBGNs4PP6PTvIk5TBM1yGFQbvPsx9tpXqUkr7w2aODNp8aAeIWI5vmctxL5X5W0DqxWKHOlbIHgaBgR6JIWq9qcwVbzjqG/oED+eTvdyqAdNA3TtEn/DAfqs8Z6U5gzjFcSdsDZmCENlvk7Y1Xr2PI1lkEBE+MIRD+8y2FOed2iB6xNMxXiI6UDcBFpW9Hwd5Y32UxBwUpQy8/wKjNQ5CqnvRKsnHkIPlxKkPeyDNPoTH18JCz2uqX704Xu2lVeuzHph4CwRTsWXLRwjg2oZsEi/qlLnX0dYrKqEUFuKV6sKfXWP/IuBe/leTYp6HoJccHDUCFWY1M7US3aLC0tb7N2yIMnbbgfETzFHy1pshi9bR19fFv2I2fpgpVpx9mX6IRrbJIvpwk4NMmU2iONdFByIkVTsvWVHZiEoqIjYebGNMMUz4DaJBO8pBe9qmoOU1ji0PhCnPYdTnQU5VGFFVTqM+zZ+2C5Ifyqt9I/05Ek156nTLjPpX04l0IBP5aOuSK8QP25LBGc3c6KH6L3ZqF9ykzOzdm9F+y7iCDbQpaa/lHWLlDjQsSyxBxo71Ng9EicIbuA3kztdW0Te7EdaFt+8vZnF28zP2PXeIxKIXYQTySfYl/vv1C7pFr7dYOuRvr+ci77KmXro6Qp9Rb07KJnc7yB5rlEWMUHPt+Ap/QNGs85JwM+kLxWZrSxG2G/1P4iTQUCGGYH14Nu+iZGYcXpXgis1gTaJ83qQ115KGN4n+vqMbvU/Z/LfOMJQpowN69I04ndAL2Sid1gcMFki8cLv7+EcKGqDg4s0ElKpBQGp93XCgDa+KpWaEe2zcr2m0vss6ICUR19doBYvCVcSEatFlIRrMtz8U96ipGg8+22r1L8r2W01podM/bb5OpP3lYM0DxrqhhKrk166WiEfmifRE0/R1rd46JHFFtm6wz3R+O3A/7NFsaYjpj40MgLDwU1j7pNS3GosFaWtfCmIUAS9aZK+AygQ1KbsS+ccvlYNvClIrLFxvND/k4iljsbDKy4ihSx6ts/vWXDJa8w3HyU1apvzoJN2g00sSG7ebaXmHFnVWQy0+H7/RlLiMtZQ==]]></m:sm4>
</m:mapping>
</file>

<file path=customXml/item4.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重庆望变电气（集团）股份有限公司</clcid-cgi:GongSiFaDingZhongWenMingCheng>
  <clcid-mr:GongSiFuZeRenXingMing xmlns:clcid-mr="clcid-mr">杨泽民</clcid-mr:GongSiFuZeRenXingMing>
  <clcid-mr:ZhuGuanKuaiJiGongZuoFuZeRenXingMing xmlns:clcid-mr="clcid-mr">杨万华</clcid-mr:ZhuGuanKuaiJiGongZuoFuZeRenXingMing>
  <clcid-mr:KuaiJiJiGouFuZeRenXingMing xmlns:clcid-mr="clcid-mr">冯波</clcid-mr:KuaiJiJiGouFuZeRenXingMing>
  <clcid-cgi:GongSiFaDingDaiBiaoRen xmlns:clcid-cgi="clcid-cgi"/>
  <clcid-ci-ar:DanWeiKouChuFeiJingChangXingSunYiXiangMuHeJinE xmlns:clcid-ci-ar="clcid-ci-ar">10000</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clcid-mr:DuiBaoGaoCunZaiYiYiDeDongShiXingMing/>
  <bond:DanWeiFeiJingYingXingWangLaiZhanKuanHeZiJinChaiJie>100000000</bond:DanWeiFeiJingYingXingWangLaiZhanKuanHeZiJinChaiJie>
  <bond:DanWeiMuGongSiYouXiZhaiWu>亿元</bond:DanWeiMuGongSiYouXiZhaiWu>
  <bond:DanWeiYouXiZhaiWu>亿元</bond:DanWeiYouXiZhaiWu>
  <bond:DanWeiFaXingRenJingWaiShiChangFaXingZhaiQuan>亿元</bond:DanWeiFaXingRenJingWaiShiChangFaXingZhaiQuan>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FeiJingChangXingSunYiXiangMu/>
  <clcid-pte:DanDuJinXingJianZhiCeShiDeYingShouKuanXiangHeTongZiChanJianZhiZhunBeiZhuanHuiDeShuoMingFeiJingChangXingSunYiXiangMu/>
  <clcid-pte:YinQuXiaoXiuGaiGuQuanJiLiJiHuaYiCiXingQueRenDeGuFenZhiFuFeiYong/>
  <clcid-pte:DuiYuXianJinJieSuanDeGuFenZhiFuZaiKeXingQuanRiZhiHouYingFuZhiGongXinChouDeGongYunJiaZhiBianDongChanShengDeSunYi/>
  <bond:BiZhongFeiJingYingXingWangLaiZhanKuanHeZiJinChaiJie>人民币</bond:BiZhongFeiJingYingXingWangLaiZhanKuanHeZiJinChaiJie>
  <bond:JingWaiZhaiQuan/>
  <bond:BiZhongFaXingRenJingWaiShiChangFaXingZhaiQuan>人民币</bond:BiZhongFaXingRenJingWaiShiChangFaXingZhaiQuan>
  <bond:DanWeiZhuYaoZiChanHeFuZhaiBianDongQingKuang>亿元</bond:DanWeiZhuYaoZiChanHeFuZhaiBianDongQingKuang>
  <bond:BiZhongZhuYaoZiChanHeFuZhaiBianDongQingKuang>人民币</bond:BiZhongZhuYaoZiChanHeFuZhaiBianDongQingKuang>
</b:binding>
</file>

<file path=customXml/item5.xml><?xml version="1.0" encoding="utf-8"?>
<t:template xmlns:t="http://mapping.word.org/2012/template">
  <t:sse><![CDATA[mlOYf2i7YClhLCkBrG7s8tHKKV6aUo4dgwSl2m7/EVQAbeamTrptQEr4LP6iL5/Ue26OstYD9PMjbWzFbUqJyENfb9ImfAkJNl0weP5Zs4HFGB2Qug5UJMGdDky4oK/UzFoi+98kgfkTamXNnVfWy/lqTgJeU6fEEL1K0r8xJrRzQpleIZOV/r9ELNSDRnyOc3Xek9Pzc3uO+helM3PYvMbuIGQm6pzSExyz5bDYfSHVuE7N7dVzoNrq31Kui9ULbzecoHVe/MXaqh0I7+1xK6i3bOGoL1NDToZPQFfasJwKqhjdBq1GoPI7ScbNR69N50a9olrOIsEvLXUm8cYzP42reXFjwA07QtQRy0T6iUYZNgnO1lF7/+p34egQk54d17iti9KkTKTN52t4rpZJ5t79J2aRz6P139g/PY6e/MLA9A/Mo6VqHKaSNEjRxi/S5wOfBYOoZEKlRTYWca05iKu8+EWUiwJhYTrB180q9OgUbsIMJBVBkNHDbpSqsDwIwSXRf5/tEs0/FiGBChqZjWgbHYAG/xfPIT3sPY7Ui6LNp8xxc4uR06631Dtqyy2h0ZVGkVqGSbFblWhjUQ1lVXj1xCx50RUvTqkFd8zd/87o609rnLgwBEp5KoN7XEkMGrSR6AX1CAHOFr4fg66R9gF/EvvMZpaD98OkVHESj3b/8GNsu52CUs48fmDA5dhjFdBQZBuAKA6uScaqbjNavf4eLkELTzCIv6dk035dRvzWpb+bOwa/UnETpZnKhcKgtfsMQS261o/x+vqlAoaLmti+2ViLNmDzug/seoQkkcDCjHijfWRbDEd5ZPdJ9iMruJepLSDxrYDOvY0sLzIrhjRM7lahtFifqccLQ7zTBrDHODWe8OKNwoTDQwky8DCd00YfXy04nHM67p2f7inVGDQiscSczQXJ0/0ZPWEt3D9qlHnRvaofkPKLzRuJ0F7JEJwAa+afy31GkhFm6utCSLxeWI45ualRIIIxdD1eCjNopAcFNJvrzqfbfN4zK+VVJ3AOt/pbUNXXoT7pBaLdApK6WW7NHjuDZDai3svB8kyvJedO9WeyHm8scpEFKB9iftpqj9KIU6lEUEMxCFKZrUgbOgWjD8J6QBflNzy8Px4/EP+u373PDbp5pJYry3IDAPk/GhRbr1naiSU0E+yUO7XQEQuE8WuH+BgHxyS9BxSYW4LzQNxzlWnYhT/uzBI1haJOV7CM3o/vAZ146a76P7DXUY8spieE9txf9a01C8FiQXwOHvVuw6kch2XR46IcUpmXfeTag8zOBxZKv55VqXY4ayPzNz4o+HpgfYuHy32hLu7oNxNtdRg6JWe6l1I4xVnHF4oiLagIUbrKKZwAWCt4u3WttWVj0y31dMmhGNcJJpmNHmdhc26Rll921wgDf+Gz9Y0VYI5CRaudcJwbPXpizVImFZuC8kshqge3dhY+uyFfLOzXpvut2NiN3UJqFFP+L/Odm9xah+gwFeLfwFOhmIHrj1iE5PYO5Z+U50OtEDoNcMLxIcOqTqMW9zPDPLPnzhF46WmtYgMDZPRfeuedbi3BOIUAq5SkyMbm8qijnEnotjzjD/zflKs8aHbYRBghDSYECDCYJOR5a5bkMu52rGv3RKBZJClwbZoXfvJJgyrmib2Z7zddByfSXsHWKqaiX5anV6x+Us8BKsxIKs2ba81jxx1N3Rn9QmCja7PA2ngsjkJUwK2YDwQx67WsTpSmeGbicBFIwyL9DqlbksOM2tqttNHF+MYXff9t+WJK/Bps2T9iyf5fVAkW6Q9O9cBkoXEEVSoDaRc8sPJT9zLKZmBzG2V484ZrO/v5LF9m3mgtLCz/UlcqbXbdgKv7aAHAM6OnOvUpejy21p21jbK4X2IJT9aCKz0aSTEm5mHqVDetM/MGJTR4QvD7/qEMATEo+MahPm3xy0hWr7SUUcjGTzNbEXLN6f1vJCYamE8QKpdfJZLrJKVVAcXplFHn0PHZeNXb6dJ5MtqTeAHuzitQDcbPc2RySJLH8iPNXcwktYYGr8TsPGoMnrTK/hrN2Aou+JATvABWPCvJI30XN5qZ56+8DM41mM+o7ENUH+IMgwiuvXkBdkjF7rJXauTcNbFJEFx8Okw6AscD00FANsaOvZI5OQo26l3fpMzLY3uTlKB2DEdt2D35TTfrQPIPS0nr50iWWUHVMEK38e17Bz7ObYTF+oGfWfFZmDIaALah7SYrpVl5UlFc5cpSgZpf5mboXowEz/jsYn98M+eYnd0DVaWgWyzBu1L9u1SjSXYWh1cY7O3ZKNcGVfVVr5HGy1P+aUWkM4/uGoE2pGn0nNeiH53DdTgtT1wd49ZliE+zgOspakaH9168w2yvmHCGcLTKiMnmU53Ogt3VM68MFo1cVNLqUuhSj0HyAV6YNnQICWunC7+V8CNuOR/0IfQ/aMtPspODhHKIAsh5PIaUXxSpM1Amiqy5dKCSVJHe9/ORat84zGEeJ8QSWILI837lpK5zhkc4MeZVozt4qd6Y0tC6am4DGABK8FJo+zCM/GpKFgIKvu5X2aRowxi4prb40tuKMRwR2mu4iRejw85iFdW6Z3IsawaZhGFW5GqpED6DFqjbPn+g37d3FGgfkPXyxdBm8dgqgK9t9QsnH7kvgN2omzfLZuOGcUIsn2gXLzttc6QLAn2WYU4PyKV7sE/mrQ0jIEdcpLBCJ/cwnyAuHCdUX570iS+WzcV6cQ5puVsqV1rDItVe0KulwL7naf5laM5rCRsdkD8c1eUGZID//NU5PdmdDHdY9k0Vp6Em3pVmY5L8eBgE+qGIGxalovaclKFBANdP5KfLvPgLQ2ShTq1e5dt4lEkocA8mmKeYGZ5zf45J4RF3zwqE+2CM6vjnIrXf6+AAHxbM6qHc4jigU7P+TrSFEXzg8M9JGaTl+M5PLvHjrXWztqsXbxowGKcdpx9twl85Fkj7IYv9gMmIYvuGWScxIOef1xV8oWgQfmG4S3h0QfRxKT2seeSjI6kBrC8OvvrnWkU62U9z8L4KzAPrjmqZGPF/AetrS7BTQXRIWA1RcLecpAbeTvJZTzPzJ4tbser6vNzqYq6TmKVtdyjNiOBqTT7Ks/eZK1Wr1uN22vnpCXsqqFUZWyNnjMPOhH9NhnM4wNQCF1W+WdBsU0S12qqju+52iuE3D9au8Xs2ENLHfPQ9COnBl64354fuHNidsH+bWi234hjKBdaxKD8egizYcV4xW3neRuXjo80y+S1BC9DGjK5kva8Jy2w/RxilOgpLDnBeJJYuSTFZfUg0FBC8iV9VqT0lIsypvTF44Ynfy9ZatREbZSaen/8wBnpz5n73ZPFdmvuFNhxIFNtGMjvI6gyA9Oyf3KB1/IuTOjrBAW6SjZRPoqi8vQBFxnruuuxNhbIR2g/UZubalcgNvrqwk8cqixZ2oG8U9LHfPc1+6x1GDMibdlUsTGlvrKCG38bNTq/7lsNjeQZfiEPXKnEm1iAiBA3Op5+baJ6ivRGcdgWUm76jGE5U+qx3ncVEyobfL1bTXdqtPQYcq3O74bQHRUNJ+sqmLOsC9Knse4pZ1Ta+HueqJIOPGJIhcjlOAmXExbem5WfQbriGzMl+9UFVv4CLS3dbR/6/mkERf2+Feociq3AsB8qqfmI8PWsxAL2Etz7YSV2qdIfqc52msQqF/FjqvQ9TvQFVN2MJde3+7rB6KAW5/b1VsWQnl/wt1T13r3nkBXcddj/FYGSmJTQk/9OmRTI3j9gyCu734w6wiBmpo0cmpLnbzEZFQvNwNrTXw8r9BrXpgpL9wapryMYRdw8UjKTgCXaugRtrdG7TI8Q8QbIYRUcif9BMSPaujQ1VpRAHK5ZVgOwCED+ClrgCbuMe8zgqHEbr9V2ATa7WyyfzGs9pXp3KqXtvVRM17maGl7V7XLwfUs/qDuGtXnraJYMKWZbN43CEdXf3cWiAXdDZ2M+3Dmppme/MupQocTY8mZ/u71ADtU8lPL6HPfm63t+xmi9vpBA/8CD9Wp2Rvt+z5yET46eoGqzxVm0VYhsll2kQflwgc3fTReOmkrtGNbNzMPotzhZbXc1Z33wvRZ6xBL0788Fo31fYjB/eEqGlPRtBqQnckpESrG7CzgseWzGXZstqrF/SzqCghCL9FBi6FxFQw8TxPdTpeO5sgG0vRUht/puPgb6VOhm03ahA9daBokUhcL0zHy3MXI99TLOMX1YDsFZmwXBbpqnuvWu9KySZEBwXLl1MlHmFAxjNhzr8vNyCG40S3grd7/o4bJke+Wf5+cTjt8Xz/sVWDdTcOTty2Su6cMIL7s8NpYfuS24ZtYu+l7PpOZFcSe640oFDZ30TBJte+1ZIZRnBGUwctr0kufW9049StXd1TaLzfzkQX4jS06njFLb6nIUfn5+XncX+aSYRpLz8d94c97E/461+kTzAFN2jb3OYp3oDL1Nz/BIen8Ca9PHdF2twx/K6Kw8WvDQ97tJ3Ej0GIMv0axvYAdgvIJiGj8g6xPig3iYDcDE8hkBOHjROzg3Ba5yHFSi1mwpktZLsGKhH9hkH0YxfatCs4hVOOQjf6pAXPhvXO8zuQ4foKee10ro8iJKP8iqBcynOYtXTA8NhV78LNNPP8ta2a6LZvPn6q2lDJuiba2UMO8e6W1Y0zeVxBPRil+3pVa9wvnwppUceVBEF87ZjdqhKqkh3c53OHH1iRQ7Goss8sJHFgfHYS8AJW1m8Bmp/xtcocpsVpPlzWQmF8ZVHCVJOw1XpEpJlaTuOaGAju2SrrQMcPUBePVQ9i1+UdvYNmRt48pFDTIsRdH90GmkN2FadF/nCABysPMzogHhauqdSXo8hDhQQMLHBSG0ifu3yVkItsS3y9r3YVg+zqv1bVVoej9+GE/JZIr1tIrMmCmZ9dL3gFhKyw7IqqY/RhfttBEMkOIpWONbwM1X2YMu6vHMZrfSpk27Apd0YpeNJPiauKdUmp4U+Tkjak/W96SsGdjbLzkQ9ZBU6wemWnjOrt+XdoKLAdcpkpYrCkWg36ZIluWuxTHQYqV9xX2VL8eEhuEuaSSLHjjkHaF3bSXbI/BbU+csMA8IEkvcckQdvgD0lSk3faTCsyDhQ7y1JtNKcOHl9GxcGjdaKfnvAqaWulDuf3Kn2sSaAOH9wU7YEGsQIFBdgziAhrVIKXaHzbKIPTo6eN71pJy72a7usiKNlWz5QK6uwlcg80i+KodNnOQ5in2xCcRE5hE7XgvMuQRtXnwgnpmoPY/wWdZS1riP0MYNfw6EJJ8QVQzw0WCCsSluVkdmmyQF9JxxaEZv29Dh4JxMo/XUGLXyj+dBk5TvVqRENo1vsaCZoidUfJnTit6mIul2BA9ffdUO7KQQ42M0BNVCCWCB3+IvePLQmKN2lxCmeFddlgxV8Nkn4jbytporMkOn+ad+BKSfGSlV1XeNVUHDxQPQfJ9Eq3omXbhNGSIq0ib0ARuYn5wcwxQH4wbjDuu7G+dJgaunhhZQ1OMnU87nkkn2RVyecEXxm+kgRSgb03cIbxtqXqE5CUt6wet9i4JK1DyhvnCu/yYggSt0wz1md1KaOYNn14qWOuiV5B2gj63JNRkvv7Zl7Ty+FFArYtJQCQHHn7l4/xrymWx4zI19l33HSoudgyeEcVKn/G3/K4ze/+r6KFZFs3ct5Q0+/mqAzX2xFPaTO+rE8dE7orfWylr8sakaaCSTTPYhkeDqa/2jMKtvy+vNobrQ5OP3mSmi9zgsBCZtjO5b/3KIrUZAftBy1kPEJXhjMPmp6olwVo1VRbtSW1x35SzEXnO9UvacOph1B8nerTeIEcNh/4WjgFTCNpCXUND5roKdHkJQXkL+8nAe3y2u+MfNHVg1vizk8QqRGxHVyaLS5RXPEVb3TsRAudkkOGK4tBLJBGtRlxy1XkAp4OtfCr9s0Yu8d7QRFVWNwycOHDuLfbr9vH1Hs6JOD0g5NDpXOnAllIsYKkLNza4EfQkZjpQyXFoBm2Dl2J/zrKhqAcIiOe0qOYEUbMHPjsSMpWX8Yx3BV8DyxfBCOnMrWq/cPJPB7iFJG4qZNxyLYhmIoMoMz61fvA1KHoVYTClqt8P6ekC9qrTrJ28SecRegX0gWwm2bgTKrc/MihGMTmqRqEMUcBvpE9NJMuNoICz4/i+4zNfggmOmpmB7FMmOVQAy6UmsnJxRsfLh3Sy5XXBikHbsRALqZb7Q4bnbllJ+V+XZYeOpaTyIBzChUQrvajmGW+PAZK6Dped+EC1wB77OmdZcd3oH32tgYB9a5o9xaQjl3/EgO9Ocmk+6zyosJsgK8mPV/AVSQxIOFJ7MaCbNyRyPvzZPRLWhaj/ggLe9qsrCEaN/t2XyKuJ7nig1tDn9yjRz/x8Rib4fT1GP0H7jnXVJA1yFh11bpwczobRJrhI3xxkDePnpJ4S+xQ70gOqIhQgRGN7AZGjq1hW2ejm1tRDsKTR+Mtt4ySX3MsomUy1taG+Xsin59phCwm8i0xrArxkM8HNlACXosOhFAcKmpN6BHa9BWk9sF3NUx+bROO1Qjhvgy9wXDJZ8dcaVnfs5gNL8i0KWwYCAZOGT4+ckst6BJl6VB4i9UlypInq0kBKkbZaF8xluU7+EEN5sk9InXef9Ir3UAHOByo96gJN6b7qmOqIgnKctzhYLUe9Qv1u2SP/8VK9T1YFLWbiK9LdhJT1GdtD1apmsVw4hLgEoYTf46jR05oPSM2kT2MLah1mJWxJFrsULXIY2z+X6y+Phpv5+fEWPYp66qa45TELtGkxfOIIZR+Le+cU1vB7EVA63TJ69uVLWyW6A/P4trVnMUeK9rKcMqlAEkZm/12OldYRbgSf0cFuP4DQ5lswxOrbVCQqXO3eOOvyFtb8N3ukv9SdiI+FqgMBCfU8af3A1JtcTyRBGgPUc/2rwzsNEjn0Te+K2guucYI5bmaC75J66OSeh1NukHtNx24zoBPWkSU1SQoqHNY3NcaSI2dFZWABX+CHd9fAX8lWWqD69Qwl7BQLE9fTFxffitifYwjV0sK8BDZI3HbMkcHzBJC9TBgx/LgW7GowraIiYOzNJiAbJVg4O/ec4nAxZCOnkcsNT/L+KpPhJ2HpV1T8e+FEOwaEZGSW43rnyjCCAzC8gdjTUX0anvNko4tSStiLPMtYyHvSfYVrtfm3LO4x3TcdxT65N/pLOkSKl8Tz0GwyggSZ2pi6xTEIk6QaCYVjP6FeNQ2uSX7IR4AwuCr8ohLGVPhw43Z/3a8LRFb2bLR+yWNkTn/yVGxyWIqyEv9m/9uytXe3YHwMP4Wvn/CDVVfKJeTHE2ul1WELPaW7fwlfLScCU1hXr8PjZie1qqqsAHub59vml3iFh09JyCx53nmnnXd2KavQ7yS3E9DfOOoFAGZ38JctItOEX39Y4pvz/RCYlw/7lrLue/ILbDetMhzz2sOInROINxZA639q2addsL/nD4/w1MDfMk1qu0+xkjCpv6NSjB55Btr87h5nOWZ+4CmT3HApfRTysRsgUU+0ao+6nysEmxxEX14HtwpSU+/TKd97ZXbL5AxguWjoek8BdJCPKboPIaNUBf/yeD2no3qyG8aqaV/cLuTS95TVQ/jwFTim9GbegWXjQApfsvrG+bXu09y/yHSJyPVza3qtxO3Pg4Qcl9TE9sSDF7fX12E65cxq7wAO9gPK6/DCjW8FSfO3qzsMQyqNJKH0EqNRMlmRQkA0CNIYXwuutLc8XQ8DPbfLWcH28j2+0eO8SJ4I2ESpgNz0ICfggYygGCSDzjP0FT1whac+CfbTya2WjPZH56EJK/DZptK4FhD21gOHAapHbW3ofyf2cmhgjad2jaO0IKRD3tNtOB9CFWSlSQUiAIWbxJUPHsAyeT1/kgWZMt5UfvcD5Hsg4UO460Ch7VrQMCDyShzGktpz5IKqYHWwQ3rd9lBKEJ5gcRgXge2aElEnw6v16MangQdx564tsjFlIG2G+ihnrO46kkyOjTdSvFLA7N/PtzyLad4sXmQKEVAxoWQzeULUIVS7zsRLWm6TGSdWrgVkJiWa7WOpMJ1ea7B4ALkYHP6ZN6Z9X4OzmU5ZlXiJN33X+lCCEC5fk6I7balIN8Ge6s+egpxNytUBcHAUIbXXqnwThlTRp27nHSmzS8+fgnfMIuyxAEgQ9RTicmxx1czwp3oEpoY+fCbM9nUjJQVkhcLblQTyhqK33bdYBnL409TQKDLGe2Ypo/hUEj6+4hu3V5srUqU4jVJsnHm10oNVO6MWmEZ20f5MBp0qWqSbfB3rezfG1OvN9pJo+Xl2k6XF26otLPdG7yzJ1pm5czcDlAfzcOjylFjFI2tOkqU7DVwzxiwhrViED8eWeRy5wZES1SKk9qAJ7TYFksagG+9oW9V6mjjRTe7C99qw+aKngnSWw6Lbl/lXX+GkjfkgB3nVa3Ukf8Ps81nI7utXYnP0L67f8qiqb6hZBoZo7kevB0JWjxR9whACjqiInNbohuSumIlz4o7ZVlVQg3+qopKob3IE+CbIE6x4hVmTqJXHkFLPYU61zS6LWKnV+DMZD8lqXTw7gE16SZDnjNpsrdmSTWMOqkmDsl8+YvBapwH78bn4PR+FaGM5Pdi3C6UFstnGb6Z9YzcI2L+F/K+Udh4TKygiVqEvEh89OmR4wuTzMz01hNlmAMY1LgIMD7j6Mo5ONko4W0VCI7sY88ATcc1KkSOn1jI5iai+H7NgON/ABv9sEgzHvDaHxOT3zNRGlBrT9B8QxWR0YGETkgcb61dRBLEVz+p92VWTUwhd7Ev/c2m3jjJjSXzhzGJRzrEZQ8K/87aZsGRymqi5DK5EqeW7fla/T+J3qQxiNJpktTpNBl1p7k0qEfilUIow6UwPOh29qcSRx5WlD28zuLsyzvC/fx/oe/Ct27PXe5FN8a0jV6EKn1KbEj8vyRxPwLqF+PyzLwb0jksPsnIyqj5S6UMc8ctvJBWm/4IoYMjhdL1iRprJdUwy2xlQ6QAA5IsBYRf1jNjloP+RjEdUEcq6C3Xu56PHDeQVaZVhKMY1IfgdS7k4vuFP62H6e/x1sUvWTKI4AWlXOsl0F2By+Brj/FeOng+Z9heC1cK/8SrLnCrE7EqWCX5tUWBcrYcbFkVy2tP7IhYaGoiqW0NyFBF1CMeJXG/UUvRZWwTUc0GuHs2Ioe5H2yxMXggKbZZdlTYkWwdRWneHdbwZDvNj8PfOW5XhuRfO4L3Hz2pxbUhdSFiAtI4sRP3eqN+DeXonqLGMmh2l/9AjacbPralsVdq2y6n3rSgd/cr7KS/SeKkys5vmcR07doiuHxfVmrHNMyEPEbI8Ik2knTyzgGSlV39wW28ZQUQBDU20G3s/iBqvAvD5JFWkWLD7vMnYUXaj/LKhEnBrZfvjoMYu3apt+maH5vWn+gl8nQgGagfmK6CKGXxpLhtotA7v2e4mmzemnPSF5rkQi5svPUdf0jdfV2eNMloslG4UynBg8WkM04CuZhFtBwp1VaddtF/EpR3+JmMkmWQjp77CyJ8vppd4wrz14/eqhBo86cKRYj8u44bndBnJFHpa9ZjKVVe6dNZwmn9ehpvS+Dg4F9AAda1mMLila4WIfR8ko7RO+OeyoOi1t0G/wBT+jsO7PBpS+QtaC8kVHmfqdlmrepQC8bujl+38WP0QkDJ6zJ4f4khraK4/cVYC6G2w5QWO55IBbVLwzYGKijjSuQjhRcDDgPr/UWjTfziq1m/FH2U/Hsun86adq4E74CJGTQFenCnj6xMRMsPLoHmYu9poPWc/eP1zGrTg2DOq5bHXijUBOwIfNYHvjvkDOSCgnip5f/YvGBsExNNmfw+G0tYqY7TrL/fswfr3+AFGZ/Lkf6/E3uHbgp0G8Aj9Don//pOZOrNNpjrNb6fFO1g0YCr+vST1JlKp+Yabvmp0lxHGvbhq91j8LCx5G1UsZ+Jt1NKz+Nc4F8Clf7GQU9sHvHP4UswS6fyzD124Ff67xEgdcP1/U+C0HzIhDtNdmnaJstxZiew7FiZ5YpK8ypjJ27tWZkSq8bKkx4auGBzcIx0v59MtFJIDTHsA3Uv9N3E09ki09Dab6hjrF2kd9itLoK8DccjZUEAKvHZeUKeIHXY7tG7A2W1xadw89lyDJ449uMqpUTYtJqharyzk+4TO9/tfAFP6XjQguqe+epkjB7tmP6rRNjBtC4E6vhkqNpH793nMt/YZEsTsFzSUWb2jgLLjUf69NLiCe6i2FLicOIirq8cPNCOdDW02S89wHuz8hxzlF6UlH2XDIChShJCRgFCOZDqGvLOK/RPFoahBaA85IUHkaQCvRSjW4Xf5PpQQkoma7AHEWzxmk2DafxTMPufOavUolBauHEc1r3dbKawwt6Lmu+9qpVLU/j3URxAVZU2hX8MRP6er0CND7RO9u1d1HhC3PHTy1jbrkMWziupStHvzXlg3YM9b+xyJdeB8FQLfZPigzB0qBAWhnBZMY5eKXTFp66KDtaSI31lg9EgCejzWxE+JhbNeYxsATZxv3lApNXzxBBADnoPIAGfXEYkSs91dIvX1iMq23XymZbUoYHe7imyWEjCwPAIJugns4NlRbafBQZRbG6sof9fSJhri9qjhTW2xeKkLZh2rnc8PDGb+pCSVECJQBktB6YUQQakwUxUydHOckgFK2g1unJgt+zs485r6lcgasVSoz2WtE9aNiuLm3/7VvIu/RNBiPnQkLF/ZwOdjqm8bb+wwTlQwarcEjlMlCv45eycwEuVXkTy9TEdz/K1bbqzw1qk52WoU1iyqhIHhTIGP3sqjuXTqhzPJy83FezwPkxDCGQ/PIZCZOEwjnRiVQ/t7GLxu+WcUIxE5RUaIf9goTZaO9tZeab6U5gkvCNxNF24hOn5zcEddAGW/RYO2HDIY/fNlZryPIWmSNbkPd3656D18OQneXw7B5DJxarPSrz8DMQ/zmwWyStwXfV40JuxMrYNQNtEVoIWwH4jiGZnf3VNpo2AGp3+n3q4EWrGmN5D25F6FI/LNlQtc8nV+XObBE+Bhk1mpAF6rfRthyCs+MicQSlHkLRveDS4E04odhhvOAob8yxi+6RpG9f7Mm+J3E8G0Aeb0lMq6YsaGmKp0I2M9AmKOWE20SxVzzXaW/51DkoymxslHlHwYnRBNBeIv3e3p1g2iL+yjHlgsHHQqZDccdTu8uOQ3PRL8s2dXB/a/fvFPX8eMwy/ZmOaOSZ3ldUKqTXgEdGGSsa30w12GIzqWgv+pCY7+bi4+JDG/JEML54V7KdKWm5kGofzl+ahb7v8dg7aIW9wB7KVHOZ0BICMXvOUz2z0aiHYCwAkzDKOt5TSjVnDzH8ZPLMi5AvvTqhO0n3eBlYCY+wvSJiCrqXSFkEaKJwcXzOU68FAepfWa0tXGupO3m1h+4wPOVEN43cRXEr45UHDmAWgvvwkFOhoWqkkASdjh0Mg+WI3XB1F/KcCX0NRJhMBpCE1hxPYHV+s4Ohko4X+VTrNxcGonW3zvUznq6jBqZJiwl2VlQ00fCO8pTwMEaWLSH4QGmg175OVGvP91Jh6rw9GnECzfBVDGVvUtkKMMcHD274QBJViIpr2Ko7q0gBiA49wbMCZrawyLQD7FcGum09r5vQXrzxhJM2wx+qfSpNNDovKLkjxcLHNJoVRCBbGkm2A949nVIdLpCQDZ8LSgys1gAaY5b1Jks8VecoFDxp9hU3rIqj2TZiGNBi52x/bxJxcsteX3utBH808ALYEjdyZprU7Dr21quEwVCgOSVcIjjAXQOIdL8QRQkJmk8pNAaACcjwYZGq12V1AbQZc5F5hFwClvw/NBj3dp+G8St880OQ8rL0PPJRs16WA7rc4pstNizWRpG0kI0qstuUq8YJUfhrH6vMbuItJ0v3IkH/xpYyhJHBSYzh08IpM+li1IikrJVFhLEMDjdnIGTJfgGKvhq0RbcQobZYazj+Lvh2JMhwaPU3ETOplvBrXayMJfDPc70ZUjKTnlpn32GNmceZP/QK2QX+QKdqOMePM9xhZ/sAzkdIqi1rSPJ/RztoJghWBYvD25A8+8YYf07GLTqtbPQmUb/Dj3/vVAbMuL7vg7wwSHSQVbJNTuMkktE5sa3EYiboQsxmHAxfsav0h/IcrwLXycxMh1UhldH+kgfi3+vFbdJElbLPa5gWkZG9i8LIG/xM54rozgsAOyGXHJOgGhzFjXd1Hm4sQcOiwP3eCJDLHGeJnWeyEQzArzFJidWsCc2JgYZGQp+tE9+AibtxNT/y8e4cgxnoevzlw/winrAcwOP/NxLqTsVYbQiX1Ds/Os//wD3sPgopEShr4fi9VkJRJjClcEzx9+SaapIbdPvly5CzgibzeAjCWEUkY7Ts9g2YYW+Dy4cRlveoSG4JIiDAAd2ZFKaWnkyyscoy6V1ThA/0sVqBOVxbbnDkmFsWZcexKTyIxUpion1Y8FepbfbypoSNb44fLpgbBhzueDxrhF9lIZfC4PxQ3jloPBgM7PyWQ/vti3zs4PQ0eu0mAZDqx9M0ZaTRbnjG9zS6d1eX4aIw3mikJAb8RINmxgRvhRStsCL188i17yDV82R2UbV4ymyLu/uJQWLcDuA9K5T7yopUzJtJbU7IJQFGhcoDiRpYgCzT8eo09FTE78JkDBOh4fTwgS/2aGbjnf6Vplt5uWg8dwTy2R7ogDICvFi7Llb/SlxIX35cwabYHkqwMoup5xfYH+9C+kl+Ybb6K9YH/CzWNyvPb5wySmkYMuIEispcGN7a+ZTJK5CNV6qCQi96O+pPcv+xV2tuDQ6jbWmzpxbcYguFCRYw1dCdyUmoV7erzsBkmz8cULhEDR03JRy56y+y8GFNHL7kh/jReY/lq+33GA2tyAJkp7RVqAacJQTn0UtOY2/isRf4Dq9nn7lX6lO7T6PFEDOMcIH5XxGLWFYZgxdrvHuGJkC+SjAD6Q4NiicBY3lVDLKFgp/YZRrkcE4d2pjEiV8TC1pvYiN2CzGglBJicmcuBE7v15g9bZ0ZQ26dnG0EZBeJE0XrXE3XwaWl5fiRB4+tdlrbOV0cUoJmmPW6XgOr7r6Z4OTUtKWXNllwNkXJVg0JEroI5dwSO7SQ3Wg1y/kz0id1aeOBkcmqq8MEN50+NfrJcsSoYm/9kJZHznMZyO4IQAq/5qhYRGjuK2gg/8ue2jRhbn+wa59iabqG4o6Z+CEiD1njVfA6NnTw5KqsV3SGHQLQ/J6xNMVuTFYRCvgupyQv53PA/ErrZFwburzDALHjDY3JcVdNTSx3VhbRd1YzSD/C++FmnxmKlxOIc/AYf30LS9tHd7NdvxXR9qDNYAcfuHyqXEWFM2Iun7St6kD3wuH7sbTkQicJ91l7ENWw2LaDRZJ76Qw1UFQfKXoLyzF3toWUAZT1gY6x/jbQtejGHMjPtAo956PnEIJ8DYwUK0gxlTp9mISbKrnX5AN/tUpgbWqmmkiJ/4t384mtCIF80whLhMIkqrbHhYadXf/2juLfmgvQZtAZYTJpLcEM4owZlTX+RI8B/ai56aIHe6rgiBT4a7Mivq74/zK2JuEmn6K9cRxWOGuhS3XkoAoowpGyE5ZqZyS/oaudIt+XVHB3I+O1n6syfXauPjB0ARNMRcJLsrtyOJzAEHWRKm2aM044MEaE9KkRH2Xh+WalyjXuglbBX8gEtthqAhqdkM3ALssiN4latKLbKd7aPKSSsfse4qQ/tEB7kXv+dljE/WoUAyqNXS/RWIn3DpSjuuhmr5KD9ltFfOjNaYfze48OckGaK0ZbCDCVYS+gBPxcpXSGxC1y1Ble8dS2kbbp8EWC7ihownChMiYRWy/Bz/14cN/IRaFCrZLNpzdEZTKtMpXsJBtZ8JsTRjnuuFfGBKQEhg5ltrPNZn4hpnySRxLjGPKqS6Pg5t6q7yPvCmFyud71HR7jAVCZyx/N+yOCPDnBmpRp+0FITYkp9vX4mIpfmQyzP17bOp4z3jxFcmJOgB8ceulcl/7GQMzR84vpRRVLlUUwowoV9pp/O2Yn48ZAWSLHQOnQ6C5t+UDScZqpsACirIIT6o1xr+C35Spyxu6bXRpuHBEAE9aBqQagFPhcfbZHKIc7tsgoh5ddP7ad4AVFdozd7U9EPsr4Rz/XNtrh9jSSP9c/LGAi86eiy56byyW+MKnhOV7YDpVuAGfwzG6JTXRjR8FWi0Pz3cJdc39nGSUNNqYltnT0yNaowgxoJzMbhY3ZdSozyVNfeRYAQkrrCXSShcP2PmN+AEGPhS+2Ol0IwZ6vl+MtSxnLuLXenTbYczzWwbQIUaZD9lvhRiUl700Wppkk23ds4fGGISWujuj+lqCnE6TM7WW3yI1tHvz1FKHqZL7iOr0wGLV/yB5gfGgF/2mKF+6gblYlhNWf5hkUV/wLW6aE4RKvZNlfn+8jlvPC1nI4Oti+LHoMuetR1Xz994JFlwmKTNyH/MtXILFHtzfGIU1b0ON+zmCrFcPsZxdO12Gpc/JCS1YiQ0WstZKE0TI3Pe/3wfIAJZXWQ71UUfflmfHcAMLiZW6N66bc3bixSfUc2EeJzuiI6L0kgo8eMydSZs+tm2fzoADX6WRCYHS6M6BugvMhDe0zt7+4GIrY6JumwmpOqUiVSVbZraY8o2ihfeb5rWRJUBci8eXEsTKSlZFvvT8t5YQniE/jeJqsA2OQqsMGaoVk26dOAjwXxhtRRH8FINc6ExECirdNT6NJMMuaVLhmDH4iKPAkie0Jr4nAJkobIEO44h/Kgd8F20kHw3Uj8nQzQuS9epGBDzGeEuC2mB/qVzp6JN4qVpD+2uRnBz5VEAb9BN8VUTh1wKx8lmTOkXimqJqLj1ggblIxiUn/g/YKw0usYWmXFKFMQpayTuayFYhJBywdsnaqOG33Avv3Du1og31esskNZZkcaG9ksbduAEVxfKUWYeKOU3MqOQlbfbYuK2COdCTqHaueiiEAIihRA989RApfkW9X02jFFnwsmcesBXZDTaLBekecSV9K3JrLUBN4KnXIhEyuTw7KM7fgZbvbz5lRyIDZBiNnnTv0OZ9sSHXeiMTqaOXlWqxnzGV3JQSNt+z/y3h+gAH/jXUcx2Oye/iqBV6hPF0emOzYv7GJv445A9fxc/1X67nvUZWihOO4uSJZNlqBTcimPS3OAH8IFLGIAlRX/e1JhjCvM/5deTuKfWy1ZG89+D53JOQ4PLTwovVNXtV22GezQ5KODpYSPTkH1tHRe+HY7E9KFh+FL5Lp2RW7t9AKpPIuoqW4SBCyrzFtnSNf0PUubY9483cW3RIVfKG1u7JPpdZICPlWjjaSGXNnkB0TrzSE+MK4CcMOHQ24Mp2cOFCMk45xpAh9FrlX8oO9S5r54IIyYKnqvPfQJYLRYyfbt1hFtKv1XLX38MU0SOw2gx2wn12WGhqV7ZuFIWCL2AGe4MhqVZd3tuTTQb/JxhfAA9GvOZd3DWPm1MSR3YGyMUzz1uNK8MgIlefXC3cVY5mYy5uD3T4YeMZCkdcEtH7zsF8JSI02bb+XjazlYMReoNYZkmU7RByqWuPeMJpVtgHljf0Ob7Ky1F/umy2u/VF/GRU7mllxE8Po2USwoSEFZhiMZomuyGwi9jej7HjnWhCccZ/1Egr7/5KCvubu0OcwasiqFmXrAgAuxuuIg9KaMatPOMGYeYWxB+c3Htl0RqbEroJjHz0l/3qyBxzOjFvhZALLo7/0yqrdfjcZm+8d8JLz2uF977+pkLvjlRhXqX+8FH0i7DFMinkY61AJEGbVgEMNpbU62chRd6XFqKvlcy/NDP8T1bcETZ+4WFsCQDNWdxuBPasn6zkmYKsnpZkpXn4EH0ryBzCItzcAvkNBDZzwR9AJSzOxQD3OOyCUK9BkpbIxPj4n1yZHuVzK4THqqQPhsqUJrjKL8izow24ozDo4AqyoSGWNyZfH7aoKOzHC/c30pexyi7dey8dw2Sh/++tzU3cCnsW/STEhjBCxUczQetTmGlf7KPvjfpLXFPAtqcw8Rsb7fJ9Yk0sPkDr+7f8sgSLw5OEFdR4n2045+sUHtyLqoO45yhDI45KcEvoD9XoRs5RS2M+z3RWxJdkSRexzhG6d3dyGH2GScEflrlClgWATP1iokAbAmHCa6HE8xpJYTAiW1HxYlP8rp0cc8Zl5up86/UXh+71bF/ECMaruXUqdEwYwfAIsTSjWsdgPskHJErcFJ7mUrEkgSPU7rp8RqA9UXMykv+WGaQATZYPrlmxDfNw7Pje2P73zcTm6EiFBsQtYvu6wxFiMpQLrQXw0U4L9sMDfe6pI3Wdh45keNGdE3FBIvVpFWYuT/G3FFVPDB2obr3UE/VLJz/r6a4f5q0ZlHZkwnFrl3kR/7Md6SKS4T20Otw5TW+GglX+QhhYujBTy/+jgDYSIcgqtCVx+cR0TtOp5ejRlYBGU6WgyGbEJijrHcAgRO92G2Uu6TkBBJAllqFXT0/bSRHGCtw4i5KunEOtLdUXuPriFAzJBPEKeFL7r0MdVN9rOC14RjdG+UsQ81RlTXZ8kpXPnfSoi4cwDPaCP7595K9GFYhFHIF3pGN5Ou/hgNzkuGFdHIjIqHVOQ3x2n7p7FjvQYFcV3ewXnIFhwOhFE8p2u+JMvn61DWwZ2D49aWJFsaqsIJVd9WKNQt6+tnujXgEgdxkEsMwBLiUywxojijXKc4cIyjB/px/iGCxWEjMt2TNz1HpXqhhQYd/fMxYEV1q5SDncd8kIqgEyo6WT5vjJwMZzzWuZWkBt2+LgaT73qMj+wQ6WRMT0BkM2Pfje4hoWMFXD5ki9cqb00/OAN1Z3ihoKfp6PWeZhkA5UlpguVcaoX9M5ItG5BqjDv3C+/TnDQR4qs8C3cUATUtl7V36GduwAh83kNdMbEcSJ52mKHCQMfBQaln42ZhAZLFmVT1k2e8cZyQoW/L2reRLcrxDwHz1z15d+ZfErBuy3gyL5kDcU/85KR3WPr21gt+8fMGa++UCeVDm+MKB4bbDW7FpNr8Z9/7H5NieaBBcx4Oq/y6TDUgi191gtZFV7BGLLZsYnSdTj1c8+15OthNeb2+1COtrgr3qB2qKHxMpS7vktsT4N9MNnDVOjdQ0+n4x3IwDCwOD7tEl+2mKRi+5S/6tdw7PqvhlOfp61R2I9QGfaQxaGHR543Y8Gp5P35TQoxuWtcTSkNqGMDhPjNCTgjPR2xItYKlLK/z8N8HjJd2n5oPbSIrgok8Q2fSE5UOEzV8OxLu2DMxjs8ciz3LxQVqkn2HQpgMJd9ME+41bY+fnc86B4hH/ceZpVGLUB6M410bKGibhBgmoaHUhmk9E+0bUYZWF8tyK7ED/BIejW2ihHhPFoBnmXs6lp0wfEWVn714AzgEt3cGSh/5MUrJmnpjfwm6P0s8xr8DDKrZHnHyi+ZRY04Y5PtJ4Ys8QX55GzUqqgWg0pYyKKuW9bJimbPosVOrys1V0qBbIFkqfExlpBwwbOVjm08d8uRsrCCtxlNmMe7ZpjwQiLINpEmhRBamFvUdUnmIEDCUGwcRIcpwccAYB0odN5TqKPaEZoeszJYbRpQO7Te9PI83+BcNMerzF0xZxtNGOuN95PPYhOrC7rkIrxxwb1gTHg2cI2xH/orIztIF/OoI2IAdJ2lX/VZcHjsyjzfkWGUz9keTYnPXoMuEqIvjvkxeDfh8wDPOgWeF8HctQGtTnqE9D559Y0e5lEa0kuwbBK/9tFIcjZj1yxaujNBk2arTC13Gsnbmz+8Oe/5ttqEUkT4Ge5r2mwkJ1FZs8XKXKZegykiKEFu5iokYk8jK/Us6g2TuE9aZ08xf/Tnl9e5jQv40XV8surKElzxoRkcLfXwVu/6FfjYHnj7C8NiyotAjnqJ+XZIrHvQLhiCUobaP2gMvtgLuMTbkCJvUIQOWIMZC3IbpgsLFSFNhyOcNGEoGiph+LcH8qttrAImEydEwSejggsRBdrS54pD4Rmnwrs+gE3M7s0IPf2AgbIF7jeQC9d1B0d2OkjgAi6TqG+0RnGHa/9WhnXFGiICNDUxC0aeDZ7cv2NkMto/jWCq8exhsvhKLwdGuGy1NBWAvHJFE633tQhUOqZgAKzn3PO9VbHcSAkozpiBbY+oNy+KAAyac0GIozT+HgXobq+fzRLEopBMCjupHEi388VMlg9eG0JwTlCIWwXaFn/ws4c8ChVmD/7rqXNb35nL0iIoI5ETi6DyWUg78vTl5CC/iTcpGBcDhQ5MnBwfSnKpyELX/5LzxDZyB6vYXqtN4NbiJBQhJ/IC/Qg5HUIB1iAWe5B5CkVYHTPcbn5XOhFKnCJsU5373tMYJ+sHvT0bwpMa921MdrKc6YU7TOh11cgEmySoTNhFkfn9dUTOJEN/LFh6yMGSYM9XzIhN291iAKivEVeHn5CG/rBk+e8aHihniYJY9VVxaHAsQGmO0r4IzFS0Fsc4pBE1X1mp7bgL1xbSqVLqTtlPbrd/QeM3olONpVnd7L7c5D7o7vWPJsNUiqvpiXtKG33dey2GBkTknx95yOwG7f0ZYHz+CgzYdAmwW0wGmdLqUYmvQVayYoUvBOQKy0/dQ8X4omNeekZM0dSKCVgCPs+HYSg720nnwvfW/No4rvbl/uRLM2t93hI1BflwWsaVBqermFXEJi2uRbZQQODkWL22vzu5KaE1CwatBpL2B7g6+ksfs4qVHw+Uh48S4X0DDmvsdvFqpE5le1Rm4hIvqIVnZMgXjfYXPHSMDy71k2m07RCTTjyhVp3C7/Y7C18ryt1OAz4eaccjhc/amiO3u6Va/eO7V2pTWJ5fw2ldw2qfmsgOdruR1GOYLmdc9rxRyd5Mrb2WuWdoah+NsFrAtvYp/j4Sc/UIFJzwWJmXBtxLgfTlu7VSqV5CI2L6DHh7cd8F9ddkdaD4tfEEWCXWH/RFKGS56A2Qkp2uzG2DTi1tt+A3feDMEJOOFmrodNTDo5z4nIq+AT3CEwKJ+UeOD1cy3wpauFYyllYVGFHTH5Gs3UcfYZwgWdWS8UC2/pvLF2nVtG7eH/B3Lw+1zVsivuzzHHbT3vLyEH4x8zq548252vVp4lnZBPhHCEqikTsJf4WTjlbn+c36wveZ3XYaLa3c8NotuDBJKyYjI83FxUNZj+kjkxhI68YBdXudZIs59ELMgA0qs4X/W9derZzoPdLEE8jD3z74kgQXiGPcg6HFfUJbXcLXDulwzXAkqw74xZUGqmDbqIlp92vf7HJlvbmuuBiWVMIq2QYaeJ1RZJBJ8t5xtGAJawyF5WE0BSRSVFggAuPhhmmBOl581JAD4q/YwCYWavRcJ2tHh2o8fDbT5l0xkZtER/sltt6Fd/i8JOzMQPE5yC1g4/1O3wdnvfNGRY+jDW3hFRJn7k5ZFRD/NR7JvBZc/RiSWe0XPHI/M63IMNCscmXbzTT46asx6HLpm4p0yJXwJC0MrYDLg1RM+gWPnV8GDJdVhNn6sxlFlevTLl3sqpItNXvopS2OBndBNmGT4otyPD/qKCaAhkJKjgRgq0VWoQ7uzt8Ngtj7m6v0K2R/6Uq4VsEq+B9Msk/KdHLCNPZXteYuA3ysBre1cNvlRgmZwxa1/sON4ZITV6FGkp9r7HSk7SQVa6cBDsnd9bObogB0yreGPHLMuLNOXIrafkJ3zo9He36s5TQSRIr7JeRxwL5DcTp4MEjR+ZSCPCjgvrJbuHX+otuxkTvtEOMj1iLJ8xWs+vycMJYzF/QHReojqRxy5hpAmyNnK6XNkK2Z5QYSQNYMI0KDfE57RMz1lsgqMcYNraK8Uk1LTZmo1abV9dJ2Ki9YZa0xNylWMQRfWHoNsmWfgYUzqTJUxzshfHMhUO3a5+vmy5amHyIp87R1dXox34hJjztBUi2/nXS+2kNvyZLG5ELvEwdUdza/KZuGt2kE11YMXhqF2sGtQURwTLVB/sBp9gdFD5AhmQmVN9RJtHZO3buR+yn2qOFsmL4eXzEfgaBXO2UIZ8Z9FaQm9MVvJebyGQrQQd9JRP3WyVFFNMFisAwnZGlVSd+hU9rkugG9tLUUezahZV3RrVArcA1BN3X42MwHFjpZppZkDaroVhuA1yhqBskoV4HtKqoyhqyvh+H7rHpVQnaq5RJjcb8R4Gv2HzvFt1Qs1s9Q58XHyZaqFvlvGj3g9Pn31uRjOt82vzd5kbPfMCzAqKIo3d3Y4ih5m8xuEqAkb4UYYSJRNopUKwCZJRzSgCHBiRMGNFwL07kg2YDtxlToUUK76Rdgc9ukqKYtCf8l5DLld/iIHz2CImyHW/Id6yTMhgq1lLVqLxiXfPu+14XF6dqPNHAHwCbiraoqaRjGuvLs8O7oU1C+fatTquGFm5QkVvY0RjgTa9hVVv1W4MBawvzh6AJRuV+BHk42jmc56MvVVCwoaHyblqeTT6rTg3E8hfIfNA7Xr4q8Me1fAwbiH/juHv1c2gxtf6LvXtaMUtzviHFtUOTlZot8UtjgoNNJDQR9wxF8vQzW/1lm6LQTosrIvEd2t87bZcEGcJZ1Jn3yZwrNLq06nc0B31vujb5h+vKKW7432tsu+i1rvF/hvB1W6CssRPU6qzTM/+y1xIjd+NBe8VkVUePlb4Eiq3VEr2LxSioBuw7ecm4Gkb3XyMx3w/aLGFHfLaURedyWGGqc4xEMHSUBvChKyB32AuWtO2lAVH6M+cdXXMe5EEhpBGpQZpmXFqO30LqUBniY2zrAstFNQbtq+susZQX5VmwpTp1S359ySpAKT7BOPHZvZTdtaipKF0a1yRgqqMXuA3cYV1SoX8DwEMiRuwCVRmMsipjWO3hmBPKL6DWBTalE/WNHmEASU+/oSpfLZSTN2IplUh8yrLlhP8/rmb3EST02lWMoImA2w9ZrhYIxJ0AeAiwzvihn0fdQTqA8OSnDVPBZIWGE4WfX5PYRPBdFq4jCVe0SNPHlT3KqeWfwJwp05mXoBxnCzSc98+l7KPCx8rHj8OY0/TXLRtRP0uyYEH3bXMKEWWzAq7cmSGS7WCbjRQSN4gKNr7GRYoubFtWmd8bdObJPI4/D8OESwZat/3EdIjfk63eKXTZB/xM5TS39F2JiWQ5ZRb6whf/XSlAmv59z/5DLcYvODzUuKhan69O4nr9NLnIlk8AoWFwDYjdGkRpT9jV0zHBqmsbIFTflLIO5WYdX3bfPYQYtsoI0uN9iBcE/q82iNnj638Qg5NTjx8jXW4dnzS9+S+nqNbnq6WBSlIm43KMdd3LgsaNK5Bw0Cb+jqxOoU2zspa4PD0jb1AsxZuAItESt0UEJl3tw4HaOTMhMQTSVtF+cElqV5kY8onhZvNGV5O+4bSfUBueiml7+N4I9/hhfm84Jfmp9ljmZsswsviNuRhoaZ2ClHw0vDMejOAu1jpWqiAo8zRdcOl1SkPdiVvzdSutTdAltQISk2wjcsaSLqTVJ5V+8AFaN0jKcoi8IFcdMIgT2exOCUf0LCPs0sFyc7nAp+p73UiDJOH0kPnFNnOJb/kazpWPLKd8oTIKtXFi3GeHorRi+igzbqF0R6yrS4qIENtPdOBlkYYKoajlNSFgDw9INMp3RHaWDkrnE5DviMn3imqqZr3GvqO049+gyuyyKnkoVHWc9nF1sCDaLe47hdWGouxWlYes2Jgl8JEQAdol8oROxxRsB4i+CLPYHXzUWRZ98ZAjhZGH2kOGxg7gz+IEUwMvdR60epboVkuPEe1FWsvraezHM6lp/tqND32uBj3Qnv4sgYp/alnajfAR9Jo/nnAExvGWmXeGhMiGSWBfEeVCHZv5Pd1uKtGk9HNal858sQQbGSoBLiPiWbTeqSL35NElFLPqWXNKVSBycc9WfJdlKpcbD0oe4jiCtrWM4j4vAE2X3Dty/93dAFq1A5jdz7vYkBznqtIaYLVYIO4jDYpJBq4KjL8bos+EYDW4slDExiUbBrp3aDPelD8EWIkCB6SGP3/MDW8cIrmqySDwXwm9tLIH+YNVTFGD5myXyC+o9rICRCLnMusnBofIf5We4GXR7dVRF+bbhe3hpmuEWjtkPcresN4jTwElfQiy+piP9YgEfhzPDGhtqJGoFfC8q7iTZIbzbJBNFmAjy7ZFZ3KMGKKI2D03URd1Pp8Znu6plFBx3LA7A3ZBBtdHuIAAAgGWbJbWC36EbBDMadM7IELvfPK6Q1WjRzKhKhzOVNVAGFrq3XP1EVxRkdQylPpWZIO2A+bo3Y2SL7TKAumML1cIqlTs7I5+wirXGg7mYzsDhbbotOJQ99g3sdC9W7vAqjWC0xt7GzVxaHQRi5E87IZlymqOlxYnGP78xyAb72WsTGkhN2B9S3UOEMXtsHE557fBTdnUK7lHsnyPHLm0EuNzTApnrC9IMRiQFRdDB9XkNNrVaFtSAeWVvbQw2HWwxKTDGY9jR1HzCHdXrWOKhd3+jSmJGuEDDkyB96bihHr/3r5sJSaSqiKk2Yf+waWfmE1z23JDxfQ1iCrTNxJr1wEANzoQV6LL6/CtPOxtvB2losp1ivQfDXeB8JAaQVqfyeRhAWxR+jCurisA/1euYlQfYE/SqpIo7o4AxSoLYgWIl2LvcCZK21LJsOc3bBUJ6/g4O3fOInEukvObW/rZbiEUB6cTjCyy5R9B0w/7t/+mXqWeA7n4x0FmiJYvoC5hOOM0Zzv3/AYNWGAFmeA3Sb18v4yqV30lSlt9blMxWrj6OY75N7CIbDtBgarhPGwlVRnGEwJ/9mmRsKqw1ICYxgBjG0JOZeDLyD10QiKmsx98P46ysKbQbYjP0QyHNThG6FQJxQUuD2aQMZO5I1JNq792nTDgGUDDW9RBBqIY0Kq/dJc/qQ2CAL2qU3prI4lPM/njHK/5Uc770XpaSrrVkn9YNkqSmIoK4Ys2byiPaSLj+OgNfnSyrlZLYcc6hYO0jQta/PHLyVRWJLYOkEc89Hml1Zahf8cELnY92w41X9I/MexS3RCOv4LYye+sT9Pfafc95x2A+62m48fVRaoImm4YggBvuS4fhkbOeznOW/KztLCvkWCMXTUiGWsz6aTNdad3o7OUtj9tKiFEFIbNx5nItqvJ822yrHL4pIyMpZPXdQOz48uw/YpNq99hDGyrtdcqQhkRqU6XWw8qZcM/2jJXhGaPspl3+VmJi8nAc1KkBEzH8vSDiKcCXnQIM6l2er0h/lQL/8TUj585zi/K7Ga8XKjFD0aj1owYgJ43/1ws1chYt6CXjtlnzlf+gfwsH3jNS4W5bwriWiXx6CWjXyMh44Xwco6tolNaQpHgJP4WAfJjQ4fZhXR8yaxAVcx6V0muBjgNYgFWR7Jcg+20ZCBZQgINqyO/I3ADp5Y0WCmASZSpHElpnLBpctgjjzfPOX5tyssVPwa1NgHe1jsYs9BduwfUm12bMgzGd4MnFATwEmn6MPVBQpfbMgWKpS4lmdyusvdJZa09WTe1Hl0njq/4+i6qxPLuxuQZeKHjMrBZ1IuPiiuGTlt389H1QOAaBlNYLyeP1+2PTT2Hxe/4ZqCYt0WfRtoYAkJgfEbjmLz2zsrLWK/lRiEz9BNI31M40J3QGpy/BGpdRUivJa5fMxsgFugiUBv/RyijmxmQB1dKHNt9ARd+ivAExq42tep5szZVoEnq5ueo3v3Kr1Io+UHRK40bt+IlEQ/f5hWgkkH4eoWHHxIdbLQOT4T3w5NpmGvT9ogl5OD/LaAt9X6x7P0i1vEDNB5upFaKRrUYOJQzt4lu0tYPWnfWaPG67r1rgFdcVVEPMYTio57E+KGD39tSzvV6m3+FZ07BNNw3FLVx4IPiMUSncwwmIekRzgRndT0cwEAPmjQO97wzyix224zFL1h8tr1i5uDNPIiAyrAK5ZqEoMdGnSDiQsT+YD1ClI/Bn4gULzwRSVTS7orpaXWueIi2Uiyng0BBFw41nE/G+0S31RRSafrigxGkYisbtcPD9X1pvjaOiCKCQF8F9v790YwDJ7FEEoR56Y5vkNBz0Bq6B8W/98I1bWJfFIqEsrBxJ44mQrIdEjUSCM9qNzcQ+j1jnuJA7x2blsZjBzKb7X+Gna1qH3jtxqanW6vy4qPdal2q6O2BkS0gIIRY/TtShNQf0lQagcZve0/phup9B7ccp7pSe7I6Fa8QCMk4C7XJAFNO8/INak41Pk70CmofNm/Hrrfuo4WembwjNMe9VIsEPy93FGhLMMR5ddx9y7xNzS0acqgCdxNpgcilbw1s4M2M1bFwRfaAvMv8Htrs80kk8PuzlZiZxyr/GbRc2SXFfdb0ImzjQxK6+LVp8CcMuIcmiS//X/TtKBR/wvZT0MO+nGP4EQKGpE2he1Hw0UNxZv9/sOKSfh/fvxPd3Ren/nkwJJlFLmRUJ3tRulLmR5o23JNymnosvzs6WdBNEV53r0QFyP6QnQBeltyqcdHZ61aim3D1MkVvb7ExA32xXR0zy/8hwTd9GQdSoH2+pnpPjubO6ZV7vFYVds2/vYyDZCFrthykW9ZtEcHE/uyW6Hqwpnu1p6QYdXOIVrNpgYqwl7E1Wxazq7wAoDnpewvd0+ZQSz+AMkKe3aGPi72HPWlNf0XLyd4rfESUley9dDQl2P6AP+qv/yuEef4Kc5AitnQupvdq9EBRnAA5Ixxuc0f5TFlkbQTU/1fj9jnegiHwv/n1jwwVmZNjiTTFYpxBH0F6i80ui1TBRAIqMbcWXk6ox4UUP5/l4/hdfJEUpQizR10uNYNo8vKjya3gLOMmQcZmahdnzXO17Xc0UqvaOG90pnPzSU7PCVn5lVCOG6QjZgGgjpdueK7dIbLuNBqxyXiP3U1ttAXcsmO26bQz7ISj+WecPpCw13wknP7R+700iBeD8cUAQLaTqeOeaqURzEe9ycVHKo1hzKToKORrI9epF0ADSzKUxJhEfGmO5TxDXJ+CZOwypVryMHcm2moHOaTflU9hKEnbqi06AlQesZABES0d33Exfj+sFjjIxVxHX3evcwCUEqJYUCcrbrGoDIJ23vIOidyMm//g7DuQ7JKhwoQMT7CzRL7hERVpGO3YWWPQCeLU0UuUP3YA9FAxfHSDCV5wgczkexbTGYgi0BxlSAwrLLtsUTomWt79n+0woVByIL3YhLz8fMSOqTtjeAFINDExB0lTVAhaZq9MlSd99VEM4TkqK/22CJOz+HHryQB8npks2VZBnF5EsWJ5lV6rSvpLNyXQp5X9+u8VLbWwY3WS0YY44Le/jY7x7+yU8R4bnFwbqU4O3yXcIIvUOM24fu88/JDxUQiINu8Y5QArKBilEAtpNJc/1IkJ0DGNKlzlRSpcPWxoOAv0/ZmVoy8IraIX4z8al9Elx9gZiVe9TyhFT8uC4+heMGJm5Yv37wxxgHLu2CqGmV70c7LpgPnENK20Rsndl5uB2Xjb0BuuPbRUdJ/GLyf3wq9/V2y7UxGgvU59U4mwBq/XMmGhbr6Qih7/v6tqL3D9O7R6mzE7+1D65uX+7HC98qWrSB5zGZ+mNNauzdjh6RKaufJVf6BelTnF7TBENapGxeumtn2UllfamqQwM70KJiwFZP6mxi/3c14PyD9a/F90J9dU021hZ3dnecOTNX6vNpiL7gbvuSTAlOvWmRMUN+7bvOUIlxoBhTbdfjTeCM8YFAhI+RjSfl8Ie1mkkRpQ+bOaSfQ8cEBZBWD4QTxSY7C8WTOiOJ8mUCTGsWFKsEMmOQU6UbAnyPzzB8bNxBOpRXPDIcxnMMtKkkdWDCMqZAUb+tvYK5OCC6TU8jPEI3ApLqLssPCPmvnVtDX65RSgYOdPxnW/RhuKipFnzDy7Wu/amTbrEHtzlv+nFYNv/EsQYADwnohVC1xp6W1gRr3fJj+0dWtBRSd9RIH5qhDu8X74JQErfPMJB9JtVpjPuu39eKAnyTlSwyehzn2/f2oMYHnJMMTRTaiBoCDQMdLRBsTbDzr1O+aGqms+hyTJzepJtEGyJTFbCkGDvdD38PXrNhnN+dfR2U4BFJKFjkTvqiuOKXQagCdhv3P0kVWd4ZTqfe/SKbHEJlo9n9gDKx49Iood2fnvpIZNfIakr6SMzPDatSQ/tTUtem8S752P+aMn8SJINVqLZeyvsQfYDZxu8fZTTdWet+eDzASo4PjGTXQe5ekTjfmDsExzQVUdT/R0UzIsUIkSER9ZSGeyltpB/aM2431FtXNEC0Ju8RDQseiaDXDhf887mRSum65erCUdH8zeYQkp/AFR/93BrHu7wdbsCMIaPPC6m8O7WiZN7tUMErzrnKMissvs7bPnN4jVOpux9e8x+pX5FrSHlGhncC9Byyq/OvWT1pudl2vFKBPoopYBpob2jIhB2l22DG8/MgrZgM+NId+Q8p0iQuhapmz1dR7+t5rfYmgq7KMnLRvvIdkb+gdvBZy82HpI9XfPH+pJgPoMvvHIYSdiFYG2scSR4fKBae8eS2nwmuLQavBRF9QrJksy2wNlMNhxdLRZTS1uQb5GrTdx+s7c2L3yGCquk3mVMdBoJdZ328sgV7sDA3bh7SIIE8UMirKr7jp1jLXRY0uhZ49Mu3cbsUtKXx+l+VUi1nueKCQ6JE1CK5bIMPnMB6Q7vABqhUV5zdrpFnP6OkGukJ2dBe2YeGn/R+3fhGFNX0dZyFXxJUkJqQaRNkHUjAy9iR+C2rfWCncoWsUe0PyZurnuLVCrEO8ezQpma1VfM3A8lspBd/ajG1qGi+DKSzqFyMB1/mI/KIJ4prWM2F5NVah9i5ZFFJXqy8LvBN9yOrbZPC57MJBXnvQPsew1dhFfdwA7FZQiEKQ4MI58qSzNKz6t1lJrYOItr/zFKzideOsnyCG216mq92aH6yzB0Psmb7uHTj/47DHZ9YpphbwgVpmXA4b4KCT9hE7RIg4RBJZkc1VxD2sZ5FMlkjq3vz1bQmms+cizxvFGtT7nnNlO/3QK+JdTe8vsHuQIyFki2T3K6B9g2d+FS/UgN1lWPy+Fj9NKBNQUtt43W294cEJlPVdRA6zc/F+1Agpd5Sr1xFWgt9IrXmCgQyLD3DrvUZTY85maWnDU437D9ehI5UFp+3aAQRTW4f1tVnOuRZ0HMW6GCHiDMfmro31WeORhHd879Jb34qf5iDZscJHDH3TwvEgNIcYx0wn4Uqj3LvPBFgFwB1IH2Kp8YvMn7SmFIFb7NA87fFsKvKIp1z0kjgca+7x9adjXGC8efiltnX1Th+Gj0E5fOVhtNArEVD/cs+GsnMzctAeT0v3+7JEky2qm4pym7aVAvOGlRbcNb2u0rvjUm/P/sbyiGFrYC01Q/X5rer15y2YHJCCYisUB0NpmUh8r3SXIn+HYdEdeG7vGIPEVyVsrTa7dMUi1+fvKm9vALznOu9s7ap1cDfuqkFmVO+Y+4ugOm8R5m/JX2zKChGR98AWhaLWxRsBda0Jsx9hxrGYV9hclU/LN2amQlvbNu1qxjN8iaa3IvqVA7YYMRPg5Iv3Fb2K2I6ObIGuSzmI/FRQkxc6EUrSws8nBpOsp5rKbMVpm3fWol6T6OyE3zaYprm6B6NwyGcZYFCxg+CoVroaYtdrhNTrGHtBUG9HDZGdOOe8RJvZKroIDJaq1YTYYyXxG+53RmAqfjuT/ssUA1nZFbxIH50Nc41paSa0S42S0WPWZ2OUBBX/t9NAGHWzTnEJuySEDlp8ojdz4t6UkHn/0bXfUULeHzAAPeXE0JeisXOYouiHw7YcVheSNGj49DW/QqcBUzEPOi0dKBPqEaqFylLyEhIQFRqtAT8RFzNQoDiQPGSBMYD7bu/lJemrWrLndwFQO1CBtTdRoCYzCAoWg+P9n51HuCdmG9buO3cnxGHO/kgQE+ExkgGg271HUBeNOYKC3Gu3xfJISlm2wOA7nyKiLm3fmYTtOgYxd5CXqkCM68nHQcF46QZd7iQBfLRfn9389/eVuoZ9rm/PHiF35TBI8BDJ/cieaALJq7ksuBjwhOPexMZRL3o2p12T9vv8yWkaQ7pzqVtBYXV+Mw8ugK4XJ2kR6ZkQLb4wX82Z7uObaS/3DATL5xijnh5aVwe+PFgsNyAVK7/TDwxbo6vfiNA+8e75CanWBOJt0xK5acs0HjPowMcvkWxZLNRtGfZoIsiZw9qh5Fmppp0WMSs8HGtflPrdW68Klb22yHCbo6L6rcu6hv4GViig25etZZcXJyUEsE+M0nE3848qQ72pfNOLJP4VvWCzBBkTWn5QmirN2+pbq+LuqcA3Cbf8jD0XzJggz7/DgLCvxDapOJwdNL4XEpWNwH05yx6BJJDrsMiGReqYiyLHDOM967N3UsS6+aVk7+hdEVAL2o1lIaO8EFDxdkYhRJIwWxaW+XDITRpIfWpGzSQ69OdqV/QttBltL6qyUX9ik5jYDK5Eo1TgtWHe7TuMosOyWHFMqh/FKn1Mp4oGHnga+gRtq/keMnACLc9qdJwbF0qHc+G5iAlPMj79r8kDYVqoPpJV2CXO10I7+AQE3LvT+XQ+pJaekeDdy2p8yUrY3X3JF75+o8+qWPw4MLRVZ7Nii+fKT0yq9+d8ZQqwQM3mFzb9S/4GP7iGvrFN/u5ARC4yfyW+wSKzYECjatU8KBqC991RNqmAYVZRN2iKaV6E/0FhuGJZU+VNqX3u8X2VsSX+J63vzoWSI68dFrEaNAmvay65lO+SVx4G+JzpTE5+yfC3HOdjxQwyUzo2YVZslLgN5qZYXngJQThPPOOq5RSCvp42hNfZr8HyIEcFnj2evsGdv0vmkRS3N3mSgI+w2q5dDNkHlZTRx720cIoc75/Tr1/geClYqGMGzrfu7Y4dXAUNS+IMrzUOx+MPp2421bgMp83wB2JJFJhiG94mauzMdpOUoztch4Gsu7qhisr9dIubuCMaoM2A828t1q8Dq9f9/BEEz4bO8EvvBrCA4cpw5NmW/r30NHTQGAaM68cquWHUezen0efuKuFarOjAxG5qzWjGhDOUCfF/lihknfZ7439xsxTysREY+HW/fZT65BTTl0pZGP/PrUaXf6gPq6Xk6vcNCLQH5nyn0LtxUbdPvjRS/SNVAiaUpAZ8/Oe85Km9jJWx2g+Fx2Gdvws3tRlexUBKKRhX/MJIuQz5zHpXaKBFPL4ZHjr8aSdd38sPt96r9m35QW0g9RxLzne7mVtm5Ci4vY/FQvuqS68TdUSBuK/s92spazI1MNqtjoDAyVycQLJmPkSG/uKYBvmLgaqUAsE0+IH1y5Vvrbbz8zzPKnluHcrRIOzqBOnIKol2Q1WhA0qiAqTKKw45qi8ygkKl/FljVo5J8ma8DHaB33MUkknQeclXoR4Z/bG4q/BtQhXRoVQh7hdLb0dLgh1N8GPe9CGdxMFd7+DW+0RLo7sVNns9tCyPxaQlywOU99wbfIaB1bYCqFhhrJu07qKUrib1AsFthfLZCbPxDPjO8DqHOeHKuSXhxUYKwigyao1XfOSNg41q8mBbzQ4tgBE8UcSgb3LlHr8hpTcKMzN7Tmns82AA4xWt7wIGh00ek3IZlfma9Q6XSXGImRWl2HcubeCAd5i0nzgN/o0u9Nq048hkrroCzNNahje6H3EJfQ/3ksqZnACuWQOJf3tff0FViHmfcOkparKD/0d4EsmBS4Nxu/EoX5k+9iqvf+Vol0Pb0FbzOYCzKw5oEbkVm3eFyYj0FOdvzzDiMY2gxUX63twOlPcXlTEi+tQktU1uitQsq5P1iBfDPgZgFhNLfS2BMyOEpX5OOuG0+YU8Q/Cki5KK2fCs8ywO/mJWALa2/EebsMHNt/pOeUKbRmM9NiMdqdzLaVwoJJlpXhfv40DOZB+RxCE7KpqGyTIQkA1AY99KBiDqarJ/PWTfA4M6ekwGM/L5C1V4jKsGCDSrcFJeqZ55vip1H5SubFbD/eHWSFMEtsbw0ixyYFsCkAezVGWlSxvXMBJzDeZe3pHdEdI11PWFKWAa07Z/Z3CL5VMr/eOssEc3TxEhHlPhXDfNjFNcgTBriEdE6pgsTcTyhGQ2qLYBV+BCEjm4SqBcA3bXY8Fa2iDWT4CYeGmn0zwhPwf9JIMuXkFlGF0LiTdYdTUu4ObKtUwm5bMBijR11NZ0m5Baommptjto/xHM+/cvqRfA1HpdCYHzrdarA2bVlzl/rLJUIQiqnzmANXtPEfK8yVx6T5dfe+Ni5cK8AqOpc4U+wW+i1fC+zC8fZBOmRt7zkfpyS9OPQyVdcuaIrthq8UA8a81WpZJ5mCwgxiQqbxBSwH/PEIzTWX72Rel6OWrsrZzqElIUF4R0ScxwOwr7qMIzEqFAEd8MbEsb/6Z9NpCph1MvEPYJ1aFPDUylwF+sjMOTXrkoVwDWiBfRnW+XzKy+pGLDQ6lAwD3pEburVSMCRsYtlc+wu/eEVcPxwknhpZpiPsWUWhyy0/jq3MuXF7np6ulNWyHCMtaNElXdP20knskTRnHtjTYJ811keew6rIXDu9UOFP61b0BvoynG8+xi10oHQ7qWTDEsiaFIgneoIS0mrW/tli2Vq7dnUkpFxBh7TIYR3KCa9ZUgUs6Ncdxrkssm/HJruslOft5NjlZON8USUIfGz37HsEiTRW+Iyp/qy9O8vaD1NpLwTyqnAeo3vnW+ifw95uqKrV1tAtCScN6TszhS/1YdHoWK0UHVV65gw8DS7G/jAh4EDN0TZNB7UgsggSW/2kkwcsckmqvrG9i+fxpodxbjytA1TPifsly2iaxgymc49NASSbaHEHnaI5S4Zcwa9MUKEff66IDesT3O6cCme2rRrpHjjFur4iLRnCx0FdpzMxmyxkjFw5fCVAZHUTAPMlRPhEO0z8ElN1+4UwCmHDqYqDW6pmwmI28bPcaZ68ZGkJJHV5fj+SeWybuU7lvJRF++EUbVl0LM74WP3xsW5eO4YVf23f3zPfzgGJBRlmvCxss1s62xiaDbheAaWLeMx7Smj9XojlIaNhQFkhQ9WUjThUhlvGpahqYVBp/F7l9cNvcJbJzpXeO5JePEfFQLkaTFJUENY5nipDZmosYPoTCYbDLkr2aU0pVk4Lp1U3rXjQA+OWLxg+MSmIkcd1kq5O4BVDlB/hjMQ0HCBXgmACB+yAKcw4tNbGgoQ9g3nSOhSHEcPyhbNhvhCA0w1p9kN3nJuupn5QhV30pYou9i3JYt9mIfaYqcEiEdFZWmLRLp2fdHBiOACW6SEAK2LxPKO2hMuJcgyoxgrHZ/11055ZHi0uvRbgLgP1fUuXnvRt2Yvy80qHRBeJD6LE+zEt8YX91qExfMuiM4EhbN2nxXsQVjixF6JBrA4en5i3mN039Ub+dQcrYC5wvaBTHhWbxLLGa6ud9jWuzJV1jzdsrr93fh3FuAnbA8kEMzF4bZWAprGtru3zvKxAALQulfW+RoJmdQyHqnJ195hrFtQx4LddWNcbhahiX4gvxPOK4uzoNnDxLAqJ15PsgLoFhN2cEFGKHuPze/qskRhILIwi49ueQ6RTybILJ1oo0KkqXPEMi2X8l5TiEPMJbblcsbPdzx0M7FsuUa7FJQSvTluIO2vgkq8Afuapsxl5pEucDcIKiVrPyrLqKXzEwOeZWc2u/fa3mbIPhX2zSSMQYW4f/6AixjcIialq8xRQZp4d8okVDC0P+tAyeAcoREeeqp7fcJeIcvorBsEnW9eJ4fH7aTPSng0l0BJngfwU6G7k/tGLjisuRn30x7yqOGpwVelZy3PCqVhTQ+GHybLpv05tuv28NauwAYE+kW6Y6KJx2HA357U+QMKQMCSmoqfPYtr3NMiV9EnbX6P39m5K/pe0pcCef3abthXkqtZtaqSPPZ61KvSx8ehgv9IR88prBOJg9CzUAX4f+f6y9ORLH+ydmnGVLLp1WtfCBiymuglFxIspZAerHDdlmHMPopGNhe4qzj1nk2C5/PK/viNBJPBABkUw8HDLyVb70E0d73G/tU81uUc+MJ0EkjqCkJ9xZOoPZo6sYz8CGgnO9GlOrfa9VZOj2NeFohB6bPiGklpdPQoNOR4AT8Zn8c7yCsNjAUfo0obAc6WCN6WADTj6b+3Iypnb653pLmt5BveMCrbfbptQKjruUyg5Cu8uHDc05tEfg8+SNf01zuulyoe/SkR+i+NYZqOn22DuJf8rBZaQDo0N/4fMDxSGy/RQ7luQ7kfxmH3pt55AdMgKL3Co592661FFpDPB/xWw7LSWjnOZsqpfGWrymr4uiWBQAj4LOJSWq/OPto57Ia4WcgD4q9Hok31i/w8S5YzM5+CMPesz0M1ZT5IV5llO0zM7fr5BA6R/PhE5rPGgQsLTlF9JJv9s3mEsLsGSAjU3A8vMMy2RLvRJLpXQAQWRrVtEx8ioUQZv31fBCbPCz2ifEQqLxOhYF4fMjbzAeH/21R4nzUHojtdxMSvfpZp4T3W3UlPAqRK31htJ1KVlfxSEVu/EvUQSXr4/7LJqffovkZm/7PPszLFrhyDoqQhRpEih9oJkG/5ccSETAb7KDgivZnzpM/hY6r+luTHAuUNlI9VGyZIg2ZE1Z/zL3rUzrQyCOcgD9wZpHBV+xi7eXhdbpKtHz+wMy8Jofc84n+uhrjgGJ/vMb12XJqppq1etCb9VUzOFwRx0vKbQNif0KLwOnsOW+IPks7SQo4JxkQXHrNkJ/IUEILFcNeC1Ywha8yzy62nyaAAvHCt7/m8riUXKvaLkH8uPVZdmRCAxKomtpp19jaSBMsR6cRj2wGUhWfcGvwprAc9UaXaGgyo6GXCMfeprlScFA1OyVg4Rq2BzH3jf/mewrukLb7uLbCQ3rxVsz42OM/gXzVxIYjgg/Ykn+1Z99OvTpK3aWVM8FNQAFNlmS9zlfUGesBLxV2Wp3VUK7AvYMiHl5Sn7/7pPE3J2TDGjGk7VnP4JaYO82YxlsaRNLnjIyLH8qQlhC/P7CFA7jT9zntXcxi6B5uhP82AJV/NOu0msRqvKSo8il7qpiEI6850XK5GQi9sqNrmIZaDmjPbseOzklkgl7YN/W1yfDPoxedwjcyjIesR3X5GQ0tjOt68zpISd4jn2SaCwXdy+xPrEk8ySCtmYvx9Lmq6km4TIEoy63BKoDJqiazlOql7PzRmIJuekrzGoIyO2PPokIOlnT3kgNJVL5lonIxavN5giL5a6Yq4g4jxqrvPVXWkAisIwB/RfNITHTnDzmiOQIPUTat+d879StjvH/6BaOprSomjZ6oQIIFaqWJYF1qGwJq4F9P5yIjyeKacQZMNjoGN9v1Lg7UsvWexF5sOJnxd9yY+9GZ5DD8YIyPuIOEggeh9d4PGmN6Au6keCB350pg5xPnGKXVuTyyOIfe817VPUfNgKj2+qqF0t3mvAjf1KYAIZJNdUskzOZnMRiM6gTcGtwmV/ZREyh4M9VivHwwH4+uWdd4Ux4mAiJZbRjNDP4wyQQKOJGqIoqEC1sPA+DnIEevWw/wQjw6CFvnLSpqeQAehHg5oTv2v5cTeqaQ+tnXnYwhTqITrYaJpB3A3Sops1GD665qVvBJWjDeLOZxUtLHrYJOgmlDBeYoCjmnirC2a2kPjRl4qyMauZX/Zc2iyTiGrX4fK3Pm8hCPfCcLR1nFkEFdKKoVJLe8Q3tX1QGZUo9j6BUQD3YR3XQHSZU/TbQ7hDnB//iSk4HfAOKNV2GLbMqcWVTRrRerm9PMK0tZC3Xb4P3IpaAcx9MkF6XpAAx9q/qitGHio54BlIpsT6RRLgSwqVHN82CSyAJs8r4smNhU0/ozzFmVmDPLzb5ZEKih1elos23QE5I21Gyt9e1SLM5N4XDnZo8giRRdbwrPbh6bnXlo1NluiUdIJ0PFpQvHnT8bRxbdDB696VUzv3ydLgOYFzQnUjKfU242axMavAugOQjtkhPLbNIZ3LvxlEi3XLYApuS0NDEzIxKaSOOFxeVVSzDh008GvXlBqv6rMCzivk28wvJp06MApoNr7T2LH3nB3/+wqoW1PvpygxkaOMFDe2F0oDjJNiVTyvpX/SQVaGB81BT2C/1WzZzpftBRO8jXMes0Pacbet3QTeKHcrj1rvMIxVpj+MiQmRhso2lIzv3YT8gcuh7QT1+xDtJYJswwcO2yeCFqv1f0R0EY/Jx1IsgB3T1mJvleoeVIZ0hcped3ctV+0B/xgVYsOkIORhHt0gLmnYuSqAWdi7nKF2CN4UAcLqfaCTQoFv2qp8LTDbGZd99I3Umha93rl3oyw2xq5I/GuVmEMB4+QDdM5eAc9C7JpSzDLIJoaiA9jsUsmqRWDoAi+Rzsguy9cuUiTGueA2LMP5m+Xi7YfeP/N7EBNRKJ4lWx/ijBsb/RT/Yfwar5RfNf41lAxEakXr4CgL3DMb/7O/cr48EMygxh/0T8gjrdHVAihV1BPn4RvcXBTdPRYuDgMBmE7IxN43b4gP+izSPwmC0gpVg75YNUt6c0B4L7fdM/Ikaq1OFjXVFrw+7w8E09C5UM9sEO7qZW3BhJh0vyPVmn5ColaIFf8lchIwOxoqDcBfaxFG0cg+H/1fH6p+7fV4u7Osa0BGDmYRUdeNWaSHuuwVJ0vw5oPClZlMcAZ4xqxaKWGN3G8x2EzHRjYqvbCT1cyQBbt4G8J73gnXdj5g0G3CtQVjF5KJ6aFc40Jyp+1opOnffAfjAKMjAsBEg98Ik4X/8PidYx/41UHS5LFIJwPYiHgOx/TOlbXC5ERF+xkya1EY/awlvRwITt6pewz35yc6xfHArYpxcCGkia4KnogulANeaxT9TcZBCj8evGXYu4mzIekYxjTPYQo92WNV77BtzXQVZPtxGed69qYOPiZIHVVALlUSbec9kcdKOYmMBrBBI2vxNXG+cb0pkxKH8xUwH5i8EgH9cFAyk6GofejjOzJe/zOPAB7S+PCcHgAQlwchX2xy5SFEwvFk3kxroKA+W7loFFUEkV5NZWad25ABFKnDeCmC+Lb4pmTWzyU4fuMSXzPzL5Sm9p2foJjn6m8BTS5v57DWeKbcnCZ4lfC7BN0pQ4zsPIl2ItGt66peN82oW1u+YKBlgQvV5Ssp8yiOw0q9h21Rbg8GaBobFoAhX84gHshgmi8srScLFb8rcs1SGGWiyXevt2TFREL5tuxtZdtOV2hByvqsmQv6ateB5g7PQqj+Ys/OrHjV+Jja/p8k+byRH7oQyckUNwoYkjaxNRVMczDnUMz0V4ClInVIEDS8FuhA49ZWCCR8sp485HQef3g/dgufB1D+lbhbNplnUT3bH4eEFtayuJtPZaHEq6WMU0NNiOhlRZlMYXx11gmLye/SHBVc2UuNkyUArrzHJNKRr+zn0QYv5UfNtt3dExqBzo6Y4Cwxb9eWNFkcrwNn4kZRM74h9ApIhhPkKKKF7jzL+CfM0lprm0yhb5WXh0SnH6kCD8abaDnar2TPq8TXf4WuiOy5p+f3ZL+W7hk0aTpknoHl3sTPgcW00+jEFIXEs9B/FzrbRimV3hYiBifjmg90E1ccqOKOCaXuRe/CHOJK6SJBKbCohYCM0Biy2SNzVAIwU/pFflpkb2q8uyLaUtIwAk6IUuVCOynybVfSFG5CHO54AfwGrtwOSR1kdau0g7lzZAfazCnWeTvBmSYVZEByOR/h5Ae6YapmB68fMIfqwSvE2o1qzLuPOZddVJAEkkxNs1IJnMHfyW9RaZlsuK6EuxD0+Q8CNvUXOwaHEP/FZaAcqtjzlnSey31RlM108hum2jeH5Sfg8MUVPFC+5AwhGRiUzl5F4pnamxMoE/bVJDKZofcTHJ8l5gIE7CAYZkWcXfmi13Ghhn9P4AtKXhF1Af3whK3/zk6fcjQZAGgFBf0ZjpqFWqYp5rowLLpTIOqa4WPwy3dEFOlMqRsDU3LaXA8j/P8CUODHGck/uBfxJEGS9HakvhtxQqXi0cCIQMzQdMMWwhe2igU6sGOJuFtnVHkikr2BO5BXB+HsQPqPvVCDQqlivKw+nPZVUaw+bj1G7GPA5SdqNY8wWniuqZqBUzW13+w42e7VflJ2bJ+ee3N1sOROI2WCOFkpM81+DLGnJEJ9qrsXnRS+MMsh1fba20t7aoShmcIy9X4vG4oe5zOBTD/J8yRBaAsbyoPJulgsCaBSRb5Qj5IAgPK9ilfjmsnrLCqPlK7LNDmuNZdRDWi02/u10DePZ273PZZbje6L6OQN3tx7dVlEwkal+dz/TJ5DzEpplI+Oj9f9Gk0PeFk5gWt9i9bPibmhGq/wlkkST4YgkHqJln7BMnHUz4QgJN5984q+6WBk4qD4RSjpKnBUOtWl5bWnPYkg4z+SgzX+kNnNAkvYlZpkRKAZ6uh2MnGTmVNoZXiwuhzp6fQaH1B/VBFQkzXENfU3/QG9xq3dd8Z6aAB+SECfxFbxK6eaU2P9Rmo4vh/q1MQGq+LZkuU2s5apq2phQZ/xciZTnWo4/ToU3xmxmnFqu5J1cS251ciJh2ixFLjznu6DYpjCpL7ZesNp3bb6q7q0Zz43xx7GROh+03Z6OHDSkFFfmFE8pOSiMJADff1fUofgMezgY/N7E/5F2FGGqL+NvuZNaPSbQo86iwpcY/8lulRC4IM1iQprR1aD9YACjafTfY+rWpec/qDmglyrMJTZnhPVk7YHeJMSoGWgSD3c4XqD45acKGNLmz+IdJlnXgihRvqywTyPg5F4FHrq6T5TvlwJ9PWEK2pd4GSwAaX56zL2uXcZanon5on37rVlynj6qFgwXqFMBAKCQI/7OF+LqMUlpXe7sMkeaqG1bFSqfGRhpSMR0YhvrhF1D7kB7XS1KaGCGrRNSgYfQN+VQlzxNGM+NxyfmgrkLdLEQ9i5QocwpbrJV+VNkalxRIv9/UbST5DOwarc6azX9E1flJi2x365WRjAnFc48CLyesPw0S1lRM3uGWKoH+3stYn80SbssPp7SjZ+yVmBqtPVI5Mm//85oEJdKKHWzNsvlYkEOJnrZR/2G20JjRD4qd11BWtn6/DYPUyajqIeqbRQbYM2pb9kglqu5SZU8/eK6b2uWit3yB0eWgE/cik59//dVTBYiRvZN65xZLzO3AC/8fqONPKGvfa7ch/FksN7BidXUjNuIpXRI/uHaC20gOIbUBhsYLir8oMMWmUhIK1Hd/0r/zfqpTc6e4No23RdJCBDFjwVYt8IZ+U5dKN5TquXGdO/Q3Xo9z7YNpp17p7aqdwvrohvxvNV+0SWV9mqjmwEYjnWBXbf6e7I8SaJ9zmcsJMNdBVcAL6muSOKKWHSX/Ep9wjR0XZZAINPRQ11cspBHBYiYQ9AiPVKTFb/GqgznFqcxASts9hn4CHooaVN4Udb3pRvWz7U7NqgHLlmnMOpCPwdsqOTW5pTiBUKWAQdNMZdDkNP5bjy+vFxH0+nIrkZCDrmNeUL9u5yIEvplUFRSuXU1pX0EQC5x1jEbKSnaLS8Xk9m+u6ZoI23j+zgD1ecsMngzELLSDMp9FQB6fvinYfepZw+C41aiIrBu7cbXubovBJl7j0Z2r5dIPOgicO3PZa7BVo1LyI4aYvhoYkppOtREyCCuMjEoiwzxxqU2lLNQ+MMX7BrAz41JPJSN6ALNNHmY5TrpyZFk5aGJi7AdizqAovvWD1vEVvEpIDRUcc9gPV+pr92Yj1XYXAUSBzXp1/fnhqN46TRDaFnMWGN4GQBJZwWPBdh5GB98PV7/d1+CH+t5F5Cifusnmeekg3Furfng1m2lAlJRGfbMwR4QHlAhWEQ1xNTmeQ+uo8f0lDzkdW84BNMV5ccRtuC/XJS2ZiNMcoV1ttG2wv9YQUEyoXjb45/A5GTCgI1wakKVOwbHWp7/0Mp1+DnZceOL738p4fTMfcWQF3yKeBuerhmm969+LDDqOwyk1RvQO3MAklMJlb+jQzfjghJ9qywvalrDld/YSsDhiIysOWY+8ZK1NYR8lYDwl+KerfmAKNKl8vfq8gYrQR8BCkwYh90D3OFbNhFtHdhN8v7H6HVylzJeaYwIC3iYECWPeGr4YZkD8sqIKxEqaFHXfCFJLxw9IOaexm7I6kBWG+CZzBtgYE2zMFgNLOVXh8p4K9zHlfYjQXMsCEl7aoTYimcd/4CqTTsJL0p8vgPXgfmBDLq7Z47hFKSsuM+5v+0LS1YlgsOOrZmoRVPkbIZ4QtbktFbvxRuKSKFbyijXqJ/B+f4w8CaeaQUZkPfJd3JR8u70F9tVZpkFQz2lZhLKQ4QcB1tSUz5Vg7XOLZhxq3he6dggym8U6eAvk0qokSxN3GBo6MHjd5/3TEPyhXNAcZDRTdQ1UOi5Xkf1cmRmRPcM9tEl3ATPkv2nyu+LnPx8jvRcfQMHPXNTAHXao3l1/HZIiOJDRNECBIke1qoTd8TC63nx/EostR5VhlSPPdORxA9sBo7/4IHpcAY5o5/MuEoiX+ZE5ILdAswHISu79Ms3mysthWciYoDBo1wnVLTb26Haw2+hJ1g8vvaSN/dFfpmszaiIMEiAKjtt70nFpDwVRkRUnypFJCxR7cBUUm2VCY0Kgf54vovXBdl11/HwqIaBFDXfhPh9u7L4xLOitqDwvDL4AoqcQ6ubJwbl64yOZjRMB17D7GbGiu+9gZANiUsW1UooIn4BzG5bxari4CyZ8e50uua7R37KiWdeFRM/bprC2ORRr5Zaf3gKI3kqjolCtTe3P3r81BoqwXlnyvRDU1RSOVMO366sWFLie5CJ6sz4J4toRdgoSffC5qhbjmdos55+tX2RHnX9M3+Z2a6/VVXRoI53Deq4VT1EFwUpSBbtlTU4v7UqaMSw79vb3DsSKvqA9fquZMCn/P+bBifhK9Xl8xRGdlLCtg53EbmOMytPY84cYcGNkcmS2PQhmDdkaPpEvJ7l7HQnJIEH3ZJso6rh/2A8Va5zrB4Wr7zpUPl3q6xpH0/NUfLD27BstjoXSEGqmmJXKdWeZ7dzsPU5ZiU30rT2yuUlQnZhB240/kM/wFi7CNoXabALeCtqaAtY8DOqGxQ0hzdePvdqDhainY09ftga9oSPQMby5E24fjOhB7OiHi72PL+4fSWS16Y5/tyanIVrduE7z7F/ZMwUhr+wQab1ptnMRQ47/XcV/ma6T1XaJ84ik5ApsnySMzk0SHc3irWC7EpLlavuE+IpWpd/dxy+IlZJzOGTB/osjs3gtXs4y3lkr8eBUR/EZn4+S0Eg8du0PLD/7pOgMfE9xtrkgA14G+IycZM1xQGnnWkobVsxQn3NtKqgHaTft8t248BCJMDKapuTiazYd2+2TLnsSIwQeojDVWcnBHMz9qRpVBawC0o9p50grUGF61sUJ00cJCXrmDPg59HYmKHd0/RYOeSARnrXY7XjX9EWjuPKMNJEizEtfoKXl7tGaF5QnLGETlzNHGE7OtHH5ncnoSZ65HM1EKbrHDL/5cTW/aemtBAmg72FQcLNm4Y6/tx8sUgYYtUB1KQdMrs6Ctl1Gr6igSasfuQ83ZZp5NTY5VS6FyOG3ax0t0+FKRhtqoRkrVE6UmHfdvVMCaI1MLr5wWK/QH5+LdRfQ6uheTw7VmZTrL1G2iv9dq9BHRzWh7h+pjOCp2xHOhoDCVGS5Z1VpZ5PcR/hD2Ran7jVAK1MUD/JEm64cf5SNu3J0g1AUD8uhIaG3sYv2HiC6hLCWqzSgSJZLN4XJIw76E0Ay6Yr4ekGS/porcVoe/0ijykw5LfUtap8WcVwJzmgvCHAV7kCm117y4FIjbYbId9Z5XDi9s4u1wBWb+u1J+DllSEjOTu29T7khoi+AdOotDQgKZ8NtlRIuaDsH/QCprZA8FoPqWmSIqXSShP2nq/RxJu3oKntyLCbqn6VviS+As1Exf0rhG1x9isMFCnq1D9dfIOuZKuCZPwYkYjgdeexS5iUkxYeyqOBq/D2dNCU1Y8stxehpClj+CTOe4XHtSH3/7RCsPa9xYN3FGG9E3lpv3/T50pZNer48wdar9SUQJp0PfWHO6FKWhK3P42tnc10MSY7xgzFaTABIoane8yuRXsmR0j7qBMCEBdYUh7s81d0WfopcsShAD+p9n2kMAaBT2SUX3uoVXaPbA2vFhDmQ94C7ZPiCysZoj+Lw3RNBnjumZUpDtJJMcDOx0bWlsgWg/xIKp/dWX+KL2+iaTbz+OkTPQQfs3x8y8pRCCun9/GJeKx82SAiLDhtYCfXfmNxibQjCuzo0TMVX80GHM07x+JL1gwdYg9LXQo0W7PLbAtjO2M0RYLHrqC1RKIgTcqYdiWRmlvpBDCOyB1+RaxTk7q5Wf8AYf/00gahIiV7GSonGGBYzRnKBRdAuROrruUY0Kk5Im3l0y31XHIU5f/+nv+VvLyBh3rCSC555etJiFcmyM8mTb8R0nPuA2fc8ZXFUp+1503/2IM5Dnv5I7wsLsQ/pD27b8r3l/XDrXGUE1ecT/cUe3HluajLn123+DBDzoaDCAt4fbygIz8H1Tnjpg4oSlq9fPCv9oQDEgd7qpqLCmvoIzx24OpAHE4b1tDLYvUZSv0tP+bC9o6AW6ji2vFXcS8IxK5YPwkF+vvepCQ7S8u3duX5UX5EsESXpxVF/+Ax43TSB/Qw5QoNG7w7CQSkMCLG1DPjaRm0NQz2Jnij4I+A4odOVyWxkLlb2fmadBrRd2BkqDo7z5UNJsOGSY9G2rnSDJYU2eGGhQS2YltctkpWIJLa2hp1dd/3Nws+Ox2F4RSeCx1jHYzkSmR4CMeXx79OCr/V8ikYD9oiBsVtU5rhAqOvyYoMlYBCDRz3dxp6dvyPEfeojV3B8dvPY4XnrHQJki1DcY3yR4DxMap8niSdTanJR6XEMjikgESL38wsrFDPx0wia7dB2AQdG5AXsr/+wfIjloonYmXp3pqxs+URIWO3VCvDuskzVmIKpwM2nOCOdmpFgiq9HCV+yEEE9smMhcfkNzP9Kd/7XoYrDqjAtLCY+U91jL2tDqGALLmV1bRqnWdhBUt5AB7WkYvfUGkVyQANbS3ZGYdm7N7rGmKOmXgbFS+m23KzGkjMbZz3ECNJT3dEB4VRj9ABWplImwjmt9wARn69VLMA2FBuhDcwI9if/ALU+OQ8R+XG5LDBgb/eks9VC+Uf0QdXyT74VMLaz0C5l5i4/0xMV9KZ7yoibzrMi74d756vI2mPrVvvLuJcf9LLz5pmuIaNKuVclVfaKFwU/jiLnh2sv1LOrRO6At9cHO8lKeKaacikLmkXkzf3oy/lmi3VWJWb0kyhPrPzGDa29HNzHUjADC+fF+pj7fYJ/kVVCH7gFjC3f59M0yrHYVG8GtCzo9WBrOn+TBVIiVMzirTClB3z0IGrvXKymC2EoBsTx+mbia6MCdCBzdz21yWKm34oPyis0pDVGrpb4+WMurfd6Wf6JALZtrNhHL3cP677CqH8g8LoCua5m6EAQNwJKciy0Px6INNZmyXy7ESLEIDWLYpkXot548A3SQ4jhuQ7r4wBPVWc5UD8qsUSZfmv1AdqBByJLdHAp8NVmGXTkNt4pGj8IqJB9vMmgT7tyAELCeKRv95GDEbR0IIDJ6/lLhP0yDykimyAFjTpGnCoYnt+E7NPOc0QHO400k7r/4ysShmPTEDLlKlyoJIpAr6rRDxMNN0vuNeg3kuaPIGofoVJ0YVeuI53w5ZMwPCHJ0TEBgU0Z6evws3NE0yf/t2VWyweIP+8mvDtvYSIKpFFtFB4oF67qYAsG3zVta6o1CtDT6PtKklju3jWOyCe9hViANwVY3RSZQSZ4VuG8ouHvyCO67kes4fRoQOGFsBExKimeOSg5/xS9QCca7jrAnR1MaVW3UkzI70iNRYk2AYm09NBzRD1hv6Tej6kGP4Y4KF8ZjYq8UokOoGf69sC9vsgeXehWGtmRmWpVAZoAkcJrsXsmSqjFOfD53wfFzSUAfFgw/n03Ua1uqKDnS46a8JD0DmFSjpXH9gPmPGOeUO3VR6f4N+6YIruhuJmhFF2tuo+tcsh+OsM9AHlpXpaeE6XBimFMoV9m766igrvSCVrgKQGaOfz3Gu3r6ARpOGDYo0N6TjGoQTwbwt7/K0hPCHjwPWSi/FqKBy4K2oh7sCIDp8Y+ivE+AXEGYCwqhDVhkhLW97TGL7sAopZ8aNcZg8c5vX1EAxOaQ98wiguMIdF43FjYKVDvMRkHvYq/0KojA5LIFupbIGi16e1QGIVfNmDjjnTNV7GJfU7ndsxHxrQI75PQq2Ja+MP0DVzheZDj23v33lT/4zbkxbfxhrT/Kvc7T3+NUyKjXlW1+gAFx7XlKBIk9gSBfMGimhW9qeIGlTmru6Va1wXJ5YBpoMcUr9ZdWPsOUmrihTs2dtgRt28oS/ZHXGcwIE93EkUrCTB22Ax1qfMs1oztXOh/gHhe5gRi80MZg+YjfWOlBsfCm31HpO3CsXpXoluNdjxHNb9cVTFhmYTbjtcaPKCkG2vD1esihZgWCmX/8LS8TZxzSJemL1uV+MZkntU1nS8e0UUE02jd2Raxa32rscZZN75hgIn4Mz/kmph3kmsoXaLd7R0hLnKG2jmRYvAD6cj+676gFGiyc+fGYynYghPwhUBN6MpO5Onn+50C5YgvPu9bvXTMvVBGhicHbWddcaab99EZLbrGuOZ7axJdPS8yNXU+k0znYEwk1WstPvjT1d6SDXqMPZB2Dfye01cIkl3CxEzm/OVx//rsNz2ls7AbPV84Ey/3607HEWMu46zEZDXxEyIwje1ZeOGQinIuDAthMJfT/j4uLaDT1etELTHqQoPhRLiG7jiVq335bWpt374tDSGFmROb5152wvO5H5XBrlUrv7qJpeioBpI1S61Z//nTfAEWzLabUQi0DefQOjEO2Zw+Hp5IkEhLVre7N7yQzIOrzueOub4rBcO/jnjY//x7ukLiLpBd+M1ogt5aKt9rrqaC8JLukQC6Fgw+Qy/1OtVLEAecBFh2C2U8lrzZiIzq5UkpC8VMmbONfqcAtswXpsBjuw67hyJUTRovR3RHQPBuJUhAhvCQ+k0GET9BKiGgLADMDSFuEMDvASu5hq2RGm14e2P+qS/JN/S/ZVihsBMtD5J14t/Cy52UTOW9kDzB+h9UM1Y23JBzZ/bX6rVz6eL+2MDb7tHsBSw4crK49+E6a98XgIcMzLdfACkRzMxftk5HgZHLELXFNcBjklpBlVyJFAcHw9Z/ME2zztnnBDS5EDZYnyG0HkJHp/HFosyWD39S5/0y62JJVVTKsnCVephxkx02AwhYiDJb2CRuelGrbr4stseh9OYjxhlObgDGX36pOv6cpcXyThUiu1wwgWPk2/b6nqI8XxOeHGysIFBpKNkIZmZWf4XerqmtpLXkBQQcGH2fA+4qM0SrKhgYzkvQdgLSsbJYm4P+tEnXrWDXfzBnHxs9UBx1SYo3nIyMGeGrORdUhg1lusqYjqNqZuZ0az3u63RhsPdBGFDM8Y+VVIoS7xPBX41aFxGlhHZ5f9aeGSc6osYyoKytnf+xuZpqHP7FsBHOHccMmPqZUVbSuXCxPajIN0+ENJ3khqvp8JfFN70Od9XivCgZPk2CaViGGDtvE62SfwGjboqhfxNTIcFwnedbQEQ0ZNGdyoILy/McTiSdsZCQUyHWwU1dc1riyVF3/vHHpIameZbopiP5ghsiBx8ljLec245SBzm8aGEYf3DtacnyHX+J75239DTpwlF+suZvy0FsT28UpFQaW185vK3W4FbB8/vhx88cT5FmgR4+HON0KJQIJha1SrQeyG16duhjgcEuL5JrbQDh5leLKlRh2kbhf4N6BxKSwcPuNKKxeXlwGNnSUntQnOVdugigN4IJK7qrX2ZGrbybnMWWbp6F+HJAr+RgwCNM/JWAIkDPxhjDTTyst8lY5T/CdlTIvF3E1WEEQG597Hsu2del2yyM64bip7Rs0ycCEjc4fSx03VcZlB2Lhu5xh7XaIX+i06ZCWTCsqWP9NJ+S0EtxEd2GHrOK/tgzty27we0RrA01xEPkwCIAipWLBFtYCHJnTHNClcdgWzA1TUo0tt22pcXIv1XM20rUf18NwzB0KFMHooDRXhLnflYDqlK9tqteRMJ1bgAB7aHehB3qWXvs4rg6/4npwiCbZYE2bfFvIFgdGi1dU2hxhDgFf93wg7n7Tik+u1WHekwTRWEaY+pkjATnxfHSvYSQhAkEVNHDL5Gd7fgXMUeBpvykslnwZUkeDgM625mw76tpg3MDnE3eIbK+uqoSbDIP07V6HWIolHrWf7kD7mqo8CeENouD9/60qnH1k5PJ2WzwO4rae+tA/oWGyJOivulmqDSMUUSrICzgpqik61VTpaYUO/SWFk37PijIHIrD8Ef5p66GUtdl6aB6miyaH8Bz8uOkaPbVldWvUAz1icqplJGNayALwvg5OhfhMZ3QmKZgw2cYPRiP4ouDyqPigLk8NC61sSuakzwfHj4Or8DBcXZPBLxrrEVKORkTPr78G79oRXU8aM7zIL5RuHySwX/a+bXyxy48GSTwRm/xuBENJ+8KXCY5iJdW2msh2TiGGPgvcChminJZ51DUYS4uVR1plFjDDXZx1kjqfT7RoBM5SbsywH0XpWmqalc5hc93SMXqh18rTSw8Cdkc+MGXTE/A5rkCVUZohCEn6mdBY1WGW4ZN7aOSvWUxyKkrrwzrcfx0gryqFiKIebpK1m0Q8AXKbjyI7BtaRRJyx4Uzr7IZo4RKkJ2YHO3btBe+tVYMB9lgWfoF5ldfSmchlrjQeVoOtdETZu4x93WS5X5clc9avHSszJcl+6iAolhPtd6mn1Bet1hEs3W8Ta8witARV5SfsA51lnc2Rx+5kXAv8oQqaO+fuUJwnO4taoQnKQRWOJaDOxCeRxxm2MPinMeDvzdMvR0Ej3ZPWmllI2zBjcMJ8hETzO0B6yYCfl3h8uLeaIz+YXDUzGcoEmTWPycl5HzT8oLJwJjj95jS0UEN3Sb0FIcQZJwYJArno/VWLB87UNRN/s2Tt/bWUOOx/0QIuhZATCuewW1eWGuriLf4zhs9gKf7FZAr4RB2SEgKArMaXJsFNXdxIGwEY6M3ak88ctpn1Lx/1G5DannKig8CLyLTNN5KfWwVKwoO4xXhWGepWegt0perHEazG2NlUlIqdhu6vkDGPWMRRp+jS4Ae3qk4si6G2Az/2UmCyaG/Oetyx+GtRCu+0oCrkcEdlMjh9bEpw/s38xdi/v21cq75GP974GbEZT+FyktPBwntb3Ju4xG/eaWqJ68smrFQ6tzX+mFgJCsbiDMLXGaVLBR0K4o07G05hCFIlA/GWCOCeCSHCzjQhxNAxGvYG1VXHZA2GiJ9jAFjFNjzctSMCYmOHCg/618CEe7yVkgE0zghdr3lThblDztLSqwiqg6+E21Xp2pID0MYfWHKeyjIEXzb4Hy3ndhhFtPxECHRpi0gzwCimyWATvmGkFxJyUFsNiDu6Az4Nb52h+UF5wQ83RT1SyqNCj9nmk6Sbn3/IHm/LVmhcOLVvK1tEWWMQdZfhCEyGQJN07k2JmhL69wnnOPma1GaOBm+on8JzuRGcqQvq/3/INVAn0LmafoLX+5kRkz1UzJ8uPkhFtqWucUEFsrhisD8uf1oRrEuf7uyGXSXFRtUehusXUPrtONws6+ii1ZtjuzwZUNm14Qu/xoo3FXanX/qJSeq+ydh5BTjKR6wxKpLzNKIQyl3g+0T3tRrsla9du6H5+JcNuVdzm+7+BMw/3uVD4ZnvqAogOiJ6FwBuL4MLUFZImbTsOt085SI2c60ItDKgcp0IATzHcBMV+NpZ3hLC+qA+K8AEVd9qgiMzPcp2EU7/GJgl03w4yvmdY4CgiTxmvby/h8v53D0M6rbHKdTHgwjDTJ+W84kh0qv5Z0odFj5HvrXvjD4JVrPoTHwp7K+gNTGo3at/6qH23dtkNHM5lzFvSVrsJ6Jgtn3IY83BbE56iBqw+7SHlhxCNTAnH7Bhkr70s3dfuoQCObuGmrVHB/VU1+7FB5DetjQ9DQf5n3HKVc7v8xf/ABhb0PsFk9eZH3GiAyeno2n7KFFleYbu44CU4ItaJoBPcro/kVM40IagLVDBDpCXliI1TvOD2XIEoTh66nhhaORl6emli6wDmLGLLMyk41NXEubvQG6e+Re6uHGN+RQJ0VnmTw5cDmrU9zx8t0hb/0KUqA0J64chqkzHjCbFFrDHCoikm4OZHhzpL9zIoiydJG0KxKX7kcHNkcuL7fAngNqEQgyM1JWojdJf6COLI1sNKR0/9oIbPP/T3AumHVJPABztTc+LgRoO9TYPwucJH7E/TcRGQ8j6g+JNHeF3+tMyHX7Xvjed35JO2U7BwzlZCDOaiu8h+wDt0r9qvoZCZDrkSnZWq/wIlSoTMmZN2ABUcL6qL814cJ3HiZskYOZqxJdmHBjKuq9fdwZa1FEc6MjXJvIamdH3hZ3SkUg27DhkjEq6W9Ay/y/kOpJBaJnvl/FNrTnhC772VHF2Nu5a4EjpikgPVm0QHq6aJPsh55si7c7b8N9ddeoCMl0j5nixihlbhrq7BWPrRBP+X1PFi7SraVMFWy/UEpwi200p2cI6bPx6245pDzQVLlBeH4eiL8npdCS9KOdMLvJonCGVY83AwUz/9cqtqj1aGuDWjO+4wyIpn6gDwb7EIRhom1/n27wjb+X3S27eHVc/JEs27XigsJgE47R9lTZ4Xmyg8+mG/vDpI5kSlju+HJAE78Zlk8VoXfSYVH6F2X72GH3p8bnbz10I3qXYwOuBSb6Qu/rumjQgqY7ajuY3R17twwIH+cqfKIEkR8dt/RS+W5lTb6UBh506qZ/7Vov11hKWZ8lQ8QyI9UuYzGCOZ2Qd66OhqCv6smPhv+aAQzs3IZxdodUpqkw/MIBmWALbFMkCf1dyE3VyLSXKbiL3/4mNB4LoKjO15ZhKNIDqjut7RYhjo+A1P6ZAH6NhgSvxC2w7FDpsSnBwnEwZYB7ZrVeC7xV2lC+mQinBen/tKJEsqJ13ytLkwrFJ/pc0POVTs4kyJ55w3W0ILpGeVd2P+hRTy4ww8Djy9oZzdK1e/3Ax6/VOmyL2R/Aw96Muvfc5p9HqHvlpnmSfzcHzdJoOLDBp8ABEYJwO+U8gmLNh4upSY88mr1gnJxi/gX6+sq89cBtZK6/v4+mjRscgHeqruAk8IgHb2bY6J9OiR/V42jgrwgwPDh/1ve47t5FTvVcKFY2wMAir0+mp/Jtb/J+W1VxkQkyzQILeR10IH9b52lB93Q3lqGZsAhrDs7iIAxvF4SlTIND+lyhrzk0HryQmMSoh7yDz1Um6HjJTOaaVEwuxh9FGkUPniNp/Ra2g7O58yywZbl8r0qIKHPKWNufLvCYLQ/GDHI2BFhwMEJ+jP8G3dNdIYsRKr+2MbuBSuv15ZjdrGHsBJlQulrOUh5lIJM2Dgso1mBeB8J3rIdVeagDMlFqXVBuRl9g+2zFURIC1UsSvrhmhd6LmuYwMZOQi8JFnvoPjrY0mZudLxt0ciaK1s5GHuTHt01lY3WWtm79vyusm8W6HrUpFKC1M5czv36vbCAuWnIqulyQRYV2Onl3HIhotzGIGKNktku8cCLgte3iQktqeQaPgyGS0fj0Xvza7VZpYm0+ycCi3pEJ4Ju3/RLABKOZO2Av8BwoQYsrhAa4Hh53P4CmG+zJyCRIl9ctdU0FWUCFaepoPMujmftGGdyebLGu57VhrI72er3hPwz+08KSaw/6TomWCnmECLyqIyid1FxsmPAs+AvXYhnsu4TQenOu8iKcTncaIVeaXPejVJyH+9ekS6OChNgdiifAAckkJaKgIkB4OIek0Qg5N95AZ6gaZaoaSaI5rkDIs3bEQxed1VNkas1lkikGW1RwrT78g32R4S21CmIbL8m+E7hyEzJKGpF2HF5inwcjX3SOs0hLhFY0cXvQtow1whD9lOMPY4S9iYdqegYmgJhLs35hlLsQv8A4LiG3RdrFh+TbfsfDdpfz4wpXVhimh4xDeE/1Ei0zfeJCL4MVBhLerq6Qiup4/XGkuy3imBIyUJkYo/9XjHp8qkZVsajw+oKcA2m5wyBaiNojOOFXlvSqRFAI8G0HCHeuIWG5qSoduvdzyXQGxI5PslLwQZYpCFYzEwESb0ycNfOp7+qjhuprLm81K3pXlCyty6ixsTfxACNs6r0j+av9zTLn4LdTqURam6DnkuKHRB6xXz7kxJt7c60lKCuA6BpCOTQn/h1sT+/15iaE4S2RlbuK6zsVA9S3L1W7js2moqCxbhik43yXPryORzz8DT1FJie1SSNw6LJT65By10+BIWpel0tfaAsg/hGIA8BHZS/1nykpvb2XIfiNdnLFFTgOZF7fmOXro8fnIhjzBOTFVnJvDFtw40uGOT7cg1bNxUDzSgusklrAiay2jFzpQLiX5IQxykZE81FlPY6r/yvhKrsvQy/7//Wv3VLmq0QHY72ZD7tPcF7ZHQNOg7+6nwS/hWQzIILjb6Ajm3uT9UhBz8PpPs9hNiDkF+05yRUzfC4CaVwMcc3zXknPvWTwdHxi+2xAYZa/t21m1x6HvjKNylnHME1kvrcpT14QVnivPyOTKm6775gD9CForJfEb5ivIbmjIj4jrxkV5uSA5pupOtUxLSdA93vU2p/3QopMFn5H0eiCqlJXIfgrAxTOPqeIkHjckRYUX4FvV4Qm0oalK8/YKJNbISmJHlLCgDG8+wCfGHXOwmQqkFzU8TQhgFHldVyA0CIDrN++oMWnQs9fDGnVTo4cMv8NhpEPrNp6k8A9gtGBvATpNGiHOwgEcmLbKaDqV6xhfZGzROIBc1N/7S6IEwxZ4bDOhAhqMJWlRQ5Kl97ySyV7koboGsG8ajN4Gmnm90v4nQg9BeWp24fYpjs5qkNSVxOzSmAVS9gWFpGMq1HjirXyqxhZWsqyKBS6wHx398yF2PyYSku/3Ziyt2qr5gr8XWeMq0kdVwZpf/03GZR5Bp3EY+u2S9lGuzxI3bIncVmYjjhNZD6fgON+eecGY+svgAUgHOYiZHToBP+uoHb4jxPnX1xynZZbDm44SluRPzh3/SbawqtU4aEzYY44OqiRUhSsCcTjKBUvXz9yOVKhv2BOYRctXQrkmFekMlbbpBwWR0ODGXebl9VhZTAEXp6Wol2RZbf3rCaMssnewCxez6+5fA73BxjSpwgDyH56sEMBK+UlWBP2rdXAt3Nxey76ZEkabLpoKctnX6nER9FTirU8LcTuHtF+H8Ng0ZUH0A9UbbzG84TKPVnyOUEu1mlRCa590HUXky61jVb+KiiXO57+gDCK8OKuPTKpFwL3+2iANeadqSLD/s+ivPmeWESZHGiW6+dQhcx3Wxc0/hklD/xQqffThy6qZnhqsAuwI85B9fECYt6B5QfKRAZ0Z1MsEzsKIbeUAWfI3zmTtNGVTwR8FbAeVz6ezNBRzVFWDhmtNzfO8gge5xkh4AP+FmvyqGQsi8wuzKiHAKua+9PY6IuOiLFENmqmW3lLyqb6OFkoGnCEhKejM9FLM+cH1OiFaxUAh4YB76QSr0JQ0qaqfdPDZYbU3pq173h7HX7gnOlLPqUmk0u0vsiiMwrr4gbufYwUY6NvuE/IV8N4nlLwktImHibw4fEWFDUu368h5W42a9kn9X6mo7Qqh+H/u9Vi2r20+QXsqGXsw+Cwztc7tNHbJXnzlPx1YNEA5cui5xEhsk6txw+PTSb6eVlXx23Fk6cGLZFjnS0uSdaDXIiJREP7l1NjxQtll41PgOFEWLyYVVdcZ8NjSRD95L5WUjcWuaR6Aj1D0KAbsoUOO4euQHTr70/Ud2KBHQ2tb8HCEGK+QepnLG/ZgPrb2V/Xw/txhAbq72E1w7XBHihXH3SkMBIY3/2gNOI0wIrpwibioUitwfqKp3F/+eoHKjb2Hgy54IadrssKuYeGf77oa/gnDQcQJk89CL5N43YbolRImzBnZ5k4MZOFKoyckOW/JCyryqZzNeuXuq2bPnGd3v23hysXMbwTwGYYdndic+vuF8ymvghnfi5NLxPwlvb/7WgvTTHcY81fLLpVrhZVWWFYE0LkAwxzRqHh2vj22Hf/+gxJWpz8kCC0NMm7Y9IbzOGFz5Ex/JTd+Oq6KbYlVpnbXI60RajWtvhj9N4Esc2TKVI8kY/PYYJsfD+f7Nxpfhalky7s/EdlffrjoYusvCyHEneXtGSnsViyfZIjpFlTtWIJZ64PxqoD+H7j5DGBAVafpSMYoNGc7YU/fdcJOnEJxVqfCmywz3XdxQapMvE/tGjaDptabfBdfdQjaToNPoLKuFGMigSkVrY1zUoxeTzUo0h2oj8ZhEB1VOp35E/pGC2dZ85NIB/LTXum65+rRlho7tyPDWvaqcKvT5FqthnG/KcevitrvfGceDNpoZUpHRM0+Xq68AAyRYjAK1m14huT6O+agDKQDiyOYj6a4mHGYJ4yNOZi+0assE3UGWgirNB5ISGtjZTiSbdjyPq+Fbryu+CZOgbJ9bOK47nMcfhbJg2RP+r9l2TYRtBR7jZ8H1eDEwyL+w7d/MDDxN82/wsJHZ53GuT2tMTSUok6cD5tq6OISCgXblFX5expY5h2hS4GuMpuN6+hQQ2MPftBVPRm8FXsslyMkRGx4HTU7hYcLAYnSqURWCW2cNraqtCp+/2/Cmkz5xX7Z0WNEityO+jL7cHJYV2Dv5aV5nPO/kuf3hP02F/SvSI/On5HM9qHl9bpu8s/CO5Z2aFBpwfB/aYQ6ftSNaqt3Gi5Un6Yo1T3m7xBNBrusrEpoHuu+ZACtk/UrqIrDHdDR/Mlsb+RGOkE8uWDUT77ICGsMoUh36JtW6Gx2TH3cVQRdo1Db3kWvpODi1/m0H1hcNQeIE6DCDy7hKI1tgRwadrCzFovtKFvu7DeU28nHbBE6TZpsTWjbCZzmgYb49MVa38lTTiIaHJhU6GvcWD4rhUzAjc3Q8zDxcwupU6ZwNvlWbYqihSdu7WIDETyJxgXNHNoi89jtXmaT26ppbTgvd04AzN77s0lGGRJ5Dq5RymxI8JQ4vyHG7MKh+YOWw3wnxFOlPoEXyCPvJW+HbLDeOMwJ489RI9i+FHB5UTs9grrlv1Sgp7CNIV/6gAKYDq/RX1RXMO19hdx/jEapT7JSnBNWEQbMebAOoh294AvJUs7UfqsqlVBo+Jh6HnoYb4bRQlnKeWkdFzKP0Pk+uGu7j/p+YMZyUDIFEwQYKoMgQBWivo7VZfeP/xGQXeH0aFSfkYaERo0PbiE1oB/q/CXbK9kqytQ1xrdmCIzmiwu8qPNobbafbdoq9wdnHyZ9Wb0Tj811CIU2LctKEHfMGjek7Y9+KaSvYkj+9Z5ODC/5yV1JQ3cmStKftElApGfHmkP3wcE27H4D3UlHU9NvRHHlImA3wUbSqpj6MG7icU4jLEOQWPQ/0PtY9B0bnSCOgUW39TF2jeQjHd7K9euISmWcJXeCptHPA7LDgvr8XXETHP+OY77rnl07lvCXn6IeDlatLqM00prXOK7lXcyWZZ2y/7ngojpas27ofPZy34BFrzGI3KZLv3Qu5k0fqU0q3C6D1m9DvDZJb7W/RKTn0nHGK50tURfVNgt6tQU9HeG8cK6SclJekmnyRCHU0/oLGbRvukEbFK4pKSjAZojutyWhdPodqB1T8ENtZ/40QOlxPyGaLhIydRot67+RfpZaqwXudMophnCJncQsE7fhdPQxmueEq0/2K5M5qC29iB5pZ1R5iWn+sReS6s9Q01TvCL8rxvKEQnd53lM+6dAX6Y6mf02JtfLNdOR3sStSTK2c4no+as8yDgNiDPNWq0HkI6JAmwFCe/ftnP1sgjnUR58Ohe8lkGsmvMMAGEfU4aESq6FuREZrh3B7QABIdASDkIj5x2QsNTpa4QCfAY9k284h9ZRwOZTVXhNXjyjshyKsNAq/VUk4PgfMtTuXixQOCTgKM5nXLqGhWRtn0i8YqycZcXLSQ4+aaMk/PICEPEQOFOlpq30KXKOwPl23chNkFf0NlYB4Ylzo60WN4YeyL86qMrlkcfCy/KH7K3knXf1GmSLmSzhrtrvuNACjSZ4+y0YFUhsjYCMdISGBzuGqYjhSf/L3BmzZ1v/DyE6Y6CZddSpdFL6llqCJt8Vjvz3zIamYQ19HljdsItsZduofWrxUNSyBLbEiEfwRbTPD7XkDMzOUvVzjZDA9gBLrn4qFlPX5LXVERR1RME3zlpIafUOHcvtIlt8ItaeEozRHdR2Te3NNyZ57kUgxL2LJdFy/wexQtcAsSX70TGw1l78io71FVgkC9EfnWZF/8RVU91gwlAiB///7sn4g9K6/ocWLZUyM4rDd6oHWUuapilRTiybxldrOz7AUVAKzhZtjStOZ8qJu/twLCI7CcMXK9Hhqy5UUtVX7YpVSJLFjCavQPD9C/zCUAHyL5BO9Ct95AoPlmAGdedA3CzKcnGrdb2LIGf7OT9LKNuYMNWzDFANIMI6e9v7cgo2bFwF/3ALQQmnhBHO1V8ZhYa6P9C5dfdsqre9h/2b9Rp3YjbYg1mfIVe+J/mgYLNjfSBDvsnSXG7QqlyK5bA4Murr2NtRAYB4hTDWuI5yLZHhRLRRggTJzEo/9Rr1hbImQa8/67U4dMBO6Ob5SkQ1lTbzhOpG4SNCBbxN09vmVTWVSW7ky9O3FvIIJx2bXDFanEfg0Z+8L7AxQ6AQ2uTSPGXRWQPyW4LIH3r0Pftj+mZ8bpERR8QIqMV+Ii5cHASSwObrrPRi1H7DtBTBQc0gbJIXLdy8pB64LMEvke1XH1xznxCxjbM0iyCQVwRCfcAtDh+58TOh2WBdnGi/s8DEMsITAYR6u0XHNoyhbDL8TVDyAQo42Al3cbwC18Qk2qQtpxTqxuxfhX3az/nzSNUSaDa75xEeZWEHYg6Q6dj8CpIox8rFXy1iXRisKjOjMeoMqDNp9e8BCaDwB54oy1zipJUmbJRT1oxh/GiwVZk96aBo+0WEgX+iRs0oMNBWmGJAO+m4XSWjRXbwPYJlYasFrP8HhzhiByysUpZc4La89CwEp0ImbHmodqVx+OWf9yqMw58IqBId2C75yaZ0gfp8vhNlnoC/ox0tW2NjFosJ3YHrlLTxwnQNTJaYNHKKNYBOOOOnh8M4yh9Z95CH2rgV06CUhBJHQpLf6mtpg/ABVgUrgRkY3N7ooax5qvRmMh1R01We7LPnaMZYCtVNeO4lwlHE9NF6tAkTvWrOblDj8V4Tf8BWFJGCjc/j9t2iMcB+ULrd1K8BjClmwpA49leOXdQIJorF5XcKtqcGXoBVjQaJxI++X0mb8Ela6Q0dOJwzAPZZeMDY+C1r61vlak3hW4Fl19IONU2CVyLYRCrjlIkeRtlZrEEhw9T5wwEyEqC3esLNu4la8nhm9b3GN8cG2hA0QUMduLY3ITdbRKpyQrjcrBXz8O6HDAO7zeQDGqfKPARQErekID9NKstEyt5cFOqGmH/yg+zvPrILhi4f2ixElkqVhXn2ZgjE4cM31WCXy17bK7LC6uNFdaJY3nKBcwoa7gJ/rE1rB8mqlDZ0l/K/BINsLBaaTcEpj8qCnC0jE54prlHRGnXesqxyx1acmsiLnrr/yGuN15ifrFXDTMFYTXr43u6JA4T+/O4WGWk0W9MXgNmfPBvoHRAKGRyglb2ht/OVXVDhBDdYk+RCJse3v91yk6VGx1sq22UE6O79GvA87UwRpmtHAfc8h25gBr8wUHwHx1tZByJnwlJ8XO2nloMeYiXM0oezmMDSkcIFyNukLIfFIuC4LfrY3BuSCidWFbbYFD2Ih71ELhNhJAa4gcSVYkObOUycJsyG8BD2zCWzmYcfbG7v3FeiS87EiYr8oXVc09s0jMU+v7DXTyhE7/JhXiGgwhAA3re2jhLOC9tkPj3/TcX5sC7H3BaMeUwv9ww4daBxrDEu4FDtHGn0ygNyWw6LbRzys9MSj/Osy8q6icdLqPIVZfvOXhLc8RXkdVGxWR6pgx61iTU5z+TscVvY5hhFcDTllw+AtUBvR9O4AZFIRl67mstxeyukH23pJHrQloSl9TVKpbQHzwzvWlLWxuSw3oBXkVdAW9iYWx1UxChGMCa7wCvjYYePux1s2GoEDeIMhPbuFU80vvshUwNXiRfQKdsu01kiprjc58p3aAsFP3YBE8q4Pm917Un54gdJFO7dJPF1826/N5cHENfUIJUK4NEnJk7DCLSupIj6oH+RGjgy7vGTydVF2RjNuPShopG/nIabL5dM+9zvSo2HpD4KDh9fOI2ls4tIR1cEmcGIaHae5HNl1LE1uALKO/5Aws8J4ezcrZi6JPG4VbKGRw6ptAoDQT4CW+f8bfneftRktTbCo03LBFCa0O5hD2vJBefL0fzb1iL3v6GDT2K2MwMhXob2ZDyIHHd3L7gIYBOw8uT3NANNGSR3GLN5G8LFN8jCMojMrkt07wBfWN4Wc3wxyiw/6WOjdl/7+n7okF8t+twImRW6RPnAvtpUyylp2DZD8ZNzwhHznb0/zE/XkLb4yYtnIvHvUd08+fy1Trbi+lE4hFGdtJJzxvC/EGOU4xpZsKUyZe766tKM3gzUsSoP0NEnCeq76zfB4FSfP/4KL0yUuC4sfyd4l1ndctrSiMbef9xnrqLWcpwf/gq19+xUsVEEjQtYuV8kBz0yOBrW10gO05DS/kNdylQWkw9EWpUNBNslpTjXeivV8xqSq3wvceOvX6mjnonz4gkefploHTT7DSnB7HSIVAfOUCWxbaw3QPm+QYxb9mAgfMvPsfpXonoP7Li5lqo8ghPMaRZgFaoswO5ww9Q1+C5MuZs3H3g8iINmlCzueId/9GQP4NSk/Zmd6aRzHrQpGiNSqUDVLA0jJLVUBcEXtvd13/t7LcU2MpgU4X9OwdGYRID+1jiOj757rOIMpCTxxhECOjoiTYP+dlO9BW8YTfHsXrzTaTn0DwBWkeAMEyVA56OBFnyj6bK73DIMzfn+JftltBj4Gvi1kP1DlHnxCqzP8V16ZpELRVB3YSn1WyjyenN6hYBsnK1x/wXLyM1X6rqsTMjIufqJOaZjVaGo2FfyEcZyHh3O0H4Y7+P/7K0szThbMFRe63I/RL+9joNr5hTKoBvqHmCXFocOa6y72ys/kK3afsnlv3BLI8HUFK9QtcrLa+OPXQZ+udPJ0k46P4w7E8tx+dnwxcEQBBKi0dEKOhXMkZab6/q+Si6/Bxe1yGui8lJFL58cDYOOLzXcqyLQlS0W+A8f5sQZ9LL6nYubX2s/KyZu3BAxTfXvXcLa3LjgrBm0mgpO78kNq9I/RXhgMekRDs7zOICbMZonD0Y/HgOGwMHy9+4GVRCO3fFeipXxnD7Ubz61wX2Nkscur4LwaAQowqDN+hYOIzLIG+XlmKp13D1xPFKVPrYIHkjgPJeuDTEP3e23ojKFX5roeW2dhYpPSFOPQC6DLL8gT5NRfXjCJYnWrGJQnmw3Oec9DGYBnx1mZvOF2InZ2jJl4iJW6bVvcGAF90gsVGZ4F/5bUs0MfPQuweD17z8ijZTWaMqazZywuU/jLcS4lj6Mdkwm3ImOU40QQIpr3W34C/NA3ufY8F8QYziRa5nHx4dOd9uSk+vNtJFcUQ6ltpV5wBHLHhkFgyQMop8BkqaItFuQEqz7aITpojOybXNj0++H8xt5QrjeHbuibn442EjvSls4tix8jEgeeaWvb4qqgYScijZNHDEM4zQ2Q01XFwqzWg2PoDyEHiVvaUR/7ctZ8RqP2c4YaeIKVraZIpccX0GI3GWFPwc3hwwDoo1OCkUau5oHrVM8OgBvvSXIKBJVgwBW1zEvFdA/zFKWbqvM8640+AYiwMC9P1DQCOvdVLHKSGtLaJkvTYNWnN/U7EhFPO4kVs7UFmf5XyZ8zpFCgtlXDcv5Oe9KCXVBxSFCTGbIgpOp6kIFB9tSVad/FvvG5I6S/CxyZrEemdb9egKyx+FmTwctIJLvUc7hCNHmL5Lj7UhpdLce/HCZ0CfABzAAwfT4uXej7975+UmVwM5lNUhXk8zpxZpwfOqDImDGAG0pzMnIgEvtADCnyp/OJlsZX2BoXXMmTaygfq8DgnvbvL6cZbp6pBIDGExUbZtshQygD8jmC9VxAd/g5K13XDn1nfjtNZQbzVu67HiHm3iM9ZuQjZTKke44ukAGVdsF75UALKOH6aqwGkMWffim47NeoqJokFYvcXtAFsH+zFTvqrXy6g/famUh08ULnjYoRaJDylS70el2xRLz0fScqRg4UdfPbNoTW5gCH5u82UtxD5ilm69N2cwzBrQ532hg+MZFw0m2PCY8prG3j1OCAm+8pRPYtcEQ5IVCr0RWIkqhyHIi43fcmWKXns3Fi1dMHGrxgUyMl2prW03Y/G3pK9hZS590QkBYL6cGE7s6gaYzlYgW/HphbmLH1RQJvMGTw8rhB/AKHqUzRBCmhZCqerloBAUcAoUgamVpMCQt/K4eXhLCrIbAowvyCn/FM+Bs7KsE7A+EZz24zL8peFmwwRvPMn+RVrtRSAufJ7+7vrBOXnytgcIOcX5KH4rb71sDnaTX9K9mXhALCl5BCMF4HifbvIQj2CHoszQuziWCHDJZIxPf4uUfu3sIU7SSBzKp0OcTF2Kb3ghUALOkrV6pFFENtNpOiSzRpqsnOycrX424d+r2GIPGFHkF2uPqQl9jjedhB4eR8zzmFNRAcysJGK9c6E4rfXMgsPpU7uvctO4chlq66wNIaBnFTZyFTXu/VH5d5HmmPCMSlf2pGS8WISjcFZyPHtgNVNAKLMre+STSiAKf1pSVHt9bGaW1vlXGCUnm+EUtIxIKORQstHU1YsF/+EHHo7RrjTHN1XMm1wrVEDf1JKhQzCfXC9olagJZ/IDqjbpOj/Av68rrXT9Udz2iUx4ZvJHPPYHokcOtv54xesbaomF6tI9j9alai4FTXD3fmY5qTe3+mFomrCVXKaxj8I2htL0Fj0QWu0opLnbI3GBazbTH+w0TFj3t6/RXsgNfpKlCE06IBye3LnEG6XcCYKNEgE/Tbe5Hg1FZ6bMl0ecQg+zc7pDDRt3UTWrra1aoi/X8YiwbRDDeS/WyF3yl9zxiR4xzlI4AnYyrv48N3gechT3mzwg5E3Xigkk2SxUUeN1E208cYuDuGdnVIKs4exFZZ6n+6SLkqEPoxc0dMoUocVnKFAAzpnGM+pIiVq9oZl7LxyFqrfC8UPvQTgqOwnayJd4AIQbFmMo0we7CsalMXw4HdrpWuCKy4/2+CajzBZcsUJ7tJ6r9L/a57//d1SWP/P0RSs7EvIQFJ3/Fy/5UmtGAUglExwVLN+v402o2OZ4c8r3GLbZqsDKDUKM3x+iM4YMXFuN1U1KwytP5TGHXrY6ZL6Ko9VjKvKa23bAomUhHY9mgSsLYHtgUqYjgbdMhGOUqINCH1piZiUwlI4kY9Y9xQ0r6ux9Pgz7haToiglw5u6dMmGP/H0M4Ev+3RNSiW5bUxfv7+hb2eNHu2mJpEfZie+HFT4gSgrGZQaOd4sofnKbXj8ARwCjfQbDrTrsJNgTHXeE6uKod0NX0Evt8ANoXWw+TVWX55iDPRAGO9INiMZp8JdcdvxSLZiiopZUFpfKz7rU7ggEWJNiI5OBPwjiY4c8iuqIzA+DIrMyZyyqR1JmjQPdw4YHjjs1CsY2vY+nvzzsv2R6xu6IyKp0A+vFdKWKsaoO53dSbnxHI1wRLQy77v+QZNhrgCxsFVzdf+EG9dEY6YTdKWnEXE0yLnR6P9oLcn/zObof6R3TwZwjP9nvDz6DA99KTqfYFk0U07n8Ik30haMkxJPTJuYhzW21khmNcdTjgGgnr/cRoPYY9uGn6AGzRtNVH/IemEibr7sq4qZZqf/Q9q+3W2kfQ8QiE2NOAywbGycC9BiATS/yssiJs1GK6w5rC4y6iSP086sLdNWVerowFL7mHyxhnjI40iMFrrJkPU9NtfciJCMc0qdtHswSZ5pzzhbZTaMiNhiJKThzB4VYDa+p7p412kdrXQ0zU365bxRtFPtphZwuVcasYICbJNaquV4OJ1z/aRV9/t3OklF2RmEtvVMmtcAV1RALbFLi4JGq4uP71mUmXDHmfFVGDMLH7g/Z5j5bKoje4/Pi54L1J3LWn6t1RuZtWY4AcCE6s2CZvQkidTT87v9kjoLvGXf7kYgHftPKgMviEPovAcwCeVXefAOXVRANJTfTKx1LCJA8xeeV8urx/l8kJ7TT5Sxej5kkNz/Y1H90lPmIWmInFyt95g58Zs4eZsFEIWHcjyom8qGt6Ae5488G4kDMUrzBnjgZkxFykYiLt+7IS7feS1naHI3182eheBcPHEPel9mz0HN3Uk84OY8146sNptUVOe6f/cJfFt9MhAt85+U6mS4+9FPaTYELCWa6icYGkdiIXqDJdEHJ9R7dpykJA3rNnZnB0e1mgaA6ZcnWp5zXy6w1/dAv++kKe8V9OjTUCrXB2liUVu7hafjOGMWVCczA76RWiuElNB3teT42aTGybytlNJiHylUiVK0TlAK1RMa6NUCTLrZoSM+R1k9IR9Lnvai93tUsKkW0ln78y7P+kwiKCdm+7PB5O1AIwwuKWZTuQepQca8AvxU5BWdqmou4ON2zWill7FbfKUvIB+Y7LWrQnztYlyjaijisSVdA0OM4t+irGc6AUpGR3PmyDMlKHpH+Mr3d49hLUm+4APRXihn0Uq7LzsQIIkANr0TmLC6Whpa06Bvt/0dR4FKqwNBba+jLKmVbIM8LqkdvUYevBx5nLq49yhSh0P/qdPFDG2FdDAqNR09wuEVPYVc5g0PLuqkrjY12UF0CbBlhiDX47sAjfcVOf4G6bzbC12bLyQxb8oeH15HNiR06Q8n28ZXcDG2zesp+GBNlSOzmQgjC/2i8tCab23XeC1k0SMEWIXD0zITDdaRzhtH6vVjrCKwcOgrbJTpzS68V2bivYJtW+GShSD856WkpfRWHwVlN1LBXki58kWUD8miozvJPmhotfsvzrSR/KtDgo3y71TwVPyIeeTBWxtHIKg9oC9cDjcvs+AYoBnF7zErwwGJymz4SuwsIz5d93pgMaJ8l3EhVVnOpLnh0NkcmfZSG/0flxGwhfsuH3uxq8TcykZ8STK6Bzvce3RIhMGmFSwugxBV6pvifJ2QjYzVf0o/OjTx2T4xVTqF2pHdfkc7WhuQZ5nrplquLDNLqHJ47rw8+CYG4Ewd55O3/J5rqTzXgMp+cMPnyk2mtsRt1VJToLPUYpxRE9YAwdP+47g7mvunYHrgI+hbTaOABCf3+CLidXOTlm3GkDmJgmXYZUIFxBL8NtzpBUbGQKKy9fhbKz25A+c5IZivCQC8tROEZH4AaQ1rRH8fKH67+3EXzSzX0dHlu6vrfPv+rtlQERCRveh9F2lmp6k6rsP6uZjUpQtR0POMs43XMBYS3RqPVSu3nN1Nkv6VT1LUiDVRH/B94/9MvimTSwEEnwIpjDF6aBL97hbBmLlOqlpbe7LaF18atsdQlQu+b+YbcJzAOa6B+H8AQCyxBAFzzln866jNmTl/EKdWef6nLSG1ogkF8q1ehwlNglTE4//p6KzAmnelngUvMISn1KRJ0LY7z74dIndIC+U4R4SkXGaMSMIbtbToll0dHVJBA5yhv0Qc/C4dqA5/eSpEBCj3e5zxu9F5lWTNfa+BcGHUrjApg1mO7iJWycCmu2JszWRV35Kxmj66MyjUfxfUhli2EtwbJIZT6V4HL7MiHP/Yb0aBjXbdXcmbnGPJfHUFxuF5gcSSw9qAvDYB36gtsPwv4BK/JqvO6EFCLX/+JoXjZkqml54v5HzOmmGdluMC8rDr2DnwmPVWTuQtUgnCsxFwLda32wRDgvZBkGf6vZFFn/529p9EGBBw7CVegNyEH5JmIoHhDLXoqPQ8evE5mOVnxXDGBeXmpgR5etD+XKxo3ZW+yKLT3wFh+IFn+R3EfWfRdPgWB1hBZAUddOWaw/yTyrBwXGQtMqSzfcG/8Rk1ykvsEAcwiLIw8dGw13NfuritTfzkp0wwlCKNbjdTHFvGASHsuAoH0xBx23dFUXrO0Gq6XvdxJ4UIMkcZUAmy0LW5RJoYNaAXhriBcVvCtDAgSA1ONOso0qArmFfDHz7OvGp5iNeuGz1LmRO/mq3TE3k2W++Ky8cUGRIzUB5OdCEjeqF3WQ5dw1cWc5qitiAMLayJ3qdJn8jD1hNOm/rA6EZUCStAgjvrfMwmWjYubw67hmzh1kuti6r5gRQXCMndDNgkUzU1JhQJUCXmY3vjEUcY/cRtWSjCvwfLg9nWtS96Rwexk58OSLW6g7bjg2o0x3m3V8x+WfmkjDfZhpLyGzjRWSSl7LA14zOtIEZ/tGkX+kENvQCYO0tPjh9p+QJ7z9YUU+uOkC4nR26Ec32S8eWT9Xr+DMr3IBKjdbzMgG5xCUDvzfHILcIvZL9/PVvPJcGKVnoDw/Ekoitg+CjmvVXpTaDdooDq1DIwXq6PDEGir8f1h90lAdf0MUNlqApvMWu4T1t95aK14QmT7YXnrXn3AIVftFqtjMz7SQz2sy9+l9w6JyyqZXhSlIIkYcC3mvUNUfMXfA/9jhBR8dj36YCnhnn32N9yb+dWrUvwfZm+J7sQP60/h+vcvB+5X0+CQbR1R0EHDdCEdFFSMqYkWoZMztlWtKzqRdFKsuH5I1kigPNC7zHPv8lGHlpNCb/hSSOt4YT2vb5+m3+t0+HunDSIShDUJAog0/lKhyCIoqEOsb3OF1zAyUVdTlApThtC/fxnagGHdiFNw9wVMnQL6KjDEJ7UxK+PCObGUZjjS/8vV29kAaLnQdTodhPbPyOPFtHvDJOxZdDA5e6mItrl4fZFoBuAkcQ8ZlwHZP5pod2nTM1TNc6+HdnfUuCAPTPbXGTWP9UyHapWjzdB+lSXl0J1lVpBOZdFi2Krw19Ifz3Lf3SPHS+sFmnx6mQ6VcjsNTMfdbphnUNTgbgnoDZBY0v+NP/S58BDz3Y67q8Tr263cPzVkRfIl/P8li/WI5Q8rXYmD2X05pOv2Y5tNRDXIjunMmKnKk4xDWQuK032KPKvx7vTYPTm6/PHGTt1oVa1uxdoi6VGS+UpmyJe/33ehaB81P8la4ytGMw7IZ0+h/UK9J+DATosrt4mMOf1hHSggFHt2QNbhlT930U+edfPbDDmEJhsDit1ClIPCQtkWn5jPI/NW5QK6Vb9yUXJUuidgOXpww3pLqXs7u0JJq8r5cAmC6btwOiZfjlU/V5zbtk7/F81Y0pBOOrTjwe3WnaXp+LMgwAfDgRp73RdYkc4xEtgVqvkBVF187qjrzYblyAkfSJ6hL9qp1FFi0mRKsQ8MI1sW/v8eK2bd9PdtQxn6AhmyhKpU4+pbSsauFiuFaxyt/rBQHdJnFvOqggI2hybfSy94OILXOE6KA7UXqKUktFvTeq4wNWJCSVkOvpTeAu286/E92Onzr3KRZuYnAPiUhPyKsdAoCS8k6nl58ksYDgInC7fErwcopxxHrI44A0Bj20YpyVyGB9/Ebmul+04ji9hc9yyrh19g7V9Ylch2YQwx3MmaqBYvvnE2K50l76Snogin8gfFBuZWExiVozMKAG81GZ+ZyalDiTxdAkK5kT/X5WJVvEQSxoZJz9ToStEeemp392G3eQtZfKFDiE+UElg04sqRFUC66iSlIVDrQfYLqBKRseskuUimF+K/y78Vkxtomqqms8Bj92qQ0w3+8oy+Gjk2OFWL6bJeeDT19U4w3riFtAcuwYxoUf4j/OxcP/UJNC9i0+gqHgyoBmIOrt85K8of+tM5+JgFYtquICQveLmb6OkiCXRz5pCPUJW1gUi+WmcSkzkpP4I3HWjchm4elXMP+yD19d7ABMjCde18sQxyUPxJ+FHkQei+aw9IYqO3/krU4fIb+xPwfJamsIF7Ys2Iv8B7tmKec5oMybXJvhvyb+ZPJ0OKjhFQGaf91yzh6ROvFJvv9UfzmAU5BZ1KOZW3LAedayyJ3/jaPd5rGn49Iwlu1rMucdUzpgcbYg7gAjMO1mmiuF8GuKStHrSsPQhl1l3ITIYKRIJHRziMPt3aP9RziC5c97cxH9i1llBdHB09rsuBvXRNt4alMPssi77yz0eHJMgLkUYQB6QXFA+fst7osaRHQU+kJrZiuLwXBufXn2/nIPjQYG3Xsul7q7wRjtGe4RMStIkbintGklBa6ieLcUhlPm57v7yDThwJWeeO2zMAFB/ogo1+uWMyEmHKHwvzkkJPBMdKceLvmI8FQijro1Y/212mM0tmpLWHjMZnmsIiZ/5ohfUuNMarbpV5jmI1MtR5cJEQfM3irhHOYCR6Ve9C/4PbuqlP0tdeVyxV+64m9td4k0TcSCwguJo4AqO+KcuO11IPBtYLS4YFNlPZBZGSCFNDVEgtonDwYDAmi/D+nWZpk6wqeBqi81p2K5h2xcjjDFsud9519PrviXVv//NfMy9TjJcoB0Cak0RZWJTtXDUDja7fG6siwLoB1Dsay+1DJnu0aDRWuzGVJ9dD5Sbgav1psU4HIEBAt6VT5woKQrqJmzZtIET8DXFgUrlTEnRh/P4dNtQ7VGcOXixYkszfHFKMbN6ErwxBTBDfpcWZSVtw/CfCXHs7HN1q0fOCNa79OPRJKpsfeM9Neq7v1e799/czNl2g0l719YTV4rIsjAUO8dUYsSskIr+qPxhMPIq49hm8HlIM95gToCck5i2w9HMN1x9ZOp5+aMEJVJZT9CuMqKyV96Uqt0a+RnVkqcm89IhZx2edadLEw8EI8CGp3cuIRDDq/roXxw1BPTem95/BntR8S2/Nvp3cuGqnz4T8jfl+rucIvPd4IW0clnaGyekGfmiiyicU9w2c/Qe2EtbJglsqgKicOCj85hwOXItlvRJXQ10VJ8GBygCj21A3OVeURW6b5T7YOWR+ixNYZbfsomnDJXnu63u16W0sZIWmntGVxBPb/moOlVSrkALqCa90OkHsjDwpId7LQ8ciZv4wGTCLUE2a/pWmgduL7O4hFpsZZecO6aIUTrc1D6cBoCDJHsC6lAl87GdU8cWP1DC9uvnvaWwEfMW14DpM9Ey+FvhfutPba2nUdCd7i9wpjgVcvMDHX5cggjk3oKh4R3FsgjT7/2xZX95CdaI8pMAVzw5GT3JZSLr5wjUl3AXBKru5gtaPmh4lQO5dnky3imGylZcqFzoUaYY8F/J2wzMW+caKCRDa+l1rhdlaUu+XZCl837o3FsU5TtMQN0FNsEy7dagOi5lr+ophhCIAKOXuc4QiSA0dluys36sgilyY3m/cY0IxrmClnx4p40VRUu3eTXctlGBZEFNtk9LB4SQbQ==]]></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1272CC77-8C95-499F-B01A-B57F36E06BF0}">
  <ds:schemaRefs>
    <ds:schemaRef ds:uri="http://mapping.word.org/2014/section/customize"/>
  </ds:schemaRefs>
</ds:datastoreItem>
</file>

<file path=customXml/itemProps3.xml><?xml version="1.0" encoding="utf-8"?>
<ds:datastoreItem xmlns:ds="http://schemas.openxmlformats.org/officeDocument/2006/customXml" ds:itemID="{B1A985DF-B390-42A2-85A3-7E770677F106}">
  <ds:schemaRefs>
    <ds:schemaRef ds:uri="http://mapping.word.org/2012/mapping"/>
  </ds:schemaRefs>
</ds:datastoreItem>
</file>

<file path=customXml/itemProps4.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5.xml><?xml version="1.0" encoding="utf-8"?>
<ds:datastoreItem xmlns:ds="http://schemas.openxmlformats.org/officeDocument/2006/customXml" ds:itemID="{BFD82049-F79B-4F8F-8114-C0D5B0F6D7E5}">
  <ds:schemaRefs>
    <ds:schemaRef ds:uri="http://mapping.word.org/2012/template"/>
  </ds:schemaRefs>
</ds:datastoreItem>
</file>

<file path=customXml/itemProps6.xml><?xml version="1.0" encoding="utf-8"?>
<ds:datastoreItem xmlns:ds="http://schemas.openxmlformats.org/officeDocument/2006/customXml" ds:itemID="{25DD172C-B8F8-48D6-974D-A15AD5583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42</TotalTime>
  <Pages>186</Pages>
  <Words>87887</Words>
  <Characters>116890</Characters>
  <Application>Microsoft Office Word</Application>
  <DocSecurity>0</DocSecurity>
  <Lines>14611</Lines>
  <Paragraphs>13651</Paragraphs>
  <ScaleCrop>false</ScaleCrop>
  <Company>Sky123.Org</Company>
  <LinksUpToDate>false</LinksUpToDate>
  <CharactersWithSpaces>191126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管理员</dc:creator>
  <cp:lastModifiedBy>W</cp:lastModifiedBy>
  <cp:revision>550</cp:revision>
  <dcterms:created xsi:type="dcterms:W3CDTF">2025-08-15T12:11:00Z</dcterms:created>
  <dcterms:modified xsi:type="dcterms:W3CDTF">2025-09-01T00:44:00Z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eyJoZGlkIjoiZTQzZmRmZDMxMjkwMDE2NTk0ZWQ1ZWYwMzRmYjVhNmUiLCJ1c2VySWQiOiI2NDQwNzQxNTQifQ==</vt:lpwstr>
  </property>
  <property fmtid="{D5CDD505-2E9C-101B-9397-08002B2CF9AE}" pid="3" name="KSOProductBuildVer">
    <vt:lpwstr>2052-12.1.0.22529</vt:lpwstr>
  </property>
  <property fmtid="{D5CDD505-2E9C-101B-9397-08002B2CF9AE}" pid="4" name="ICV">
    <vt:lpwstr>E0F2E229D5C74F8293F5112B88EC0D2C_13</vt:lpwstr>
  </property>
</Properties>
</file>