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BD96">
      <w:pPr>
        <w:rPr>
          <w:rFonts w:asciiTheme="majorEastAsia" w:hAnsiTheme="majorEastAsia" w:eastAsiaTheme="majorEastAsia"/>
          <w:bCs/>
          <w:sz w:val="24"/>
          <w:szCs w:val="24"/>
        </w:rPr>
      </w:pPr>
      <w:r>
        <w:rPr>
          <w:rFonts w:hint="eastAsia" w:asciiTheme="majorEastAsia" w:hAnsiTheme="majorEastAsia" w:eastAsiaTheme="majorEastAsia"/>
          <w:bCs/>
          <w:sz w:val="24"/>
          <w:szCs w:val="24"/>
        </w:rPr>
        <w:t>证券代码：</w:t>
      </w:r>
      <w:sdt>
        <w:sdtPr>
          <w:rPr>
            <w:rFonts w:hint="eastAsia" w:asciiTheme="majorEastAsia" w:hAnsiTheme="majorEastAsia" w:eastAsiaTheme="majorEastAsia"/>
            <w:bCs/>
            <w:sz w:val="24"/>
            <w:szCs w:val="24"/>
          </w:rPr>
          <w:alias w:val="公司代码"/>
          <w:tag w:val="_GBC_62ef04c8e14e4c76b304f7775b7d8722"/>
          <w:id w:val="147451086"/>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603191</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 xml:space="preserve">  证券简称：</w:t>
      </w:r>
      <w:sdt>
        <w:sdtPr>
          <w:rPr>
            <w:rFonts w:hint="eastAsia" w:asciiTheme="majorEastAsia" w:hAnsiTheme="majorEastAsia" w:eastAsiaTheme="majorEastAsia"/>
            <w:bCs/>
            <w:sz w:val="24"/>
            <w:szCs w:val="24"/>
          </w:rPr>
          <w:alias w:val="公司简称"/>
          <w:tag w:val="_GBC_81c31f6c68a741c1acb30ff1595bc381"/>
          <w:id w:val="147453390"/>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望变电气</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公告编号：</w:t>
      </w:r>
      <w:sdt>
        <w:sdtPr>
          <w:rPr>
            <w:rFonts w:hint="eastAsia" w:asciiTheme="majorEastAsia" w:hAnsiTheme="majorEastAsia" w:eastAsiaTheme="majorEastAsia"/>
            <w:bCs/>
            <w:sz w:val="24"/>
            <w:szCs w:val="24"/>
          </w:rPr>
          <w:alias w:val="临时公告编号"/>
          <w:tag w:val="_GBC_51438e46cb944a2bb6b9cb5e9d53d512"/>
          <w:id w:val="147479539"/>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2025-036</w:t>
          </w:r>
        </w:sdtContent>
      </w:sdt>
    </w:p>
    <w:p w14:paraId="3D8479A0">
      <w:pPr>
        <w:jc w:val="right"/>
        <w:rPr>
          <w:rFonts w:asciiTheme="majorEastAsia" w:hAnsiTheme="majorEastAsia" w:eastAsiaTheme="majorEastAsia"/>
          <w:b/>
          <w:sz w:val="24"/>
          <w:szCs w:val="24"/>
        </w:rPr>
      </w:pPr>
    </w:p>
    <w:p w14:paraId="4FD993FC">
      <w:pPr>
        <w:adjustRightInd w:val="0"/>
        <w:snapToGrid w:val="0"/>
        <w:spacing w:line="560" w:lineRule="exact"/>
        <w:jc w:val="center"/>
        <w:rPr>
          <w:rFonts w:ascii="仿宋_GB2312" w:eastAsia="仿宋_GB2312"/>
          <w:sz w:val="30"/>
          <w:szCs w:val="30"/>
        </w:rPr>
      </w:pPr>
    </w:p>
    <w:p w14:paraId="766ADC19">
      <w:pPr>
        <w:adjustRightInd w:val="0"/>
        <w:snapToGrid w:val="0"/>
        <w:spacing w:line="560" w:lineRule="exact"/>
        <w:jc w:val="center"/>
        <w:rPr>
          <w:rFonts w:ascii="黑体" w:hAnsi="黑体" w:eastAsia="黑体" w:cs="黑体"/>
          <w:color w:val="FF0000"/>
          <w:sz w:val="36"/>
          <w:szCs w:val="36"/>
        </w:rPr>
      </w:pPr>
      <w:r>
        <w:rPr>
          <w:rFonts w:hint="eastAsia" w:ascii="黑体" w:hAnsi="黑体" w:eastAsia="黑体" w:cs="黑体"/>
          <w:color w:val="FF0000"/>
          <w:sz w:val="36"/>
          <w:szCs w:val="36"/>
        </w:rPr>
        <w:t>重庆望变电气（集团）股份有限公司</w:t>
      </w:r>
    </w:p>
    <w:p w14:paraId="603516A3">
      <w:pPr>
        <w:adjustRightInd w:val="0"/>
        <w:snapToGrid w:val="0"/>
        <w:spacing w:line="560" w:lineRule="exact"/>
        <w:jc w:val="center"/>
        <w:rPr>
          <w:rFonts w:ascii="黑体" w:hAnsi="黑体" w:eastAsia="黑体" w:cs="黑体"/>
          <w:color w:val="FF0000"/>
          <w:sz w:val="36"/>
          <w:szCs w:val="36"/>
        </w:rPr>
      </w:pPr>
      <w:r>
        <w:rPr>
          <w:rFonts w:hint="eastAsia" w:ascii="黑体" w:hAnsi="黑体" w:eastAsia="黑体" w:cs="黑体"/>
          <w:color w:val="FF0000"/>
          <w:sz w:val="36"/>
          <w:szCs w:val="36"/>
        </w:rPr>
        <w:t>关于控股股东、实际控制人及其一致行动人</w:t>
      </w:r>
    </w:p>
    <w:p w14:paraId="29F24BF2">
      <w:pPr>
        <w:adjustRightInd w:val="0"/>
        <w:snapToGrid w:val="0"/>
        <w:spacing w:line="560" w:lineRule="exact"/>
        <w:jc w:val="center"/>
        <w:rPr>
          <w:rFonts w:ascii="黑体" w:hAnsi="黑体" w:eastAsia="黑体" w:cs="黑体"/>
          <w:color w:val="FF0000"/>
          <w:sz w:val="36"/>
          <w:szCs w:val="36"/>
        </w:rPr>
      </w:pPr>
      <w:r>
        <w:rPr>
          <w:rFonts w:hint="eastAsia" w:ascii="黑体" w:hAnsi="黑体" w:eastAsia="黑体" w:cs="黑体"/>
          <w:color w:val="FF0000"/>
          <w:sz w:val="36"/>
          <w:szCs w:val="36"/>
        </w:rPr>
        <w:t>权益变动触及1%刻度的提示性公告</w:t>
      </w:r>
    </w:p>
    <w:p w14:paraId="01BB17D3">
      <w:pPr>
        <w:adjustRightInd w:val="0"/>
        <w:snapToGrid w:val="0"/>
        <w:spacing w:line="560" w:lineRule="exact"/>
        <w:jc w:val="center"/>
        <w:rPr>
          <w:rFonts w:ascii="仿宋_GB2312" w:eastAsia="仿宋_GB2312"/>
          <w:sz w:val="30"/>
          <w:szCs w:val="30"/>
        </w:rPr>
      </w:pPr>
    </w:p>
    <w:p w14:paraId="74E3BB77">
      <w:pPr>
        <w:adjustRightInd w:val="0"/>
        <w:snapToGrid w:val="0"/>
        <w:spacing w:line="560" w:lineRule="exact"/>
        <w:rPr>
          <w:rFonts w:ascii="仿宋" w:hAnsi="仿宋" w:eastAsia="仿宋"/>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31750</wp:posOffset>
                </wp:positionV>
                <wp:extent cx="5915025" cy="1145540"/>
                <wp:effectExtent l="4445" t="4445" r="5080" b="1206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310640"/>
                        </a:xfrm>
                        <a:prstGeom prst="rect">
                          <a:avLst/>
                        </a:prstGeom>
                        <a:solidFill>
                          <a:srgbClr val="FFFFFF"/>
                        </a:solidFill>
                        <a:ln w="9525">
                          <a:solidFill>
                            <a:srgbClr val="000000"/>
                          </a:solidFill>
                          <a:miter lim="800000"/>
                        </a:ln>
                        <a:effectLst/>
                      </wps:spPr>
                      <wps:txbx>
                        <w:txbxContent>
                          <w:p w14:paraId="4560DBA7">
                            <w:pPr>
                              <w:snapToGrid w:val="0"/>
                              <w:spacing w:line="480" w:lineRule="exact"/>
                              <w:ind w:firstLine="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控股股东、实际控制人及其一致行动人杨厚群女士、秦勇女士及杨小林先生保证向本公司提供的信息真实、准确、完整，没有虚假记载、误导性陈述或重大遗漏。 </w:t>
                            </w:r>
                          </w:p>
                          <w:p w14:paraId="6B566551">
                            <w:pPr>
                              <w:snapToGrid w:val="0"/>
                              <w:spacing w:line="480" w:lineRule="exact"/>
                              <w:ind w:firstLine="540"/>
                              <w:rPr>
                                <w:rFonts w:ascii="仿宋_GB2312" w:hAnsi="仿宋_GB2312" w:eastAsia="仿宋_GB2312" w:cs="仿宋_GB2312"/>
                                <w:sz w:val="28"/>
                                <w:szCs w:val="28"/>
                              </w:rPr>
                            </w:pPr>
                            <w:r>
                              <w:rPr>
                                <w:rFonts w:hint="eastAsia" w:ascii="仿宋_GB2312" w:hAnsi="仿宋_GB2312" w:eastAsia="仿宋_GB2312" w:cs="仿宋_GB2312"/>
                                <w:sz w:val="24"/>
                                <w:szCs w:val="24"/>
                              </w:rPr>
                              <w:t>本公司董事会及全体董事保证公告内容与信息披露义务人提供的信息</w:t>
                            </w:r>
                            <w:r>
                              <w:rPr>
                                <w:rFonts w:hint="eastAsia" w:ascii="仿宋_GB2312" w:hAnsi="仿宋_GB2312" w:eastAsia="仿宋_GB2312" w:cs="仿宋_GB2312"/>
                                <w:sz w:val="28"/>
                                <w:szCs w:val="28"/>
                              </w:rPr>
                              <w:t>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45pt;margin-top:2.5pt;height:90.2pt;width:465.75pt;mso-position-horizontal-relative:margin;z-index:251659264;mso-width-relative:page;mso-height-relative:page;" fillcolor="#FFFFFF" filled="t" stroked="t" coordsize="21600,21600" o:gfxdata="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FDnVtcAAAAJAQAADwAAAAAAAAABACAAAAAiAAAAZHJzL2Rv&#10;d25yZXYueG1sUEsBAhQAFAAAAAgAh07iQNcZcD47AgAAiQQAAA4AAAAAAAAAAQAgAAAAJgEAAGRy&#10;cy9lMm9Eb2MueG1sUEsFBgAAAAAGAAYAWQEAANMFAAAAAA==&#10;">
                <v:fill on="t" focussize="0,0"/>
                <v:stroke color="#000000" miterlimit="8" joinstyle="miter"/>
                <v:imagedata o:title=""/>
                <o:lock v:ext="edit" aspectratio="f"/>
                <v:textbox>
                  <w:txbxContent>
                    <w:p w14:paraId="4560DBA7">
                      <w:pPr>
                        <w:snapToGrid w:val="0"/>
                        <w:spacing w:line="480" w:lineRule="exact"/>
                        <w:ind w:firstLine="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控股股东、实际控制人及其一致行动人杨厚群女士、秦勇女士及杨小林先生保证向本公司提供的信息真实、准确、完整，没有虚假记载、误导性陈述或重大遗漏。 </w:t>
                      </w:r>
                    </w:p>
                    <w:p w14:paraId="6B566551">
                      <w:pPr>
                        <w:snapToGrid w:val="0"/>
                        <w:spacing w:line="480" w:lineRule="exact"/>
                        <w:ind w:firstLine="540"/>
                        <w:rPr>
                          <w:rFonts w:ascii="仿宋_GB2312" w:hAnsi="仿宋_GB2312" w:eastAsia="仿宋_GB2312" w:cs="仿宋_GB2312"/>
                          <w:sz w:val="28"/>
                          <w:szCs w:val="28"/>
                        </w:rPr>
                      </w:pPr>
                      <w:r>
                        <w:rPr>
                          <w:rFonts w:hint="eastAsia" w:ascii="仿宋_GB2312" w:hAnsi="仿宋_GB2312" w:eastAsia="仿宋_GB2312" w:cs="仿宋_GB2312"/>
                          <w:sz w:val="24"/>
                          <w:szCs w:val="24"/>
                        </w:rPr>
                        <w:t>本公司董事会及全体董事保证公告内容与信息披露义务人提供的信息</w:t>
                      </w:r>
                      <w:r>
                        <w:rPr>
                          <w:rFonts w:hint="eastAsia" w:ascii="仿宋_GB2312" w:hAnsi="仿宋_GB2312" w:eastAsia="仿宋_GB2312" w:cs="仿宋_GB2312"/>
                          <w:sz w:val="28"/>
                          <w:szCs w:val="28"/>
                        </w:rPr>
                        <w:t>一致。</w:t>
                      </w:r>
                    </w:p>
                  </w:txbxContent>
                </v:textbox>
              </v:rect>
            </w:pict>
          </mc:Fallback>
        </mc:AlternateContent>
      </w:r>
    </w:p>
    <w:p w14:paraId="5F6D517F">
      <w:pPr>
        <w:widowControl/>
        <w:spacing w:line="540" w:lineRule="exact"/>
        <w:rPr>
          <w:rFonts w:ascii="仿宋" w:hAnsi="仿宋" w:eastAsia="仿宋"/>
          <w:b/>
          <w:bCs/>
          <w:kern w:val="0"/>
          <w:sz w:val="32"/>
          <w:szCs w:val="32"/>
        </w:rPr>
      </w:pPr>
    </w:p>
    <w:p w14:paraId="60166CE9">
      <w:pPr>
        <w:widowControl/>
        <w:spacing w:line="540" w:lineRule="exact"/>
        <w:ind w:firstLine="6880" w:firstLineChars="2150"/>
        <w:jc w:val="right"/>
        <w:rPr>
          <w:rFonts w:ascii="仿宋" w:hAnsi="仿宋" w:eastAsia="仿宋"/>
          <w:kern w:val="0"/>
          <w:sz w:val="32"/>
          <w:szCs w:val="32"/>
        </w:rPr>
      </w:pPr>
    </w:p>
    <w:p w14:paraId="236EF89A">
      <w:pPr>
        <w:widowControl/>
        <w:spacing w:line="540" w:lineRule="exact"/>
        <w:ind w:firstLine="6880" w:firstLineChars="2150"/>
        <w:jc w:val="right"/>
        <w:rPr>
          <w:rFonts w:ascii="仿宋" w:hAnsi="仿宋" w:eastAsia="仿宋"/>
          <w:kern w:val="0"/>
          <w:sz w:val="32"/>
          <w:szCs w:val="32"/>
        </w:rPr>
      </w:pPr>
    </w:p>
    <w:p w14:paraId="1623F1B7">
      <w:pPr>
        <w:widowControl/>
        <w:adjustRightInd w:val="0"/>
        <w:snapToGrid w:val="0"/>
        <w:spacing w:line="560" w:lineRule="exact"/>
        <w:ind w:firstLine="600"/>
        <w:jc w:val="right"/>
        <w:rPr>
          <w:rFonts w:ascii="仿宋_GB2312" w:hAnsi="仿宋_GB2312" w:eastAsia="仿宋_GB2312" w:cs="仿宋_GB2312"/>
          <w:sz w:val="30"/>
          <w:szCs w:val="30"/>
        </w:rPr>
      </w:pPr>
    </w:p>
    <w:p w14:paraId="463F8BF2">
      <w:pPr>
        <w:widowControl/>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5"/>
        <w:gridCol w:w="5164"/>
      </w:tblGrid>
      <w:tr w14:paraId="44732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6C373DDD">
            <w:pPr>
              <w:widowControl/>
              <w:adjustRightInd w:val="0"/>
              <w:snapToGrid w:val="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权益变动方向</w:t>
            </w:r>
          </w:p>
        </w:tc>
        <w:tc>
          <w:tcPr>
            <w:tcW w:w="3030" w:type="pct"/>
            <w:vAlign w:val="center"/>
          </w:tcPr>
          <w:p w14:paraId="61D9D909">
            <w:pPr>
              <w:widowControl/>
              <w:adjustRightInd w:val="0"/>
              <w:snapToGrid w:val="0"/>
              <w:jc w:val="lef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比例增加□  比例减少☑</w:t>
            </w:r>
          </w:p>
        </w:tc>
      </w:tr>
      <w:tr w14:paraId="1C0F1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3B47B0AD">
            <w:pPr>
              <w:widowControl/>
              <w:adjustRightInd w:val="0"/>
              <w:snapToGrid w:val="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权益变动前合计比例</w:t>
            </w:r>
          </w:p>
        </w:tc>
        <w:tc>
          <w:tcPr>
            <w:tcW w:w="3030" w:type="pct"/>
            <w:vAlign w:val="center"/>
          </w:tcPr>
          <w:p w14:paraId="4387D684">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sz w:val="24"/>
                <w:szCs w:val="24"/>
              </w:rPr>
              <w:t>43.51%</w:t>
            </w:r>
          </w:p>
        </w:tc>
      </w:tr>
      <w:tr w14:paraId="45C29F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55" w:type="dxa"/>
            <w:vAlign w:val="center"/>
          </w:tcPr>
          <w:p w14:paraId="05D55DE5">
            <w:pPr>
              <w:widowControl/>
              <w:adjustRightInd w:val="0"/>
              <w:snapToGrid w:val="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权益变动后合计比例</w:t>
            </w:r>
          </w:p>
        </w:tc>
        <w:tc>
          <w:tcPr>
            <w:tcW w:w="5164" w:type="dxa"/>
            <w:vAlign w:val="center"/>
          </w:tcPr>
          <w:p w14:paraId="5823695F">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sz w:val="24"/>
                <w:szCs w:val="24"/>
              </w:rPr>
              <w:t>42.56%</w:t>
            </w:r>
          </w:p>
        </w:tc>
      </w:tr>
      <w:tr w14:paraId="43A30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5C7C553D">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sz w:val="24"/>
                <w:szCs w:val="24"/>
              </w:rPr>
              <w:t>本次变动是否违反已作出的承诺、意向、计划</w:t>
            </w:r>
          </w:p>
        </w:tc>
        <w:tc>
          <w:tcPr>
            <w:tcW w:w="3030" w:type="pct"/>
            <w:vAlign w:val="center"/>
          </w:tcPr>
          <w:p w14:paraId="3893876E">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sz w:val="24"/>
                <w:szCs w:val="24"/>
              </w:rPr>
              <w:t>是□  否☑</w:t>
            </w:r>
          </w:p>
        </w:tc>
      </w:tr>
      <w:tr w14:paraId="02015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01CB331C">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rPr>
              <w:t>是否触发强制要约收购义务</w:t>
            </w:r>
          </w:p>
        </w:tc>
        <w:tc>
          <w:tcPr>
            <w:tcW w:w="3030" w:type="pct"/>
            <w:vAlign w:val="center"/>
          </w:tcPr>
          <w:p w14:paraId="7796B97F">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sz w:val="24"/>
                <w:szCs w:val="24"/>
              </w:rPr>
              <w:t>是□  否☑</w:t>
            </w:r>
          </w:p>
        </w:tc>
      </w:tr>
    </w:tbl>
    <w:p w14:paraId="25E1BC1F">
      <w:pPr>
        <w:widowControl/>
        <w:adjustRightInd w:val="0"/>
        <w:snapToGrid w:val="0"/>
        <w:spacing w:line="560" w:lineRule="exact"/>
        <w:ind w:firstLine="600"/>
        <w:jc w:val="left"/>
        <w:rPr>
          <w:rFonts w:ascii="宋体" w:hAnsi="宋体" w:eastAsia="宋体" w:cs="宋体"/>
          <w:kern w:val="0"/>
          <w:sz w:val="24"/>
          <w:szCs w:val="24"/>
        </w:rPr>
      </w:pPr>
    </w:p>
    <w:p w14:paraId="1A1521DA">
      <w:pPr>
        <w:widowControl/>
        <w:numPr>
          <w:ilvl w:val="0"/>
          <w:numId w:val="1"/>
        </w:numPr>
        <w:adjustRightInd w:val="0"/>
        <w:snapToGrid w:val="0"/>
        <w:spacing w:line="560" w:lineRule="exact"/>
        <w:ind w:left="0" w:firstLine="482" w:firstLineChars="200"/>
        <w:jc w:val="left"/>
        <w:outlineLvl w:val="0"/>
        <w:rPr>
          <w:rFonts w:ascii="宋体" w:hAnsi="宋体" w:eastAsia="宋体" w:cs="宋体"/>
          <w:b/>
          <w:bCs/>
          <w:sz w:val="24"/>
          <w:szCs w:val="24"/>
        </w:rPr>
      </w:pPr>
      <w:r>
        <w:rPr>
          <w:rFonts w:hint="eastAsia" w:ascii="宋体" w:hAnsi="宋体" w:eastAsia="宋体" w:cs="宋体"/>
          <w:b/>
          <w:bCs/>
          <w:sz w:val="24"/>
          <w:szCs w:val="24"/>
        </w:rPr>
        <w:t>信息披露义务人及其一致行动人的基本信息</w:t>
      </w:r>
    </w:p>
    <w:p w14:paraId="58FDCE9E">
      <w:pPr>
        <w:widowControl/>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1.身份类别</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5"/>
        <w:gridCol w:w="5164"/>
      </w:tblGrid>
      <w:tr w14:paraId="6BD5EB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514D770E">
            <w:pPr>
              <w:widowControl/>
              <w:adjustRightInd w:val="0"/>
              <w:snapToGrid w:val="0"/>
              <w:jc w:val="left"/>
              <w:rPr>
                <w:rFonts w:ascii="宋体" w:hAnsi="宋体" w:eastAsia="宋体" w:cs="宋体"/>
                <w:sz w:val="24"/>
                <w:szCs w:val="24"/>
              </w:rPr>
            </w:pPr>
            <w:r>
              <w:rPr>
                <w:rFonts w:hint="eastAsia" w:ascii="宋体" w:hAnsi="宋体" w:eastAsia="宋体" w:cs="宋体"/>
                <w:color w:val="000000"/>
                <w:kern w:val="0"/>
                <w:sz w:val="24"/>
                <w:szCs w:val="24"/>
              </w:rPr>
              <w:t>投资者及其一致行动人的身份</w:t>
            </w:r>
          </w:p>
        </w:tc>
        <w:tc>
          <w:tcPr>
            <w:tcW w:w="3030" w:type="pct"/>
            <w:vAlign w:val="center"/>
          </w:tcPr>
          <w:p w14:paraId="63A231E1">
            <w:pPr>
              <w:adjustRightInd w:val="0"/>
              <w:snapToGrid w:val="0"/>
              <w:jc w:val="left"/>
              <w:rPr>
                <w:rFonts w:ascii="宋体" w:hAnsi="宋体" w:eastAsia="宋体" w:cs="宋体"/>
                <w:color w:val="000000"/>
                <w:sz w:val="24"/>
                <w:szCs w:val="24"/>
              </w:rPr>
            </w:pPr>
            <w:r>
              <w:rPr>
                <w:rFonts w:hint="eastAsia" w:ascii="宋体" w:hAnsi="宋体" w:eastAsia="宋体" w:cs="宋体"/>
                <w:color w:val="000000"/>
                <w:sz w:val="24"/>
                <w:szCs w:val="24"/>
              </w:rPr>
              <w:t>☑控股股东/实际控制人及其一致行动人</w:t>
            </w:r>
          </w:p>
          <w:p w14:paraId="04042E64">
            <w:pPr>
              <w:adjustRightInd w:val="0"/>
              <w:snapToGrid w:val="0"/>
              <w:jc w:val="left"/>
              <w:rPr>
                <w:rFonts w:ascii="宋体" w:hAnsi="宋体" w:eastAsia="宋体" w:cs="宋体"/>
                <w:color w:val="000000"/>
                <w:sz w:val="24"/>
                <w:szCs w:val="24"/>
              </w:rPr>
            </w:pPr>
            <w:r>
              <w:rPr>
                <w:rFonts w:hint="eastAsia" w:ascii="宋体" w:hAnsi="宋体" w:eastAsia="宋体" w:cs="宋体"/>
                <w:color w:val="000000"/>
                <w:sz w:val="24"/>
                <w:szCs w:val="24"/>
              </w:rPr>
              <w:t>□其他5%以上大股东及其一致行动人</w:t>
            </w:r>
          </w:p>
          <w:p w14:paraId="2310E2C9">
            <w:pPr>
              <w:adjustRightInd w:val="0"/>
              <w:snapToGrid w:val="0"/>
              <w:jc w:val="left"/>
              <w:rPr>
                <w:rFonts w:ascii="宋体" w:hAnsi="宋体" w:eastAsia="宋体" w:cs="宋体"/>
                <w:sz w:val="24"/>
                <w:szCs w:val="24"/>
              </w:rPr>
            </w:pPr>
            <w:r>
              <w:rPr>
                <w:rFonts w:hint="eastAsia" w:ascii="宋体" w:hAnsi="宋体" w:eastAsia="宋体" w:cs="宋体"/>
                <w:color w:val="000000"/>
                <w:sz w:val="24"/>
                <w:szCs w:val="24"/>
              </w:rPr>
              <w:t>□合并口径第一大股东及其一致行动人（仅适用于无控股股东、实际控制人）</w:t>
            </w:r>
          </w:p>
          <w:p w14:paraId="3F04D69A">
            <w:pPr>
              <w:widowControl/>
              <w:adjustRightInd w:val="0"/>
              <w:snapToGrid w:val="0"/>
              <w:jc w:val="left"/>
              <w:rPr>
                <w:rFonts w:ascii="宋体" w:hAnsi="宋体" w:eastAsia="宋体" w:cs="宋体"/>
                <w:sz w:val="24"/>
                <w:szCs w:val="24"/>
              </w:rPr>
            </w:pPr>
            <w:r>
              <w:rPr>
                <w:rFonts w:hint="eastAsia" w:ascii="宋体" w:hAnsi="宋体" w:eastAsia="宋体" w:cs="宋体"/>
                <w:color w:val="000000"/>
                <w:sz w:val="24"/>
                <w:szCs w:val="24"/>
              </w:rPr>
              <w:t>□其他</w:t>
            </w:r>
            <w:r>
              <w:rPr>
                <w:rFonts w:hint="eastAsia" w:ascii="宋体" w:hAnsi="宋体" w:eastAsia="宋体" w:cs="宋体"/>
                <w:sz w:val="24"/>
                <w:szCs w:val="24"/>
              </w:rPr>
              <w:t>______________</w:t>
            </w:r>
            <w:r>
              <w:rPr>
                <w:rFonts w:hint="eastAsia" w:ascii="宋体" w:hAnsi="宋体" w:eastAsia="宋体" w:cs="宋体"/>
                <w:color w:val="000000"/>
                <w:sz w:val="24"/>
                <w:szCs w:val="24"/>
              </w:rPr>
              <w:t>（请注明）</w:t>
            </w:r>
          </w:p>
        </w:tc>
      </w:tr>
    </w:tbl>
    <w:p w14:paraId="0736D003">
      <w:pPr>
        <w:widowControl/>
        <w:adjustRightInd w:val="0"/>
        <w:snapToGrid w:val="0"/>
        <w:spacing w:line="560" w:lineRule="exact"/>
        <w:jc w:val="left"/>
        <w:rPr>
          <w:rFonts w:ascii="宋体" w:hAnsi="宋体" w:eastAsia="宋体" w:cs="宋体"/>
          <w:color w:val="000000"/>
          <w:kern w:val="0"/>
          <w:sz w:val="24"/>
          <w:szCs w:val="24"/>
        </w:rPr>
      </w:pPr>
    </w:p>
    <w:p w14:paraId="5ADAE8FA">
      <w:pPr>
        <w:widowControl/>
        <w:adjustRightInd w:val="0"/>
        <w:snapToGrid w:val="0"/>
        <w:spacing w:line="560" w:lineRule="exact"/>
        <w:jc w:val="left"/>
        <w:rPr>
          <w:rFonts w:ascii="宋体" w:hAnsi="宋体" w:eastAsia="宋体" w:cs="宋体"/>
          <w:color w:val="000000"/>
          <w:kern w:val="0"/>
          <w:sz w:val="24"/>
          <w:szCs w:val="24"/>
        </w:rPr>
      </w:pPr>
    </w:p>
    <w:p w14:paraId="49669277">
      <w:pPr>
        <w:widowControl/>
        <w:adjustRightInd w:val="0"/>
        <w:snapToGrid w:val="0"/>
        <w:spacing w:line="560" w:lineRule="exact"/>
        <w:jc w:val="left"/>
        <w:rPr>
          <w:rFonts w:ascii="宋体" w:hAnsi="宋体" w:eastAsia="宋体" w:cs="宋体"/>
          <w:color w:val="000000"/>
          <w:kern w:val="0"/>
          <w:sz w:val="24"/>
          <w:szCs w:val="24"/>
        </w:rPr>
      </w:pPr>
    </w:p>
    <w:p w14:paraId="51BD515C">
      <w:pPr>
        <w:widowControl/>
        <w:adjustRightInd w:val="0"/>
        <w:snapToGrid w:val="0"/>
        <w:spacing w:line="5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sz w:val="24"/>
          <w:szCs w:val="24"/>
        </w:rPr>
        <w:t>2.信息披露义务人信息</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3105"/>
        <w:gridCol w:w="2963"/>
      </w:tblGrid>
      <w:tr w14:paraId="495F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7" w:type="pct"/>
            <w:tcBorders>
              <w:top w:val="single" w:color="auto" w:sz="4" w:space="0"/>
              <w:left w:val="single" w:color="auto" w:sz="4" w:space="0"/>
              <w:bottom w:val="single" w:color="auto" w:sz="4" w:space="0"/>
              <w:right w:val="single" w:color="auto" w:sz="4" w:space="0"/>
            </w:tcBorders>
            <w:vAlign w:val="center"/>
          </w:tcPr>
          <w:p w14:paraId="0C3FFB62">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kern w:val="0"/>
                <w:sz w:val="24"/>
                <w:szCs w:val="24"/>
              </w:rPr>
              <w:t>信息披露义务人名称</w:t>
            </w:r>
          </w:p>
        </w:tc>
        <w:tc>
          <w:tcPr>
            <w:tcW w:w="1822" w:type="pct"/>
            <w:tcBorders>
              <w:top w:val="single" w:color="auto" w:sz="4" w:space="0"/>
              <w:left w:val="single" w:color="auto" w:sz="4" w:space="0"/>
              <w:bottom w:val="single" w:color="auto" w:sz="4" w:space="0"/>
              <w:right w:val="single" w:color="auto" w:sz="4" w:space="0"/>
            </w:tcBorders>
            <w:vAlign w:val="center"/>
          </w:tcPr>
          <w:p w14:paraId="4E0C6ABC">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sz w:val="24"/>
                <w:szCs w:val="24"/>
              </w:rPr>
              <w:t>投资者身份</w:t>
            </w:r>
          </w:p>
        </w:tc>
        <w:tc>
          <w:tcPr>
            <w:tcW w:w="1739" w:type="pct"/>
            <w:tcBorders>
              <w:top w:val="single" w:color="auto" w:sz="4" w:space="0"/>
              <w:left w:val="single" w:color="auto" w:sz="4" w:space="0"/>
              <w:bottom w:val="single" w:color="auto" w:sz="4" w:space="0"/>
              <w:right w:val="single" w:color="auto" w:sz="4" w:space="0"/>
            </w:tcBorders>
            <w:vAlign w:val="center"/>
          </w:tcPr>
          <w:p w14:paraId="44F887CD">
            <w:pPr>
              <w:rPr>
                <w:rFonts w:ascii="宋体" w:hAnsi="宋体" w:eastAsia="宋体" w:cs="宋体"/>
                <w:bCs/>
                <w:color w:val="000000"/>
                <w:sz w:val="24"/>
                <w:szCs w:val="24"/>
              </w:rPr>
            </w:pPr>
            <w:r>
              <w:rPr>
                <w:rFonts w:hint="eastAsia" w:ascii="宋体" w:hAnsi="宋体" w:eastAsia="宋体" w:cs="宋体"/>
                <w:bCs/>
                <w:color w:val="000000"/>
                <w:sz w:val="24"/>
                <w:szCs w:val="24"/>
              </w:rPr>
              <w:t>统一社会信用代码</w:t>
            </w:r>
          </w:p>
        </w:tc>
      </w:tr>
      <w:tr w14:paraId="0C3E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3FE74EF2">
            <w:pPr>
              <w:rPr>
                <w:rFonts w:ascii="宋体" w:hAnsi="宋体" w:eastAsia="宋体" w:cs="宋体"/>
                <w:sz w:val="24"/>
                <w:szCs w:val="24"/>
              </w:rPr>
            </w:pPr>
            <w:r>
              <w:rPr>
                <w:rFonts w:hint="eastAsia" w:ascii="宋体" w:hAnsi="宋体" w:eastAsia="宋体" w:cs="宋体"/>
                <w:sz w:val="24"/>
                <w:szCs w:val="24"/>
              </w:rPr>
              <w:t>杨厚群</w:t>
            </w:r>
          </w:p>
        </w:tc>
        <w:tc>
          <w:tcPr>
            <w:tcW w:w="1822" w:type="pct"/>
            <w:tcBorders>
              <w:top w:val="single" w:color="auto" w:sz="4" w:space="0"/>
              <w:left w:val="single" w:color="auto" w:sz="4" w:space="0"/>
              <w:bottom w:val="single" w:color="auto" w:sz="4" w:space="0"/>
              <w:right w:val="single" w:color="auto" w:sz="4" w:space="0"/>
            </w:tcBorders>
            <w:vAlign w:val="center"/>
          </w:tcPr>
          <w:p w14:paraId="43A8748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5EFF6421">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642C87C4">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52A9F48A">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7B487164">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4AB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663C34BD">
            <w:pPr>
              <w:rPr>
                <w:rFonts w:ascii="宋体" w:hAnsi="宋体" w:eastAsia="宋体" w:cs="宋体"/>
                <w:sz w:val="24"/>
                <w:szCs w:val="24"/>
              </w:rPr>
            </w:pPr>
            <w:r>
              <w:rPr>
                <w:rFonts w:hint="eastAsia" w:ascii="宋体" w:hAnsi="宋体" w:eastAsia="宋体" w:cs="宋体"/>
                <w:sz w:val="24"/>
                <w:szCs w:val="24"/>
              </w:rPr>
              <w:t>秦勇</w:t>
            </w:r>
          </w:p>
        </w:tc>
        <w:tc>
          <w:tcPr>
            <w:tcW w:w="1822" w:type="pct"/>
            <w:tcBorders>
              <w:top w:val="single" w:color="auto" w:sz="4" w:space="0"/>
              <w:left w:val="single" w:color="auto" w:sz="4" w:space="0"/>
              <w:bottom w:val="single" w:color="auto" w:sz="4" w:space="0"/>
              <w:right w:val="single" w:color="auto" w:sz="4" w:space="0"/>
            </w:tcBorders>
            <w:vAlign w:val="center"/>
          </w:tcPr>
          <w:p w14:paraId="5BCCD3A7">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670EF9AC">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74793270">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0B59E59A">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7ABE85F6">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6AC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4FD81905">
            <w:pPr>
              <w:rPr>
                <w:rFonts w:ascii="宋体" w:hAnsi="宋体" w:eastAsia="宋体" w:cs="宋体"/>
                <w:sz w:val="24"/>
                <w:szCs w:val="24"/>
              </w:rPr>
            </w:pPr>
            <w:r>
              <w:rPr>
                <w:rFonts w:hint="eastAsia" w:ascii="宋体" w:hAnsi="宋体" w:eastAsia="宋体" w:cs="宋体"/>
                <w:sz w:val="24"/>
                <w:szCs w:val="24"/>
              </w:rPr>
              <w:t>杨小林</w:t>
            </w:r>
          </w:p>
        </w:tc>
        <w:tc>
          <w:tcPr>
            <w:tcW w:w="1822" w:type="pct"/>
            <w:tcBorders>
              <w:top w:val="single" w:color="auto" w:sz="4" w:space="0"/>
              <w:left w:val="single" w:color="auto" w:sz="4" w:space="0"/>
              <w:bottom w:val="single" w:color="auto" w:sz="4" w:space="0"/>
              <w:right w:val="single" w:color="auto" w:sz="4" w:space="0"/>
            </w:tcBorders>
            <w:vAlign w:val="center"/>
          </w:tcPr>
          <w:p w14:paraId="530EF158">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4DE243C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51A29331">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26C58957">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6A5D0DB1">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bl>
    <w:p w14:paraId="35584432">
      <w:pPr>
        <w:widowControl/>
        <w:adjustRightInd w:val="0"/>
        <w:snapToGrid w:val="0"/>
        <w:spacing w:line="560" w:lineRule="exact"/>
        <w:jc w:val="left"/>
        <w:rPr>
          <w:rFonts w:ascii="宋体" w:hAnsi="宋体" w:eastAsia="宋体" w:cs="宋体"/>
          <w:color w:val="000000"/>
          <w:kern w:val="0"/>
          <w:sz w:val="24"/>
          <w:szCs w:val="24"/>
        </w:rPr>
      </w:pPr>
    </w:p>
    <w:p w14:paraId="6D162374">
      <w:pPr>
        <w:widowControl/>
        <w:adjustRightInd w:val="0"/>
        <w:snapToGrid w:val="0"/>
        <w:spacing w:line="5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sz w:val="24"/>
          <w:szCs w:val="24"/>
        </w:rPr>
        <w:t>3.一致行动人信息</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3105"/>
        <w:gridCol w:w="2963"/>
      </w:tblGrid>
      <w:tr w14:paraId="405C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7" w:type="pct"/>
            <w:tcBorders>
              <w:top w:val="single" w:color="auto" w:sz="4" w:space="0"/>
              <w:left w:val="single" w:color="auto" w:sz="4" w:space="0"/>
              <w:bottom w:val="single" w:color="auto" w:sz="4" w:space="0"/>
              <w:right w:val="single" w:color="auto" w:sz="4" w:space="0"/>
            </w:tcBorders>
            <w:vAlign w:val="center"/>
          </w:tcPr>
          <w:p w14:paraId="187AB9D1">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kern w:val="0"/>
                <w:sz w:val="24"/>
                <w:szCs w:val="24"/>
              </w:rPr>
              <w:t>一致行动人名称</w:t>
            </w:r>
          </w:p>
        </w:tc>
        <w:tc>
          <w:tcPr>
            <w:tcW w:w="1822" w:type="pct"/>
            <w:tcBorders>
              <w:top w:val="single" w:color="auto" w:sz="4" w:space="0"/>
              <w:left w:val="single" w:color="auto" w:sz="4" w:space="0"/>
              <w:bottom w:val="single" w:color="auto" w:sz="4" w:space="0"/>
              <w:right w:val="single" w:color="auto" w:sz="4" w:space="0"/>
            </w:tcBorders>
            <w:vAlign w:val="center"/>
          </w:tcPr>
          <w:p w14:paraId="4479B46E">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sz w:val="24"/>
                <w:szCs w:val="24"/>
              </w:rPr>
              <w:t>投资者身份</w:t>
            </w:r>
          </w:p>
        </w:tc>
        <w:tc>
          <w:tcPr>
            <w:tcW w:w="1739" w:type="pct"/>
            <w:tcBorders>
              <w:top w:val="single" w:color="auto" w:sz="4" w:space="0"/>
              <w:left w:val="single" w:color="auto" w:sz="4" w:space="0"/>
              <w:bottom w:val="single" w:color="auto" w:sz="4" w:space="0"/>
              <w:right w:val="single" w:color="auto" w:sz="4" w:space="0"/>
            </w:tcBorders>
            <w:vAlign w:val="center"/>
          </w:tcPr>
          <w:p w14:paraId="16096BFE">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sz w:val="24"/>
                <w:szCs w:val="24"/>
              </w:rPr>
              <w:t>统一社会信用代码</w:t>
            </w:r>
          </w:p>
        </w:tc>
      </w:tr>
      <w:tr w14:paraId="341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kern w:val="0"/>
                <w:sz w:val="24"/>
                <w:szCs w:val="24"/>
              </w:rPr>
              <w:alias w:val="减持主体股东名称"/>
              <w:tag w:val="_GBC_2cfdb61402414e28bff76d8a26c5ac99"/>
              <w:id w:val="-1"/>
              <w:lock w:val="sdtLocked"/>
              <w:comboBox>
                <w:listItem w:displayText="秦勇" w:value="秦勇"/>
                <w:listItem w:displayText="杨厚群" w:value="杨厚群"/>
                <w:listItem w:displayText="杨小林" w:value="杨小林"/>
              </w:comboBox>
            </w:sdtPr>
            <w:sdtEndPr>
              <w:rPr>
                <w:rFonts w:hint="eastAsia" w:ascii="宋体" w:hAnsi="宋体" w:eastAsia="宋体" w:cs="宋体"/>
                <w:kern w:val="0"/>
                <w:sz w:val="24"/>
                <w:szCs w:val="24"/>
              </w:rPr>
            </w:sdtEndPr>
            <w:sdtContent>
              <w:p w14:paraId="65E1A08F">
                <w:pPr>
                  <w:rPr>
                    <w:rFonts w:ascii="宋体" w:hAnsi="宋体" w:eastAsia="宋体" w:cs="宋体"/>
                    <w:kern w:val="0"/>
                    <w:sz w:val="24"/>
                    <w:szCs w:val="24"/>
                  </w:rPr>
                </w:pPr>
                <w:r>
                  <w:rPr>
                    <w:rFonts w:hint="eastAsia" w:ascii="宋体" w:hAnsi="宋体" w:eastAsia="宋体" w:cs="宋体"/>
                    <w:kern w:val="0"/>
                    <w:sz w:val="24"/>
                    <w:szCs w:val="24"/>
                  </w:rPr>
                  <w:t>杨泽民</w:t>
                </w:r>
              </w:p>
            </w:sdtContent>
          </w:sdt>
          <w:p w14:paraId="35725D2D">
            <w:pPr>
              <w:rPr>
                <w:rFonts w:ascii="宋体" w:hAnsi="宋体" w:eastAsia="宋体" w:cs="宋体"/>
                <w:kern w:val="0"/>
                <w:sz w:val="24"/>
                <w:szCs w:val="24"/>
              </w:rPr>
            </w:pPr>
          </w:p>
        </w:tc>
        <w:tc>
          <w:tcPr>
            <w:tcW w:w="1822" w:type="pct"/>
            <w:tcBorders>
              <w:top w:val="single" w:color="auto" w:sz="4" w:space="0"/>
              <w:left w:val="single" w:color="auto" w:sz="4" w:space="0"/>
              <w:bottom w:val="single" w:color="auto" w:sz="4" w:space="0"/>
              <w:right w:val="single" w:color="auto" w:sz="4" w:space="0"/>
            </w:tcBorders>
            <w:vAlign w:val="center"/>
          </w:tcPr>
          <w:p w14:paraId="208011B5">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7C825CA7">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1D8A0437">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1EC2A4B0">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7A72E75D">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657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kern w:val="0"/>
                <w:sz w:val="24"/>
                <w:szCs w:val="24"/>
              </w:rPr>
              <w:alias w:val="减持主体股东名称"/>
              <w:tag w:val="_GBC_2cfdb61402414e28bff76d8a26c5ac99"/>
              <w:id w:val="29273530"/>
              <w:lock w:val="sdtLocked"/>
              <w:comboBox>
                <w:listItem w:displayText="秦勇" w:value="秦勇"/>
                <w:listItem w:displayText="杨厚群" w:value="杨厚群"/>
                <w:listItem w:displayText="杨小林" w:value="杨小林"/>
              </w:comboBox>
            </w:sdtPr>
            <w:sdtEndPr>
              <w:rPr>
                <w:rFonts w:hint="eastAsia" w:ascii="宋体" w:hAnsi="宋体" w:eastAsia="宋体" w:cs="宋体"/>
                <w:kern w:val="0"/>
                <w:sz w:val="24"/>
                <w:szCs w:val="24"/>
              </w:rPr>
            </w:sdtEndPr>
            <w:sdtContent>
              <w:p w14:paraId="39DE5ACA">
                <w:pPr>
                  <w:rPr>
                    <w:rFonts w:ascii="宋体" w:hAnsi="宋体" w:eastAsia="宋体" w:cs="宋体"/>
                    <w:kern w:val="0"/>
                    <w:sz w:val="24"/>
                    <w:szCs w:val="24"/>
                  </w:rPr>
                </w:pPr>
                <w:r>
                  <w:rPr>
                    <w:rFonts w:hint="eastAsia" w:ascii="宋体" w:hAnsi="宋体" w:eastAsia="宋体" w:cs="宋体"/>
                    <w:kern w:val="0"/>
                    <w:sz w:val="24"/>
                    <w:szCs w:val="24"/>
                  </w:rPr>
                  <w:t>秦惠兰</w:t>
                </w:r>
              </w:p>
            </w:sdtContent>
          </w:sdt>
          <w:p w14:paraId="5D24E3ED">
            <w:pPr>
              <w:rPr>
                <w:rFonts w:ascii="宋体" w:hAnsi="宋体" w:eastAsia="宋体" w:cs="宋体"/>
                <w:kern w:val="0"/>
                <w:sz w:val="24"/>
                <w:szCs w:val="24"/>
              </w:rPr>
            </w:pPr>
          </w:p>
        </w:tc>
        <w:tc>
          <w:tcPr>
            <w:tcW w:w="1822" w:type="pct"/>
            <w:tcBorders>
              <w:top w:val="single" w:color="auto" w:sz="4" w:space="0"/>
              <w:left w:val="single" w:color="auto" w:sz="4" w:space="0"/>
              <w:bottom w:val="single" w:color="auto" w:sz="4" w:space="0"/>
              <w:right w:val="single" w:color="auto" w:sz="4" w:space="0"/>
            </w:tcBorders>
            <w:vAlign w:val="center"/>
          </w:tcPr>
          <w:p w14:paraId="27DB5671">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172E30F7">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2668705C">
            <w:pPr>
              <w:widowControl/>
              <w:numPr>
                <w:ilvl w:val="255"/>
                <w:numId w:val="0"/>
              </w:numPr>
              <w:rPr>
                <w:rFonts w:ascii="宋体" w:hAnsi="宋体" w:eastAsia="宋体" w:cs="宋体"/>
                <w:kern w:val="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002A5E10">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4D2CF593">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5F99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452D01E7">
            <w:pPr>
              <w:rPr>
                <w:rFonts w:ascii="宋体" w:hAnsi="宋体" w:eastAsia="宋体" w:cs="宋体"/>
                <w:sz w:val="24"/>
                <w:szCs w:val="24"/>
              </w:rPr>
            </w:pPr>
            <w:r>
              <w:rPr>
                <w:rFonts w:hint="eastAsia" w:ascii="宋体" w:hAnsi="宋体" w:eastAsia="宋体" w:cs="宋体"/>
                <w:sz w:val="24"/>
                <w:szCs w:val="24"/>
              </w:rPr>
              <w:t>杨耀</w:t>
            </w:r>
          </w:p>
        </w:tc>
        <w:tc>
          <w:tcPr>
            <w:tcW w:w="1822" w:type="pct"/>
            <w:tcBorders>
              <w:top w:val="single" w:color="auto" w:sz="4" w:space="0"/>
              <w:left w:val="single" w:color="auto" w:sz="4" w:space="0"/>
              <w:bottom w:val="single" w:color="auto" w:sz="4" w:space="0"/>
              <w:right w:val="single" w:color="auto" w:sz="4" w:space="0"/>
            </w:tcBorders>
            <w:vAlign w:val="center"/>
          </w:tcPr>
          <w:p w14:paraId="7F28253A">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759EBF7A">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678F70C8">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4354849D">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3B9684AF">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1974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108A0C88">
            <w:pPr>
              <w:rPr>
                <w:rFonts w:ascii="宋体" w:hAnsi="宋体" w:eastAsia="宋体" w:cs="宋体"/>
                <w:sz w:val="24"/>
                <w:szCs w:val="24"/>
              </w:rPr>
            </w:pPr>
            <w:r>
              <w:rPr>
                <w:rFonts w:hint="eastAsia" w:ascii="宋体" w:hAnsi="宋体" w:eastAsia="宋体" w:cs="宋体"/>
                <w:sz w:val="24"/>
                <w:szCs w:val="24"/>
              </w:rPr>
              <w:t>杨秦</w:t>
            </w:r>
          </w:p>
        </w:tc>
        <w:tc>
          <w:tcPr>
            <w:tcW w:w="1822" w:type="pct"/>
            <w:tcBorders>
              <w:top w:val="single" w:color="auto" w:sz="4" w:space="0"/>
              <w:left w:val="single" w:color="auto" w:sz="4" w:space="0"/>
              <w:bottom w:val="single" w:color="auto" w:sz="4" w:space="0"/>
              <w:right w:val="single" w:color="auto" w:sz="4" w:space="0"/>
            </w:tcBorders>
            <w:vAlign w:val="center"/>
          </w:tcPr>
          <w:p w14:paraId="0E5B0B28">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2B1058E0">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1512BDE2">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098CD5E0">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21269E1E">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1435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01D9893D">
            <w:pPr>
              <w:rPr>
                <w:rFonts w:ascii="宋体" w:hAnsi="宋体" w:eastAsia="宋体" w:cs="宋体"/>
                <w:sz w:val="24"/>
                <w:szCs w:val="24"/>
              </w:rPr>
            </w:pPr>
            <w:r>
              <w:rPr>
                <w:rFonts w:hint="eastAsia" w:ascii="宋体" w:hAnsi="宋体" w:eastAsia="宋体" w:cs="宋体"/>
                <w:sz w:val="24"/>
                <w:szCs w:val="24"/>
              </w:rPr>
              <w:t>皮天彬</w:t>
            </w:r>
          </w:p>
        </w:tc>
        <w:tc>
          <w:tcPr>
            <w:tcW w:w="1822" w:type="pct"/>
            <w:tcBorders>
              <w:top w:val="single" w:color="auto" w:sz="4" w:space="0"/>
              <w:left w:val="single" w:color="auto" w:sz="4" w:space="0"/>
              <w:bottom w:val="single" w:color="auto" w:sz="4" w:space="0"/>
              <w:right w:val="single" w:color="auto" w:sz="4" w:space="0"/>
            </w:tcBorders>
            <w:vAlign w:val="center"/>
          </w:tcPr>
          <w:p w14:paraId="49799387">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504D83C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6DBFB105">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697B272F">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024E326A">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17F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089CA39D">
            <w:pPr>
              <w:rPr>
                <w:rFonts w:ascii="宋体" w:hAnsi="宋体" w:eastAsia="宋体" w:cs="宋体"/>
                <w:color w:val="FF0000"/>
                <w:sz w:val="24"/>
                <w:szCs w:val="24"/>
              </w:rPr>
            </w:pPr>
            <w:r>
              <w:rPr>
                <w:rFonts w:hint="eastAsia" w:ascii="宋体" w:hAnsi="宋体" w:eastAsia="宋体" w:cs="宋体"/>
                <w:sz w:val="24"/>
                <w:szCs w:val="24"/>
              </w:rPr>
              <w:t>隆志钢</w:t>
            </w:r>
          </w:p>
        </w:tc>
        <w:tc>
          <w:tcPr>
            <w:tcW w:w="1822" w:type="pct"/>
            <w:tcBorders>
              <w:top w:val="single" w:color="auto" w:sz="4" w:space="0"/>
              <w:left w:val="single" w:color="auto" w:sz="4" w:space="0"/>
              <w:bottom w:val="single" w:color="auto" w:sz="4" w:space="0"/>
              <w:right w:val="single" w:color="auto" w:sz="4" w:space="0"/>
            </w:tcBorders>
            <w:vAlign w:val="center"/>
          </w:tcPr>
          <w:p w14:paraId="39019CCF">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10302FCE">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50F12A6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2488509D">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1A5E2569">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bl>
    <w:p w14:paraId="5B96F5A2">
      <w:pPr>
        <w:widowControl/>
        <w:adjustRightInd w:val="0"/>
        <w:snapToGrid w:val="0"/>
        <w:spacing w:line="560" w:lineRule="exact"/>
        <w:ind w:firstLine="600"/>
        <w:jc w:val="left"/>
        <w:rPr>
          <w:rFonts w:ascii="宋体" w:hAnsi="宋体" w:eastAsia="宋体" w:cs="宋体"/>
          <w:b/>
          <w:bCs/>
          <w:sz w:val="24"/>
          <w:szCs w:val="24"/>
        </w:rPr>
      </w:pPr>
    </w:p>
    <w:p w14:paraId="42E4CFAC">
      <w:pPr>
        <w:widowControl/>
        <w:adjustRightInd w:val="0"/>
        <w:snapToGrid w:val="0"/>
        <w:spacing w:line="560" w:lineRule="exact"/>
        <w:ind w:firstLine="600"/>
        <w:jc w:val="left"/>
        <w:rPr>
          <w:rFonts w:ascii="宋体" w:hAnsi="宋体" w:eastAsia="宋体" w:cs="宋体"/>
          <w:b/>
          <w:bCs/>
          <w:sz w:val="24"/>
          <w:szCs w:val="24"/>
        </w:rPr>
      </w:pPr>
    </w:p>
    <w:p w14:paraId="29FE2D63">
      <w:pPr>
        <w:widowControl/>
        <w:numPr>
          <w:ilvl w:val="0"/>
          <w:numId w:val="1"/>
        </w:numPr>
        <w:adjustRightInd w:val="0"/>
        <w:snapToGrid w:val="0"/>
        <w:spacing w:line="560" w:lineRule="exact"/>
        <w:ind w:left="0" w:firstLine="482" w:firstLineChars="200"/>
        <w:jc w:val="left"/>
        <w:outlineLvl w:val="0"/>
        <w:rPr>
          <w:rFonts w:ascii="宋体" w:hAnsi="宋体" w:eastAsia="宋体" w:cs="宋体"/>
          <w:b/>
          <w:bCs/>
          <w:sz w:val="24"/>
          <w:szCs w:val="24"/>
        </w:rPr>
      </w:pPr>
      <w:r>
        <w:rPr>
          <w:rFonts w:hint="eastAsia" w:ascii="宋体" w:hAnsi="宋体" w:eastAsia="宋体" w:cs="宋体"/>
          <w:b/>
          <w:bCs/>
          <w:sz w:val="24"/>
          <w:szCs w:val="24"/>
        </w:rPr>
        <w:t>权益变动触及1%刻度的基本情况</w:t>
      </w:r>
    </w:p>
    <w:p w14:paraId="44D44091">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重庆望变电气（集团）股份有限公司（以下简称“公司”）于2025年7月23日收到公司实际控制人一致行动人杨厚群女士、秦勇女士及杨小林先生通知。杨厚群女士于2025年7月15日至2025年7月22日期间，通过集中竞价交易方式合计减持公司无限售流通股432,000股；秦勇女士于2025年7月22日，通过集中竞价交易和大宗交易的方式合计减持公司无限售流通股 1,792,156 股；杨小林先生于2025年7月16日至2025年7月22日期间，通过集中竞价交易方式合计减持公司无限售流通股910,</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00股。其与一致行动人合计持有公司股份比例由43.51%减少至42.56%，权益变动触及1%刻度，具体情况如下：</w:t>
      </w:r>
    </w:p>
    <w:tbl>
      <w:tblPr>
        <w:tblStyle w:val="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371"/>
        <w:gridCol w:w="960"/>
        <w:gridCol w:w="1327"/>
        <w:gridCol w:w="988"/>
        <w:gridCol w:w="1700"/>
        <w:gridCol w:w="1364"/>
      </w:tblGrid>
      <w:tr w14:paraId="4C00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1BBEE3AC">
            <w:pPr>
              <w:widowControl/>
              <w:numPr>
                <w:ilvl w:val="255"/>
                <w:numId w:val="0"/>
              </w:num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投资者名称</w:t>
            </w:r>
          </w:p>
        </w:tc>
        <w:tc>
          <w:tcPr>
            <w:tcW w:w="782" w:type="pct"/>
            <w:tcBorders>
              <w:top w:val="single" w:color="auto" w:sz="4" w:space="0"/>
              <w:left w:val="single" w:color="auto" w:sz="4" w:space="0"/>
              <w:bottom w:val="single" w:color="auto" w:sz="4" w:space="0"/>
              <w:right w:val="single" w:color="auto" w:sz="4" w:space="0"/>
            </w:tcBorders>
            <w:vAlign w:val="center"/>
          </w:tcPr>
          <w:p w14:paraId="52C5693E">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变动前股数（万股）</w:t>
            </w:r>
          </w:p>
        </w:tc>
        <w:tc>
          <w:tcPr>
            <w:tcW w:w="548" w:type="pct"/>
            <w:tcBorders>
              <w:top w:val="single" w:color="auto" w:sz="4" w:space="0"/>
              <w:left w:val="single" w:color="auto" w:sz="4" w:space="0"/>
              <w:bottom w:val="single" w:color="auto" w:sz="4" w:space="0"/>
              <w:right w:val="single" w:color="auto" w:sz="4" w:space="0"/>
            </w:tcBorders>
            <w:vAlign w:val="center"/>
          </w:tcPr>
          <w:p w14:paraId="1D305E40">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变动前比例</w:t>
            </w:r>
          </w:p>
        </w:tc>
        <w:tc>
          <w:tcPr>
            <w:tcW w:w="757" w:type="pct"/>
            <w:tcBorders>
              <w:top w:val="single" w:color="auto" w:sz="4" w:space="0"/>
              <w:left w:val="single" w:color="auto" w:sz="4" w:space="0"/>
              <w:bottom w:val="single" w:color="auto" w:sz="4" w:space="0"/>
              <w:right w:val="single" w:color="auto" w:sz="4" w:space="0"/>
            </w:tcBorders>
            <w:vAlign w:val="center"/>
          </w:tcPr>
          <w:p w14:paraId="2C790E3D">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变动后股数（万股）</w:t>
            </w:r>
          </w:p>
        </w:tc>
        <w:tc>
          <w:tcPr>
            <w:tcW w:w="564" w:type="pct"/>
            <w:tcBorders>
              <w:top w:val="single" w:color="auto" w:sz="4" w:space="0"/>
              <w:left w:val="single" w:color="auto" w:sz="4" w:space="0"/>
              <w:bottom w:val="single" w:color="auto" w:sz="4" w:space="0"/>
              <w:right w:val="single" w:color="auto" w:sz="4" w:space="0"/>
            </w:tcBorders>
            <w:vAlign w:val="center"/>
          </w:tcPr>
          <w:p w14:paraId="239D8BDA">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变动后比例</w:t>
            </w:r>
          </w:p>
        </w:tc>
        <w:tc>
          <w:tcPr>
            <w:tcW w:w="970" w:type="pct"/>
            <w:tcBorders>
              <w:top w:val="single" w:color="auto" w:sz="4" w:space="0"/>
              <w:left w:val="single" w:color="auto" w:sz="4" w:space="0"/>
              <w:bottom w:val="single" w:color="auto" w:sz="4" w:space="0"/>
              <w:right w:val="single" w:color="auto" w:sz="4" w:space="0"/>
            </w:tcBorders>
            <w:vAlign w:val="center"/>
          </w:tcPr>
          <w:p w14:paraId="7A782631">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权益变动方式</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461F3DAB">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权益变动的</w:t>
            </w:r>
          </w:p>
          <w:p w14:paraId="243FAF10">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时间区间</w:t>
            </w:r>
          </w:p>
        </w:tc>
      </w:tr>
      <w:tr w14:paraId="2F2A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67BC550C">
            <w:pPr>
              <w:rPr>
                <w:rFonts w:asciiTheme="minorEastAsia" w:hAnsiTheme="minorEastAsia" w:cstheme="minorEastAsia"/>
                <w:sz w:val="18"/>
                <w:szCs w:val="18"/>
              </w:rPr>
            </w:pPr>
            <w:r>
              <w:rPr>
                <w:rFonts w:hint="eastAsia" w:asciiTheme="minorEastAsia" w:hAnsiTheme="minorEastAsia" w:cstheme="minorEastAsia"/>
                <w:sz w:val="18"/>
                <w:szCs w:val="18"/>
              </w:rPr>
              <w:t>杨厚群</w:t>
            </w:r>
          </w:p>
        </w:tc>
        <w:tc>
          <w:tcPr>
            <w:tcW w:w="782" w:type="pct"/>
            <w:tcBorders>
              <w:top w:val="single" w:color="auto" w:sz="4" w:space="0"/>
              <w:left w:val="single" w:color="auto" w:sz="4" w:space="0"/>
              <w:bottom w:val="single" w:color="auto" w:sz="4" w:space="0"/>
              <w:right w:val="single" w:color="auto" w:sz="4" w:space="0"/>
            </w:tcBorders>
            <w:vAlign w:val="center"/>
          </w:tcPr>
          <w:p w14:paraId="5ACC16FC">
            <w:pPr>
              <w:jc w:val="center"/>
              <w:rPr>
                <w:rFonts w:asciiTheme="minorEastAsia" w:hAnsiTheme="minorEastAsia" w:cstheme="minorEastAsia"/>
                <w:sz w:val="18"/>
                <w:szCs w:val="18"/>
              </w:rPr>
            </w:pPr>
            <w:r>
              <w:rPr>
                <w:rFonts w:hint="eastAsia" w:asciiTheme="minorEastAsia" w:hAnsiTheme="minorEastAsia" w:cstheme="minorEastAsia"/>
                <w:sz w:val="18"/>
                <w:szCs w:val="18"/>
              </w:rPr>
              <w:t>750.00</w:t>
            </w:r>
          </w:p>
        </w:tc>
        <w:tc>
          <w:tcPr>
            <w:tcW w:w="548" w:type="pct"/>
            <w:tcBorders>
              <w:top w:val="single" w:color="auto" w:sz="4" w:space="0"/>
              <w:left w:val="single" w:color="auto" w:sz="4" w:space="0"/>
              <w:bottom w:val="single" w:color="auto" w:sz="4" w:space="0"/>
              <w:right w:val="single" w:color="auto" w:sz="4" w:space="0"/>
            </w:tcBorders>
            <w:vAlign w:val="center"/>
          </w:tcPr>
          <w:p w14:paraId="0C669D2C">
            <w:pPr>
              <w:jc w:val="center"/>
              <w:rPr>
                <w:rFonts w:asciiTheme="minorEastAsia" w:hAnsiTheme="minorEastAsia" w:cstheme="minorEastAsia"/>
                <w:sz w:val="18"/>
                <w:szCs w:val="18"/>
              </w:rPr>
            </w:pPr>
            <w:r>
              <w:rPr>
                <w:rFonts w:hint="eastAsia" w:asciiTheme="minorEastAsia" w:hAnsiTheme="minorEastAsia" w:cstheme="minorEastAsia"/>
                <w:sz w:val="18"/>
                <w:szCs w:val="18"/>
              </w:rPr>
              <w:t>2.26%</w:t>
            </w:r>
          </w:p>
        </w:tc>
        <w:tc>
          <w:tcPr>
            <w:tcW w:w="757" w:type="pct"/>
            <w:tcBorders>
              <w:top w:val="single" w:color="auto" w:sz="4" w:space="0"/>
              <w:left w:val="single" w:color="auto" w:sz="4" w:space="0"/>
              <w:bottom w:val="single" w:color="auto" w:sz="4" w:space="0"/>
              <w:right w:val="single" w:color="auto" w:sz="4" w:space="0"/>
            </w:tcBorders>
            <w:vAlign w:val="center"/>
          </w:tcPr>
          <w:p w14:paraId="31EE5348">
            <w:pPr>
              <w:jc w:val="center"/>
              <w:rPr>
                <w:rFonts w:asciiTheme="minorEastAsia" w:hAnsiTheme="minorEastAsia" w:cstheme="minorEastAsia"/>
                <w:sz w:val="18"/>
                <w:szCs w:val="18"/>
              </w:rPr>
            </w:pPr>
            <w:r>
              <w:rPr>
                <w:rFonts w:hint="eastAsia" w:asciiTheme="minorEastAsia" w:hAnsiTheme="minorEastAsia" w:cstheme="minorEastAsia"/>
                <w:sz w:val="18"/>
                <w:szCs w:val="18"/>
              </w:rPr>
              <w:t xml:space="preserve">706.80 </w:t>
            </w:r>
          </w:p>
        </w:tc>
        <w:tc>
          <w:tcPr>
            <w:tcW w:w="564" w:type="pct"/>
            <w:tcBorders>
              <w:top w:val="single" w:color="auto" w:sz="4" w:space="0"/>
              <w:left w:val="single" w:color="auto" w:sz="4" w:space="0"/>
              <w:bottom w:val="single" w:color="auto" w:sz="4" w:space="0"/>
              <w:right w:val="single" w:color="auto" w:sz="4" w:space="0"/>
            </w:tcBorders>
            <w:vAlign w:val="center"/>
          </w:tcPr>
          <w:p w14:paraId="5DDFCA55">
            <w:pPr>
              <w:jc w:val="center"/>
              <w:rPr>
                <w:rFonts w:asciiTheme="minorEastAsia" w:hAnsiTheme="minorEastAsia" w:cstheme="minorEastAsia"/>
                <w:sz w:val="18"/>
                <w:szCs w:val="18"/>
              </w:rPr>
            </w:pPr>
            <w:r>
              <w:rPr>
                <w:rFonts w:hint="eastAsia" w:asciiTheme="minorEastAsia" w:hAnsiTheme="minorEastAsia" w:cstheme="minorEastAsia"/>
                <w:sz w:val="18"/>
                <w:szCs w:val="18"/>
              </w:rPr>
              <w:t>2.13%</w:t>
            </w:r>
          </w:p>
        </w:tc>
        <w:tc>
          <w:tcPr>
            <w:tcW w:w="970" w:type="pct"/>
            <w:tcBorders>
              <w:left w:val="single" w:color="auto" w:sz="4" w:space="0"/>
              <w:right w:val="single" w:color="auto" w:sz="4" w:space="0"/>
            </w:tcBorders>
            <w:vAlign w:val="center"/>
          </w:tcPr>
          <w:p w14:paraId="5D73F9B0">
            <w:pPr>
              <w:rPr>
                <w:rFonts w:asciiTheme="minorEastAsia" w:hAnsiTheme="minorEastAsia" w:cstheme="minorEastAsia"/>
                <w:sz w:val="18"/>
                <w:szCs w:val="18"/>
              </w:rPr>
            </w:pPr>
            <w:r>
              <w:rPr>
                <w:rFonts w:hint="eastAsia" w:asciiTheme="minorEastAsia" w:hAnsiTheme="minorEastAsia" w:cstheme="minorEastAsia"/>
                <w:sz w:val="18"/>
                <w:szCs w:val="18"/>
              </w:rPr>
              <w:t>集中竞价   ☑</w:t>
            </w:r>
          </w:p>
          <w:p w14:paraId="7B7F14A7">
            <w:pPr>
              <w:rPr>
                <w:rFonts w:asciiTheme="minorEastAsia" w:hAnsiTheme="minorEastAsia" w:cstheme="minorEastAsia"/>
                <w:sz w:val="18"/>
                <w:szCs w:val="18"/>
              </w:rPr>
            </w:pPr>
            <w:r>
              <w:rPr>
                <w:rFonts w:hint="eastAsia" w:asciiTheme="minorEastAsia" w:hAnsiTheme="minorEastAsia" w:cstheme="minorEastAsia"/>
                <w:sz w:val="18"/>
                <w:szCs w:val="18"/>
              </w:rPr>
              <w:t>大宗交易   □</w:t>
            </w:r>
          </w:p>
          <w:p w14:paraId="076DA97B">
            <w:pPr>
              <w:rPr>
                <w:rFonts w:asciiTheme="minorEastAsia" w:hAnsiTheme="minorEastAsia" w:cstheme="minorEastAsia"/>
                <w:sz w:val="18"/>
                <w:szCs w:val="18"/>
              </w:rPr>
            </w:pPr>
            <w:r>
              <w:rPr>
                <w:rFonts w:hint="eastAsia" w:asciiTheme="minorEastAsia" w:hAnsiTheme="minorEastAsia" w:cstheme="minorEastAsia"/>
                <w:sz w:val="18"/>
                <w:szCs w:val="18"/>
              </w:rPr>
              <w:t>其他：____</w:t>
            </w:r>
          </w:p>
        </w:tc>
        <w:tc>
          <w:tcPr>
            <w:tcW w:w="778" w:type="pct"/>
            <w:tcBorders>
              <w:left w:val="single" w:color="auto" w:sz="4" w:space="0"/>
              <w:right w:val="single" w:color="auto" w:sz="4" w:space="0"/>
            </w:tcBorders>
            <w:shd w:val="clear" w:color="auto" w:fill="auto"/>
            <w:vAlign w:val="center"/>
          </w:tcPr>
          <w:p w14:paraId="6B2E9D59">
            <w:pPr>
              <w:rPr>
                <w:rFonts w:asciiTheme="minorEastAsia" w:hAnsiTheme="minorEastAsia" w:cstheme="minorEastAsia"/>
                <w:sz w:val="18"/>
                <w:szCs w:val="18"/>
              </w:rPr>
            </w:pPr>
            <w:r>
              <w:rPr>
                <w:rFonts w:hint="eastAsia" w:asciiTheme="minorEastAsia" w:hAnsiTheme="minorEastAsia" w:cstheme="minorEastAsia"/>
                <w:sz w:val="18"/>
                <w:szCs w:val="18"/>
              </w:rPr>
              <w:t>2025/07/15- 2025/07/22</w:t>
            </w:r>
          </w:p>
        </w:tc>
      </w:tr>
      <w:tr w14:paraId="5D49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7083BB61">
            <w:pPr>
              <w:rPr>
                <w:rFonts w:asciiTheme="minorEastAsia" w:hAnsiTheme="minorEastAsia" w:cstheme="minorEastAsia"/>
                <w:sz w:val="18"/>
                <w:szCs w:val="18"/>
              </w:rPr>
            </w:pPr>
            <w:r>
              <w:rPr>
                <w:rFonts w:hint="eastAsia" w:asciiTheme="minorEastAsia" w:hAnsiTheme="minorEastAsia" w:cstheme="minorEastAsia"/>
                <w:sz w:val="18"/>
                <w:szCs w:val="18"/>
              </w:rPr>
              <w:t>秦勇</w:t>
            </w:r>
          </w:p>
        </w:tc>
        <w:tc>
          <w:tcPr>
            <w:tcW w:w="782" w:type="pct"/>
            <w:tcBorders>
              <w:top w:val="single" w:color="auto" w:sz="4" w:space="0"/>
              <w:left w:val="single" w:color="auto" w:sz="4" w:space="0"/>
              <w:bottom w:val="single" w:color="auto" w:sz="4" w:space="0"/>
              <w:right w:val="single" w:color="auto" w:sz="4" w:space="0"/>
            </w:tcBorders>
            <w:vAlign w:val="center"/>
          </w:tcPr>
          <w:p w14:paraId="56254CB1">
            <w:pPr>
              <w:jc w:val="center"/>
              <w:rPr>
                <w:rFonts w:asciiTheme="minorEastAsia" w:hAnsiTheme="minorEastAsia" w:cstheme="minorEastAsia"/>
                <w:sz w:val="18"/>
                <w:szCs w:val="18"/>
              </w:rPr>
            </w:pPr>
            <w:r>
              <w:rPr>
                <w:rFonts w:hint="eastAsia" w:asciiTheme="minorEastAsia" w:hAnsiTheme="minorEastAsia" w:cstheme="minorEastAsia"/>
                <w:sz w:val="18"/>
                <w:szCs w:val="18"/>
              </w:rPr>
              <w:t>540.00</w:t>
            </w:r>
          </w:p>
        </w:tc>
        <w:tc>
          <w:tcPr>
            <w:tcW w:w="548" w:type="pct"/>
            <w:tcBorders>
              <w:top w:val="single" w:color="auto" w:sz="4" w:space="0"/>
              <w:left w:val="single" w:color="auto" w:sz="4" w:space="0"/>
              <w:bottom w:val="single" w:color="auto" w:sz="4" w:space="0"/>
              <w:right w:val="single" w:color="auto" w:sz="4" w:space="0"/>
            </w:tcBorders>
            <w:vAlign w:val="center"/>
          </w:tcPr>
          <w:p w14:paraId="31B76B60">
            <w:pPr>
              <w:jc w:val="center"/>
              <w:rPr>
                <w:rFonts w:asciiTheme="minorEastAsia" w:hAnsiTheme="minorEastAsia" w:cstheme="minorEastAsia"/>
                <w:sz w:val="18"/>
                <w:szCs w:val="18"/>
              </w:rPr>
            </w:pPr>
            <w:r>
              <w:rPr>
                <w:rFonts w:hint="eastAsia" w:asciiTheme="minorEastAsia" w:hAnsiTheme="minorEastAsia" w:cstheme="minorEastAsia"/>
                <w:sz w:val="18"/>
                <w:szCs w:val="18"/>
              </w:rPr>
              <w:t>1.62%</w:t>
            </w:r>
          </w:p>
        </w:tc>
        <w:tc>
          <w:tcPr>
            <w:tcW w:w="757" w:type="pct"/>
            <w:tcBorders>
              <w:top w:val="single" w:color="auto" w:sz="4" w:space="0"/>
              <w:left w:val="single" w:color="auto" w:sz="4" w:space="0"/>
              <w:bottom w:val="single" w:color="auto" w:sz="4" w:space="0"/>
              <w:right w:val="single" w:color="auto" w:sz="4" w:space="0"/>
            </w:tcBorders>
            <w:vAlign w:val="center"/>
          </w:tcPr>
          <w:p w14:paraId="03B0FF53">
            <w:pPr>
              <w:jc w:val="center"/>
              <w:rPr>
                <w:rFonts w:asciiTheme="minorEastAsia" w:hAnsiTheme="minorEastAsia" w:cstheme="minorEastAsia"/>
                <w:sz w:val="18"/>
                <w:szCs w:val="18"/>
              </w:rPr>
            </w:pPr>
            <w:r>
              <w:rPr>
                <w:rFonts w:hint="eastAsia" w:asciiTheme="minorEastAsia" w:hAnsiTheme="minorEastAsia" w:cstheme="minorEastAsia"/>
                <w:sz w:val="18"/>
                <w:szCs w:val="18"/>
              </w:rPr>
              <w:t xml:space="preserve"> 360.78 </w:t>
            </w:r>
          </w:p>
        </w:tc>
        <w:tc>
          <w:tcPr>
            <w:tcW w:w="564" w:type="pct"/>
            <w:tcBorders>
              <w:top w:val="single" w:color="auto" w:sz="4" w:space="0"/>
              <w:left w:val="single" w:color="auto" w:sz="4" w:space="0"/>
              <w:bottom w:val="single" w:color="auto" w:sz="4" w:space="0"/>
              <w:right w:val="single" w:color="auto" w:sz="4" w:space="0"/>
            </w:tcBorders>
            <w:vAlign w:val="center"/>
          </w:tcPr>
          <w:p w14:paraId="7ACA7C53">
            <w:pPr>
              <w:jc w:val="center"/>
              <w:rPr>
                <w:rFonts w:asciiTheme="minorEastAsia" w:hAnsiTheme="minorEastAsia" w:cstheme="minorEastAsia"/>
                <w:sz w:val="18"/>
                <w:szCs w:val="18"/>
              </w:rPr>
            </w:pPr>
            <w:r>
              <w:rPr>
                <w:rFonts w:hint="eastAsia" w:asciiTheme="minorEastAsia" w:hAnsiTheme="minorEastAsia" w:cstheme="minorEastAsia"/>
                <w:sz w:val="18"/>
                <w:szCs w:val="18"/>
              </w:rPr>
              <w:t>1.09%</w:t>
            </w:r>
          </w:p>
        </w:tc>
        <w:tc>
          <w:tcPr>
            <w:tcW w:w="970" w:type="pct"/>
            <w:tcBorders>
              <w:left w:val="single" w:color="auto" w:sz="4" w:space="0"/>
              <w:right w:val="single" w:color="auto" w:sz="4" w:space="0"/>
            </w:tcBorders>
            <w:vAlign w:val="center"/>
          </w:tcPr>
          <w:p w14:paraId="5C7C410F">
            <w:pPr>
              <w:rPr>
                <w:rFonts w:asciiTheme="minorEastAsia" w:hAnsiTheme="minorEastAsia" w:cstheme="minorEastAsia"/>
                <w:sz w:val="18"/>
                <w:szCs w:val="18"/>
              </w:rPr>
            </w:pPr>
            <w:r>
              <w:rPr>
                <w:rFonts w:hint="eastAsia" w:asciiTheme="minorEastAsia" w:hAnsiTheme="minorEastAsia" w:cstheme="minorEastAsia"/>
                <w:sz w:val="18"/>
                <w:szCs w:val="18"/>
              </w:rPr>
              <w:t>集中竞价   ☑</w:t>
            </w:r>
          </w:p>
          <w:p w14:paraId="7BD174E3">
            <w:pPr>
              <w:rPr>
                <w:rFonts w:asciiTheme="minorEastAsia" w:hAnsiTheme="minorEastAsia" w:cstheme="minorEastAsia"/>
                <w:sz w:val="18"/>
                <w:szCs w:val="18"/>
              </w:rPr>
            </w:pPr>
            <w:r>
              <w:rPr>
                <w:rFonts w:hint="eastAsia" w:asciiTheme="minorEastAsia" w:hAnsiTheme="minorEastAsia" w:cstheme="minorEastAsia"/>
                <w:sz w:val="18"/>
                <w:szCs w:val="18"/>
              </w:rPr>
              <w:t>大宗交易   ☑</w:t>
            </w:r>
          </w:p>
          <w:p w14:paraId="177AB825">
            <w:pPr>
              <w:rPr>
                <w:rFonts w:asciiTheme="minorEastAsia" w:hAnsiTheme="minorEastAsia" w:cstheme="minorEastAsia"/>
                <w:sz w:val="18"/>
                <w:szCs w:val="18"/>
              </w:rPr>
            </w:pPr>
            <w:r>
              <w:rPr>
                <w:rFonts w:hint="eastAsia" w:asciiTheme="minorEastAsia" w:hAnsiTheme="minorEastAsia" w:cstheme="minorEastAsia"/>
                <w:sz w:val="18"/>
                <w:szCs w:val="18"/>
              </w:rPr>
              <w:t>其他：____</w:t>
            </w:r>
          </w:p>
        </w:tc>
        <w:tc>
          <w:tcPr>
            <w:tcW w:w="778" w:type="pct"/>
            <w:tcBorders>
              <w:left w:val="single" w:color="auto" w:sz="4" w:space="0"/>
              <w:right w:val="single" w:color="auto" w:sz="4" w:space="0"/>
            </w:tcBorders>
            <w:shd w:val="clear" w:color="auto" w:fill="auto"/>
            <w:vAlign w:val="center"/>
          </w:tcPr>
          <w:p w14:paraId="19528D2A">
            <w:pPr>
              <w:rPr>
                <w:rFonts w:asciiTheme="minorEastAsia" w:hAnsiTheme="minorEastAsia" w:cstheme="minorEastAsia"/>
                <w:sz w:val="18"/>
                <w:szCs w:val="18"/>
              </w:rPr>
            </w:pPr>
            <w:r>
              <w:rPr>
                <w:rFonts w:hint="eastAsia" w:asciiTheme="minorEastAsia" w:hAnsiTheme="minorEastAsia" w:cstheme="minorEastAsia"/>
                <w:sz w:val="18"/>
                <w:szCs w:val="18"/>
              </w:rPr>
              <w:t>2025/07/22</w:t>
            </w:r>
          </w:p>
        </w:tc>
      </w:tr>
      <w:tr w14:paraId="4CC6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4B29CE93">
            <w:pPr>
              <w:rPr>
                <w:rFonts w:asciiTheme="minorEastAsia" w:hAnsiTheme="minorEastAsia" w:cstheme="minorEastAsia"/>
                <w:sz w:val="18"/>
                <w:szCs w:val="18"/>
              </w:rPr>
            </w:pPr>
            <w:r>
              <w:rPr>
                <w:rFonts w:hint="eastAsia" w:asciiTheme="minorEastAsia" w:hAnsiTheme="minorEastAsia" w:cstheme="minorEastAsia"/>
                <w:sz w:val="18"/>
                <w:szCs w:val="18"/>
              </w:rPr>
              <w:t>杨小林</w:t>
            </w:r>
          </w:p>
        </w:tc>
        <w:tc>
          <w:tcPr>
            <w:tcW w:w="782" w:type="pct"/>
            <w:tcBorders>
              <w:top w:val="single" w:color="auto" w:sz="4" w:space="0"/>
              <w:left w:val="single" w:color="auto" w:sz="4" w:space="0"/>
              <w:bottom w:val="single" w:color="auto" w:sz="4" w:space="0"/>
              <w:right w:val="single" w:color="auto" w:sz="4" w:space="0"/>
            </w:tcBorders>
            <w:vAlign w:val="center"/>
          </w:tcPr>
          <w:p w14:paraId="205729DD">
            <w:pPr>
              <w:jc w:val="center"/>
              <w:rPr>
                <w:rFonts w:asciiTheme="minorEastAsia" w:hAnsiTheme="minorEastAsia" w:cstheme="minorEastAsia"/>
                <w:sz w:val="18"/>
                <w:szCs w:val="18"/>
              </w:rPr>
            </w:pPr>
            <w:r>
              <w:rPr>
                <w:rFonts w:hint="eastAsia" w:asciiTheme="minorEastAsia" w:hAnsiTheme="minorEastAsia" w:cstheme="minorEastAsia"/>
                <w:sz w:val="18"/>
                <w:szCs w:val="18"/>
              </w:rPr>
              <w:t>173.00</w:t>
            </w:r>
          </w:p>
        </w:tc>
        <w:tc>
          <w:tcPr>
            <w:tcW w:w="548" w:type="pct"/>
            <w:tcBorders>
              <w:top w:val="single" w:color="auto" w:sz="4" w:space="0"/>
              <w:left w:val="single" w:color="auto" w:sz="4" w:space="0"/>
              <w:bottom w:val="single" w:color="auto" w:sz="4" w:space="0"/>
              <w:right w:val="single" w:color="auto" w:sz="4" w:space="0"/>
            </w:tcBorders>
            <w:vAlign w:val="center"/>
          </w:tcPr>
          <w:p w14:paraId="41A8629B">
            <w:pPr>
              <w:jc w:val="center"/>
              <w:rPr>
                <w:rFonts w:asciiTheme="minorEastAsia" w:hAnsiTheme="minorEastAsia" w:cstheme="minorEastAsia"/>
                <w:sz w:val="18"/>
                <w:szCs w:val="18"/>
              </w:rPr>
            </w:pPr>
            <w:r>
              <w:rPr>
                <w:rFonts w:hint="eastAsia" w:asciiTheme="minorEastAsia" w:hAnsiTheme="minorEastAsia" w:cstheme="minorEastAsia"/>
                <w:sz w:val="18"/>
                <w:szCs w:val="18"/>
              </w:rPr>
              <w:t>0.52%</w:t>
            </w:r>
          </w:p>
        </w:tc>
        <w:tc>
          <w:tcPr>
            <w:tcW w:w="757" w:type="pct"/>
            <w:tcBorders>
              <w:top w:val="single" w:color="auto" w:sz="4" w:space="0"/>
              <w:left w:val="single" w:color="auto" w:sz="4" w:space="0"/>
              <w:bottom w:val="single" w:color="auto" w:sz="4" w:space="0"/>
              <w:right w:val="single" w:color="auto" w:sz="4" w:space="0"/>
            </w:tcBorders>
            <w:vAlign w:val="center"/>
          </w:tcPr>
          <w:p w14:paraId="61A1A206">
            <w:pPr>
              <w:jc w:val="center"/>
              <w:rPr>
                <w:rFonts w:hint="default" w:asciiTheme="minorEastAsia" w:hAnsiTheme="minorEastAsia" w:cstheme="minorEastAsia"/>
                <w:sz w:val="18"/>
                <w:szCs w:val="18"/>
                <w:lang w:val="en-US"/>
              </w:rPr>
            </w:pPr>
            <w:r>
              <w:rPr>
                <w:rFonts w:hint="eastAsia" w:asciiTheme="minorEastAsia" w:hAnsiTheme="minorEastAsia" w:cstheme="minorEastAsia"/>
                <w:sz w:val="18"/>
                <w:szCs w:val="18"/>
              </w:rPr>
              <w:t xml:space="preserve"> 8</w:t>
            </w:r>
            <w:r>
              <w:rPr>
                <w:rFonts w:hint="eastAsia" w:asciiTheme="minorEastAsia" w:hAnsiTheme="minorEastAsia" w:cstheme="minorEastAsia"/>
                <w:sz w:val="18"/>
                <w:szCs w:val="18"/>
                <w:lang w:val="en-US" w:eastAsia="zh-CN"/>
              </w:rPr>
              <w:t>1.99</w:t>
            </w:r>
          </w:p>
        </w:tc>
        <w:tc>
          <w:tcPr>
            <w:tcW w:w="564" w:type="pct"/>
            <w:tcBorders>
              <w:top w:val="single" w:color="auto" w:sz="4" w:space="0"/>
              <w:left w:val="single" w:color="auto" w:sz="4" w:space="0"/>
              <w:bottom w:val="single" w:color="auto" w:sz="4" w:space="0"/>
              <w:right w:val="single" w:color="auto" w:sz="4" w:space="0"/>
            </w:tcBorders>
            <w:vAlign w:val="center"/>
          </w:tcPr>
          <w:p w14:paraId="66493B83">
            <w:pPr>
              <w:jc w:val="center"/>
              <w:rPr>
                <w:rFonts w:asciiTheme="minorEastAsia" w:hAnsiTheme="minorEastAsia" w:cstheme="minorEastAsia"/>
                <w:sz w:val="18"/>
                <w:szCs w:val="18"/>
              </w:rPr>
            </w:pPr>
            <w:r>
              <w:rPr>
                <w:rFonts w:hint="eastAsia" w:asciiTheme="minorEastAsia" w:hAnsiTheme="minorEastAsia" w:cstheme="minorEastAsia"/>
                <w:sz w:val="18"/>
                <w:szCs w:val="18"/>
              </w:rPr>
              <w:t>0.25%</w:t>
            </w:r>
          </w:p>
        </w:tc>
        <w:tc>
          <w:tcPr>
            <w:tcW w:w="970" w:type="pct"/>
            <w:tcBorders>
              <w:left w:val="single" w:color="auto" w:sz="4" w:space="0"/>
              <w:right w:val="single" w:color="auto" w:sz="4" w:space="0"/>
            </w:tcBorders>
            <w:vAlign w:val="center"/>
          </w:tcPr>
          <w:p w14:paraId="1F91866D">
            <w:pPr>
              <w:rPr>
                <w:rFonts w:asciiTheme="minorEastAsia" w:hAnsiTheme="minorEastAsia" w:cstheme="minorEastAsia"/>
                <w:sz w:val="18"/>
                <w:szCs w:val="18"/>
              </w:rPr>
            </w:pPr>
            <w:r>
              <w:rPr>
                <w:rFonts w:hint="eastAsia" w:asciiTheme="minorEastAsia" w:hAnsiTheme="minorEastAsia" w:cstheme="minorEastAsia"/>
                <w:sz w:val="18"/>
                <w:szCs w:val="18"/>
              </w:rPr>
              <w:t>集中竞价   ☑</w:t>
            </w:r>
          </w:p>
          <w:p w14:paraId="09A288FF">
            <w:pPr>
              <w:rPr>
                <w:rFonts w:asciiTheme="minorEastAsia" w:hAnsiTheme="minorEastAsia" w:cstheme="minorEastAsia"/>
                <w:sz w:val="18"/>
                <w:szCs w:val="18"/>
              </w:rPr>
            </w:pPr>
            <w:r>
              <w:rPr>
                <w:rFonts w:hint="eastAsia" w:asciiTheme="minorEastAsia" w:hAnsiTheme="minorEastAsia" w:cstheme="minorEastAsia"/>
                <w:sz w:val="18"/>
                <w:szCs w:val="18"/>
              </w:rPr>
              <w:t>大宗交易   □</w:t>
            </w:r>
          </w:p>
          <w:p w14:paraId="6102D369">
            <w:pPr>
              <w:rPr>
                <w:rFonts w:asciiTheme="minorEastAsia" w:hAnsiTheme="minorEastAsia" w:cstheme="minorEastAsia"/>
                <w:sz w:val="18"/>
                <w:szCs w:val="18"/>
              </w:rPr>
            </w:pPr>
            <w:r>
              <w:rPr>
                <w:rFonts w:hint="eastAsia" w:asciiTheme="minorEastAsia" w:hAnsiTheme="minorEastAsia" w:cstheme="minorEastAsia"/>
                <w:sz w:val="18"/>
                <w:szCs w:val="18"/>
              </w:rPr>
              <w:t>其他：____</w:t>
            </w:r>
          </w:p>
        </w:tc>
        <w:tc>
          <w:tcPr>
            <w:tcW w:w="778" w:type="pct"/>
            <w:tcBorders>
              <w:left w:val="single" w:color="auto" w:sz="4" w:space="0"/>
              <w:right w:val="single" w:color="auto" w:sz="4" w:space="0"/>
            </w:tcBorders>
            <w:shd w:val="clear" w:color="auto" w:fill="auto"/>
            <w:vAlign w:val="center"/>
          </w:tcPr>
          <w:p w14:paraId="6527195F">
            <w:pPr>
              <w:rPr>
                <w:rFonts w:asciiTheme="minorEastAsia" w:hAnsiTheme="minorEastAsia" w:cstheme="minorEastAsia"/>
                <w:sz w:val="18"/>
                <w:szCs w:val="18"/>
              </w:rPr>
            </w:pPr>
            <w:r>
              <w:rPr>
                <w:rFonts w:hint="eastAsia" w:asciiTheme="minorEastAsia" w:hAnsiTheme="minorEastAsia" w:cstheme="minorEastAsia"/>
                <w:sz w:val="18"/>
                <w:szCs w:val="18"/>
              </w:rPr>
              <w:t>2025/07/16- 2025/07/22</w:t>
            </w:r>
          </w:p>
        </w:tc>
      </w:tr>
      <w:tr w14:paraId="1DB8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597" w:type="pct"/>
            <w:tcBorders>
              <w:top w:val="single" w:color="auto" w:sz="4" w:space="0"/>
              <w:left w:val="single" w:color="auto" w:sz="4" w:space="0"/>
              <w:bottom w:val="single" w:color="auto" w:sz="4" w:space="0"/>
              <w:right w:val="single" w:color="auto" w:sz="4" w:space="0"/>
            </w:tcBorders>
            <w:vAlign w:val="center"/>
          </w:tcPr>
          <w:p w14:paraId="71291767">
            <w:pPr>
              <w:widowControl/>
              <w:numPr>
                <w:ilvl w:val="255"/>
                <w:numId w:val="0"/>
              </w:numPr>
              <w:spacing w:line="540" w:lineRule="exact"/>
              <w:jc w:val="center"/>
              <w:rPr>
                <w:rFonts w:asciiTheme="minorEastAsia" w:hAnsiTheme="minorEastAsia" w:cstheme="minorEastAsia"/>
                <w:b/>
                <w:bCs/>
                <w:sz w:val="18"/>
                <w:szCs w:val="18"/>
              </w:rPr>
            </w:pPr>
            <w:r>
              <w:rPr>
                <w:rFonts w:hint="eastAsia" w:asciiTheme="minorEastAsia" w:hAnsiTheme="minorEastAsia" w:cstheme="minorEastAsia"/>
                <w:sz w:val="18"/>
                <w:szCs w:val="18"/>
              </w:rPr>
              <w:t>合计</w:t>
            </w:r>
          </w:p>
        </w:tc>
        <w:tc>
          <w:tcPr>
            <w:tcW w:w="782" w:type="pct"/>
            <w:tcBorders>
              <w:top w:val="single" w:color="auto" w:sz="4" w:space="0"/>
              <w:left w:val="single" w:color="auto" w:sz="4" w:space="0"/>
              <w:bottom w:val="single" w:color="auto" w:sz="4" w:space="0"/>
              <w:right w:val="single" w:color="auto" w:sz="4" w:space="0"/>
            </w:tcBorders>
            <w:vAlign w:val="center"/>
          </w:tcPr>
          <w:p w14:paraId="4D784228">
            <w:pPr>
              <w:jc w:val="center"/>
              <w:rPr>
                <w:rFonts w:asciiTheme="minorEastAsia" w:hAnsiTheme="minorEastAsia" w:cstheme="minorEastAsia"/>
                <w:sz w:val="18"/>
                <w:szCs w:val="18"/>
              </w:rPr>
            </w:pPr>
            <w:r>
              <w:rPr>
                <w:rFonts w:hint="eastAsia" w:asciiTheme="minorEastAsia" w:hAnsiTheme="minorEastAsia" w:cstheme="minorEastAsia"/>
                <w:sz w:val="18"/>
                <w:szCs w:val="18"/>
              </w:rPr>
              <w:t>1,463.00</w:t>
            </w:r>
          </w:p>
        </w:tc>
        <w:tc>
          <w:tcPr>
            <w:tcW w:w="548" w:type="pct"/>
            <w:tcBorders>
              <w:top w:val="single" w:color="auto" w:sz="4" w:space="0"/>
              <w:left w:val="single" w:color="auto" w:sz="4" w:space="0"/>
              <w:bottom w:val="single" w:color="auto" w:sz="4" w:space="0"/>
              <w:right w:val="single" w:color="auto" w:sz="4" w:space="0"/>
            </w:tcBorders>
            <w:vAlign w:val="center"/>
          </w:tcPr>
          <w:p w14:paraId="04AF8BC4">
            <w:pPr>
              <w:jc w:val="center"/>
              <w:rPr>
                <w:rFonts w:asciiTheme="minorEastAsia" w:hAnsiTheme="minorEastAsia" w:cstheme="minorEastAsia"/>
                <w:sz w:val="18"/>
                <w:szCs w:val="18"/>
              </w:rPr>
            </w:pPr>
            <w:r>
              <w:rPr>
                <w:rFonts w:hint="eastAsia" w:asciiTheme="minorEastAsia" w:hAnsiTheme="minorEastAsia" w:cstheme="minorEastAsia"/>
                <w:sz w:val="18"/>
                <w:szCs w:val="18"/>
              </w:rPr>
              <w:t>4.40%</w:t>
            </w:r>
          </w:p>
        </w:tc>
        <w:tc>
          <w:tcPr>
            <w:tcW w:w="757" w:type="pct"/>
            <w:tcBorders>
              <w:top w:val="single" w:color="auto" w:sz="4" w:space="0"/>
              <w:left w:val="single" w:color="auto" w:sz="4" w:space="0"/>
              <w:bottom w:val="single" w:color="auto" w:sz="4" w:space="0"/>
              <w:right w:val="single" w:color="auto" w:sz="4" w:space="0"/>
            </w:tcBorders>
            <w:vAlign w:val="center"/>
          </w:tcPr>
          <w:p w14:paraId="2F858EFF">
            <w:pPr>
              <w:jc w:val="center"/>
              <w:rPr>
                <w:rFonts w:asciiTheme="minorEastAsia" w:hAnsiTheme="minorEastAsia" w:cstheme="minorEastAsia"/>
                <w:sz w:val="18"/>
                <w:szCs w:val="18"/>
              </w:rPr>
            </w:pPr>
            <w:r>
              <w:rPr>
                <w:rFonts w:hint="eastAsia" w:asciiTheme="minorEastAsia" w:hAnsiTheme="minorEastAsia" w:cstheme="minorEastAsia"/>
                <w:sz w:val="18"/>
                <w:szCs w:val="18"/>
              </w:rPr>
              <w:t xml:space="preserve"> 1,149.5</w:t>
            </w:r>
            <w:r>
              <w:rPr>
                <w:rFonts w:hint="eastAsia" w:asciiTheme="minorEastAsia" w:hAnsiTheme="minorEastAsia" w:cstheme="minorEastAsia"/>
                <w:sz w:val="18"/>
                <w:szCs w:val="18"/>
                <w:lang w:val="en-US" w:eastAsia="zh-CN"/>
              </w:rPr>
              <w:t>7</w:t>
            </w:r>
            <w:bookmarkStart w:id="0" w:name="_GoBack"/>
            <w:bookmarkEnd w:id="0"/>
          </w:p>
        </w:tc>
        <w:tc>
          <w:tcPr>
            <w:tcW w:w="564" w:type="pct"/>
            <w:tcBorders>
              <w:top w:val="single" w:color="auto" w:sz="4" w:space="0"/>
              <w:left w:val="single" w:color="auto" w:sz="4" w:space="0"/>
              <w:bottom w:val="single" w:color="auto" w:sz="4" w:space="0"/>
              <w:right w:val="single" w:color="auto" w:sz="4" w:space="0"/>
            </w:tcBorders>
            <w:vAlign w:val="center"/>
          </w:tcPr>
          <w:p w14:paraId="4EB47483">
            <w:pPr>
              <w:jc w:val="center"/>
              <w:rPr>
                <w:rFonts w:asciiTheme="minorEastAsia" w:hAnsiTheme="minorEastAsia" w:cstheme="minorEastAsia"/>
                <w:sz w:val="18"/>
                <w:szCs w:val="18"/>
              </w:rPr>
            </w:pPr>
            <w:r>
              <w:rPr>
                <w:rFonts w:hint="eastAsia" w:asciiTheme="minorEastAsia" w:hAnsiTheme="minorEastAsia" w:cstheme="minorEastAsia"/>
                <w:sz w:val="18"/>
                <w:szCs w:val="18"/>
              </w:rPr>
              <w:t>3.46%</w:t>
            </w:r>
          </w:p>
        </w:tc>
        <w:tc>
          <w:tcPr>
            <w:tcW w:w="970" w:type="pct"/>
            <w:tcBorders>
              <w:left w:val="single" w:color="auto" w:sz="4" w:space="0"/>
              <w:bottom w:val="single" w:color="auto" w:sz="4" w:space="0"/>
              <w:right w:val="single" w:color="auto" w:sz="4" w:space="0"/>
            </w:tcBorders>
            <w:vAlign w:val="center"/>
          </w:tcPr>
          <w:p w14:paraId="29A1C50A">
            <w:pPr>
              <w:jc w:val="center"/>
              <w:rPr>
                <w:rFonts w:asciiTheme="minorEastAsia" w:hAnsiTheme="minorEastAsia" w:cstheme="minorEastAsia"/>
                <w:sz w:val="18"/>
                <w:szCs w:val="18"/>
              </w:rPr>
            </w:pPr>
            <w:r>
              <w:rPr>
                <w:rFonts w:hint="eastAsia" w:asciiTheme="minorEastAsia" w:hAnsiTheme="minorEastAsia" w:cstheme="minorEastAsia"/>
                <w:sz w:val="18"/>
                <w:szCs w:val="18"/>
              </w:rPr>
              <w:t>--</w:t>
            </w:r>
          </w:p>
        </w:tc>
        <w:tc>
          <w:tcPr>
            <w:tcW w:w="778" w:type="pct"/>
            <w:tcBorders>
              <w:left w:val="single" w:color="auto" w:sz="4" w:space="0"/>
              <w:bottom w:val="single" w:color="auto" w:sz="4" w:space="0"/>
              <w:right w:val="single" w:color="auto" w:sz="4" w:space="0"/>
            </w:tcBorders>
            <w:shd w:val="clear" w:color="auto" w:fill="auto"/>
            <w:vAlign w:val="center"/>
          </w:tcPr>
          <w:p w14:paraId="3DB3F652">
            <w:pPr>
              <w:jc w:val="center"/>
              <w:rPr>
                <w:rFonts w:asciiTheme="minorEastAsia" w:hAnsiTheme="minorEastAsia" w:cstheme="minorEastAsia"/>
                <w:sz w:val="18"/>
                <w:szCs w:val="18"/>
              </w:rPr>
            </w:pPr>
            <w:r>
              <w:rPr>
                <w:rFonts w:hint="eastAsia" w:asciiTheme="minorEastAsia" w:hAnsiTheme="minorEastAsia" w:cstheme="minorEastAsia"/>
                <w:sz w:val="18"/>
                <w:szCs w:val="18"/>
              </w:rPr>
              <w:t>--</w:t>
            </w:r>
          </w:p>
        </w:tc>
      </w:tr>
    </w:tbl>
    <w:p w14:paraId="44266CEF">
      <w:pPr>
        <w:widowControl/>
        <w:adjustRightInd w:val="0"/>
        <w:snapToGrid w:val="0"/>
        <w:spacing w:line="560" w:lineRule="exact"/>
        <w:jc w:val="left"/>
        <w:outlineLvl w:val="0"/>
        <w:rPr>
          <w:rFonts w:asciiTheme="minorEastAsia" w:hAnsiTheme="minorEastAsia" w:cstheme="minorEastAsia"/>
          <w:sz w:val="18"/>
          <w:szCs w:val="18"/>
        </w:rPr>
      </w:pPr>
      <w:r>
        <w:rPr>
          <w:rFonts w:hint="eastAsia" w:asciiTheme="minorEastAsia" w:hAnsiTheme="minorEastAsia" w:cstheme="minorEastAsia"/>
          <w:sz w:val="18"/>
          <w:szCs w:val="18"/>
        </w:rPr>
        <w:t>备注：上述一致行动人合计持有股份比例和本表变动前比例与公司于2025年6月24日披露的《股东减持股份计划公告》（公告编号：2025-032）存在差异系公司于2025年7月15日注销2024年限制性股票激励计划部分股票所致，具体情况详见公司于2025年7月11日披露的《关于部分限制性股票回购注销实施公告》（公告编号：2025-034）。</w:t>
      </w:r>
    </w:p>
    <w:p w14:paraId="3ECE14F8">
      <w:pPr>
        <w:widowControl/>
        <w:adjustRightInd w:val="0"/>
        <w:snapToGrid w:val="0"/>
        <w:spacing w:line="560" w:lineRule="exact"/>
        <w:jc w:val="left"/>
        <w:outlineLvl w:val="0"/>
        <w:rPr>
          <w:rFonts w:asciiTheme="minorEastAsia" w:hAnsiTheme="minorEastAsia" w:cstheme="minorEastAsia"/>
          <w:b/>
          <w:bCs/>
          <w:sz w:val="28"/>
          <w:szCs w:val="28"/>
        </w:rPr>
      </w:pPr>
    </w:p>
    <w:p w14:paraId="5CD31001">
      <w:pPr>
        <w:widowControl/>
        <w:numPr>
          <w:ilvl w:val="0"/>
          <w:numId w:val="1"/>
        </w:numPr>
        <w:adjustRightInd w:val="0"/>
        <w:snapToGrid w:val="0"/>
        <w:spacing w:line="560" w:lineRule="exact"/>
        <w:ind w:left="0" w:firstLine="565" w:firstLineChars="201"/>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其他说明</w:t>
      </w:r>
    </w:p>
    <w:p w14:paraId="72CB6E1E">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1、本次权益变动为股东履行此前披露的减持计划，不触及要约收购，本次减持事项与股东此前已披露的计划、承诺一致。截至本公告披露日，本次减持股份计划尚未实施完毕。</w:t>
      </w:r>
    </w:p>
    <w:p w14:paraId="7DE7D6AC">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2、本次权益变动不会导致公司控股股东和实际控制人发生变化，不会对公司治理结构及持续经营产生重大影响。</w:t>
      </w:r>
    </w:p>
    <w:p w14:paraId="43A0EBDC">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3、本次权益变动不涉及信息披露义务人披露权益变动报告书，不存在违反《中华人民共和国证券法》《上市公司股东减持股份管理暂行办法》《上海证券交易所股票上市规则》《上海证券交易所上市公司自律监管指引第15号——股东及董事、高级管理人员减持股份》等法律法规和规范性文件规定的情形。</w:t>
      </w:r>
    </w:p>
    <w:p w14:paraId="66F00307">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4、本次权益变动后，信息披露义务人仍处于其减持计划实施期间，公司将持续关注减持计划的进展情况，并按照相关规定履行信息披露义务，敬请广大投资者注意投资风险。</w:t>
      </w:r>
    </w:p>
    <w:p w14:paraId="7324C445">
      <w:pPr>
        <w:widowControl/>
        <w:adjustRightInd w:val="0"/>
        <w:snapToGrid w:val="0"/>
        <w:spacing w:line="560" w:lineRule="exact"/>
        <w:ind w:firstLine="600"/>
        <w:jc w:val="left"/>
        <w:rPr>
          <w:rFonts w:asciiTheme="minorEastAsia" w:hAnsiTheme="minorEastAsia" w:cstheme="minorEastAsia"/>
          <w:sz w:val="30"/>
          <w:szCs w:val="30"/>
        </w:rPr>
      </w:pPr>
    </w:p>
    <w:p w14:paraId="2DF9D4CF">
      <w:pPr>
        <w:widowControl/>
        <w:adjustRightInd w:val="0"/>
        <w:snapToGrid w:val="0"/>
        <w:spacing w:line="560" w:lineRule="exact"/>
        <w:ind w:firstLine="600"/>
        <w:jc w:val="left"/>
        <w:rPr>
          <w:rFonts w:asciiTheme="minorEastAsia" w:hAnsiTheme="minorEastAsia" w:cstheme="minorEastAsia"/>
          <w:sz w:val="24"/>
          <w:szCs w:val="24"/>
        </w:rPr>
      </w:pPr>
      <w:r>
        <w:rPr>
          <w:rFonts w:hint="eastAsia" w:asciiTheme="minorEastAsia" w:hAnsiTheme="minorEastAsia" w:cstheme="minorEastAsia"/>
          <w:sz w:val="24"/>
          <w:szCs w:val="24"/>
        </w:rPr>
        <w:t>特此公告。</w:t>
      </w:r>
    </w:p>
    <w:p w14:paraId="45D22563">
      <w:pPr>
        <w:widowControl/>
        <w:spacing w:line="560" w:lineRule="exact"/>
        <w:jc w:val="right"/>
        <w:rPr>
          <w:rFonts w:asciiTheme="minorEastAsia" w:hAnsiTheme="minorEastAsia" w:cstheme="minorEastAsia"/>
          <w:sz w:val="24"/>
          <w:szCs w:val="24"/>
        </w:rPr>
      </w:pPr>
      <w:r>
        <w:rPr>
          <w:rFonts w:hint="eastAsia" w:asciiTheme="minorEastAsia" w:hAnsiTheme="minorEastAsia" w:cstheme="minorEastAsia"/>
          <w:sz w:val="24"/>
          <w:szCs w:val="24"/>
        </w:rPr>
        <w:t xml:space="preserve">重庆望变电气（集团）股份有限公司董事会                          </w:t>
      </w:r>
    </w:p>
    <w:p w14:paraId="1B588678">
      <w:pPr>
        <w:pStyle w:val="29"/>
        <w:adjustRightInd w:val="0"/>
        <w:snapToGrid w:val="0"/>
        <w:spacing w:line="560" w:lineRule="exact"/>
        <w:ind w:firstLine="480" w:firstLineChars="200"/>
        <w:jc w:val="righ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2025年7月 24日</w:t>
      </w:r>
    </w:p>
    <w:p w14:paraId="1DA4BFD9">
      <w:pPr>
        <w:pStyle w:val="29"/>
        <w:adjustRightInd w:val="0"/>
        <w:snapToGrid w:val="0"/>
        <w:spacing w:line="560" w:lineRule="exact"/>
        <w:ind w:firstLine="600" w:firstLineChars="200"/>
        <w:jc w:val="right"/>
        <w:rPr>
          <w:rFonts w:ascii="仿宋" w:hAnsi="仿宋" w:eastAsia="仿宋_GB2312"/>
          <w:color w:val="000000"/>
          <w:sz w:val="30"/>
          <w:szCs w:val="30"/>
        </w:rPr>
      </w:pPr>
    </w:p>
    <w:p w14:paraId="184594E3">
      <w:pPr>
        <w:adjustRightInd w:val="0"/>
        <w:snapToGrid w:val="0"/>
        <w:spacing w:line="360" w:lineRule="auto"/>
        <w:jc w:val="right"/>
        <w:rPr>
          <w:rFonts w:asciiTheme="majorEastAsia" w:hAnsiTheme="majorEastAsia" w:eastAsiaTheme="maj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41236"/>
    <w:multiLevelType w:val="singleLevel"/>
    <w:tmpl w:val="CEE41236"/>
    <w:lvl w:ilvl="0" w:tentative="0">
      <w:start w:val="1"/>
      <w:numFmt w:val="chineseCountingThousand"/>
      <w:lvlText w:val="%1、"/>
      <w:lvlJc w:val="left"/>
      <w:pPr>
        <w:ind w:left="440" w:hanging="44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5296D"/>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677"/>
    <w:rsid w:val="000A777E"/>
    <w:rsid w:val="000A779D"/>
    <w:rsid w:val="000B1C0F"/>
    <w:rsid w:val="000B26F4"/>
    <w:rsid w:val="000B5402"/>
    <w:rsid w:val="000B61DD"/>
    <w:rsid w:val="000B6EFB"/>
    <w:rsid w:val="000C126A"/>
    <w:rsid w:val="000C1CD5"/>
    <w:rsid w:val="000C26F1"/>
    <w:rsid w:val="000C2BA7"/>
    <w:rsid w:val="000C4D9C"/>
    <w:rsid w:val="000C4F6E"/>
    <w:rsid w:val="000D00E5"/>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3A27"/>
    <w:rsid w:val="0013329D"/>
    <w:rsid w:val="001345D6"/>
    <w:rsid w:val="00135412"/>
    <w:rsid w:val="00136B4D"/>
    <w:rsid w:val="00142572"/>
    <w:rsid w:val="00142BE7"/>
    <w:rsid w:val="00144A2D"/>
    <w:rsid w:val="00145AE4"/>
    <w:rsid w:val="00146AE6"/>
    <w:rsid w:val="00147BA3"/>
    <w:rsid w:val="001509BD"/>
    <w:rsid w:val="001511F4"/>
    <w:rsid w:val="00154ECD"/>
    <w:rsid w:val="00154F63"/>
    <w:rsid w:val="001627BA"/>
    <w:rsid w:val="001635C5"/>
    <w:rsid w:val="001656ED"/>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522"/>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5B1A"/>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29D6"/>
    <w:rsid w:val="002E3CFE"/>
    <w:rsid w:val="002E5862"/>
    <w:rsid w:val="002E6FED"/>
    <w:rsid w:val="002F0218"/>
    <w:rsid w:val="002F4615"/>
    <w:rsid w:val="002F7887"/>
    <w:rsid w:val="00300E0C"/>
    <w:rsid w:val="003068DE"/>
    <w:rsid w:val="00306CA5"/>
    <w:rsid w:val="003071F3"/>
    <w:rsid w:val="00317BC2"/>
    <w:rsid w:val="003216A9"/>
    <w:rsid w:val="0032367F"/>
    <w:rsid w:val="00323A21"/>
    <w:rsid w:val="0032458D"/>
    <w:rsid w:val="003253F1"/>
    <w:rsid w:val="00325654"/>
    <w:rsid w:val="0032604F"/>
    <w:rsid w:val="00331C12"/>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5DF"/>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6FB8"/>
    <w:rsid w:val="00427543"/>
    <w:rsid w:val="00430B69"/>
    <w:rsid w:val="0043754A"/>
    <w:rsid w:val="00437CE1"/>
    <w:rsid w:val="0044168F"/>
    <w:rsid w:val="00442A1B"/>
    <w:rsid w:val="00443A37"/>
    <w:rsid w:val="004443A8"/>
    <w:rsid w:val="00444D15"/>
    <w:rsid w:val="004452CF"/>
    <w:rsid w:val="004462D1"/>
    <w:rsid w:val="00447880"/>
    <w:rsid w:val="00452D11"/>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5628C"/>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0477"/>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6C4D"/>
    <w:rsid w:val="00674103"/>
    <w:rsid w:val="00674AEB"/>
    <w:rsid w:val="00675CB6"/>
    <w:rsid w:val="006775D3"/>
    <w:rsid w:val="006800B3"/>
    <w:rsid w:val="00681310"/>
    <w:rsid w:val="00681474"/>
    <w:rsid w:val="00681F63"/>
    <w:rsid w:val="00686268"/>
    <w:rsid w:val="00692118"/>
    <w:rsid w:val="00692532"/>
    <w:rsid w:val="00695C7D"/>
    <w:rsid w:val="0069742F"/>
    <w:rsid w:val="006A0A03"/>
    <w:rsid w:val="006A2470"/>
    <w:rsid w:val="006A2D38"/>
    <w:rsid w:val="006A7E6C"/>
    <w:rsid w:val="006B3409"/>
    <w:rsid w:val="006B56A9"/>
    <w:rsid w:val="006B5AA8"/>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E29"/>
    <w:rsid w:val="0070411A"/>
    <w:rsid w:val="00704EED"/>
    <w:rsid w:val="0070522C"/>
    <w:rsid w:val="00707527"/>
    <w:rsid w:val="0071102F"/>
    <w:rsid w:val="00713304"/>
    <w:rsid w:val="007138A7"/>
    <w:rsid w:val="007138E6"/>
    <w:rsid w:val="00715DE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51BF"/>
    <w:rsid w:val="0079698F"/>
    <w:rsid w:val="007A1462"/>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601E"/>
    <w:rsid w:val="00876218"/>
    <w:rsid w:val="00876CAD"/>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D80"/>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345F"/>
    <w:rsid w:val="00997254"/>
    <w:rsid w:val="009A1B98"/>
    <w:rsid w:val="009A240C"/>
    <w:rsid w:val="009A5C7D"/>
    <w:rsid w:val="009A5DAF"/>
    <w:rsid w:val="009A6874"/>
    <w:rsid w:val="009A7601"/>
    <w:rsid w:val="009B026F"/>
    <w:rsid w:val="009B3ABD"/>
    <w:rsid w:val="009B7AEF"/>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56CC"/>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2958"/>
    <w:rsid w:val="00BC33E9"/>
    <w:rsid w:val="00BC3975"/>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C05"/>
    <w:rsid w:val="00C13F3C"/>
    <w:rsid w:val="00C144FC"/>
    <w:rsid w:val="00C154E0"/>
    <w:rsid w:val="00C1607F"/>
    <w:rsid w:val="00C16743"/>
    <w:rsid w:val="00C176BF"/>
    <w:rsid w:val="00C17AE0"/>
    <w:rsid w:val="00C17E9A"/>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8A6"/>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079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40B0"/>
    <w:rsid w:val="00CA5963"/>
    <w:rsid w:val="00CA5F3C"/>
    <w:rsid w:val="00CA6285"/>
    <w:rsid w:val="00CA62D8"/>
    <w:rsid w:val="00CB23BD"/>
    <w:rsid w:val="00CB3998"/>
    <w:rsid w:val="00CB5618"/>
    <w:rsid w:val="00CB577A"/>
    <w:rsid w:val="00CC2320"/>
    <w:rsid w:val="00CC290D"/>
    <w:rsid w:val="00CC483E"/>
    <w:rsid w:val="00CD0519"/>
    <w:rsid w:val="00CD09B1"/>
    <w:rsid w:val="00CD2075"/>
    <w:rsid w:val="00CD4E82"/>
    <w:rsid w:val="00CD598F"/>
    <w:rsid w:val="00CD5F14"/>
    <w:rsid w:val="00CD6A04"/>
    <w:rsid w:val="00CE374C"/>
    <w:rsid w:val="00CE4A6D"/>
    <w:rsid w:val="00CE5795"/>
    <w:rsid w:val="00CE63C1"/>
    <w:rsid w:val="00CF1E4D"/>
    <w:rsid w:val="00CF29FF"/>
    <w:rsid w:val="00CF2A56"/>
    <w:rsid w:val="00CF44E4"/>
    <w:rsid w:val="00CF46A3"/>
    <w:rsid w:val="00CF5FE7"/>
    <w:rsid w:val="00D07067"/>
    <w:rsid w:val="00D075AA"/>
    <w:rsid w:val="00D10370"/>
    <w:rsid w:val="00D11861"/>
    <w:rsid w:val="00D11D57"/>
    <w:rsid w:val="00D15067"/>
    <w:rsid w:val="00D16C7C"/>
    <w:rsid w:val="00D16E03"/>
    <w:rsid w:val="00D174C9"/>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B90"/>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0EF6"/>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0271"/>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705B8"/>
    <w:rsid w:val="00E711DA"/>
    <w:rsid w:val="00E75F3F"/>
    <w:rsid w:val="00E7715F"/>
    <w:rsid w:val="00E773DC"/>
    <w:rsid w:val="00E810AC"/>
    <w:rsid w:val="00E828AC"/>
    <w:rsid w:val="00E84345"/>
    <w:rsid w:val="00E87CC3"/>
    <w:rsid w:val="00E91098"/>
    <w:rsid w:val="00E9210B"/>
    <w:rsid w:val="00EA3AE2"/>
    <w:rsid w:val="00EA4A45"/>
    <w:rsid w:val="00EA4CD3"/>
    <w:rsid w:val="00EA4FFB"/>
    <w:rsid w:val="00EA6164"/>
    <w:rsid w:val="00EA7A01"/>
    <w:rsid w:val="00EA7CCD"/>
    <w:rsid w:val="00EB154B"/>
    <w:rsid w:val="00EB234D"/>
    <w:rsid w:val="00EB5C44"/>
    <w:rsid w:val="00EB5FE0"/>
    <w:rsid w:val="00EC185B"/>
    <w:rsid w:val="00EC3922"/>
    <w:rsid w:val="00EC428E"/>
    <w:rsid w:val="00EC50AD"/>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35B"/>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B738B"/>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AD1257A"/>
    <w:rsid w:val="0E9457C0"/>
    <w:rsid w:val="1E85149C"/>
    <w:rsid w:val="1F6D1D58"/>
    <w:rsid w:val="1FAA25B7"/>
    <w:rsid w:val="28B4582A"/>
    <w:rsid w:val="313B7751"/>
    <w:rsid w:val="41AD04EB"/>
    <w:rsid w:val="42A13108"/>
    <w:rsid w:val="45142198"/>
    <w:rsid w:val="4F5C5F5E"/>
    <w:rsid w:val="56286FD1"/>
    <w:rsid w:val="5B7C1794"/>
    <w:rsid w:val="F5EE9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style>
  <w:style w:type="paragraph" w:styleId="6">
    <w:name w:val="Balloon Text"/>
    <w:basedOn w:val="1"/>
    <w:link w:val="1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6"/>
    <w:semiHidden/>
    <w:qFormat/>
    <w:uiPriority w:val="99"/>
    <w:rPr>
      <w:sz w:val="18"/>
      <w:szCs w:val="18"/>
    </w:rPr>
  </w:style>
  <w:style w:type="character" w:customStyle="1" w:styleId="14">
    <w:name w:val="标题 1 字符"/>
    <w:basedOn w:val="11"/>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styleId="16">
    <w:name w:val="Placeholder Text"/>
    <w:basedOn w:val="11"/>
    <w:semiHidden/>
    <w:qFormat/>
    <w:uiPriority w:val="99"/>
    <w:rPr>
      <w:color w:val="auto"/>
    </w:r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character" w:customStyle="1" w:styleId="20">
    <w:name w:val="文档结构图 字符"/>
    <w:basedOn w:val="11"/>
    <w:link w:val="4"/>
    <w:semiHidden/>
    <w:qFormat/>
    <w:uiPriority w:val="99"/>
    <w:rPr>
      <w:rFonts w:ascii="宋体" w:eastAsia="宋体"/>
      <w:sz w:val="18"/>
      <w:szCs w:val="18"/>
    </w:rPr>
  </w:style>
  <w:style w:type="character" w:customStyle="1" w:styleId="21">
    <w:name w:val="样式1"/>
    <w:qFormat/>
    <w:uiPriority w:val="1"/>
  </w:style>
  <w:style w:type="character" w:customStyle="1" w:styleId="22">
    <w:name w:val="样式2"/>
    <w:basedOn w:val="21"/>
    <w:qFormat/>
    <w:uiPriority w:val="1"/>
  </w:style>
  <w:style w:type="character" w:customStyle="1" w:styleId="23">
    <w:name w:val="样式3"/>
    <w:basedOn w:val="21"/>
    <w:qFormat/>
    <w:uiPriority w:val="1"/>
  </w:style>
  <w:style w:type="character" w:customStyle="1" w:styleId="24">
    <w:name w:val="样式4"/>
    <w:basedOn w:val="21"/>
    <w:qFormat/>
    <w:uiPriority w:val="1"/>
  </w:style>
  <w:style w:type="character" w:customStyle="1" w:styleId="25">
    <w:name w:val="样式5"/>
    <w:basedOn w:val="21"/>
    <w:qFormat/>
    <w:uiPriority w:val="1"/>
  </w:style>
  <w:style w:type="character" w:customStyle="1" w:styleId="26">
    <w:name w:val="样式6"/>
    <w:basedOn w:val="24"/>
    <w:qFormat/>
    <w:uiPriority w:val="1"/>
  </w:style>
  <w:style w:type="character" w:customStyle="1" w:styleId="27">
    <w:name w:val="样式7"/>
    <w:basedOn w:val="24"/>
    <w:qFormat/>
    <w:uiPriority w:val="1"/>
  </w:style>
  <w:style w:type="character" w:customStyle="1" w:styleId="28">
    <w:name w:val="批注文字 字符"/>
    <w:basedOn w:val="11"/>
    <w:link w:val="5"/>
    <w:semiHidden/>
    <w:qFormat/>
    <w:uiPriority w:val="99"/>
  </w:style>
  <w:style w:type="paragraph" w:customStyle="1" w:styleId="29">
    <w:name w:val="p0"/>
    <w:basedOn w:val="1"/>
    <w:qFormat/>
    <w:uiPriority w:val="0"/>
    <w:pPr>
      <w:widowControl/>
    </w:pPr>
    <w:rPr>
      <w:rFonts w:ascii="Book Antiqua" w:hAnsi="Book Antiqua"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5F702C0B-EAAC-4378-AC13-1912A359BD09}"/>
      </w:docPartPr>
      <w:docPartBody>
        <w:p w14:paraId="63C5BF86">
          <w:pPr>
            <w:pStyle w:val="5"/>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32CF6"/>
    <w:rsid w:val="000343D6"/>
    <w:rsid w:val="0004422D"/>
    <w:rsid w:val="00051238"/>
    <w:rsid w:val="00064914"/>
    <w:rsid w:val="000777D0"/>
    <w:rsid w:val="00091B04"/>
    <w:rsid w:val="000927E9"/>
    <w:rsid w:val="000A7677"/>
    <w:rsid w:val="000B72CA"/>
    <w:rsid w:val="000D5200"/>
    <w:rsid w:val="000E3071"/>
    <w:rsid w:val="00111BD1"/>
    <w:rsid w:val="00145670"/>
    <w:rsid w:val="0016580D"/>
    <w:rsid w:val="0019225F"/>
    <w:rsid w:val="001D5BCD"/>
    <w:rsid w:val="001D6115"/>
    <w:rsid w:val="002143E6"/>
    <w:rsid w:val="00256D89"/>
    <w:rsid w:val="00267098"/>
    <w:rsid w:val="00282A8F"/>
    <w:rsid w:val="002A1489"/>
    <w:rsid w:val="002E6255"/>
    <w:rsid w:val="00306E3D"/>
    <w:rsid w:val="00316D69"/>
    <w:rsid w:val="0036106E"/>
    <w:rsid w:val="00376DD0"/>
    <w:rsid w:val="003810DE"/>
    <w:rsid w:val="003906EF"/>
    <w:rsid w:val="003B04EC"/>
    <w:rsid w:val="003B50D8"/>
    <w:rsid w:val="003D385E"/>
    <w:rsid w:val="004050E2"/>
    <w:rsid w:val="0043069B"/>
    <w:rsid w:val="00443A37"/>
    <w:rsid w:val="00452D11"/>
    <w:rsid w:val="00495DE2"/>
    <w:rsid w:val="004A1379"/>
    <w:rsid w:val="004A2790"/>
    <w:rsid w:val="004A4D38"/>
    <w:rsid w:val="004B104B"/>
    <w:rsid w:val="004B2A73"/>
    <w:rsid w:val="004B72D1"/>
    <w:rsid w:val="004E2C00"/>
    <w:rsid w:val="00505B16"/>
    <w:rsid w:val="00524560"/>
    <w:rsid w:val="005409B4"/>
    <w:rsid w:val="00541ABD"/>
    <w:rsid w:val="00584924"/>
    <w:rsid w:val="0058791E"/>
    <w:rsid w:val="005A02F7"/>
    <w:rsid w:val="005B1E3A"/>
    <w:rsid w:val="005D54A9"/>
    <w:rsid w:val="00602E7D"/>
    <w:rsid w:val="00633C9B"/>
    <w:rsid w:val="00645CB1"/>
    <w:rsid w:val="00687612"/>
    <w:rsid w:val="006B5AA8"/>
    <w:rsid w:val="006B7BE4"/>
    <w:rsid w:val="00734AD3"/>
    <w:rsid w:val="00752860"/>
    <w:rsid w:val="00765580"/>
    <w:rsid w:val="00777D46"/>
    <w:rsid w:val="00780325"/>
    <w:rsid w:val="00781254"/>
    <w:rsid w:val="0078693E"/>
    <w:rsid w:val="007A4890"/>
    <w:rsid w:val="007B11DD"/>
    <w:rsid w:val="007B1DA5"/>
    <w:rsid w:val="007C13F2"/>
    <w:rsid w:val="007C7D34"/>
    <w:rsid w:val="00800822"/>
    <w:rsid w:val="00846FD4"/>
    <w:rsid w:val="00851D98"/>
    <w:rsid w:val="008F361A"/>
    <w:rsid w:val="00932870"/>
    <w:rsid w:val="0095546D"/>
    <w:rsid w:val="009830BF"/>
    <w:rsid w:val="00985796"/>
    <w:rsid w:val="00991629"/>
    <w:rsid w:val="00996F77"/>
    <w:rsid w:val="009A3853"/>
    <w:rsid w:val="009C514E"/>
    <w:rsid w:val="009C7DBC"/>
    <w:rsid w:val="00A10E8A"/>
    <w:rsid w:val="00A3150D"/>
    <w:rsid w:val="00A41B15"/>
    <w:rsid w:val="00A76F92"/>
    <w:rsid w:val="00A808AB"/>
    <w:rsid w:val="00A86D8A"/>
    <w:rsid w:val="00AA1850"/>
    <w:rsid w:val="00AA1CD6"/>
    <w:rsid w:val="00AB46B1"/>
    <w:rsid w:val="00AE60D3"/>
    <w:rsid w:val="00BD611D"/>
    <w:rsid w:val="00C01254"/>
    <w:rsid w:val="00C1573E"/>
    <w:rsid w:val="00C17E9A"/>
    <w:rsid w:val="00CA0358"/>
    <w:rsid w:val="00CB6A47"/>
    <w:rsid w:val="00D047C8"/>
    <w:rsid w:val="00D26A94"/>
    <w:rsid w:val="00D711C1"/>
    <w:rsid w:val="00D74505"/>
    <w:rsid w:val="00D839D6"/>
    <w:rsid w:val="00DB1BD1"/>
    <w:rsid w:val="00DC38EF"/>
    <w:rsid w:val="00DD166E"/>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b:binding xmlns:clcta-taf="clcta-taf" xmlns:clcta-fte="clcta-fte" xmlns:clcta-be="clcta-be" xmlns:clcta-ci="clcta-ci" xmlns:b="http://mapping.word.org/2012/binding" xmlns:clcta-gie="clcta-gie" xmlns:xlink="xlink">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]]></t:sse>
</t:template>
</file>

<file path=customXml/item5.xml><?xml version="1.0" encoding="utf-8"?>
<b:Sources xmlns="http://schemas.openxmlformats.org/officeDocument/2006/bibliography" xmlns:b="http://schemas.openxmlformats.org/officeDocument/2006/bibliography" SelectedStyle="\APASixthEditionOfficeOnline.xsl" StyleName="APA" Version="6"/>
</file>

<file path=customXml/item6.xml><?xml version="1.0" encoding="utf-8"?>
<sc:sections xmlns:sc="http://mapping.word.org/2014/section/customiz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1A17D-9B58-4B01-A41C-F76F65F79B79}">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8C6C2D70-AF6F-4ACF-B05B-91F64D85CD53}">
  <ds:schemaRefs/>
</ds:datastoreItem>
</file>

<file path=customXml/itemProps5.xml><?xml version="1.0" encoding="utf-8"?>
<ds:datastoreItem xmlns:ds="http://schemas.openxmlformats.org/officeDocument/2006/customXml" ds:itemID="{FBBD4083-AF00-4EEB-A939-6C9BD0F45EC6}">
  <ds:schemaRefs/>
</ds:datastoreItem>
</file>

<file path=customXml/itemProps6.xml><?xml version="1.0" encoding="utf-8"?>
<ds:datastoreItem xmlns:ds="http://schemas.openxmlformats.org/officeDocument/2006/customXml" ds:itemID="{AE2A90FD-D442-4998-8BC2-A66505EB9ACE}">
  <ds:schemaRefs/>
</ds:datastoreItem>
</file>

<file path=docProps/app.xml><?xml version="1.0" encoding="utf-8"?>
<Properties xmlns="http://schemas.openxmlformats.org/officeDocument/2006/extended-properties" xmlns:vt="http://schemas.openxmlformats.org/officeDocument/2006/docPropsVTypes">
  <Template>SSEReport</Template>
  <Pages>4</Pages>
  <Words>1597</Words>
  <Characters>1968</Characters>
  <Lines>16</Lines>
  <Paragraphs>4</Paragraphs>
  <TotalTime>51</TotalTime>
  <ScaleCrop>false</ScaleCrop>
  <LinksUpToDate>false</LinksUpToDate>
  <CharactersWithSpaces>2088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2025-07-15T17:21:00Z</dcterms:created>
  <dc:creator>yangzhiquan</dc:creator>
  <cp:lastModifiedBy>雯亦</cp:lastModifiedBy>
  <dcterms:modified xsi:type="dcterms:W3CDTF">2025-07-23T07:24:10Z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2052-12.1.0.21915</vt:lpwstr>
  </property>
  <property fmtid="{D5CDD505-2E9C-101B-9397-08002B2CF9AE}" pid="4" name="ICV">
    <vt:lpwstr>8FBF3C70F5FD44168C97E7665E62A83B_13</vt:lpwstr>
  </property>
</Properties>
</file>