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35F8">
      <w:pPr>
        <w:rPr>
          <w:rFonts w:asciiTheme="minorEastAsia" w:hAnsiTheme="minorEastAsia"/>
          <w:bCs/>
          <w:sz w:val="24"/>
          <w:szCs w:val="24"/>
        </w:rPr>
      </w:pPr>
      <w:r>
        <w:rPr>
          <w:rFonts w:hint="eastAsia" w:asciiTheme="minorEastAsia" w:hAnsiTheme="minorEastAsia"/>
          <w:bCs/>
          <w:sz w:val="24"/>
          <w:szCs w:val="24"/>
        </w:rPr>
        <w:t>证券代码：</w:t>
      </w:r>
      <w:sdt>
        <w:sdtPr>
          <w:rPr>
            <w:rFonts w:hint="eastAsia" w:asciiTheme="minorEastAsia" w:hAnsiTheme="minorEastAsia"/>
            <w:bCs/>
            <w:sz w:val="24"/>
            <w:szCs w:val="24"/>
          </w:rPr>
          <w:alias w:val="公司代码"/>
          <w:tag w:val="_GBC_62ef04c8e14e4c76b304f7775b7d8722"/>
          <w:id w:val="-1"/>
          <w:lock w:val="sdtLocked"/>
          <w:placeholder>
            <w:docPart w:val="GBC22222222222222222222222222222"/>
          </w:placeholder>
        </w:sdtPr>
        <w:sdtEndPr>
          <w:rPr>
            <w:rFonts w:hint="eastAsia" w:asciiTheme="minorEastAsia" w:hAnsiTheme="minorEastAsia"/>
            <w:bCs/>
            <w:sz w:val="24"/>
            <w:szCs w:val="24"/>
          </w:rPr>
        </w:sdtEndPr>
        <w:sdtContent>
          <w:r>
            <w:rPr>
              <w:rFonts w:asciiTheme="minorEastAsia" w:hAnsiTheme="minorEastAsia"/>
              <w:bCs/>
              <w:sz w:val="24"/>
              <w:szCs w:val="24"/>
            </w:rPr>
            <w:t>603191</w:t>
          </w:r>
        </w:sdtContent>
      </w:sdt>
      <w:r>
        <w:rPr>
          <w:rFonts w:hint="eastAsia" w:asciiTheme="minorEastAsia" w:hAnsiTheme="minorEastAsia"/>
          <w:bCs/>
          <w:sz w:val="24"/>
          <w:szCs w:val="24"/>
        </w:rPr>
        <w:t xml:space="preserve">   </w:t>
      </w:r>
      <w:r>
        <w:rPr>
          <w:rFonts w:asciiTheme="minorEastAsia" w:hAnsiTheme="minorEastAsia"/>
          <w:bCs/>
          <w:sz w:val="24"/>
          <w:szCs w:val="24"/>
        </w:rPr>
        <w:t xml:space="preserve">    </w:t>
      </w:r>
      <w:r>
        <w:rPr>
          <w:rFonts w:hint="eastAsia" w:asciiTheme="minorEastAsia" w:hAnsiTheme="minorEastAsia"/>
          <w:bCs/>
          <w:sz w:val="24"/>
          <w:szCs w:val="24"/>
        </w:rPr>
        <w:t>证券简称：</w:t>
      </w:r>
      <w:sdt>
        <w:sdtPr>
          <w:rPr>
            <w:rFonts w:hint="eastAsia" w:asciiTheme="minorEastAsia" w:hAnsiTheme="minorEastAsia"/>
            <w:bCs/>
            <w:sz w:val="24"/>
            <w:szCs w:val="24"/>
          </w:rPr>
          <w:alias w:val="公司简称"/>
          <w:tag w:val="_GBC_81c31f6c68a741c1acb30ff1595bc381"/>
          <w:id w:val="273114740"/>
          <w:lock w:val="sdtLocked"/>
          <w:placeholder>
            <w:docPart w:val="GBC22222222222222222222222222222"/>
          </w:placeholder>
        </w:sdtPr>
        <w:sdtEndPr>
          <w:rPr>
            <w:rFonts w:hint="eastAsia" w:asciiTheme="minorEastAsia" w:hAnsiTheme="minorEastAsia"/>
            <w:bCs/>
            <w:sz w:val="24"/>
            <w:szCs w:val="24"/>
          </w:rPr>
        </w:sdtEndPr>
        <w:sdtContent>
          <w:r>
            <w:rPr>
              <w:rFonts w:hint="eastAsia" w:asciiTheme="minorEastAsia" w:hAnsiTheme="minorEastAsia"/>
              <w:bCs/>
              <w:sz w:val="24"/>
              <w:szCs w:val="24"/>
            </w:rPr>
            <w:t>望变电气</w:t>
          </w:r>
        </w:sdtContent>
      </w:sdt>
      <w:r>
        <w:rPr>
          <w:rFonts w:hint="eastAsia" w:asciiTheme="minorEastAsia" w:hAnsiTheme="minorEastAsia"/>
          <w:bCs/>
          <w:sz w:val="24"/>
          <w:szCs w:val="24"/>
        </w:rPr>
        <w:t xml:space="preserve">   </w:t>
      </w:r>
      <w:r>
        <w:rPr>
          <w:rFonts w:asciiTheme="minorEastAsia" w:hAnsiTheme="minorEastAsia"/>
          <w:bCs/>
          <w:sz w:val="24"/>
          <w:szCs w:val="24"/>
        </w:rPr>
        <w:t xml:space="preserve">     </w:t>
      </w:r>
      <w:r>
        <w:rPr>
          <w:rFonts w:hint="eastAsia" w:asciiTheme="minorEastAsia" w:hAnsiTheme="minorEastAsia"/>
          <w:bCs/>
          <w:sz w:val="24"/>
          <w:szCs w:val="24"/>
        </w:rPr>
        <w:t>公告编号：</w:t>
      </w:r>
      <w:sdt>
        <w:sdtPr>
          <w:rPr>
            <w:rFonts w:hint="eastAsia" w:asciiTheme="minorEastAsia" w:hAnsiTheme="minorEastAsia"/>
            <w:bCs/>
            <w:sz w:val="24"/>
            <w:szCs w:val="24"/>
          </w:rPr>
          <w:alias w:val="临时公告编号"/>
          <w:tag w:val="_GBC_51438e46cb944a2bb6b9cb5e9d53d512"/>
          <w:id w:val="1376890213"/>
          <w:lock w:val="sdtLocked"/>
          <w:placeholder>
            <w:docPart w:val="GBC22222222222222222222222222222"/>
          </w:placeholder>
        </w:sdtPr>
        <w:sdtEndPr>
          <w:rPr>
            <w:rFonts w:hint="eastAsia" w:asciiTheme="minorEastAsia" w:hAnsiTheme="minorEastAsia"/>
            <w:bCs/>
            <w:sz w:val="24"/>
            <w:szCs w:val="24"/>
            <w:highlight w:val="none"/>
          </w:rPr>
        </w:sdtEndPr>
        <w:sdtContent>
          <w:r>
            <w:rPr>
              <w:rFonts w:hint="eastAsia" w:asciiTheme="minorEastAsia" w:hAnsiTheme="minorEastAsia"/>
              <w:bCs/>
              <w:sz w:val="24"/>
              <w:szCs w:val="24"/>
            </w:rPr>
            <w:t>2</w:t>
          </w:r>
          <w:r>
            <w:rPr>
              <w:rFonts w:hint="eastAsia" w:asciiTheme="minorEastAsia" w:hAnsiTheme="minorEastAsia"/>
              <w:bCs/>
              <w:sz w:val="24"/>
              <w:szCs w:val="24"/>
              <w:highlight w:val="none"/>
            </w:rPr>
            <w:t>025-</w:t>
          </w:r>
          <w:r>
            <w:rPr>
              <w:rFonts w:asciiTheme="minorEastAsia" w:hAnsiTheme="minorEastAsia"/>
              <w:bCs/>
              <w:sz w:val="24"/>
              <w:szCs w:val="24"/>
              <w:highlight w:val="none"/>
            </w:rPr>
            <w:t>03</w:t>
          </w:r>
          <w:r>
            <w:rPr>
              <w:rFonts w:hint="eastAsia" w:asciiTheme="minorEastAsia" w:hAnsiTheme="minorEastAsia"/>
              <w:bCs/>
              <w:sz w:val="24"/>
              <w:szCs w:val="24"/>
              <w:highlight w:val="none"/>
              <w:lang w:val="en-US" w:eastAsia="zh-CN"/>
            </w:rPr>
            <w:t>8</w:t>
          </w:r>
        </w:sdtContent>
      </w:sdt>
      <w:r>
        <w:rPr>
          <w:rFonts w:hint="eastAsia" w:asciiTheme="minorEastAsia" w:hAnsiTheme="minorEastAsia"/>
          <w:bCs/>
          <w:sz w:val="24"/>
          <w:szCs w:val="24"/>
        </w:rPr>
        <w:t xml:space="preserve"> </w:t>
      </w:r>
    </w:p>
    <w:p w14:paraId="587F7689">
      <w:pPr>
        <w:jc w:val="right"/>
        <w:rPr>
          <w:rFonts w:asciiTheme="minorEastAsia" w:hAnsiTheme="minorEastAsia"/>
          <w:b/>
          <w:sz w:val="24"/>
          <w:szCs w:val="24"/>
        </w:rPr>
      </w:pPr>
    </w:p>
    <w:p w14:paraId="5680CDEA">
      <w:pPr>
        <w:jc w:val="right"/>
        <w:rPr>
          <w:rFonts w:asciiTheme="minorEastAsia" w:hAnsiTheme="minorEastAsia"/>
          <w:b/>
          <w:sz w:val="24"/>
          <w:szCs w:val="24"/>
        </w:rPr>
      </w:pPr>
    </w:p>
    <w:p w14:paraId="16CA3FB6">
      <w:pPr>
        <w:adjustRightInd w:val="0"/>
        <w:snapToGrid w:val="0"/>
        <w:spacing w:line="360" w:lineRule="auto"/>
        <w:jc w:val="center"/>
        <w:rPr>
          <w:rFonts w:ascii="黑体" w:hAnsi="黑体" w:eastAsia="黑体"/>
          <w:b/>
          <w:color w:val="FF0000"/>
          <w:sz w:val="36"/>
          <w:szCs w:val="24"/>
        </w:rPr>
      </w:pPr>
      <w:r>
        <w:rPr>
          <w:rFonts w:hint="eastAsia" w:ascii="黑体" w:hAnsi="黑体" w:eastAsia="黑体"/>
          <w:b/>
          <w:color w:val="FF0000"/>
          <w:sz w:val="36"/>
          <w:szCs w:val="24"/>
        </w:rPr>
        <w:t>重庆望变电气（集团）股份有限公司</w:t>
      </w:r>
    </w:p>
    <w:p w14:paraId="490E0E67">
      <w:pPr>
        <w:adjustRightInd w:val="0"/>
        <w:snapToGrid w:val="0"/>
        <w:spacing w:line="360" w:lineRule="auto"/>
        <w:jc w:val="center"/>
        <w:rPr>
          <w:rFonts w:ascii="黑体" w:hAnsi="黑体" w:eastAsia="黑体"/>
          <w:b/>
          <w:color w:val="FF0000"/>
          <w:sz w:val="36"/>
          <w:szCs w:val="24"/>
        </w:rPr>
      </w:pPr>
      <w:r>
        <w:rPr>
          <w:rFonts w:hint="eastAsia" w:ascii="黑体" w:hAnsi="黑体" w:eastAsia="黑体"/>
          <w:b/>
          <w:color w:val="FF0000"/>
          <w:sz w:val="36"/>
          <w:szCs w:val="24"/>
        </w:rPr>
        <w:t>关于2025年</w:t>
      </w:r>
      <w:r>
        <w:rPr>
          <w:rFonts w:ascii="黑体" w:hAnsi="黑体" w:eastAsia="黑体"/>
          <w:b/>
          <w:color w:val="FF0000"/>
          <w:sz w:val="36"/>
          <w:szCs w:val="24"/>
        </w:rPr>
        <w:t>7</w:t>
      </w:r>
      <w:r>
        <w:rPr>
          <w:rFonts w:hint="eastAsia" w:ascii="黑体" w:hAnsi="黑体" w:eastAsia="黑体"/>
          <w:b/>
          <w:color w:val="FF0000"/>
          <w:sz w:val="36"/>
          <w:szCs w:val="24"/>
        </w:rPr>
        <w:t>月对外担保的进展公告</w:t>
      </w:r>
    </w:p>
    <w:p w14:paraId="1FE22859">
      <w:pPr>
        <w:pBdr>
          <w:top w:val="single" w:color="auto" w:sz="4" w:space="4"/>
          <w:left w:val="single" w:color="auto" w:sz="4" w:space="3"/>
          <w:bottom w:val="single" w:color="auto" w:sz="4" w:space="1"/>
          <w:right w:val="single" w:color="auto" w:sz="4" w:space="4"/>
        </w:pBdr>
        <w:adjustRightInd w:val="0"/>
        <w:snapToGrid w:val="0"/>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本公司董事会及全体董事保证本公告内容不存在任何虚假记载、误导性陈述或者重大遗漏，并对其内容的真实性、准确性和完整性承担法律责任。</w:t>
      </w:r>
    </w:p>
    <w:p w14:paraId="4232B147">
      <w:pPr>
        <w:widowControl/>
        <w:adjustRightInd w:val="0"/>
        <w:snapToGrid w:val="0"/>
        <w:spacing w:line="560" w:lineRule="exact"/>
        <w:ind w:firstLine="600"/>
        <w:jc w:val="right"/>
        <w:rPr>
          <w:rFonts w:cs="仿宋_GB2312" w:asciiTheme="minorEastAsia" w:hAnsiTheme="minorEastAsia"/>
          <w:sz w:val="24"/>
          <w:szCs w:val="24"/>
        </w:rPr>
      </w:pPr>
    </w:p>
    <w:p w14:paraId="2DC7CD8E">
      <w:pPr>
        <w:widowControl/>
        <w:adjustRightInd w:val="0"/>
        <w:snapToGrid w:val="0"/>
        <w:spacing w:line="560" w:lineRule="exact"/>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重要内容提示：</w:t>
      </w:r>
    </w:p>
    <w:p w14:paraId="6525957A">
      <w:pPr>
        <w:widowControl/>
        <w:numPr>
          <w:ilvl w:val="0"/>
          <w:numId w:val="1"/>
        </w:numPr>
        <w:adjustRightInd w:val="0"/>
        <w:snapToGrid w:val="0"/>
        <w:spacing w:line="560" w:lineRule="exact"/>
        <w:ind w:left="0" w:firstLine="482" w:firstLineChars="200"/>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担保对象及基本情况</w:t>
      </w:r>
    </w:p>
    <w:tbl>
      <w:tblPr>
        <w:tblStyle w:val="12"/>
        <w:tblW w:w="4991" w:type="pct"/>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4"/>
        <w:gridCol w:w="3490"/>
        <w:gridCol w:w="3913"/>
      </w:tblGrid>
      <w:tr w14:paraId="5BD49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8" w:hRule="atLeast"/>
        </w:trPr>
        <w:tc>
          <w:tcPr>
            <w:tcW w:w="1075" w:type="dxa"/>
            <w:vMerge w:val="restart"/>
            <w:vAlign w:val="center"/>
          </w:tcPr>
          <w:p w14:paraId="6DE461CD">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担保对象</w:t>
            </w:r>
          </w:p>
        </w:tc>
        <w:tc>
          <w:tcPr>
            <w:tcW w:w="3397" w:type="dxa"/>
            <w:vAlign w:val="center"/>
          </w:tcPr>
          <w:p w14:paraId="6D88F8AB">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被担保人名称</w:t>
            </w:r>
          </w:p>
        </w:tc>
        <w:tc>
          <w:tcPr>
            <w:tcW w:w="3809" w:type="dxa"/>
            <w:vAlign w:val="center"/>
          </w:tcPr>
          <w:p w14:paraId="3AB8BA6C">
            <w:pPr>
              <w:widowControl/>
              <w:adjustRightInd w:val="0"/>
              <w:snapToGrid w:val="0"/>
              <w:rPr>
                <w:rFonts w:asciiTheme="minorEastAsia" w:hAnsiTheme="minorEastAsia" w:cstheme="minorEastAsia"/>
                <w:color w:val="000000"/>
                <w:sz w:val="24"/>
                <w:szCs w:val="24"/>
              </w:rPr>
            </w:pPr>
            <w:r>
              <w:rPr>
                <w:rFonts w:hint="eastAsia" w:ascii="宋体" w:hAnsi="宋体" w:cs="宋体"/>
                <w:sz w:val="24"/>
                <w:szCs w:val="24"/>
              </w:rPr>
              <w:t>云南变压器电气股份有限公司（以下简称“云变电气”）</w:t>
            </w:r>
          </w:p>
        </w:tc>
      </w:tr>
      <w:tr w14:paraId="2EF5B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075" w:type="dxa"/>
            <w:vMerge w:val="continue"/>
            <w:vAlign w:val="center"/>
          </w:tcPr>
          <w:p w14:paraId="059601DB">
            <w:pPr>
              <w:widowControl/>
              <w:adjustRightInd w:val="0"/>
              <w:snapToGrid w:val="0"/>
              <w:rPr>
                <w:rFonts w:asciiTheme="minorEastAsia" w:hAnsiTheme="minorEastAsia" w:cstheme="minorEastAsia"/>
                <w:color w:val="000000"/>
                <w:sz w:val="24"/>
                <w:szCs w:val="24"/>
              </w:rPr>
            </w:pPr>
          </w:p>
        </w:tc>
        <w:tc>
          <w:tcPr>
            <w:tcW w:w="3397" w:type="dxa"/>
            <w:vAlign w:val="center"/>
          </w:tcPr>
          <w:p w14:paraId="66D1DCCA">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本次担保金额</w:t>
            </w:r>
          </w:p>
        </w:tc>
        <w:tc>
          <w:tcPr>
            <w:tcW w:w="3809" w:type="dxa"/>
            <w:vAlign w:val="center"/>
          </w:tcPr>
          <w:p w14:paraId="1C100DFF">
            <w:pPr>
              <w:widowControl/>
              <w:adjustRightInd w:val="0"/>
              <w:snapToGrid w:val="0"/>
              <w:rPr>
                <w:rFonts w:asciiTheme="minorEastAsia" w:hAnsiTheme="minorEastAsia" w:cstheme="minorEastAsia"/>
                <w:sz w:val="24"/>
                <w:szCs w:val="24"/>
              </w:rPr>
            </w:pPr>
            <w:r>
              <w:rPr>
                <w:rFonts w:asciiTheme="minorEastAsia" w:hAnsiTheme="minorEastAsia"/>
                <w:bCs/>
                <w:sz w:val="24"/>
                <w:szCs w:val="24"/>
              </w:rPr>
              <w:t>13</w:t>
            </w:r>
            <w:r>
              <w:rPr>
                <w:rFonts w:hint="eastAsia" w:asciiTheme="minorEastAsia" w:hAnsiTheme="minorEastAsia"/>
                <w:bCs/>
                <w:sz w:val="24"/>
                <w:szCs w:val="24"/>
              </w:rPr>
              <w:t>,</w:t>
            </w:r>
            <w:r>
              <w:rPr>
                <w:rFonts w:asciiTheme="minorEastAsia" w:hAnsiTheme="minorEastAsia"/>
                <w:bCs/>
                <w:sz w:val="24"/>
                <w:szCs w:val="24"/>
              </w:rPr>
              <w:t>174.1</w:t>
            </w:r>
            <w:r>
              <w:rPr>
                <w:rFonts w:hint="eastAsia" w:asciiTheme="minorEastAsia" w:hAnsiTheme="minorEastAsia"/>
                <w:bCs/>
                <w:sz w:val="24"/>
                <w:szCs w:val="24"/>
              </w:rPr>
              <w:t>0万元</w:t>
            </w:r>
          </w:p>
        </w:tc>
      </w:tr>
      <w:tr w14:paraId="30F9E0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1075" w:type="dxa"/>
            <w:vMerge w:val="continue"/>
            <w:vAlign w:val="center"/>
          </w:tcPr>
          <w:p w14:paraId="236ABF96">
            <w:pPr>
              <w:widowControl/>
              <w:adjustRightInd w:val="0"/>
              <w:snapToGrid w:val="0"/>
              <w:rPr>
                <w:rFonts w:asciiTheme="minorEastAsia" w:hAnsiTheme="minorEastAsia" w:cstheme="minorEastAsia"/>
                <w:color w:val="000000"/>
                <w:sz w:val="24"/>
                <w:szCs w:val="24"/>
              </w:rPr>
            </w:pPr>
          </w:p>
        </w:tc>
        <w:tc>
          <w:tcPr>
            <w:tcW w:w="3397" w:type="dxa"/>
            <w:vAlign w:val="center"/>
          </w:tcPr>
          <w:p w14:paraId="51449337">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实际为其提供的担保余额</w:t>
            </w:r>
          </w:p>
        </w:tc>
        <w:tc>
          <w:tcPr>
            <w:tcW w:w="3809" w:type="dxa"/>
            <w:vAlign w:val="center"/>
          </w:tcPr>
          <w:p w14:paraId="4ED087E3">
            <w:pPr>
              <w:widowControl/>
              <w:adjustRightInd w:val="0"/>
              <w:snapToGrid w:val="0"/>
              <w:rPr>
                <w:rFonts w:asciiTheme="minorEastAsia" w:hAnsiTheme="minorEastAsia" w:cstheme="minorEastAsia"/>
                <w:sz w:val="24"/>
                <w:szCs w:val="24"/>
              </w:rPr>
            </w:pPr>
            <w:r>
              <w:rPr>
                <w:rFonts w:hint="eastAsia" w:asciiTheme="minorEastAsia" w:hAnsiTheme="minorEastAsia"/>
                <w:bCs/>
                <w:sz w:val="24"/>
                <w:szCs w:val="24"/>
              </w:rPr>
              <w:t>46,531.34 万元</w:t>
            </w:r>
          </w:p>
        </w:tc>
      </w:tr>
      <w:tr w14:paraId="2E981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8" w:hRule="atLeast"/>
        </w:trPr>
        <w:tc>
          <w:tcPr>
            <w:tcW w:w="1075" w:type="dxa"/>
            <w:vMerge w:val="continue"/>
            <w:vAlign w:val="center"/>
          </w:tcPr>
          <w:p w14:paraId="7D1F3686">
            <w:pPr>
              <w:widowControl/>
              <w:adjustRightInd w:val="0"/>
              <w:snapToGrid w:val="0"/>
              <w:rPr>
                <w:rFonts w:asciiTheme="minorEastAsia" w:hAnsiTheme="minorEastAsia" w:cstheme="minorEastAsia"/>
                <w:color w:val="000000"/>
                <w:sz w:val="24"/>
                <w:szCs w:val="24"/>
              </w:rPr>
            </w:pPr>
          </w:p>
        </w:tc>
        <w:tc>
          <w:tcPr>
            <w:tcW w:w="3397" w:type="dxa"/>
            <w:vAlign w:val="center"/>
          </w:tcPr>
          <w:p w14:paraId="317BAE3D">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是否在前期预计额度内</w:t>
            </w:r>
          </w:p>
        </w:tc>
        <w:tc>
          <w:tcPr>
            <w:tcW w:w="3809" w:type="dxa"/>
            <w:vAlign w:val="center"/>
          </w:tcPr>
          <w:p w14:paraId="70D821DD">
            <w:pPr>
              <w:widowControl/>
              <w:adjustRightInd w:val="0"/>
              <w:snapToGrid w:val="0"/>
              <w:rPr>
                <w:rFonts w:asciiTheme="minorEastAsia" w:hAnsiTheme="minorEastAsia" w:cstheme="minorEastAsia"/>
                <w:sz w:val="24"/>
                <w:szCs w:val="24"/>
              </w:rPr>
            </w:pPr>
            <w:r>
              <w:rPr>
                <w:rFonts w:hint="eastAsia" w:ascii="宋体" w:hAnsi="宋体" w:eastAsia="宋体"/>
                <w:sz w:val="24"/>
                <w:szCs w:val="24"/>
              </w:rPr>
              <w:sym w:font="Wingdings 2" w:char="F052"/>
            </w:r>
            <w:r>
              <w:rPr>
                <w:rFonts w:hint="eastAsia" w:asciiTheme="minorEastAsia" w:hAnsiTheme="minorEastAsia" w:cstheme="minorEastAsia"/>
                <w:sz w:val="24"/>
                <w:szCs w:val="24"/>
              </w:rPr>
              <w:t>是  □否</w:t>
            </w:r>
            <w:r>
              <w:rPr>
                <w:rFonts w:hint="eastAsia" w:asciiTheme="minorEastAsia" w:hAnsiTheme="minorEastAsia" w:cstheme="minorEastAsia"/>
                <w:kern w:val="0"/>
                <w:sz w:val="24"/>
                <w:szCs w:val="24"/>
              </w:rPr>
              <w:t xml:space="preserve">  □不适用：</w:t>
            </w:r>
            <w:r>
              <w:rPr>
                <w:rFonts w:hint="eastAsia" w:ascii="宋体" w:hAnsi="宋体" w:eastAsia="宋体"/>
                <w:sz w:val="24"/>
                <w:szCs w:val="24"/>
              </w:rPr>
              <w:t>_________</w:t>
            </w:r>
          </w:p>
        </w:tc>
      </w:tr>
      <w:tr w14:paraId="0308D9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075" w:type="dxa"/>
            <w:vMerge w:val="continue"/>
            <w:vAlign w:val="center"/>
          </w:tcPr>
          <w:p w14:paraId="1B694756">
            <w:pPr>
              <w:widowControl/>
              <w:adjustRightInd w:val="0"/>
              <w:snapToGrid w:val="0"/>
              <w:rPr>
                <w:rFonts w:asciiTheme="minorEastAsia" w:hAnsiTheme="minorEastAsia" w:cstheme="minorEastAsia"/>
                <w:color w:val="000000"/>
                <w:sz w:val="24"/>
                <w:szCs w:val="24"/>
              </w:rPr>
            </w:pPr>
          </w:p>
        </w:tc>
        <w:tc>
          <w:tcPr>
            <w:tcW w:w="3397" w:type="dxa"/>
            <w:vAlign w:val="center"/>
          </w:tcPr>
          <w:p w14:paraId="30E26E88">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本次担保是否有反担保</w:t>
            </w:r>
          </w:p>
        </w:tc>
        <w:tc>
          <w:tcPr>
            <w:tcW w:w="3809" w:type="dxa"/>
            <w:vAlign w:val="center"/>
          </w:tcPr>
          <w:p w14:paraId="79B72B66">
            <w:pPr>
              <w:widowControl/>
              <w:adjustRightInd w:val="0"/>
              <w:snapToGrid w:val="0"/>
              <w:rPr>
                <w:rFonts w:asciiTheme="minorEastAsia" w:hAnsiTheme="minorEastAsia" w:cstheme="minorEastAsia"/>
                <w:sz w:val="24"/>
                <w:szCs w:val="24"/>
              </w:rPr>
            </w:pPr>
            <w:r>
              <w:rPr>
                <w:rFonts w:hint="eastAsia" w:ascii="宋体" w:hAnsi="宋体" w:eastAsia="宋体" w:cstheme="minorEastAsia"/>
                <w:sz w:val="24"/>
                <w:szCs w:val="24"/>
              </w:rPr>
              <w:sym w:font="Wingdings 2" w:char="00A3"/>
            </w:r>
            <w:r>
              <w:rPr>
                <w:rFonts w:hint="eastAsia" w:asciiTheme="minorEastAsia" w:hAnsiTheme="minorEastAsia" w:cstheme="minorEastAsia"/>
                <w:sz w:val="24"/>
                <w:szCs w:val="24"/>
              </w:rPr>
              <w:t xml:space="preserve">是  </w:t>
            </w:r>
            <w:r>
              <w:rPr>
                <w:rFonts w:hint="eastAsia" w:asciiTheme="minorEastAsia" w:hAnsiTheme="minorEastAsia" w:cstheme="minorEastAsia"/>
                <w:sz w:val="24"/>
                <w:szCs w:val="24"/>
              </w:rPr>
              <w:sym w:font="Wingdings 2" w:char="0052"/>
            </w:r>
            <w:r>
              <w:rPr>
                <w:rFonts w:hint="eastAsia" w:asciiTheme="minorEastAsia" w:hAnsiTheme="minorEastAsia" w:cstheme="minorEastAsia"/>
                <w:sz w:val="24"/>
                <w:szCs w:val="24"/>
              </w:rPr>
              <w:t>否</w:t>
            </w:r>
            <w:r>
              <w:rPr>
                <w:rFonts w:hint="eastAsia" w:asciiTheme="minorEastAsia" w:hAnsiTheme="minorEastAsia" w:cstheme="minorEastAsia"/>
                <w:kern w:val="0"/>
                <w:sz w:val="24"/>
                <w:szCs w:val="24"/>
              </w:rPr>
              <w:t xml:space="preserve">  □不适用：</w:t>
            </w:r>
            <w:r>
              <w:rPr>
                <w:rFonts w:hint="eastAsia" w:ascii="宋体" w:hAnsi="宋体" w:eastAsia="宋体"/>
                <w:sz w:val="24"/>
                <w:szCs w:val="24"/>
              </w:rPr>
              <w:t>_________</w:t>
            </w:r>
          </w:p>
        </w:tc>
      </w:tr>
    </w:tbl>
    <w:p w14:paraId="208E4C03"/>
    <w:p w14:paraId="00387C7D">
      <w:pPr>
        <w:widowControl/>
        <w:numPr>
          <w:ilvl w:val="0"/>
          <w:numId w:val="1"/>
        </w:numPr>
        <w:adjustRightInd w:val="0"/>
        <w:snapToGrid w:val="0"/>
        <w:spacing w:line="560" w:lineRule="exact"/>
        <w:ind w:left="0" w:firstLine="482" w:firstLineChars="200"/>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累计担保情况</w:t>
      </w:r>
    </w:p>
    <w:tbl>
      <w:tblPr>
        <w:tblStyle w:val="12"/>
        <w:tblW w:w="4990" w:type="pct"/>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42"/>
        <w:gridCol w:w="4863"/>
      </w:tblGrid>
      <w:tr w14:paraId="5E533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trPr>
        <w:tc>
          <w:tcPr>
            <w:tcW w:w="3642" w:type="dxa"/>
            <w:vAlign w:val="center"/>
          </w:tcPr>
          <w:p w14:paraId="120C85AE">
            <w:pPr>
              <w:widowControl/>
              <w:adjustRightInd w:val="0"/>
              <w:snapToGrid w:val="0"/>
              <w:rPr>
                <w:rFonts w:asciiTheme="minorEastAsia" w:hAnsiTheme="minorEastAsia" w:cstheme="minorEastAsia"/>
                <w:b/>
                <w:bCs/>
                <w:sz w:val="24"/>
                <w:szCs w:val="24"/>
              </w:rPr>
            </w:pPr>
            <w:r>
              <w:rPr>
                <w:rFonts w:hint="eastAsia" w:asciiTheme="minorEastAsia" w:hAnsiTheme="minorEastAsia" w:cstheme="minorEastAsia"/>
                <w:b/>
                <w:bCs/>
                <w:color w:val="000000"/>
                <w:kern w:val="0"/>
                <w:sz w:val="24"/>
                <w:szCs w:val="24"/>
              </w:rPr>
              <w:t>对外担保逾期的累计金额（万元）</w:t>
            </w:r>
          </w:p>
        </w:tc>
        <w:tc>
          <w:tcPr>
            <w:tcW w:w="4863" w:type="dxa"/>
            <w:vAlign w:val="center"/>
          </w:tcPr>
          <w:p w14:paraId="05711585">
            <w:pPr>
              <w:widowControl/>
              <w:adjustRightInd w:val="0"/>
              <w:snapToGrid w:val="0"/>
              <w:jc w:val="right"/>
              <w:rPr>
                <w:rFonts w:asciiTheme="minorEastAsia" w:hAnsiTheme="minorEastAsia" w:cstheme="minorEastAsia"/>
                <w:sz w:val="24"/>
                <w:szCs w:val="24"/>
              </w:rPr>
            </w:pPr>
            <w:r>
              <w:rPr>
                <w:rFonts w:hint="eastAsia" w:asciiTheme="minorEastAsia" w:hAnsiTheme="minorEastAsia" w:cstheme="minorEastAsia"/>
                <w:sz w:val="24"/>
                <w:szCs w:val="24"/>
              </w:rPr>
              <w:t>0.00</w:t>
            </w:r>
          </w:p>
        </w:tc>
      </w:tr>
      <w:tr w14:paraId="7861D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3642" w:type="dxa"/>
            <w:vAlign w:val="center"/>
          </w:tcPr>
          <w:p w14:paraId="3A9A466F">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截至</w:t>
            </w:r>
            <w:r>
              <w:rPr>
                <w:rFonts w:asciiTheme="minorEastAsia" w:hAnsiTheme="minorEastAsia" w:cstheme="minorEastAsia"/>
                <w:b/>
                <w:bCs/>
                <w:color w:val="000000"/>
                <w:kern w:val="0"/>
                <w:sz w:val="24"/>
                <w:szCs w:val="24"/>
              </w:rPr>
              <w:t>7</w:t>
            </w:r>
            <w:r>
              <w:rPr>
                <w:rFonts w:hint="eastAsia" w:asciiTheme="minorEastAsia" w:hAnsiTheme="minorEastAsia" w:cstheme="minorEastAsia"/>
                <w:b/>
                <w:bCs/>
                <w:color w:val="000000"/>
                <w:kern w:val="0"/>
                <w:sz w:val="24"/>
                <w:szCs w:val="24"/>
              </w:rPr>
              <w:t>月末上市公司及其控股子公司对外担保总额（万元）</w:t>
            </w:r>
          </w:p>
        </w:tc>
        <w:tc>
          <w:tcPr>
            <w:tcW w:w="4863" w:type="dxa"/>
            <w:vAlign w:val="center"/>
          </w:tcPr>
          <w:p w14:paraId="4B8CECB6">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 xml:space="preserve"> 97,674.10   </w:t>
            </w:r>
          </w:p>
        </w:tc>
      </w:tr>
      <w:tr w14:paraId="2C35DB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3642" w:type="dxa"/>
            <w:vAlign w:val="center"/>
          </w:tcPr>
          <w:p w14:paraId="5D097A22">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对外担保总额占上市公司最近一期经审计净资产的比例（%）</w:t>
            </w:r>
          </w:p>
        </w:tc>
        <w:tc>
          <w:tcPr>
            <w:tcW w:w="4863" w:type="dxa"/>
            <w:vAlign w:val="center"/>
          </w:tcPr>
          <w:p w14:paraId="4F9F4564">
            <w:pPr>
              <w:widowControl/>
              <w:adjustRightInd w:val="0"/>
              <w:snapToGrid w:val="0"/>
              <w:jc w:val="right"/>
              <w:rPr>
                <w:rFonts w:hint="default" w:asciiTheme="minorEastAsia" w:hAnsiTheme="minorEastAsia" w:eastAsiaTheme="minorEastAsia" w:cstheme="minorEastAsia"/>
                <w:color w:val="000000"/>
                <w:kern w:val="0"/>
                <w:sz w:val="24"/>
                <w:szCs w:val="24"/>
                <w:lang w:val="en-US" w:eastAsia="zh-CN"/>
              </w:rPr>
            </w:pPr>
            <w:r>
              <w:rPr>
                <w:rFonts w:asciiTheme="minorEastAsia" w:hAnsiTheme="minorEastAsia" w:cstheme="minorEastAsia"/>
                <w:color w:val="000000"/>
                <w:kern w:val="0"/>
                <w:sz w:val="24"/>
                <w:szCs w:val="24"/>
              </w:rPr>
              <w:t>4</w:t>
            </w:r>
            <w:r>
              <w:rPr>
                <w:rFonts w:hint="eastAsia" w:asciiTheme="minorEastAsia" w:hAnsiTheme="minorEastAsia" w:cstheme="minorEastAsia"/>
                <w:color w:val="000000"/>
                <w:kern w:val="0"/>
                <w:sz w:val="24"/>
                <w:szCs w:val="24"/>
                <w:lang w:val="en-US" w:eastAsia="zh-CN"/>
              </w:rPr>
              <w:t>0.47</w:t>
            </w:r>
          </w:p>
        </w:tc>
      </w:tr>
      <w:tr w14:paraId="2A86B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98" w:hRule="atLeast"/>
        </w:trPr>
        <w:tc>
          <w:tcPr>
            <w:tcW w:w="3642" w:type="dxa"/>
            <w:vAlign w:val="center"/>
          </w:tcPr>
          <w:p w14:paraId="292EE299">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特别风险提示（如有请勾选）</w:t>
            </w:r>
          </w:p>
        </w:tc>
        <w:tc>
          <w:tcPr>
            <w:tcW w:w="4863" w:type="dxa"/>
            <w:vAlign w:val="center"/>
          </w:tcPr>
          <w:p w14:paraId="06B7DBCE">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对外担保总额超过最近一期经审计净资产100%</w:t>
            </w:r>
          </w:p>
          <w:p w14:paraId="5678279B">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担保金额超过上市公司最近一期经审计净资产50%</w:t>
            </w:r>
          </w:p>
          <w:p w14:paraId="5A9440DF">
            <w:pPr>
              <w:widowControl/>
              <w:adjustRightInd w:val="0"/>
              <w:snapToGrid w:val="0"/>
              <w:rPr>
                <w:rFonts w:asciiTheme="minorEastAsia" w:hAnsiTheme="minorEastAsia" w:cstheme="minorEastAsia"/>
                <w:color w:val="000000"/>
                <w:kern w:val="0"/>
                <w:sz w:val="24"/>
                <w:szCs w:val="24"/>
              </w:rPr>
            </w:pPr>
            <w:bookmarkStart w:id="0" w:name="OLE_LINK4"/>
            <w:bookmarkStart w:id="1" w:name="OLE_LINK3"/>
            <w:r>
              <w:rPr>
                <w:rFonts w:hint="eastAsia" w:asciiTheme="minorEastAsia" w:hAnsiTheme="minorEastAsia" w:cstheme="minorEastAsia"/>
                <w:color w:val="000000"/>
                <w:sz w:val="24"/>
                <w:szCs w:val="24"/>
              </w:rPr>
              <w:t>□</w:t>
            </w:r>
            <w:bookmarkEnd w:id="0"/>
            <w:bookmarkEnd w:id="1"/>
            <w:r>
              <w:rPr>
                <w:rFonts w:hint="eastAsia" w:asciiTheme="minorEastAsia" w:hAnsiTheme="minorEastAsia" w:cstheme="minorEastAsia"/>
                <w:color w:val="000000"/>
                <w:kern w:val="0"/>
                <w:sz w:val="24"/>
                <w:szCs w:val="24"/>
              </w:rPr>
              <w:t>对合并报表外单位担保金额达到或超过最近一期经审计净资产30%的情况下</w:t>
            </w:r>
          </w:p>
          <w:p w14:paraId="04898382">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对资产负债率超过70%的单位提供担保</w:t>
            </w:r>
          </w:p>
        </w:tc>
      </w:tr>
      <w:tr w14:paraId="29FE56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trPr>
        <w:tc>
          <w:tcPr>
            <w:tcW w:w="3642" w:type="dxa"/>
            <w:vAlign w:val="center"/>
          </w:tcPr>
          <w:p w14:paraId="0C955C02">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其他风险提示（如有）</w:t>
            </w:r>
          </w:p>
        </w:tc>
        <w:tc>
          <w:tcPr>
            <w:tcW w:w="4863" w:type="dxa"/>
            <w:vAlign w:val="center"/>
          </w:tcPr>
          <w:p w14:paraId="58F78035">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无</w:t>
            </w:r>
          </w:p>
        </w:tc>
      </w:tr>
    </w:tbl>
    <w:p w14:paraId="1D375683">
      <w:pPr>
        <w:widowControl/>
        <w:adjustRightInd w:val="0"/>
        <w:snapToGrid w:val="0"/>
        <w:spacing w:line="560" w:lineRule="exact"/>
        <w:ind w:firstLine="600"/>
        <w:jc w:val="left"/>
        <w:rPr>
          <w:rFonts w:asciiTheme="minorEastAsia" w:hAnsiTheme="minorEastAsia" w:cstheme="minorEastAsia"/>
          <w:kern w:val="0"/>
          <w:sz w:val="24"/>
          <w:szCs w:val="24"/>
        </w:rPr>
      </w:pPr>
    </w:p>
    <w:p w14:paraId="6EFE9EC0">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担保情况概述</w:t>
      </w:r>
    </w:p>
    <w:p w14:paraId="391D30AC">
      <w:pPr>
        <w:pStyle w:val="17"/>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担保的基本情况</w:t>
      </w:r>
    </w:p>
    <w:p w14:paraId="550EFE75">
      <w:pPr>
        <w:widowControl/>
        <w:adjustRightInd w:val="0"/>
        <w:snapToGrid w:val="0"/>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2025年</w:t>
      </w:r>
      <w:r>
        <w:rPr>
          <w:rFonts w:asciiTheme="minorEastAsia" w:hAnsiTheme="minorEastAsia" w:cstheme="minorEastAsia"/>
          <w:sz w:val="24"/>
          <w:szCs w:val="24"/>
        </w:rPr>
        <w:t>7</w:t>
      </w:r>
      <w:r>
        <w:rPr>
          <w:rFonts w:hint="eastAsia" w:asciiTheme="minorEastAsia" w:hAnsiTheme="minorEastAsia" w:cstheme="minorEastAsia"/>
          <w:sz w:val="24"/>
          <w:szCs w:val="24"/>
        </w:rPr>
        <w:t>月，公司及下属子公司新增对外担保人民币</w:t>
      </w:r>
      <w:r>
        <w:rPr>
          <w:rFonts w:asciiTheme="minorEastAsia" w:hAnsiTheme="minorEastAsia" w:cstheme="minorEastAsia"/>
          <w:sz w:val="24"/>
          <w:szCs w:val="24"/>
        </w:rPr>
        <w:t>13,174.10</w:t>
      </w:r>
      <w:r>
        <w:rPr>
          <w:rFonts w:hint="eastAsia" w:asciiTheme="minorEastAsia" w:hAnsiTheme="minorEastAsia" w:cstheme="minorEastAsia"/>
          <w:sz w:val="24"/>
          <w:szCs w:val="24"/>
        </w:rPr>
        <w:t>万元,其中</w:t>
      </w:r>
      <w:r>
        <w:rPr>
          <w:rFonts w:asciiTheme="minorEastAsia" w:hAnsiTheme="minorEastAsia" w:cstheme="minorEastAsia"/>
          <w:sz w:val="24"/>
          <w:szCs w:val="24"/>
        </w:rPr>
        <w:t>12</w:t>
      </w:r>
      <w:r>
        <w:rPr>
          <w:rFonts w:hint="eastAsia" w:asciiTheme="minorEastAsia" w:hAnsiTheme="minorEastAsia" w:cstheme="minorEastAsia"/>
          <w:sz w:val="24"/>
          <w:szCs w:val="24"/>
        </w:rPr>
        <w:t>,000万元担保系公司于2025年</w:t>
      </w:r>
      <w:r>
        <w:rPr>
          <w:rFonts w:asciiTheme="minorEastAsia" w:hAnsiTheme="minorEastAsia" w:cstheme="minorEastAsia"/>
          <w:sz w:val="24"/>
          <w:szCs w:val="24"/>
        </w:rPr>
        <w:t>7</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23</w:t>
      </w:r>
      <w:r>
        <w:rPr>
          <w:rFonts w:hint="eastAsia" w:asciiTheme="minorEastAsia" w:hAnsiTheme="minorEastAsia" w:cstheme="minorEastAsia"/>
          <w:sz w:val="24"/>
          <w:szCs w:val="24"/>
        </w:rPr>
        <w:t>日与华夏银行股份有限公司昆明圆通支行（以下简称“华夏银行昆明圆通支行”）签署《最高额保证合同》为全资子公司云变电气与华夏银行昆明圆通支行签署《最高额融资合同》提供不超过</w:t>
      </w:r>
      <w:r>
        <w:rPr>
          <w:rFonts w:hint="eastAsia" w:asciiTheme="minorEastAsia" w:hAnsiTheme="minorEastAsia" w:cstheme="minorEastAsia"/>
          <w:color w:val="000000"/>
          <w:kern w:val="0"/>
          <w:sz w:val="24"/>
          <w:szCs w:val="24"/>
        </w:rPr>
        <w:t>最高本金余额</w:t>
      </w:r>
      <w:r>
        <w:rPr>
          <w:rFonts w:hint="eastAsia" w:asciiTheme="minorEastAsia" w:hAnsiTheme="minorEastAsia" w:cstheme="minorEastAsia"/>
          <w:sz w:val="24"/>
          <w:szCs w:val="24"/>
        </w:rPr>
        <w:t>人民币</w:t>
      </w:r>
      <w:r>
        <w:rPr>
          <w:rFonts w:asciiTheme="minorEastAsia" w:hAnsiTheme="minorEastAsia" w:cstheme="minorEastAsia"/>
          <w:sz w:val="24"/>
          <w:szCs w:val="24"/>
        </w:rPr>
        <w:t>12</w:t>
      </w:r>
      <w:r>
        <w:rPr>
          <w:rFonts w:hint="eastAsia" w:asciiTheme="minorEastAsia" w:hAnsiTheme="minorEastAsia" w:cstheme="minorEastAsia"/>
          <w:sz w:val="24"/>
          <w:szCs w:val="24"/>
        </w:rPr>
        <w:t>,</w:t>
      </w:r>
      <w:r>
        <w:rPr>
          <w:rFonts w:asciiTheme="minorEastAsia" w:hAnsiTheme="minorEastAsia" w:cstheme="minorEastAsia"/>
          <w:sz w:val="24"/>
          <w:szCs w:val="24"/>
        </w:rPr>
        <w:t>000</w:t>
      </w:r>
      <w:r>
        <w:rPr>
          <w:rFonts w:hint="eastAsia" w:asciiTheme="minorEastAsia" w:hAnsiTheme="minorEastAsia" w:cstheme="minorEastAsia"/>
          <w:sz w:val="24"/>
          <w:szCs w:val="24"/>
        </w:rPr>
        <w:t>万元的连带责任担保；</w:t>
      </w:r>
      <w:r>
        <w:rPr>
          <w:rFonts w:asciiTheme="minorEastAsia" w:hAnsiTheme="minorEastAsia" w:cstheme="minorEastAsia"/>
          <w:sz w:val="24"/>
          <w:szCs w:val="24"/>
        </w:rPr>
        <w:t>1,174.10</w:t>
      </w:r>
      <w:r>
        <w:rPr>
          <w:rFonts w:hint="eastAsia" w:asciiTheme="minorEastAsia" w:hAnsiTheme="minorEastAsia" w:cstheme="minorEastAsia"/>
          <w:sz w:val="24"/>
          <w:szCs w:val="24"/>
        </w:rPr>
        <w:t>万元担保系公司于2025年</w:t>
      </w:r>
      <w:r>
        <w:rPr>
          <w:rFonts w:asciiTheme="minorEastAsia" w:hAnsiTheme="minorEastAsia" w:cstheme="minorEastAsia"/>
          <w:sz w:val="24"/>
          <w:szCs w:val="24"/>
        </w:rPr>
        <w:t>7</w:t>
      </w:r>
      <w:r>
        <w:rPr>
          <w:rFonts w:hint="eastAsia" w:asciiTheme="minorEastAsia" w:hAnsiTheme="minorEastAsia" w:cstheme="minorEastAsia"/>
          <w:sz w:val="24"/>
          <w:szCs w:val="24"/>
        </w:rPr>
        <w:t>月</w:t>
      </w:r>
      <w:r>
        <w:rPr>
          <w:rFonts w:asciiTheme="minorEastAsia" w:hAnsiTheme="minorEastAsia" w:cstheme="minorEastAsia"/>
          <w:sz w:val="24"/>
          <w:szCs w:val="24"/>
        </w:rPr>
        <w:t>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日与中银金融租赁有限公司（以下简称“中银金租”）签署《保证合同》为</w:t>
      </w:r>
      <w:r>
        <w:rPr>
          <w:rFonts w:hint="default" w:asciiTheme="minorEastAsia" w:hAnsiTheme="minorEastAsia" w:cstheme="minorEastAsia"/>
          <w:sz w:val="24"/>
          <w:szCs w:val="24"/>
          <w:lang w:val="en-US"/>
        </w:rPr>
        <w:t>全资</w:t>
      </w:r>
      <w:r>
        <w:rPr>
          <w:rFonts w:hint="eastAsia" w:asciiTheme="minorEastAsia" w:hAnsiTheme="minorEastAsia" w:cstheme="minorEastAsia"/>
          <w:sz w:val="24"/>
          <w:szCs w:val="24"/>
        </w:rPr>
        <w:t>子公司云变电气与中银金租签署的《融资租赁合同》提供不超过</w:t>
      </w:r>
      <w:r>
        <w:rPr>
          <w:rFonts w:hint="eastAsia" w:asciiTheme="minorEastAsia" w:hAnsiTheme="minorEastAsia" w:cstheme="minorEastAsia"/>
          <w:color w:val="000000"/>
          <w:kern w:val="0"/>
          <w:sz w:val="24"/>
          <w:szCs w:val="24"/>
        </w:rPr>
        <w:t>最高本金余额</w:t>
      </w:r>
      <w:r>
        <w:rPr>
          <w:rFonts w:hint="eastAsia" w:asciiTheme="minorEastAsia" w:hAnsiTheme="minorEastAsia" w:cstheme="minorEastAsia"/>
          <w:sz w:val="24"/>
          <w:szCs w:val="24"/>
        </w:rPr>
        <w:t>人民币</w:t>
      </w:r>
      <w:r>
        <w:rPr>
          <w:rFonts w:asciiTheme="minorEastAsia" w:hAnsiTheme="minorEastAsia" w:cstheme="minorEastAsia"/>
          <w:sz w:val="24"/>
          <w:szCs w:val="24"/>
        </w:rPr>
        <w:t>1,174.10</w:t>
      </w:r>
      <w:r>
        <w:rPr>
          <w:rFonts w:hint="eastAsia" w:asciiTheme="minorEastAsia" w:hAnsiTheme="minorEastAsia" w:cstheme="minorEastAsia"/>
          <w:sz w:val="24"/>
          <w:szCs w:val="24"/>
        </w:rPr>
        <w:t>万元的连带责任担保。</w:t>
      </w:r>
    </w:p>
    <w:p w14:paraId="148647ED">
      <w:pPr>
        <w:widowControl/>
        <w:adjustRightInd w:val="0"/>
        <w:snapToGrid w:val="0"/>
        <w:spacing w:line="560" w:lineRule="exact"/>
        <w:ind w:firstLine="480" w:firstLineChars="200"/>
        <w:rPr>
          <w:rFonts w:asciiTheme="minorEastAsia" w:hAnsiTheme="minorEastAsia" w:cstheme="minorEastAsia"/>
          <w:color w:val="000000"/>
          <w:kern w:val="0"/>
          <w:sz w:val="24"/>
          <w:szCs w:val="24"/>
        </w:rPr>
      </w:pPr>
      <w:r>
        <w:rPr>
          <w:rFonts w:hint="eastAsia" w:asciiTheme="minorEastAsia" w:hAnsiTheme="minorEastAsia" w:cstheme="minorEastAsia"/>
          <w:sz w:val="24"/>
          <w:szCs w:val="24"/>
        </w:rPr>
        <w:t>上述担保无反担保，上述担保事项属于公司2024年第三次临时股东会授权范围并在有效期内,无需再次提交公司董事会、股东会审议。</w:t>
      </w:r>
    </w:p>
    <w:p w14:paraId="7E81FD8D">
      <w:pPr>
        <w:pStyle w:val="17"/>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内部决策程序</w:t>
      </w:r>
    </w:p>
    <w:p w14:paraId="06ED02C3">
      <w:pPr>
        <w:widowControl/>
        <w:adjustRightInd w:val="0"/>
        <w:snapToGrid w:val="0"/>
        <w:spacing w:line="560" w:lineRule="exact"/>
        <w:ind w:firstLine="480" w:firstLineChars="20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于2024年11月26日召开第四届董事会第九次会议审议通过《关于2025年度向银行等金融机构申请综合授信额度及为子公司提供融资担保额度的议案》，同意2025年度为子公司重庆惠泽电器有限公司（以下简称“惠泽电器”）向银行等金融机构申请综合授信或借款提供新增额度不超过1亿元人民币（或等值外币）的担保；同意2025年度为资产负债率超过70%的子公司黔南望江变压器有限公司（以下简称“黔南望江”）向银行等金融机构申请综合授信或借款提供新增额度不超过2亿元人民币（或等值外币）的担保；同意2025年度为子公司云变电气向银行等金融机构申请综合授信或借款提供新增额度不超过12亿元人民币（或等值外币）的担保。上述担保额度有效期自2025年1月1日至2025年12月31日。该担保事项已提交公司2024年第三次临时股东会审议通过。具体情况详见公司在上海证券交易所官网披露的《关于预计2025年度对子公司新增担保额度的公告》（公告编号：2024-075）和《2024年第三次临时股东大会决议公告》（公告编号：2024-082）。</w:t>
      </w:r>
    </w:p>
    <w:p w14:paraId="713749B7">
      <w:pPr>
        <w:pStyle w:val="17"/>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 xml:space="preserve">担保预计基本情况 </w:t>
      </w:r>
    </w:p>
    <w:tbl>
      <w:tblPr>
        <w:tblStyle w:val="12"/>
        <w:tblW w:w="526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7"/>
        <w:gridCol w:w="573"/>
        <w:gridCol w:w="748"/>
        <w:gridCol w:w="874"/>
        <w:gridCol w:w="1067"/>
        <w:gridCol w:w="1030"/>
        <w:gridCol w:w="942"/>
        <w:gridCol w:w="794"/>
        <w:gridCol w:w="1219"/>
        <w:gridCol w:w="441"/>
        <w:gridCol w:w="711"/>
      </w:tblGrid>
      <w:tr w14:paraId="445B15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552" w:type="dxa"/>
            <w:vAlign w:val="center"/>
          </w:tcPr>
          <w:p w14:paraId="190F1892">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担保方</w:t>
            </w:r>
          </w:p>
        </w:tc>
        <w:tc>
          <w:tcPr>
            <w:tcW w:w="558" w:type="dxa"/>
            <w:vAlign w:val="center"/>
          </w:tcPr>
          <w:p w14:paraId="732E459E">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被担保方</w:t>
            </w:r>
          </w:p>
        </w:tc>
        <w:tc>
          <w:tcPr>
            <w:tcW w:w="728" w:type="dxa"/>
            <w:vAlign w:val="center"/>
          </w:tcPr>
          <w:p w14:paraId="5131C186">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担保方持股比例</w:t>
            </w:r>
          </w:p>
        </w:tc>
        <w:tc>
          <w:tcPr>
            <w:tcW w:w="851" w:type="dxa"/>
            <w:vAlign w:val="center"/>
          </w:tcPr>
          <w:p w14:paraId="79A0B6A6">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被担</w:t>
            </w:r>
          </w:p>
          <w:p w14:paraId="7CDA06B8">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保方2025.0</w:t>
            </w:r>
            <w:r>
              <w:rPr>
                <w:rFonts w:asciiTheme="minorEastAsia" w:hAnsiTheme="minorEastAsia" w:cstheme="minorEastAsia"/>
                <w:b/>
                <w:bCs/>
                <w:color w:val="000000"/>
                <w:kern w:val="0"/>
                <w:sz w:val="16"/>
                <w:szCs w:val="16"/>
              </w:rPr>
              <w:t>3</w:t>
            </w:r>
            <w:r>
              <w:rPr>
                <w:rFonts w:hint="eastAsia" w:asciiTheme="minorEastAsia" w:hAnsiTheme="minorEastAsia" w:cstheme="minorEastAsia"/>
                <w:b/>
                <w:bCs/>
                <w:color w:val="000000"/>
                <w:kern w:val="0"/>
                <w:sz w:val="16"/>
                <w:szCs w:val="16"/>
              </w:rPr>
              <w:t>.31资产负债率（未经审计）</w:t>
            </w:r>
          </w:p>
        </w:tc>
        <w:tc>
          <w:tcPr>
            <w:tcW w:w="1039" w:type="dxa"/>
            <w:vAlign w:val="center"/>
          </w:tcPr>
          <w:p w14:paraId="616E4A4A">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2025年预计担保额度</w:t>
            </w:r>
          </w:p>
          <w:p w14:paraId="4C19E76D">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1003" w:type="dxa"/>
            <w:vAlign w:val="center"/>
          </w:tcPr>
          <w:p w14:paraId="138D620A">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截至2025年</w:t>
            </w:r>
            <w:r>
              <w:rPr>
                <w:rFonts w:asciiTheme="minorEastAsia" w:hAnsiTheme="minorEastAsia" w:cstheme="minorEastAsia"/>
                <w:b/>
                <w:bCs/>
                <w:color w:val="000000"/>
                <w:kern w:val="0"/>
                <w:sz w:val="16"/>
                <w:szCs w:val="16"/>
              </w:rPr>
              <w:t>7</w:t>
            </w:r>
            <w:r>
              <w:rPr>
                <w:rFonts w:hint="eastAsia" w:asciiTheme="minorEastAsia" w:hAnsiTheme="minorEastAsia" w:cstheme="minorEastAsia"/>
                <w:b/>
                <w:bCs/>
                <w:color w:val="000000"/>
                <w:kern w:val="0"/>
                <w:sz w:val="16"/>
                <w:szCs w:val="16"/>
              </w:rPr>
              <w:t>月末担保余额</w:t>
            </w:r>
          </w:p>
          <w:p w14:paraId="5301E1B6">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917" w:type="dxa"/>
            <w:vAlign w:val="center"/>
          </w:tcPr>
          <w:p w14:paraId="77295072">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7</w:t>
            </w:r>
            <w:r>
              <w:rPr>
                <w:rFonts w:hint="eastAsia" w:asciiTheme="minorEastAsia" w:hAnsiTheme="minorEastAsia" w:cstheme="minorEastAsia"/>
                <w:b/>
                <w:bCs/>
                <w:color w:val="000000"/>
                <w:kern w:val="0"/>
                <w:sz w:val="16"/>
                <w:szCs w:val="16"/>
              </w:rPr>
              <w:t>月新增担保额度</w:t>
            </w:r>
          </w:p>
          <w:p w14:paraId="1D521F69">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773" w:type="dxa"/>
            <w:vAlign w:val="center"/>
          </w:tcPr>
          <w:p w14:paraId="07000FF7">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截至2025年7月末担保余额</w:t>
            </w:r>
            <w:r>
              <w:rPr>
                <w:rFonts w:hint="eastAsia" w:asciiTheme="minorEastAsia" w:hAnsiTheme="minorEastAsia" w:cstheme="minorEastAsia"/>
                <w:b/>
                <w:bCs/>
                <w:color w:val="000000"/>
                <w:kern w:val="0"/>
                <w:sz w:val="16"/>
                <w:szCs w:val="16"/>
              </w:rPr>
              <w:t>占上市公司最近一期净资产比例</w:t>
            </w:r>
          </w:p>
        </w:tc>
        <w:tc>
          <w:tcPr>
            <w:tcW w:w="1187" w:type="dxa"/>
            <w:vAlign w:val="center"/>
          </w:tcPr>
          <w:p w14:paraId="28713599">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担保预计有效期</w:t>
            </w:r>
          </w:p>
        </w:tc>
        <w:tc>
          <w:tcPr>
            <w:tcW w:w="429" w:type="dxa"/>
            <w:vAlign w:val="center"/>
          </w:tcPr>
          <w:p w14:paraId="1A21F145">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是否关联担保</w:t>
            </w:r>
          </w:p>
        </w:tc>
        <w:tc>
          <w:tcPr>
            <w:tcW w:w="692" w:type="dxa"/>
            <w:vAlign w:val="center"/>
          </w:tcPr>
          <w:p w14:paraId="2331B0DF">
            <w:pPr>
              <w:widowControl/>
              <w:adjustRightInd w:val="0"/>
              <w:snapToGrid w:val="0"/>
              <w:jc w:val="center"/>
              <w:rPr>
                <w:rFonts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是否有反担保</w:t>
            </w:r>
          </w:p>
        </w:tc>
      </w:tr>
      <w:tr w14:paraId="27BBC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6FD1BBF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对控股子公司</w:t>
            </w:r>
          </w:p>
        </w:tc>
      </w:tr>
      <w:tr w14:paraId="342464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5D983B36">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1.资产负债率为70%以上的控股子公司</w:t>
            </w:r>
          </w:p>
        </w:tc>
      </w:tr>
      <w:tr w14:paraId="132CB6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3BE263E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43F54CCF">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6F9E1BAF">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黔南</w:t>
            </w:r>
          </w:p>
          <w:p w14:paraId="34907139">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望江</w:t>
            </w:r>
          </w:p>
        </w:tc>
        <w:tc>
          <w:tcPr>
            <w:tcW w:w="728" w:type="dxa"/>
            <w:vAlign w:val="center"/>
          </w:tcPr>
          <w:p w14:paraId="24547140">
            <w:pPr>
              <w:widowControl/>
              <w:adjustRightInd w:val="0"/>
              <w:snapToGrid w:val="0"/>
              <w:rPr>
                <w:rFonts w:asciiTheme="minorEastAsia" w:hAnsiTheme="minorEastAsia" w:cstheme="minorEastAsia"/>
                <w:kern w:val="0"/>
                <w:sz w:val="16"/>
                <w:szCs w:val="16"/>
              </w:rPr>
            </w:pPr>
            <w:r>
              <w:rPr>
                <w:rFonts w:eastAsia="宋体" w:asciiTheme="minorEastAsia" w:hAnsiTheme="minorEastAsia" w:cstheme="minorEastAsia"/>
                <w:kern w:val="0"/>
                <w:sz w:val="16"/>
                <w:szCs w:val="16"/>
              </w:rPr>
              <w:t>100.00%</w:t>
            </w:r>
          </w:p>
        </w:tc>
        <w:tc>
          <w:tcPr>
            <w:tcW w:w="851" w:type="dxa"/>
            <w:vAlign w:val="center"/>
          </w:tcPr>
          <w:p w14:paraId="56895A0C">
            <w:pPr>
              <w:widowControl/>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76.03</w:t>
            </w:r>
            <w:r>
              <w:rPr>
                <w:rFonts w:asciiTheme="minorEastAsia" w:hAnsiTheme="minorEastAsia" w:cstheme="minorEastAsia"/>
                <w:kern w:val="0"/>
                <w:sz w:val="16"/>
                <w:szCs w:val="16"/>
                <w:lang w:bidi="ar"/>
              </w:rPr>
              <w:t>%</w:t>
            </w:r>
          </w:p>
        </w:tc>
        <w:tc>
          <w:tcPr>
            <w:tcW w:w="1039" w:type="dxa"/>
            <w:vAlign w:val="center"/>
          </w:tcPr>
          <w:p w14:paraId="6E50683B">
            <w:pPr>
              <w:pStyle w:val="33"/>
              <w:widowControl/>
              <w:spacing w:line="240" w:lineRule="auto"/>
              <w:jc w:val="right"/>
              <w:rPr>
                <w:rFonts w:asciiTheme="minorEastAsia" w:hAnsiTheme="minorEastAsia" w:cstheme="minorEastAsia"/>
                <w:kern w:val="0"/>
                <w:sz w:val="16"/>
                <w:szCs w:val="16"/>
              </w:rPr>
            </w:pPr>
            <w:r>
              <w:rPr>
                <w:rFonts w:hint="eastAsia" w:ascii="宋体" w:hAnsi="宋体" w:eastAsia="宋体"/>
                <w:sz w:val="16"/>
                <w:szCs w:val="16"/>
                <w:lang w:eastAsia="zh-CN"/>
              </w:rPr>
              <w:t xml:space="preserve">20,000.00 </w:t>
            </w:r>
          </w:p>
        </w:tc>
        <w:tc>
          <w:tcPr>
            <w:tcW w:w="1003" w:type="dxa"/>
            <w:vAlign w:val="center"/>
          </w:tcPr>
          <w:p w14:paraId="3494520D">
            <w:pPr>
              <w:pStyle w:val="33"/>
              <w:widowControl/>
              <w:spacing w:line="240" w:lineRule="auto"/>
              <w:jc w:val="center"/>
              <w:rPr>
                <w:rFonts w:ascii="宋体" w:hAnsi="宋体" w:eastAsia="宋体"/>
                <w:sz w:val="16"/>
                <w:szCs w:val="16"/>
                <w:lang w:eastAsia="zh-CN"/>
              </w:rPr>
            </w:pPr>
            <w:r>
              <w:rPr>
                <w:rFonts w:hint="eastAsia" w:ascii="宋体" w:hAnsi="宋体" w:eastAsia="宋体"/>
                <w:sz w:val="16"/>
                <w:szCs w:val="16"/>
                <w:lang w:eastAsia="zh-CN"/>
              </w:rPr>
              <w:t xml:space="preserve"> 3,589.58 </w:t>
            </w:r>
          </w:p>
        </w:tc>
        <w:tc>
          <w:tcPr>
            <w:tcW w:w="917" w:type="dxa"/>
            <w:vAlign w:val="center"/>
          </w:tcPr>
          <w:p w14:paraId="1DBB9287">
            <w:pPr>
              <w:pStyle w:val="33"/>
              <w:widowControl/>
              <w:spacing w:line="240" w:lineRule="auto"/>
              <w:jc w:val="center"/>
              <w:rPr>
                <w:rFonts w:asciiTheme="minorEastAsia" w:hAnsiTheme="minorEastAsia" w:cstheme="minorEastAsia"/>
                <w:kern w:val="0"/>
                <w:sz w:val="16"/>
                <w:szCs w:val="16"/>
              </w:rPr>
            </w:pPr>
            <w:r>
              <w:rPr>
                <w:rFonts w:ascii="宋体" w:hAnsi="宋体" w:eastAsia="宋体"/>
                <w:sz w:val="16"/>
                <w:szCs w:val="16"/>
                <w:lang w:eastAsia="zh-CN"/>
              </w:rPr>
              <w:t>0</w:t>
            </w:r>
            <w:r>
              <w:rPr>
                <w:rFonts w:hint="eastAsia" w:ascii="宋体" w:hAnsi="宋体" w:eastAsia="宋体"/>
                <w:sz w:val="16"/>
                <w:szCs w:val="16"/>
                <w:lang w:eastAsia="zh-CN"/>
              </w:rPr>
              <w:t>.00</w:t>
            </w:r>
          </w:p>
        </w:tc>
        <w:tc>
          <w:tcPr>
            <w:tcW w:w="773" w:type="dxa"/>
            <w:vAlign w:val="center"/>
          </w:tcPr>
          <w:p w14:paraId="3FF0F885">
            <w:pPr>
              <w:widowControl/>
              <w:adjustRightInd w:val="0"/>
              <w:snapToGrid w:val="0"/>
              <w:jc w:val="center"/>
              <w:rPr>
                <w:rFonts w:asciiTheme="minorEastAsia" w:hAnsiTheme="minorEastAsia" w:cstheme="minorEastAsia"/>
                <w:kern w:val="0"/>
                <w:sz w:val="16"/>
                <w:szCs w:val="16"/>
              </w:rPr>
            </w:pPr>
            <w:r>
              <w:rPr>
                <w:rFonts w:hint="eastAsia" w:asciiTheme="minorEastAsia" w:hAnsiTheme="minorEastAsia" w:cstheme="minorEastAsia"/>
                <w:kern w:val="0"/>
                <w:sz w:val="16"/>
                <w:szCs w:val="16"/>
              </w:rPr>
              <w:t>1.</w:t>
            </w:r>
            <w:r>
              <w:rPr>
                <w:rFonts w:hint="eastAsia" w:asciiTheme="minorEastAsia" w:hAnsiTheme="minorEastAsia" w:cstheme="minorEastAsia"/>
                <w:kern w:val="0"/>
                <w:sz w:val="16"/>
                <w:szCs w:val="16"/>
                <w:lang w:val="en-US" w:eastAsia="zh-CN"/>
              </w:rPr>
              <w:t>49</w:t>
            </w:r>
            <w:r>
              <w:rPr>
                <w:rFonts w:hint="eastAsia" w:asciiTheme="minorEastAsia" w:hAnsiTheme="minorEastAsia" w:cstheme="minorEastAsia"/>
                <w:kern w:val="0"/>
                <w:sz w:val="16"/>
                <w:szCs w:val="16"/>
              </w:rPr>
              <w:t>%</w:t>
            </w:r>
          </w:p>
        </w:tc>
        <w:tc>
          <w:tcPr>
            <w:tcW w:w="1187" w:type="dxa"/>
            <w:vAlign w:val="center"/>
          </w:tcPr>
          <w:p w14:paraId="1A7AD7FE">
            <w:pPr>
              <w:widowControl/>
              <w:adjustRightInd w:val="0"/>
              <w:snapToGrid w:val="0"/>
              <w:jc w:val="both"/>
              <w:rPr>
                <w:rFonts w:hint="eastAsia" w:asciiTheme="minorEastAsia" w:hAnsiTheme="minorEastAsia" w:eastAsiaTheme="minorEastAsia" w:cstheme="minorEastAsia"/>
                <w:kern w:val="0"/>
                <w:sz w:val="16"/>
                <w:szCs w:val="16"/>
                <w:lang w:eastAsia="zh-CN"/>
              </w:rPr>
            </w:pPr>
            <w:r>
              <w:rPr>
                <w:rFonts w:hint="eastAsia" w:asciiTheme="minorEastAsia" w:hAnsiTheme="minorEastAsia" w:cstheme="minorEastAsia"/>
                <w:kern w:val="0"/>
                <w:sz w:val="16"/>
                <w:szCs w:val="16"/>
                <w:lang w:val="en-US" w:eastAsia="zh-CN"/>
              </w:rPr>
              <w:t>-</w:t>
            </w:r>
          </w:p>
        </w:tc>
        <w:tc>
          <w:tcPr>
            <w:tcW w:w="429" w:type="dxa"/>
            <w:vAlign w:val="center"/>
          </w:tcPr>
          <w:p w14:paraId="75BCDE4C">
            <w:pPr>
              <w:widowControl/>
              <w:adjustRightInd w:val="0"/>
              <w:snapToGrid w:val="0"/>
              <w:jc w:val="center"/>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69A8FE32">
            <w:pPr>
              <w:widowControl/>
              <w:adjustRightInd w:val="0"/>
              <w:snapToGrid w:val="0"/>
              <w:jc w:val="center"/>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3A322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2968F2AA">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2.资产负债率为70%以下的控股子公司</w:t>
            </w:r>
          </w:p>
        </w:tc>
      </w:tr>
      <w:tr w14:paraId="72098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661C67B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04E59B52">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433F1E97">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云变</w:t>
            </w:r>
          </w:p>
          <w:p w14:paraId="77844811">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728" w:type="dxa"/>
            <w:vAlign w:val="center"/>
          </w:tcPr>
          <w:p w14:paraId="28CDA59E">
            <w:pPr>
              <w:widowControl/>
              <w:adjustRightInd w:val="0"/>
              <w:snapToGrid w:val="0"/>
              <w:rPr>
                <w:rFonts w:asciiTheme="minorEastAsia" w:hAnsiTheme="minorEastAsia" w:cstheme="minorEastAsia"/>
                <w:kern w:val="0"/>
                <w:sz w:val="16"/>
                <w:szCs w:val="16"/>
              </w:rPr>
            </w:pPr>
            <w:r>
              <w:rPr>
                <w:rFonts w:hint="eastAsia" w:eastAsia="宋体" w:asciiTheme="minorEastAsia" w:hAnsiTheme="minorEastAsia" w:cstheme="minorEastAsia"/>
                <w:kern w:val="0"/>
                <w:sz w:val="16"/>
                <w:szCs w:val="16"/>
              </w:rPr>
              <w:t>100.00</w:t>
            </w:r>
            <w:r>
              <w:rPr>
                <w:rFonts w:eastAsia="宋体" w:asciiTheme="minorEastAsia" w:hAnsiTheme="minorEastAsia" w:cstheme="minorEastAsia"/>
                <w:kern w:val="0"/>
                <w:sz w:val="16"/>
                <w:szCs w:val="16"/>
              </w:rPr>
              <w:t>%</w:t>
            </w:r>
          </w:p>
        </w:tc>
        <w:tc>
          <w:tcPr>
            <w:tcW w:w="851" w:type="dxa"/>
            <w:vAlign w:val="center"/>
          </w:tcPr>
          <w:p w14:paraId="74577889">
            <w:pPr>
              <w:widowControl/>
              <w:jc w:val="right"/>
              <w:rPr>
                <w:rFonts w:asciiTheme="minorEastAsia" w:hAnsiTheme="minorEastAsia" w:cstheme="minorEastAsia"/>
                <w:kern w:val="0"/>
                <w:sz w:val="16"/>
                <w:szCs w:val="16"/>
              </w:rPr>
            </w:pPr>
            <w:r>
              <w:rPr>
                <w:rFonts w:asciiTheme="minorEastAsia" w:hAnsiTheme="minorEastAsia" w:cstheme="minorEastAsia"/>
                <w:kern w:val="0"/>
                <w:sz w:val="16"/>
                <w:szCs w:val="16"/>
                <w:lang w:bidi="ar"/>
              </w:rPr>
              <w:t>61.88%</w:t>
            </w:r>
          </w:p>
        </w:tc>
        <w:tc>
          <w:tcPr>
            <w:tcW w:w="1039" w:type="dxa"/>
            <w:vAlign w:val="center"/>
          </w:tcPr>
          <w:p w14:paraId="5AB80D50">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 xml:space="preserve">120,000.00 </w:t>
            </w:r>
          </w:p>
        </w:tc>
        <w:tc>
          <w:tcPr>
            <w:tcW w:w="1003" w:type="dxa"/>
            <w:vAlign w:val="center"/>
          </w:tcPr>
          <w:p w14:paraId="69FA56C6">
            <w:pPr>
              <w:widowControl/>
              <w:adjustRightInd w:val="0"/>
              <w:snapToGrid w:val="0"/>
              <w:jc w:val="right"/>
              <w:rPr>
                <w:rFonts w:asciiTheme="minorEastAsia" w:hAnsiTheme="minorEastAsia" w:cstheme="minorEastAsia"/>
                <w:kern w:val="0"/>
                <w:sz w:val="16"/>
                <w:szCs w:val="16"/>
              </w:rPr>
            </w:pPr>
            <w:bookmarkStart w:id="2" w:name="OLE_LINK1"/>
            <w:bookmarkStart w:id="3" w:name="OLE_LINK2"/>
            <w:r>
              <w:rPr>
                <w:rFonts w:hint="eastAsia" w:asciiTheme="minorEastAsia" w:hAnsiTheme="minorEastAsia" w:cstheme="minorEastAsia"/>
                <w:kern w:val="0"/>
                <w:sz w:val="16"/>
                <w:szCs w:val="16"/>
              </w:rPr>
              <w:t xml:space="preserve"> 46,531.34 </w:t>
            </w:r>
            <w:bookmarkEnd w:id="2"/>
            <w:bookmarkEnd w:id="3"/>
          </w:p>
        </w:tc>
        <w:tc>
          <w:tcPr>
            <w:tcW w:w="917" w:type="dxa"/>
            <w:vAlign w:val="center"/>
          </w:tcPr>
          <w:p w14:paraId="3E481204">
            <w:pPr>
              <w:widowControl/>
              <w:adjustRightInd w:val="0"/>
              <w:snapToGrid w:val="0"/>
              <w:jc w:val="both"/>
              <w:rPr>
                <w:rFonts w:asciiTheme="minorEastAsia" w:hAnsiTheme="minorEastAsia" w:cstheme="minorEastAsia"/>
                <w:kern w:val="0"/>
                <w:sz w:val="16"/>
                <w:szCs w:val="16"/>
              </w:rPr>
            </w:pPr>
            <w:r>
              <w:rPr>
                <w:rFonts w:asciiTheme="minorEastAsia" w:hAnsiTheme="minorEastAsia" w:cstheme="minorEastAsia"/>
                <w:kern w:val="0"/>
                <w:sz w:val="16"/>
                <w:szCs w:val="16"/>
              </w:rPr>
              <w:t>13,174.10</w:t>
            </w:r>
          </w:p>
        </w:tc>
        <w:tc>
          <w:tcPr>
            <w:tcW w:w="773" w:type="dxa"/>
            <w:vAlign w:val="center"/>
          </w:tcPr>
          <w:p w14:paraId="75503D57">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1</w:t>
            </w:r>
            <w:r>
              <w:rPr>
                <w:rFonts w:hint="eastAsia" w:asciiTheme="minorEastAsia" w:hAnsiTheme="minorEastAsia" w:cstheme="minorEastAsia"/>
                <w:kern w:val="0"/>
                <w:sz w:val="16"/>
                <w:szCs w:val="16"/>
                <w:lang w:val="en-US" w:eastAsia="zh-CN"/>
              </w:rPr>
              <w:t>9.28</w:t>
            </w:r>
            <w:r>
              <w:rPr>
                <w:rFonts w:asciiTheme="minorEastAsia" w:hAnsiTheme="minorEastAsia" w:cstheme="minorEastAsia"/>
                <w:kern w:val="0"/>
                <w:sz w:val="16"/>
                <w:szCs w:val="16"/>
              </w:rPr>
              <w:t>%</w:t>
            </w:r>
          </w:p>
        </w:tc>
        <w:tc>
          <w:tcPr>
            <w:tcW w:w="1187" w:type="dxa"/>
            <w:vAlign w:val="center"/>
          </w:tcPr>
          <w:p w14:paraId="224E34C2">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主债权届满之日起三年</w:t>
            </w:r>
          </w:p>
        </w:tc>
        <w:tc>
          <w:tcPr>
            <w:tcW w:w="429" w:type="dxa"/>
            <w:vAlign w:val="center"/>
          </w:tcPr>
          <w:p w14:paraId="2D4ABD96">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2757E56E">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6F2A5C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4F019FA7">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237F05FB">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0553C1E3">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惠泽</w:t>
            </w:r>
          </w:p>
          <w:p w14:paraId="19C645B4">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电器</w:t>
            </w:r>
          </w:p>
        </w:tc>
        <w:tc>
          <w:tcPr>
            <w:tcW w:w="728" w:type="dxa"/>
            <w:vAlign w:val="center"/>
          </w:tcPr>
          <w:p w14:paraId="2AF06E3D">
            <w:pPr>
              <w:widowControl/>
              <w:adjustRightInd w:val="0"/>
              <w:snapToGrid w:val="0"/>
              <w:rPr>
                <w:rFonts w:asciiTheme="minorEastAsia" w:hAnsiTheme="minorEastAsia" w:cstheme="minorEastAsia"/>
                <w:kern w:val="0"/>
                <w:sz w:val="16"/>
                <w:szCs w:val="16"/>
              </w:rPr>
            </w:pPr>
            <w:r>
              <w:rPr>
                <w:rFonts w:eastAsia="宋体" w:asciiTheme="minorEastAsia" w:hAnsiTheme="minorEastAsia" w:cstheme="minorEastAsia"/>
                <w:kern w:val="0"/>
                <w:sz w:val="16"/>
                <w:szCs w:val="16"/>
              </w:rPr>
              <w:t>100.00%</w:t>
            </w:r>
          </w:p>
        </w:tc>
        <w:tc>
          <w:tcPr>
            <w:tcW w:w="851" w:type="dxa"/>
            <w:vAlign w:val="center"/>
          </w:tcPr>
          <w:p w14:paraId="62301A6A">
            <w:pPr>
              <w:widowControl/>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57.93</w:t>
            </w:r>
            <w:r>
              <w:rPr>
                <w:rFonts w:asciiTheme="minorEastAsia" w:hAnsiTheme="minorEastAsia" w:cstheme="minorEastAsia"/>
                <w:kern w:val="0"/>
                <w:sz w:val="16"/>
                <w:szCs w:val="16"/>
                <w:lang w:bidi="ar"/>
              </w:rPr>
              <w:t>%</w:t>
            </w:r>
          </w:p>
        </w:tc>
        <w:tc>
          <w:tcPr>
            <w:tcW w:w="1039" w:type="dxa"/>
            <w:vAlign w:val="center"/>
          </w:tcPr>
          <w:p w14:paraId="57739795">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1</w:t>
            </w:r>
            <w:r>
              <w:rPr>
                <w:rFonts w:asciiTheme="minorEastAsia" w:hAnsiTheme="minorEastAsia" w:cstheme="minorEastAsia"/>
                <w:kern w:val="0"/>
                <w:sz w:val="16"/>
                <w:szCs w:val="16"/>
              </w:rPr>
              <w:t>0,000.00</w:t>
            </w:r>
          </w:p>
        </w:tc>
        <w:tc>
          <w:tcPr>
            <w:tcW w:w="1003" w:type="dxa"/>
            <w:vAlign w:val="center"/>
          </w:tcPr>
          <w:p w14:paraId="15F0B127">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0.00</w:t>
            </w:r>
          </w:p>
        </w:tc>
        <w:tc>
          <w:tcPr>
            <w:tcW w:w="917" w:type="dxa"/>
            <w:vAlign w:val="center"/>
          </w:tcPr>
          <w:p w14:paraId="22FDC457">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0.00</w:t>
            </w:r>
          </w:p>
        </w:tc>
        <w:tc>
          <w:tcPr>
            <w:tcW w:w="773" w:type="dxa"/>
            <w:vAlign w:val="center"/>
          </w:tcPr>
          <w:p w14:paraId="10318ADC">
            <w:pPr>
              <w:widowControl/>
              <w:adjustRightInd w:val="0"/>
              <w:snapToGrid w:val="0"/>
              <w:jc w:val="right"/>
              <w:rPr>
                <w:rFonts w:asciiTheme="minorEastAsia" w:hAnsiTheme="minorEastAsia" w:cstheme="minorEastAsia"/>
                <w:kern w:val="0"/>
                <w:sz w:val="16"/>
                <w:szCs w:val="16"/>
              </w:rPr>
            </w:pPr>
            <w:r>
              <w:rPr>
                <w:rFonts w:hint="eastAsia" w:asciiTheme="minorEastAsia" w:hAnsiTheme="minorEastAsia" w:cstheme="minorEastAsia"/>
                <w:kern w:val="0"/>
                <w:sz w:val="16"/>
                <w:szCs w:val="16"/>
              </w:rPr>
              <w:t>0.00%</w:t>
            </w:r>
          </w:p>
        </w:tc>
        <w:tc>
          <w:tcPr>
            <w:tcW w:w="1187" w:type="dxa"/>
            <w:vAlign w:val="center"/>
          </w:tcPr>
          <w:p w14:paraId="768C3608">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w:t>
            </w:r>
          </w:p>
        </w:tc>
        <w:tc>
          <w:tcPr>
            <w:tcW w:w="429" w:type="dxa"/>
            <w:vAlign w:val="center"/>
          </w:tcPr>
          <w:p w14:paraId="0F113E52">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39B237F4">
            <w:pPr>
              <w:widowControl/>
              <w:adjustRightInd w:val="0"/>
              <w:snapToGrid w:val="0"/>
              <w:rPr>
                <w:rFonts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4D71B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10" w:type="dxa"/>
            <w:gridSpan w:val="2"/>
            <w:vAlign w:val="center"/>
          </w:tcPr>
          <w:p w14:paraId="2324A370">
            <w:pPr>
              <w:widowControl/>
              <w:adjustRightInd w:val="0"/>
              <w:snapToGrid w:val="0"/>
              <w:jc w:val="center"/>
              <w:rPr>
                <w:rFonts w:ascii="宋体" w:hAnsi="宋体"/>
                <w:b/>
                <w:bCs/>
                <w:sz w:val="16"/>
                <w:szCs w:val="16"/>
              </w:rPr>
            </w:pPr>
            <w:bookmarkStart w:id="4" w:name="_GoBack" w:colFirst="5" w:colLast="7"/>
            <w:r>
              <w:rPr>
                <w:rFonts w:hint="eastAsia" w:ascii="宋体" w:hAnsi="宋体"/>
                <w:b/>
                <w:bCs/>
                <w:sz w:val="16"/>
                <w:szCs w:val="16"/>
              </w:rPr>
              <w:t>合计</w:t>
            </w:r>
          </w:p>
        </w:tc>
        <w:tc>
          <w:tcPr>
            <w:tcW w:w="728" w:type="dxa"/>
            <w:vAlign w:val="center"/>
          </w:tcPr>
          <w:p w14:paraId="7BCF6D4B">
            <w:pPr>
              <w:pStyle w:val="33"/>
              <w:widowControl/>
              <w:spacing w:line="240" w:lineRule="auto"/>
              <w:jc w:val="right"/>
              <w:rPr>
                <w:rFonts w:ascii="宋体" w:hAnsi="宋体" w:eastAsia="宋体"/>
                <w:b/>
                <w:bCs/>
                <w:sz w:val="16"/>
                <w:szCs w:val="16"/>
                <w:lang w:eastAsia="zh-CN"/>
              </w:rPr>
            </w:pPr>
            <w:r>
              <w:rPr>
                <w:rFonts w:hint="eastAsia" w:ascii="宋体" w:hAnsi="宋体" w:eastAsia="宋体"/>
                <w:b/>
                <w:bCs/>
                <w:sz w:val="16"/>
                <w:szCs w:val="16"/>
                <w:lang w:eastAsia="zh-CN"/>
              </w:rPr>
              <w:t>-</w:t>
            </w:r>
          </w:p>
        </w:tc>
        <w:tc>
          <w:tcPr>
            <w:tcW w:w="851" w:type="dxa"/>
            <w:vAlign w:val="center"/>
          </w:tcPr>
          <w:p w14:paraId="300A7246">
            <w:pPr>
              <w:widowControl/>
              <w:jc w:val="right"/>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c>
          <w:tcPr>
            <w:tcW w:w="1039" w:type="dxa"/>
            <w:vAlign w:val="center"/>
          </w:tcPr>
          <w:p w14:paraId="63D38824">
            <w:pPr>
              <w:widowControl/>
              <w:adjustRightInd w:val="0"/>
              <w:snapToGrid w:val="0"/>
              <w:jc w:val="right"/>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150,000.00</w:t>
            </w:r>
          </w:p>
        </w:tc>
        <w:tc>
          <w:tcPr>
            <w:tcW w:w="1003" w:type="dxa"/>
            <w:vAlign w:val="center"/>
          </w:tcPr>
          <w:p w14:paraId="08567FD7">
            <w:pPr>
              <w:widowControl/>
              <w:adjustRightInd w:val="0"/>
              <w:snapToGrid w:val="0"/>
              <w:jc w:val="right"/>
              <w:rPr>
                <w:rFonts w:asciiTheme="minorEastAsia" w:hAnsiTheme="minorEastAsia" w:cstheme="minorEastAsia"/>
                <w:b/>
                <w:bCs/>
                <w:kern w:val="0"/>
                <w:sz w:val="16"/>
                <w:szCs w:val="16"/>
                <w:highlight w:val="none"/>
              </w:rPr>
            </w:pPr>
            <w:r>
              <w:rPr>
                <w:rFonts w:hint="eastAsia" w:asciiTheme="minorEastAsia" w:hAnsiTheme="minorEastAsia" w:cstheme="minorEastAsia"/>
                <w:b/>
                <w:bCs/>
                <w:kern w:val="0"/>
                <w:sz w:val="16"/>
                <w:szCs w:val="16"/>
                <w:highlight w:val="none"/>
              </w:rPr>
              <w:t xml:space="preserve"> 50,120.91 </w:t>
            </w:r>
          </w:p>
        </w:tc>
        <w:tc>
          <w:tcPr>
            <w:tcW w:w="917" w:type="dxa"/>
            <w:vAlign w:val="center"/>
          </w:tcPr>
          <w:p w14:paraId="3C287889">
            <w:pPr>
              <w:widowControl/>
              <w:adjustRightInd w:val="0"/>
              <w:snapToGrid w:val="0"/>
              <w:jc w:val="right"/>
              <w:rPr>
                <w:rFonts w:asciiTheme="minorEastAsia" w:hAnsiTheme="minorEastAsia" w:cstheme="minorEastAsia"/>
                <w:b/>
                <w:bCs/>
                <w:kern w:val="0"/>
                <w:sz w:val="16"/>
                <w:szCs w:val="16"/>
                <w:highlight w:val="none"/>
              </w:rPr>
            </w:pPr>
            <w:r>
              <w:rPr>
                <w:rFonts w:asciiTheme="minorEastAsia" w:hAnsiTheme="minorEastAsia" w:cstheme="minorEastAsia"/>
                <w:b/>
                <w:bCs/>
                <w:kern w:val="0"/>
                <w:sz w:val="16"/>
                <w:szCs w:val="16"/>
                <w:highlight w:val="none"/>
              </w:rPr>
              <w:t>13,174.10</w:t>
            </w:r>
          </w:p>
        </w:tc>
        <w:tc>
          <w:tcPr>
            <w:tcW w:w="773" w:type="dxa"/>
            <w:vAlign w:val="center"/>
          </w:tcPr>
          <w:p w14:paraId="05968C1C">
            <w:pPr>
              <w:widowControl/>
              <w:adjustRightInd w:val="0"/>
              <w:snapToGrid w:val="0"/>
              <w:jc w:val="right"/>
              <w:rPr>
                <w:rFonts w:asciiTheme="minorEastAsia" w:hAnsiTheme="minorEastAsia" w:cstheme="minorEastAsia"/>
                <w:b/>
                <w:bCs/>
                <w:kern w:val="0"/>
                <w:sz w:val="16"/>
                <w:szCs w:val="16"/>
                <w:highlight w:val="none"/>
              </w:rPr>
            </w:pPr>
            <w:r>
              <w:rPr>
                <w:rFonts w:hint="eastAsia" w:asciiTheme="minorEastAsia" w:hAnsiTheme="minorEastAsia" w:cstheme="minorEastAsia"/>
                <w:b/>
                <w:bCs/>
                <w:kern w:val="0"/>
                <w:sz w:val="16"/>
                <w:szCs w:val="16"/>
                <w:highlight w:val="none"/>
                <w:lang w:val="en-US" w:eastAsia="zh-CN"/>
              </w:rPr>
              <w:t>20.77</w:t>
            </w:r>
            <w:r>
              <w:rPr>
                <w:rFonts w:asciiTheme="minorEastAsia" w:hAnsiTheme="minorEastAsia" w:cstheme="minorEastAsia"/>
                <w:b/>
                <w:bCs/>
                <w:kern w:val="0"/>
                <w:sz w:val="16"/>
                <w:szCs w:val="16"/>
                <w:highlight w:val="none"/>
              </w:rPr>
              <w:t>%</w:t>
            </w:r>
          </w:p>
        </w:tc>
        <w:tc>
          <w:tcPr>
            <w:tcW w:w="1187" w:type="dxa"/>
            <w:vAlign w:val="center"/>
          </w:tcPr>
          <w:p w14:paraId="40090B0C">
            <w:pPr>
              <w:widowControl/>
              <w:adjustRightInd w:val="0"/>
              <w:snapToGrid w:val="0"/>
              <w:rPr>
                <w:rFonts w:asciiTheme="minorEastAsia" w:hAnsiTheme="minorEastAsia" w:cstheme="minorEastAsia"/>
                <w:b/>
                <w:bCs/>
                <w:kern w:val="0"/>
                <w:sz w:val="16"/>
                <w:szCs w:val="16"/>
              </w:rPr>
            </w:pPr>
            <w:r>
              <w:rPr>
                <w:rFonts w:hint="eastAsia" w:asciiTheme="minorEastAsia" w:hAnsiTheme="minorEastAsia" w:cstheme="minorEastAsia"/>
                <w:kern w:val="0"/>
                <w:sz w:val="16"/>
                <w:szCs w:val="16"/>
              </w:rPr>
              <w:t>-</w:t>
            </w:r>
          </w:p>
        </w:tc>
        <w:tc>
          <w:tcPr>
            <w:tcW w:w="429" w:type="dxa"/>
            <w:vAlign w:val="center"/>
          </w:tcPr>
          <w:p w14:paraId="79DFDEFE">
            <w:pPr>
              <w:widowControl/>
              <w:adjustRightInd w:val="0"/>
              <w:snapToGrid w:val="0"/>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c>
          <w:tcPr>
            <w:tcW w:w="692" w:type="dxa"/>
            <w:vAlign w:val="center"/>
          </w:tcPr>
          <w:p w14:paraId="65E930CC">
            <w:pPr>
              <w:widowControl/>
              <w:adjustRightInd w:val="0"/>
              <w:snapToGrid w:val="0"/>
              <w:rPr>
                <w:rFonts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r>
      <w:bookmarkEnd w:id="4"/>
    </w:tbl>
    <w:p w14:paraId="0C85CEC4">
      <w:pPr>
        <w:widowControl/>
        <w:adjustRightInd w:val="0"/>
        <w:snapToGrid w:val="0"/>
        <w:spacing w:line="560" w:lineRule="exact"/>
        <w:jc w:val="left"/>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说明：本表尾差系四舍五入所致。</w:t>
      </w:r>
    </w:p>
    <w:p w14:paraId="3AC1D2D0">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被担保人基本情况</w:t>
      </w:r>
    </w:p>
    <w:p w14:paraId="38C15805">
      <w:pPr>
        <w:pStyle w:val="17"/>
        <w:widowControl/>
        <w:numPr>
          <w:ilvl w:val="0"/>
          <w:numId w:val="4"/>
        </w:numPr>
        <w:adjustRightInd w:val="0"/>
        <w:snapToGrid w:val="0"/>
        <w:spacing w:line="560" w:lineRule="exact"/>
        <w:ind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基本情况</w:t>
      </w:r>
    </w:p>
    <w:p w14:paraId="5D7B4567">
      <w:pPr>
        <w:pStyle w:val="17"/>
        <w:widowControl/>
        <w:adjustRightInd w:val="0"/>
        <w:snapToGrid w:val="0"/>
        <w:spacing w:line="560" w:lineRule="exact"/>
        <w:ind w:left="480" w:firstLine="0" w:firstLineChars="0"/>
        <w:jc w:val="left"/>
        <w:outlineLvl w:val="1"/>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color w:val="000000"/>
          <w:kern w:val="0"/>
          <w:sz w:val="24"/>
          <w:szCs w:val="24"/>
        </w:rPr>
        <w:t>云南变压器电气股份有限公司</w:t>
      </w:r>
    </w:p>
    <w:tbl>
      <w:tblPr>
        <w:tblStyle w:val="11"/>
        <w:tblW w:w="5000" w:type="pct"/>
        <w:tblInd w:w="0" w:type="dxa"/>
        <w:tblLayout w:type="autofit"/>
        <w:tblCellMar>
          <w:top w:w="0" w:type="dxa"/>
          <w:left w:w="0" w:type="dxa"/>
          <w:bottom w:w="0" w:type="dxa"/>
          <w:right w:w="0" w:type="dxa"/>
        </w:tblCellMar>
      </w:tblPr>
      <w:tblGrid>
        <w:gridCol w:w="2512"/>
        <w:gridCol w:w="1512"/>
        <w:gridCol w:w="2127"/>
        <w:gridCol w:w="2267"/>
      </w:tblGrid>
      <w:tr w14:paraId="7FB95238">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C5A8537">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被担保人类型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7B5812B">
            <w:pPr>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☑法人</w:t>
            </w:r>
          </w:p>
          <w:p w14:paraId="392947EE">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□其他</w:t>
            </w:r>
            <w:r>
              <w:rPr>
                <w:rFonts w:hint="eastAsia" w:asciiTheme="minorEastAsia" w:hAnsiTheme="minorEastAsia" w:cstheme="minorEastAsia"/>
                <w:sz w:val="16"/>
                <w:szCs w:val="16"/>
              </w:rPr>
              <w:t>______________</w:t>
            </w:r>
            <w:r>
              <w:rPr>
                <w:rFonts w:hint="eastAsia" w:asciiTheme="minorEastAsia" w:hAnsiTheme="minorEastAsia" w:cstheme="minorEastAsia"/>
                <w:color w:val="000000"/>
                <w:sz w:val="16"/>
                <w:szCs w:val="16"/>
              </w:rPr>
              <w:t>（请注明）</w:t>
            </w:r>
          </w:p>
        </w:tc>
      </w:tr>
      <w:tr w14:paraId="13DA07E3">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394299B">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被担保人名称</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60CCB24">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云南变压器电气股份有限公司</w:t>
            </w:r>
          </w:p>
        </w:tc>
      </w:tr>
      <w:tr w14:paraId="5B4A98BC">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E6D40D8">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被担保人类型及上市公司持股情况</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05D6CD8">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 xml:space="preserve">☑全资子公司  </w:t>
            </w:r>
          </w:p>
          <w:p w14:paraId="0B257429">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□控股子公司</w:t>
            </w:r>
          </w:p>
          <w:p w14:paraId="36E60CA1">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□参股公司</w:t>
            </w:r>
          </w:p>
          <w:p w14:paraId="327F5E1F">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□其他</w:t>
            </w:r>
            <w:r>
              <w:rPr>
                <w:rFonts w:hint="eastAsia" w:asciiTheme="minorEastAsia" w:hAnsiTheme="minorEastAsia" w:cstheme="minorEastAsia"/>
                <w:sz w:val="16"/>
                <w:szCs w:val="16"/>
              </w:rPr>
              <w:t>_______</w:t>
            </w:r>
            <w:r>
              <w:rPr>
                <w:rFonts w:asciiTheme="minorEastAsia" w:hAnsiTheme="minorEastAsia" w:cstheme="minorEastAsia"/>
                <w:sz w:val="16"/>
                <w:szCs w:val="16"/>
              </w:rPr>
              <w:t>_</w:t>
            </w:r>
            <w:r>
              <w:rPr>
                <w:rFonts w:hint="eastAsia" w:asciiTheme="minorEastAsia" w:hAnsiTheme="minorEastAsia" w:cstheme="minorEastAsia"/>
                <w:sz w:val="16"/>
                <w:szCs w:val="16"/>
              </w:rPr>
              <w:t>______</w:t>
            </w:r>
            <w:r>
              <w:rPr>
                <w:rFonts w:hint="eastAsia" w:asciiTheme="minorEastAsia" w:hAnsiTheme="minorEastAsia" w:cstheme="minorEastAsia"/>
                <w:color w:val="000000"/>
                <w:sz w:val="16"/>
                <w:szCs w:val="16"/>
              </w:rPr>
              <w:t>（请注明）</w:t>
            </w:r>
          </w:p>
        </w:tc>
      </w:tr>
      <w:tr w14:paraId="1BDD13A7">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7D25D74">
            <w:pPr>
              <w:widowControl/>
              <w:adjustRightInd w:val="0"/>
              <w:snapToGrid w:val="0"/>
              <w:rPr>
                <w:rFonts w:asciiTheme="minorEastAsia" w:hAnsiTheme="minorEastAsia" w:cstheme="minorEastAsia"/>
                <w:color w:val="000000"/>
                <w:sz w:val="16"/>
                <w:szCs w:val="16"/>
              </w:rPr>
            </w:pPr>
            <w:r>
              <w:rPr>
                <w:rFonts w:hint="eastAsia" w:asciiTheme="minorEastAsia" w:hAnsiTheme="minorEastAsia" w:cstheme="minorEastAsia"/>
                <w:color w:val="000000"/>
                <w:sz w:val="16"/>
                <w:szCs w:val="16"/>
              </w:rPr>
              <w:t>主要股东及持股比例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C582054">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望变电气持股100%</w:t>
            </w:r>
          </w:p>
        </w:tc>
      </w:tr>
      <w:tr w14:paraId="66646E4C">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B47BF0B">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法定代表人</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A78C683">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肖斌</w:t>
            </w:r>
          </w:p>
        </w:tc>
      </w:tr>
      <w:tr w14:paraId="2C8B97EE">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5E84A3A">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统一社会信用代码</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B746D23">
            <w:pPr>
              <w:widowControl/>
              <w:adjustRightInd w:val="0"/>
              <w:snapToGrid w:val="0"/>
              <w:rPr>
                <w:rFonts w:asciiTheme="minorEastAsia" w:hAnsiTheme="minorEastAsia" w:cstheme="minorEastAsia"/>
                <w:color w:val="000000"/>
                <w:kern w:val="0"/>
                <w:sz w:val="16"/>
                <w:szCs w:val="16"/>
              </w:rPr>
            </w:pPr>
            <w:r>
              <w:rPr>
                <w:rFonts w:hint="eastAsia" w:ascii="宋体" w:hAnsi="宋体" w:cs="宋体"/>
                <w:bCs/>
                <w:snapToGrid w:val="0"/>
                <w:kern w:val="0"/>
                <w:sz w:val="16"/>
                <w:szCs w:val="16"/>
              </w:rPr>
              <w:t>91530000713402501X</w:t>
            </w:r>
          </w:p>
        </w:tc>
      </w:tr>
      <w:tr w14:paraId="6FB57E07">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250527E">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成立时间</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E7954C2">
            <w:pPr>
              <w:widowControl/>
              <w:adjustRightInd w:val="0"/>
              <w:snapToGrid w:val="0"/>
              <w:rPr>
                <w:rFonts w:asciiTheme="minorEastAsia" w:hAnsiTheme="minorEastAsia" w:cstheme="minorEastAsia"/>
                <w:color w:val="000000"/>
                <w:kern w:val="0"/>
                <w:sz w:val="16"/>
                <w:szCs w:val="16"/>
              </w:rPr>
            </w:pPr>
            <w:r>
              <w:rPr>
                <w:rFonts w:hint="eastAsia" w:ascii="宋体" w:hAnsi="宋体" w:cs="宋体"/>
                <w:bCs/>
                <w:snapToGrid w:val="0"/>
                <w:kern w:val="0"/>
                <w:sz w:val="16"/>
                <w:szCs w:val="16"/>
              </w:rPr>
              <w:t>1999年1月23日</w:t>
            </w:r>
          </w:p>
        </w:tc>
      </w:tr>
      <w:tr w14:paraId="3D3906B9">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0B0C470">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注册地</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F7F4F8D">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中国（云南）自由贸易试验区昆明片区经开区洛羊街道办事处拓翔路</w:t>
            </w:r>
            <w:r>
              <w:rPr>
                <w:rFonts w:asciiTheme="minorEastAsia" w:hAnsiTheme="minorEastAsia" w:cstheme="minorEastAsia"/>
                <w:color w:val="000000"/>
                <w:kern w:val="0"/>
                <w:sz w:val="16"/>
                <w:szCs w:val="16"/>
              </w:rPr>
              <w:t xml:space="preserve">212号 </w:t>
            </w:r>
          </w:p>
        </w:tc>
      </w:tr>
      <w:tr w14:paraId="345968B3">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FC3BA9A">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注册资本</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556273C">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人民币</w:t>
            </w:r>
            <w:r>
              <w:rPr>
                <w:rFonts w:asciiTheme="minorEastAsia" w:hAnsiTheme="minorEastAsia" w:cstheme="minorEastAsia"/>
                <w:color w:val="000000"/>
                <w:kern w:val="0"/>
                <w:sz w:val="16"/>
                <w:szCs w:val="16"/>
              </w:rPr>
              <w:t xml:space="preserve"> 10,041.3641万元</w:t>
            </w:r>
          </w:p>
        </w:tc>
      </w:tr>
      <w:tr w14:paraId="67280328">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5126F65">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公司类型</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F4863C4">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其他股份有限公司（非上市）</w:t>
            </w:r>
          </w:p>
        </w:tc>
      </w:tr>
      <w:tr w14:paraId="25001A5C">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50E1523">
            <w:pPr>
              <w:widowControl/>
              <w:adjustRightInd w:val="0"/>
              <w:snapToGrid w:val="0"/>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经营范围</w:t>
            </w:r>
          </w:p>
        </w:tc>
        <w:tc>
          <w:tcPr>
            <w:tcW w:w="3507" w:type="pct"/>
            <w:gridSpan w:val="3"/>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30A66FE6">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tc>
      </w:tr>
      <w:tr w14:paraId="3E55522F">
        <w:tblPrEx>
          <w:tblCellMar>
            <w:top w:w="0" w:type="dxa"/>
            <w:left w:w="0" w:type="dxa"/>
            <w:bottom w:w="0" w:type="dxa"/>
            <w:right w:w="0" w:type="dxa"/>
          </w:tblCellMar>
        </w:tblPrEx>
        <w:trPr>
          <w:trHeight w:val="397" w:hRule="atLeast"/>
        </w:trPr>
        <w:tc>
          <w:tcPr>
            <w:tcW w:w="1492" w:type="pct"/>
            <w:vMerge w:val="restar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00006A7">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主要财务指标（万元）</w:t>
            </w: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C0BF63A">
            <w:pPr>
              <w:widowControl/>
              <w:adjustRightInd w:val="0"/>
              <w:snapToGrid w:val="0"/>
              <w:jc w:val="center"/>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项目</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0C8BED1">
            <w:pPr>
              <w:widowControl/>
              <w:adjustRightInd w:val="0"/>
              <w:snapToGrid w:val="0"/>
              <w:jc w:val="center"/>
              <w:rPr>
                <w:rFonts w:ascii="宋体" w:hAnsi="宋体" w:cs="宋体"/>
                <w:kern w:val="0"/>
                <w:sz w:val="16"/>
                <w:szCs w:val="16"/>
              </w:rPr>
            </w:pPr>
            <w:r>
              <w:rPr>
                <w:rFonts w:hint="eastAsia" w:ascii="宋体" w:hAnsi="宋体" w:cs="宋体"/>
                <w:kern w:val="0"/>
                <w:sz w:val="16"/>
                <w:szCs w:val="16"/>
              </w:rPr>
              <w:t>2025年</w:t>
            </w:r>
            <w:r>
              <w:rPr>
                <w:rFonts w:ascii="宋体" w:hAnsi="宋体" w:cs="宋体"/>
                <w:kern w:val="0"/>
                <w:sz w:val="16"/>
                <w:szCs w:val="16"/>
              </w:rPr>
              <w:t>3</w:t>
            </w:r>
            <w:r>
              <w:rPr>
                <w:rFonts w:hint="eastAsia" w:ascii="宋体" w:hAnsi="宋体" w:cs="宋体"/>
                <w:kern w:val="0"/>
                <w:sz w:val="16"/>
                <w:szCs w:val="16"/>
              </w:rPr>
              <w:t>月31日</w:t>
            </w:r>
          </w:p>
          <w:p w14:paraId="21F20CCD">
            <w:pPr>
              <w:widowControl/>
              <w:adjustRightInd w:val="0"/>
              <w:snapToGrid w:val="0"/>
              <w:jc w:val="center"/>
              <w:rPr>
                <w:rFonts w:asciiTheme="minorEastAsia" w:hAnsiTheme="minorEastAsia" w:cstheme="minorEastAsia"/>
                <w:color w:val="FF0000"/>
                <w:kern w:val="0"/>
                <w:sz w:val="16"/>
                <w:szCs w:val="16"/>
              </w:rPr>
            </w:pPr>
            <w:r>
              <w:rPr>
                <w:rFonts w:hint="eastAsia" w:ascii="宋体" w:hAnsi="宋体" w:cs="宋体"/>
                <w:kern w:val="0"/>
                <w:sz w:val="16"/>
                <w:szCs w:val="16"/>
              </w:rPr>
              <w:t>（未经审计）</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9403FAE">
            <w:pPr>
              <w:widowControl/>
              <w:adjustRightInd w:val="0"/>
              <w:snapToGrid w:val="0"/>
              <w:jc w:val="center"/>
              <w:rPr>
                <w:rFonts w:ascii="宋体" w:hAnsi="宋体" w:cs="宋体"/>
                <w:kern w:val="0"/>
                <w:sz w:val="16"/>
                <w:szCs w:val="16"/>
              </w:rPr>
            </w:pPr>
            <w:r>
              <w:rPr>
                <w:rFonts w:hint="eastAsia" w:ascii="宋体" w:hAnsi="宋体" w:cs="宋体"/>
                <w:kern w:val="0"/>
                <w:sz w:val="16"/>
                <w:szCs w:val="16"/>
              </w:rPr>
              <w:t>2024年12月31日</w:t>
            </w:r>
          </w:p>
          <w:p w14:paraId="5DE1E685">
            <w:pPr>
              <w:widowControl/>
              <w:adjustRightInd w:val="0"/>
              <w:snapToGrid w:val="0"/>
              <w:jc w:val="center"/>
              <w:rPr>
                <w:rFonts w:asciiTheme="minorEastAsia" w:hAnsiTheme="minorEastAsia" w:cstheme="minorEastAsia"/>
                <w:color w:val="FF0000"/>
                <w:kern w:val="0"/>
                <w:sz w:val="16"/>
                <w:szCs w:val="16"/>
              </w:rPr>
            </w:pPr>
            <w:r>
              <w:rPr>
                <w:rFonts w:hint="eastAsia" w:ascii="宋体" w:hAnsi="宋体" w:cs="宋体"/>
                <w:kern w:val="0"/>
                <w:sz w:val="16"/>
                <w:szCs w:val="16"/>
              </w:rPr>
              <w:t>（经审计）</w:t>
            </w:r>
          </w:p>
        </w:tc>
      </w:tr>
      <w:tr w14:paraId="77A65512">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A3EB50E">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2B4CE14">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资产总额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D528FA2">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184,911.73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35D26CD">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182,092.03 </w:t>
            </w:r>
          </w:p>
        </w:tc>
      </w:tr>
      <w:tr w14:paraId="2B986AD8">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31A8222">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AFF3016">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负债总额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AE49EBF">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114,417.03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FAAEED0">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112,397.30 </w:t>
            </w:r>
          </w:p>
        </w:tc>
      </w:tr>
      <w:tr w14:paraId="3AE0150A">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1147ACAD">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5B811EA">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资产净额</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0193DFCE">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70,494.70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0FD923E">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69,694.73 </w:t>
            </w:r>
          </w:p>
        </w:tc>
      </w:tr>
      <w:tr w14:paraId="4EAA2E3D">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4193EEAC">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F752802">
            <w:pPr>
              <w:widowControl/>
              <w:adjustRightInd w:val="0"/>
              <w:snapToGrid w:val="0"/>
              <w:jc w:val="left"/>
              <w:rPr>
                <w:rFonts w:asciiTheme="minorEastAsia" w:hAnsiTheme="minorEastAsia" w:cstheme="minorEastAsia"/>
                <w:color w:val="000000"/>
                <w:kern w:val="0"/>
                <w:sz w:val="16"/>
                <w:szCs w:val="16"/>
              </w:rPr>
            </w:pP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85E37CC">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2025年1-</w:t>
            </w:r>
            <w:r>
              <w:rPr>
                <w:rFonts w:ascii="宋体" w:hAnsi="宋体" w:cs="宋体"/>
                <w:color w:val="000000"/>
                <w:kern w:val="0"/>
                <w:sz w:val="16"/>
                <w:szCs w:val="16"/>
                <w:lang w:bidi="ar"/>
              </w:rPr>
              <w:t>3</w:t>
            </w:r>
            <w:r>
              <w:rPr>
                <w:rFonts w:hint="eastAsia" w:ascii="宋体" w:hAnsi="宋体" w:cs="宋体"/>
                <w:color w:val="000000"/>
                <w:kern w:val="0"/>
                <w:sz w:val="16"/>
                <w:szCs w:val="16"/>
                <w:lang w:bidi="ar"/>
              </w:rPr>
              <w:t>月</w:t>
            </w:r>
          </w:p>
          <w:p w14:paraId="4974CB3C">
            <w:pPr>
              <w:widowControl/>
              <w:jc w:val="center"/>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（未经审计）</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E2EB887">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2024年1-12月</w:t>
            </w:r>
          </w:p>
          <w:p w14:paraId="1D69D226">
            <w:pPr>
              <w:widowControl/>
              <w:jc w:val="center"/>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（经审计）</w:t>
            </w:r>
          </w:p>
        </w:tc>
      </w:tr>
      <w:tr w14:paraId="41EFD1C4">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C082435">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633809F5">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营业收入</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7E2F529">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18,160.07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8E41B15">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82,015.42 </w:t>
            </w:r>
          </w:p>
        </w:tc>
      </w:tr>
      <w:tr w14:paraId="4321B9FB">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284F1D94">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7E2E7447">
            <w:pPr>
              <w:widowControl/>
              <w:adjustRightInd w:val="0"/>
              <w:snapToGrid w:val="0"/>
              <w:jc w:val="left"/>
              <w:rPr>
                <w:rFonts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净利润</w:t>
            </w:r>
          </w:p>
        </w:tc>
        <w:tc>
          <w:tcPr>
            <w:tcW w:w="1263"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72FCCDD">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777.64 </w:t>
            </w:r>
          </w:p>
        </w:tc>
        <w:tc>
          <w:tcPr>
            <w:tcW w:w="1346" w:type="pct"/>
            <w:tcBorders>
              <w:top w:val="single" w:color="4D4D4D" w:sz="4" w:space="0"/>
              <w:left w:val="single" w:color="4D4D4D" w:sz="4" w:space="0"/>
              <w:bottom w:val="single" w:color="4D4D4D" w:sz="4" w:space="0"/>
              <w:right w:val="single" w:color="4D4D4D" w:sz="4" w:space="0"/>
            </w:tcBorders>
            <w:shd w:val="clear" w:color="auto" w:fill="auto"/>
            <w:tcMar>
              <w:top w:w="56" w:type="dxa"/>
              <w:left w:w="56" w:type="dxa"/>
              <w:bottom w:w="56" w:type="dxa"/>
              <w:right w:w="56" w:type="dxa"/>
            </w:tcMar>
            <w:vAlign w:val="center"/>
          </w:tcPr>
          <w:p w14:paraId="5FD32AE7">
            <w:pPr>
              <w:widowControl/>
              <w:jc w:val="right"/>
              <w:textAlignment w:val="center"/>
              <w:rPr>
                <w:rFonts w:asciiTheme="minorEastAsia" w:hAnsiTheme="minorEastAsia" w:cstheme="minorEastAsia"/>
                <w:color w:val="000000"/>
                <w:kern w:val="0"/>
                <w:sz w:val="16"/>
                <w:szCs w:val="16"/>
              </w:rPr>
            </w:pPr>
            <w:r>
              <w:rPr>
                <w:rFonts w:hint="eastAsia" w:ascii="宋体" w:hAnsi="宋体" w:cs="宋体"/>
                <w:color w:val="000000"/>
                <w:kern w:val="0"/>
                <w:sz w:val="16"/>
                <w:szCs w:val="16"/>
                <w:lang w:bidi="ar"/>
              </w:rPr>
              <w:t xml:space="preserve"> 5,090.37 </w:t>
            </w:r>
          </w:p>
        </w:tc>
      </w:tr>
    </w:tbl>
    <w:p w14:paraId="6035A8D5">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担保协议的主要内容</w:t>
      </w:r>
    </w:p>
    <w:p w14:paraId="6F22CB51">
      <w:pPr>
        <w:widowControl/>
        <w:adjustRightInd w:val="0"/>
        <w:snapToGrid w:val="0"/>
        <w:spacing w:line="560" w:lineRule="exact"/>
        <w:ind w:firstLine="480" w:firstLineChars="200"/>
        <w:jc w:val="left"/>
        <w:outlineLvl w:val="0"/>
        <w:rPr>
          <w:rFonts w:ascii="宋体" w:hAnsi="宋体" w:cs="宋体"/>
          <w:kern w:val="0"/>
          <w:sz w:val="22"/>
          <w:szCs w:val="24"/>
        </w:rPr>
      </w:pPr>
      <w:r>
        <w:rPr>
          <w:rFonts w:hint="eastAsia" w:asciiTheme="minorEastAsia" w:hAnsiTheme="minorEastAsia" w:cstheme="minorEastAsia"/>
          <w:sz w:val="24"/>
          <w:szCs w:val="28"/>
        </w:rPr>
        <w:t>（一）华夏银行昆明圆通支行</w:t>
      </w:r>
      <w:r>
        <w:rPr>
          <w:rFonts w:hint="eastAsia" w:ascii="宋体" w:hAnsi="宋体" w:cs="宋体"/>
          <w:kern w:val="0"/>
          <w:sz w:val="24"/>
          <w:szCs w:val="28"/>
        </w:rPr>
        <w:t>《最高额保证合同》</w:t>
      </w:r>
    </w:p>
    <w:p w14:paraId="1824BC30">
      <w:pPr>
        <w:pStyle w:val="9"/>
        <w:spacing w:beforeAutospacing="0" w:afterAutospacing="0" w:line="560" w:lineRule="exact"/>
        <w:ind w:firstLine="480" w:firstLineChars="200"/>
        <w:rPr>
          <w:rFonts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1E735603">
      <w:pPr>
        <w:numPr>
          <w:ilvl w:val="255"/>
          <w:numId w:val="0"/>
        </w:numPr>
        <w:autoSpaceDE w:val="0"/>
        <w:autoSpaceDN w:val="0"/>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2、保证方式：连带保证责任</w:t>
      </w:r>
    </w:p>
    <w:p w14:paraId="49C75333">
      <w:pPr>
        <w:numPr>
          <w:ilvl w:val="255"/>
          <w:numId w:val="0"/>
        </w:numPr>
        <w:autoSpaceDE w:val="0"/>
        <w:autoSpaceDN w:val="0"/>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3、保证范围：</w:t>
      </w:r>
    </w:p>
    <w:p w14:paraId="644FC218">
      <w:pPr>
        <w:widowControl/>
        <w:numPr>
          <w:ilvl w:val="255"/>
          <w:numId w:val="0"/>
        </w:numPr>
        <w:adjustRightInd w:val="0"/>
        <w:snapToGri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（1）望变电气保证担保的范围为主债权本金、利息、逾期利息、罚息、复利、 违约金、损害赔偿金、汇率损失(因汇率变动引起的相关损失)以及鉴定费、评估费、拍卖费、诉讼费、仲裁费、公证费、律师费等华夏银行昆明圆通支行为实现债权而发生的合理费用以及其他所有</w:t>
      </w:r>
      <w:r>
        <w:rPr>
          <w:rFonts w:hint="eastAsia" w:ascii="宋体" w:hAnsi="宋体" w:cs="宋体"/>
          <w:kern w:val="0"/>
          <w:sz w:val="24"/>
          <w:szCs w:val="24"/>
          <w:lang w:eastAsia="zh-CN"/>
        </w:rPr>
        <w:t>《</w:t>
      </w:r>
      <w:r>
        <w:rPr>
          <w:rFonts w:hint="eastAsia" w:ascii="宋体" w:hAnsi="宋体" w:cs="宋体"/>
          <w:kern w:val="0"/>
          <w:sz w:val="24"/>
          <w:szCs w:val="24"/>
        </w:rPr>
        <w:t>最高额融资合同</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以下简称“主合同”</w:t>
      </w:r>
      <w:r>
        <w:rPr>
          <w:rFonts w:hint="eastAsia" w:ascii="宋体" w:hAnsi="宋体" w:cs="宋体"/>
          <w:kern w:val="0"/>
          <w:sz w:val="24"/>
          <w:szCs w:val="24"/>
          <w:lang w:eastAsia="zh-CN"/>
        </w:rPr>
        <w:t>）</w:t>
      </w:r>
      <w:r>
        <w:rPr>
          <w:rFonts w:hint="eastAsia" w:ascii="宋体" w:hAnsi="宋体" w:cs="宋体"/>
          <w:kern w:val="0"/>
          <w:sz w:val="24"/>
          <w:szCs w:val="24"/>
        </w:rPr>
        <w:t>云变电气的应付费用。</w:t>
      </w:r>
    </w:p>
    <w:p w14:paraId="3D32DBF0">
      <w:pPr>
        <w:widowControl/>
        <w:numPr>
          <w:ilvl w:val="255"/>
          <w:numId w:val="0"/>
        </w:numPr>
        <w:adjustRightInd w:val="0"/>
        <w:snapToGrid w:val="0"/>
        <w:spacing w:line="560" w:lineRule="exact"/>
        <w:ind w:firstLine="480" w:firstLineChars="200"/>
        <w:rPr>
          <w:rFonts w:ascii="宋体" w:hAnsi="宋体" w:cs="宋体"/>
          <w:kern w:val="0"/>
          <w:sz w:val="24"/>
          <w:szCs w:val="24"/>
          <w:highlight w:val="yellow"/>
        </w:rPr>
      </w:pPr>
      <w:r>
        <w:rPr>
          <w:rFonts w:hint="eastAsia" w:ascii="宋体" w:hAnsi="宋体" w:cs="宋体"/>
          <w:kern w:val="0"/>
          <w:sz w:val="24"/>
          <w:szCs w:val="24"/>
        </w:rPr>
        <w:t>（2）上述范围中除本金外的所有费用，计入望变电气承担保证责任的范围，但不计入本合同项下被担保的最高债权额。</w:t>
      </w:r>
    </w:p>
    <w:p w14:paraId="0617B1C4">
      <w:pPr>
        <w:numPr>
          <w:ilvl w:val="255"/>
          <w:numId w:val="0"/>
        </w:numPr>
        <w:autoSpaceDE w:val="0"/>
        <w:autoSpaceDN w:val="0"/>
        <w:adjustRightInd w:val="0"/>
        <w:spacing w:line="560" w:lineRule="exact"/>
        <w:ind w:firstLine="480"/>
        <w:rPr>
          <w:rFonts w:ascii="宋体" w:hAnsi="宋体" w:cs="宋体"/>
          <w:kern w:val="0"/>
          <w:sz w:val="24"/>
          <w:szCs w:val="24"/>
        </w:rPr>
      </w:pPr>
      <w:r>
        <w:rPr>
          <w:rFonts w:hint="eastAsia" w:ascii="宋体" w:hAnsi="宋体" w:cs="宋体"/>
          <w:kern w:val="0"/>
          <w:sz w:val="24"/>
          <w:szCs w:val="24"/>
        </w:rPr>
        <w:t>4、保证期限：</w:t>
      </w:r>
    </w:p>
    <w:p w14:paraId="705BE5D2">
      <w:pPr>
        <w:widowControl/>
        <w:adjustRightInd w:val="0"/>
        <w:snapToGrid w:val="0"/>
        <w:spacing w:line="560" w:lineRule="exact"/>
        <w:ind w:firstLine="480" w:firstLineChars="200"/>
        <w:outlineLvl w:val="0"/>
        <w:rPr>
          <w:rFonts w:hint="eastAsia" w:ascii="宋体" w:hAnsi="宋体" w:cs="宋体"/>
          <w:kern w:val="0"/>
          <w:sz w:val="24"/>
          <w:szCs w:val="24"/>
        </w:rPr>
      </w:pPr>
      <w:r>
        <w:rPr>
          <w:rFonts w:hint="eastAsia" w:ascii="宋体" w:hAnsi="宋体" w:cs="宋体"/>
          <w:kern w:val="0"/>
          <w:sz w:val="24"/>
          <w:szCs w:val="24"/>
        </w:rPr>
        <w:t>望变电气承担保证责任的保证期间为三年，起算日按如下方式确定：</w:t>
      </w:r>
    </w:p>
    <w:p w14:paraId="108C9291">
      <w:pPr>
        <w:widowControl/>
        <w:adjustRightInd w:val="0"/>
        <w:snapToGrid w:val="0"/>
        <w:spacing w:line="560" w:lineRule="exact"/>
        <w:ind w:firstLine="480" w:firstLineChars="200"/>
        <w:outlineLvl w:val="0"/>
        <w:rPr>
          <w:rFonts w:hint="eastAsia" w:ascii="宋体" w:hAnsi="宋体" w:cs="宋体"/>
          <w:kern w:val="0"/>
          <w:sz w:val="24"/>
          <w:szCs w:val="24"/>
        </w:rPr>
      </w:pPr>
      <w:r>
        <w:rPr>
          <w:rFonts w:hint="eastAsia" w:ascii="宋体" w:hAnsi="宋体" w:cs="宋体"/>
          <w:kern w:val="0"/>
          <w:sz w:val="24"/>
          <w:szCs w:val="24"/>
        </w:rPr>
        <w:t>（1）任何一笔债务的履行期限届满日早于或同于被担保债权的确定日时，望变电气对该笔债务承担保证责任的保证期间起算日为被担保债权的确定日；</w:t>
      </w:r>
    </w:p>
    <w:p w14:paraId="7BDF8017">
      <w:pPr>
        <w:widowControl/>
        <w:adjustRightInd w:val="0"/>
        <w:snapToGrid w:val="0"/>
        <w:spacing w:line="560" w:lineRule="exact"/>
        <w:ind w:firstLine="480" w:firstLineChars="200"/>
        <w:outlineLvl w:val="0"/>
        <w:rPr>
          <w:rFonts w:hint="eastAsia" w:ascii="宋体" w:hAnsi="宋体" w:cs="宋体"/>
          <w:kern w:val="0"/>
          <w:sz w:val="24"/>
          <w:szCs w:val="24"/>
        </w:rPr>
      </w:pPr>
      <w:r>
        <w:rPr>
          <w:rFonts w:hint="eastAsia" w:ascii="宋体" w:hAnsi="宋体" w:cs="宋体"/>
          <w:kern w:val="0"/>
          <w:sz w:val="24"/>
          <w:szCs w:val="24"/>
        </w:rPr>
        <w:t>（2）任何一笔债务的履行期限届满日晚于被担保债权的确定日时，望变电气对该笔债务承担保证责任的保证期间起算日为该笔债务的履行期限届满日。</w:t>
      </w:r>
    </w:p>
    <w:p w14:paraId="4841F422">
      <w:pPr>
        <w:widowControl/>
        <w:adjustRightInd w:val="0"/>
        <w:snapToGrid w:val="0"/>
        <w:spacing w:line="560" w:lineRule="exact"/>
        <w:ind w:firstLine="480" w:firstLineChars="200"/>
        <w:outlineLvl w:val="0"/>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cs="宋体"/>
          <w:kern w:val="0"/>
          <w:sz w:val="24"/>
          <w:szCs w:val="24"/>
        </w:rPr>
        <w:t>前款所述“债务的履行期限届满日”包括主合同债务人分期清偿债务的情况下，每一笔债务到期之日；还包括依据法律或主合同约定的债权人宣布主合同项下债务提前到期之日。</w:t>
      </w:r>
    </w:p>
    <w:p w14:paraId="0C10549B">
      <w:pPr>
        <w:widowControl/>
        <w:adjustRightInd w:val="0"/>
        <w:snapToGrid w:val="0"/>
        <w:spacing w:line="560" w:lineRule="exact"/>
        <w:ind w:firstLine="480" w:firstLineChars="200"/>
        <w:outlineLvl w:val="0"/>
        <w:rPr>
          <w:rFonts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4</w:t>
      </w:r>
      <w:r>
        <w:rPr>
          <w:rFonts w:hint="eastAsia" w:ascii="宋体" w:hAnsi="宋体" w:cs="宋体"/>
          <w:kern w:val="0"/>
          <w:sz w:val="24"/>
          <w:szCs w:val="24"/>
          <w:lang w:eastAsia="zh-CN"/>
        </w:rPr>
        <w:t>）</w:t>
      </w:r>
      <w:r>
        <w:rPr>
          <w:rFonts w:hint="eastAsia" w:ascii="宋体" w:hAnsi="宋体" w:cs="宋体"/>
          <w:kern w:val="0"/>
          <w:sz w:val="24"/>
          <w:szCs w:val="24"/>
        </w:rPr>
        <w:t>如主合同项下业务为信用证、银行承兑汇票、保函、提货担保，则垫款之日视为该笔债务的履行期限届满日。</w:t>
      </w:r>
    </w:p>
    <w:p w14:paraId="5AD716F4">
      <w:pPr>
        <w:widowControl/>
        <w:adjustRightInd w:val="0"/>
        <w:snapToGrid w:val="0"/>
        <w:spacing w:line="560" w:lineRule="exact"/>
        <w:ind w:firstLine="480" w:firstLineChars="200"/>
        <w:outlineLvl w:val="0"/>
        <w:rPr>
          <w:rFonts w:ascii="宋体" w:hAnsi="宋体" w:cs="宋体"/>
          <w:kern w:val="0"/>
          <w:sz w:val="24"/>
          <w:szCs w:val="24"/>
        </w:rPr>
      </w:pPr>
      <w:r>
        <w:rPr>
          <w:rFonts w:hint="eastAsia" w:ascii="宋体" w:hAnsi="宋体" w:cs="宋体"/>
          <w:kern w:val="0"/>
          <w:sz w:val="24"/>
          <w:szCs w:val="24"/>
        </w:rPr>
        <w:t>（二）中银金租《保证合同》</w:t>
      </w:r>
    </w:p>
    <w:p w14:paraId="1A4326C4">
      <w:pPr>
        <w:pStyle w:val="9"/>
        <w:spacing w:beforeAutospacing="0" w:afterAutospacing="0" w:line="560" w:lineRule="exact"/>
        <w:ind w:firstLine="480" w:firstLineChars="200"/>
        <w:jc w:val="both"/>
        <w:rPr>
          <w:rFonts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601F5009">
      <w:pPr>
        <w:numPr>
          <w:ilvl w:val="255"/>
          <w:numId w:val="0"/>
        </w:numPr>
        <w:autoSpaceDE w:val="0"/>
        <w:autoSpaceDN w:val="0"/>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2、保证方式：连带保证责任</w:t>
      </w:r>
    </w:p>
    <w:p w14:paraId="0AC8C7D5">
      <w:pPr>
        <w:widowControl/>
        <w:adjustRightInd w:val="0"/>
        <w:snapToGri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3、保证范围：</w:t>
      </w:r>
    </w:p>
    <w:p w14:paraId="5BB34B88">
      <w:pPr>
        <w:widowControl/>
        <w:adjustRightInd w:val="0"/>
        <w:snapToGrid w:val="0"/>
        <w:spacing w:line="560" w:lineRule="exact"/>
        <w:ind w:firstLine="480" w:firstLineChars="200"/>
        <w:outlineLvl w:val="0"/>
        <w:rPr>
          <w:rFonts w:hint="eastAsia" w:ascii="宋体" w:hAnsi="宋体" w:cs="宋体"/>
          <w:kern w:val="0"/>
          <w:sz w:val="24"/>
          <w:szCs w:val="24"/>
        </w:rPr>
      </w:pPr>
      <w:r>
        <w:rPr>
          <w:rFonts w:hint="eastAsia" w:ascii="宋体" w:hAnsi="宋体" w:cs="宋体"/>
          <w:kern w:val="0"/>
          <w:sz w:val="24"/>
          <w:szCs w:val="24"/>
        </w:rPr>
        <w:t>保证人的保证范围包括但不限于：</w:t>
      </w:r>
    </w:p>
    <w:p w14:paraId="17A50DCA">
      <w:pPr>
        <w:widowControl/>
        <w:adjustRightInd w:val="0"/>
        <w:snapToGrid w:val="0"/>
        <w:spacing w:line="560" w:lineRule="exact"/>
        <w:ind w:firstLine="480" w:firstLineChars="200"/>
        <w:outlineLvl w:val="0"/>
        <w:rPr>
          <w:rFonts w:hint="eastAsia" w:ascii="宋体" w:hAnsi="宋体" w:cs="宋体"/>
          <w:kern w:val="0"/>
          <w:sz w:val="24"/>
          <w:szCs w:val="24"/>
        </w:rPr>
      </w:pPr>
      <w:r>
        <w:rPr>
          <w:rFonts w:hint="eastAsia" w:ascii="宋体" w:hAnsi="宋体" w:cs="宋体"/>
          <w:kern w:val="0"/>
          <w:sz w:val="24"/>
          <w:szCs w:val="24"/>
        </w:rPr>
        <w:t>（1）《融资租赁合同》</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包括其所有附件及补充协议，以下简称“</w:t>
      </w:r>
      <w:r>
        <w:rPr>
          <w:rFonts w:hint="eastAsia" w:ascii="宋体" w:hAnsi="宋体" w:cs="宋体"/>
          <w:kern w:val="0"/>
          <w:sz w:val="24"/>
          <w:szCs w:val="24"/>
        </w:rPr>
        <w:t>主合同</w:t>
      </w:r>
      <w:r>
        <w:rPr>
          <w:rFonts w:hint="eastAsia" w:ascii="宋体" w:hAnsi="宋体" w:cs="宋体"/>
          <w:kern w:val="0"/>
          <w:sz w:val="24"/>
          <w:szCs w:val="24"/>
          <w:lang w:val="en-US" w:eastAsia="zh-CN"/>
        </w:rPr>
        <w:t>”）</w:t>
      </w:r>
      <w:r>
        <w:rPr>
          <w:rFonts w:hint="eastAsia" w:ascii="宋体" w:hAnsi="宋体" w:cs="宋体"/>
          <w:kern w:val="0"/>
          <w:sz w:val="24"/>
          <w:szCs w:val="24"/>
        </w:rPr>
        <w:t>项下中银金租对云变电气享有的全部债权(无论该债权是否基于融资租赁关系产生),包括但不限于云变电气应付的租前息(如有)和租金、违约金、保证金、提前终止款项、使用费、资金使用费、留购价款以及云变电气按照主合同约定应当支付的其他应付款项，以及云变电气应当履行的除金钱支付义务以外的其他义务，如遇主合同项下约定的利率变化情况，还应包括因该变化而相应调整的款项；</w:t>
      </w:r>
    </w:p>
    <w:p w14:paraId="320EB827">
      <w:pPr>
        <w:widowControl/>
        <w:adjustRightInd w:val="0"/>
        <w:snapToGrid w:val="0"/>
        <w:spacing w:line="560" w:lineRule="exact"/>
        <w:ind w:firstLine="480" w:firstLineChars="200"/>
        <w:outlineLvl w:val="0"/>
        <w:rPr>
          <w:rFonts w:hint="eastAsia" w:ascii="宋体" w:hAnsi="宋体" w:cs="宋体"/>
          <w:kern w:val="0"/>
          <w:sz w:val="24"/>
          <w:szCs w:val="24"/>
        </w:rPr>
      </w:pPr>
      <w:r>
        <w:rPr>
          <w:rFonts w:hint="eastAsia" w:ascii="宋体" w:hAnsi="宋体" w:cs="宋体"/>
          <w:kern w:val="0"/>
          <w:sz w:val="24"/>
          <w:szCs w:val="24"/>
        </w:rPr>
        <w:t>（2）中银金租为维护及实现主债权和担保权利而支付的各项成本和费用(包括但不限于中银金租为实现权利而支付的诉讼费、仲裁费、公证费、保全费、保全担保费、保全保险费、执行费、审计费、评估费、鉴定费、拍卖费、政府规费、律师费、差旅费及第三方收取的依法应由云变电气承担费用等);</w:t>
      </w:r>
    </w:p>
    <w:p w14:paraId="7813647E">
      <w:pPr>
        <w:widowControl/>
        <w:adjustRightInd w:val="0"/>
        <w:snapToGrid w:val="0"/>
        <w:spacing w:line="560" w:lineRule="exact"/>
        <w:ind w:firstLine="480" w:firstLineChars="200"/>
        <w:outlineLvl w:val="0"/>
        <w:rPr>
          <w:rFonts w:ascii="宋体" w:hAnsi="宋体" w:cs="宋体"/>
          <w:kern w:val="0"/>
          <w:sz w:val="24"/>
          <w:szCs w:val="24"/>
        </w:rPr>
      </w:pPr>
      <w:r>
        <w:rPr>
          <w:rFonts w:hint="eastAsia" w:ascii="宋体" w:hAnsi="宋体" w:cs="宋体"/>
          <w:kern w:val="0"/>
          <w:sz w:val="24"/>
          <w:szCs w:val="24"/>
        </w:rPr>
        <w:t>（3）主合同项下云变电气应付的其他款项。</w:t>
      </w:r>
    </w:p>
    <w:p w14:paraId="20250168">
      <w:pPr>
        <w:numPr>
          <w:ilvl w:val="255"/>
          <w:numId w:val="0"/>
        </w:numPr>
        <w:autoSpaceDE w:val="0"/>
        <w:autoSpaceDN w:val="0"/>
        <w:adjustRightInd w:val="0"/>
        <w:spacing w:line="560" w:lineRule="exact"/>
        <w:ind w:firstLine="480"/>
        <w:rPr>
          <w:rFonts w:ascii="宋体" w:hAnsi="宋体" w:cs="宋体"/>
          <w:kern w:val="0"/>
          <w:sz w:val="24"/>
          <w:szCs w:val="24"/>
        </w:rPr>
      </w:pPr>
      <w:r>
        <w:rPr>
          <w:rFonts w:hint="eastAsia" w:ascii="宋体" w:hAnsi="宋体" w:cs="宋体"/>
          <w:kern w:val="0"/>
          <w:sz w:val="24"/>
          <w:szCs w:val="24"/>
        </w:rPr>
        <w:t>4、保证期限：</w:t>
      </w:r>
    </w:p>
    <w:p w14:paraId="64E15394">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1）本合同项下的保证期间为自本合同生效之日起至主合同项下云变电气全部债务履行期限届满之日起满三年时止。如主债权为分期履行，则保证期间为自本合同生效之日起至最后一期债务履行期限届满之日起满三年时止。</w:t>
      </w:r>
    </w:p>
    <w:p w14:paraId="2CB0B5B0">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（2）云变电气在主合同项下的债务履行期限如有变更，则保证期间为自本合同生效之日起至变更后的全部债务履行期限届满之日起满三年时止。</w:t>
      </w:r>
    </w:p>
    <w:p w14:paraId="658595F3">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担保的必要性和合理性</w:t>
      </w:r>
    </w:p>
    <w:p w14:paraId="41B94172">
      <w:pPr>
        <w:widowControl/>
        <w:adjustRightInd w:val="0"/>
        <w:snapToGrid w:val="0"/>
        <w:spacing w:line="560" w:lineRule="exact"/>
        <w:ind w:firstLine="480" w:firstLineChars="200"/>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本月新增的对外担保主要为满足子公司日常生产经营需要，保证其生产经营活动的顺利开展，符合公司实际经营情况和整体发展战略，具有必要性和合理性。被担保对象为公司全资子公司，公司对其日常经营活动和资信状况能够及时掌握，担保风险总体可控，不会对公司及股东特别是中小股东利益造成重大不利影响。</w:t>
      </w:r>
    </w:p>
    <w:p w14:paraId="3B1F2497">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董事会意见</w:t>
      </w:r>
    </w:p>
    <w:p w14:paraId="3281E74F">
      <w:pPr>
        <w:widowControl/>
        <w:adjustRightInd w:val="0"/>
        <w:snapToGrid w:val="0"/>
        <w:spacing w:line="560" w:lineRule="exact"/>
        <w:ind w:firstLine="480" w:firstLineChars="200"/>
        <w:jc w:val="left"/>
        <w:rPr>
          <w:sz w:val="24"/>
          <w:szCs w:val="24"/>
        </w:rPr>
      </w:pPr>
      <w:r>
        <w:rPr>
          <w:rFonts w:hint="eastAsia" w:asciiTheme="minorEastAsia" w:hAnsiTheme="minorEastAsia" w:cstheme="minorEastAsia"/>
          <w:sz w:val="24"/>
          <w:szCs w:val="24"/>
        </w:rPr>
        <w:t>上述担保事项属于公司2024年第三次临时股东会授权范围并在有效期内，无需再次提交公司董事会、股东会审议。</w:t>
      </w:r>
    </w:p>
    <w:p w14:paraId="0A1B5923">
      <w:pPr>
        <w:widowControl/>
        <w:numPr>
          <w:ilvl w:val="0"/>
          <w:numId w:val="2"/>
        </w:numPr>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累计对外担保数量及逾期担保的数量</w:t>
      </w:r>
    </w:p>
    <w:p w14:paraId="1E47E60B">
      <w:pPr>
        <w:autoSpaceDE w:val="0"/>
        <w:autoSpaceDN w:val="0"/>
        <w:adjustRightInd w:val="0"/>
        <w:spacing w:before="156" w:beforeLines="50" w:line="360" w:lineRule="auto"/>
        <w:ind w:firstLine="480" w:firstLineChars="200"/>
        <w:rPr>
          <w:rFonts w:ascii="宋体" w:hAnsi="宋体" w:cs="宋体"/>
          <w:bCs/>
          <w:sz w:val="24"/>
          <w:szCs w:val="24"/>
        </w:rPr>
      </w:pPr>
      <w:r>
        <w:rPr>
          <w:rFonts w:hint="eastAsia" w:ascii="宋体" w:hAnsi="宋体" w:cs="宋体"/>
          <w:bCs/>
          <w:sz w:val="24"/>
          <w:szCs w:val="24"/>
        </w:rPr>
        <w:t>截至2025年</w:t>
      </w:r>
      <w:r>
        <w:rPr>
          <w:rFonts w:ascii="宋体" w:hAnsi="宋体" w:cs="宋体"/>
          <w:bCs/>
          <w:sz w:val="24"/>
          <w:szCs w:val="24"/>
        </w:rPr>
        <w:t>7</w:t>
      </w:r>
      <w:r>
        <w:rPr>
          <w:rFonts w:hint="eastAsia" w:ascii="宋体" w:hAnsi="宋体" w:cs="宋体"/>
          <w:bCs/>
          <w:sz w:val="24"/>
          <w:szCs w:val="24"/>
        </w:rPr>
        <w:t>月末，公司对外担保均为对子公司的担保，累计担保总额为 97,674.10万元，担保余额为50,120.91万元，担保总额占公司最近一期经审计净资产的</w:t>
      </w:r>
      <w:r>
        <w:rPr>
          <w:rFonts w:ascii="宋体" w:hAnsi="宋体" w:cs="宋体"/>
          <w:bCs/>
          <w:sz w:val="24"/>
          <w:szCs w:val="24"/>
        </w:rPr>
        <w:t>4</w:t>
      </w:r>
      <w:r>
        <w:rPr>
          <w:rFonts w:hint="eastAsia" w:ascii="宋体" w:hAnsi="宋体" w:cs="宋体"/>
          <w:bCs/>
          <w:sz w:val="24"/>
          <w:szCs w:val="24"/>
          <w:lang w:val="en-US" w:eastAsia="zh-CN"/>
        </w:rPr>
        <w:t>0.47</w:t>
      </w:r>
      <w:r>
        <w:rPr>
          <w:rFonts w:hint="eastAsia" w:ascii="宋体" w:hAnsi="宋体" w:cs="宋体"/>
          <w:bCs/>
          <w:sz w:val="24"/>
          <w:szCs w:val="24"/>
        </w:rPr>
        <w:t>%，担保余额占公司最近一期经审计净资产的</w:t>
      </w:r>
      <w:r>
        <w:rPr>
          <w:rFonts w:hint="eastAsia" w:ascii="宋体" w:hAnsi="宋体" w:cs="宋体"/>
          <w:bCs/>
          <w:sz w:val="24"/>
          <w:szCs w:val="24"/>
          <w:lang w:val="en-US" w:eastAsia="zh-CN"/>
        </w:rPr>
        <w:t>20.77</w:t>
      </w:r>
      <w:r>
        <w:rPr>
          <w:rFonts w:hint="eastAsia" w:ascii="宋体" w:hAnsi="宋体" w:cs="宋体"/>
          <w:bCs/>
          <w:sz w:val="24"/>
          <w:szCs w:val="24"/>
        </w:rPr>
        <w:t>%；不存在逾期担保。</w:t>
      </w:r>
    </w:p>
    <w:p w14:paraId="3DC7205B">
      <w:pPr>
        <w:autoSpaceDE w:val="0"/>
        <w:autoSpaceDN w:val="0"/>
        <w:adjustRightInd w:val="0"/>
        <w:spacing w:before="156" w:beforeLines="50" w:line="360" w:lineRule="auto"/>
        <w:ind w:firstLine="480" w:firstLineChars="200"/>
        <w:rPr>
          <w:rFonts w:ascii="宋体" w:hAnsi="宋体" w:cs="宋体"/>
          <w:bCs/>
          <w:sz w:val="24"/>
          <w:szCs w:val="24"/>
        </w:rPr>
      </w:pPr>
      <w:r>
        <w:rPr>
          <w:rFonts w:hint="eastAsia" w:ascii="宋体" w:hAnsi="宋体" w:cs="宋体"/>
          <w:bCs/>
          <w:sz w:val="24"/>
          <w:szCs w:val="24"/>
        </w:rPr>
        <w:t>截至2025年</w:t>
      </w:r>
      <w:r>
        <w:rPr>
          <w:rFonts w:ascii="宋体" w:hAnsi="宋体" w:cs="宋体"/>
          <w:bCs/>
          <w:sz w:val="24"/>
          <w:szCs w:val="24"/>
        </w:rPr>
        <w:t>7</w:t>
      </w:r>
      <w:r>
        <w:rPr>
          <w:rFonts w:hint="eastAsia" w:ascii="宋体" w:hAnsi="宋体" w:cs="宋体"/>
          <w:bCs/>
          <w:sz w:val="24"/>
          <w:szCs w:val="24"/>
        </w:rPr>
        <w:t>月末，公司及子公司可用担保额度为</w:t>
      </w:r>
      <w:r>
        <w:rPr>
          <w:rFonts w:ascii="宋体" w:hAnsi="宋体" w:cs="宋体"/>
          <w:bCs/>
          <w:sz w:val="24"/>
          <w:szCs w:val="24"/>
        </w:rPr>
        <w:t>76,825.90</w:t>
      </w:r>
      <w:r>
        <w:rPr>
          <w:rFonts w:hint="eastAsia" w:ascii="宋体" w:hAnsi="宋体" w:cs="宋体"/>
          <w:bCs/>
          <w:sz w:val="24"/>
          <w:szCs w:val="24"/>
        </w:rPr>
        <w:t>万元（包含惠泽电器10,000.00万元、黔南望江17,000.00万元和云变电气</w:t>
      </w:r>
      <w:r>
        <w:rPr>
          <w:rFonts w:ascii="宋体" w:hAnsi="宋体" w:cs="宋体"/>
          <w:bCs/>
          <w:sz w:val="24"/>
          <w:szCs w:val="24"/>
        </w:rPr>
        <w:t>49,825.90</w:t>
      </w:r>
      <w:r>
        <w:rPr>
          <w:rFonts w:hint="eastAsia" w:ascii="宋体" w:hAnsi="宋体" w:cs="宋体"/>
          <w:bCs/>
          <w:sz w:val="24"/>
          <w:szCs w:val="24"/>
        </w:rPr>
        <w:t>万元），均为经公司2024年第三次临时股东会会议审议通过的2025年度担保额度。</w:t>
      </w:r>
    </w:p>
    <w:p w14:paraId="4ECF296E">
      <w:pPr>
        <w:adjustRightInd w:val="0"/>
        <w:snapToGrid w:val="0"/>
        <w:spacing w:line="360" w:lineRule="auto"/>
        <w:rPr>
          <w:rFonts w:asciiTheme="minorEastAsia" w:hAnsiTheme="minorEastAsia"/>
          <w:bCs/>
          <w:sz w:val="24"/>
          <w:szCs w:val="24"/>
        </w:rPr>
      </w:pPr>
    </w:p>
    <w:p w14:paraId="7C7538B3">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特此公告。</w:t>
      </w:r>
    </w:p>
    <w:p w14:paraId="380D1FC4">
      <w:pPr>
        <w:adjustRightInd w:val="0"/>
        <w:snapToGrid w:val="0"/>
        <w:spacing w:line="360" w:lineRule="auto"/>
        <w:rPr>
          <w:rFonts w:asciiTheme="minorEastAsia" w:hAnsiTheme="minorEastAsia"/>
          <w:bCs/>
          <w:sz w:val="24"/>
          <w:szCs w:val="24"/>
        </w:rPr>
      </w:pPr>
    </w:p>
    <w:p w14:paraId="6A887C0A">
      <w:pPr>
        <w:adjustRightInd w:val="0"/>
        <w:snapToGrid w:val="0"/>
        <w:spacing w:line="360" w:lineRule="auto"/>
        <w:rPr>
          <w:rFonts w:asciiTheme="minorEastAsia" w:hAnsiTheme="minorEastAsia"/>
          <w:bCs/>
          <w:sz w:val="24"/>
          <w:szCs w:val="24"/>
        </w:rPr>
      </w:pPr>
    </w:p>
    <w:p w14:paraId="110B83AC">
      <w:pPr>
        <w:adjustRightInd w:val="0"/>
        <w:snapToGrid w:val="0"/>
        <w:spacing w:line="360" w:lineRule="auto"/>
        <w:jc w:val="right"/>
        <w:rPr>
          <w:rFonts w:asciiTheme="minorEastAsia" w:hAnsiTheme="minorEastAsia"/>
          <w:bCs/>
          <w:sz w:val="24"/>
          <w:szCs w:val="24"/>
        </w:rPr>
      </w:pPr>
      <w:r>
        <w:rPr>
          <w:rFonts w:hint="eastAsia" w:asciiTheme="minorEastAsia" w:hAnsiTheme="minorEastAsia"/>
          <w:bCs/>
          <w:sz w:val="24"/>
          <w:szCs w:val="24"/>
        </w:rPr>
        <w:t>重庆望变电气（集团）股份有限公司董事会</w:t>
      </w:r>
    </w:p>
    <w:p w14:paraId="1376CADD">
      <w:pPr>
        <w:adjustRightInd w:val="0"/>
        <w:snapToGrid w:val="0"/>
        <w:spacing w:line="360" w:lineRule="auto"/>
        <w:jc w:val="right"/>
        <w:rPr>
          <w:rFonts w:asciiTheme="minorEastAsia" w:hAnsiTheme="minorEastAsia"/>
          <w:b/>
          <w:sz w:val="24"/>
          <w:szCs w:val="24"/>
        </w:rPr>
      </w:pPr>
      <w:r>
        <w:rPr>
          <w:rFonts w:hint="eastAsia" w:asciiTheme="minorEastAsia" w:hAnsiTheme="minorEastAsia"/>
          <w:bCs/>
          <w:sz w:val="24"/>
          <w:szCs w:val="24"/>
        </w:rPr>
        <w:t>2025年</w:t>
      </w:r>
      <w:r>
        <w:rPr>
          <w:rFonts w:asciiTheme="minorEastAsia" w:hAnsiTheme="minorEastAsia"/>
          <w:bCs/>
          <w:sz w:val="24"/>
          <w:szCs w:val="24"/>
        </w:rPr>
        <w:t>8</w:t>
      </w:r>
      <w:r>
        <w:rPr>
          <w:rFonts w:hint="eastAsia" w:asciiTheme="minorEastAsia" w:hAnsiTheme="minorEastAsia"/>
          <w:bCs/>
          <w:sz w:val="24"/>
          <w:szCs w:val="24"/>
        </w:rPr>
        <w:t>月</w:t>
      </w:r>
      <w:r>
        <w:rPr>
          <w:rFonts w:hint="eastAsia" w:asciiTheme="minorEastAsia" w:hAnsiTheme="minorEastAsia"/>
          <w:bCs/>
          <w:sz w:val="24"/>
          <w:szCs w:val="24"/>
          <w:lang w:val="en-US" w:eastAsia="zh-CN"/>
        </w:rPr>
        <w:t>5</w:t>
      </w:r>
      <w:r>
        <w:rPr>
          <w:rFonts w:hint="eastAsia" w:asciiTheme="minorEastAsia" w:hAnsiTheme="minorEastAsia"/>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041D5"/>
    <w:multiLevelType w:val="multilevel"/>
    <w:tmpl w:val="00E041D5"/>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168B4FAA"/>
    <w:multiLevelType w:val="singleLevel"/>
    <w:tmpl w:val="168B4FAA"/>
    <w:lvl w:ilvl="0" w:tentative="0">
      <w:start w:val="1"/>
      <w:numFmt w:val="bullet"/>
      <w:lvlText w:val=""/>
      <w:lvlJc w:val="left"/>
      <w:pPr>
        <w:ind w:left="420" w:hanging="420"/>
      </w:pPr>
      <w:rPr>
        <w:rFonts w:hint="default" w:ascii="Wingdings" w:hAnsi="Wingdings"/>
      </w:rPr>
    </w:lvl>
  </w:abstractNum>
  <w:abstractNum w:abstractNumId="2">
    <w:nsid w:val="52EA2A72"/>
    <w:multiLevelType w:val="singleLevel"/>
    <w:tmpl w:val="52EA2A72"/>
    <w:lvl w:ilvl="0" w:tentative="0">
      <w:start w:val="1"/>
      <w:numFmt w:val="chineseCounting"/>
      <w:suff w:val="nothing"/>
      <w:lvlText w:val="%1、"/>
      <w:lvlJc w:val="left"/>
      <w:rPr>
        <w:rFonts w:hint="eastAsia"/>
      </w:rPr>
    </w:lvl>
  </w:abstractNum>
  <w:abstractNum w:abstractNumId="3">
    <w:nsid w:val="580E64DF"/>
    <w:multiLevelType w:val="multilevel"/>
    <w:tmpl w:val="580E64DF"/>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356A"/>
    <w:rsid w:val="00064281"/>
    <w:rsid w:val="000657A0"/>
    <w:rsid w:val="00071209"/>
    <w:rsid w:val="00071335"/>
    <w:rsid w:val="00071DCE"/>
    <w:rsid w:val="00071DFD"/>
    <w:rsid w:val="00071EFB"/>
    <w:rsid w:val="0007584E"/>
    <w:rsid w:val="0007700C"/>
    <w:rsid w:val="00083DB8"/>
    <w:rsid w:val="000843BF"/>
    <w:rsid w:val="000847A8"/>
    <w:rsid w:val="0008599D"/>
    <w:rsid w:val="0008617F"/>
    <w:rsid w:val="00091B04"/>
    <w:rsid w:val="00091E1F"/>
    <w:rsid w:val="00093210"/>
    <w:rsid w:val="00093A5E"/>
    <w:rsid w:val="00094CDA"/>
    <w:rsid w:val="00095035"/>
    <w:rsid w:val="0009529B"/>
    <w:rsid w:val="0009688B"/>
    <w:rsid w:val="00097314"/>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11A0"/>
    <w:rsid w:val="00123A27"/>
    <w:rsid w:val="0013329D"/>
    <w:rsid w:val="001345D6"/>
    <w:rsid w:val="00135412"/>
    <w:rsid w:val="00136B4D"/>
    <w:rsid w:val="00142572"/>
    <w:rsid w:val="00142BE7"/>
    <w:rsid w:val="00144A2D"/>
    <w:rsid w:val="00145904"/>
    <w:rsid w:val="00145AE4"/>
    <w:rsid w:val="00146AE6"/>
    <w:rsid w:val="00147BA3"/>
    <w:rsid w:val="001509BD"/>
    <w:rsid w:val="00153D9F"/>
    <w:rsid w:val="00154ECD"/>
    <w:rsid w:val="00154F63"/>
    <w:rsid w:val="00157662"/>
    <w:rsid w:val="001627BA"/>
    <w:rsid w:val="001635C5"/>
    <w:rsid w:val="001656ED"/>
    <w:rsid w:val="001745A0"/>
    <w:rsid w:val="00174FAC"/>
    <w:rsid w:val="001763D0"/>
    <w:rsid w:val="00183AD3"/>
    <w:rsid w:val="001868A3"/>
    <w:rsid w:val="00186AC7"/>
    <w:rsid w:val="0019044B"/>
    <w:rsid w:val="00191AE4"/>
    <w:rsid w:val="00192312"/>
    <w:rsid w:val="00192FA9"/>
    <w:rsid w:val="001953C1"/>
    <w:rsid w:val="00196816"/>
    <w:rsid w:val="001A2E2D"/>
    <w:rsid w:val="001A3084"/>
    <w:rsid w:val="001A41D6"/>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AFC"/>
    <w:rsid w:val="001D5BCD"/>
    <w:rsid w:val="001D6ABC"/>
    <w:rsid w:val="001E1D88"/>
    <w:rsid w:val="001E6D93"/>
    <w:rsid w:val="001E75C4"/>
    <w:rsid w:val="001F00E1"/>
    <w:rsid w:val="001F2083"/>
    <w:rsid w:val="001F422F"/>
    <w:rsid w:val="001F6B2B"/>
    <w:rsid w:val="00202534"/>
    <w:rsid w:val="002048A3"/>
    <w:rsid w:val="00206BC7"/>
    <w:rsid w:val="00207652"/>
    <w:rsid w:val="00207743"/>
    <w:rsid w:val="00213781"/>
    <w:rsid w:val="00214ACE"/>
    <w:rsid w:val="00215E68"/>
    <w:rsid w:val="002160DD"/>
    <w:rsid w:val="00216775"/>
    <w:rsid w:val="002217D3"/>
    <w:rsid w:val="00224529"/>
    <w:rsid w:val="0022784F"/>
    <w:rsid w:val="00230F96"/>
    <w:rsid w:val="00231D36"/>
    <w:rsid w:val="0023362A"/>
    <w:rsid w:val="002370D9"/>
    <w:rsid w:val="002432E5"/>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3246"/>
    <w:rsid w:val="002D7A46"/>
    <w:rsid w:val="002E0F85"/>
    <w:rsid w:val="002E17BB"/>
    <w:rsid w:val="002E3CFE"/>
    <w:rsid w:val="002E5862"/>
    <w:rsid w:val="002E6FED"/>
    <w:rsid w:val="002F0218"/>
    <w:rsid w:val="002F4615"/>
    <w:rsid w:val="002F7887"/>
    <w:rsid w:val="00300E0C"/>
    <w:rsid w:val="003068DE"/>
    <w:rsid w:val="00306CA5"/>
    <w:rsid w:val="003071F3"/>
    <w:rsid w:val="00313D6A"/>
    <w:rsid w:val="00317BC2"/>
    <w:rsid w:val="003216A9"/>
    <w:rsid w:val="003216CC"/>
    <w:rsid w:val="0032367F"/>
    <w:rsid w:val="00323A21"/>
    <w:rsid w:val="0032458D"/>
    <w:rsid w:val="003253F1"/>
    <w:rsid w:val="00325654"/>
    <w:rsid w:val="0032604F"/>
    <w:rsid w:val="003315CC"/>
    <w:rsid w:val="00331C12"/>
    <w:rsid w:val="00335113"/>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43C8"/>
    <w:rsid w:val="0038738F"/>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6D08"/>
    <w:rsid w:val="003D0C6A"/>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5C36"/>
    <w:rsid w:val="004462D1"/>
    <w:rsid w:val="00447880"/>
    <w:rsid w:val="004544C4"/>
    <w:rsid w:val="0046022C"/>
    <w:rsid w:val="00460544"/>
    <w:rsid w:val="0046389B"/>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97DCE"/>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0E8A"/>
    <w:rsid w:val="00521184"/>
    <w:rsid w:val="0052623E"/>
    <w:rsid w:val="00526671"/>
    <w:rsid w:val="00530B9D"/>
    <w:rsid w:val="00530BC3"/>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568D3"/>
    <w:rsid w:val="00560B7B"/>
    <w:rsid w:val="00561A5A"/>
    <w:rsid w:val="005633F3"/>
    <w:rsid w:val="005658C9"/>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74103"/>
    <w:rsid w:val="00674AEB"/>
    <w:rsid w:val="00675CB6"/>
    <w:rsid w:val="006775D3"/>
    <w:rsid w:val="006800B3"/>
    <w:rsid w:val="00681310"/>
    <w:rsid w:val="00681474"/>
    <w:rsid w:val="00681F63"/>
    <w:rsid w:val="00684C23"/>
    <w:rsid w:val="00686268"/>
    <w:rsid w:val="00691E10"/>
    <w:rsid w:val="00692118"/>
    <w:rsid w:val="00692532"/>
    <w:rsid w:val="00695C7D"/>
    <w:rsid w:val="0069742F"/>
    <w:rsid w:val="006A0A03"/>
    <w:rsid w:val="006A2470"/>
    <w:rsid w:val="006A2D38"/>
    <w:rsid w:val="006A7E6C"/>
    <w:rsid w:val="006B3409"/>
    <w:rsid w:val="006B56A9"/>
    <w:rsid w:val="006B6815"/>
    <w:rsid w:val="006C1BEB"/>
    <w:rsid w:val="006C3189"/>
    <w:rsid w:val="006C6684"/>
    <w:rsid w:val="006C6BCF"/>
    <w:rsid w:val="006C6E81"/>
    <w:rsid w:val="006D219E"/>
    <w:rsid w:val="006D26B5"/>
    <w:rsid w:val="006D2DEE"/>
    <w:rsid w:val="006D420A"/>
    <w:rsid w:val="006D4D88"/>
    <w:rsid w:val="006D553C"/>
    <w:rsid w:val="006D6908"/>
    <w:rsid w:val="006D6B22"/>
    <w:rsid w:val="006E4344"/>
    <w:rsid w:val="006E58EC"/>
    <w:rsid w:val="006E5D45"/>
    <w:rsid w:val="006E5EA3"/>
    <w:rsid w:val="006E6123"/>
    <w:rsid w:val="006E6358"/>
    <w:rsid w:val="006F42F8"/>
    <w:rsid w:val="006F53B5"/>
    <w:rsid w:val="006F6D69"/>
    <w:rsid w:val="006F7462"/>
    <w:rsid w:val="00700132"/>
    <w:rsid w:val="00702F53"/>
    <w:rsid w:val="007030FE"/>
    <w:rsid w:val="00703E29"/>
    <w:rsid w:val="0070411A"/>
    <w:rsid w:val="00704EED"/>
    <w:rsid w:val="00707527"/>
    <w:rsid w:val="0071102F"/>
    <w:rsid w:val="00713304"/>
    <w:rsid w:val="007138A7"/>
    <w:rsid w:val="007138E6"/>
    <w:rsid w:val="00715DED"/>
    <w:rsid w:val="00722B3D"/>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1840"/>
    <w:rsid w:val="00764B52"/>
    <w:rsid w:val="00765194"/>
    <w:rsid w:val="007664EE"/>
    <w:rsid w:val="00766608"/>
    <w:rsid w:val="007672B9"/>
    <w:rsid w:val="0077016A"/>
    <w:rsid w:val="007755A3"/>
    <w:rsid w:val="00775E7C"/>
    <w:rsid w:val="00781F4C"/>
    <w:rsid w:val="00783EEA"/>
    <w:rsid w:val="00783FAF"/>
    <w:rsid w:val="00792C7B"/>
    <w:rsid w:val="00794DE8"/>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D43E7"/>
    <w:rsid w:val="007D6893"/>
    <w:rsid w:val="007E01D7"/>
    <w:rsid w:val="007E26F1"/>
    <w:rsid w:val="007E57E6"/>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70C"/>
    <w:rsid w:val="00806E59"/>
    <w:rsid w:val="008073A7"/>
    <w:rsid w:val="00807B57"/>
    <w:rsid w:val="00810BF8"/>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3ADE"/>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CCB"/>
    <w:rsid w:val="008A7D7C"/>
    <w:rsid w:val="008B188A"/>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575"/>
    <w:rsid w:val="0094357B"/>
    <w:rsid w:val="00945D56"/>
    <w:rsid w:val="00946D24"/>
    <w:rsid w:val="00947FFA"/>
    <w:rsid w:val="00950AAF"/>
    <w:rsid w:val="00951D84"/>
    <w:rsid w:val="0095268E"/>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203A"/>
    <w:rsid w:val="0099345F"/>
    <w:rsid w:val="00997254"/>
    <w:rsid w:val="009A1B98"/>
    <w:rsid w:val="009A240C"/>
    <w:rsid w:val="009A415C"/>
    <w:rsid w:val="009A5C7D"/>
    <w:rsid w:val="009A5DAF"/>
    <w:rsid w:val="009A6874"/>
    <w:rsid w:val="009A7601"/>
    <w:rsid w:val="009B026F"/>
    <w:rsid w:val="009B3ABD"/>
    <w:rsid w:val="009B7AEF"/>
    <w:rsid w:val="009C16F8"/>
    <w:rsid w:val="009D3111"/>
    <w:rsid w:val="009D3181"/>
    <w:rsid w:val="009D334A"/>
    <w:rsid w:val="009D6FBE"/>
    <w:rsid w:val="009E13E0"/>
    <w:rsid w:val="009E1B59"/>
    <w:rsid w:val="009E2422"/>
    <w:rsid w:val="009E3118"/>
    <w:rsid w:val="009E3815"/>
    <w:rsid w:val="009E3C2D"/>
    <w:rsid w:val="009E3F9D"/>
    <w:rsid w:val="009E5CAD"/>
    <w:rsid w:val="009E714A"/>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10C5C"/>
    <w:rsid w:val="00A11286"/>
    <w:rsid w:val="00A11394"/>
    <w:rsid w:val="00A12811"/>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3829"/>
    <w:rsid w:val="00A964BD"/>
    <w:rsid w:val="00A979DD"/>
    <w:rsid w:val="00AA1C47"/>
    <w:rsid w:val="00AA3C83"/>
    <w:rsid w:val="00AA5E72"/>
    <w:rsid w:val="00AA6069"/>
    <w:rsid w:val="00AA7102"/>
    <w:rsid w:val="00AB0831"/>
    <w:rsid w:val="00AB1F2F"/>
    <w:rsid w:val="00AB4698"/>
    <w:rsid w:val="00AB6B5F"/>
    <w:rsid w:val="00AB6CDA"/>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062F"/>
    <w:rsid w:val="00BE14A3"/>
    <w:rsid w:val="00BE17F4"/>
    <w:rsid w:val="00BE22B3"/>
    <w:rsid w:val="00BE422C"/>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235"/>
    <w:rsid w:val="00C176BF"/>
    <w:rsid w:val="00C17AE0"/>
    <w:rsid w:val="00C3028C"/>
    <w:rsid w:val="00C3055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1131"/>
    <w:rsid w:val="00C823BD"/>
    <w:rsid w:val="00C823C0"/>
    <w:rsid w:val="00C82ADF"/>
    <w:rsid w:val="00C85898"/>
    <w:rsid w:val="00C85AB9"/>
    <w:rsid w:val="00C85B23"/>
    <w:rsid w:val="00C85DFC"/>
    <w:rsid w:val="00C87D04"/>
    <w:rsid w:val="00C87EFC"/>
    <w:rsid w:val="00C914B2"/>
    <w:rsid w:val="00C93E0F"/>
    <w:rsid w:val="00C96AA0"/>
    <w:rsid w:val="00C96B4E"/>
    <w:rsid w:val="00C9754C"/>
    <w:rsid w:val="00CA0B24"/>
    <w:rsid w:val="00CA40B0"/>
    <w:rsid w:val="00CA5963"/>
    <w:rsid w:val="00CA5F3C"/>
    <w:rsid w:val="00CA6285"/>
    <w:rsid w:val="00CA62D8"/>
    <w:rsid w:val="00CB23BD"/>
    <w:rsid w:val="00CB3998"/>
    <w:rsid w:val="00CB5618"/>
    <w:rsid w:val="00CB577A"/>
    <w:rsid w:val="00CC290D"/>
    <w:rsid w:val="00CC483E"/>
    <w:rsid w:val="00CD0519"/>
    <w:rsid w:val="00CD09B1"/>
    <w:rsid w:val="00CD2075"/>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5067"/>
    <w:rsid w:val="00D1557F"/>
    <w:rsid w:val="00D16C7C"/>
    <w:rsid w:val="00D16E03"/>
    <w:rsid w:val="00D17158"/>
    <w:rsid w:val="00D200F8"/>
    <w:rsid w:val="00D208E9"/>
    <w:rsid w:val="00D2146D"/>
    <w:rsid w:val="00D234C0"/>
    <w:rsid w:val="00D23EC6"/>
    <w:rsid w:val="00D25D68"/>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1E99"/>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0E2"/>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63F5"/>
    <w:rsid w:val="00E16CF4"/>
    <w:rsid w:val="00E17AAA"/>
    <w:rsid w:val="00E2023C"/>
    <w:rsid w:val="00E22FD2"/>
    <w:rsid w:val="00E254DE"/>
    <w:rsid w:val="00E279C7"/>
    <w:rsid w:val="00E27F47"/>
    <w:rsid w:val="00E337B2"/>
    <w:rsid w:val="00E36046"/>
    <w:rsid w:val="00E368C1"/>
    <w:rsid w:val="00E36F0D"/>
    <w:rsid w:val="00E42686"/>
    <w:rsid w:val="00E45713"/>
    <w:rsid w:val="00E46E94"/>
    <w:rsid w:val="00E5141A"/>
    <w:rsid w:val="00E525EF"/>
    <w:rsid w:val="00E52B61"/>
    <w:rsid w:val="00E542ED"/>
    <w:rsid w:val="00E551C4"/>
    <w:rsid w:val="00E5608B"/>
    <w:rsid w:val="00E564F8"/>
    <w:rsid w:val="00E57237"/>
    <w:rsid w:val="00E57487"/>
    <w:rsid w:val="00E57F99"/>
    <w:rsid w:val="00E61E73"/>
    <w:rsid w:val="00E64429"/>
    <w:rsid w:val="00E65054"/>
    <w:rsid w:val="00E6534B"/>
    <w:rsid w:val="00E66780"/>
    <w:rsid w:val="00E6678D"/>
    <w:rsid w:val="00E705B8"/>
    <w:rsid w:val="00E711DA"/>
    <w:rsid w:val="00E7715F"/>
    <w:rsid w:val="00E773DC"/>
    <w:rsid w:val="00E810AC"/>
    <w:rsid w:val="00E828AC"/>
    <w:rsid w:val="00E87CC3"/>
    <w:rsid w:val="00E91098"/>
    <w:rsid w:val="00E9210B"/>
    <w:rsid w:val="00EA3AE2"/>
    <w:rsid w:val="00EA4CD3"/>
    <w:rsid w:val="00EA4FFB"/>
    <w:rsid w:val="00EA6164"/>
    <w:rsid w:val="00EA7A01"/>
    <w:rsid w:val="00EA7CCD"/>
    <w:rsid w:val="00EB154B"/>
    <w:rsid w:val="00EB234D"/>
    <w:rsid w:val="00EB3F6F"/>
    <w:rsid w:val="00EB5C44"/>
    <w:rsid w:val="00EB5FE0"/>
    <w:rsid w:val="00EC185B"/>
    <w:rsid w:val="00EC428E"/>
    <w:rsid w:val="00EC50AD"/>
    <w:rsid w:val="00EC6872"/>
    <w:rsid w:val="00ED0449"/>
    <w:rsid w:val="00ED1087"/>
    <w:rsid w:val="00ED5A7B"/>
    <w:rsid w:val="00ED769C"/>
    <w:rsid w:val="00EE1525"/>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30F8"/>
    <w:rsid w:val="00F34586"/>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320A"/>
    <w:rsid w:val="00F74046"/>
    <w:rsid w:val="00F74414"/>
    <w:rsid w:val="00F75D20"/>
    <w:rsid w:val="00F80FF3"/>
    <w:rsid w:val="00F82D72"/>
    <w:rsid w:val="00F83E12"/>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52B38A3"/>
    <w:rsid w:val="0D75742F"/>
    <w:rsid w:val="0EE330C9"/>
    <w:rsid w:val="10D017D9"/>
    <w:rsid w:val="138B5786"/>
    <w:rsid w:val="1CA0145B"/>
    <w:rsid w:val="21603540"/>
    <w:rsid w:val="24011B01"/>
    <w:rsid w:val="27F7686E"/>
    <w:rsid w:val="2B7ED06F"/>
    <w:rsid w:val="2D3D4257"/>
    <w:rsid w:val="2DDA0928"/>
    <w:rsid w:val="32B41128"/>
    <w:rsid w:val="4B887C1D"/>
    <w:rsid w:val="4EE778FC"/>
    <w:rsid w:val="50446580"/>
    <w:rsid w:val="53093721"/>
    <w:rsid w:val="53B322F3"/>
    <w:rsid w:val="5DFF29E0"/>
    <w:rsid w:val="5EDF3AF6"/>
    <w:rsid w:val="5FD94BDB"/>
    <w:rsid w:val="69CA7F8E"/>
    <w:rsid w:val="6B32428E"/>
    <w:rsid w:val="6B9F0575"/>
    <w:rsid w:val="73EF1F12"/>
    <w:rsid w:val="75AF62D4"/>
    <w:rsid w:val="760E16AB"/>
    <w:rsid w:val="7BC14284"/>
    <w:rsid w:val="7F921D31"/>
    <w:rsid w:val="AEFF9737"/>
    <w:rsid w:val="AEFFAB2F"/>
    <w:rsid w:val="DDFFD477"/>
    <w:rsid w:val="FADAB0B6"/>
    <w:rsid w:val="FFBBF84C"/>
    <w:rsid w:val="FFED0BA2"/>
    <w:rsid w:val="FFFB1921"/>
    <w:rsid w:val="FFFFE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eastAsia="宋体"/>
      <w:sz w:val="18"/>
      <w:szCs w:val="18"/>
    </w:rPr>
  </w:style>
  <w:style w:type="paragraph" w:styleId="5">
    <w:name w:val="annotation text"/>
    <w:basedOn w:val="1"/>
    <w:link w:val="30"/>
    <w:unhideWhenUsed/>
    <w:qFormat/>
    <w:uiPriority w:val="99"/>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5"/>
    <w:next w:val="5"/>
    <w:link w:val="32"/>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6"/>
    <w:semiHidden/>
    <w:qFormat/>
    <w:uiPriority w:val="99"/>
    <w:rPr>
      <w:sz w:val="18"/>
      <w:szCs w:val="18"/>
    </w:rPr>
  </w:style>
  <w:style w:type="character" w:customStyle="1" w:styleId="16">
    <w:name w:val="标题 1 字符"/>
    <w:basedOn w:val="13"/>
    <w:link w:val="2"/>
    <w:qFormat/>
    <w:uiPriority w:val="9"/>
    <w:rPr>
      <w:b/>
      <w:bCs/>
      <w:kern w:val="44"/>
      <w:sz w:val="44"/>
      <w:szCs w:val="44"/>
    </w:rPr>
  </w:style>
  <w:style w:type="paragraph" w:styleId="17">
    <w:name w:val="List Paragraph"/>
    <w:basedOn w:val="1"/>
    <w:qFormat/>
    <w:uiPriority w:val="34"/>
    <w:pPr>
      <w:ind w:firstLine="420" w:firstLineChars="200"/>
    </w:pPr>
  </w:style>
  <w:style w:type="character" w:styleId="18">
    <w:name w:val="Placeholder Text"/>
    <w:basedOn w:val="13"/>
    <w:semiHidden/>
    <w:qFormat/>
    <w:uiPriority w:val="99"/>
    <w:rPr>
      <w:color w:val="auto"/>
    </w:rPr>
  </w:style>
  <w:style w:type="character" w:customStyle="1" w:styleId="19">
    <w:name w:val="页眉 字符"/>
    <w:basedOn w:val="13"/>
    <w:link w:val="8"/>
    <w:qFormat/>
    <w:uiPriority w:val="99"/>
    <w:rPr>
      <w:sz w:val="18"/>
      <w:szCs w:val="18"/>
    </w:rPr>
  </w:style>
  <w:style w:type="character" w:customStyle="1" w:styleId="20">
    <w:name w:val="页脚 字符"/>
    <w:basedOn w:val="13"/>
    <w:link w:val="7"/>
    <w:qFormat/>
    <w:uiPriority w:val="99"/>
    <w:rPr>
      <w:sz w:val="18"/>
      <w:szCs w:val="18"/>
    </w:rPr>
  </w:style>
  <w:style w:type="character" w:customStyle="1" w:styleId="21">
    <w:name w:val="标题 2 字符"/>
    <w:basedOn w:val="13"/>
    <w:link w:val="3"/>
    <w:qFormat/>
    <w:uiPriority w:val="9"/>
    <w:rPr>
      <w:rFonts w:asciiTheme="majorHAnsi" w:hAnsiTheme="majorHAnsi" w:eastAsiaTheme="majorEastAsia" w:cstheme="majorBidi"/>
      <w:b/>
      <w:bCs/>
      <w:sz w:val="32"/>
      <w:szCs w:val="32"/>
    </w:rPr>
  </w:style>
  <w:style w:type="character" w:customStyle="1" w:styleId="22">
    <w:name w:val="文档结构图 字符"/>
    <w:basedOn w:val="13"/>
    <w:link w:val="4"/>
    <w:semiHidden/>
    <w:qFormat/>
    <w:uiPriority w:val="99"/>
    <w:rPr>
      <w:rFonts w:ascii="宋体" w:eastAsia="宋体"/>
      <w:sz w:val="18"/>
      <w:szCs w:val="18"/>
    </w:rPr>
  </w:style>
  <w:style w:type="character" w:customStyle="1" w:styleId="23">
    <w:name w:val="样式1"/>
    <w:qFormat/>
    <w:uiPriority w:val="1"/>
  </w:style>
  <w:style w:type="character" w:customStyle="1" w:styleId="24">
    <w:name w:val="样式2"/>
    <w:basedOn w:val="23"/>
    <w:qFormat/>
    <w:uiPriority w:val="1"/>
  </w:style>
  <w:style w:type="character" w:customStyle="1" w:styleId="25">
    <w:name w:val="样式3"/>
    <w:basedOn w:val="23"/>
    <w:qFormat/>
    <w:uiPriority w:val="1"/>
  </w:style>
  <w:style w:type="character" w:customStyle="1" w:styleId="26">
    <w:name w:val="样式4"/>
    <w:basedOn w:val="23"/>
    <w:qFormat/>
    <w:uiPriority w:val="1"/>
  </w:style>
  <w:style w:type="character" w:customStyle="1" w:styleId="27">
    <w:name w:val="样式5"/>
    <w:basedOn w:val="23"/>
    <w:qFormat/>
    <w:uiPriority w:val="1"/>
  </w:style>
  <w:style w:type="character" w:customStyle="1" w:styleId="28">
    <w:name w:val="样式6"/>
    <w:basedOn w:val="26"/>
    <w:qFormat/>
    <w:uiPriority w:val="1"/>
  </w:style>
  <w:style w:type="character" w:customStyle="1" w:styleId="29">
    <w:name w:val="样式7"/>
    <w:basedOn w:val="26"/>
    <w:qFormat/>
    <w:uiPriority w:val="1"/>
  </w:style>
  <w:style w:type="character" w:customStyle="1" w:styleId="30">
    <w:name w:val="批注文字 字符"/>
    <w:basedOn w:val="13"/>
    <w:link w:val="5"/>
    <w:qFormat/>
    <w:uiPriority w:val="99"/>
  </w:style>
  <w:style w:type="paragraph" w:customStyle="1" w:styleId="31">
    <w:name w:val="p0"/>
    <w:basedOn w:val="1"/>
    <w:qFormat/>
    <w:uiPriority w:val="0"/>
    <w:pPr>
      <w:widowControl/>
    </w:pPr>
    <w:rPr>
      <w:rFonts w:ascii="Book Antiqua" w:hAnsi="Book Antiqua" w:eastAsia="宋体" w:cs="宋体"/>
      <w:kern w:val="0"/>
      <w:sz w:val="24"/>
      <w:szCs w:val="24"/>
    </w:rPr>
  </w:style>
  <w:style w:type="character" w:customStyle="1" w:styleId="32">
    <w:name w:val="批注主题 字符"/>
    <w:basedOn w:val="30"/>
    <w:link w:val="10"/>
    <w:semiHidden/>
    <w:qFormat/>
    <w:uiPriority w:val="99"/>
    <w:rPr>
      <w:b/>
      <w:bCs/>
    </w:rPr>
  </w:style>
  <w:style w:type="paragraph" w:customStyle="1" w:styleId="33">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wenzhao\Library\Containers\com.kingsoft.wpsoffice.mac\Data\C:\Users\HP\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E8975CD8-AA4F-4D77-B72C-58EE482ADE73}"/>
      </w:docPartPr>
      <w:docPartBody>
        <w:p w14:paraId="06CF29F5">
          <w:pPr>
            <w:pStyle w:val="5"/>
          </w:pPr>
          <w:r>
            <w:rPr>
              <w:rFonts w:hint="eastAsia" w:asciiTheme="majorEastAsia" w:hAnsiTheme="majorEastAsia" w:eastAsiaTheme="majorEastAsia"/>
              <w:b/>
              <w:color w:val="333399"/>
              <w:szCs w:val="36"/>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32CF6"/>
    <w:rsid w:val="000343D6"/>
    <w:rsid w:val="0004422D"/>
    <w:rsid w:val="00046446"/>
    <w:rsid w:val="00051238"/>
    <w:rsid w:val="00064914"/>
    <w:rsid w:val="000777D0"/>
    <w:rsid w:val="00091B04"/>
    <w:rsid w:val="000927E9"/>
    <w:rsid w:val="000A3E63"/>
    <w:rsid w:val="000B72CA"/>
    <w:rsid w:val="000D5200"/>
    <w:rsid w:val="000E3071"/>
    <w:rsid w:val="0011090A"/>
    <w:rsid w:val="00111BD1"/>
    <w:rsid w:val="0013460A"/>
    <w:rsid w:val="00145670"/>
    <w:rsid w:val="0016580D"/>
    <w:rsid w:val="0019225F"/>
    <w:rsid w:val="001D5BCD"/>
    <w:rsid w:val="001D6115"/>
    <w:rsid w:val="001E3EA0"/>
    <w:rsid w:val="002143E6"/>
    <w:rsid w:val="00256D89"/>
    <w:rsid w:val="00267098"/>
    <w:rsid w:val="00282A8F"/>
    <w:rsid w:val="002E6255"/>
    <w:rsid w:val="00306E3D"/>
    <w:rsid w:val="00316D69"/>
    <w:rsid w:val="0036106E"/>
    <w:rsid w:val="00376DD0"/>
    <w:rsid w:val="003810DE"/>
    <w:rsid w:val="003906EF"/>
    <w:rsid w:val="003A17F8"/>
    <w:rsid w:val="003B04EC"/>
    <w:rsid w:val="003B50D8"/>
    <w:rsid w:val="003D385E"/>
    <w:rsid w:val="003E041E"/>
    <w:rsid w:val="0043069B"/>
    <w:rsid w:val="00495DE2"/>
    <w:rsid w:val="004A1379"/>
    <w:rsid w:val="004A2790"/>
    <w:rsid w:val="004A4D38"/>
    <w:rsid w:val="004B104B"/>
    <w:rsid w:val="004B2A73"/>
    <w:rsid w:val="004B46C6"/>
    <w:rsid w:val="004B72D1"/>
    <w:rsid w:val="004E2C00"/>
    <w:rsid w:val="004F1BA3"/>
    <w:rsid w:val="00505B16"/>
    <w:rsid w:val="00524560"/>
    <w:rsid w:val="0052623E"/>
    <w:rsid w:val="00535D5C"/>
    <w:rsid w:val="005409B4"/>
    <w:rsid w:val="00541ABD"/>
    <w:rsid w:val="00554BBA"/>
    <w:rsid w:val="00564EDE"/>
    <w:rsid w:val="0058791E"/>
    <w:rsid w:val="005A02F7"/>
    <w:rsid w:val="005B1E3A"/>
    <w:rsid w:val="005D54A9"/>
    <w:rsid w:val="00602E7D"/>
    <w:rsid w:val="00633C9B"/>
    <w:rsid w:val="00645CB1"/>
    <w:rsid w:val="00650792"/>
    <w:rsid w:val="00687612"/>
    <w:rsid w:val="006B7BE4"/>
    <w:rsid w:val="00734AD3"/>
    <w:rsid w:val="00752860"/>
    <w:rsid w:val="00765580"/>
    <w:rsid w:val="00777D46"/>
    <w:rsid w:val="00780325"/>
    <w:rsid w:val="00781254"/>
    <w:rsid w:val="00781F4C"/>
    <w:rsid w:val="0078693E"/>
    <w:rsid w:val="007A02EA"/>
    <w:rsid w:val="007A4890"/>
    <w:rsid w:val="007B1DA5"/>
    <w:rsid w:val="007C7D34"/>
    <w:rsid w:val="00800822"/>
    <w:rsid w:val="00846FD4"/>
    <w:rsid w:val="00851D98"/>
    <w:rsid w:val="00932870"/>
    <w:rsid w:val="0095546D"/>
    <w:rsid w:val="009830BF"/>
    <w:rsid w:val="00985796"/>
    <w:rsid w:val="00996F77"/>
    <w:rsid w:val="0099798A"/>
    <w:rsid w:val="009A3853"/>
    <w:rsid w:val="009C514E"/>
    <w:rsid w:val="00A10E8A"/>
    <w:rsid w:val="00A3150D"/>
    <w:rsid w:val="00A41B15"/>
    <w:rsid w:val="00A76F92"/>
    <w:rsid w:val="00A808AB"/>
    <w:rsid w:val="00A86D8A"/>
    <w:rsid w:val="00AA1850"/>
    <w:rsid w:val="00AA1CD6"/>
    <w:rsid w:val="00AA5D37"/>
    <w:rsid w:val="00AA6A65"/>
    <w:rsid w:val="00AB46B1"/>
    <w:rsid w:val="00B84331"/>
    <w:rsid w:val="00BA1417"/>
    <w:rsid w:val="00BD5113"/>
    <w:rsid w:val="00BD611D"/>
    <w:rsid w:val="00C01254"/>
    <w:rsid w:val="00C1573E"/>
    <w:rsid w:val="00C278FF"/>
    <w:rsid w:val="00CA0358"/>
    <w:rsid w:val="00CB6A47"/>
    <w:rsid w:val="00D047C8"/>
    <w:rsid w:val="00D179CB"/>
    <w:rsid w:val="00D26A94"/>
    <w:rsid w:val="00D711C1"/>
    <w:rsid w:val="00D74505"/>
    <w:rsid w:val="00D839D6"/>
    <w:rsid w:val="00DB1BD1"/>
    <w:rsid w:val="00DC38EF"/>
    <w:rsid w:val="00DD166E"/>
    <w:rsid w:val="00DF2409"/>
    <w:rsid w:val="00E717CD"/>
    <w:rsid w:val="00E93D68"/>
    <w:rsid w:val="00EA05B6"/>
    <w:rsid w:val="00F143C9"/>
    <w:rsid w:val="00F476B3"/>
    <w:rsid w:val="00F774E5"/>
    <w:rsid w:val="00FB76F7"/>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]]></t:sse>
</t:template>
</file>

<file path=customXml/item2.xml><?xml version="1.0" encoding="utf-8"?>
<sc:sections xmlns:sc="http://mapping.word.org/2014/section/customize"/>
</file>

<file path=customXml/item3.xml><?xml version="1.0" encoding="utf-8"?>
<b:binding xmlns:clcta-gie="clcta-gie" xmlns:b="http://mapping.word.org/2012/binding" xmlns:clcta-taf="clcta-taf" xmlns:clcta-fte="clcta-fte" xmlns:xlink="xlink" xmlns:clcta-be="clcta-be"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Props1.xml><?xml version="1.0" encoding="utf-8"?>
<ds:datastoreItem xmlns:ds="http://schemas.openxmlformats.org/officeDocument/2006/customXml" ds:itemID="{9CC3A8B3-5605-4C87-8DD7-6E20FC470C31}">
  <ds:schemaRefs/>
</ds:datastoreItem>
</file>

<file path=customXml/itemProps2.xml><?xml version="1.0" encoding="utf-8"?>
<ds:datastoreItem xmlns:ds="http://schemas.openxmlformats.org/officeDocument/2006/customXml" ds:itemID="{4511FAB5-2CDB-48CD-B312-58EE4B3BFC5C}">
  <ds:schemaRefs/>
</ds:datastoreItem>
</file>

<file path=customXml/itemProps3.xml><?xml version="1.0" encoding="utf-8"?>
<ds:datastoreItem xmlns:ds="http://schemas.openxmlformats.org/officeDocument/2006/customXml" ds:itemID="{BA98B501-917D-472D-AC19-F30F1EB82784}">
  <ds:schemaRefs/>
</ds:datastoreItem>
</file>

<file path=customXml/itemProps4.xml><?xml version="1.0" encoding="utf-8"?>
<ds:datastoreItem xmlns:ds="http://schemas.openxmlformats.org/officeDocument/2006/customXml" ds:itemID="{6946C436-FBFE-4818-858F-57D7285C98D3}">
  <ds:schemaRefs/>
</ds:datastoreItem>
</file>

<file path=docProps/app.xml><?xml version="1.0" encoding="utf-8"?>
<Properties xmlns="http://schemas.openxmlformats.org/officeDocument/2006/extended-properties" xmlns:vt="http://schemas.openxmlformats.org/officeDocument/2006/docPropsVTypes">
  <Template>SSEReport</Template>
  <Pages>7</Pages>
  <Words>1606</Words>
  <Characters>1994</Characters>
  <Lines>30</Lines>
  <Paragraphs>8</Paragraphs>
  <TotalTime>4</TotalTime>
  <ScaleCrop>false</ScaleCrop>
  <LinksUpToDate>false</LinksUpToDate>
  <CharactersWithSpaces>2036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2025-07-03T01:10:00Z</dcterms:created>
  <dc:creator>yangzhiquan</dc:creator>
  <cp:lastModifiedBy>雯亦</cp:lastModifiedBy>
  <dcterms:modified xsi:type="dcterms:W3CDTF">2025-08-05T05:58:19Z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2052-12.1.0.21915</vt:lpwstr>
  </property>
  <property fmtid="{D5CDD505-2E9C-101B-9397-08002B2CF9AE}" pid="4" name="ICV">
    <vt:lpwstr>4274DC6A14014125BE761B64BE25877F_13</vt:lpwstr>
  </property>
</Properties>
</file>