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217EC" w14:textId="77777777" w:rsidR="000F3643" w:rsidRDefault="000563AC">
      <w:pPr>
        <w:spacing w:beforeLines="50" w:before="156" w:afterLines="50" w:after="156"/>
        <w:rPr>
          <w:bCs/>
          <w:szCs w:val="21"/>
        </w:rPr>
      </w:pPr>
      <w:r>
        <w:rPr>
          <w:rFonts w:hint="eastAsia"/>
          <w:bCs/>
          <w:szCs w:val="21"/>
        </w:rPr>
        <w:t>公司代码：</w:t>
      </w:r>
      <w:r>
        <w:t>603191</w:t>
      </w:r>
      <w:r>
        <w:rPr>
          <w:rFonts w:hint="eastAsia"/>
          <w:bCs/>
          <w:szCs w:val="21"/>
        </w:rPr>
        <w:t xml:space="preserve">                      </w:t>
      </w:r>
      <w:proofErr w:type="gramStart"/>
      <w:r>
        <w:rPr>
          <w:rFonts w:hint="eastAsia"/>
          <w:bCs/>
          <w:szCs w:val="21"/>
        </w:rPr>
        <w:t xml:space="preserve">　　　　　　　　　　</w:t>
      </w:r>
      <w:proofErr w:type="gramEnd"/>
      <w:r>
        <w:rPr>
          <w:rFonts w:hint="eastAsia"/>
          <w:bCs/>
          <w:szCs w:val="21"/>
        </w:rPr>
        <w:t>公司简称：</w:t>
      </w:r>
      <w:proofErr w:type="gramStart"/>
      <w:r>
        <w:rPr>
          <w:rFonts w:hint="eastAsia"/>
        </w:rPr>
        <w:t>望变电气</w:t>
      </w:r>
      <w:proofErr w:type="gramEnd"/>
    </w:p>
    <w:p w14:paraId="13FC5A01" w14:textId="77777777" w:rsidR="000F3643" w:rsidRDefault="000F3643"/>
    <w:p w14:paraId="5315A4B7" w14:textId="77777777" w:rsidR="000F3643" w:rsidRDefault="000F3643"/>
    <w:p w14:paraId="005CE959" w14:textId="77777777" w:rsidR="000F3643" w:rsidRDefault="000F3643"/>
    <w:p w14:paraId="0770A37F" w14:textId="77777777" w:rsidR="000F3643" w:rsidRDefault="000F3643"/>
    <w:p w14:paraId="073D0068" w14:textId="77777777" w:rsidR="000F3643" w:rsidRDefault="000F3643"/>
    <w:p w14:paraId="4A45394A" w14:textId="77777777" w:rsidR="000F3643" w:rsidRDefault="000F3643"/>
    <w:p w14:paraId="5CB39A36" w14:textId="77777777" w:rsidR="000F3643" w:rsidRDefault="000F3643"/>
    <w:p w14:paraId="712FE3C1" w14:textId="77777777" w:rsidR="000F3643" w:rsidRDefault="000563AC">
      <w:pPr>
        <w:jc w:val="center"/>
        <w:rPr>
          <w:b/>
          <w:bCs/>
          <w:sz w:val="32"/>
          <w:szCs w:val="32"/>
        </w:rPr>
      </w:pPr>
      <w:proofErr w:type="gramStart"/>
      <w:r>
        <w:rPr>
          <w:rFonts w:hint="eastAsia"/>
          <w:b/>
          <w:bCs/>
          <w:sz w:val="32"/>
          <w:szCs w:val="32"/>
        </w:rPr>
        <w:t>重庆望变电气</w:t>
      </w:r>
      <w:proofErr w:type="gramEnd"/>
      <w:r>
        <w:rPr>
          <w:rFonts w:hint="eastAsia"/>
          <w:b/>
          <w:bCs/>
          <w:sz w:val="32"/>
          <w:szCs w:val="32"/>
        </w:rPr>
        <w:t>（集团）股份有限公司</w:t>
      </w:r>
    </w:p>
    <w:p w14:paraId="554150A8" w14:textId="5080E8FD" w:rsidR="000F3643" w:rsidRDefault="000563AC">
      <w:pPr>
        <w:jc w:val="center"/>
        <w:rPr>
          <w:b/>
          <w:bCs/>
          <w:sz w:val="32"/>
          <w:szCs w:val="32"/>
        </w:rPr>
      </w:pPr>
      <w:r>
        <w:rPr>
          <w:rFonts w:asciiTheme="majorEastAsia" w:eastAsiaTheme="majorEastAsia" w:hAnsiTheme="majorEastAsia"/>
          <w:b/>
          <w:bCs/>
          <w:sz w:val="32"/>
          <w:szCs w:val="32"/>
        </w:rPr>
        <w:t>2025</w:t>
      </w:r>
      <w:r>
        <w:rPr>
          <w:rFonts w:hint="eastAsia"/>
          <w:b/>
          <w:bCs/>
          <w:sz w:val="32"/>
          <w:szCs w:val="32"/>
        </w:rPr>
        <w:t>年半年度报告摘要</w:t>
      </w:r>
    </w:p>
    <w:p w14:paraId="45C02C73" w14:textId="77777777" w:rsidR="000F3643" w:rsidRDefault="000F3643"/>
    <w:p w14:paraId="7876156F" w14:textId="77777777" w:rsidR="000F3643" w:rsidRDefault="000F3643"/>
    <w:p w14:paraId="65214579" w14:textId="77777777" w:rsidR="000F3643" w:rsidRDefault="000F3643"/>
    <w:p w14:paraId="4873206D" w14:textId="77777777" w:rsidR="000F3643" w:rsidRDefault="000F3643"/>
    <w:p w14:paraId="03AFDDE7" w14:textId="77777777" w:rsidR="000F3643" w:rsidRDefault="000F3643"/>
    <w:p w14:paraId="0CE09467" w14:textId="77777777" w:rsidR="000F3643" w:rsidRDefault="000F3643"/>
    <w:p w14:paraId="1EA9F0B6" w14:textId="77777777" w:rsidR="000F3643" w:rsidRDefault="000F3643"/>
    <w:p w14:paraId="78843FEB" w14:textId="77777777" w:rsidR="000F3643" w:rsidRDefault="000563AC">
      <w:r>
        <w:br w:type="page"/>
      </w:r>
    </w:p>
    <w:p w14:paraId="0495175B" w14:textId="7ECB2162" w:rsidR="000F3643" w:rsidRDefault="000563AC">
      <w:pPr>
        <w:pStyle w:val="10"/>
        <w:spacing w:line="240" w:lineRule="auto"/>
        <w:rPr>
          <w:sz w:val="24"/>
          <w:szCs w:val="24"/>
        </w:rPr>
      </w:pPr>
      <w:r>
        <w:rPr>
          <w:rFonts w:hint="eastAsia"/>
          <w:sz w:val="24"/>
          <w:szCs w:val="24"/>
        </w:rPr>
        <w:lastRenderedPageBreak/>
        <w:t>第一节</w:t>
      </w:r>
      <w:r>
        <w:rPr>
          <w:rFonts w:hint="eastAsia"/>
          <w:sz w:val="24"/>
          <w:szCs w:val="24"/>
        </w:rPr>
        <w:t xml:space="preserve"> </w:t>
      </w:r>
      <w:r>
        <w:rPr>
          <w:rFonts w:hint="eastAsia"/>
          <w:sz w:val="24"/>
          <w:szCs w:val="24"/>
        </w:rPr>
        <w:t>重要提示</w:t>
      </w:r>
    </w:p>
    <w:p w14:paraId="66ADB0A2" w14:textId="73E26133" w:rsidR="000F3643" w:rsidRDefault="000563AC">
      <w:pPr>
        <w:pStyle w:val="20"/>
        <w:numPr>
          <w:ilvl w:val="0"/>
          <w:numId w:val="18"/>
        </w:numPr>
        <w:spacing w:before="0" w:after="0" w:line="480" w:lineRule="auto"/>
        <w:ind w:left="0" w:firstLine="0"/>
        <w:rPr>
          <w:rFonts w:ascii="Times New Roman" w:hAnsi="Times New Roman"/>
          <w:szCs w:val="22"/>
        </w:rPr>
      </w:pPr>
      <w:proofErr w:type="gramStart"/>
      <w:r>
        <w:rPr>
          <w:rFonts w:ascii="Times New Roman" w:hAnsi="Times New Roman" w:hint="eastAsia"/>
          <w:szCs w:val="22"/>
        </w:rPr>
        <w:t>本半年度</w:t>
      </w:r>
      <w:proofErr w:type="gramEnd"/>
      <w:r>
        <w:rPr>
          <w:rFonts w:ascii="Times New Roman" w:hAnsi="Times New Roman" w:hint="eastAsia"/>
          <w:szCs w:val="22"/>
        </w:rPr>
        <w:t>报告摘要来自半年度报告全文，为全面了解本公司的经营成果、财务状况及未来发展规划，投资者应当到</w:t>
      </w:r>
      <w:r>
        <w:rPr>
          <w:rFonts w:ascii="Times New Roman" w:hAnsi="Times New Roman" w:hint="eastAsia"/>
          <w:szCs w:val="22"/>
        </w:rPr>
        <w:t>www.sse.com.cn</w:t>
      </w:r>
      <w:r>
        <w:rPr>
          <w:rFonts w:ascii="Times New Roman" w:hAnsi="Times New Roman" w:hint="eastAsia"/>
          <w:szCs w:val="22"/>
        </w:rPr>
        <w:t>网站仔细阅读半年度报告全文。</w:t>
      </w:r>
    </w:p>
    <w:p w14:paraId="29D03FCE" w14:textId="77777777" w:rsidR="009740B9" w:rsidRDefault="000563AC">
      <w:pPr>
        <w:pStyle w:val="20"/>
        <w:numPr>
          <w:ilvl w:val="0"/>
          <w:numId w:val="18"/>
        </w:numPr>
        <w:spacing w:before="0" w:after="0" w:line="480" w:lineRule="auto"/>
        <w:ind w:left="0" w:firstLine="0"/>
        <w:rPr>
          <w:rFonts w:ascii="宋体" w:hAnsi="宋体"/>
          <w:color w:val="000000" w:themeColor="text1"/>
        </w:rPr>
      </w:pPr>
      <w:r>
        <w:rPr>
          <w:rFonts w:ascii="宋体" w:hAnsi="宋体" w:cs="宋体"/>
          <w:color w:val="000000" w:themeColor="text1"/>
        </w:rPr>
        <w:t>本公司董事会及董事、高级管理人员保证</w:t>
      </w:r>
      <w:r>
        <w:rPr>
          <w:rFonts w:ascii="宋体" w:hAnsi="宋体" w:cs="宋体" w:hint="eastAsia"/>
          <w:color w:val="000000" w:themeColor="text1"/>
        </w:rPr>
        <w:t>半</w:t>
      </w:r>
      <w:r>
        <w:rPr>
          <w:rFonts w:ascii="宋体" w:hAnsi="宋体" w:cs="宋体"/>
          <w:color w:val="000000" w:themeColor="text1"/>
        </w:rPr>
        <w:t>年度报告内容的真实</w:t>
      </w:r>
      <w:r>
        <w:rPr>
          <w:rFonts w:ascii="宋体" w:hAnsi="宋体" w:cs="宋体" w:hint="eastAsia"/>
          <w:color w:val="000000" w:themeColor="text1"/>
        </w:rPr>
        <w:t>性</w:t>
      </w:r>
      <w:r>
        <w:rPr>
          <w:rFonts w:ascii="宋体" w:hAnsi="宋体" w:cs="宋体"/>
          <w:color w:val="000000" w:themeColor="text1"/>
        </w:rPr>
        <w:t>、准确</w:t>
      </w:r>
      <w:r>
        <w:rPr>
          <w:rFonts w:ascii="宋体" w:hAnsi="宋体" w:cs="宋体" w:hint="eastAsia"/>
          <w:color w:val="000000" w:themeColor="text1"/>
        </w:rPr>
        <w:t>性</w:t>
      </w:r>
      <w:r>
        <w:rPr>
          <w:rFonts w:ascii="宋体" w:hAnsi="宋体" w:cs="宋体"/>
          <w:color w:val="000000" w:themeColor="text1"/>
        </w:rPr>
        <w:t>、完整</w:t>
      </w:r>
      <w:r>
        <w:rPr>
          <w:rFonts w:ascii="宋体" w:hAnsi="宋体" w:cs="宋体" w:hint="eastAsia"/>
          <w:color w:val="000000" w:themeColor="text1"/>
        </w:rPr>
        <w:t>性</w:t>
      </w:r>
      <w:r>
        <w:rPr>
          <w:rFonts w:ascii="宋体" w:hAnsi="宋体" w:cs="宋体"/>
          <w:color w:val="000000" w:themeColor="text1"/>
        </w:rPr>
        <w:t>，不存在虚假记载、误导性陈述或重大遗漏，并承担个别和连带的法律责任。</w:t>
      </w:r>
    </w:p>
    <w:p w14:paraId="352C8F03" w14:textId="77777777" w:rsidR="009740B9" w:rsidRDefault="000563AC">
      <w:pPr>
        <w:pStyle w:val="20"/>
        <w:numPr>
          <w:ilvl w:val="0"/>
          <w:numId w:val="18"/>
        </w:numPr>
        <w:spacing w:before="0" w:after="0" w:line="480" w:lineRule="auto"/>
        <w:ind w:left="0" w:firstLine="0"/>
        <w:rPr>
          <w:rFonts w:ascii="宋体" w:hAnsi="宋体"/>
          <w:color w:val="000000" w:themeColor="text1"/>
        </w:rPr>
      </w:pPr>
      <w:r>
        <w:rPr>
          <w:rFonts w:ascii="宋体" w:hAnsi="宋体" w:cs="宋体"/>
          <w:color w:val="000000" w:themeColor="text1"/>
        </w:rPr>
        <w:t>公司全体董事出席董事会会议。</w:t>
      </w:r>
    </w:p>
    <w:p w14:paraId="09774361" w14:textId="77777777" w:rsidR="009740B9" w:rsidRDefault="000563AC">
      <w:pPr>
        <w:pStyle w:val="20"/>
        <w:numPr>
          <w:ilvl w:val="0"/>
          <w:numId w:val="18"/>
        </w:numPr>
        <w:spacing w:before="0" w:after="0" w:line="480" w:lineRule="auto"/>
        <w:ind w:left="0" w:firstLine="0"/>
        <w:rPr>
          <w:rFonts w:ascii="宋体" w:hAnsi="宋体"/>
          <w:color w:val="000000" w:themeColor="text1"/>
        </w:rPr>
      </w:pPr>
      <w:proofErr w:type="gramStart"/>
      <w:r>
        <w:rPr>
          <w:rFonts w:ascii="宋体" w:hAnsi="宋体" w:cs="宋体"/>
          <w:color w:val="000000" w:themeColor="text1"/>
        </w:rPr>
        <w:t>本半年度</w:t>
      </w:r>
      <w:proofErr w:type="gramEnd"/>
      <w:r>
        <w:rPr>
          <w:rFonts w:ascii="宋体" w:hAnsi="宋体" w:cs="宋体"/>
          <w:color w:val="000000" w:themeColor="text1"/>
        </w:rPr>
        <w:t>报告未经审计。</w:t>
      </w:r>
    </w:p>
    <w:p w14:paraId="3A593E03" w14:textId="787748F4" w:rsidR="000F3643" w:rsidRDefault="000563AC">
      <w:pPr>
        <w:pStyle w:val="20"/>
        <w:numPr>
          <w:ilvl w:val="0"/>
          <w:numId w:val="18"/>
        </w:numPr>
        <w:spacing w:before="0" w:after="0" w:line="480" w:lineRule="auto"/>
        <w:ind w:left="0" w:firstLine="0"/>
        <w:rPr>
          <w:rFonts w:ascii="Times New Roman" w:hAnsi="Times New Roman"/>
          <w:szCs w:val="22"/>
        </w:rPr>
      </w:pPr>
      <w:r>
        <w:rPr>
          <w:rFonts w:ascii="Times New Roman" w:hAnsi="Times New Roman" w:hint="eastAsia"/>
          <w:szCs w:val="22"/>
        </w:rPr>
        <w:t>董事会</w:t>
      </w:r>
      <w:r>
        <w:rPr>
          <w:rFonts w:ascii="Times New Roman" w:hAnsi="Times New Roman"/>
        </w:rPr>
        <w:t>决议通过的本报告期利润分配预案或公积金转增股本预案</w:t>
      </w:r>
    </w:p>
    <w:p w14:paraId="2053D494" w14:textId="77777777" w:rsidR="009740B9" w:rsidRDefault="000563AC">
      <w:pPr>
        <w:kinsoku w:val="0"/>
        <w:overflowPunct w:val="0"/>
        <w:autoSpaceDE w:val="0"/>
        <w:autoSpaceDN w:val="0"/>
        <w:adjustRightInd w:val="0"/>
        <w:snapToGrid w:val="0"/>
        <w:spacing w:line="360" w:lineRule="exact"/>
        <w:rPr>
          <w:color w:val="000000" w:themeColor="text1"/>
        </w:rPr>
      </w:pPr>
      <w:r>
        <w:rPr>
          <w:rFonts w:hint="eastAsia"/>
          <w:color w:val="000000" w:themeColor="text1"/>
        </w:rPr>
        <w:t>无</w:t>
      </w:r>
    </w:p>
    <w:p w14:paraId="5B55FAF4" w14:textId="76B39F36" w:rsidR="000F3643" w:rsidRDefault="000563AC">
      <w:pPr>
        <w:pStyle w:val="10"/>
        <w:spacing w:line="240" w:lineRule="auto"/>
        <w:rPr>
          <w:sz w:val="24"/>
          <w:szCs w:val="24"/>
        </w:rPr>
      </w:pPr>
      <w:r>
        <w:rPr>
          <w:rFonts w:hint="eastAsia"/>
          <w:sz w:val="24"/>
          <w:szCs w:val="24"/>
        </w:rPr>
        <w:t>第二节</w:t>
      </w:r>
      <w:r>
        <w:rPr>
          <w:rFonts w:hint="eastAsia"/>
          <w:sz w:val="24"/>
          <w:szCs w:val="24"/>
        </w:rPr>
        <w:t xml:space="preserve"> </w:t>
      </w:r>
      <w:r>
        <w:rPr>
          <w:rFonts w:hint="eastAsia"/>
          <w:sz w:val="24"/>
          <w:szCs w:val="24"/>
        </w:rPr>
        <w:t>公司基本情况</w:t>
      </w:r>
    </w:p>
    <w:p w14:paraId="0C894759" w14:textId="77777777" w:rsidR="000F3643" w:rsidRDefault="000563AC">
      <w:pPr>
        <w:pStyle w:val="20"/>
        <w:numPr>
          <w:ilvl w:val="0"/>
          <w:numId w:val="23"/>
        </w:numPr>
        <w:spacing w:before="0" w:after="0" w:line="360" w:lineRule="auto"/>
        <w:ind w:left="0" w:firstLine="0"/>
        <w:rPr>
          <w:rFonts w:ascii="Times New Roman" w:hAnsi="Times New Roman"/>
          <w:color w:val="FF0000"/>
          <w:u w:val="single"/>
        </w:rPr>
      </w:pPr>
      <w:r>
        <w:rPr>
          <w:rFonts w:ascii="Times New Roman" w:hAnsi="Times New Roman" w:hint="eastAsia"/>
        </w:rPr>
        <w:t>公司简介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1765"/>
        <w:gridCol w:w="1765"/>
        <w:gridCol w:w="1764"/>
        <w:gridCol w:w="1764"/>
        <w:gridCol w:w="1764"/>
      </w:tblGrid>
      <w:tr w:rsidR="000F3643" w14:paraId="7BE2D297" w14:textId="77777777" w:rsidTr="00051708">
        <w:trPr>
          <w:trHeight w:val="293"/>
        </w:trPr>
        <w:tc>
          <w:tcPr>
            <w:tcW w:w="5000" w:type="pct"/>
            <w:gridSpan w:val="5"/>
            <w:tcBorders>
              <w:top w:val="single" w:sz="4" w:space="0" w:color="auto"/>
              <w:bottom w:val="single" w:sz="4" w:space="0" w:color="auto"/>
            </w:tcBorders>
          </w:tcPr>
          <w:p w14:paraId="0982D99B" w14:textId="77777777" w:rsidR="000F3643" w:rsidRDefault="000563AC">
            <w:pPr>
              <w:kinsoku w:val="0"/>
              <w:overflowPunct w:val="0"/>
              <w:autoSpaceDE w:val="0"/>
              <w:autoSpaceDN w:val="0"/>
              <w:adjustRightInd w:val="0"/>
              <w:snapToGrid w:val="0"/>
              <w:jc w:val="center"/>
              <w:rPr>
                <w:szCs w:val="21"/>
              </w:rPr>
            </w:pPr>
            <w:r>
              <w:rPr>
                <w:rFonts w:hint="eastAsia"/>
                <w:szCs w:val="21"/>
              </w:rPr>
              <w:t>公司股票简况</w:t>
            </w:r>
          </w:p>
        </w:tc>
      </w:tr>
      <w:tr w:rsidR="000F3643" w14:paraId="5A6395FC" w14:textId="77777777" w:rsidTr="00051708">
        <w:trPr>
          <w:trHeight w:val="293"/>
        </w:trPr>
        <w:tc>
          <w:tcPr>
            <w:tcW w:w="1000" w:type="pct"/>
            <w:tcBorders>
              <w:top w:val="single" w:sz="4" w:space="0" w:color="auto"/>
              <w:bottom w:val="single" w:sz="4" w:space="0" w:color="auto"/>
              <w:right w:val="single" w:sz="4" w:space="0" w:color="auto"/>
            </w:tcBorders>
          </w:tcPr>
          <w:p w14:paraId="47B5EF67" w14:textId="77777777" w:rsidR="000F3643" w:rsidRDefault="000563AC">
            <w:pPr>
              <w:kinsoku w:val="0"/>
              <w:overflowPunct w:val="0"/>
              <w:autoSpaceDE w:val="0"/>
              <w:autoSpaceDN w:val="0"/>
              <w:adjustRightInd w:val="0"/>
              <w:snapToGrid w:val="0"/>
              <w:jc w:val="center"/>
              <w:rPr>
                <w:szCs w:val="21"/>
              </w:rPr>
            </w:pPr>
            <w:r>
              <w:rPr>
                <w:rFonts w:hint="eastAsia"/>
                <w:szCs w:val="21"/>
              </w:rPr>
              <w:t>股票种类</w:t>
            </w:r>
          </w:p>
        </w:tc>
        <w:tc>
          <w:tcPr>
            <w:tcW w:w="1000" w:type="pct"/>
            <w:tcBorders>
              <w:top w:val="single" w:sz="4" w:space="0" w:color="auto"/>
              <w:left w:val="single" w:sz="4" w:space="0" w:color="auto"/>
              <w:bottom w:val="single" w:sz="4" w:space="0" w:color="auto"/>
              <w:right w:val="single" w:sz="4" w:space="0" w:color="auto"/>
            </w:tcBorders>
          </w:tcPr>
          <w:p w14:paraId="29AE28B2" w14:textId="77777777" w:rsidR="000F3643" w:rsidRDefault="000563AC">
            <w:pPr>
              <w:kinsoku w:val="0"/>
              <w:overflowPunct w:val="0"/>
              <w:autoSpaceDE w:val="0"/>
              <w:autoSpaceDN w:val="0"/>
              <w:adjustRightInd w:val="0"/>
              <w:snapToGrid w:val="0"/>
              <w:jc w:val="center"/>
              <w:rPr>
                <w:szCs w:val="21"/>
              </w:rPr>
            </w:pPr>
            <w:r>
              <w:rPr>
                <w:rFonts w:hint="eastAsia"/>
                <w:szCs w:val="21"/>
              </w:rPr>
              <w:t>股票上市交易所</w:t>
            </w:r>
          </w:p>
        </w:tc>
        <w:tc>
          <w:tcPr>
            <w:tcW w:w="1000" w:type="pct"/>
            <w:tcBorders>
              <w:top w:val="single" w:sz="4" w:space="0" w:color="auto"/>
              <w:left w:val="single" w:sz="4" w:space="0" w:color="auto"/>
              <w:bottom w:val="single" w:sz="4" w:space="0" w:color="auto"/>
              <w:right w:val="single" w:sz="4" w:space="0" w:color="auto"/>
            </w:tcBorders>
          </w:tcPr>
          <w:p w14:paraId="195C0C2F" w14:textId="77777777" w:rsidR="000F3643" w:rsidRDefault="000563AC">
            <w:pPr>
              <w:kinsoku w:val="0"/>
              <w:overflowPunct w:val="0"/>
              <w:autoSpaceDE w:val="0"/>
              <w:autoSpaceDN w:val="0"/>
              <w:adjustRightInd w:val="0"/>
              <w:snapToGrid w:val="0"/>
              <w:jc w:val="center"/>
              <w:rPr>
                <w:szCs w:val="21"/>
              </w:rPr>
            </w:pPr>
            <w:r>
              <w:rPr>
                <w:rFonts w:hint="eastAsia"/>
                <w:szCs w:val="21"/>
              </w:rPr>
              <w:t>股票简称</w:t>
            </w:r>
          </w:p>
        </w:tc>
        <w:tc>
          <w:tcPr>
            <w:tcW w:w="1000" w:type="pct"/>
            <w:tcBorders>
              <w:top w:val="single" w:sz="4" w:space="0" w:color="auto"/>
              <w:left w:val="single" w:sz="4" w:space="0" w:color="auto"/>
              <w:bottom w:val="single" w:sz="4" w:space="0" w:color="auto"/>
              <w:right w:val="single" w:sz="4" w:space="0" w:color="auto"/>
            </w:tcBorders>
          </w:tcPr>
          <w:p w14:paraId="7B4C208A" w14:textId="77777777" w:rsidR="000F3643" w:rsidRDefault="000563AC">
            <w:pPr>
              <w:kinsoku w:val="0"/>
              <w:overflowPunct w:val="0"/>
              <w:autoSpaceDE w:val="0"/>
              <w:autoSpaceDN w:val="0"/>
              <w:adjustRightInd w:val="0"/>
              <w:snapToGrid w:val="0"/>
              <w:jc w:val="center"/>
              <w:rPr>
                <w:szCs w:val="21"/>
              </w:rPr>
            </w:pPr>
            <w:r>
              <w:rPr>
                <w:rFonts w:hint="eastAsia"/>
                <w:szCs w:val="21"/>
              </w:rPr>
              <w:t>股票代码</w:t>
            </w:r>
          </w:p>
        </w:tc>
        <w:tc>
          <w:tcPr>
            <w:tcW w:w="1000" w:type="pct"/>
            <w:tcBorders>
              <w:top w:val="single" w:sz="4" w:space="0" w:color="auto"/>
              <w:left w:val="single" w:sz="4" w:space="0" w:color="auto"/>
              <w:bottom w:val="single" w:sz="4" w:space="0" w:color="auto"/>
            </w:tcBorders>
          </w:tcPr>
          <w:p w14:paraId="32895A8D" w14:textId="77777777" w:rsidR="000F3643" w:rsidRDefault="000563AC">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tr>
      <w:tr w:rsidR="000F3643" w14:paraId="1084BF3D" w14:textId="77777777" w:rsidTr="00051708">
        <w:trPr>
          <w:trHeight w:val="293"/>
        </w:trPr>
        <w:tc>
          <w:tcPr>
            <w:tcW w:w="1000" w:type="pct"/>
            <w:tcBorders>
              <w:top w:val="single" w:sz="4" w:space="0" w:color="auto"/>
              <w:bottom w:val="single" w:sz="4" w:space="0" w:color="auto"/>
              <w:right w:val="single" w:sz="4" w:space="0" w:color="auto"/>
            </w:tcBorders>
          </w:tcPr>
          <w:p w14:paraId="397DB851" w14:textId="77777777" w:rsidR="000F3643" w:rsidRDefault="000563AC" w:rsidP="001247D4">
            <w:pPr>
              <w:kinsoku w:val="0"/>
              <w:overflowPunct w:val="0"/>
              <w:autoSpaceDE w:val="0"/>
              <w:autoSpaceDN w:val="0"/>
              <w:adjustRightInd w:val="0"/>
              <w:snapToGrid w:val="0"/>
              <w:jc w:val="center"/>
              <w:rPr>
                <w:color w:val="FFC000"/>
                <w:szCs w:val="21"/>
              </w:rPr>
            </w:pPr>
            <w:r>
              <w:rPr>
                <w:rFonts w:hint="eastAsia"/>
                <w:szCs w:val="21"/>
              </w:rPr>
              <w:t>人民币普通股</w:t>
            </w:r>
          </w:p>
        </w:tc>
        <w:tc>
          <w:tcPr>
            <w:tcW w:w="1000" w:type="pct"/>
            <w:tcBorders>
              <w:top w:val="single" w:sz="4" w:space="0" w:color="auto"/>
              <w:left w:val="single" w:sz="4" w:space="0" w:color="auto"/>
              <w:bottom w:val="single" w:sz="4" w:space="0" w:color="auto"/>
              <w:right w:val="single" w:sz="4" w:space="0" w:color="auto"/>
            </w:tcBorders>
          </w:tcPr>
          <w:p w14:paraId="2714D81D" w14:textId="77777777" w:rsidR="000F3643" w:rsidRDefault="000563AC" w:rsidP="001247D4">
            <w:pPr>
              <w:kinsoku w:val="0"/>
              <w:overflowPunct w:val="0"/>
              <w:autoSpaceDE w:val="0"/>
              <w:autoSpaceDN w:val="0"/>
              <w:adjustRightInd w:val="0"/>
              <w:snapToGrid w:val="0"/>
              <w:jc w:val="center"/>
              <w:rPr>
                <w:color w:val="FFC000"/>
                <w:szCs w:val="21"/>
              </w:rPr>
            </w:pPr>
            <w:r>
              <w:rPr>
                <w:rFonts w:hint="eastAsia"/>
                <w:szCs w:val="21"/>
              </w:rPr>
              <w:t>上海证券交易所</w:t>
            </w:r>
          </w:p>
        </w:tc>
        <w:tc>
          <w:tcPr>
            <w:tcW w:w="1000" w:type="pct"/>
            <w:tcBorders>
              <w:top w:val="single" w:sz="4" w:space="0" w:color="auto"/>
              <w:left w:val="single" w:sz="4" w:space="0" w:color="auto"/>
              <w:bottom w:val="single" w:sz="4" w:space="0" w:color="auto"/>
              <w:right w:val="single" w:sz="4" w:space="0" w:color="auto"/>
            </w:tcBorders>
          </w:tcPr>
          <w:p w14:paraId="65B39E75" w14:textId="77777777" w:rsidR="000F3643" w:rsidRDefault="000563AC" w:rsidP="001247D4">
            <w:pPr>
              <w:kinsoku w:val="0"/>
              <w:overflowPunct w:val="0"/>
              <w:autoSpaceDE w:val="0"/>
              <w:autoSpaceDN w:val="0"/>
              <w:adjustRightInd w:val="0"/>
              <w:snapToGrid w:val="0"/>
              <w:jc w:val="center"/>
              <w:rPr>
                <w:color w:val="FFC000"/>
                <w:szCs w:val="21"/>
              </w:rPr>
            </w:pPr>
            <w:proofErr w:type="gramStart"/>
            <w:r>
              <w:rPr>
                <w:rFonts w:hint="eastAsia"/>
                <w:szCs w:val="21"/>
              </w:rPr>
              <w:t>望变电气</w:t>
            </w:r>
            <w:proofErr w:type="gramEnd"/>
          </w:p>
        </w:tc>
        <w:tc>
          <w:tcPr>
            <w:tcW w:w="1000" w:type="pct"/>
            <w:tcBorders>
              <w:top w:val="single" w:sz="4" w:space="0" w:color="auto"/>
              <w:left w:val="single" w:sz="4" w:space="0" w:color="auto"/>
              <w:bottom w:val="single" w:sz="4" w:space="0" w:color="auto"/>
              <w:right w:val="single" w:sz="4" w:space="0" w:color="auto"/>
            </w:tcBorders>
          </w:tcPr>
          <w:p w14:paraId="36D2EB1C" w14:textId="77777777" w:rsidR="000F3643" w:rsidRDefault="000563AC" w:rsidP="001247D4">
            <w:pPr>
              <w:kinsoku w:val="0"/>
              <w:overflowPunct w:val="0"/>
              <w:autoSpaceDE w:val="0"/>
              <w:autoSpaceDN w:val="0"/>
              <w:adjustRightInd w:val="0"/>
              <w:snapToGrid w:val="0"/>
              <w:jc w:val="center"/>
              <w:rPr>
                <w:color w:val="FFC000"/>
                <w:szCs w:val="21"/>
              </w:rPr>
            </w:pPr>
            <w:r>
              <w:rPr>
                <w:rFonts w:hint="eastAsia"/>
                <w:szCs w:val="21"/>
              </w:rPr>
              <w:t>603191</w:t>
            </w:r>
          </w:p>
        </w:tc>
        <w:tc>
          <w:tcPr>
            <w:tcW w:w="1000" w:type="pct"/>
            <w:tcBorders>
              <w:top w:val="single" w:sz="4" w:space="0" w:color="auto"/>
              <w:left w:val="single" w:sz="4" w:space="0" w:color="auto"/>
              <w:bottom w:val="single" w:sz="4" w:space="0" w:color="auto"/>
            </w:tcBorders>
          </w:tcPr>
          <w:p w14:paraId="54926DA2" w14:textId="77777777" w:rsidR="000F3643" w:rsidRDefault="000563AC" w:rsidP="001247D4">
            <w:pPr>
              <w:kinsoku w:val="0"/>
              <w:overflowPunct w:val="0"/>
              <w:autoSpaceDE w:val="0"/>
              <w:autoSpaceDN w:val="0"/>
              <w:adjustRightInd w:val="0"/>
              <w:snapToGrid w:val="0"/>
              <w:jc w:val="center"/>
              <w:rPr>
                <w:color w:val="FFC000"/>
                <w:szCs w:val="21"/>
              </w:rPr>
            </w:pPr>
            <w:r>
              <w:rPr>
                <w:rFonts w:hint="eastAsia"/>
                <w:szCs w:val="21"/>
              </w:rPr>
              <w:t>无</w:t>
            </w:r>
          </w:p>
        </w:tc>
      </w:tr>
    </w:tbl>
    <w:p w14:paraId="4FA94367" w14:textId="77777777" w:rsidR="000F3643" w:rsidRDefault="000F3643"/>
    <w:tbl>
      <w:tblPr>
        <w:tblStyle w:val="a7"/>
        <w:tblW w:w="4940" w:type="pct"/>
        <w:tblInd w:w="108" w:type="dxa"/>
        <w:tblLook w:val="04A0" w:firstRow="1" w:lastRow="0" w:firstColumn="1" w:lastColumn="0" w:noHBand="0" w:noVBand="1"/>
      </w:tblPr>
      <w:tblGrid>
        <w:gridCol w:w="2836"/>
        <w:gridCol w:w="2943"/>
        <w:gridCol w:w="2937"/>
      </w:tblGrid>
      <w:tr w:rsidR="000F3643" w14:paraId="357730F2" w14:textId="77777777" w:rsidTr="00051708">
        <w:tc>
          <w:tcPr>
            <w:tcW w:w="1627" w:type="pct"/>
          </w:tcPr>
          <w:p w14:paraId="2B8BA1C2" w14:textId="77777777" w:rsidR="000F3643" w:rsidRDefault="000563AC">
            <w:pPr>
              <w:kinsoku w:val="0"/>
              <w:overflowPunct w:val="0"/>
              <w:autoSpaceDE w:val="0"/>
              <w:autoSpaceDN w:val="0"/>
              <w:adjustRightInd w:val="0"/>
              <w:snapToGrid w:val="0"/>
              <w:jc w:val="center"/>
              <w:rPr>
                <w:szCs w:val="21"/>
              </w:rPr>
            </w:pPr>
            <w:r>
              <w:rPr>
                <w:rFonts w:cs="宋体" w:hint="eastAsia"/>
                <w:szCs w:val="21"/>
              </w:rPr>
              <w:t>联系人和联系方式</w:t>
            </w:r>
          </w:p>
        </w:tc>
        <w:tc>
          <w:tcPr>
            <w:tcW w:w="1688" w:type="pct"/>
          </w:tcPr>
          <w:p w14:paraId="26C95310" w14:textId="77777777" w:rsidR="000F3643" w:rsidRDefault="000563AC">
            <w:pPr>
              <w:kinsoku w:val="0"/>
              <w:overflowPunct w:val="0"/>
              <w:autoSpaceDE w:val="0"/>
              <w:autoSpaceDN w:val="0"/>
              <w:adjustRightInd w:val="0"/>
              <w:snapToGrid w:val="0"/>
              <w:jc w:val="center"/>
              <w:rPr>
                <w:szCs w:val="21"/>
              </w:rPr>
            </w:pPr>
            <w:r>
              <w:rPr>
                <w:rFonts w:cs="宋体" w:hint="eastAsia"/>
                <w:szCs w:val="21"/>
              </w:rPr>
              <w:t>董事会秘书</w:t>
            </w:r>
          </w:p>
        </w:tc>
        <w:tc>
          <w:tcPr>
            <w:tcW w:w="1685" w:type="pct"/>
          </w:tcPr>
          <w:p w14:paraId="14846083" w14:textId="77777777" w:rsidR="000F3643" w:rsidRDefault="000563AC">
            <w:pPr>
              <w:kinsoku w:val="0"/>
              <w:overflowPunct w:val="0"/>
              <w:autoSpaceDE w:val="0"/>
              <w:autoSpaceDN w:val="0"/>
              <w:adjustRightInd w:val="0"/>
              <w:snapToGrid w:val="0"/>
              <w:jc w:val="center"/>
              <w:rPr>
                <w:szCs w:val="21"/>
              </w:rPr>
            </w:pPr>
            <w:r>
              <w:rPr>
                <w:rFonts w:cs="宋体" w:hint="eastAsia"/>
                <w:szCs w:val="21"/>
              </w:rPr>
              <w:t>证券事务代表</w:t>
            </w:r>
          </w:p>
        </w:tc>
      </w:tr>
      <w:tr w:rsidR="000F3643" w14:paraId="13123349" w14:textId="77777777" w:rsidTr="00051708">
        <w:tc>
          <w:tcPr>
            <w:tcW w:w="1627" w:type="pct"/>
          </w:tcPr>
          <w:p w14:paraId="389D85F6" w14:textId="77777777" w:rsidR="000F3643" w:rsidRDefault="000563AC">
            <w:pPr>
              <w:kinsoku w:val="0"/>
              <w:overflowPunct w:val="0"/>
              <w:autoSpaceDE w:val="0"/>
              <w:autoSpaceDN w:val="0"/>
              <w:adjustRightInd w:val="0"/>
              <w:snapToGrid w:val="0"/>
              <w:jc w:val="center"/>
              <w:rPr>
                <w:szCs w:val="21"/>
              </w:rPr>
            </w:pPr>
            <w:r>
              <w:rPr>
                <w:rFonts w:cs="宋体" w:hint="eastAsia"/>
                <w:szCs w:val="21"/>
              </w:rPr>
              <w:t>姓名</w:t>
            </w:r>
          </w:p>
        </w:tc>
        <w:tc>
          <w:tcPr>
            <w:tcW w:w="1688" w:type="pct"/>
          </w:tcPr>
          <w:p w14:paraId="0E29043D" w14:textId="77777777" w:rsidR="000F3643" w:rsidRDefault="000563AC">
            <w:pPr>
              <w:kinsoku w:val="0"/>
              <w:overflowPunct w:val="0"/>
              <w:autoSpaceDE w:val="0"/>
              <w:autoSpaceDN w:val="0"/>
              <w:adjustRightInd w:val="0"/>
              <w:snapToGrid w:val="0"/>
              <w:jc w:val="left"/>
              <w:rPr>
                <w:szCs w:val="21"/>
              </w:rPr>
            </w:pPr>
            <w:proofErr w:type="gramStart"/>
            <w:r>
              <w:rPr>
                <w:szCs w:val="21"/>
              </w:rPr>
              <w:t>李代萍</w:t>
            </w:r>
            <w:proofErr w:type="gramEnd"/>
          </w:p>
        </w:tc>
        <w:tc>
          <w:tcPr>
            <w:tcW w:w="1685" w:type="pct"/>
          </w:tcPr>
          <w:p w14:paraId="569451C7" w14:textId="77777777" w:rsidR="000F3643" w:rsidRDefault="000563AC">
            <w:pPr>
              <w:kinsoku w:val="0"/>
              <w:overflowPunct w:val="0"/>
              <w:autoSpaceDE w:val="0"/>
              <w:autoSpaceDN w:val="0"/>
              <w:adjustRightInd w:val="0"/>
              <w:snapToGrid w:val="0"/>
              <w:jc w:val="left"/>
              <w:rPr>
                <w:szCs w:val="21"/>
              </w:rPr>
            </w:pPr>
            <w:r>
              <w:rPr>
                <w:szCs w:val="21"/>
              </w:rPr>
              <w:t>雷雯亦</w:t>
            </w:r>
          </w:p>
        </w:tc>
      </w:tr>
      <w:tr w:rsidR="000F3643" w14:paraId="68BD1D4F" w14:textId="77777777" w:rsidTr="00051708">
        <w:tc>
          <w:tcPr>
            <w:tcW w:w="1627" w:type="pct"/>
          </w:tcPr>
          <w:p w14:paraId="3C4631E4" w14:textId="77777777" w:rsidR="000F3643" w:rsidRDefault="000563AC">
            <w:pPr>
              <w:kinsoku w:val="0"/>
              <w:overflowPunct w:val="0"/>
              <w:autoSpaceDE w:val="0"/>
              <w:autoSpaceDN w:val="0"/>
              <w:adjustRightInd w:val="0"/>
              <w:snapToGrid w:val="0"/>
              <w:jc w:val="center"/>
              <w:rPr>
                <w:szCs w:val="21"/>
              </w:rPr>
            </w:pPr>
            <w:r>
              <w:rPr>
                <w:rFonts w:hint="eastAsia"/>
                <w:szCs w:val="21"/>
              </w:rPr>
              <w:t>电话</w:t>
            </w:r>
          </w:p>
        </w:tc>
        <w:tc>
          <w:tcPr>
            <w:tcW w:w="1688" w:type="pct"/>
          </w:tcPr>
          <w:p w14:paraId="6BF4BE69" w14:textId="77777777" w:rsidR="000F3643" w:rsidRDefault="000563AC">
            <w:pPr>
              <w:kinsoku w:val="0"/>
              <w:overflowPunct w:val="0"/>
              <w:autoSpaceDE w:val="0"/>
              <w:autoSpaceDN w:val="0"/>
              <w:adjustRightInd w:val="0"/>
              <w:snapToGrid w:val="0"/>
              <w:jc w:val="left"/>
              <w:rPr>
                <w:szCs w:val="21"/>
              </w:rPr>
            </w:pPr>
            <w:r>
              <w:rPr>
                <w:szCs w:val="21"/>
              </w:rPr>
              <w:t>023-40615383</w:t>
            </w:r>
          </w:p>
        </w:tc>
        <w:tc>
          <w:tcPr>
            <w:tcW w:w="1685" w:type="pct"/>
          </w:tcPr>
          <w:p w14:paraId="2739A008" w14:textId="77777777" w:rsidR="000F3643" w:rsidRDefault="000563AC">
            <w:pPr>
              <w:kinsoku w:val="0"/>
              <w:overflowPunct w:val="0"/>
              <w:autoSpaceDE w:val="0"/>
              <w:autoSpaceDN w:val="0"/>
              <w:adjustRightInd w:val="0"/>
              <w:snapToGrid w:val="0"/>
              <w:jc w:val="left"/>
              <w:rPr>
                <w:szCs w:val="21"/>
              </w:rPr>
            </w:pPr>
            <w:r>
              <w:rPr>
                <w:szCs w:val="21"/>
              </w:rPr>
              <w:t>023-67538525</w:t>
            </w:r>
          </w:p>
        </w:tc>
      </w:tr>
      <w:tr w:rsidR="000F3643" w14:paraId="49B9619E" w14:textId="77777777" w:rsidTr="00051708">
        <w:tc>
          <w:tcPr>
            <w:tcW w:w="1627" w:type="pct"/>
          </w:tcPr>
          <w:p w14:paraId="3A1A47B3" w14:textId="77777777" w:rsidR="000F3643" w:rsidRDefault="000563AC">
            <w:pPr>
              <w:kinsoku w:val="0"/>
              <w:overflowPunct w:val="0"/>
              <w:autoSpaceDE w:val="0"/>
              <w:autoSpaceDN w:val="0"/>
              <w:adjustRightInd w:val="0"/>
              <w:snapToGrid w:val="0"/>
              <w:jc w:val="center"/>
              <w:rPr>
                <w:szCs w:val="21"/>
              </w:rPr>
            </w:pPr>
            <w:r>
              <w:rPr>
                <w:rFonts w:hint="eastAsia"/>
                <w:szCs w:val="21"/>
              </w:rPr>
              <w:t>办公地址</w:t>
            </w:r>
          </w:p>
        </w:tc>
        <w:tc>
          <w:tcPr>
            <w:tcW w:w="1688" w:type="pct"/>
          </w:tcPr>
          <w:p w14:paraId="1D3D7C5D" w14:textId="77777777" w:rsidR="000F3643" w:rsidRDefault="000563AC">
            <w:pPr>
              <w:kinsoku w:val="0"/>
              <w:overflowPunct w:val="0"/>
              <w:autoSpaceDE w:val="0"/>
              <w:autoSpaceDN w:val="0"/>
              <w:adjustRightInd w:val="0"/>
              <w:snapToGrid w:val="0"/>
              <w:jc w:val="left"/>
              <w:rPr>
                <w:szCs w:val="21"/>
              </w:rPr>
            </w:pPr>
            <w:r>
              <w:rPr>
                <w:szCs w:val="21"/>
              </w:rPr>
              <w:t>重庆市长寿区晏家街道齐心东路</w:t>
            </w:r>
            <w:r>
              <w:rPr>
                <w:szCs w:val="21"/>
              </w:rPr>
              <w:t>10</w:t>
            </w:r>
            <w:r>
              <w:rPr>
                <w:szCs w:val="21"/>
              </w:rPr>
              <w:t>号</w:t>
            </w:r>
          </w:p>
        </w:tc>
        <w:tc>
          <w:tcPr>
            <w:tcW w:w="1685" w:type="pct"/>
          </w:tcPr>
          <w:p w14:paraId="5AD8C98F" w14:textId="77777777" w:rsidR="000F3643" w:rsidRDefault="000563AC">
            <w:pPr>
              <w:kinsoku w:val="0"/>
              <w:overflowPunct w:val="0"/>
              <w:autoSpaceDE w:val="0"/>
              <w:autoSpaceDN w:val="0"/>
              <w:adjustRightInd w:val="0"/>
              <w:snapToGrid w:val="0"/>
              <w:jc w:val="left"/>
              <w:rPr>
                <w:szCs w:val="21"/>
              </w:rPr>
            </w:pPr>
            <w:r>
              <w:rPr>
                <w:szCs w:val="21"/>
              </w:rPr>
              <w:t>重庆市江北区江北城街道江北城西大街</w:t>
            </w:r>
            <w:r>
              <w:rPr>
                <w:szCs w:val="21"/>
              </w:rPr>
              <w:t>3</w:t>
            </w:r>
            <w:r>
              <w:rPr>
                <w:szCs w:val="21"/>
              </w:rPr>
              <w:t>号交通银行大厦</w:t>
            </w:r>
            <w:r>
              <w:rPr>
                <w:szCs w:val="21"/>
              </w:rPr>
              <w:t>12</w:t>
            </w:r>
            <w:r>
              <w:rPr>
                <w:szCs w:val="21"/>
              </w:rPr>
              <w:t>楼</w:t>
            </w:r>
          </w:p>
        </w:tc>
      </w:tr>
      <w:tr w:rsidR="000F3643" w14:paraId="7F6B2631" w14:textId="77777777" w:rsidTr="00051708">
        <w:tc>
          <w:tcPr>
            <w:tcW w:w="1627" w:type="pct"/>
          </w:tcPr>
          <w:p w14:paraId="67E2CF1A" w14:textId="77777777" w:rsidR="000F3643" w:rsidRDefault="000563AC">
            <w:pPr>
              <w:kinsoku w:val="0"/>
              <w:overflowPunct w:val="0"/>
              <w:autoSpaceDE w:val="0"/>
              <w:autoSpaceDN w:val="0"/>
              <w:adjustRightInd w:val="0"/>
              <w:snapToGrid w:val="0"/>
              <w:jc w:val="center"/>
              <w:rPr>
                <w:szCs w:val="21"/>
              </w:rPr>
            </w:pPr>
            <w:r>
              <w:rPr>
                <w:rFonts w:hint="eastAsia"/>
                <w:szCs w:val="21"/>
              </w:rPr>
              <w:t>电子信箱</w:t>
            </w:r>
          </w:p>
        </w:tc>
        <w:tc>
          <w:tcPr>
            <w:tcW w:w="1688" w:type="pct"/>
          </w:tcPr>
          <w:p w14:paraId="032FF715" w14:textId="77777777" w:rsidR="000F3643" w:rsidRDefault="000563AC">
            <w:pPr>
              <w:kinsoku w:val="0"/>
              <w:overflowPunct w:val="0"/>
              <w:autoSpaceDE w:val="0"/>
              <w:autoSpaceDN w:val="0"/>
              <w:adjustRightInd w:val="0"/>
              <w:snapToGrid w:val="0"/>
              <w:jc w:val="left"/>
              <w:rPr>
                <w:szCs w:val="21"/>
              </w:rPr>
            </w:pPr>
            <w:r>
              <w:rPr>
                <w:szCs w:val="21"/>
              </w:rPr>
              <w:t>lidaiping@cqwbdq.com</w:t>
            </w:r>
          </w:p>
        </w:tc>
        <w:tc>
          <w:tcPr>
            <w:tcW w:w="1685" w:type="pct"/>
          </w:tcPr>
          <w:p w14:paraId="6226A3EA" w14:textId="77777777" w:rsidR="000F3643" w:rsidRDefault="000563AC">
            <w:pPr>
              <w:kinsoku w:val="0"/>
              <w:overflowPunct w:val="0"/>
              <w:autoSpaceDE w:val="0"/>
              <w:autoSpaceDN w:val="0"/>
              <w:adjustRightInd w:val="0"/>
              <w:snapToGrid w:val="0"/>
              <w:jc w:val="left"/>
              <w:rPr>
                <w:szCs w:val="21"/>
              </w:rPr>
            </w:pPr>
            <w:r>
              <w:rPr>
                <w:szCs w:val="21"/>
              </w:rPr>
              <w:t>leiwenyi@cqwbdq.com</w:t>
            </w:r>
          </w:p>
        </w:tc>
      </w:tr>
    </w:tbl>
    <w:p w14:paraId="4CA52301" w14:textId="42025F6F" w:rsidR="000F3643" w:rsidRDefault="000F3643">
      <w:pPr>
        <w:kinsoku w:val="0"/>
        <w:overflowPunct w:val="0"/>
        <w:autoSpaceDE w:val="0"/>
        <w:autoSpaceDN w:val="0"/>
        <w:adjustRightInd w:val="0"/>
        <w:snapToGrid w:val="0"/>
        <w:rPr>
          <w:szCs w:val="21"/>
        </w:rPr>
      </w:pPr>
    </w:p>
    <w:p w14:paraId="763CCB48" w14:textId="64526EF1" w:rsidR="000F3643" w:rsidRDefault="000563AC">
      <w:pPr>
        <w:pStyle w:val="20"/>
        <w:numPr>
          <w:ilvl w:val="0"/>
          <w:numId w:val="23"/>
        </w:numPr>
        <w:spacing w:before="0" w:after="0" w:line="360" w:lineRule="auto"/>
        <w:ind w:left="0" w:firstLine="0"/>
        <w:rPr>
          <w:rFonts w:ascii="Times New Roman" w:hAnsi="Times New Roman"/>
        </w:rPr>
      </w:pPr>
      <w:r>
        <w:rPr>
          <w:rFonts w:ascii="Times New Roman" w:hAnsi="Times New Roman" w:hint="eastAsia"/>
        </w:rPr>
        <w:t>主要财务数据</w:t>
      </w:r>
    </w:p>
    <w:p w14:paraId="63709E16" w14:textId="77777777" w:rsidR="000F3643" w:rsidRDefault="000563AC">
      <w:pPr>
        <w:jc w:val="right"/>
        <w:rPr>
          <w:szCs w:val="21"/>
        </w:rPr>
      </w:pPr>
      <w:r>
        <w:rPr>
          <w:rFonts w:hint="eastAsia"/>
          <w:szCs w:val="21"/>
        </w:rPr>
        <w:t>单位：万元</w:t>
      </w:r>
      <w:r>
        <w:rPr>
          <w:rFonts w:hint="eastAsia"/>
          <w:szCs w:val="21"/>
        </w:rPr>
        <w:t xml:space="preserve">  </w:t>
      </w:r>
      <w:r>
        <w:rPr>
          <w:rFonts w:hint="eastAsia"/>
          <w:szCs w:val="21"/>
        </w:rPr>
        <w:t>币种：人民币</w:t>
      </w:r>
    </w:p>
    <w:p w14:paraId="7DC5E15F" w14:textId="77777777" w:rsidR="000F3643" w:rsidRDefault="000F3643"/>
    <w:tbl>
      <w:tblPr>
        <w:tblStyle w:val="a7"/>
        <w:tblW w:w="5000" w:type="pct"/>
        <w:tblLook w:val="04A0" w:firstRow="1" w:lastRow="0" w:firstColumn="1" w:lastColumn="0" w:noHBand="0" w:noVBand="1"/>
      </w:tblPr>
      <w:tblGrid>
        <w:gridCol w:w="2048"/>
        <w:gridCol w:w="2213"/>
        <w:gridCol w:w="2213"/>
        <w:gridCol w:w="2348"/>
      </w:tblGrid>
      <w:tr w:rsidR="000F3643" w14:paraId="2BC20E9C" w14:textId="77777777" w:rsidTr="00523D5B">
        <w:tc>
          <w:tcPr>
            <w:tcW w:w="1161" w:type="pct"/>
            <w:vAlign w:val="center"/>
          </w:tcPr>
          <w:p w14:paraId="055FD259" w14:textId="77777777" w:rsidR="000F3643" w:rsidRDefault="000F3643">
            <w:pPr>
              <w:kinsoku w:val="0"/>
              <w:overflowPunct w:val="0"/>
              <w:autoSpaceDE w:val="0"/>
              <w:autoSpaceDN w:val="0"/>
              <w:adjustRightInd w:val="0"/>
              <w:snapToGrid w:val="0"/>
              <w:jc w:val="center"/>
              <w:rPr>
                <w:szCs w:val="21"/>
              </w:rPr>
            </w:pPr>
          </w:p>
        </w:tc>
        <w:tc>
          <w:tcPr>
            <w:tcW w:w="1254" w:type="pct"/>
            <w:vAlign w:val="center"/>
          </w:tcPr>
          <w:p w14:paraId="481550CF" w14:textId="77777777" w:rsidR="000F3643" w:rsidRDefault="000563AC">
            <w:pPr>
              <w:kinsoku w:val="0"/>
              <w:overflowPunct w:val="0"/>
              <w:autoSpaceDE w:val="0"/>
              <w:autoSpaceDN w:val="0"/>
              <w:adjustRightInd w:val="0"/>
              <w:snapToGrid w:val="0"/>
              <w:jc w:val="center"/>
              <w:rPr>
                <w:szCs w:val="21"/>
              </w:rPr>
            </w:pPr>
            <w:r>
              <w:t>本报告期末</w:t>
            </w:r>
          </w:p>
        </w:tc>
        <w:tc>
          <w:tcPr>
            <w:tcW w:w="1254" w:type="pct"/>
            <w:vAlign w:val="center"/>
          </w:tcPr>
          <w:p w14:paraId="74CA030B" w14:textId="77777777" w:rsidR="000F3643" w:rsidRDefault="000563AC">
            <w:pPr>
              <w:kinsoku w:val="0"/>
              <w:overflowPunct w:val="0"/>
              <w:autoSpaceDE w:val="0"/>
              <w:autoSpaceDN w:val="0"/>
              <w:adjustRightInd w:val="0"/>
              <w:snapToGrid w:val="0"/>
              <w:jc w:val="center"/>
              <w:rPr>
                <w:szCs w:val="21"/>
              </w:rPr>
            </w:pPr>
            <w:r>
              <w:t>上年度末</w:t>
            </w:r>
          </w:p>
        </w:tc>
        <w:tc>
          <w:tcPr>
            <w:tcW w:w="1331" w:type="pct"/>
            <w:vAlign w:val="center"/>
          </w:tcPr>
          <w:p w14:paraId="04E3A1C7" w14:textId="77777777" w:rsidR="000F3643" w:rsidRDefault="000563AC">
            <w:pPr>
              <w:kinsoku w:val="0"/>
              <w:overflowPunct w:val="0"/>
              <w:autoSpaceDE w:val="0"/>
              <w:autoSpaceDN w:val="0"/>
              <w:adjustRightInd w:val="0"/>
              <w:snapToGrid w:val="0"/>
              <w:jc w:val="center"/>
              <w:rPr>
                <w:szCs w:val="21"/>
              </w:rPr>
            </w:pPr>
            <w:r>
              <w:t>本报告期末比上年度末增减</w:t>
            </w:r>
            <w:r>
              <w:t>(%)</w:t>
            </w:r>
          </w:p>
        </w:tc>
      </w:tr>
      <w:tr w:rsidR="000F3643" w14:paraId="70047C99" w14:textId="77777777" w:rsidTr="00523D5B">
        <w:tc>
          <w:tcPr>
            <w:tcW w:w="1161" w:type="pct"/>
            <w:vAlign w:val="center"/>
          </w:tcPr>
          <w:p w14:paraId="4EB73CCE" w14:textId="77777777" w:rsidR="000F3643" w:rsidRDefault="000563AC">
            <w:pPr>
              <w:kinsoku w:val="0"/>
              <w:overflowPunct w:val="0"/>
              <w:autoSpaceDE w:val="0"/>
              <w:autoSpaceDN w:val="0"/>
              <w:adjustRightInd w:val="0"/>
              <w:snapToGrid w:val="0"/>
              <w:rPr>
                <w:szCs w:val="21"/>
              </w:rPr>
            </w:pPr>
            <w:r>
              <w:rPr>
                <w:rFonts w:cs="宋体" w:hint="eastAsia"/>
                <w:szCs w:val="21"/>
              </w:rPr>
              <w:t>总资产</w:t>
            </w:r>
          </w:p>
        </w:tc>
        <w:tc>
          <w:tcPr>
            <w:tcW w:w="1254" w:type="pct"/>
            <w:vAlign w:val="center"/>
          </w:tcPr>
          <w:p w14:paraId="66A48546" w14:textId="7A15A222" w:rsidR="000F3643" w:rsidRDefault="000563AC" w:rsidP="001247D4">
            <w:pPr>
              <w:kinsoku w:val="0"/>
              <w:overflowPunct w:val="0"/>
              <w:autoSpaceDE w:val="0"/>
              <w:autoSpaceDN w:val="0"/>
              <w:adjustRightInd w:val="0"/>
              <w:snapToGrid w:val="0"/>
              <w:jc w:val="right"/>
              <w:rPr>
                <w:szCs w:val="21"/>
              </w:rPr>
            </w:pPr>
            <w:r>
              <w:rPr>
                <w:szCs w:val="21"/>
              </w:rPr>
              <w:t>676,362.20</w:t>
            </w:r>
          </w:p>
        </w:tc>
        <w:tc>
          <w:tcPr>
            <w:tcW w:w="1254" w:type="pct"/>
            <w:vAlign w:val="center"/>
          </w:tcPr>
          <w:p w14:paraId="5099B17C" w14:textId="77777777" w:rsidR="000F3643" w:rsidRDefault="000563AC">
            <w:pPr>
              <w:kinsoku w:val="0"/>
              <w:overflowPunct w:val="0"/>
              <w:autoSpaceDE w:val="0"/>
              <w:autoSpaceDN w:val="0"/>
              <w:adjustRightInd w:val="0"/>
              <w:snapToGrid w:val="0"/>
              <w:jc w:val="right"/>
              <w:rPr>
                <w:szCs w:val="21"/>
              </w:rPr>
            </w:pPr>
            <w:r>
              <w:rPr>
                <w:szCs w:val="21"/>
              </w:rPr>
              <w:t>6</w:t>
            </w:r>
            <w:r>
              <w:rPr>
                <w:szCs w:val="21"/>
              </w:rPr>
              <w:t>53,194.89</w:t>
            </w:r>
          </w:p>
        </w:tc>
        <w:tc>
          <w:tcPr>
            <w:tcW w:w="1331" w:type="pct"/>
            <w:vAlign w:val="center"/>
          </w:tcPr>
          <w:p w14:paraId="333AC0D5" w14:textId="77777777" w:rsidR="000F3643" w:rsidRDefault="000563AC">
            <w:pPr>
              <w:kinsoku w:val="0"/>
              <w:overflowPunct w:val="0"/>
              <w:autoSpaceDE w:val="0"/>
              <w:autoSpaceDN w:val="0"/>
              <w:adjustRightInd w:val="0"/>
              <w:snapToGrid w:val="0"/>
              <w:jc w:val="right"/>
              <w:rPr>
                <w:szCs w:val="21"/>
              </w:rPr>
            </w:pPr>
            <w:r>
              <w:rPr>
                <w:szCs w:val="21"/>
              </w:rPr>
              <w:t>3.55</w:t>
            </w:r>
          </w:p>
        </w:tc>
      </w:tr>
      <w:tr w:rsidR="000F3643" w14:paraId="131315B5" w14:textId="77777777" w:rsidTr="00523D5B">
        <w:tc>
          <w:tcPr>
            <w:tcW w:w="1161" w:type="pct"/>
            <w:vAlign w:val="center"/>
          </w:tcPr>
          <w:p w14:paraId="772CF5E3" w14:textId="77777777" w:rsidR="000F3643" w:rsidRDefault="000563AC">
            <w:pPr>
              <w:kinsoku w:val="0"/>
              <w:overflowPunct w:val="0"/>
              <w:autoSpaceDE w:val="0"/>
              <w:autoSpaceDN w:val="0"/>
              <w:adjustRightInd w:val="0"/>
              <w:snapToGrid w:val="0"/>
              <w:rPr>
                <w:szCs w:val="21"/>
              </w:rPr>
            </w:pPr>
            <w:r>
              <w:rPr>
                <w:rFonts w:cs="宋体" w:hint="eastAsia"/>
                <w:szCs w:val="21"/>
              </w:rPr>
              <w:t>归属于上市公司股东的净资产</w:t>
            </w:r>
          </w:p>
        </w:tc>
        <w:tc>
          <w:tcPr>
            <w:tcW w:w="1254" w:type="pct"/>
            <w:vAlign w:val="center"/>
          </w:tcPr>
          <w:p w14:paraId="12E1EC7F" w14:textId="2AF9FDF2" w:rsidR="000F3643" w:rsidRDefault="000563AC" w:rsidP="001247D4">
            <w:pPr>
              <w:kinsoku w:val="0"/>
              <w:overflowPunct w:val="0"/>
              <w:autoSpaceDE w:val="0"/>
              <w:autoSpaceDN w:val="0"/>
              <w:adjustRightInd w:val="0"/>
              <w:snapToGrid w:val="0"/>
              <w:jc w:val="right"/>
              <w:rPr>
                <w:szCs w:val="21"/>
              </w:rPr>
            </w:pPr>
            <w:r>
              <w:rPr>
                <w:szCs w:val="21"/>
              </w:rPr>
              <w:t>248,130.65</w:t>
            </w:r>
          </w:p>
        </w:tc>
        <w:tc>
          <w:tcPr>
            <w:tcW w:w="1254" w:type="pct"/>
            <w:vAlign w:val="center"/>
          </w:tcPr>
          <w:p w14:paraId="003A6E53" w14:textId="77777777" w:rsidR="000F3643" w:rsidRDefault="000563AC">
            <w:pPr>
              <w:kinsoku w:val="0"/>
              <w:overflowPunct w:val="0"/>
              <w:autoSpaceDE w:val="0"/>
              <w:autoSpaceDN w:val="0"/>
              <w:adjustRightInd w:val="0"/>
              <w:snapToGrid w:val="0"/>
              <w:jc w:val="right"/>
              <w:rPr>
                <w:szCs w:val="21"/>
              </w:rPr>
            </w:pPr>
            <w:r>
              <w:rPr>
                <w:szCs w:val="21"/>
              </w:rPr>
              <w:t>2</w:t>
            </w:r>
            <w:r>
              <w:rPr>
                <w:szCs w:val="21"/>
              </w:rPr>
              <w:t>41,324.33</w:t>
            </w:r>
          </w:p>
        </w:tc>
        <w:tc>
          <w:tcPr>
            <w:tcW w:w="1331" w:type="pct"/>
            <w:vAlign w:val="center"/>
          </w:tcPr>
          <w:p w14:paraId="5CA723BE" w14:textId="77777777" w:rsidR="000F3643" w:rsidRDefault="000563AC">
            <w:pPr>
              <w:kinsoku w:val="0"/>
              <w:overflowPunct w:val="0"/>
              <w:autoSpaceDE w:val="0"/>
              <w:autoSpaceDN w:val="0"/>
              <w:adjustRightInd w:val="0"/>
              <w:snapToGrid w:val="0"/>
              <w:jc w:val="right"/>
              <w:rPr>
                <w:szCs w:val="21"/>
              </w:rPr>
            </w:pPr>
            <w:r>
              <w:rPr>
                <w:szCs w:val="21"/>
              </w:rPr>
              <w:t>2.82</w:t>
            </w:r>
          </w:p>
        </w:tc>
      </w:tr>
      <w:tr w:rsidR="000F3643" w14:paraId="00045546" w14:textId="77777777" w:rsidTr="00523D5B">
        <w:tc>
          <w:tcPr>
            <w:tcW w:w="1161" w:type="pct"/>
            <w:vAlign w:val="center"/>
          </w:tcPr>
          <w:p w14:paraId="5E346EE9" w14:textId="77777777" w:rsidR="000F3643" w:rsidRDefault="000F3643">
            <w:pPr>
              <w:kinsoku w:val="0"/>
              <w:overflowPunct w:val="0"/>
              <w:autoSpaceDE w:val="0"/>
              <w:autoSpaceDN w:val="0"/>
              <w:adjustRightInd w:val="0"/>
              <w:snapToGrid w:val="0"/>
              <w:jc w:val="center"/>
              <w:rPr>
                <w:szCs w:val="21"/>
              </w:rPr>
            </w:pPr>
          </w:p>
        </w:tc>
        <w:tc>
          <w:tcPr>
            <w:tcW w:w="1254" w:type="pct"/>
            <w:vAlign w:val="center"/>
          </w:tcPr>
          <w:p w14:paraId="5050FFF6" w14:textId="165B0487" w:rsidR="000F3643" w:rsidRDefault="000563AC">
            <w:pPr>
              <w:kinsoku w:val="0"/>
              <w:overflowPunct w:val="0"/>
              <w:autoSpaceDE w:val="0"/>
              <w:autoSpaceDN w:val="0"/>
              <w:adjustRightInd w:val="0"/>
              <w:snapToGrid w:val="0"/>
              <w:jc w:val="center"/>
              <w:rPr>
                <w:szCs w:val="21"/>
              </w:rPr>
            </w:pPr>
            <w:r>
              <w:rPr>
                <w:rFonts w:hint="eastAsia"/>
                <w:szCs w:val="21"/>
              </w:rPr>
              <w:t>本报告期</w:t>
            </w:r>
          </w:p>
        </w:tc>
        <w:tc>
          <w:tcPr>
            <w:tcW w:w="1254" w:type="pct"/>
            <w:vAlign w:val="center"/>
          </w:tcPr>
          <w:p w14:paraId="4E785A5B" w14:textId="77777777" w:rsidR="000F3643" w:rsidRDefault="000563AC">
            <w:pPr>
              <w:kinsoku w:val="0"/>
              <w:overflowPunct w:val="0"/>
              <w:autoSpaceDE w:val="0"/>
              <w:autoSpaceDN w:val="0"/>
              <w:adjustRightInd w:val="0"/>
              <w:snapToGrid w:val="0"/>
              <w:jc w:val="center"/>
              <w:rPr>
                <w:szCs w:val="21"/>
              </w:rPr>
            </w:pPr>
            <w:r>
              <w:rPr>
                <w:rFonts w:hint="eastAsia"/>
                <w:szCs w:val="21"/>
              </w:rPr>
              <w:t>上年同期</w:t>
            </w:r>
          </w:p>
        </w:tc>
        <w:tc>
          <w:tcPr>
            <w:tcW w:w="1331" w:type="pct"/>
            <w:vAlign w:val="center"/>
          </w:tcPr>
          <w:p w14:paraId="7A2F34AA" w14:textId="77777777" w:rsidR="000F3643" w:rsidRDefault="000563AC">
            <w:pPr>
              <w:kinsoku w:val="0"/>
              <w:overflowPunct w:val="0"/>
              <w:autoSpaceDE w:val="0"/>
              <w:autoSpaceDN w:val="0"/>
              <w:adjustRightInd w:val="0"/>
              <w:snapToGrid w:val="0"/>
              <w:jc w:val="center"/>
              <w:rPr>
                <w:szCs w:val="21"/>
              </w:rPr>
            </w:pPr>
            <w:r>
              <w:t>本报告期比上年同期增减</w:t>
            </w:r>
            <w:r>
              <w:t>(%)</w:t>
            </w:r>
          </w:p>
        </w:tc>
      </w:tr>
      <w:tr w:rsidR="000F3643" w14:paraId="52C8BCBE" w14:textId="77777777" w:rsidTr="00523D5B">
        <w:tc>
          <w:tcPr>
            <w:tcW w:w="1161" w:type="pct"/>
            <w:vAlign w:val="center"/>
          </w:tcPr>
          <w:p w14:paraId="4148071E" w14:textId="77777777" w:rsidR="000F3643" w:rsidRDefault="000563AC">
            <w:pPr>
              <w:kinsoku w:val="0"/>
              <w:overflowPunct w:val="0"/>
              <w:autoSpaceDE w:val="0"/>
              <w:autoSpaceDN w:val="0"/>
              <w:adjustRightInd w:val="0"/>
              <w:snapToGrid w:val="0"/>
              <w:rPr>
                <w:szCs w:val="21"/>
              </w:rPr>
            </w:pPr>
            <w:r>
              <w:rPr>
                <w:rFonts w:cs="宋体" w:hint="eastAsia"/>
                <w:szCs w:val="21"/>
              </w:rPr>
              <w:t>营业收入</w:t>
            </w:r>
          </w:p>
        </w:tc>
        <w:tc>
          <w:tcPr>
            <w:tcW w:w="1254" w:type="pct"/>
            <w:vAlign w:val="center"/>
          </w:tcPr>
          <w:p w14:paraId="0345D595" w14:textId="53EA939E" w:rsidR="000F3643" w:rsidRDefault="000563AC" w:rsidP="001247D4">
            <w:pPr>
              <w:kinsoku w:val="0"/>
              <w:overflowPunct w:val="0"/>
              <w:autoSpaceDE w:val="0"/>
              <w:autoSpaceDN w:val="0"/>
              <w:adjustRightInd w:val="0"/>
              <w:snapToGrid w:val="0"/>
              <w:jc w:val="right"/>
              <w:rPr>
                <w:szCs w:val="21"/>
              </w:rPr>
            </w:pPr>
            <w:r>
              <w:rPr>
                <w:szCs w:val="21"/>
              </w:rPr>
              <w:t>183,598.3</w:t>
            </w:r>
            <w:r w:rsidR="001247D4">
              <w:rPr>
                <w:szCs w:val="21"/>
              </w:rPr>
              <w:t>1</w:t>
            </w:r>
          </w:p>
        </w:tc>
        <w:tc>
          <w:tcPr>
            <w:tcW w:w="1254" w:type="pct"/>
            <w:vAlign w:val="center"/>
          </w:tcPr>
          <w:p w14:paraId="291F61A3" w14:textId="1E0F2A94" w:rsidR="000F3643" w:rsidRDefault="000563AC" w:rsidP="001247D4">
            <w:pPr>
              <w:kinsoku w:val="0"/>
              <w:overflowPunct w:val="0"/>
              <w:autoSpaceDE w:val="0"/>
              <w:autoSpaceDN w:val="0"/>
              <w:adjustRightInd w:val="0"/>
              <w:snapToGrid w:val="0"/>
              <w:jc w:val="right"/>
              <w:rPr>
                <w:szCs w:val="21"/>
              </w:rPr>
            </w:pPr>
            <w:r>
              <w:rPr>
                <w:szCs w:val="21"/>
              </w:rPr>
              <w:t>142,539.5</w:t>
            </w:r>
            <w:r w:rsidR="001247D4">
              <w:rPr>
                <w:szCs w:val="21"/>
              </w:rPr>
              <w:t>4</w:t>
            </w:r>
          </w:p>
        </w:tc>
        <w:tc>
          <w:tcPr>
            <w:tcW w:w="1331" w:type="pct"/>
            <w:vAlign w:val="center"/>
          </w:tcPr>
          <w:p w14:paraId="33F18003" w14:textId="77777777" w:rsidR="000F3643" w:rsidRDefault="000563AC">
            <w:pPr>
              <w:kinsoku w:val="0"/>
              <w:overflowPunct w:val="0"/>
              <w:autoSpaceDE w:val="0"/>
              <w:autoSpaceDN w:val="0"/>
              <w:adjustRightInd w:val="0"/>
              <w:snapToGrid w:val="0"/>
              <w:jc w:val="right"/>
              <w:rPr>
                <w:szCs w:val="21"/>
              </w:rPr>
            </w:pPr>
            <w:r>
              <w:rPr>
                <w:szCs w:val="21"/>
              </w:rPr>
              <w:t>2</w:t>
            </w:r>
            <w:r>
              <w:rPr>
                <w:szCs w:val="21"/>
              </w:rPr>
              <w:t>8.81</w:t>
            </w:r>
          </w:p>
        </w:tc>
      </w:tr>
      <w:tr w:rsidR="000F3643" w14:paraId="32A0E918" w14:textId="77777777" w:rsidTr="00523D5B">
        <w:tc>
          <w:tcPr>
            <w:tcW w:w="1161" w:type="pct"/>
            <w:vAlign w:val="center"/>
          </w:tcPr>
          <w:p w14:paraId="6EA8FB8B" w14:textId="796B5D6A" w:rsidR="000F3643" w:rsidRDefault="000563AC">
            <w:pPr>
              <w:kinsoku w:val="0"/>
              <w:overflowPunct w:val="0"/>
              <w:autoSpaceDE w:val="0"/>
              <w:autoSpaceDN w:val="0"/>
              <w:adjustRightInd w:val="0"/>
              <w:snapToGrid w:val="0"/>
            </w:pPr>
            <w:r>
              <w:rPr>
                <w:rFonts w:hint="eastAsia"/>
              </w:rPr>
              <w:lastRenderedPageBreak/>
              <w:t>利润总额</w:t>
            </w:r>
          </w:p>
        </w:tc>
        <w:tc>
          <w:tcPr>
            <w:tcW w:w="1254" w:type="pct"/>
            <w:vAlign w:val="center"/>
          </w:tcPr>
          <w:p w14:paraId="63C70126" w14:textId="44FF7598" w:rsidR="000F3643" w:rsidRDefault="000563AC" w:rsidP="001247D4">
            <w:pPr>
              <w:kinsoku w:val="0"/>
              <w:overflowPunct w:val="0"/>
              <w:autoSpaceDE w:val="0"/>
              <w:autoSpaceDN w:val="0"/>
              <w:adjustRightInd w:val="0"/>
              <w:snapToGrid w:val="0"/>
              <w:jc w:val="right"/>
              <w:rPr>
                <w:szCs w:val="21"/>
              </w:rPr>
            </w:pPr>
            <w:r>
              <w:rPr>
                <w:szCs w:val="21"/>
              </w:rPr>
              <w:t>6,979.19</w:t>
            </w:r>
          </w:p>
        </w:tc>
        <w:tc>
          <w:tcPr>
            <w:tcW w:w="1254" w:type="pct"/>
            <w:vAlign w:val="center"/>
          </w:tcPr>
          <w:p w14:paraId="6484002B" w14:textId="06B406DF" w:rsidR="000F3643" w:rsidRDefault="000563AC" w:rsidP="001247D4">
            <w:pPr>
              <w:kinsoku w:val="0"/>
              <w:overflowPunct w:val="0"/>
              <w:autoSpaceDE w:val="0"/>
              <w:autoSpaceDN w:val="0"/>
              <w:adjustRightInd w:val="0"/>
              <w:snapToGrid w:val="0"/>
              <w:jc w:val="right"/>
              <w:rPr>
                <w:szCs w:val="21"/>
              </w:rPr>
            </w:pPr>
            <w:r>
              <w:rPr>
                <w:szCs w:val="21"/>
              </w:rPr>
              <w:t>3,975.1</w:t>
            </w:r>
            <w:r w:rsidR="001247D4">
              <w:rPr>
                <w:szCs w:val="21"/>
              </w:rPr>
              <w:t>2</w:t>
            </w:r>
          </w:p>
        </w:tc>
        <w:tc>
          <w:tcPr>
            <w:tcW w:w="1331" w:type="pct"/>
            <w:vAlign w:val="center"/>
          </w:tcPr>
          <w:p w14:paraId="37076B01" w14:textId="44DF4F51" w:rsidR="000F3643" w:rsidRDefault="000563AC">
            <w:pPr>
              <w:kinsoku w:val="0"/>
              <w:overflowPunct w:val="0"/>
              <w:autoSpaceDE w:val="0"/>
              <w:autoSpaceDN w:val="0"/>
              <w:adjustRightInd w:val="0"/>
              <w:snapToGrid w:val="0"/>
              <w:jc w:val="right"/>
              <w:rPr>
                <w:szCs w:val="21"/>
              </w:rPr>
            </w:pPr>
            <w:r>
              <w:rPr>
                <w:szCs w:val="21"/>
              </w:rPr>
              <w:t>7</w:t>
            </w:r>
            <w:r>
              <w:rPr>
                <w:szCs w:val="21"/>
              </w:rPr>
              <w:t>5.57</w:t>
            </w:r>
          </w:p>
        </w:tc>
      </w:tr>
      <w:tr w:rsidR="000F3643" w14:paraId="07826B72" w14:textId="77777777" w:rsidTr="00523D5B">
        <w:tc>
          <w:tcPr>
            <w:tcW w:w="1161" w:type="pct"/>
            <w:vAlign w:val="center"/>
          </w:tcPr>
          <w:p w14:paraId="79FDB410" w14:textId="77777777" w:rsidR="000F3643" w:rsidRDefault="000563AC">
            <w:pPr>
              <w:kinsoku w:val="0"/>
              <w:overflowPunct w:val="0"/>
              <w:autoSpaceDE w:val="0"/>
              <w:autoSpaceDN w:val="0"/>
              <w:adjustRightInd w:val="0"/>
              <w:snapToGrid w:val="0"/>
              <w:rPr>
                <w:szCs w:val="21"/>
              </w:rPr>
            </w:pPr>
            <w:r>
              <w:rPr>
                <w:rFonts w:cs="宋体" w:hint="eastAsia"/>
                <w:szCs w:val="21"/>
              </w:rPr>
              <w:t>归属于上市公司股东的净利润</w:t>
            </w:r>
          </w:p>
        </w:tc>
        <w:tc>
          <w:tcPr>
            <w:tcW w:w="1254" w:type="pct"/>
            <w:vAlign w:val="center"/>
          </w:tcPr>
          <w:p w14:paraId="14F1D15C" w14:textId="4378425F" w:rsidR="000F3643" w:rsidRDefault="000563AC" w:rsidP="001247D4">
            <w:pPr>
              <w:kinsoku w:val="0"/>
              <w:overflowPunct w:val="0"/>
              <w:autoSpaceDE w:val="0"/>
              <w:autoSpaceDN w:val="0"/>
              <w:adjustRightInd w:val="0"/>
              <w:snapToGrid w:val="0"/>
              <w:jc w:val="right"/>
              <w:rPr>
                <w:szCs w:val="21"/>
              </w:rPr>
            </w:pPr>
            <w:r>
              <w:rPr>
                <w:szCs w:val="21"/>
              </w:rPr>
              <w:t>5,463.22</w:t>
            </w:r>
          </w:p>
        </w:tc>
        <w:tc>
          <w:tcPr>
            <w:tcW w:w="1254" w:type="pct"/>
            <w:vAlign w:val="center"/>
          </w:tcPr>
          <w:p w14:paraId="1BF98087" w14:textId="77971A8A" w:rsidR="000F3643" w:rsidRDefault="000563AC" w:rsidP="001247D4">
            <w:pPr>
              <w:kinsoku w:val="0"/>
              <w:overflowPunct w:val="0"/>
              <w:autoSpaceDE w:val="0"/>
              <w:autoSpaceDN w:val="0"/>
              <w:adjustRightInd w:val="0"/>
              <w:snapToGrid w:val="0"/>
              <w:jc w:val="right"/>
              <w:rPr>
                <w:szCs w:val="21"/>
              </w:rPr>
            </w:pPr>
            <w:r>
              <w:rPr>
                <w:szCs w:val="21"/>
              </w:rPr>
              <w:t>3,479.32</w:t>
            </w:r>
          </w:p>
        </w:tc>
        <w:tc>
          <w:tcPr>
            <w:tcW w:w="1331" w:type="pct"/>
            <w:vAlign w:val="center"/>
          </w:tcPr>
          <w:p w14:paraId="4DC4872B" w14:textId="77777777" w:rsidR="000F3643" w:rsidRDefault="000563AC">
            <w:pPr>
              <w:kinsoku w:val="0"/>
              <w:overflowPunct w:val="0"/>
              <w:autoSpaceDE w:val="0"/>
              <w:autoSpaceDN w:val="0"/>
              <w:adjustRightInd w:val="0"/>
              <w:snapToGrid w:val="0"/>
              <w:jc w:val="right"/>
              <w:rPr>
                <w:szCs w:val="21"/>
              </w:rPr>
            </w:pPr>
            <w:r>
              <w:rPr>
                <w:szCs w:val="21"/>
              </w:rPr>
              <w:t>5</w:t>
            </w:r>
            <w:r>
              <w:rPr>
                <w:szCs w:val="21"/>
              </w:rPr>
              <w:t>7.02</w:t>
            </w:r>
          </w:p>
        </w:tc>
      </w:tr>
      <w:tr w:rsidR="000F3643" w14:paraId="7291D60C" w14:textId="77777777" w:rsidTr="00523D5B">
        <w:tc>
          <w:tcPr>
            <w:tcW w:w="1161" w:type="pct"/>
            <w:vAlign w:val="center"/>
          </w:tcPr>
          <w:p w14:paraId="31609A54" w14:textId="77777777" w:rsidR="000F3643" w:rsidRDefault="000563AC">
            <w:pPr>
              <w:kinsoku w:val="0"/>
              <w:overflowPunct w:val="0"/>
              <w:autoSpaceDE w:val="0"/>
              <w:autoSpaceDN w:val="0"/>
              <w:adjustRightInd w:val="0"/>
              <w:snapToGrid w:val="0"/>
              <w:rPr>
                <w:szCs w:val="21"/>
              </w:rPr>
            </w:pPr>
            <w:r>
              <w:rPr>
                <w:rFonts w:cs="宋体" w:hint="eastAsia"/>
                <w:szCs w:val="21"/>
              </w:rPr>
              <w:t>归属于上市公司股东的扣除非经常性损益的净利润</w:t>
            </w:r>
          </w:p>
        </w:tc>
        <w:tc>
          <w:tcPr>
            <w:tcW w:w="1254" w:type="pct"/>
            <w:vAlign w:val="center"/>
          </w:tcPr>
          <w:p w14:paraId="620D5EE8" w14:textId="77777777" w:rsidR="000F3643" w:rsidRDefault="000563AC">
            <w:pPr>
              <w:kinsoku w:val="0"/>
              <w:overflowPunct w:val="0"/>
              <w:autoSpaceDE w:val="0"/>
              <w:autoSpaceDN w:val="0"/>
              <w:adjustRightInd w:val="0"/>
              <w:snapToGrid w:val="0"/>
              <w:jc w:val="right"/>
              <w:rPr>
                <w:szCs w:val="21"/>
              </w:rPr>
            </w:pPr>
            <w:r>
              <w:rPr>
                <w:szCs w:val="21"/>
              </w:rPr>
              <w:t>4,921.56</w:t>
            </w:r>
          </w:p>
        </w:tc>
        <w:tc>
          <w:tcPr>
            <w:tcW w:w="1254" w:type="pct"/>
            <w:vAlign w:val="center"/>
          </w:tcPr>
          <w:p w14:paraId="35FED4AE" w14:textId="77777777" w:rsidR="000F3643" w:rsidRDefault="000563AC">
            <w:pPr>
              <w:kinsoku w:val="0"/>
              <w:overflowPunct w:val="0"/>
              <w:autoSpaceDE w:val="0"/>
              <w:autoSpaceDN w:val="0"/>
              <w:adjustRightInd w:val="0"/>
              <w:snapToGrid w:val="0"/>
              <w:jc w:val="right"/>
              <w:rPr>
                <w:szCs w:val="21"/>
              </w:rPr>
            </w:pPr>
            <w:r>
              <w:rPr>
                <w:szCs w:val="21"/>
              </w:rPr>
              <w:t>1,654.89</w:t>
            </w:r>
          </w:p>
        </w:tc>
        <w:tc>
          <w:tcPr>
            <w:tcW w:w="1331" w:type="pct"/>
            <w:vAlign w:val="center"/>
          </w:tcPr>
          <w:p w14:paraId="0C31EE5B" w14:textId="77777777" w:rsidR="000F3643" w:rsidRDefault="000563AC">
            <w:pPr>
              <w:kinsoku w:val="0"/>
              <w:overflowPunct w:val="0"/>
              <w:autoSpaceDE w:val="0"/>
              <w:autoSpaceDN w:val="0"/>
              <w:adjustRightInd w:val="0"/>
              <w:snapToGrid w:val="0"/>
              <w:jc w:val="right"/>
              <w:rPr>
                <w:szCs w:val="21"/>
              </w:rPr>
            </w:pPr>
            <w:r>
              <w:rPr>
                <w:szCs w:val="21"/>
              </w:rPr>
              <w:t>197.39</w:t>
            </w:r>
          </w:p>
        </w:tc>
      </w:tr>
      <w:tr w:rsidR="000F3643" w14:paraId="3CB06D28" w14:textId="77777777" w:rsidTr="00523D5B">
        <w:tc>
          <w:tcPr>
            <w:tcW w:w="1161" w:type="pct"/>
            <w:vAlign w:val="center"/>
          </w:tcPr>
          <w:p w14:paraId="5FCD8504" w14:textId="77777777" w:rsidR="000F3643" w:rsidRDefault="000563AC">
            <w:pPr>
              <w:kinsoku w:val="0"/>
              <w:overflowPunct w:val="0"/>
              <w:autoSpaceDE w:val="0"/>
              <w:autoSpaceDN w:val="0"/>
              <w:adjustRightInd w:val="0"/>
              <w:snapToGrid w:val="0"/>
              <w:rPr>
                <w:szCs w:val="21"/>
              </w:rPr>
            </w:pPr>
            <w:r>
              <w:rPr>
                <w:rFonts w:cs="宋体" w:hint="eastAsia"/>
                <w:szCs w:val="21"/>
              </w:rPr>
              <w:t>经营活动产生的现金流量净额</w:t>
            </w:r>
          </w:p>
        </w:tc>
        <w:tc>
          <w:tcPr>
            <w:tcW w:w="1254" w:type="pct"/>
            <w:vAlign w:val="center"/>
          </w:tcPr>
          <w:p w14:paraId="6A74D1A1" w14:textId="4D1116D1" w:rsidR="000F3643" w:rsidRDefault="000563AC" w:rsidP="001247D4">
            <w:pPr>
              <w:kinsoku w:val="0"/>
              <w:overflowPunct w:val="0"/>
              <w:autoSpaceDE w:val="0"/>
              <w:autoSpaceDN w:val="0"/>
              <w:adjustRightInd w:val="0"/>
              <w:snapToGrid w:val="0"/>
              <w:jc w:val="right"/>
              <w:rPr>
                <w:szCs w:val="21"/>
              </w:rPr>
            </w:pPr>
            <w:r>
              <w:rPr>
                <w:szCs w:val="21"/>
              </w:rPr>
              <w:t>1,983.1</w:t>
            </w:r>
            <w:r w:rsidR="001247D4">
              <w:rPr>
                <w:szCs w:val="21"/>
              </w:rPr>
              <w:t>2</w:t>
            </w:r>
          </w:p>
        </w:tc>
        <w:tc>
          <w:tcPr>
            <w:tcW w:w="1254" w:type="pct"/>
            <w:vAlign w:val="center"/>
          </w:tcPr>
          <w:p w14:paraId="1E9AEBE6" w14:textId="147EFC03" w:rsidR="000F3643" w:rsidRDefault="000563AC" w:rsidP="001247D4">
            <w:pPr>
              <w:kinsoku w:val="0"/>
              <w:overflowPunct w:val="0"/>
              <w:autoSpaceDE w:val="0"/>
              <w:autoSpaceDN w:val="0"/>
              <w:adjustRightInd w:val="0"/>
              <w:snapToGrid w:val="0"/>
              <w:jc w:val="right"/>
              <w:rPr>
                <w:szCs w:val="21"/>
              </w:rPr>
            </w:pPr>
            <w:r>
              <w:rPr>
                <w:szCs w:val="21"/>
              </w:rPr>
              <w:t>-29,537.1</w:t>
            </w:r>
            <w:r w:rsidR="001247D4">
              <w:rPr>
                <w:szCs w:val="21"/>
              </w:rPr>
              <w:t>7</w:t>
            </w:r>
          </w:p>
        </w:tc>
        <w:tc>
          <w:tcPr>
            <w:tcW w:w="1331" w:type="pct"/>
            <w:vAlign w:val="center"/>
          </w:tcPr>
          <w:p w14:paraId="3858AB4D" w14:textId="77777777" w:rsidR="000F3643" w:rsidRDefault="000563AC">
            <w:pPr>
              <w:kinsoku w:val="0"/>
              <w:overflowPunct w:val="0"/>
              <w:autoSpaceDE w:val="0"/>
              <w:autoSpaceDN w:val="0"/>
              <w:adjustRightInd w:val="0"/>
              <w:snapToGrid w:val="0"/>
              <w:jc w:val="right"/>
              <w:rPr>
                <w:szCs w:val="21"/>
              </w:rPr>
            </w:pPr>
            <w:r>
              <w:rPr>
                <w:szCs w:val="21"/>
              </w:rPr>
              <w:t>不</w:t>
            </w:r>
            <w:r>
              <w:rPr>
                <w:szCs w:val="21"/>
              </w:rPr>
              <w:t>适用</w:t>
            </w:r>
          </w:p>
        </w:tc>
      </w:tr>
      <w:tr w:rsidR="000F3643" w14:paraId="2AC7277A" w14:textId="77777777" w:rsidTr="00523D5B">
        <w:tc>
          <w:tcPr>
            <w:tcW w:w="1161" w:type="pct"/>
            <w:vAlign w:val="center"/>
          </w:tcPr>
          <w:p w14:paraId="57587C9C" w14:textId="77777777" w:rsidR="000F3643" w:rsidRDefault="000563AC">
            <w:pPr>
              <w:kinsoku w:val="0"/>
              <w:overflowPunct w:val="0"/>
              <w:autoSpaceDE w:val="0"/>
              <w:autoSpaceDN w:val="0"/>
              <w:adjustRightInd w:val="0"/>
              <w:snapToGrid w:val="0"/>
              <w:rPr>
                <w:szCs w:val="21"/>
              </w:rPr>
            </w:pPr>
            <w:r>
              <w:rPr>
                <w:rFonts w:cs="宋体" w:hint="eastAsia"/>
                <w:szCs w:val="21"/>
              </w:rPr>
              <w:t>加权平均净资产收益率（</w:t>
            </w:r>
            <w:r>
              <w:rPr>
                <w:rFonts w:cs="宋体"/>
                <w:szCs w:val="21"/>
              </w:rPr>
              <w:t>%</w:t>
            </w:r>
            <w:r>
              <w:rPr>
                <w:rFonts w:cs="宋体" w:hint="eastAsia"/>
                <w:szCs w:val="21"/>
              </w:rPr>
              <w:t>）</w:t>
            </w:r>
          </w:p>
        </w:tc>
        <w:tc>
          <w:tcPr>
            <w:tcW w:w="1254" w:type="pct"/>
            <w:vAlign w:val="center"/>
          </w:tcPr>
          <w:p w14:paraId="78B147C8" w14:textId="77777777" w:rsidR="000F3643" w:rsidRDefault="000563AC">
            <w:pPr>
              <w:kinsoku w:val="0"/>
              <w:overflowPunct w:val="0"/>
              <w:autoSpaceDE w:val="0"/>
              <w:autoSpaceDN w:val="0"/>
              <w:adjustRightInd w:val="0"/>
              <w:snapToGrid w:val="0"/>
              <w:jc w:val="right"/>
              <w:rPr>
                <w:szCs w:val="21"/>
              </w:rPr>
            </w:pPr>
            <w:r>
              <w:rPr>
                <w:szCs w:val="21"/>
              </w:rPr>
              <w:t>2.24</w:t>
            </w:r>
          </w:p>
        </w:tc>
        <w:tc>
          <w:tcPr>
            <w:tcW w:w="1254" w:type="pct"/>
            <w:vAlign w:val="center"/>
          </w:tcPr>
          <w:p w14:paraId="441BBF10" w14:textId="77777777" w:rsidR="000F3643" w:rsidRDefault="000563AC">
            <w:pPr>
              <w:kinsoku w:val="0"/>
              <w:overflowPunct w:val="0"/>
              <w:autoSpaceDE w:val="0"/>
              <w:autoSpaceDN w:val="0"/>
              <w:adjustRightInd w:val="0"/>
              <w:snapToGrid w:val="0"/>
              <w:jc w:val="right"/>
              <w:rPr>
                <w:szCs w:val="21"/>
              </w:rPr>
            </w:pPr>
            <w:r>
              <w:rPr>
                <w:szCs w:val="21"/>
              </w:rPr>
              <w:t>1.44</w:t>
            </w:r>
          </w:p>
        </w:tc>
        <w:tc>
          <w:tcPr>
            <w:tcW w:w="1331" w:type="pct"/>
            <w:vAlign w:val="center"/>
          </w:tcPr>
          <w:p w14:paraId="777DA8F1" w14:textId="77777777" w:rsidR="000F3643" w:rsidRDefault="000563AC">
            <w:pPr>
              <w:kinsoku w:val="0"/>
              <w:overflowPunct w:val="0"/>
              <w:autoSpaceDE w:val="0"/>
              <w:autoSpaceDN w:val="0"/>
              <w:adjustRightInd w:val="0"/>
              <w:snapToGrid w:val="0"/>
              <w:jc w:val="right"/>
              <w:rPr>
                <w:szCs w:val="21"/>
              </w:rPr>
            </w:pPr>
            <w:r>
              <w:rPr>
                <w:szCs w:val="21"/>
              </w:rPr>
              <w:t>增加</w:t>
            </w:r>
            <w:r>
              <w:rPr>
                <w:szCs w:val="21"/>
              </w:rPr>
              <w:t>0.80</w:t>
            </w:r>
            <w:r>
              <w:rPr>
                <w:szCs w:val="21"/>
              </w:rPr>
              <w:t>个百分点</w:t>
            </w:r>
          </w:p>
        </w:tc>
      </w:tr>
      <w:tr w:rsidR="000F3643" w14:paraId="70135644" w14:textId="77777777" w:rsidTr="00523D5B">
        <w:tc>
          <w:tcPr>
            <w:tcW w:w="1161" w:type="pct"/>
            <w:vAlign w:val="center"/>
          </w:tcPr>
          <w:p w14:paraId="35424BF6" w14:textId="77777777" w:rsidR="000F3643" w:rsidRDefault="000563AC">
            <w:pPr>
              <w:kinsoku w:val="0"/>
              <w:overflowPunct w:val="0"/>
              <w:autoSpaceDE w:val="0"/>
              <w:autoSpaceDN w:val="0"/>
              <w:adjustRightInd w:val="0"/>
              <w:snapToGrid w:val="0"/>
              <w:rPr>
                <w:szCs w:val="21"/>
              </w:rPr>
            </w:pPr>
            <w:r>
              <w:rPr>
                <w:rFonts w:cs="宋体" w:hint="eastAsia"/>
                <w:szCs w:val="21"/>
              </w:rPr>
              <w:t>基本每股收益（元／股）</w:t>
            </w:r>
          </w:p>
        </w:tc>
        <w:tc>
          <w:tcPr>
            <w:tcW w:w="1254" w:type="pct"/>
            <w:vAlign w:val="center"/>
          </w:tcPr>
          <w:p w14:paraId="4B68F1A3" w14:textId="77777777" w:rsidR="000F3643" w:rsidRDefault="000563AC">
            <w:pPr>
              <w:kinsoku w:val="0"/>
              <w:overflowPunct w:val="0"/>
              <w:autoSpaceDE w:val="0"/>
              <w:autoSpaceDN w:val="0"/>
              <w:adjustRightInd w:val="0"/>
              <w:snapToGrid w:val="0"/>
              <w:jc w:val="right"/>
              <w:rPr>
                <w:szCs w:val="21"/>
              </w:rPr>
            </w:pPr>
            <w:r>
              <w:rPr>
                <w:szCs w:val="21"/>
              </w:rPr>
              <w:t>0.17</w:t>
            </w:r>
          </w:p>
        </w:tc>
        <w:tc>
          <w:tcPr>
            <w:tcW w:w="1254" w:type="pct"/>
            <w:vAlign w:val="center"/>
          </w:tcPr>
          <w:p w14:paraId="140AC8D1" w14:textId="77777777" w:rsidR="000F3643" w:rsidRDefault="000563AC">
            <w:pPr>
              <w:kinsoku w:val="0"/>
              <w:overflowPunct w:val="0"/>
              <w:autoSpaceDE w:val="0"/>
              <w:autoSpaceDN w:val="0"/>
              <w:adjustRightInd w:val="0"/>
              <w:snapToGrid w:val="0"/>
              <w:jc w:val="right"/>
              <w:rPr>
                <w:szCs w:val="21"/>
              </w:rPr>
            </w:pPr>
            <w:r>
              <w:rPr>
                <w:szCs w:val="21"/>
              </w:rPr>
              <w:t>0.11</w:t>
            </w:r>
          </w:p>
        </w:tc>
        <w:tc>
          <w:tcPr>
            <w:tcW w:w="1331" w:type="pct"/>
            <w:vAlign w:val="center"/>
          </w:tcPr>
          <w:p w14:paraId="7CC6C227" w14:textId="77777777" w:rsidR="000F3643" w:rsidRDefault="000563AC">
            <w:pPr>
              <w:kinsoku w:val="0"/>
              <w:overflowPunct w:val="0"/>
              <w:autoSpaceDE w:val="0"/>
              <w:autoSpaceDN w:val="0"/>
              <w:adjustRightInd w:val="0"/>
              <w:snapToGrid w:val="0"/>
              <w:jc w:val="right"/>
              <w:rPr>
                <w:szCs w:val="21"/>
              </w:rPr>
            </w:pPr>
            <w:r>
              <w:rPr>
                <w:szCs w:val="21"/>
              </w:rPr>
              <w:t>54.55</w:t>
            </w:r>
          </w:p>
        </w:tc>
      </w:tr>
      <w:tr w:rsidR="000F3643" w14:paraId="2A01B9AA" w14:textId="77777777" w:rsidTr="00523D5B">
        <w:tc>
          <w:tcPr>
            <w:tcW w:w="1161" w:type="pct"/>
            <w:vAlign w:val="center"/>
          </w:tcPr>
          <w:p w14:paraId="30E15189" w14:textId="77777777" w:rsidR="000F3643" w:rsidRDefault="000563AC">
            <w:pPr>
              <w:kinsoku w:val="0"/>
              <w:overflowPunct w:val="0"/>
              <w:autoSpaceDE w:val="0"/>
              <w:autoSpaceDN w:val="0"/>
              <w:adjustRightInd w:val="0"/>
              <w:snapToGrid w:val="0"/>
              <w:rPr>
                <w:szCs w:val="21"/>
              </w:rPr>
            </w:pPr>
            <w:r>
              <w:rPr>
                <w:rFonts w:cs="宋体" w:hint="eastAsia"/>
                <w:szCs w:val="21"/>
              </w:rPr>
              <w:t>稀释每股收益（元／股）</w:t>
            </w:r>
          </w:p>
        </w:tc>
        <w:tc>
          <w:tcPr>
            <w:tcW w:w="1254" w:type="pct"/>
            <w:vAlign w:val="center"/>
          </w:tcPr>
          <w:p w14:paraId="4F01BEB9" w14:textId="77777777" w:rsidR="000F3643" w:rsidRDefault="000563AC">
            <w:pPr>
              <w:kinsoku w:val="0"/>
              <w:overflowPunct w:val="0"/>
              <w:autoSpaceDE w:val="0"/>
              <w:autoSpaceDN w:val="0"/>
              <w:adjustRightInd w:val="0"/>
              <w:snapToGrid w:val="0"/>
              <w:jc w:val="right"/>
              <w:rPr>
                <w:szCs w:val="21"/>
              </w:rPr>
            </w:pPr>
            <w:r>
              <w:rPr>
                <w:szCs w:val="21"/>
              </w:rPr>
              <w:t>0.17</w:t>
            </w:r>
          </w:p>
        </w:tc>
        <w:tc>
          <w:tcPr>
            <w:tcW w:w="1254" w:type="pct"/>
            <w:vAlign w:val="center"/>
          </w:tcPr>
          <w:p w14:paraId="10FEA3C4" w14:textId="77777777" w:rsidR="000F3643" w:rsidRDefault="000563AC">
            <w:pPr>
              <w:kinsoku w:val="0"/>
              <w:overflowPunct w:val="0"/>
              <w:autoSpaceDE w:val="0"/>
              <w:autoSpaceDN w:val="0"/>
              <w:adjustRightInd w:val="0"/>
              <w:snapToGrid w:val="0"/>
              <w:jc w:val="right"/>
              <w:rPr>
                <w:szCs w:val="21"/>
              </w:rPr>
            </w:pPr>
            <w:r>
              <w:rPr>
                <w:szCs w:val="21"/>
              </w:rPr>
              <w:t>0.11</w:t>
            </w:r>
          </w:p>
        </w:tc>
        <w:tc>
          <w:tcPr>
            <w:tcW w:w="1331" w:type="pct"/>
            <w:vAlign w:val="center"/>
          </w:tcPr>
          <w:p w14:paraId="13DD408A" w14:textId="77777777" w:rsidR="000F3643" w:rsidRDefault="000563AC">
            <w:pPr>
              <w:kinsoku w:val="0"/>
              <w:overflowPunct w:val="0"/>
              <w:autoSpaceDE w:val="0"/>
              <w:autoSpaceDN w:val="0"/>
              <w:adjustRightInd w:val="0"/>
              <w:snapToGrid w:val="0"/>
              <w:jc w:val="right"/>
              <w:rPr>
                <w:szCs w:val="21"/>
              </w:rPr>
            </w:pPr>
            <w:r>
              <w:rPr>
                <w:szCs w:val="21"/>
              </w:rPr>
              <w:t>54.55</w:t>
            </w:r>
          </w:p>
        </w:tc>
      </w:tr>
    </w:tbl>
    <w:p w14:paraId="1BA6A89D" w14:textId="12B67C29" w:rsidR="000F3643" w:rsidRDefault="000F3643"/>
    <w:p w14:paraId="7690586F" w14:textId="121DB22B" w:rsidR="000F3643" w:rsidRDefault="000F3643">
      <w:pPr>
        <w:kinsoku w:val="0"/>
        <w:overflowPunct w:val="0"/>
        <w:autoSpaceDE w:val="0"/>
        <w:autoSpaceDN w:val="0"/>
        <w:adjustRightInd w:val="0"/>
        <w:snapToGrid w:val="0"/>
        <w:rPr>
          <w:rFonts w:hint="eastAsia"/>
          <w:szCs w:val="21"/>
        </w:rPr>
      </w:pPr>
    </w:p>
    <w:p w14:paraId="03236832" w14:textId="16719D38" w:rsidR="000F3643" w:rsidRDefault="000563AC">
      <w:pPr>
        <w:pStyle w:val="20"/>
        <w:numPr>
          <w:ilvl w:val="0"/>
          <w:numId w:val="23"/>
        </w:numPr>
        <w:spacing w:before="0" w:after="0" w:line="360" w:lineRule="auto"/>
        <w:ind w:left="0" w:firstLine="0"/>
        <w:rPr>
          <w:rFonts w:ascii="Times New Roman" w:hAnsi="Times New Roman"/>
        </w:rPr>
      </w:pPr>
      <w:r>
        <w:rPr>
          <w:rFonts w:ascii="Times New Roman" w:hAnsi="Times New Roman"/>
        </w:rPr>
        <w:t>前</w:t>
      </w:r>
      <w:r>
        <w:rPr>
          <w:rFonts w:ascii="Times New Roman" w:hAnsi="Times New Roman" w:hint="eastAsia"/>
        </w:rPr>
        <w:t>1</w:t>
      </w:r>
      <w:r>
        <w:rPr>
          <w:rFonts w:ascii="Times New Roman" w:hAnsi="Times New Roman"/>
        </w:rPr>
        <w:t>0</w:t>
      </w:r>
      <w:r>
        <w:rPr>
          <w:rFonts w:ascii="Times New Roman" w:hAnsi="Times New Roman"/>
        </w:rPr>
        <w:t>名股东</w:t>
      </w:r>
      <w:r>
        <w:rPr>
          <w:rFonts w:ascii="Times New Roman" w:hAnsi="Times New Roman" w:hint="eastAsia"/>
        </w:rPr>
        <w:t>持股</w:t>
      </w:r>
      <w:r>
        <w:rPr>
          <w:rFonts w:ascii="Times New Roman" w:hAnsi="Times New Roman"/>
        </w:rPr>
        <w:t>情况表</w:t>
      </w:r>
    </w:p>
    <w:p w14:paraId="0060EFD4" w14:textId="77777777" w:rsidR="000F3643" w:rsidRDefault="000F3643">
      <w:pPr>
        <w:ind w:right="26"/>
        <w:rPr>
          <w:rFonts w:asciiTheme="majorEastAsia" w:eastAsiaTheme="majorEastAsia" w:hAnsiTheme="majorEastAsia"/>
        </w:rPr>
      </w:pPr>
    </w:p>
    <w:p w14:paraId="21DD4B32" w14:textId="77777777" w:rsidR="000F3643" w:rsidRDefault="000563AC">
      <w:pPr>
        <w:jc w:val="right"/>
        <w:rPr>
          <w:szCs w:val="21"/>
        </w:rPr>
      </w:pPr>
      <w:r>
        <w:rPr>
          <w:rFonts w:hint="eastAsia"/>
          <w:szCs w:val="21"/>
        </w:rPr>
        <w:t xml:space="preserve">                                                                  </w:t>
      </w:r>
      <w:r>
        <w:rPr>
          <w:rFonts w:hint="eastAsia"/>
          <w:szCs w:val="21"/>
        </w:rPr>
        <w:t>单位</w:t>
      </w:r>
      <w:r>
        <w:rPr>
          <w:rFonts w:hint="eastAsia"/>
          <w:szCs w:val="21"/>
        </w:rPr>
        <w:t xml:space="preserve">: </w:t>
      </w:r>
      <w:r>
        <w:rPr>
          <w:rFonts w:hint="eastAsia"/>
          <w:szCs w:val="21"/>
        </w:rPr>
        <w:t>股</w:t>
      </w:r>
    </w:p>
    <w:tbl>
      <w:tblPr>
        <w:tblStyle w:val="a7"/>
        <w:tblW w:w="5000" w:type="pct"/>
        <w:tblLook w:val="04A0" w:firstRow="1" w:lastRow="0" w:firstColumn="1" w:lastColumn="0" w:noHBand="0" w:noVBand="1"/>
      </w:tblPr>
      <w:tblGrid>
        <w:gridCol w:w="2730"/>
        <w:gridCol w:w="994"/>
        <w:gridCol w:w="966"/>
        <w:gridCol w:w="1161"/>
        <w:gridCol w:w="1137"/>
        <w:gridCol w:w="890"/>
        <w:gridCol w:w="944"/>
      </w:tblGrid>
      <w:tr w:rsidR="000F3643" w14:paraId="2C645EF7" w14:textId="77777777" w:rsidTr="00626E28">
        <w:tc>
          <w:tcPr>
            <w:tcW w:w="3249" w:type="pct"/>
            <w:gridSpan w:val="4"/>
          </w:tcPr>
          <w:p w14:paraId="419A89F6" w14:textId="6A2587E8" w:rsidR="000F3643" w:rsidRDefault="000563AC">
            <w:r>
              <w:rPr>
                <w:rFonts w:cs="宋体" w:hint="eastAsia"/>
                <w:szCs w:val="21"/>
              </w:rPr>
              <w:t>截至报告期末股东总数（户）</w:t>
            </w:r>
          </w:p>
        </w:tc>
        <w:tc>
          <w:tcPr>
            <w:tcW w:w="1751" w:type="pct"/>
            <w:gridSpan w:val="3"/>
          </w:tcPr>
          <w:p w14:paraId="60AB72EA" w14:textId="77777777" w:rsidR="000F3643" w:rsidRDefault="000563AC">
            <w:pPr>
              <w:jc w:val="right"/>
            </w:pPr>
            <w:r>
              <w:t>27,838</w:t>
            </w:r>
          </w:p>
        </w:tc>
      </w:tr>
      <w:tr w:rsidR="000F3643" w14:paraId="6E85B736" w14:textId="77777777" w:rsidTr="00626E28">
        <w:tc>
          <w:tcPr>
            <w:tcW w:w="3249" w:type="pct"/>
            <w:gridSpan w:val="4"/>
          </w:tcPr>
          <w:p w14:paraId="219BE90C" w14:textId="0B9583E7" w:rsidR="000F3643" w:rsidRDefault="000563AC">
            <w:pPr>
              <w:rPr>
                <w:rFonts w:cs="宋体"/>
                <w:szCs w:val="21"/>
              </w:rPr>
            </w:pPr>
            <w:r>
              <w:rPr>
                <w:rFonts w:cs="宋体" w:hint="eastAsia"/>
                <w:szCs w:val="21"/>
              </w:rPr>
              <w:t>截至报告期末表决权恢复的优先股股东总数（户）</w:t>
            </w:r>
          </w:p>
        </w:tc>
        <w:tc>
          <w:tcPr>
            <w:tcW w:w="1751" w:type="pct"/>
            <w:gridSpan w:val="3"/>
          </w:tcPr>
          <w:p w14:paraId="7548377D" w14:textId="77777777" w:rsidR="000F3643" w:rsidRDefault="000563AC">
            <w:pPr>
              <w:jc w:val="right"/>
            </w:pPr>
            <w:r>
              <w:t>0</w:t>
            </w:r>
          </w:p>
        </w:tc>
      </w:tr>
      <w:tr w:rsidR="000F3643" w14:paraId="16FC0638" w14:textId="77777777" w:rsidTr="00626E28">
        <w:tc>
          <w:tcPr>
            <w:tcW w:w="5000" w:type="pct"/>
            <w:gridSpan w:val="7"/>
          </w:tcPr>
          <w:p w14:paraId="1AD275C0" w14:textId="77777777" w:rsidR="000F3643" w:rsidRDefault="000563AC">
            <w:pPr>
              <w:jc w:val="center"/>
            </w:pPr>
            <w:r>
              <w:rPr>
                <w:rFonts w:cs="宋体" w:hint="eastAsia"/>
                <w:szCs w:val="21"/>
              </w:rPr>
              <w:t>前</w:t>
            </w:r>
            <w:r>
              <w:rPr>
                <w:rFonts w:cs="宋体"/>
                <w:szCs w:val="21"/>
              </w:rPr>
              <w:t>10</w:t>
            </w:r>
            <w:r>
              <w:rPr>
                <w:rFonts w:cs="宋体" w:hint="eastAsia"/>
                <w:szCs w:val="21"/>
              </w:rPr>
              <w:t>名股东持股情况</w:t>
            </w:r>
          </w:p>
        </w:tc>
      </w:tr>
      <w:tr w:rsidR="000F3643" w14:paraId="3BDDB28E" w14:textId="77777777" w:rsidTr="00626E28">
        <w:tc>
          <w:tcPr>
            <w:tcW w:w="1570" w:type="pct"/>
            <w:vAlign w:val="center"/>
          </w:tcPr>
          <w:p w14:paraId="5D87400C" w14:textId="77777777" w:rsidR="000F3643" w:rsidRDefault="000563AC">
            <w:pPr>
              <w:jc w:val="center"/>
            </w:pPr>
            <w:r>
              <w:rPr>
                <w:rFonts w:cs="宋体" w:hint="eastAsia"/>
                <w:szCs w:val="21"/>
              </w:rPr>
              <w:t>股东名称</w:t>
            </w:r>
          </w:p>
        </w:tc>
        <w:tc>
          <w:tcPr>
            <w:tcW w:w="586" w:type="pct"/>
            <w:vAlign w:val="center"/>
          </w:tcPr>
          <w:p w14:paraId="28B104EC" w14:textId="77777777" w:rsidR="000F3643" w:rsidRDefault="000563AC">
            <w:pPr>
              <w:jc w:val="center"/>
            </w:pPr>
            <w:r>
              <w:rPr>
                <w:rFonts w:cs="宋体" w:hint="eastAsia"/>
                <w:szCs w:val="21"/>
              </w:rPr>
              <w:t>股东性质</w:t>
            </w:r>
          </w:p>
        </w:tc>
        <w:tc>
          <w:tcPr>
            <w:tcW w:w="570" w:type="pct"/>
            <w:vAlign w:val="center"/>
          </w:tcPr>
          <w:p w14:paraId="2A168F2D" w14:textId="77777777" w:rsidR="000F3643" w:rsidRDefault="000563AC">
            <w:pPr>
              <w:jc w:val="center"/>
            </w:pPr>
            <w:r>
              <w:rPr>
                <w:rFonts w:cs="宋体" w:hint="eastAsia"/>
                <w:szCs w:val="21"/>
              </w:rPr>
              <w:t>持股比例</w:t>
            </w:r>
            <w:r>
              <w:rPr>
                <w:rFonts w:cs="宋体"/>
                <w:szCs w:val="21"/>
              </w:rPr>
              <w:t>(%)</w:t>
            </w:r>
          </w:p>
        </w:tc>
        <w:tc>
          <w:tcPr>
            <w:tcW w:w="523" w:type="pct"/>
            <w:vAlign w:val="center"/>
          </w:tcPr>
          <w:p w14:paraId="3E7F8917" w14:textId="77777777" w:rsidR="000F3643" w:rsidRDefault="000563AC">
            <w:pPr>
              <w:jc w:val="center"/>
              <w:rPr>
                <w:rFonts w:cs="宋体"/>
                <w:szCs w:val="21"/>
              </w:rPr>
            </w:pPr>
            <w:r>
              <w:rPr>
                <w:rFonts w:cs="宋体" w:hint="eastAsia"/>
                <w:szCs w:val="21"/>
              </w:rPr>
              <w:t>持股</w:t>
            </w:r>
          </w:p>
          <w:p w14:paraId="3DBB05BB" w14:textId="77777777" w:rsidR="000F3643" w:rsidRDefault="000563AC">
            <w:pPr>
              <w:jc w:val="center"/>
            </w:pPr>
            <w:r>
              <w:rPr>
                <w:rFonts w:cs="宋体" w:hint="eastAsia"/>
                <w:szCs w:val="21"/>
              </w:rPr>
              <w:t>数量</w:t>
            </w:r>
          </w:p>
        </w:tc>
        <w:tc>
          <w:tcPr>
            <w:tcW w:w="667" w:type="pct"/>
            <w:vAlign w:val="center"/>
          </w:tcPr>
          <w:p w14:paraId="4AD7B09F" w14:textId="77777777" w:rsidR="000F3643" w:rsidRDefault="000563AC">
            <w:pPr>
              <w:jc w:val="center"/>
            </w:pPr>
            <w:r>
              <w:rPr>
                <w:rFonts w:cs="宋体" w:hint="eastAsia"/>
                <w:szCs w:val="21"/>
              </w:rPr>
              <w:t>持有有限</w:t>
            </w:r>
            <w:proofErr w:type="gramStart"/>
            <w:r>
              <w:rPr>
                <w:rFonts w:cs="宋体" w:hint="eastAsia"/>
                <w:szCs w:val="21"/>
              </w:rPr>
              <w:t>售条件</w:t>
            </w:r>
            <w:proofErr w:type="gramEnd"/>
            <w:r>
              <w:rPr>
                <w:rFonts w:cs="宋体" w:hint="eastAsia"/>
                <w:szCs w:val="21"/>
              </w:rPr>
              <w:t>的股份数量</w:t>
            </w:r>
          </w:p>
        </w:tc>
        <w:tc>
          <w:tcPr>
            <w:tcW w:w="1084" w:type="pct"/>
            <w:gridSpan w:val="2"/>
            <w:vAlign w:val="center"/>
          </w:tcPr>
          <w:p w14:paraId="4F9FADDC" w14:textId="09A614F6" w:rsidR="000F3643" w:rsidRDefault="000563AC">
            <w:pPr>
              <w:jc w:val="center"/>
            </w:pPr>
            <w:r>
              <w:rPr>
                <w:rFonts w:cs="宋体" w:hint="eastAsia"/>
                <w:szCs w:val="21"/>
              </w:rPr>
              <w:t>质押、标记或冻结的股份数量</w:t>
            </w:r>
          </w:p>
        </w:tc>
      </w:tr>
      <w:tr w:rsidR="000F3643" w14:paraId="75ABFB0E" w14:textId="77777777" w:rsidTr="00626E28">
        <w:tc>
          <w:tcPr>
            <w:tcW w:w="1570" w:type="pct"/>
            <w:vAlign w:val="center"/>
          </w:tcPr>
          <w:p w14:paraId="4317BF10" w14:textId="77777777" w:rsidR="000F3643" w:rsidRDefault="000563AC">
            <w:pPr>
              <w:jc w:val="left"/>
            </w:pPr>
            <w:r>
              <w:rPr>
                <w:rFonts w:cstheme="minorBidi"/>
              </w:rPr>
              <w:t>杨泽民</w:t>
            </w:r>
          </w:p>
        </w:tc>
        <w:tc>
          <w:tcPr>
            <w:tcW w:w="586" w:type="pct"/>
            <w:vAlign w:val="center"/>
          </w:tcPr>
          <w:p w14:paraId="01099B9D" w14:textId="77777777" w:rsidR="000F3643" w:rsidRDefault="000563AC">
            <w:pPr>
              <w:jc w:val="left"/>
            </w:pPr>
            <w:r>
              <w:t>境内自然人</w:t>
            </w:r>
          </w:p>
        </w:tc>
        <w:tc>
          <w:tcPr>
            <w:tcW w:w="570" w:type="pct"/>
            <w:vAlign w:val="center"/>
          </w:tcPr>
          <w:p w14:paraId="68A37E7F" w14:textId="77777777" w:rsidR="000F3643" w:rsidRDefault="000563AC">
            <w:pPr>
              <w:jc w:val="right"/>
            </w:pPr>
            <w:r>
              <w:t>15.79</w:t>
            </w:r>
          </w:p>
        </w:tc>
        <w:tc>
          <w:tcPr>
            <w:tcW w:w="523" w:type="pct"/>
            <w:vAlign w:val="center"/>
          </w:tcPr>
          <w:p w14:paraId="6338AB46" w14:textId="77777777" w:rsidR="000F3643" w:rsidRDefault="000563AC">
            <w:pPr>
              <w:jc w:val="right"/>
            </w:pPr>
            <w:r>
              <w:t>52,618,391</w:t>
            </w:r>
          </w:p>
        </w:tc>
        <w:tc>
          <w:tcPr>
            <w:tcW w:w="667" w:type="pct"/>
            <w:vAlign w:val="center"/>
          </w:tcPr>
          <w:p w14:paraId="100F7945" w14:textId="77777777" w:rsidR="000F3643" w:rsidRDefault="000563AC">
            <w:pPr>
              <w:jc w:val="right"/>
            </w:pPr>
            <w:r>
              <w:t>0</w:t>
            </w:r>
          </w:p>
        </w:tc>
        <w:tc>
          <w:tcPr>
            <w:tcW w:w="527" w:type="pct"/>
            <w:vAlign w:val="center"/>
          </w:tcPr>
          <w:p w14:paraId="3CAC0191" w14:textId="77777777" w:rsidR="000F3643" w:rsidRDefault="000563AC">
            <w:pPr>
              <w:jc w:val="left"/>
            </w:pPr>
            <w:r>
              <w:t>无</w:t>
            </w:r>
          </w:p>
        </w:tc>
        <w:tc>
          <w:tcPr>
            <w:tcW w:w="558" w:type="pct"/>
            <w:vAlign w:val="center"/>
          </w:tcPr>
          <w:p w14:paraId="2DC4E5AD" w14:textId="77777777" w:rsidR="000F3643" w:rsidRDefault="000563AC">
            <w:pPr>
              <w:jc w:val="right"/>
            </w:pPr>
            <w:r>
              <w:t>0</w:t>
            </w:r>
          </w:p>
        </w:tc>
      </w:tr>
      <w:tr w:rsidR="000F3643" w14:paraId="1C767BF3" w14:textId="77777777" w:rsidTr="00626E28">
        <w:tc>
          <w:tcPr>
            <w:tcW w:w="1570" w:type="pct"/>
            <w:vAlign w:val="center"/>
          </w:tcPr>
          <w:p w14:paraId="605AD5D3" w14:textId="77777777" w:rsidR="000F3643" w:rsidRDefault="000563AC">
            <w:pPr>
              <w:jc w:val="left"/>
            </w:pPr>
            <w:r>
              <w:rPr>
                <w:rFonts w:cstheme="minorBidi"/>
              </w:rPr>
              <w:t>秦惠兰</w:t>
            </w:r>
          </w:p>
        </w:tc>
        <w:tc>
          <w:tcPr>
            <w:tcW w:w="586" w:type="pct"/>
            <w:vAlign w:val="center"/>
          </w:tcPr>
          <w:p w14:paraId="17C9E45C" w14:textId="77777777" w:rsidR="000F3643" w:rsidRDefault="000563AC">
            <w:pPr>
              <w:jc w:val="left"/>
            </w:pPr>
            <w:r>
              <w:t>境内自然人</w:t>
            </w:r>
          </w:p>
        </w:tc>
        <w:tc>
          <w:tcPr>
            <w:tcW w:w="570" w:type="pct"/>
            <w:vAlign w:val="center"/>
          </w:tcPr>
          <w:p w14:paraId="374A55B2" w14:textId="77777777" w:rsidR="000F3643" w:rsidRDefault="000563AC">
            <w:pPr>
              <w:jc w:val="right"/>
            </w:pPr>
            <w:r>
              <w:t>12.26</w:t>
            </w:r>
          </w:p>
        </w:tc>
        <w:tc>
          <w:tcPr>
            <w:tcW w:w="523" w:type="pct"/>
            <w:vAlign w:val="center"/>
          </w:tcPr>
          <w:p w14:paraId="39C650F3" w14:textId="77777777" w:rsidR="000F3643" w:rsidRDefault="000563AC">
            <w:pPr>
              <w:jc w:val="right"/>
            </w:pPr>
            <w:r>
              <w:t>40,841,700</w:t>
            </w:r>
          </w:p>
        </w:tc>
        <w:tc>
          <w:tcPr>
            <w:tcW w:w="667" w:type="pct"/>
            <w:vAlign w:val="center"/>
          </w:tcPr>
          <w:p w14:paraId="081C5877" w14:textId="77777777" w:rsidR="000F3643" w:rsidRDefault="000563AC">
            <w:pPr>
              <w:jc w:val="right"/>
            </w:pPr>
            <w:r>
              <w:t>0</w:t>
            </w:r>
          </w:p>
        </w:tc>
        <w:tc>
          <w:tcPr>
            <w:tcW w:w="527" w:type="pct"/>
            <w:vAlign w:val="center"/>
          </w:tcPr>
          <w:p w14:paraId="427A8D12" w14:textId="77777777" w:rsidR="000F3643" w:rsidRDefault="000563AC">
            <w:pPr>
              <w:jc w:val="left"/>
            </w:pPr>
            <w:r>
              <w:t>无</w:t>
            </w:r>
          </w:p>
        </w:tc>
        <w:tc>
          <w:tcPr>
            <w:tcW w:w="558" w:type="pct"/>
            <w:vAlign w:val="center"/>
          </w:tcPr>
          <w:p w14:paraId="7282BC16" w14:textId="77777777" w:rsidR="000F3643" w:rsidRDefault="000563AC">
            <w:pPr>
              <w:jc w:val="right"/>
            </w:pPr>
            <w:r>
              <w:t>0</w:t>
            </w:r>
          </w:p>
        </w:tc>
      </w:tr>
      <w:tr w:rsidR="000F3643" w14:paraId="11BD9BF0" w14:textId="77777777" w:rsidTr="00626E28">
        <w:tc>
          <w:tcPr>
            <w:tcW w:w="1570" w:type="pct"/>
            <w:vAlign w:val="center"/>
          </w:tcPr>
          <w:p w14:paraId="087DD8BF" w14:textId="77777777" w:rsidR="000F3643" w:rsidRDefault="000563AC">
            <w:pPr>
              <w:jc w:val="left"/>
            </w:pPr>
            <w:proofErr w:type="gramStart"/>
            <w:r>
              <w:rPr>
                <w:rFonts w:cstheme="minorBidi"/>
              </w:rPr>
              <w:t>杨秦</w:t>
            </w:r>
            <w:proofErr w:type="gramEnd"/>
          </w:p>
        </w:tc>
        <w:tc>
          <w:tcPr>
            <w:tcW w:w="586" w:type="pct"/>
            <w:vAlign w:val="center"/>
          </w:tcPr>
          <w:p w14:paraId="5EF0C517" w14:textId="77777777" w:rsidR="000F3643" w:rsidRDefault="000563AC">
            <w:pPr>
              <w:jc w:val="left"/>
            </w:pPr>
            <w:r>
              <w:t>境内自然人</w:t>
            </w:r>
          </w:p>
        </w:tc>
        <w:tc>
          <w:tcPr>
            <w:tcW w:w="570" w:type="pct"/>
            <w:vAlign w:val="center"/>
          </w:tcPr>
          <w:p w14:paraId="55C5FBEA" w14:textId="77777777" w:rsidR="000F3643" w:rsidRDefault="000563AC">
            <w:pPr>
              <w:jc w:val="right"/>
            </w:pPr>
            <w:r>
              <w:t>5.41</w:t>
            </w:r>
          </w:p>
        </w:tc>
        <w:tc>
          <w:tcPr>
            <w:tcW w:w="523" w:type="pct"/>
            <w:vAlign w:val="center"/>
          </w:tcPr>
          <w:p w14:paraId="275E23D0" w14:textId="77777777" w:rsidR="000F3643" w:rsidRDefault="000563AC">
            <w:pPr>
              <w:jc w:val="right"/>
            </w:pPr>
            <w:r>
              <w:t>18,015,000</w:t>
            </w:r>
          </w:p>
        </w:tc>
        <w:tc>
          <w:tcPr>
            <w:tcW w:w="667" w:type="pct"/>
            <w:vAlign w:val="center"/>
          </w:tcPr>
          <w:p w14:paraId="6190BA4D" w14:textId="77777777" w:rsidR="000F3643" w:rsidRDefault="000563AC">
            <w:pPr>
              <w:jc w:val="right"/>
            </w:pPr>
            <w:r>
              <w:t>0</w:t>
            </w:r>
          </w:p>
        </w:tc>
        <w:tc>
          <w:tcPr>
            <w:tcW w:w="527" w:type="pct"/>
            <w:vAlign w:val="center"/>
          </w:tcPr>
          <w:p w14:paraId="084810B7" w14:textId="77777777" w:rsidR="000F3643" w:rsidRDefault="000563AC">
            <w:pPr>
              <w:jc w:val="left"/>
            </w:pPr>
            <w:r>
              <w:t>无</w:t>
            </w:r>
          </w:p>
        </w:tc>
        <w:tc>
          <w:tcPr>
            <w:tcW w:w="558" w:type="pct"/>
            <w:vAlign w:val="center"/>
          </w:tcPr>
          <w:p w14:paraId="4FB5EFCE" w14:textId="77777777" w:rsidR="000F3643" w:rsidRDefault="000563AC">
            <w:pPr>
              <w:jc w:val="right"/>
            </w:pPr>
            <w:r>
              <w:t>0</w:t>
            </w:r>
          </w:p>
        </w:tc>
      </w:tr>
      <w:tr w:rsidR="000F3643" w14:paraId="306FD6A7" w14:textId="77777777" w:rsidTr="00626E28">
        <w:tc>
          <w:tcPr>
            <w:tcW w:w="1570" w:type="pct"/>
            <w:vAlign w:val="center"/>
          </w:tcPr>
          <w:p w14:paraId="32140175" w14:textId="77777777" w:rsidR="000F3643" w:rsidRDefault="000563AC">
            <w:pPr>
              <w:jc w:val="left"/>
            </w:pPr>
            <w:r>
              <w:rPr>
                <w:rFonts w:cstheme="minorBidi"/>
              </w:rPr>
              <w:t>杨耀</w:t>
            </w:r>
          </w:p>
        </w:tc>
        <w:tc>
          <w:tcPr>
            <w:tcW w:w="586" w:type="pct"/>
            <w:vAlign w:val="center"/>
          </w:tcPr>
          <w:p w14:paraId="4488B2FB" w14:textId="77777777" w:rsidR="000F3643" w:rsidRDefault="000563AC">
            <w:pPr>
              <w:jc w:val="left"/>
            </w:pPr>
            <w:r>
              <w:t>境内自然人</w:t>
            </w:r>
          </w:p>
        </w:tc>
        <w:tc>
          <w:tcPr>
            <w:tcW w:w="570" w:type="pct"/>
            <w:vAlign w:val="center"/>
          </w:tcPr>
          <w:p w14:paraId="4B4719FB" w14:textId="77777777" w:rsidR="000F3643" w:rsidRDefault="000563AC">
            <w:pPr>
              <w:jc w:val="right"/>
            </w:pPr>
            <w:r>
              <w:t>5.40</w:t>
            </w:r>
          </w:p>
        </w:tc>
        <w:tc>
          <w:tcPr>
            <w:tcW w:w="523" w:type="pct"/>
            <w:vAlign w:val="center"/>
          </w:tcPr>
          <w:p w14:paraId="01BC8103" w14:textId="77777777" w:rsidR="000F3643" w:rsidRDefault="000563AC">
            <w:pPr>
              <w:jc w:val="right"/>
            </w:pPr>
            <w:r>
              <w:t>18,000,050</w:t>
            </w:r>
          </w:p>
        </w:tc>
        <w:tc>
          <w:tcPr>
            <w:tcW w:w="667" w:type="pct"/>
            <w:vAlign w:val="center"/>
          </w:tcPr>
          <w:p w14:paraId="37AE06DD" w14:textId="77777777" w:rsidR="000F3643" w:rsidRDefault="000563AC">
            <w:pPr>
              <w:jc w:val="right"/>
            </w:pPr>
            <w:r>
              <w:t>0</w:t>
            </w:r>
          </w:p>
        </w:tc>
        <w:tc>
          <w:tcPr>
            <w:tcW w:w="527" w:type="pct"/>
            <w:vAlign w:val="center"/>
          </w:tcPr>
          <w:p w14:paraId="2A4A1DA9" w14:textId="77777777" w:rsidR="000F3643" w:rsidRDefault="000563AC">
            <w:pPr>
              <w:jc w:val="left"/>
            </w:pPr>
            <w:r>
              <w:t>无</w:t>
            </w:r>
          </w:p>
        </w:tc>
        <w:tc>
          <w:tcPr>
            <w:tcW w:w="558" w:type="pct"/>
            <w:vAlign w:val="center"/>
          </w:tcPr>
          <w:p w14:paraId="7860B0E9" w14:textId="77777777" w:rsidR="000F3643" w:rsidRDefault="000563AC">
            <w:pPr>
              <w:jc w:val="right"/>
            </w:pPr>
            <w:r>
              <w:t>0</w:t>
            </w:r>
          </w:p>
        </w:tc>
      </w:tr>
      <w:tr w:rsidR="000F3643" w14:paraId="1838E725" w14:textId="77777777" w:rsidTr="00626E28">
        <w:tc>
          <w:tcPr>
            <w:tcW w:w="1570" w:type="pct"/>
            <w:vAlign w:val="center"/>
          </w:tcPr>
          <w:p w14:paraId="4D8A8FD2" w14:textId="77777777" w:rsidR="000F3643" w:rsidRDefault="000563AC">
            <w:pPr>
              <w:jc w:val="left"/>
            </w:pPr>
            <w:r>
              <w:rPr>
                <w:rFonts w:cstheme="minorBidi"/>
              </w:rPr>
              <w:t>杨厚群</w:t>
            </w:r>
          </w:p>
        </w:tc>
        <w:tc>
          <w:tcPr>
            <w:tcW w:w="586" w:type="pct"/>
            <w:vAlign w:val="center"/>
          </w:tcPr>
          <w:p w14:paraId="57BC4C3F" w14:textId="77777777" w:rsidR="000F3643" w:rsidRDefault="000563AC">
            <w:pPr>
              <w:jc w:val="left"/>
            </w:pPr>
            <w:r>
              <w:t>境内自然人</w:t>
            </w:r>
          </w:p>
        </w:tc>
        <w:tc>
          <w:tcPr>
            <w:tcW w:w="570" w:type="pct"/>
            <w:vAlign w:val="center"/>
          </w:tcPr>
          <w:p w14:paraId="6DC5E85F" w14:textId="77777777" w:rsidR="000F3643" w:rsidRDefault="000563AC">
            <w:pPr>
              <w:jc w:val="right"/>
            </w:pPr>
            <w:r>
              <w:t>2.25</w:t>
            </w:r>
          </w:p>
        </w:tc>
        <w:tc>
          <w:tcPr>
            <w:tcW w:w="523" w:type="pct"/>
            <w:vAlign w:val="center"/>
          </w:tcPr>
          <w:p w14:paraId="5C707C65" w14:textId="77777777" w:rsidR="000F3643" w:rsidRDefault="000563AC">
            <w:pPr>
              <w:jc w:val="right"/>
            </w:pPr>
            <w:r>
              <w:t>7,500,000</w:t>
            </w:r>
          </w:p>
        </w:tc>
        <w:tc>
          <w:tcPr>
            <w:tcW w:w="667" w:type="pct"/>
            <w:vAlign w:val="center"/>
          </w:tcPr>
          <w:p w14:paraId="62612081" w14:textId="77777777" w:rsidR="000F3643" w:rsidRDefault="000563AC">
            <w:pPr>
              <w:jc w:val="right"/>
            </w:pPr>
            <w:r>
              <w:t>0</w:t>
            </w:r>
          </w:p>
        </w:tc>
        <w:tc>
          <w:tcPr>
            <w:tcW w:w="527" w:type="pct"/>
            <w:vAlign w:val="center"/>
          </w:tcPr>
          <w:p w14:paraId="4328F1B2" w14:textId="77777777" w:rsidR="000F3643" w:rsidRDefault="000563AC">
            <w:pPr>
              <w:jc w:val="left"/>
            </w:pPr>
            <w:r>
              <w:t>无</w:t>
            </w:r>
          </w:p>
        </w:tc>
        <w:tc>
          <w:tcPr>
            <w:tcW w:w="558" w:type="pct"/>
            <w:vAlign w:val="center"/>
          </w:tcPr>
          <w:p w14:paraId="14CD04AC" w14:textId="77777777" w:rsidR="000F3643" w:rsidRDefault="000563AC">
            <w:pPr>
              <w:jc w:val="right"/>
            </w:pPr>
            <w:r>
              <w:t>0</w:t>
            </w:r>
          </w:p>
        </w:tc>
      </w:tr>
      <w:tr w:rsidR="000F3643" w14:paraId="0E204C89" w14:textId="77777777" w:rsidTr="00626E28">
        <w:tc>
          <w:tcPr>
            <w:tcW w:w="1570" w:type="pct"/>
            <w:vAlign w:val="center"/>
          </w:tcPr>
          <w:p w14:paraId="5A0833CE" w14:textId="77777777" w:rsidR="000F3643" w:rsidRDefault="000563AC">
            <w:pPr>
              <w:jc w:val="left"/>
            </w:pPr>
            <w:r>
              <w:rPr>
                <w:rFonts w:cstheme="minorBidi"/>
              </w:rPr>
              <w:t>秦勇</w:t>
            </w:r>
          </w:p>
        </w:tc>
        <w:tc>
          <w:tcPr>
            <w:tcW w:w="586" w:type="pct"/>
            <w:vAlign w:val="center"/>
          </w:tcPr>
          <w:p w14:paraId="07B85CFA" w14:textId="77777777" w:rsidR="000F3643" w:rsidRDefault="000563AC">
            <w:pPr>
              <w:jc w:val="left"/>
            </w:pPr>
            <w:r>
              <w:t>境内自然人</w:t>
            </w:r>
          </w:p>
        </w:tc>
        <w:tc>
          <w:tcPr>
            <w:tcW w:w="570" w:type="pct"/>
            <w:vAlign w:val="center"/>
          </w:tcPr>
          <w:p w14:paraId="46D38EF4" w14:textId="77777777" w:rsidR="000F3643" w:rsidRDefault="000563AC">
            <w:pPr>
              <w:jc w:val="right"/>
            </w:pPr>
            <w:r>
              <w:t>1.62</w:t>
            </w:r>
          </w:p>
        </w:tc>
        <w:tc>
          <w:tcPr>
            <w:tcW w:w="523" w:type="pct"/>
            <w:vAlign w:val="center"/>
          </w:tcPr>
          <w:p w14:paraId="3D1FFFF5" w14:textId="77777777" w:rsidR="000F3643" w:rsidRDefault="000563AC">
            <w:pPr>
              <w:jc w:val="right"/>
            </w:pPr>
            <w:r>
              <w:t>5,400,000</w:t>
            </w:r>
          </w:p>
        </w:tc>
        <w:tc>
          <w:tcPr>
            <w:tcW w:w="667" w:type="pct"/>
            <w:vAlign w:val="center"/>
          </w:tcPr>
          <w:p w14:paraId="0FAB2144" w14:textId="77777777" w:rsidR="000F3643" w:rsidRDefault="000563AC">
            <w:pPr>
              <w:jc w:val="right"/>
            </w:pPr>
            <w:r>
              <w:t>0</w:t>
            </w:r>
          </w:p>
        </w:tc>
        <w:tc>
          <w:tcPr>
            <w:tcW w:w="527" w:type="pct"/>
            <w:vAlign w:val="center"/>
          </w:tcPr>
          <w:p w14:paraId="3327D737" w14:textId="77777777" w:rsidR="000F3643" w:rsidRDefault="000563AC">
            <w:pPr>
              <w:jc w:val="left"/>
            </w:pPr>
            <w:r>
              <w:t>无</w:t>
            </w:r>
          </w:p>
        </w:tc>
        <w:tc>
          <w:tcPr>
            <w:tcW w:w="558" w:type="pct"/>
            <w:vAlign w:val="center"/>
          </w:tcPr>
          <w:p w14:paraId="1A782496" w14:textId="77777777" w:rsidR="000F3643" w:rsidRDefault="000563AC">
            <w:pPr>
              <w:jc w:val="right"/>
            </w:pPr>
            <w:r>
              <w:t>0</w:t>
            </w:r>
          </w:p>
        </w:tc>
      </w:tr>
      <w:tr w:rsidR="000F3643" w14:paraId="6A6012F6" w14:textId="77777777" w:rsidTr="00626E28">
        <w:tc>
          <w:tcPr>
            <w:tcW w:w="1570" w:type="pct"/>
            <w:vAlign w:val="center"/>
          </w:tcPr>
          <w:p w14:paraId="0824E689" w14:textId="77777777" w:rsidR="000F3643" w:rsidRDefault="000563AC">
            <w:pPr>
              <w:jc w:val="left"/>
            </w:pPr>
            <w:r>
              <w:rPr>
                <w:rFonts w:cstheme="minorBidi"/>
              </w:rPr>
              <w:t>西南证券股份有限公司约定购</w:t>
            </w:r>
            <w:proofErr w:type="gramStart"/>
            <w:r>
              <w:rPr>
                <w:rFonts w:cstheme="minorBidi"/>
              </w:rPr>
              <w:t>回式证券</w:t>
            </w:r>
            <w:proofErr w:type="gramEnd"/>
            <w:r>
              <w:rPr>
                <w:rFonts w:cstheme="minorBidi"/>
              </w:rPr>
              <w:t>交易专用证券账户</w:t>
            </w:r>
          </w:p>
        </w:tc>
        <w:tc>
          <w:tcPr>
            <w:tcW w:w="586" w:type="pct"/>
            <w:vAlign w:val="center"/>
          </w:tcPr>
          <w:p w14:paraId="0AACC32E" w14:textId="77777777" w:rsidR="000F3643" w:rsidRDefault="000563AC">
            <w:pPr>
              <w:jc w:val="left"/>
            </w:pPr>
            <w:r>
              <w:t>境内非国有法人</w:t>
            </w:r>
          </w:p>
        </w:tc>
        <w:tc>
          <w:tcPr>
            <w:tcW w:w="570" w:type="pct"/>
            <w:vAlign w:val="center"/>
          </w:tcPr>
          <w:p w14:paraId="20C87209" w14:textId="77777777" w:rsidR="000F3643" w:rsidRDefault="000563AC">
            <w:pPr>
              <w:jc w:val="right"/>
            </w:pPr>
            <w:r>
              <w:t>1.37</w:t>
            </w:r>
          </w:p>
        </w:tc>
        <w:tc>
          <w:tcPr>
            <w:tcW w:w="523" w:type="pct"/>
            <w:vAlign w:val="center"/>
          </w:tcPr>
          <w:p w14:paraId="44CB9132" w14:textId="77777777" w:rsidR="000F3643" w:rsidRDefault="000563AC">
            <w:pPr>
              <w:jc w:val="right"/>
            </w:pPr>
            <w:r>
              <w:t>4,553,200</w:t>
            </w:r>
          </w:p>
        </w:tc>
        <w:tc>
          <w:tcPr>
            <w:tcW w:w="667" w:type="pct"/>
            <w:vAlign w:val="center"/>
          </w:tcPr>
          <w:p w14:paraId="508E0168" w14:textId="77777777" w:rsidR="000F3643" w:rsidRDefault="000563AC">
            <w:pPr>
              <w:jc w:val="right"/>
            </w:pPr>
            <w:r>
              <w:t>0</w:t>
            </w:r>
          </w:p>
        </w:tc>
        <w:tc>
          <w:tcPr>
            <w:tcW w:w="527" w:type="pct"/>
            <w:vAlign w:val="center"/>
          </w:tcPr>
          <w:p w14:paraId="72D8CF3D" w14:textId="77777777" w:rsidR="000F3643" w:rsidRDefault="000563AC">
            <w:pPr>
              <w:jc w:val="left"/>
            </w:pPr>
            <w:r>
              <w:t>无</w:t>
            </w:r>
          </w:p>
        </w:tc>
        <w:tc>
          <w:tcPr>
            <w:tcW w:w="558" w:type="pct"/>
            <w:vAlign w:val="center"/>
          </w:tcPr>
          <w:p w14:paraId="02935CE9" w14:textId="77777777" w:rsidR="000F3643" w:rsidRDefault="000563AC">
            <w:pPr>
              <w:jc w:val="right"/>
            </w:pPr>
            <w:r>
              <w:t>0</w:t>
            </w:r>
          </w:p>
        </w:tc>
      </w:tr>
      <w:tr w:rsidR="000F3643" w14:paraId="6A5BCBB5" w14:textId="77777777" w:rsidTr="00626E28">
        <w:tc>
          <w:tcPr>
            <w:tcW w:w="1570" w:type="pct"/>
            <w:vAlign w:val="center"/>
          </w:tcPr>
          <w:p w14:paraId="02C449AE" w14:textId="77777777" w:rsidR="000F3643" w:rsidRDefault="000563AC">
            <w:pPr>
              <w:jc w:val="left"/>
            </w:pPr>
            <w:r>
              <w:rPr>
                <w:rFonts w:cstheme="minorBidi"/>
              </w:rPr>
              <w:t>王育森</w:t>
            </w:r>
          </w:p>
        </w:tc>
        <w:tc>
          <w:tcPr>
            <w:tcW w:w="586" w:type="pct"/>
            <w:vAlign w:val="center"/>
          </w:tcPr>
          <w:p w14:paraId="3F4B4851" w14:textId="77777777" w:rsidR="000F3643" w:rsidRDefault="000563AC">
            <w:pPr>
              <w:jc w:val="left"/>
            </w:pPr>
            <w:r>
              <w:t>境内自然人</w:t>
            </w:r>
          </w:p>
        </w:tc>
        <w:tc>
          <w:tcPr>
            <w:tcW w:w="570" w:type="pct"/>
            <w:vAlign w:val="center"/>
          </w:tcPr>
          <w:p w14:paraId="4622166E" w14:textId="77777777" w:rsidR="000F3643" w:rsidRDefault="000563AC">
            <w:pPr>
              <w:jc w:val="right"/>
            </w:pPr>
            <w:r>
              <w:t>1.17</w:t>
            </w:r>
          </w:p>
        </w:tc>
        <w:tc>
          <w:tcPr>
            <w:tcW w:w="523" w:type="pct"/>
            <w:vAlign w:val="center"/>
          </w:tcPr>
          <w:p w14:paraId="24C363FD" w14:textId="77777777" w:rsidR="000F3643" w:rsidRDefault="000563AC">
            <w:pPr>
              <w:jc w:val="right"/>
            </w:pPr>
            <w:r>
              <w:t>3,897,100</w:t>
            </w:r>
          </w:p>
        </w:tc>
        <w:tc>
          <w:tcPr>
            <w:tcW w:w="667" w:type="pct"/>
            <w:vAlign w:val="center"/>
          </w:tcPr>
          <w:p w14:paraId="76DF9535" w14:textId="77777777" w:rsidR="000F3643" w:rsidRDefault="000563AC">
            <w:pPr>
              <w:jc w:val="right"/>
            </w:pPr>
            <w:r>
              <w:t>0</w:t>
            </w:r>
          </w:p>
        </w:tc>
        <w:tc>
          <w:tcPr>
            <w:tcW w:w="527" w:type="pct"/>
            <w:vAlign w:val="center"/>
          </w:tcPr>
          <w:p w14:paraId="7A6C0A36" w14:textId="77777777" w:rsidR="000F3643" w:rsidRDefault="000563AC">
            <w:pPr>
              <w:jc w:val="left"/>
            </w:pPr>
            <w:r>
              <w:t>无</w:t>
            </w:r>
          </w:p>
        </w:tc>
        <w:tc>
          <w:tcPr>
            <w:tcW w:w="558" w:type="pct"/>
            <w:vAlign w:val="center"/>
          </w:tcPr>
          <w:p w14:paraId="1DD0B27B" w14:textId="77777777" w:rsidR="000F3643" w:rsidRDefault="000563AC">
            <w:pPr>
              <w:jc w:val="right"/>
            </w:pPr>
            <w:r>
              <w:t>0</w:t>
            </w:r>
          </w:p>
        </w:tc>
      </w:tr>
      <w:tr w:rsidR="000F3643" w14:paraId="251C5F93" w14:textId="77777777" w:rsidTr="00626E28">
        <w:tc>
          <w:tcPr>
            <w:tcW w:w="1570" w:type="pct"/>
            <w:vAlign w:val="center"/>
          </w:tcPr>
          <w:p w14:paraId="5EA2D357" w14:textId="77777777" w:rsidR="000F3643" w:rsidRDefault="000563AC">
            <w:pPr>
              <w:jc w:val="left"/>
            </w:pPr>
            <w:r>
              <w:rPr>
                <w:rFonts w:cstheme="minorBidi"/>
              </w:rPr>
              <w:t>夏强</w:t>
            </w:r>
          </w:p>
        </w:tc>
        <w:tc>
          <w:tcPr>
            <w:tcW w:w="586" w:type="pct"/>
            <w:vAlign w:val="center"/>
          </w:tcPr>
          <w:p w14:paraId="2792A2B9" w14:textId="77777777" w:rsidR="000F3643" w:rsidRDefault="000563AC">
            <w:pPr>
              <w:jc w:val="left"/>
            </w:pPr>
            <w:r>
              <w:t>境内自然人</w:t>
            </w:r>
          </w:p>
        </w:tc>
        <w:tc>
          <w:tcPr>
            <w:tcW w:w="570" w:type="pct"/>
            <w:vAlign w:val="center"/>
          </w:tcPr>
          <w:p w14:paraId="3F795F2F" w14:textId="77777777" w:rsidR="000F3643" w:rsidRDefault="000563AC">
            <w:pPr>
              <w:jc w:val="right"/>
            </w:pPr>
            <w:r>
              <w:t>0.69</w:t>
            </w:r>
          </w:p>
        </w:tc>
        <w:tc>
          <w:tcPr>
            <w:tcW w:w="523" w:type="pct"/>
            <w:vAlign w:val="center"/>
          </w:tcPr>
          <w:p w14:paraId="2E456EF5" w14:textId="77777777" w:rsidR="000F3643" w:rsidRDefault="000563AC">
            <w:pPr>
              <w:jc w:val="right"/>
            </w:pPr>
            <w:r>
              <w:t>2,306,000</w:t>
            </w:r>
          </w:p>
        </w:tc>
        <w:tc>
          <w:tcPr>
            <w:tcW w:w="667" w:type="pct"/>
            <w:vAlign w:val="center"/>
          </w:tcPr>
          <w:p w14:paraId="38BE8186" w14:textId="77777777" w:rsidR="000F3643" w:rsidRDefault="000563AC">
            <w:pPr>
              <w:jc w:val="right"/>
            </w:pPr>
            <w:r>
              <w:t>0</w:t>
            </w:r>
          </w:p>
        </w:tc>
        <w:tc>
          <w:tcPr>
            <w:tcW w:w="527" w:type="pct"/>
            <w:vAlign w:val="center"/>
          </w:tcPr>
          <w:p w14:paraId="7F7BC752" w14:textId="77777777" w:rsidR="000F3643" w:rsidRDefault="000563AC">
            <w:pPr>
              <w:jc w:val="left"/>
            </w:pPr>
            <w:r>
              <w:t>无</w:t>
            </w:r>
          </w:p>
        </w:tc>
        <w:tc>
          <w:tcPr>
            <w:tcW w:w="558" w:type="pct"/>
            <w:vAlign w:val="center"/>
          </w:tcPr>
          <w:p w14:paraId="4A9A863B" w14:textId="77777777" w:rsidR="000F3643" w:rsidRDefault="000563AC">
            <w:pPr>
              <w:jc w:val="right"/>
            </w:pPr>
            <w:r>
              <w:t>0</w:t>
            </w:r>
          </w:p>
        </w:tc>
      </w:tr>
      <w:tr w:rsidR="000F3643" w14:paraId="300F56A4" w14:textId="77777777" w:rsidTr="00626E28">
        <w:tc>
          <w:tcPr>
            <w:tcW w:w="1570" w:type="pct"/>
            <w:vAlign w:val="center"/>
          </w:tcPr>
          <w:p w14:paraId="4C8B5195" w14:textId="77777777" w:rsidR="000F3643" w:rsidRDefault="000563AC">
            <w:pPr>
              <w:jc w:val="left"/>
            </w:pPr>
            <w:r>
              <w:rPr>
                <w:rFonts w:cstheme="minorBidi"/>
              </w:rPr>
              <w:t>赵桂芬</w:t>
            </w:r>
          </w:p>
        </w:tc>
        <w:tc>
          <w:tcPr>
            <w:tcW w:w="586" w:type="pct"/>
            <w:vAlign w:val="center"/>
          </w:tcPr>
          <w:p w14:paraId="17C5B066" w14:textId="77777777" w:rsidR="000F3643" w:rsidRDefault="000563AC">
            <w:pPr>
              <w:jc w:val="left"/>
            </w:pPr>
            <w:r>
              <w:t>境内自</w:t>
            </w:r>
            <w:r>
              <w:lastRenderedPageBreak/>
              <w:t>然人</w:t>
            </w:r>
          </w:p>
        </w:tc>
        <w:tc>
          <w:tcPr>
            <w:tcW w:w="570" w:type="pct"/>
            <w:vAlign w:val="center"/>
          </w:tcPr>
          <w:p w14:paraId="160D08C8" w14:textId="77777777" w:rsidR="000F3643" w:rsidRDefault="000563AC">
            <w:pPr>
              <w:jc w:val="right"/>
            </w:pPr>
            <w:r>
              <w:lastRenderedPageBreak/>
              <w:t>0.65</w:t>
            </w:r>
          </w:p>
        </w:tc>
        <w:tc>
          <w:tcPr>
            <w:tcW w:w="523" w:type="pct"/>
            <w:vAlign w:val="center"/>
          </w:tcPr>
          <w:p w14:paraId="0D169E53" w14:textId="77777777" w:rsidR="000F3643" w:rsidRDefault="000563AC">
            <w:pPr>
              <w:jc w:val="right"/>
            </w:pPr>
            <w:r>
              <w:t>2,172,800</w:t>
            </w:r>
          </w:p>
        </w:tc>
        <w:tc>
          <w:tcPr>
            <w:tcW w:w="667" w:type="pct"/>
            <w:vAlign w:val="center"/>
          </w:tcPr>
          <w:p w14:paraId="37C49C70" w14:textId="77777777" w:rsidR="000F3643" w:rsidRDefault="000563AC">
            <w:pPr>
              <w:jc w:val="right"/>
            </w:pPr>
            <w:r>
              <w:t>0</w:t>
            </w:r>
          </w:p>
        </w:tc>
        <w:tc>
          <w:tcPr>
            <w:tcW w:w="527" w:type="pct"/>
            <w:vAlign w:val="center"/>
          </w:tcPr>
          <w:p w14:paraId="0CB236B4" w14:textId="77777777" w:rsidR="000F3643" w:rsidRDefault="000563AC">
            <w:pPr>
              <w:jc w:val="left"/>
            </w:pPr>
            <w:r>
              <w:t>无</w:t>
            </w:r>
          </w:p>
        </w:tc>
        <w:tc>
          <w:tcPr>
            <w:tcW w:w="558" w:type="pct"/>
            <w:vAlign w:val="center"/>
          </w:tcPr>
          <w:p w14:paraId="2BE94BD8" w14:textId="77777777" w:rsidR="000F3643" w:rsidRDefault="000563AC">
            <w:pPr>
              <w:jc w:val="right"/>
            </w:pPr>
            <w:r>
              <w:t>0</w:t>
            </w:r>
          </w:p>
        </w:tc>
      </w:tr>
      <w:tr w:rsidR="000F3643" w14:paraId="76878B08" w14:textId="77777777" w:rsidTr="00626E28">
        <w:tc>
          <w:tcPr>
            <w:tcW w:w="2156" w:type="pct"/>
            <w:gridSpan w:val="2"/>
          </w:tcPr>
          <w:p w14:paraId="61CB46CA" w14:textId="77777777" w:rsidR="000F3643" w:rsidRDefault="000563AC">
            <w:r>
              <w:rPr>
                <w:rFonts w:cs="宋体" w:hint="eastAsia"/>
                <w:szCs w:val="21"/>
              </w:rPr>
              <w:t>上述股东关联关系或一致行动的说明</w:t>
            </w:r>
          </w:p>
        </w:tc>
        <w:tc>
          <w:tcPr>
            <w:tcW w:w="2844" w:type="pct"/>
            <w:gridSpan w:val="5"/>
            <w:vAlign w:val="center"/>
          </w:tcPr>
          <w:p w14:paraId="4E679337" w14:textId="77777777" w:rsidR="000F3643" w:rsidRDefault="000563AC" w:rsidP="001247D4">
            <w:pPr>
              <w:jc w:val="left"/>
            </w:pPr>
            <w:r>
              <w:t>上述股东中杨泽民、秦惠兰、杨耀与杨秦</w:t>
            </w:r>
            <w:proofErr w:type="gramStart"/>
            <w:r>
              <w:t>系一致</w:t>
            </w:r>
            <w:proofErr w:type="gramEnd"/>
            <w:r>
              <w:t>行动人，杨泽民与秦惠兰系夫妻关系，</w:t>
            </w:r>
            <w:proofErr w:type="gramStart"/>
            <w:r>
              <w:t>其女杨秦与其</w:t>
            </w:r>
            <w:proofErr w:type="gramEnd"/>
            <w:r>
              <w:t>子杨耀系姐弟关系，杨泽民与杨厚群系兄妹关系；秦惠兰与秦勇系姐妹关系；除此之外，公司未知上述股东是否存在关联关系，也未知上述股东之间是否属于《上市公司收购管理办法》规定的一致行动人。</w:t>
            </w:r>
          </w:p>
        </w:tc>
      </w:tr>
      <w:tr w:rsidR="000F3643" w14:paraId="7A96B69F" w14:textId="77777777" w:rsidTr="00626E28">
        <w:tc>
          <w:tcPr>
            <w:tcW w:w="2156" w:type="pct"/>
            <w:gridSpan w:val="2"/>
          </w:tcPr>
          <w:p w14:paraId="48ED9AE1" w14:textId="77777777" w:rsidR="000F3643" w:rsidRDefault="000563AC">
            <w:pPr>
              <w:rPr>
                <w:rFonts w:cs="宋体"/>
                <w:szCs w:val="21"/>
              </w:rPr>
            </w:pPr>
            <w:r>
              <w:rPr>
                <w:rFonts w:cs="宋体" w:hint="eastAsia"/>
                <w:szCs w:val="21"/>
              </w:rPr>
              <w:t>表决权恢复的优先股股东及持股数量的说明</w:t>
            </w:r>
          </w:p>
        </w:tc>
        <w:tc>
          <w:tcPr>
            <w:tcW w:w="2844" w:type="pct"/>
            <w:gridSpan w:val="5"/>
            <w:vAlign w:val="center"/>
          </w:tcPr>
          <w:p w14:paraId="5E5B9602" w14:textId="77777777" w:rsidR="000F3643" w:rsidRDefault="000563AC">
            <w:pPr>
              <w:ind w:firstLineChars="200" w:firstLine="420"/>
              <w:jc w:val="left"/>
            </w:pPr>
            <w:r>
              <w:t>-</w:t>
            </w:r>
          </w:p>
        </w:tc>
      </w:tr>
    </w:tbl>
    <w:p w14:paraId="11DD8CDD" w14:textId="1848D252" w:rsidR="000F3643" w:rsidRDefault="000F3643">
      <w:pPr>
        <w:rPr>
          <w:rFonts w:hint="eastAsia"/>
        </w:rPr>
      </w:pPr>
      <w:bookmarkStart w:id="0" w:name="_GoBack"/>
      <w:bookmarkEnd w:id="0"/>
    </w:p>
    <w:p w14:paraId="7245E941" w14:textId="4BEE8070" w:rsidR="000F3643" w:rsidRDefault="000F3643">
      <w:pPr>
        <w:jc w:val="right"/>
      </w:pPr>
    </w:p>
    <w:p w14:paraId="4C9617D4" w14:textId="74AECA10" w:rsidR="000F3643" w:rsidRDefault="000563AC">
      <w:pPr>
        <w:pStyle w:val="20"/>
        <w:numPr>
          <w:ilvl w:val="0"/>
          <w:numId w:val="23"/>
        </w:numPr>
        <w:spacing w:before="0" w:after="0" w:line="360" w:lineRule="auto"/>
        <w:ind w:left="0" w:firstLine="0"/>
        <w:rPr>
          <w:rFonts w:ascii="Times New Roman" w:hAnsi="Times New Roman"/>
        </w:rPr>
      </w:pPr>
      <w:r>
        <w:rPr>
          <w:rFonts w:ascii="Times New Roman" w:hAnsi="Times New Roman"/>
        </w:rPr>
        <w:t>截至报告期末的</w:t>
      </w:r>
      <w:r>
        <w:rPr>
          <w:rFonts w:ascii="Times New Roman" w:hAnsi="Times New Roman" w:hint="eastAsia"/>
        </w:rPr>
        <w:t>优先股</w:t>
      </w:r>
      <w:r>
        <w:rPr>
          <w:rFonts w:ascii="Times New Roman" w:hAnsi="Times New Roman"/>
        </w:rPr>
        <w:t>股东总数、前</w:t>
      </w:r>
      <w:r>
        <w:rPr>
          <w:rFonts w:ascii="Times New Roman" w:hAnsi="Times New Roman" w:hint="eastAsia"/>
        </w:rPr>
        <w:t>1</w:t>
      </w:r>
      <w:r>
        <w:rPr>
          <w:rFonts w:ascii="Times New Roman" w:hAnsi="Times New Roman"/>
        </w:rPr>
        <w:t>0</w:t>
      </w:r>
      <w:r>
        <w:rPr>
          <w:rFonts w:ascii="Times New Roman" w:hAnsi="Times New Roman"/>
        </w:rPr>
        <w:t>名</w:t>
      </w:r>
      <w:r>
        <w:rPr>
          <w:rFonts w:ascii="Times New Roman" w:hAnsi="Times New Roman" w:hint="eastAsia"/>
        </w:rPr>
        <w:t>优先股</w:t>
      </w:r>
      <w:r>
        <w:rPr>
          <w:rFonts w:ascii="Times New Roman" w:hAnsi="Times New Roman"/>
        </w:rPr>
        <w:t>股东情况表</w:t>
      </w:r>
    </w:p>
    <w:p w14:paraId="351CF67C" w14:textId="77777777" w:rsidR="000F3643" w:rsidRDefault="000563AC">
      <w:r>
        <w:rPr>
          <w:rFonts w:ascii="宋体" w:hAnsi="宋体"/>
        </w:rPr>
        <w:fldChar w:fldCharType="begin"/>
      </w:r>
      <w:r>
        <w:rPr>
          <w:rFonts w:ascii="宋体" w:hAnsi="宋体"/>
        </w:rPr>
        <w:instrText xml:space="preserve"> MACROBUTTON SnrToggleCheckbox □</w:instrText>
      </w:r>
      <w:r>
        <w:rPr>
          <w:rFonts w:ascii="宋体" w:hAnsi="宋体"/>
        </w:rPr>
        <w:instrText>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MACROBUTTON  SnrToggleCheckbox √</w:instrText>
      </w:r>
      <w:r>
        <w:rPr>
          <w:rFonts w:ascii="宋体" w:hAnsi="宋体"/>
        </w:rPr>
        <w:instrText>不适用</w:instrText>
      </w:r>
      <w:r>
        <w:rPr>
          <w:rFonts w:ascii="宋体" w:hAnsi="宋体"/>
        </w:rPr>
        <w:instrText xml:space="preserve"> </w:instrText>
      </w:r>
      <w:r>
        <w:rPr>
          <w:rFonts w:ascii="宋体" w:hAnsi="宋体"/>
        </w:rPr>
        <w:fldChar w:fldCharType="end"/>
      </w:r>
    </w:p>
    <w:p w14:paraId="0DDE4A80" w14:textId="77777777" w:rsidR="000F3643" w:rsidRDefault="000563AC">
      <w:pPr>
        <w:pStyle w:val="20"/>
        <w:numPr>
          <w:ilvl w:val="0"/>
          <w:numId w:val="23"/>
        </w:numPr>
        <w:spacing w:before="0" w:after="0" w:line="360" w:lineRule="auto"/>
        <w:ind w:left="0" w:firstLine="0"/>
        <w:rPr>
          <w:rFonts w:ascii="Times New Roman" w:hAnsi="Times New Roman"/>
        </w:rPr>
      </w:pPr>
      <w:r>
        <w:rPr>
          <w:rFonts w:ascii="Times New Roman" w:hAnsi="Times New Roman" w:hint="eastAsia"/>
        </w:rPr>
        <w:t>控股股东或实际控制人变更情况</w:t>
      </w:r>
    </w:p>
    <w:p w14:paraId="23DCD9C8" w14:textId="77777777" w:rsidR="000F3643" w:rsidRDefault="000563AC">
      <w:r>
        <w:rPr>
          <w:rFonts w:ascii="宋体" w:hAnsi="宋体"/>
        </w:rPr>
        <w:fldChar w:fldCharType="begin"/>
      </w:r>
      <w:r>
        <w:rPr>
          <w:rFonts w:ascii="宋体" w:hAnsi="宋体"/>
        </w:rPr>
        <w:instrText xml:space="preserve"> MACROBUTTON SnrToggleCheckbox □</w:instrText>
      </w:r>
      <w:r>
        <w:rPr>
          <w:rFonts w:ascii="宋体" w:hAnsi="宋体"/>
        </w:rPr>
        <w:instrText>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MACROBUTTON  SnrToggleCheckbox √</w:instrText>
      </w:r>
      <w:r>
        <w:rPr>
          <w:rFonts w:ascii="宋体" w:hAnsi="宋体"/>
        </w:rPr>
        <w:instrText>不适用</w:instrText>
      </w:r>
      <w:r>
        <w:rPr>
          <w:rFonts w:ascii="宋体" w:hAnsi="宋体"/>
        </w:rPr>
        <w:instrText xml:space="preserve"> </w:instrText>
      </w:r>
      <w:r>
        <w:rPr>
          <w:rFonts w:ascii="宋体" w:hAnsi="宋体"/>
        </w:rPr>
        <w:fldChar w:fldCharType="end"/>
      </w:r>
    </w:p>
    <w:p w14:paraId="16871B37" w14:textId="77777777" w:rsidR="000F3643" w:rsidRDefault="000F3643"/>
    <w:p w14:paraId="582BC1F4" w14:textId="2F1FA364" w:rsidR="000F3643" w:rsidRDefault="000563AC">
      <w:pPr>
        <w:pStyle w:val="20"/>
        <w:numPr>
          <w:ilvl w:val="0"/>
          <w:numId w:val="23"/>
        </w:numPr>
        <w:spacing w:before="0" w:after="0" w:line="360" w:lineRule="auto"/>
        <w:ind w:left="0" w:firstLine="0"/>
        <w:rPr>
          <w:rFonts w:ascii="Times New Roman" w:hAnsi="Times New Roman"/>
        </w:rPr>
      </w:pPr>
      <w:r>
        <w:rPr>
          <w:rFonts w:ascii="Times New Roman" w:hAnsi="Times New Roman" w:hint="eastAsia"/>
        </w:rPr>
        <w:t>在半年度报告</w:t>
      </w:r>
      <w:r>
        <w:rPr>
          <w:rFonts w:ascii="Times New Roman" w:hAnsi="Times New Roman"/>
        </w:rPr>
        <w:t>批准报出日存续的债券情况</w:t>
      </w:r>
    </w:p>
    <w:p w14:paraId="6BCBEFDE" w14:textId="64B8E9F5" w:rsidR="000F3643" w:rsidRDefault="000563AC">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w:instrText>
      </w:r>
      <w:r>
        <w:rPr>
          <w:rFonts w:ascii="宋体" w:hAnsi="宋体" w:hint="eastAsia"/>
        </w:rPr>
        <w:instrText>□适用</w:instrText>
      </w:r>
      <w:r>
        <w:rPr>
          <w:rFonts w:ascii="宋体" w:hAnsi="宋体" w:hint="eastAsia"/>
        </w:rPr>
        <w:instrText xml:space="preserve"> </w:instrText>
      </w:r>
      <w:r>
        <w:rPr>
          <w:rFonts w:ascii="宋体" w:hAnsi="宋体"/>
        </w:rPr>
        <w:fldChar w:fldCharType="end"/>
      </w:r>
      <w:r>
        <w:rPr>
          <w:rFonts w:ascii="宋体" w:hAnsi="宋体"/>
        </w:rPr>
        <w:fldChar w:fldCharType="begin"/>
      </w:r>
      <w:r>
        <w:rPr>
          <w:rFonts w:ascii="宋体" w:hAnsi="宋体"/>
        </w:rPr>
        <w:instrText>MACROBUTTON  SnrToggleCheckbox √</w:instrText>
      </w:r>
      <w:r>
        <w:rPr>
          <w:rFonts w:ascii="宋体" w:hAnsi="宋体"/>
        </w:rPr>
        <w:instrText>不适用</w:instrText>
      </w:r>
      <w:r>
        <w:rPr>
          <w:rFonts w:ascii="宋体" w:hAnsi="宋体"/>
        </w:rPr>
        <w:instrText xml:space="preserve"> </w:instrText>
      </w:r>
      <w:r>
        <w:rPr>
          <w:rFonts w:ascii="宋体" w:hAnsi="宋体"/>
        </w:rPr>
        <w:fldChar w:fldCharType="end"/>
      </w:r>
    </w:p>
    <w:p w14:paraId="667C912F" w14:textId="15E96470" w:rsidR="000F3643" w:rsidRDefault="000563AC">
      <w:pPr>
        <w:pStyle w:val="10"/>
        <w:spacing w:line="240" w:lineRule="auto"/>
        <w:rPr>
          <w:sz w:val="24"/>
          <w:szCs w:val="24"/>
        </w:rPr>
      </w:pPr>
      <w:r>
        <w:rPr>
          <w:rFonts w:hint="eastAsia"/>
          <w:sz w:val="24"/>
          <w:szCs w:val="24"/>
        </w:rPr>
        <w:t>第三节</w:t>
      </w:r>
      <w:r>
        <w:rPr>
          <w:rFonts w:hint="eastAsia"/>
          <w:sz w:val="24"/>
          <w:szCs w:val="24"/>
        </w:rPr>
        <w:t xml:space="preserve"> </w:t>
      </w:r>
      <w:r>
        <w:rPr>
          <w:rFonts w:hint="eastAsia"/>
          <w:sz w:val="24"/>
          <w:szCs w:val="24"/>
        </w:rPr>
        <w:t>重要事项</w:t>
      </w:r>
    </w:p>
    <w:p w14:paraId="201C06D8" w14:textId="2A32AF5D" w:rsidR="000F3643" w:rsidRDefault="000563AC">
      <w:pPr>
        <w:rPr>
          <w:b/>
          <w:bCs/>
        </w:rPr>
      </w:pPr>
      <w:r>
        <w:rPr>
          <w:rFonts w:hint="eastAsia"/>
          <w:b/>
          <w:bCs/>
        </w:rPr>
        <w:t>公司应当根据重要性原则，说明报告期内公司经营情况的重大变化，以及报告期内发生的对公司经营情况有重大影响和预计未来会有重大影响的事项</w:t>
      </w:r>
    </w:p>
    <w:p w14:paraId="6E3F48DC" w14:textId="77777777" w:rsidR="000F3643" w:rsidRDefault="000563AC">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w:instrText>
      </w:r>
      <w:r>
        <w:rPr>
          <w:rFonts w:ascii="宋体" w:hAnsi="宋体" w:hint="eastAsia"/>
        </w:rPr>
        <w:instrText>□适用</w:instrText>
      </w:r>
      <w:r>
        <w:rPr>
          <w:rFonts w:ascii="宋体" w:hAnsi="宋体" w:hint="eastAsia"/>
        </w:rPr>
        <w:instrText xml:space="preserve"> </w:instrText>
      </w:r>
      <w:r>
        <w:rPr>
          <w:rFonts w:ascii="宋体" w:hAnsi="宋体"/>
        </w:rPr>
        <w:fldChar w:fldCharType="end"/>
      </w:r>
      <w:r>
        <w:rPr>
          <w:rFonts w:ascii="宋体" w:hAnsi="宋体"/>
        </w:rPr>
        <w:fldChar w:fldCharType="begin"/>
      </w:r>
      <w:r>
        <w:rPr>
          <w:rFonts w:ascii="宋体" w:hAnsi="宋体"/>
        </w:rPr>
        <w:instrText>MACROBUTTON  SnrToggleCheckbox √</w:instrText>
      </w:r>
      <w:r>
        <w:rPr>
          <w:rFonts w:ascii="宋体" w:hAnsi="宋体"/>
        </w:rPr>
        <w:instrText>不适用</w:instrText>
      </w:r>
      <w:r>
        <w:rPr>
          <w:rFonts w:ascii="宋体" w:hAnsi="宋体"/>
        </w:rPr>
        <w:instrText xml:space="preserve"> </w:instrText>
      </w:r>
      <w:r>
        <w:rPr>
          <w:rFonts w:ascii="宋体" w:hAnsi="宋体"/>
        </w:rPr>
        <w:fldChar w:fldCharType="end"/>
      </w:r>
    </w:p>
    <w:p w14:paraId="146FDFF0" w14:textId="7C50B353" w:rsidR="000F3643" w:rsidRDefault="000F3643"/>
    <w:p w14:paraId="2F370743" w14:textId="765B6712" w:rsidR="000F3643" w:rsidRDefault="000F3643"/>
    <w:sectPr w:rsidR="000F3643" w:rsidSect="00AF5A12">
      <w:headerReference w:type="default" r:id="rId8"/>
      <w:pgSz w:w="11906" w:h="16838"/>
      <w:pgMar w:top="1528" w:right="1274" w:bottom="1440" w:left="1800" w:header="855"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44963" w14:textId="77777777" w:rsidR="000563AC" w:rsidRDefault="000563AC" w:rsidP="00365E23">
      <w:r>
        <w:separator/>
      </w:r>
    </w:p>
  </w:endnote>
  <w:endnote w:type="continuationSeparator" w:id="0">
    <w:p w14:paraId="362761C2" w14:textId="77777777" w:rsidR="000563AC" w:rsidRDefault="000563AC"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3ED26" w14:textId="77777777" w:rsidR="000563AC" w:rsidRDefault="000563AC" w:rsidP="00365E23">
      <w:r>
        <w:separator/>
      </w:r>
    </w:p>
  </w:footnote>
  <w:footnote w:type="continuationSeparator" w:id="0">
    <w:p w14:paraId="1460A47A" w14:textId="77777777" w:rsidR="000563AC" w:rsidRDefault="000563AC"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764F" w14:textId="397964C9" w:rsidR="00672F15" w:rsidRPr="00672F15" w:rsidRDefault="000563AC">
    <w:pPr>
      <w:pStyle w:val="af"/>
      <w:rPr>
        <w:rFonts w:ascii="宋体" w:hAnsi="宋体"/>
      </w:rPr>
    </w:pPr>
    <w:sdt>
      <w:sdtPr>
        <w:rPr>
          <w:rFonts w:ascii="宋体" w:hAnsi="宋体" w:hint="eastAsia"/>
        </w:rPr>
        <w:alias w:val="公司法定中文名称"/>
        <w:tag w:val="_GBC_c4808a6d1817485fbc77c332d88f8f35"/>
        <w:id w:val="1335029295"/>
        <w:dataBinding w:prefixMappings="xmlns:clcid-cgi='clcid-cgi'" w:xpath="/*/clcid-cgi:GongSiFaDingZhongWenMingCheng[not(@periodRef)]" w:storeItemID="{89EBAB94-44A0-46A2-B712-30D997D04A6D}"/>
        <w:text/>
      </w:sdtPr>
      <w:sdtEndPr/>
      <w:sdtContent>
        <w:proofErr w:type="gramStart"/>
        <w:r w:rsidR="00672F15" w:rsidRPr="00672F15">
          <w:rPr>
            <w:rFonts w:ascii="宋体" w:hAnsi="宋体" w:hint="eastAsia"/>
          </w:rPr>
          <w:t>重庆望变电气</w:t>
        </w:r>
        <w:proofErr w:type="gramEnd"/>
        <w:r w:rsidR="00672F15" w:rsidRPr="00672F15">
          <w:rPr>
            <w:rFonts w:ascii="宋体" w:hAnsi="宋体" w:hint="eastAsia"/>
          </w:rPr>
          <w:t>（集团）股份有限公司</w:t>
        </w:r>
      </w:sdtContent>
    </w:sdt>
    <w:r w:rsidR="00672F15" w:rsidRPr="00672F15">
      <w:rPr>
        <w:rFonts w:ascii="宋体" w:hAnsi="宋体" w:hint="eastAsia"/>
      </w:rPr>
      <w:t>2</w:t>
    </w:r>
    <w:r w:rsidR="00672F15" w:rsidRPr="00672F15">
      <w:rPr>
        <w:rFonts w:ascii="宋体" w:hAnsi="宋体"/>
      </w:rPr>
      <w:t>025年半年度报告摘要</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406"/>
    <w:multiLevelType w:val="multilevel"/>
    <w:tmpl w:val="21C26D54"/>
    <w:styleLink w:val="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0122678"/>
    <w:multiLevelType w:val="multilevel"/>
    <w:tmpl w:val="21C26D54"/>
    <w:numStyleLink w:val="4"/>
  </w:abstractNum>
  <w:abstractNum w:abstractNumId="2" w15:restartNumberingAfterBreak="0">
    <w:nsid w:val="14135AC6"/>
    <w:multiLevelType w:val="hybridMultilevel"/>
    <w:tmpl w:val="13C826C0"/>
    <w:lvl w:ilvl="0" w:tplc="0504ECA8">
      <w:start w:val="1"/>
      <w:numFmt w:val="decimal"/>
      <w:lvlText w:val="3.%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7B4F61"/>
    <w:multiLevelType w:val="multilevel"/>
    <w:tmpl w:val="DA6E33D8"/>
    <w:lvl w:ilvl="0">
      <w:start w:val="1"/>
      <w:numFmt w:val="decimal"/>
      <w:lvlText w:val="1.%1"/>
      <w:lvlJc w:val="left"/>
      <w:pPr>
        <w:ind w:left="425" w:hanging="425"/>
      </w:pPr>
      <w:rPr>
        <w:rFonts w:asciiTheme="minorEastAsia" w:eastAsiaTheme="minorEastAsia" w:hAnsiTheme="minorEastAsia"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CF75648"/>
    <w:multiLevelType w:val="multilevel"/>
    <w:tmpl w:val="E910A016"/>
    <w:lvl w:ilvl="0">
      <w:start w:val="1"/>
      <w:numFmt w:val="decimal"/>
      <w:lvlText w:val="%1"/>
      <w:lvlJc w:val="left"/>
      <w:pPr>
        <w:ind w:left="425" w:hanging="425"/>
      </w:pPr>
      <w:rPr>
        <w:rFonts w:ascii="宋体" w:eastAsia="宋体" w:hAnsi="宋体" w:hint="eastAsia"/>
        <w:sz w:val="21"/>
        <w:szCs w:val="21"/>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04F3B0A"/>
    <w:multiLevelType w:val="multilevel"/>
    <w:tmpl w:val="F920FA50"/>
    <w:name w:val="main"/>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46C0E3A"/>
    <w:multiLevelType w:val="multilevel"/>
    <w:tmpl w:val="F920FA50"/>
    <w:name w:val="main2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57F3F53"/>
    <w:multiLevelType w:val="hybridMultilevel"/>
    <w:tmpl w:val="2F100250"/>
    <w:lvl w:ilvl="0" w:tplc="6A686F68">
      <w:start w:val="1"/>
      <w:numFmt w:val="decimal"/>
      <w:lvlText w:val="1.%1"/>
      <w:lvlJc w:val="right"/>
      <w:pPr>
        <w:ind w:left="210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374A22"/>
    <w:multiLevelType w:val="hybridMultilevel"/>
    <w:tmpl w:val="8FA08058"/>
    <w:lvl w:ilvl="0" w:tplc="F05A586A">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771493"/>
    <w:multiLevelType w:val="multilevel"/>
    <w:tmpl w:val="D8E42A32"/>
    <w:styleLink w:val="6"/>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E50D1B"/>
    <w:multiLevelType w:val="multilevel"/>
    <w:tmpl w:val="FDAA18C4"/>
    <w:styleLink w:val="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2AC0AED"/>
    <w:multiLevelType w:val="hybridMultilevel"/>
    <w:tmpl w:val="991EABE4"/>
    <w:lvl w:ilvl="0" w:tplc="B2A05454">
      <w:start w:val="1"/>
      <w:numFmt w:val="decimal"/>
      <w:lvlText w:val="1.%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26805F7"/>
    <w:multiLevelType w:val="hybridMultilevel"/>
    <w:tmpl w:val="F6966332"/>
    <w:lvl w:ilvl="0" w:tplc="14D6A02E">
      <w:start w:val="1"/>
      <w:numFmt w:val="decimal"/>
      <w:lvlText w:val="4.%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6356205D"/>
    <w:multiLevelType w:val="multilevel"/>
    <w:tmpl w:val="BC8CCCBA"/>
    <w:styleLink w:val="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4BA0CC9"/>
    <w:multiLevelType w:val="multilevel"/>
    <w:tmpl w:val="D8E42A32"/>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DD71B09"/>
    <w:multiLevelType w:val="multilevel"/>
    <w:tmpl w:val="79F88348"/>
    <w:lvl w:ilvl="0">
      <w:start w:val="1"/>
      <w:numFmt w:val="decimal"/>
      <w:lvlText w:val="2.%1"/>
      <w:lvlJc w:val="left"/>
      <w:pPr>
        <w:ind w:left="425" w:hanging="425"/>
      </w:pPr>
      <w:rPr>
        <w:rFonts w:asciiTheme="minorEastAsia" w:eastAsiaTheme="minorEastAsia" w:hAnsiTheme="minorEastAsia"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10E79EC"/>
    <w:multiLevelType w:val="multilevel"/>
    <w:tmpl w:val="AEACA9CE"/>
    <w:name w:val="main2"/>
    <w:styleLink w:val="3"/>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3315F9F"/>
    <w:multiLevelType w:val="multilevel"/>
    <w:tmpl w:val="AEACA9CE"/>
    <w:name w:val="main22"/>
    <w:numStyleLink w:val="3"/>
  </w:abstractNum>
  <w:abstractNum w:abstractNumId="23" w15:restartNumberingAfterBreak="0">
    <w:nsid w:val="7A7E0CFB"/>
    <w:multiLevelType w:val="multilevel"/>
    <w:tmpl w:val="D8E42A32"/>
    <w:numStyleLink w:val="6"/>
  </w:abstractNum>
  <w:abstractNum w:abstractNumId="24" w15:restartNumberingAfterBreak="0">
    <w:nsid w:val="7D9E582A"/>
    <w:multiLevelType w:val="multilevel"/>
    <w:tmpl w:val="661C989C"/>
    <w:styleLink w:val="5"/>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6"/>
  </w:num>
  <w:num w:numId="2">
    <w:abstractNumId w:val="18"/>
  </w:num>
  <w:num w:numId="3">
    <w:abstractNumId w:val="21"/>
  </w:num>
  <w:num w:numId="4">
    <w:abstractNumId w:val="1"/>
  </w:num>
  <w:num w:numId="5">
    <w:abstractNumId w:val="0"/>
  </w:num>
  <w:num w:numId="6">
    <w:abstractNumId w:val="24"/>
  </w:num>
  <w:num w:numId="7">
    <w:abstractNumId w:val="23"/>
    <w:lvlOverride w:ilvl="0">
      <w:lvl w:ilvl="0">
        <w:start w:val="1"/>
        <w:numFmt w:val="decimal"/>
        <w:lvlText w:val="%1"/>
        <w:lvlJc w:val="left"/>
        <w:pPr>
          <w:ind w:left="425" w:hanging="425"/>
        </w:pPr>
        <w:rPr>
          <w:rFonts w:hint="eastAsia"/>
          <w:color w:val="auto"/>
          <w:u w:val="none"/>
        </w:rPr>
      </w:lvl>
    </w:lvlOverride>
    <w:lvlOverride w:ilvl="1">
      <w:lvl w:ilvl="1">
        <w:start w:val="1"/>
        <w:numFmt w:val="decimal"/>
        <w:suff w:val="space"/>
        <w:lvlText w:val="%1.%2"/>
        <w:lvlJc w:val="left"/>
        <w:pPr>
          <w:ind w:left="992" w:hanging="567"/>
        </w:pPr>
        <w:rPr>
          <w:rFonts w:ascii="宋体" w:eastAsia="宋体" w:hAnsi="宋体" w:hint="eastAsia"/>
          <w:b w:val="0"/>
          <w:color w:val="auto"/>
        </w:rPr>
      </w:lvl>
    </w:lvlOverride>
    <w:lvlOverride w:ilvl="2">
      <w:lvl w:ilvl="2">
        <w:start w:val="1"/>
        <w:numFmt w:val="chineseCountingThousand"/>
        <w:lvlText w:val="（%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8">
    <w:abstractNumId w:val="11"/>
  </w:num>
  <w:num w:numId="9">
    <w:abstractNumId w:val="13"/>
  </w:num>
  <w:num w:numId="10">
    <w:abstractNumId w:val="2"/>
  </w:num>
  <w:num w:numId="11">
    <w:abstractNumId w:val="19"/>
  </w:num>
  <w:num w:numId="12">
    <w:abstractNumId w:val="8"/>
  </w:num>
  <w:num w:numId="13">
    <w:abstractNumId w:val="15"/>
  </w:num>
  <w:num w:numId="14">
    <w:abstractNumId w:val="17"/>
  </w:num>
  <w:num w:numId="15">
    <w:abstractNumId w:val="10"/>
  </w:num>
  <w:num w:numId="16">
    <w:abstractNumId w:val="9"/>
  </w:num>
  <w:num w:numId="17">
    <w:abstractNumId w:val="23"/>
    <w:lvlOverride w:ilvl="0">
      <w:lvl w:ilvl="0">
        <w:start w:val="1"/>
        <w:numFmt w:val="decimal"/>
        <w:lvlText w:val="%1.1"/>
        <w:lvlJc w:val="right"/>
        <w:pPr>
          <w:ind w:left="2100" w:hanging="420"/>
        </w:pPr>
        <w:rPr>
          <w:rFonts w:hint="eastAsia"/>
        </w:rPr>
      </w:lvl>
    </w:lvlOverride>
    <w:lvlOverride w:ilvl="1">
      <w:lvl w:ilvl="1">
        <w:start w:val="1"/>
        <w:numFmt w:val="lowerLetter"/>
        <w:lvlText w:val="%2)"/>
        <w:lvlJc w:val="left"/>
        <w:pPr>
          <w:ind w:left="840" w:hanging="420"/>
        </w:pPr>
        <w:rPr>
          <w:rFonts w:hint="eastAsia"/>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18">
    <w:abstractNumId w:val="3"/>
  </w:num>
  <w:num w:numId="19">
    <w:abstractNumId w:val="12"/>
  </w:num>
  <w:num w:numId="20">
    <w:abstractNumId w:val="4"/>
  </w:num>
  <w:num w:numId="21">
    <w:abstractNumId w:val="7"/>
  </w:num>
  <w:num w:numId="22">
    <w:abstractNumId w:val="14"/>
  </w:num>
  <w:num w:numId="23">
    <w:abstractNumId w:val="20"/>
  </w:num>
  <w:num w:numId="24">
    <w:abstractNumId w:val="23"/>
    <w:lvlOverride w:ilvl="0">
      <w:lvl w:ilvl="0">
        <w:start w:val="1"/>
        <w:numFmt w:val="decimal"/>
        <w:lvlText w:val="%1."/>
        <w:lvlJc w:val="left"/>
        <w:pPr>
          <w:ind w:left="840" w:hanging="420"/>
        </w:pPr>
        <w:rPr>
          <w:rFonts w:hint="eastAsia"/>
        </w:rPr>
      </w:lvl>
    </w:lvlOverride>
    <w:lvlOverride w:ilvl="1">
      <w:lvl w:ilvl="1">
        <w:start w:val="1"/>
        <w:numFmt w:val="decimal"/>
        <w:lvlText w:val="%2"/>
        <w:lvlJc w:val="left"/>
        <w:pPr>
          <w:ind w:left="840" w:hanging="420"/>
        </w:pPr>
        <w:rPr>
          <w:rFonts w:ascii="宋体" w:eastAsia="宋体" w:hAnsi="宋体" w:hint="eastAsia"/>
          <w:b/>
          <w:color w:val="auto"/>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DD256F"/>
    <w:rsid w:val="00002973"/>
    <w:rsid w:val="0000568D"/>
    <w:rsid w:val="00011C95"/>
    <w:rsid w:val="00014DD5"/>
    <w:rsid w:val="00017CF8"/>
    <w:rsid w:val="0002110B"/>
    <w:rsid w:val="00022C3F"/>
    <w:rsid w:val="000254C6"/>
    <w:rsid w:val="0002612F"/>
    <w:rsid w:val="000271B5"/>
    <w:rsid w:val="000317E9"/>
    <w:rsid w:val="00031A88"/>
    <w:rsid w:val="00034983"/>
    <w:rsid w:val="00034FF7"/>
    <w:rsid w:val="00036357"/>
    <w:rsid w:val="000429ED"/>
    <w:rsid w:val="00044398"/>
    <w:rsid w:val="000451ED"/>
    <w:rsid w:val="000461BB"/>
    <w:rsid w:val="00051708"/>
    <w:rsid w:val="00051BE5"/>
    <w:rsid w:val="00052C25"/>
    <w:rsid w:val="00055C3F"/>
    <w:rsid w:val="000563AC"/>
    <w:rsid w:val="000569CC"/>
    <w:rsid w:val="00057851"/>
    <w:rsid w:val="00057A41"/>
    <w:rsid w:val="0006013C"/>
    <w:rsid w:val="00060230"/>
    <w:rsid w:val="000612A1"/>
    <w:rsid w:val="00062AA3"/>
    <w:rsid w:val="00063893"/>
    <w:rsid w:val="00065B7B"/>
    <w:rsid w:val="00071950"/>
    <w:rsid w:val="00076117"/>
    <w:rsid w:val="00077EAC"/>
    <w:rsid w:val="00080509"/>
    <w:rsid w:val="00082A1A"/>
    <w:rsid w:val="00084008"/>
    <w:rsid w:val="000841ED"/>
    <w:rsid w:val="00085C01"/>
    <w:rsid w:val="000868AD"/>
    <w:rsid w:val="00090ADC"/>
    <w:rsid w:val="0009141B"/>
    <w:rsid w:val="00091DDA"/>
    <w:rsid w:val="0009228C"/>
    <w:rsid w:val="00092E64"/>
    <w:rsid w:val="000955B9"/>
    <w:rsid w:val="00096AC8"/>
    <w:rsid w:val="0009799B"/>
    <w:rsid w:val="000A104B"/>
    <w:rsid w:val="000A4309"/>
    <w:rsid w:val="000B14EF"/>
    <w:rsid w:val="000B56BC"/>
    <w:rsid w:val="000B5F96"/>
    <w:rsid w:val="000B78AC"/>
    <w:rsid w:val="000C0519"/>
    <w:rsid w:val="000C3C1E"/>
    <w:rsid w:val="000C4612"/>
    <w:rsid w:val="000C4C03"/>
    <w:rsid w:val="000C5B78"/>
    <w:rsid w:val="000C698C"/>
    <w:rsid w:val="000C6DAE"/>
    <w:rsid w:val="000C7C71"/>
    <w:rsid w:val="000D3B07"/>
    <w:rsid w:val="000D7213"/>
    <w:rsid w:val="000D7307"/>
    <w:rsid w:val="000D7A97"/>
    <w:rsid w:val="000D7D0B"/>
    <w:rsid w:val="000E0E15"/>
    <w:rsid w:val="000E518E"/>
    <w:rsid w:val="000E6005"/>
    <w:rsid w:val="000E7C1C"/>
    <w:rsid w:val="000E7F4A"/>
    <w:rsid w:val="000F192B"/>
    <w:rsid w:val="000F3643"/>
    <w:rsid w:val="0010092D"/>
    <w:rsid w:val="00101D94"/>
    <w:rsid w:val="001026CF"/>
    <w:rsid w:val="00103439"/>
    <w:rsid w:val="001053C3"/>
    <w:rsid w:val="00105C16"/>
    <w:rsid w:val="00106C83"/>
    <w:rsid w:val="00111ADB"/>
    <w:rsid w:val="00111E23"/>
    <w:rsid w:val="001165AE"/>
    <w:rsid w:val="00116D81"/>
    <w:rsid w:val="00117960"/>
    <w:rsid w:val="001208DD"/>
    <w:rsid w:val="00120FFA"/>
    <w:rsid w:val="0012160B"/>
    <w:rsid w:val="00123F0A"/>
    <w:rsid w:val="001247D4"/>
    <w:rsid w:val="001248A6"/>
    <w:rsid w:val="00126CBD"/>
    <w:rsid w:val="00127157"/>
    <w:rsid w:val="001304AD"/>
    <w:rsid w:val="00133739"/>
    <w:rsid w:val="00134553"/>
    <w:rsid w:val="00134FF0"/>
    <w:rsid w:val="00135853"/>
    <w:rsid w:val="00136A9A"/>
    <w:rsid w:val="00142014"/>
    <w:rsid w:val="00142CB0"/>
    <w:rsid w:val="00143F2D"/>
    <w:rsid w:val="00146CA5"/>
    <w:rsid w:val="001519E8"/>
    <w:rsid w:val="00152EC5"/>
    <w:rsid w:val="001543D4"/>
    <w:rsid w:val="0015450F"/>
    <w:rsid w:val="0015523D"/>
    <w:rsid w:val="001575B8"/>
    <w:rsid w:val="00161CAF"/>
    <w:rsid w:val="00162139"/>
    <w:rsid w:val="00162669"/>
    <w:rsid w:val="0016496D"/>
    <w:rsid w:val="00174686"/>
    <w:rsid w:val="001816A6"/>
    <w:rsid w:val="00186C23"/>
    <w:rsid w:val="00190753"/>
    <w:rsid w:val="0019126B"/>
    <w:rsid w:val="00191BFF"/>
    <w:rsid w:val="00192CCC"/>
    <w:rsid w:val="00192D64"/>
    <w:rsid w:val="00192FFF"/>
    <w:rsid w:val="001935E1"/>
    <w:rsid w:val="00194F95"/>
    <w:rsid w:val="00195DFE"/>
    <w:rsid w:val="001A1D27"/>
    <w:rsid w:val="001A37C6"/>
    <w:rsid w:val="001A582E"/>
    <w:rsid w:val="001A6342"/>
    <w:rsid w:val="001A652B"/>
    <w:rsid w:val="001B0B8E"/>
    <w:rsid w:val="001B2BA8"/>
    <w:rsid w:val="001B4AD8"/>
    <w:rsid w:val="001D19A9"/>
    <w:rsid w:val="001D2C3C"/>
    <w:rsid w:val="001D7DDF"/>
    <w:rsid w:val="001E00D9"/>
    <w:rsid w:val="001E18AC"/>
    <w:rsid w:val="001E510D"/>
    <w:rsid w:val="001E55CD"/>
    <w:rsid w:val="001E5F29"/>
    <w:rsid w:val="001E70D4"/>
    <w:rsid w:val="001F019F"/>
    <w:rsid w:val="001F07B9"/>
    <w:rsid w:val="001F11C9"/>
    <w:rsid w:val="001F30EE"/>
    <w:rsid w:val="001F33A0"/>
    <w:rsid w:val="001F3BF1"/>
    <w:rsid w:val="001F3C0E"/>
    <w:rsid w:val="001F453B"/>
    <w:rsid w:val="0020136B"/>
    <w:rsid w:val="0020353C"/>
    <w:rsid w:val="00205758"/>
    <w:rsid w:val="00205C40"/>
    <w:rsid w:val="00207D36"/>
    <w:rsid w:val="00210D79"/>
    <w:rsid w:val="002125FF"/>
    <w:rsid w:val="00213330"/>
    <w:rsid w:val="002148A9"/>
    <w:rsid w:val="0021603C"/>
    <w:rsid w:val="00216604"/>
    <w:rsid w:val="002202B4"/>
    <w:rsid w:val="00220E16"/>
    <w:rsid w:val="00220E1F"/>
    <w:rsid w:val="0022224C"/>
    <w:rsid w:val="00222350"/>
    <w:rsid w:val="00225079"/>
    <w:rsid w:val="002266FB"/>
    <w:rsid w:val="00230827"/>
    <w:rsid w:val="002329B1"/>
    <w:rsid w:val="0023599E"/>
    <w:rsid w:val="00241B2E"/>
    <w:rsid w:val="002434A7"/>
    <w:rsid w:val="00243E6E"/>
    <w:rsid w:val="00245567"/>
    <w:rsid w:val="00251048"/>
    <w:rsid w:val="0025183D"/>
    <w:rsid w:val="0025354A"/>
    <w:rsid w:val="002536AC"/>
    <w:rsid w:val="00255F17"/>
    <w:rsid w:val="00260266"/>
    <w:rsid w:val="00261101"/>
    <w:rsid w:val="0026118D"/>
    <w:rsid w:val="002623D2"/>
    <w:rsid w:val="00264752"/>
    <w:rsid w:val="00266C1D"/>
    <w:rsid w:val="00267FCC"/>
    <w:rsid w:val="00274349"/>
    <w:rsid w:val="002769EA"/>
    <w:rsid w:val="00280288"/>
    <w:rsid w:val="0028258F"/>
    <w:rsid w:val="00284222"/>
    <w:rsid w:val="0028465C"/>
    <w:rsid w:val="00284A21"/>
    <w:rsid w:val="002851FB"/>
    <w:rsid w:val="00286B4B"/>
    <w:rsid w:val="002956C2"/>
    <w:rsid w:val="002A150F"/>
    <w:rsid w:val="002A2C89"/>
    <w:rsid w:val="002A2D73"/>
    <w:rsid w:val="002A3EC6"/>
    <w:rsid w:val="002A4F95"/>
    <w:rsid w:val="002B32FC"/>
    <w:rsid w:val="002B3A99"/>
    <w:rsid w:val="002B5024"/>
    <w:rsid w:val="002B7948"/>
    <w:rsid w:val="002C0375"/>
    <w:rsid w:val="002C1524"/>
    <w:rsid w:val="002C2C31"/>
    <w:rsid w:val="002C30A7"/>
    <w:rsid w:val="002C522F"/>
    <w:rsid w:val="002C62A6"/>
    <w:rsid w:val="002C6F73"/>
    <w:rsid w:val="002C7F97"/>
    <w:rsid w:val="002D11A3"/>
    <w:rsid w:val="002D16DB"/>
    <w:rsid w:val="002D2F34"/>
    <w:rsid w:val="002D4803"/>
    <w:rsid w:val="002E0263"/>
    <w:rsid w:val="002E06BD"/>
    <w:rsid w:val="002E149C"/>
    <w:rsid w:val="002E5C33"/>
    <w:rsid w:val="002E6ABC"/>
    <w:rsid w:val="002F0E56"/>
    <w:rsid w:val="002F0F92"/>
    <w:rsid w:val="002F52A7"/>
    <w:rsid w:val="002F560B"/>
    <w:rsid w:val="002F660C"/>
    <w:rsid w:val="003000CA"/>
    <w:rsid w:val="003010F2"/>
    <w:rsid w:val="00303809"/>
    <w:rsid w:val="00305947"/>
    <w:rsid w:val="00305CC3"/>
    <w:rsid w:val="00311B1F"/>
    <w:rsid w:val="00313DEC"/>
    <w:rsid w:val="003155D2"/>
    <w:rsid w:val="0031588D"/>
    <w:rsid w:val="00316E30"/>
    <w:rsid w:val="00317C18"/>
    <w:rsid w:val="00320332"/>
    <w:rsid w:val="00320996"/>
    <w:rsid w:val="003226F3"/>
    <w:rsid w:val="00323C4E"/>
    <w:rsid w:val="00330B40"/>
    <w:rsid w:val="0033515F"/>
    <w:rsid w:val="00335474"/>
    <w:rsid w:val="003363FB"/>
    <w:rsid w:val="00336BE8"/>
    <w:rsid w:val="00340BFC"/>
    <w:rsid w:val="00345754"/>
    <w:rsid w:val="003469F1"/>
    <w:rsid w:val="00346A8C"/>
    <w:rsid w:val="003501F6"/>
    <w:rsid w:val="00351FD4"/>
    <w:rsid w:val="003528AE"/>
    <w:rsid w:val="00353F5A"/>
    <w:rsid w:val="0035403B"/>
    <w:rsid w:val="00355767"/>
    <w:rsid w:val="00360520"/>
    <w:rsid w:val="003617B8"/>
    <w:rsid w:val="003619CD"/>
    <w:rsid w:val="00365E23"/>
    <w:rsid w:val="00366A62"/>
    <w:rsid w:val="00366BFF"/>
    <w:rsid w:val="0036747E"/>
    <w:rsid w:val="00367FA9"/>
    <w:rsid w:val="0037071A"/>
    <w:rsid w:val="0037385B"/>
    <w:rsid w:val="00383470"/>
    <w:rsid w:val="003839AB"/>
    <w:rsid w:val="003861D5"/>
    <w:rsid w:val="00391ABF"/>
    <w:rsid w:val="00392161"/>
    <w:rsid w:val="00395F99"/>
    <w:rsid w:val="0039687E"/>
    <w:rsid w:val="003A063D"/>
    <w:rsid w:val="003A1746"/>
    <w:rsid w:val="003A46E9"/>
    <w:rsid w:val="003B0E83"/>
    <w:rsid w:val="003B0E84"/>
    <w:rsid w:val="003B45C0"/>
    <w:rsid w:val="003B5F93"/>
    <w:rsid w:val="003B769E"/>
    <w:rsid w:val="003C0BEE"/>
    <w:rsid w:val="003C1AD3"/>
    <w:rsid w:val="003C1BE5"/>
    <w:rsid w:val="003C2077"/>
    <w:rsid w:val="003C2E3B"/>
    <w:rsid w:val="003C30BF"/>
    <w:rsid w:val="003C33A6"/>
    <w:rsid w:val="003C59FC"/>
    <w:rsid w:val="003D0AB5"/>
    <w:rsid w:val="003D1340"/>
    <w:rsid w:val="003D1C65"/>
    <w:rsid w:val="003D3799"/>
    <w:rsid w:val="003D583D"/>
    <w:rsid w:val="003D58FC"/>
    <w:rsid w:val="003E0471"/>
    <w:rsid w:val="003E0BC2"/>
    <w:rsid w:val="003E24F8"/>
    <w:rsid w:val="003E3CBD"/>
    <w:rsid w:val="003E3DEE"/>
    <w:rsid w:val="003E7B17"/>
    <w:rsid w:val="003F1776"/>
    <w:rsid w:val="003F4E89"/>
    <w:rsid w:val="003F698E"/>
    <w:rsid w:val="0040554F"/>
    <w:rsid w:val="00405EEC"/>
    <w:rsid w:val="0040653C"/>
    <w:rsid w:val="00406907"/>
    <w:rsid w:val="00406E86"/>
    <w:rsid w:val="00407B05"/>
    <w:rsid w:val="00410CAB"/>
    <w:rsid w:val="00413FC0"/>
    <w:rsid w:val="004145B2"/>
    <w:rsid w:val="00415554"/>
    <w:rsid w:val="00421E3C"/>
    <w:rsid w:val="004228DD"/>
    <w:rsid w:val="004237CA"/>
    <w:rsid w:val="004238BC"/>
    <w:rsid w:val="00425B7D"/>
    <w:rsid w:val="00430F77"/>
    <w:rsid w:val="00432EBC"/>
    <w:rsid w:val="00441B6E"/>
    <w:rsid w:val="00442EB8"/>
    <w:rsid w:val="00442EDC"/>
    <w:rsid w:val="00444AD2"/>
    <w:rsid w:val="00444B4E"/>
    <w:rsid w:val="00444B5E"/>
    <w:rsid w:val="004476C3"/>
    <w:rsid w:val="00447931"/>
    <w:rsid w:val="00447D76"/>
    <w:rsid w:val="00452A0A"/>
    <w:rsid w:val="00453C6A"/>
    <w:rsid w:val="004546AB"/>
    <w:rsid w:val="00455C8B"/>
    <w:rsid w:val="00460901"/>
    <w:rsid w:val="00462650"/>
    <w:rsid w:val="00470727"/>
    <w:rsid w:val="00472192"/>
    <w:rsid w:val="0047229B"/>
    <w:rsid w:val="00472F7C"/>
    <w:rsid w:val="004843F9"/>
    <w:rsid w:val="00486355"/>
    <w:rsid w:val="00486A29"/>
    <w:rsid w:val="00486B85"/>
    <w:rsid w:val="004873DD"/>
    <w:rsid w:val="0048770D"/>
    <w:rsid w:val="00487D34"/>
    <w:rsid w:val="00492036"/>
    <w:rsid w:val="00492045"/>
    <w:rsid w:val="0049241E"/>
    <w:rsid w:val="00492A2E"/>
    <w:rsid w:val="00495B68"/>
    <w:rsid w:val="004960DF"/>
    <w:rsid w:val="00497DEE"/>
    <w:rsid w:val="004A299F"/>
    <w:rsid w:val="004A4F80"/>
    <w:rsid w:val="004B079A"/>
    <w:rsid w:val="004B19D0"/>
    <w:rsid w:val="004B49CD"/>
    <w:rsid w:val="004B4CF8"/>
    <w:rsid w:val="004C146B"/>
    <w:rsid w:val="004C1D84"/>
    <w:rsid w:val="004C3F82"/>
    <w:rsid w:val="004C5F07"/>
    <w:rsid w:val="004D20A4"/>
    <w:rsid w:val="004D21A7"/>
    <w:rsid w:val="004D2FBE"/>
    <w:rsid w:val="004D4A29"/>
    <w:rsid w:val="004D6606"/>
    <w:rsid w:val="004D73C3"/>
    <w:rsid w:val="004E6016"/>
    <w:rsid w:val="004E6F3B"/>
    <w:rsid w:val="004F0557"/>
    <w:rsid w:val="004F2D90"/>
    <w:rsid w:val="004F42CB"/>
    <w:rsid w:val="004F4CF9"/>
    <w:rsid w:val="004F7901"/>
    <w:rsid w:val="0050076F"/>
    <w:rsid w:val="00503CDD"/>
    <w:rsid w:val="00506F5C"/>
    <w:rsid w:val="00507C75"/>
    <w:rsid w:val="005104A4"/>
    <w:rsid w:val="0051274A"/>
    <w:rsid w:val="005129AB"/>
    <w:rsid w:val="00515988"/>
    <w:rsid w:val="00515DBA"/>
    <w:rsid w:val="005179B0"/>
    <w:rsid w:val="00517E80"/>
    <w:rsid w:val="00520482"/>
    <w:rsid w:val="005215E0"/>
    <w:rsid w:val="00523D5B"/>
    <w:rsid w:val="00523EA3"/>
    <w:rsid w:val="0052506F"/>
    <w:rsid w:val="00525A58"/>
    <w:rsid w:val="00527F62"/>
    <w:rsid w:val="00537615"/>
    <w:rsid w:val="00541825"/>
    <w:rsid w:val="005426BA"/>
    <w:rsid w:val="00544A5D"/>
    <w:rsid w:val="00547AD7"/>
    <w:rsid w:val="00550495"/>
    <w:rsid w:val="00550FDD"/>
    <w:rsid w:val="00552077"/>
    <w:rsid w:val="00552691"/>
    <w:rsid w:val="0055474A"/>
    <w:rsid w:val="00554A09"/>
    <w:rsid w:val="00556983"/>
    <w:rsid w:val="00557851"/>
    <w:rsid w:val="00560FC4"/>
    <w:rsid w:val="005657AD"/>
    <w:rsid w:val="00565FDF"/>
    <w:rsid w:val="00566723"/>
    <w:rsid w:val="00567A71"/>
    <w:rsid w:val="005718DF"/>
    <w:rsid w:val="00573B17"/>
    <w:rsid w:val="005748E7"/>
    <w:rsid w:val="0057630C"/>
    <w:rsid w:val="0057734E"/>
    <w:rsid w:val="005865B8"/>
    <w:rsid w:val="005874FE"/>
    <w:rsid w:val="00587BDA"/>
    <w:rsid w:val="00596609"/>
    <w:rsid w:val="00596DC3"/>
    <w:rsid w:val="00596E5F"/>
    <w:rsid w:val="00597B18"/>
    <w:rsid w:val="005A04B3"/>
    <w:rsid w:val="005A22E4"/>
    <w:rsid w:val="005A2DF6"/>
    <w:rsid w:val="005A3E3B"/>
    <w:rsid w:val="005A4BCE"/>
    <w:rsid w:val="005A53D6"/>
    <w:rsid w:val="005A558F"/>
    <w:rsid w:val="005B2906"/>
    <w:rsid w:val="005B338D"/>
    <w:rsid w:val="005B4B05"/>
    <w:rsid w:val="005B77E1"/>
    <w:rsid w:val="005C254C"/>
    <w:rsid w:val="005C2B04"/>
    <w:rsid w:val="005C33FC"/>
    <w:rsid w:val="005C566B"/>
    <w:rsid w:val="005D7BD2"/>
    <w:rsid w:val="005E35CB"/>
    <w:rsid w:val="005E5591"/>
    <w:rsid w:val="005E5653"/>
    <w:rsid w:val="005F1919"/>
    <w:rsid w:val="005F5AD2"/>
    <w:rsid w:val="005F783A"/>
    <w:rsid w:val="006005CA"/>
    <w:rsid w:val="00601A8A"/>
    <w:rsid w:val="00603DCC"/>
    <w:rsid w:val="00607193"/>
    <w:rsid w:val="006122DF"/>
    <w:rsid w:val="006125A9"/>
    <w:rsid w:val="00613663"/>
    <w:rsid w:val="00614245"/>
    <w:rsid w:val="00615D66"/>
    <w:rsid w:val="00616875"/>
    <w:rsid w:val="0061787B"/>
    <w:rsid w:val="00620496"/>
    <w:rsid w:val="006208F8"/>
    <w:rsid w:val="00620E9D"/>
    <w:rsid w:val="00621156"/>
    <w:rsid w:val="0062248D"/>
    <w:rsid w:val="00623C25"/>
    <w:rsid w:val="00624B7B"/>
    <w:rsid w:val="00625EE6"/>
    <w:rsid w:val="00626E28"/>
    <w:rsid w:val="00626E78"/>
    <w:rsid w:val="00627E1A"/>
    <w:rsid w:val="006315D7"/>
    <w:rsid w:val="006334CB"/>
    <w:rsid w:val="00637509"/>
    <w:rsid w:val="006378A7"/>
    <w:rsid w:val="006404D3"/>
    <w:rsid w:val="006424A0"/>
    <w:rsid w:val="00642693"/>
    <w:rsid w:val="00643180"/>
    <w:rsid w:val="006466BA"/>
    <w:rsid w:val="00650BD9"/>
    <w:rsid w:val="00651B15"/>
    <w:rsid w:val="00652944"/>
    <w:rsid w:val="00660BFA"/>
    <w:rsid w:val="00660DA2"/>
    <w:rsid w:val="006659AB"/>
    <w:rsid w:val="006672F9"/>
    <w:rsid w:val="0067038F"/>
    <w:rsid w:val="006712F9"/>
    <w:rsid w:val="00672F15"/>
    <w:rsid w:val="006738EC"/>
    <w:rsid w:val="0067525C"/>
    <w:rsid w:val="00676D09"/>
    <w:rsid w:val="0067704A"/>
    <w:rsid w:val="0067705D"/>
    <w:rsid w:val="006772D2"/>
    <w:rsid w:val="00677775"/>
    <w:rsid w:val="00680102"/>
    <w:rsid w:val="00680CEF"/>
    <w:rsid w:val="0068143C"/>
    <w:rsid w:val="006817E5"/>
    <w:rsid w:val="006855EA"/>
    <w:rsid w:val="00690310"/>
    <w:rsid w:val="00691E79"/>
    <w:rsid w:val="00692738"/>
    <w:rsid w:val="006935E5"/>
    <w:rsid w:val="00694818"/>
    <w:rsid w:val="006A092C"/>
    <w:rsid w:val="006A0F0F"/>
    <w:rsid w:val="006A20A2"/>
    <w:rsid w:val="006A7EE1"/>
    <w:rsid w:val="006B00D5"/>
    <w:rsid w:val="006B089B"/>
    <w:rsid w:val="006B1392"/>
    <w:rsid w:val="006B49F1"/>
    <w:rsid w:val="006B5E07"/>
    <w:rsid w:val="006B7896"/>
    <w:rsid w:val="006B7EEC"/>
    <w:rsid w:val="006C0A08"/>
    <w:rsid w:val="006C247C"/>
    <w:rsid w:val="006C7F94"/>
    <w:rsid w:val="006D0F26"/>
    <w:rsid w:val="006D20D6"/>
    <w:rsid w:val="006D2624"/>
    <w:rsid w:val="006D6274"/>
    <w:rsid w:val="006D66B4"/>
    <w:rsid w:val="006D79B6"/>
    <w:rsid w:val="006E00CA"/>
    <w:rsid w:val="006E0F8D"/>
    <w:rsid w:val="006E213E"/>
    <w:rsid w:val="006E27A2"/>
    <w:rsid w:val="006E301B"/>
    <w:rsid w:val="006E41B9"/>
    <w:rsid w:val="006E4FDF"/>
    <w:rsid w:val="006E55DF"/>
    <w:rsid w:val="006F1B12"/>
    <w:rsid w:val="006F2738"/>
    <w:rsid w:val="006F2B76"/>
    <w:rsid w:val="006F3874"/>
    <w:rsid w:val="006F3AB3"/>
    <w:rsid w:val="006F42DC"/>
    <w:rsid w:val="00706019"/>
    <w:rsid w:val="00707972"/>
    <w:rsid w:val="00713167"/>
    <w:rsid w:val="00713270"/>
    <w:rsid w:val="00714093"/>
    <w:rsid w:val="0071791A"/>
    <w:rsid w:val="00722EB4"/>
    <w:rsid w:val="00725495"/>
    <w:rsid w:val="00725F84"/>
    <w:rsid w:val="00727FD5"/>
    <w:rsid w:val="0073144D"/>
    <w:rsid w:val="00731D98"/>
    <w:rsid w:val="00733263"/>
    <w:rsid w:val="00734518"/>
    <w:rsid w:val="0073497F"/>
    <w:rsid w:val="00735F71"/>
    <w:rsid w:val="007360BF"/>
    <w:rsid w:val="0074155B"/>
    <w:rsid w:val="007415E4"/>
    <w:rsid w:val="00741B84"/>
    <w:rsid w:val="00742419"/>
    <w:rsid w:val="00745EDA"/>
    <w:rsid w:val="007517B7"/>
    <w:rsid w:val="00752421"/>
    <w:rsid w:val="007546EF"/>
    <w:rsid w:val="007559F3"/>
    <w:rsid w:val="00755D74"/>
    <w:rsid w:val="007670FC"/>
    <w:rsid w:val="00774BCA"/>
    <w:rsid w:val="00775B81"/>
    <w:rsid w:val="00776EE9"/>
    <w:rsid w:val="007800A6"/>
    <w:rsid w:val="00780DD2"/>
    <w:rsid w:val="0078103E"/>
    <w:rsid w:val="0078585D"/>
    <w:rsid w:val="007909A2"/>
    <w:rsid w:val="00792D43"/>
    <w:rsid w:val="007950E3"/>
    <w:rsid w:val="007969A7"/>
    <w:rsid w:val="00796AA4"/>
    <w:rsid w:val="007A0EE0"/>
    <w:rsid w:val="007A1619"/>
    <w:rsid w:val="007A2FFD"/>
    <w:rsid w:val="007A4A73"/>
    <w:rsid w:val="007A6050"/>
    <w:rsid w:val="007A721A"/>
    <w:rsid w:val="007B038A"/>
    <w:rsid w:val="007B3A96"/>
    <w:rsid w:val="007B4685"/>
    <w:rsid w:val="007B5A6D"/>
    <w:rsid w:val="007B5BBD"/>
    <w:rsid w:val="007B6B93"/>
    <w:rsid w:val="007B6F05"/>
    <w:rsid w:val="007B70D1"/>
    <w:rsid w:val="007B7A0F"/>
    <w:rsid w:val="007C026E"/>
    <w:rsid w:val="007C28B1"/>
    <w:rsid w:val="007C483E"/>
    <w:rsid w:val="007C4CF9"/>
    <w:rsid w:val="007C55B9"/>
    <w:rsid w:val="007C58AF"/>
    <w:rsid w:val="007C6D13"/>
    <w:rsid w:val="007C7F91"/>
    <w:rsid w:val="007D29F7"/>
    <w:rsid w:val="007D2B14"/>
    <w:rsid w:val="007D4161"/>
    <w:rsid w:val="007D429E"/>
    <w:rsid w:val="007D4436"/>
    <w:rsid w:val="007D459B"/>
    <w:rsid w:val="007E08DF"/>
    <w:rsid w:val="007E31A2"/>
    <w:rsid w:val="007E75A7"/>
    <w:rsid w:val="007F0B5C"/>
    <w:rsid w:val="007F211A"/>
    <w:rsid w:val="007F3BE7"/>
    <w:rsid w:val="007F7532"/>
    <w:rsid w:val="0080014B"/>
    <w:rsid w:val="008015CF"/>
    <w:rsid w:val="00803BA0"/>
    <w:rsid w:val="00804C78"/>
    <w:rsid w:val="00805FEE"/>
    <w:rsid w:val="00806D66"/>
    <w:rsid w:val="00807A1B"/>
    <w:rsid w:val="00811615"/>
    <w:rsid w:val="00812148"/>
    <w:rsid w:val="00815348"/>
    <w:rsid w:val="008206FE"/>
    <w:rsid w:val="00825C3E"/>
    <w:rsid w:val="00825FD4"/>
    <w:rsid w:val="00830C53"/>
    <w:rsid w:val="00832C15"/>
    <w:rsid w:val="00833295"/>
    <w:rsid w:val="00835473"/>
    <w:rsid w:val="00835B01"/>
    <w:rsid w:val="00836551"/>
    <w:rsid w:val="0083791E"/>
    <w:rsid w:val="0084094A"/>
    <w:rsid w:val="008469E2"/>
    <w:rsid w:val="00857272"/>
    <w:rsid w:val="00857667"/>
    <w:rsid w:val="008602D5"/>
    <w:rsid w:val="008617A3"/>
    <w:rsid w:val="00862FC7"/>
    <w:rsid w:val="00863A21"/>
    <w:rsid w:val="00864A63"/>
    <w:rsid w:val="00865284"/>
    <w:rsid w:val="00871CED"/>
    <w:rsid w:val="0087221C"/>
    <w:rsid w:val="00872F59"/>
    <w:rsid w:val="0087404B"/>
    <w:rsid w:val="00874D73"/>
    <w:rsid w:val="008772F2"/>
    <w:rsid w:val="008815AA"/>
    <w:rsid w:val="00883F65"/>
    <w:rsid w:val="00884FAA"/>
    <w:rsid w:val="008861A9"/>
    <w:rsid w:val="00886DC6"/>
    <w:rsid w:val="00891EEF"/>
    <w:rsid w:val="00893B79"/>
    <w:rsid w:val="00894231"/>
    <w:rsid w:val="0089756F"/>
    <w:rsid w:val="008A29B4"/>
    <w:rsid w:val="008A3D5E"/>
    <w:rsid w:val="008B0A6D"/>
    <w:rsid w:val="008B3407"/>
    <w:rsid w:val="008B47F0"/>
    <w:rsid w:val="008B5078"/>
    <w:rsid w:val="008B6B08"/>
    <w:rsid w:val="008B6FE8"/>
    <w:rsid w:val="008C7016"/>
    <w:rsid w:val="008C7537"/>
    <w:rsid w:val="008D492F"/>
    <w:rsid w:val="008D6B67"/>
    <w:rsid w:val="008D6DBE"/>
    <w:rsid w:val="008E1C2A"/>
    <w:rsid w:val="008E66C1"/>
    <w:rsid w:val="008E755F"/>
    <w:rsid w:val="008E7C30"/>
    <w:rsid w:val="008F054E"/>
    <w:rsid w:val="008F0EC6"/>
    <w:rsid w:val="008F26A5"/>
    <w:rsid w:val="008F282A"/>
    <w:rsid w:val="008F3B8B"/>
    <w:rsid w:val="008F3F49"/>
    <w:rsid w:val="008F51B6"/>
    <w:rsid w:val="008F534F"/>
    <w:rsid w:val="008F7547"/>
    <w:rsid w:val="00902500"/>
    <w:rsid w:val="00906A9A"/>
    <w:rsid w:val="009109CA"/>
    <w:rsid w:val="00911195"/>
    <w:rsid w:val="00911B37"/>
    <w:rsid w:val="009137CD"/>
    <w:rsid w:val="0091486E"/>
    <w:rsid w:val="00915AAF"/>
    <w:rsid w:val="00917925"/>
    <w:rsid w:val="009219E6"/>
    <w:rsid w:val="0092380B"/>
    <w:rsid w:val="00926BFA"/>
    <w:rsid w:val="00927853"/>
    <w:rsid w:val="0092797D"/>
    <w:rsid w:val="00931519"/>
    <w:rsid w:val="00931804"/>
    <w:rsid w:val="00931889"/>
    <w:rsid w:val="00932E75"/>
    <w:rsid w:val="0093552B"/>
    <w:rsid w:val="00941E4B"/>
    <w:rsid w:val="0094565C"/>
    <w:rsid w:val="0094731A"/>
    <w:rsid w:val="009500CC"/>
    <w:rsid w:val="00950823"/>
    <w:rsid w:val="00950F0F"/>
    <w:rsid w:val="009518F2"/>
    <w:rsid w:val="0095257C"/>
    <w:rsid w:val="00952CCE"/>
    <w:rsid w:val="0095465E"/>
    <w:rsid w:val="0095490A"/>
    <w:rsid w:val="009554C1"/>
    <w:rsid w:val="009560B3"/>
    <w:rsid w:val="009575C4"/>
    <w:rsid w:val="00957734"/>
    <w:rsid w:val="0096133B"/>
    <w:rsid w:val="009725CE"/>
    <w:rsid w:val="009804DC"/>
    <w:rsid w:val="00983300"/>
    <w:rsid w:val="009834C6"/>
    <w:rsid w:val="00984D06"/>
    <w:rsid w:val="00985375"/>
    <w:rsid w:val="0098699F"/>
    <w:rsid w:val="00987925"/>
    <w:rsid w:val="00992CCF"/>
    <w:rsid w:val="00994286"/>
    <w:rsid w:val="009945AF"/>
    <w:rsid w:val="00995692"/>
    <w:rsid w:val="009A03E0"/>
    <w:rsid w:val="009A1E00"/>
    <w:rsid w:val="009A4150"/>
    <w:rsid w:val="009A5751"/>
    <w:rsid w:val="009A5E2D"/>
    <w:rsid w:val="009A64EB"/>
    <w:rsid w:val="009A67AF"/>
    <w:rsid w:val="009B4B40"/>
    <w:rsid w:val="009B5B17"/>
    <w:rsid w:val="009B70CF"/>
    <w:rsid w:val="009B7893"/>
    <w:rsid w:val="009C083D"/>
    <w:rsid w:val="009C08E8"/>
    <w:rsid w:val="009C206A"/>
    <w:rsid w:val="009C2CF3"/>
    <w:rsid w:val="009C39C1"/>
    <w:rsid w:val="009C4A1C"/>
    <w:rsid w:val="009C589B"/>
    <w:rsid w:val="009C5BFC"/>
    <w:rsid w:val="009D107D"/>
    <w:rsid w:val="009D1A1E"/>
    <w:rsid w:val="009D3AC9"/>
    <w:rsid w:val="009D3B21"/>
    <w:rsid w:val="009D3D65"/>
    <w:rsid w:val="009D457B"/>
    <w:rsid w:val="009D498A"/>
    <w:rsid w:val="009D79EC"/>
    <w:rsid w:val="009E06DB"/>
    <w:rsid w:val="009E0BDC"/>
    <w:rsid w:val="009E1DC4"/>
    <w:rsid w:val="009E1DFA"/>
    <w:rsid w:val="009E2088"/>
    <w:rsid w:val="009E39CE"/>
    <w:rsid w:val="009E6991"/>
    <w:rsid w:val="009E766E"/>
    <w:rsid w:val="009E7D1A"/>
    <w:rsid w:val="009F0076"/>
    <w:rsid w:val="009F143D"/>
    <w:rsid w:val="009F50A5"/>
    <w:rsid w:val="009F5AC0"/>
    <w:rsid w:val="00A02524"/>
    <w:rsid w:val="00A0312C"/>
    <w:rsid w:val="00A031D5"/>
    <w:rsid w:val="00A063A0"/>
    <w:rsid w:val="00A11BB0"/>
    <w:rsid w:val="00A15FD9"/>
    <w:rsid w:val="00A17200"/>
    <w:rsid w:val="00A2037E"/>
    <w:rsid w:val="00A20B90"/>
    <w:rsid w:val="00A20BB9"/>
    <w:rsid w:val="00A210A0"/>
    <w:rsid w:val="00A210D8"/>
    <w:rsid w:val="00A2113E"/>
    <w:rsid w:val="00A227F0"/>
    <w:rsid w:val="00A228DC"/>
    <w:rsid w:val="00A238A8"/>
    <w:rsid w:val="00A25A59"/>
    <w:rsid w:val="00A25D37"/>
    <w:rsid w:val="00A27241"/>
    <w:rsid w:val="00A3295B"/>
    <w:rsid w:val="00A3327B"/>
    <w:rsid w:val="00A33D39"/>
    <w:rsid w:val="00A3678C"/>
    <w:rsid w:val="00A376E6"/>
    <w:rsid w:val="00A41492"/>
    <w:rsid w:val="00A42132"/>
    <w:rsid w:val="00A4225C"/>
    <w:rsid w:val="00A439D0"/>
    <w:rsid w:val="00A441EA"/>
    <w:rsid w:val="00A44A6D"/>
    <w:rsid w:val="00A47FAF"/>
    <w:rsid w:val="00A50686"/>
    <w:rsid w:val="00A51201"/>
    <w:rsid w:val="00A51441"/>
    <w:rsid w:val="00A53424"/>
    <w:rsid w:val="00A53819"/>
    <w:rsid w:val="00A54947"/>
    <w:rsid w:val="00A55981"/>
    <w:rsid w:val="00A55FD3"/>
    <w:rsid w:val="00A6012E"/>
    <w:rsid w:val="00A61BE8"/>
    <w:rsid w:val="00A6386C"/>
    <w:rsid w:val="00A638B5"/>
    <w:rsid w:val="00A6520F"/>
    <w:rsid w:val="00A66B36"/>
    <w:rsid w:val="00A70657"/>
    <w:rsid w:val="00A70BF9"/>
    <w:rsid w:val="00A8247C"/>
    <w:rsid w:val="00A8254C"/>
    <w:rsid w:val="00A83744"/>
    <w:rsid w:val="00A853A3"/>
    <w:rsid w:val="00A863E0"/>
    <w:rsid w:val="00A86682"/>
    <w:rsid w:val="00A87751"/>
    <w:rsid w:val="00A90551"/>
    <w:rsid w:val="00A90B23"/>
    <w:rsid w:val="00A9196A"/>
    <w:rsid w:val="00A92EA6"/>
    <w:rsid w:val="00A94231"/>
    <w:rsid w:val="00A9478B"/>
    <w:rsid w:val="00A9617A"/>
    <w:rsid w:val="00A9666A"/>
    <w:rsid w:val="00AA0268"/>
    <w:rsid w:val="00AA1809"/>
    <w:rsid w:val="00AA309C"/>
    <w:rsid w:val="00AA4899"/>
    <w:rsid w:val="00AA6E64"/>
    <w:rsid w:val="00AB0569"/>
    <w:rsid w:val="00AB13A9"/>
    <w:rsid w:val="00AB4DB4"/>
    <w:rsid w:val="00AB723E"/>
    <w:rsid w:val="00AB7884"/>
    <w:rsid w:val="00AC0218"/>
    <w:rsid w:val="00AC4C7A"/>
    <w:rsid w:val="00AD055C"/>
    <w:rsid w:val="00AD2C41"/>
    <w:rsid w:val="00AD7256"/>
    <w:rsid w:val="00AE0A60"/>
    <w:rsid w:val="00AE347B"/>
    <w:rsid w:val="00AE4F58"/>
    <w:rsid w:val="00AE5C96"/>
    <w:rsid w:val="00AE703D"/>
    <w:rsid w:val="00AF041E"/>
    <w:rsid w:val="00AF1131"/>
    <w:rsid w:val="00AF2CAB"/>
    <w:rsid w:val="00AF554E"/>
    <w:rsid w:val="00AF5A12"/>
    <w:rsid w:val="00B02822"/>
    <w:rsid w:val="00B05852"/>
    <w:rsid w:val="00B13E87"/>
    <w:rsid w:val="00B22AB7"/>
    <w:rsid w:val="00B22D32"/>
    <w:rsid w:val="00B24D0E"/>
    <w:rsid w:val="00B25612"/>
    <w:rsid w:val="00B2592F"/>
    <w:rsid w:val="00B26FEF"/>
    <w:rsid w:val="00B32A00"/>
    <w:rsid w:val="00B32FF0"/>
    <w:rsid w:val="00B33A9F"/>
    <w:rsid w:val="00B36475"/>
    <w:rsid w:val="00B3721A"/>
    <w:rsid w:val="00B41226"/>
    <w:rsid w:val="00B41B96"/>
    <w:rsid w:val="00B42BC5"/>
    <w:rsid w:val="00B42F6B"/>
    <w:rsid w:val="00B504E4"/>
    <w:rsid w:val="00B5227A"/>
    <w:rsid w:val="00B5274C"/>
    <w:rsid w:val="00B52DDB"/>
    <w:rsid w:val="00B5317B"/>
    <w:rsid w:val="00B54244"/>
    <w:rsid w:val="00B57391"/>
    <w:rsid w:val="00B57791"/>
    <w:rsid w:val="00B602B4"/>
    <w:rsid w:val="00B742B7"/>
    <w:rsid w:val="00B76F38"/>
    <w:rsid w:val="00B775A2"/>
    <w:rsid w:val="00B827A6"/>
    <w:rsid w:val="00B833A5"/>
    <w:rsid w:val="00B83692"/>
    <w:rsid w:val="00B85D54"/>
    <w:rsid w:val="00B874D0"/>
    <w:rsid w:val="00B90A53"/>
    <w:rsid w:val="00B92320"/>
    <w:rsid w:val="00BA1C8A"/>
    <w:rsid w:val="00BA1CFA"/>
    <w:rsid w:val="00BA285D"/>
    <w:rsid w:val="00BA38EE"/>
    <w:rsid w:val="00BA4E66"/>
    <w:rsid w:val="00BA5148"/>
    <w:rsid w:val="00BB2A0F"/>
    <w:rsid w:val="00BB60EC"/>
    <w:rsid w:val="00BC059B"/>
    <w:rsid w:val="00BC1CB9"/>
    <w:rsid w:val="00BC3348"/>
    <w:rsid w:val="00BC349C"/>
    <w:rsid w:val="00BC359A"/>
    <w:rsid w:val="00BC3D7B"/>
    <w:rsid w:val="00BC586C"/>
    <w:rsid w:val="00BC5CD5"/>
    <w:rsid w:val="00BC7D20"/>
    <w:rsid w:val="00BD0831"/>
    <w:rsid w:val="00BD1385"/>
    <w:rsid w:val="00BD5293"/>
    <w:rsid w:val="00BD5EE0"/>
    <w:rsid w:val="00BD6D2D"/>
    <w:rsid w:val="00BD7DE3"/>
    <w:rsid w:val="00BE16A5"/>
    <w:rsid w:val="00BE3687"/>
    <w:rsid w:val="00BE4A74"/>
    <w:rsid w:val="00BF1CCE"/>
    <w:rsid w:val="00BF269B"/>
    <w:rsid w:val="00BF2AB3"/>
    <w:rsid w:val="00BF3340"/>
    <w:rsid w:val="00BF47D6"/>
    <w:rsid w:val="00BF4E96"/>
    <w:rsid w:val="00BF4FF6"/>
    <w:rsid w:val="00BF68B8"/>
    <w:rsid w:val="00BF6BE4"/>
    <w:rsid w:val="00C0165F"/>
    <w:rsid w:val="00C02411"/>
    <w:rsid w:val="00C048BA"/>
    <w:rsid w:val="00C07342"/>
    <w:rsid w:val="00C07AA8"/>
    <w:rsid w:val="00C07C35"/>
    <w:rsid w:val="00C111A1"/>
    <w:rsid w:val="00C122E3"/>
    <w:rsid w:val="00C125F5"/>
    <w:rsid w:val="00C12A50"/>
    <w:rsid w:val="00C163D1"/>
    <w:rsid w:val="00C179E6"/>
    <w:rsid w:val="00C20A73"/>
    <w:rsid w:val="00C22278"/>
    <w:rsid w:val="00C236A3"/>
    <w:rsid w:val="00C258C7"/>
    <w:rsid w:val="00C2724C"/>
    <w:rsid w:val="00C301E9"/>
    <w:rsid w:val="00C30681"/>
    <w:rsid w:val="00C34A6C"/>
    <w:rsid w:val="00C35E80"/>
    <w:rsid w:val="00C363E7"/>
    <w:rsid w:val="00C50C30"/>
    <w:rsid w:val="00C55C44"/>
    <w:rsid w:val="00C575E4"/>
    <w:rsid w:val="00C5763C"/>
    <w:rsid w:val="00C6003D"/>
    <w:rsid w:val="00C61DAC"/>
    <w:rsid w:val="00C6231D"/>
    <w:rsid w:val="00C63BD2"/>
    <w:rsid w:val="00C6508D"/>
    <w:rsid w:val="00C654A3"/>
    <w:rsid w:val="00C65930"/>
    <w:rsid w:val="00C65A98"/>
    <w:rsid w:val="00C7020B"/>
    <w:rsid w:val="00C74FA7"/>
    <w:rsid w:val="00C7519F"/>
    <w:rsid w:val="00C77B1D"/>
    <w:rsid w:val="00C8041C"/>
    <w:rsid w:val="00C829C1"/>
    <w:rsid w:val="00C8516F"/>
    <w:rsid w:val="00C91828"/>
    <w:rsid w:val="00C93444"/>
    <w:rsid w:val="00C93D5B"/>
    <w:rsid w:val="00C93EFA"/>
    <w:rsid w:val="00C94BA7"/>
    <w:rsid w:val="00C954EA"/>
    <w:rsid w:val="00C96DF2"/>
    <w:rsid w:val="00CA011F"/>
    <w:rsid w:val="00CA4D76"/>
    <w:rsid w:val="00CA5FD0"/>
    <w:rsid w:val="00CA77FB"/>
    <w:rsid w:val="00CA7E99"/>
    <w:rsid w:val="00CB038D"/>
    <w:rsid w:val="00CB1A5A"/>
    <w:rsid w:val="00CB1EDC"/>
    <w:rsid w:val="00CB612C"/>
    <w:rsid w:val="00CB68F4"/>
    <w:rsid w:val="00CB7396"/>
    <w:rsid w:val="00CB7D73"/>
    <w:rsid w:val="00CC0B03"/>
    <w:rsid w:val="00CC46AA"/>
    <w:rsid w:val="00CC4A20"/>
    <w:rsid w:val="00CC5665"/>
    <w:rsid w:val="00CC5ECB"/>
    <w:rsid w:val="00CC7B51"/>
    <w:rsid w:val="00CD0740"/>
    <w:rsid w:val="00CD0D77"/>
    <w:rsid w:val="00CD37F4"/>
    <w:rsid w:val="00CE0003"/>
    <w:rsid w:val="00CE6BC0"/>
    <w:rsid w:val="00CF0D8A"/>
    <w:rsid w:val="00CF2AC6"/>
    <w:rsid w:val="00CF5AA9"/>
    <w:rsid w:val="00CF72AD"/>
    <w:rsid w:val="00CF75EC"/>
    <w:rsid w:val="00D02CE3"/>
    <w:rsid w:val="00D03627"/>
    <w:rsid w:val="00D10061"/>
    <w:rsid w:val="00D1272F"/>
    <w:rsid w:val="00D13000"/>
    <w:rsid w:val="00D1300A"/>
    <w:rsid w:val="00D147CD"/>
    <w:rsid w:val="00D24145"/>
    <w:rsid w:val="00D2501F"/>
    <w:rsid w:val="00D27A20"/>
    <w:rsid w:val="00D3296E"/>
    <w:rsid w:val="00D408C2"/>
    <w:rsid w:val="00D413EC"/>
    <w:rsid w:val="00D42BD7"/>
    <w:rsid w:val="00D4421B"/>
    <w:rsid w:val="00D472FC"/>
    <w:rsid w:val="00D50EC9"/>
    <w:rsid w:val="00D511DD"/>
    <w:rsid w:val="00D52AC5"/>
    <w:rsid w:val="00D5354B"/>
    <w:rsid w:val="00D56137"/>
    <w:rsid w:val="00D61583"/>
    <w:rsid w:val="00D63A5E"/>
    <w:rsid w:val="00D64D7A"/>
    <w:rsid w:val="00D64E6F"/>
    <w:rsid w:val="00D654B6"/>
    <w:rsid w:val="00D74352"/>
    <w:rsid w:val="00D74709"/>
    <w:rsid w:val="00D75ABC"/>
    <w:rsid w:val="00D76FBD"/>
    <w:rsid w:val="00D773D6"/>
    <w:rsid w:val="00D80036"/>
    <w:rsid w:val="00D80ECF"/>
    <w:rsid w:val="00D816F2"/>
    <w:rsid w:val="00D82472"/>
    <w:rsid w:val="00D84DCC"/>
    <w:rsid w:val="00D85D8D"/>
    <w:rsid w:val="00D929D4"/>
    <w:rsid w:val="00D966A1"/>
    <w:rsid w:val="00D971BC"/>
    <w:rsid w:val="00DA3183"/>
    <w:rsid w:val="00DA7DAD"/>
    <w:rsid w:val="00DB04A8"/>
    <w:rsid w:val="00DB0851"/>
    <w:rsid w:val="00DB18BB"/>
    <w:rsid w:val="00DB2558"/>
    <w:rsid w:val="00DB2745"/>
    <w:rsid w:val="00DB2762"/>
    <w:rsid w:val="00DB410A"/>
    <w:rsid w:val="00DB444C"/>
    <w:rsid w:val="00DB4505"/>
    <w:rsid w:val="00DB67D5"/>
    <w:rsid w:val="00DC4DE8"/>
    <w:rsid w:val="00DC6786"/>
    <w:rsid w:val="00DC752F"/>
    <w:rsid w:val="00DD0368"/>
    <w:rsid w:val="00DD256F"/>
    <w:rsid w:val="00DD4115"/>
    <w:rsid w:val="00DE2F92"/>
    <w:rsid w:val="00DE3EE9"/>
    <w:rsid w:val="00DE50BF"/>
    <w:rsid w:val="00DE56EA"/>
    <w:rsid w:val="00DE6569"/>
    <w:rsid w:val="00DE6649"/>
    <w:rsid w:val="00DE79BA"/>
    <w:rsid w:val="00DF019D"/>
    <w:rsid w:val="00DF271C"/>
    <w:rsid w:val="00DF2791"/>
    <w:rsid w:val="00DF35B5"/>
    <w:rsid w:val="00DF4E6E"/>
    <w:rsid w:val="00DF583C"/>
    <w:rsid w:val="00DF6660"/>
    <w:rsid w:val="00E01461"/>
    <w:rsid w:val="00E02F4C"/>
    <w:rsid w:val="00E03265"/>
    <w:rsid w:val="00E047AF"/>
    <w:rsid w:val="00E0518A"/>
    <w:rsid w:val="00E0588F"/>
    <w:rsid w:val="00E05CC2"/>
    <w:rsid w:val="00E06777"/>
    <w:rsid w:val="00E07227"/>
    <w:rsid w:val="00E07604"/>
    <w:rsid w:val="00E121A1"/>
    <w:rsid w:val="00E17F53"/>
    <w:rsid w:val="00E243D5"/>
    <w:rsid w:val="00E254BE"/>
    <w:rsid w:val="00E346B9"/>
    <w:rsid w:val="00E34A4A"/>
    <w:rsid w:val="00E3638B"/>
    <w:rsid w:val="00E43CE9"/>
    <w:rsid w:val="00E44EE9"/>
    <w:rsid w:val="00E4756A"/>
    <w:rsid w:val="00E507DB"/>
    <w:rsid w:val="00E50A0E"/>
    <w:rsid w:val="00E50FD6"/>
    <w:rsid w:val="00E512FB"/>
    <w:rsid w:val="00E53DDA"/>
    <w:rsid w:val="00E57595"/>
    <w:rsid w:val="00E5776B"/>
    <w:rsid w:val="00E57B2E"/>
    <w:rsid w:val="00E57EC8"/>
    <w:rsid w:val="00E60CF7"/>
    <w:rsid w:val="00E64F8C"/>
    <w:rsid w:val="00E660DE"/>
    <w:rsid w:val="00E667DD"/>
    <w:rsid w:val="00E67342"/>
    <w:rsid w:val="00E67CE1"/>
    <w:rsid w:val="00E70F7A"/>
    <w:rsid w:val="00E7106F"/>
    <w:rsid w:val="00E74067"/>
    <w:rsid w:val="00E744CC"/>
    <w:rsid w:val="00E74709"/>
    <w:rsid w:val="00E77038"/>
    <w:rsid w:val="00E8072F"/>
    <w:rsid w:val="00E80D20"/>
    <w:rsid w:val="00E81886"/>
    <w:rsid w:val="00E81FC9"/>
    <w:rsid w:val="00E836B2"/>
    <w:rsid w:val="00E83E04"/>
    <w:rsid w:val="00E8469B"/>
    <w:rsid w:val="00E877D7"/>
    <w:rsid w:val="00E879D4"/>
    <w:rsid w:val="00E90493"/>
    <w:rsid w:val="00E90829"/>
    <w:rsid w:val="00E91107"/>
    <w:rsid w:val="00E914E9"/>
    <w:rsid w:val="00E91DEC"/>
    <w:rsid w:val="00E92BC1"/>
    <w:rsid w:val="00E93586"/>
    <w:rsid w:val="00E94BA5"/>
    <w:rsid w:val="00E95408"/>
    <w:rsid w:val="00E95E56"/>
    <w:rsid w:val="00E96351"/>
    <w:rsid w:val="00E9658E"/>
    <w:rsid w:val="00EA0135"/>
    <w:rsid w:val="00EA2123"/>
    <w:rsid w:val="00EA5CF2"/>
    <w:rsid w:val="00EB664C"/>
    <w:rsid w:val="00EC243C"/>
    <w:rsid w:val="00EC25D8"/>
    <w:rsid w:val="00EC2668"/>
    <w:rsid w:val="00EC6474"/>
    <w:rsid w:val="00ED2874"/>
    <w:rsid w:val="00ED4842"/>
    <w:rsid w:val="00ED74A5"/>
    <w:rsid w:val="00ED7511"/>
    <w:rsid w:val="00ED7B96"/>
    <w:rsid w:val="00ED7E9B"/>
    <w:rsid w:val="00EF11D4"/>
    <w:rsid w:val="00EF2624"/>
    <w:rsid w:val="00EF6FB7"/>
    <w:rsid w:val="00F008B6"/>
    <w:rsid w:val="00F0422A"/>
    <w:rsid w:val="00F04AF2"/>
    <w:rsid w:val="00F05928"/>
    <w:rsid w:val="00F05AE4"/>
    <w:rsid w:val="00F06F97"/>
    <w:rsid w:val="00F10D66"/>
    <w:rsid w:val="00F12556"/>
    <w:rsid w:val="00F14A98"/>
    <w:rsid w:val="00F20999"/>
    <w:rsid w:val="00F2354D"/>
    <w:rsid w:val="00F2356E"/>
    <w:rsid w:val="00F308F0"/>
    <w:rsid w:val="00F320D2"/>
    <w:rsid w:val="00F37149"/>
    <w:rsid w:val="00F4077C"/>
    <w:rsid w:val="00F4135C"/>
    <w:rsid w:val="00F43BF4"/>
    <w:rsid w:val="00F440A3"/>
    <w:rsid w:val="00F459E9"/>
    <w:rsid w:val="00F45C32"/>
    <w:rsid w:val="00F4637F"/>
    <w:rsid w:val="00F46726"/>
    <w:rsid w:val="00F508C1"/>
    <w:rsid w:val="00F51F1F"/>
    <w:rsid w:val="00F53DDB"/>
    <w:rsid w:val="00F54AF1"/>
    <w:rsid w:val="00F61E80"/>
    <w:rsid w:val="00F65A93"/>
    <w:rsid w:val="00F722D9"/>
    <w:rsid w:val="00F72D32"/>
    <w:rsid w:val="00F74F5C"/>
    <w:rsid w:val="00F7691F"/>
    <w:rsid w:val="00F77C44"/>
    <w:rsid w:val="00F80670"/>
    <w:rsid w:val="00F838EB"/>
    <w:rsid w:val="00F852BD"/>
    <w:rsid w:val="00F86526"/>
    <w:rsid w:val="00F87073"/>
    <w:rsid w:val="00F874A9"/>
    <w:rsid w:val="00F91A45"/>
    <w:rsid w:val="00F922F5"/>
    <w:rsid w:val="00F95F51"/>
    <w:rsid w:val="00FA04FF"/>
    <w:rsid w:val="00FA106C"/>
    <w:rsid w:val="00FA212F"/>
    <w:rsid w:val="00FA2344"/>
    <w:rsid w:val="00FA498E"/>
    <w:rsid w:val="00FA4E85"/>
    <w:rsid w:val="00FA5A5D"/>
    <w:rsid w:val="00FA71E5"/>
    <w:rsid w:val="00FB2FD5"/>
    <w:rsid w:val="00FB4EF8"/>
    <w:rsid w:val="00FB65F9"/>
    <w:rsid w:val="00FB736D"/>
    <w:rsid w:val="00FC067A"/>
    <w:rsid w:val="00FC099C"/>
    <w:rsid w:val="00FC0EF9"/>
    <w:rsid w:val="00FC3A49"/>
    <w:rsid w:val="00FC4390"/>
    <w:rsid w:val="00FC55FA"/>
    <w:rsid w:val="00FC7193"/>
    <w:rsid w:val="00FC7375"/>
    <w:rsid w:val="00FC7F41"/>
    <w:rsid w:val="00FD04AD"/>
    <w:rsid w:val="00FD3F5B"/>
    <w:rsid w:val="00FD4426"/>
    <w:rsid w:val="00FD7D70"/>
    <w:rsid w:val="00FE0223"/>
    <w:rsid w:val="00FE2B13"/>
    <w:rsid w:val="00FE3AFA"/>
    <w:rsid w:val="00FE4469"/>
    <w:rsid w:val="00FE5D19"/>
    <w:rsid w:val="00FE7F05"/>
    <w:rsid w:val="00FF022D"/>
    <w:rsid w:val="00FF03F3"/>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46484"/>
  <w15:docId w15:val="{8533660E-9881-4630-A28D-2E751A9F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692"/>
    <w:pPr>
      <w:widowControl w:val="0"/>
      <w:jc w:val="both"/>
    </w:pPr>
    <w:rPr>
      <w:sz w:val="21"/>
    </w:rPr>
  </w:style>
  <w:style w:type="paragraph" w:styleId="10">
    <w:name w:val="heading 1"/>
    <w:basedOn w:val="a"/>
    <w:next w:val="a"/>
    <w:link w:val="11"/>
    <w:uiPriority w:val="99"/>
    <w:qFormat/>
    <w:rsid w:val="00C65930"/>
    <w:pPr>
      <w:keepNext/>
      <w:keepLines/>
      <w:spacing w:before="340" w:after="330" w:line="578" w:lineRule="auto"/>
      <w:jc w:val="center"/>
      <w:outlineLvl w:val="0"/>
    </w:pPr>
    <w:rPr>
      <w:rFonts w:eastAsia="黑体"/>
      <w:b/>
      <w:bCs/>
      <w:kern w:val="44"/>
      <w:sz w:val="28"/>
      <w:szCs w:val="44"/>
    </w:rPr>
  </w:style>
  <w:style w:type="paragraph" w:styleId="20">
    <w:name w:val="heading 2"/>
    <w:aliases w:val="标题 2 Char Char Char"/>
    <w:basedOn w:val="a"/>
    <w:next w:val="a"/>
    <w:link w:val="21"/>
    <w:qFormat/>
    <w:rsid w:val="00DD256F"/>
    <w:pPr>
      <w:keepNext/>
      <w:keepLines/>
      <w:spacing w:before="260" w:after="260" w:line="416" w:lineRule="auto"/>
      <w:outlineLvl w:val="1"/>
    </w:pPr>
    <w:rPr>
      <w:rFonts w:ascii="Arial" w:hAnsi="Arial"/>
      <w:b/>
      <w:bCs/>
      <w:szCs w:val="21"/>
    </w:rPr>
  </w:style>
  <w:style w:type="paragraph" w:styleId="30">
    <w:name w:val="heading 3"/>
    <w:basedOn w:val="a"/>
    <w:next w:val="a"/>
    <w:link w:val="31"/>
    <w:uiPriority w:val="9"/>
    <w:qFormat/>
    <w:rsid w:val="00DD256F"/>
    <w:pPr>
      <w:keepNext/>
      <w:keepLines/>
      <w:spacing w:before="260" w:after="260" w:line="416" w:lineRule="auto"/>
      <w:outlineLvl w:val="2"/>
    </w:pPr>
    <w:rPr>
      <w:b/>
      <w:bCs/>
      <w:szCs w:val="32"/>
    </w:rPr>
  </w:style>
  <w:style w:type="paragraph" w:styleId="40">
    <w:name w:val="heading 4"/>
    <w:basedOn w:val="a"/>
    <w:next w:val="a"/>
    <w:link w:val="41"/>
    <w:uiPriority w:val="9"/>
    <w:qFormat/>
    <w:rsid w:val="00DD256F"/>
    <w:pPr>
      <w:keepNext/>
      <w:keepLines/>
      <w:spacing w:before="280" w:after="290" w:line="376" w:lineRule="auto"/>
      <w:outlineLvl w:val="3"/>
    </w:pPr>
    <w:rPr>
      <w:rFonts w:ascii="Cambria" w:hAnsi="Cambria"/>
      <w:b/>
      <w:bCs/>
      <w:szCs w:val="28"/>
    </w:rPr>
  </w:style>
  <w:style w:type="paragraph" w:styleId="50">
    <w:name w:val="heading 5"/>
    <w:basedOn w:val="a"/>
    <w:next w:val="a"/>
    <w:link w:val="51"/>
    <w:uiPriority w:val="9"/>
    <w:qFormat/>
    <w:rsid w:val="00DD256F"/>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C65930"/>
    <w:rPr>
      <w:rFonts w:eastAsia="黑体"/>
      <w:b/>
      <w:bCs/>
      <w:kern w:val="44"/>
      <w:sz w:val="28"/>
      <w:szCs w:val="44"/>
    </w:rPr>
  </w:style>
  <w:style w:type="character" w:customStyle="1" w:styleId="21">
    <w:name w:val="标题 2 字符"/>
    <w:aliases w:val="标题 2 Char Char Char 字符"/>
    <w:basedOn w:val="a0"/>
    <w:link w:val="20"/>
    <w:rsid w:val="00DD256F"/>
    <w:rPr>
      <w:rFonts w:ascii="Arial" w:eastAsia="宋体" w:hAnsi="Arial" w:cs="Times New Roman"/>
      <w:b/>
      <w:bCs/>
      <w:szCs w:val="21"/>
    </w:rPr>
  </w:style>
  <w:style w:type="character" w:customStyle="1" w:styleId="31">
    <w:name w:val="标题 3 字符"/>
    <w:basedOn w:val="a0"/>
    <w:link w:val="30"/>
    <w:uiPriority w:val="9"/>
    <w:rsid w:val="00DD256F"/>
    <w:rPr>
      <w:rFonts w:ascii="Calibri" w:eastAsia="宋体" w:hAnsi="Calibri" w:cs="Times New Roman"/>
      <w:b/>
      <w:bCs/>
      <w:szCs w:val="32"/>
    </w:rPr>
  </w:style>
  <w:style w:type="character" w:customStyle="1" w:styleId="41">
    <w:name w:val="标题 4 字符"/>
    <w:basedOn w:val="a0"/>
    <w:link w:val="40"/>
    <w:uiPriority w:val="9"/>
    <w:rsid w:val="00DD256F"/>
    <w:rPr>
      <w:rFonts w:ascii="Cambria" w:eastAsia="宋体" w:hAnsi="Cambria" w:cs="Times New Roman"/>
      <w:b/>
      <w:bCs/>
      <w:szCs w:val="28"/>
    </w:rPr>
  </w:style>
  <w:style w:type="character" w:customStyle="1" w:styleId="51">
    <w:name w:val="标题 5 字符"/>
    <w:basedOn w:val="a0"/>
    <w:link w:val="50"/>
    <w:uiPriority w:val="9"/>
    <w:rsid w:val="00DD256F"/>
    <w:rPr>
      <w:rFonts w:ascii="Calibri" w:eastAsia="宋体" w:hAnsi="Calibri" w:cs="Times New Roman"/>
      <w:b/>
      <w:bCs/>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DD256F"/>
    <w:rPr>
      <w:szCs w:val="21"/>
    </w:rPr>
  </w:style>
  <w:style w:type="paragraph" w:styleId="22">
    <w:name w:val="toc 2"/>
    <w:basedOn w:val="a"/>
    <w:next w:val="a"/>
    <w:autoRedefine/>
    <w:uiPriority w:val="39"/>
    <w:qFormat/>
    <w:rsid w:val="00DD256F"/>
    <w:pPr>
      <w:ind w:leftChars="200" w:left="420"/>
    </w:pPr>
    <w:rPr>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uiPriority w:val="99"/>
    <w:qFormat/>
    <w:rsid w:val="00DD256F"/>
    <w:pPr>
      <w:jc w:val="left"/>
    </w:pPr>
    <w:rPr>
      <w:szCs w:val="21"/>
    </w:rPr>
  </w:style>
  <w:style w:type="character" w:customStyle="1" w:styleId="a6">
    <w:name w:val="批注文字 字符"/>
    <w:basedOn w:val="a0"/>
    <w:link w:val="a5"/>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256F"/>
    <w:rPr>
      <w:sz w:val="18"/>
      <w:szCs w:val="18"/>
    </w:rPr>
  </w:style>
  <w:style w:type="character" w:customStyle="1" w:styleId="a9">
    <w:name w:val="批注框文本 字符"/>
    <w:basedOn w:val="a0"/>
    <w:link w:val="a8"/>
    <w:uiPriority w:val="99"/>
    <w:semiHidden/>
    <w:rsid w:val="00DD256F"/>
    <w:rPr>
      <w:rFonts w:ascii="Calibri" w:eastAsia="宋体" w:hAnsi="Calibri" w:cs="Times New Roman"/>
      <w:sz w:val="18"/>
      <w:szCs w:val="18"/>
    </w:rPr>
  </w:style>
  <w:style w:type="paragraph" w:styleId="aa">
    <w:name w:val="Salutation"/>
    <w:basedOn w:val="a"/>
    <w:next w:val="a"/>
    <w:link w:val="ab"/>
    <w:uiPriority w:val="99"/>
    <w:rsid w:val="00DD256F"/>
    <w:rPr>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widowControl/>
      <w:spacing w:before="100" w:after="100"/>
      <w:jc w:val="right"/>
    </w:pPr>
    <w:rPr>
      <w:rFonts w:ascii="Arial Unicode MS" w:eastAsia="Arial Unicode MS"/>
      <w:sz w:val="18"/>
      <w:szCs w:val="18"/>
    </w:rPr>
  </w:style>
  <w:style w:type="paragraph" w:styleId="ac">
    <w:name w:val="List Paragraph"/>
    <w:basedOn w:val="a"/>
    <w:qFormat/>
    <w:rsid w:val="00DD256F"/>
    <w:pPr>
      <w:ind w:firstLineChars="200" w:firstLine="420"/>
    </w:pPr>
  </w:style>
  <w:style w:type="character" w:customStyle="1" w:styleId="ad">
    <w:name w:val="批注主题 字符"/>
    <w:basedOn w:val="a6"/>
    <w:link w:val="ae"/>
    <w:uiPriority w:val="99"/>
    <w:semiHidden/>
    <w:rsid w:val="00DD256F"/>
    <w:rPr>
      <w:rFonts w:ascii="Calibri" w:eastAsia="宋体" w:hAnsi="Calibri" w:cs="Times New Roman"/>
      <w:b/>
      <w:bCs/>
      <w:szCs w:val="21"/>
    </w:rPr>
  </w:style>
  <w:style w:type="paragraph" w:styleId="ae">
    <w:name w:val="annotation subject"/>
    <w:basedOn w:val="a5"/>
    <w:next w:val="a5"/>
    <w:link w:val="ad"/>
    <w:uiPriority w:val="99"/>
    <w:semiHidden/>
    <w:unhideWhenUsed/>
    <w:rsid w:val="00DD256F"/>
    <w:rPr>
      <w:rFonts w:ascii="Calibri" w:hAnsi="Calibri"/>
      <w:b/>
      <w:bCs/>
      <w:szCs w:val="22"/>
    </w:rPr>
  </w:style>
  <w:style w:type="paragraph" w:styleId="32">
    <w:name w:val="toc 3"/>
    <w:basedOn w:val="a"/>
    <w:next w:val="a"/>
    <w:autoRedefine/>
    <w:uiPriority w:val="39"/>
    <w:unhideWhenUsed/>
    <w:qFormat/>
    <w:rsid w:val="00DD256F"/>
    <w:pPr>
      <w:widowControl/>
      <w:spacing w:after="100" w:line="276" w:lineRule="auto"/>
      <w:ind w:left="440"/>
      <w:jc w:val="left"/>
    </w:pPr>
    <w:rPr>
      <w:sz w:val="22"/>
    </w:rPr>
  </w:style>
  <w:style w:type="paragraph" w:styleId="af">
    <w:name w:val="header"/>
    <w:basedOn w:val="a"/>
    <w:link w:val="af0"/>
    <w:unhideWhenUsed/>
    <w:rsid w:val="00DD256F"/>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rsid w:val="00DD256F"/>
    <w:rPr>
      <w:rFonts w:ascii="Calibri" w:eastAsia="宋体" w:hAnsi="Calibri" w:cs="Times New Roman"/>
      <w:sz w:val="18"/>
      <w:szCs w:val="18"/>
    </w:rPr>
  </w:style>
  <w:style w:type="paragraph" w:styleId="af1">
    <w:name w:val="footer"/>
    <w:basedOn w:val="a"/>
    <w:link w:val="af2"/>
    <w:uiPriority w:val="99"/>
    <w:unhideWhenUsed/>
    <w:rsid w:val="00DD256F"/>
    <w:pPr>
      <w:tabs>
        <w:tab w:val="center" w:pos="4153"/>
        <w:tab w:val="right" w:pos="8306"/>
      </w:tabs>
      <w:snapToGrid w:val="0"/>
      <w:jc w:val="left"/>
    </w:pPr>
    <w:rPr>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basedOn w:val="a"/>
    <w:link w:val="af4"/>
    <w:rsid w:val="00DD256F"/>
    <w:rPr>
      <w:rFonts w:ascii="宋体" w:hAnsi="Courier New"/>
    </w:rPr>
  </w:style>
  <w:style w:type="character" w:customStyle="1" w:styleId="af4">
    <w:name w:val="纯文本 字符"/>
    <w:basedOn w:val="a0"/>
    <w:link w:val="af3"/>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spacing w:after="120"/>
    </w:pPr>
    <w:rPr>
      <w:szCs w:val="21"/>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widowControl/>
      <w:tabs>
        <w:tab w:val="left" w:pos="709"/>
      </w:tabs>
      <w:overflowPunct w:val="0"/>
      <w:autoSpaceDE w:val="0"/>
      <w:autoSpaceDN w:val="0"/>
      <w:adjustRightInd w:val="0"/>
      <w:textAlignment w:val="baseline"/>
    </w:pPr>
    <w:rPr>
      <w:rFonts w:ascii="Helvetica-Narrow" w:hAnsi="Helvetica-Narrow"/>
      <w:sz w:val="24"/>
      <w:szCs w:val="24"/>
      <w:lang w:val="en-AU"/>
    </w:rPr>
  </w:style>
  <w:style w:type="paragraph" w:styleId="af7">
    <w:name w:val="Date"/>
    <w:basedOn w:val="a"/>
    <w:next w:val="a"/>
    <w:link w:val="af8"/>
    <w:uiPriority w:val="99"/>
    <w:rsid w:val="00DD256F"/>
    <w:pPr>
      <w:ind w:leftChars="2500" w:left="100"/>
    </w:pPr>
    <w:rPr>
      <w:szCs w:val="21"/>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jc w:val="center"/>
    </w:pPr>
    <w:rPr>
      <w:szCs w:val="21"/>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spacing w:before="120"/>
    </w:pPr>
    <w:rPr>
      <w:rFonts w:ascii="Arial" w:hAnsi="Arial"/>
      <w:b/>
      <w:bCs/>
      <w:szCs w:val="21"/>
    </w:rPr>
  </w:style>
  <w:style w:type="paragraph" w:customStyle="1" w:styleId="52">
    <w:name w:val="标题5"/>
    <w:basedOn w:val="a"/>
    <w:rsid w:val="00DD256F"/>
    <w:pPr>
      <w:keepNext/>
      <w:keepLines/>
      <w:spacing w:before="280" w:after="290" w:line="376" w:lineRule="auto"/>
      <w:ind w:left="420" w:hanging="420"/>
      <w:outlineLvl w:val="4"/>
    </w:pPr>
    <w:rPr>
      <w:rFonts w:ascii="宋体" w:hAnsi="宋体"/>
      <w:b/>
      <w:bCs/>
      <w:szCs w:val="21"/>
    </w:rPr>
  </w:style>
  <w:style w:type="paragraph" w:styleId="afc">
    <w:name w:val="Revision"/>
    <w:hidden/>
    <w:uiPriority w:val="99"/>
    <w:semiHidden/>
    <w:rsid w:val="00BC1CB9"/>
    <w:rPr>
      <w:kern w:val="2"/>
      <w:sz w:val="21"/>
      <w:szCs w:val="22"/>
    </w:rPr>
  </w:style>
  <w:style w:type="character" w:customStyle="1" w:styleId="Char">
    <w:name w:val="正文的样式 Char"/>
    <w:basedOn w:val="a0"/>
    <w:link w:val="afd"/>
    <w:rsid w:val="006B00D5"/>
    <w:rPr>
      <w:kern w:val="2"/>
      <w:sz w:val="21"/>
      <w:szCs w:val="24"/>
    </w:rPr>
  </w:style>
  <w:style w:type="paragraph" w:customStyle="1" w:styleId="afd">
    <w:name w:val="正文的样式"/>
    <w:basedOn w:val="a"/>
    <w:link w:val="Char"/>
    <w:rsid w:val="006B00D5"/>
    <w:pPr>
      <w:spacing w:before="100" w:after="100"/>
    </w:pPr>
    <w:rPr>
      <w:szCs w:val="24"/>
    </w:rPr>
  </w:style>
  <w:style w:type="paragraph" w:styleId="afe">
    <w:name w:val="Document Map"/>
    <w:basedOn w:val="a"/>
    <w:link w:val="aff"/>
    <w:uiPriority w:val="99"/>
    <w:semiHidden/>
    <w:unhideWhenUsed/>
    <w:rsid w:val="0002110B"/>
    <w:rPr>
      <w:rFonts w:ascii="宋体"/>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1"/>
      </w:numPr>
    </w:pPr>
  </w:style>
  <w:style w:type="numbering" w:customStyle="1" w:styleId="2">
    <w:name w:val="样式2"/>
    <w:uiPriority w:val="99"/>
    <w:rsid w:val="00EA5CF2"/>
    <w:pPr>
      <w:numPr>
        <w:numId w:val="2"/>
      </w:numPr>
    </w:pPr>
  </w:style>
  <w:style w:type="numbering" w:customStyle="1" w:styleId="3">
    <w:name w:val="样式3"/>
    <w:uiPriority w:val="99"/>
    <w:rsid w:val="00C74FA7"/>
    <w:pPr>
      <w:numPr>
        <w:numId w:val="3"/>
      </w:numPr>
    </w:pPr>
  </w:style>
  <w:style w:type="numbering" w:customStyle="1" w:styleId="4">
    <w:name w:val="样式4"/>
    <w:uiPriority w:val="99"/>
    <w:rsid w:val="008B0A6D"/>
    <w:pPr>
      <w:numPr>
        <w:numId w:val="5"/>
      </w:numPr>
    </w:pPr>
  </w:style>
  <w:style w:type="numbering" w:customStyle="1" w:styleId="5">
    <w:name w:val="样式5"/>
    <w:uiPriority w:val="99"/>
    <w:rsid w:val="008B0A6D"/>
    <w:pPr>
      <w:numPr>
        <w:numId w:val="6"/>
      </w:numPr>
    </w:pPr>
  </w:style>
  <w:style w:type="numbering" w:customStyle="1" w:styleId="6">
    <w:name w:val="样式6"/>
    <w:uiPriority w:val="99"/>
    <w:rsid w:val="008B0A6D"/>
    <w:pPr>
      <w:numPr>
        <w:numId w:val="8"/>
      </w:numPr>
    </w:pPr>
  </w:style>
  <w:style w:type="numbering" w:customStyle="1" w:styleId="7">
    <w:name w:val="样式7"/>
    <w:uiPriority w:val="99"/>
    <w:rsid w:val="00017CF8"/>
    <w:pPr>
      <w:numPr>
        <w:numId w:val="9"/>
      </w:numPr>
    </w:pPr>
  </w:style>
  <w:style w:type="character" w:customStyle="1" w:styleId="Char0">
    <w:name w:val="批注文字 Char"/>
    <w:uiPriority w:val="99"/>
    <w:rsid w:val="00284A21"/>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4704">
      <w:bodyDiv w:val="1"/>
      <w:marLeft w:val="0"/>
      <w:marRight w:val="0"/>
      <w:marTop w:val="0"/>
      <w:marBottom w:val="0"/>
      <w:divBdr>
        <w:top w:val="none" w:sz="0" w:space="0" w:color="auto"/>
        <w:left w:val="none" w:sz="0" w:space="0" w:color="auto"/>
        <w:bottom w:val="none" w:sz="0" w:space="0" w:color="auto"/>
        <w:right w:val="none" w:sz="0" w:space="0" w:color="auto"/>
      </w:divBdr>
    </w:div>
    <w:div w:id="96409322">
      <w:bodyDiv w:val="1"/>
      <w:marLeft w:val="0"/>
      <w:marRight w:val="0"/>
      <w:marTop w:val="0"/>
      <w:marBottom w:val="0"/>
      <w:divBdr>
        <w:top w:val="none" w:sz="0" w:space="0" w:color="auto"/>
        <w:left w:val="none" w:sz="0" w:space="0" w:color="auto"/>
        <w:bottom w:val="none" w:sz="0" w:space="0" w:color="auto"/>
        <w:right w:val="none" w:sz="0" w:space="0" w:color="auto"/>
      </w:divBdr>
    </w:div>
    <w:div w:id="497774575">
      <w:bodyDiv w:val="1"/>
      <w:marLeft w:val="0"/>
      <w:marRight w:val="0"/>
      <w:marTop w:val="0"/>
      <w:marBottom w:val="0"/>
      <w:divBdr>
        <w:top w:val="none" w:sz="0" w:space="0" w:color="auto"/>
        <w:left w:val="none" w:sz="0" w:space="0" w:color="auto"/>
        <w:bottom w:val="none" w:sz="0" w:space="0" w:color="auto"/>
        <w:right w:val="none" w:sz="0" w:space="0" w:color="auto"/>
      </w:divBdr>
    </w:div>
    <w:div w:id="1190799201">
      <w:bodyDiv w:val="1"/>
      <w:marLeft w:val="0"/>
      <w:marRight w:val="0"/>
      <w:marTop w:val="0"/>
      <w:marBottom w:val="0"/>
      <w:divBdr>
        <w:top w:val="none" w:sz="0" w:space="0" w:color="auto"/>
        <w:left w:val="none" w:sz="0" w:space="0" w:color="auto"/>
        <w:bottom w:val="none" w:sz="0" w:space="0" w:color="auto"/>
        <w:right w:val="none" w:sz="0" w:space="0" w:color="auto"/>
      </w:divBdr>
    </w:div>
    <w:div w:id="1219971695">
      <w:bodyDiv w:val="1"/>
      <w:marLeft w:val="0"/>
      <w:marRight w:val="0"/>
      <w:marTop w:val="0"/>
      <w:marBottom w:val="0"/>
      <w:divBdr>
        <w:top w:val="none" w:sz="0" w:space="0" w:color="auto"/>
        <w:left w:val="none" w:sz="0" w:space="0" w:color="auto"/>
        <w:bottom w:val="none" w:sz="0" w:space="0" w:color="auto"/>
        <w:right w:val="none" w:sz="0" w:space="0" w:color="auto"/>
      </w:divBdr>
    </w:div>
    <w:div w:id="1855487475">
      <w:bodyDiv w:val="1"/>
      <w:marLeft w:val="0"/>
      <w:marRight w:val="0"/>
      <w:marTop w:val="0"/>
      <w:marBottom w:val="0"/>
      <w:divBdr>
        <w:top w:val="none" w:sz="0" w:space="0" w:color="auto"/>
        <w:left w:val="none" w:sz="0" w:space="0" w:color="auto"/>
        <w:bottom w:val="none" w:sz="0" w:space="0" w:color="auto"/>
        <w:right w:val="none" w:sz="0" w:space="0" w:color="auto"/>
      </w:divBdr>
    </w:div>
    <w:div w:id="1879513053">
      <w:bodyDiv w:val="1"/>
      <w:marLeft w:val="0"/>
      <w:marRight w:val="0"/>
      <w:marTop w:val="0"/>
      <w:marBottom w:val="0"/>
      <w:divBdr>
        <w:top w:val="none" w:sz="0" w:space="0" w:color="auto"/>
        <w:left w:val="none" w:sz="0" w:space="0" w:color="auto"/>
        <w:bottom w:val="none" w:sz="0" w:space="0" w:color="auto"/>
        <w:right w:val="none" w:sz="0" w:space="0" w:color="auto"/>
      </w:divBdr>
      <w:divsChild>
        <w:div w:id="1776051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2689"/>
    <w:rsid w:val="00002702"/>
    <w:rsid w:val="000032C0"/>
    <w:rsid w:val="0000652E"/>
    <w:rsid w:val="000135D3"/>
    <w:rsid w:val="00042D3A"/>
    <w:rsid w:val="00043BCA"/>
    <w:rsid w:val="00045460"/>
    <w:rsid w:val="00060230"/>
    <w:rsid w:val="0006386B"/>
    <w:rsid w:val="00066730"/>
    <w:rsid w:val="00066E6D"/>
    <w:rsid w:val="00070ACB"/>
    <w:rsid w:val="00082A95"/>
    <w:rsid w:val="000906D0"/>
    <w:rsid w:val="000927AF"/>
    <w:rsid w:val="00093EE0"/>
    <w:rsid w:val="000958C3"/>
    <w:rsid w:val="000D1081"/>
    <w:rsid w:val="000E0896"/>
    <w:rsid w:val="000E1775"/>
    <w:rsid w:val="000F41A3"/>
    <w:rsid w:val="000F62B7"/>
    <w:rsid w:val="0010092D"/>
    <w:rsid w:val="00117960"/>
    <w:rsid w:val="00124579"/>
    <w:rsid w:val="00135D32"/>
    <w:rsid w:val="00140824"/>
    <w:rsid w:val="00143784"/>
    <w:rsid w:val="001644F1"/>
    <w:rsid w:val="0018569B"/>
    <w:rsid w:val="00190F2E"/>
    <w:rsid w:val="00197691"/>
    <w:rsid w:val="001B0321"/>
    <w:rsid w:val="001B1217"/>
    <w:rsid w:val="001B2F30"/>
    <w:rsid w:val="001D4EDD"/>
    <w:rsid w:val="001E0EFA"/>
    <w:rsid w:val="001E60FD"/>
    <w:rsid w:val="001F7B51"/>
    <w:rsid w:val="00202ED8"/>
    <w:rsid w:val="002035B8"/>
    <w:rsid w:val="00214AF5"/>
    <w:rsid w:val="002337D5"/>
    <w:rsid w:val="00263E21"/>
    <w:rsid w:val="00267095"/>
    <w:rsid w:val="00267568"/>
    <w:rsid w:val="0028426D"/>
    <w:rsid w:val="002950BD"/>
    <w:rsid w:val="00296AA3"/>
    <w:rsid w:val="002A133C"/>
    <w:rsid w:val="002A3649"/>
    <w:rsid w:val="002A6499"/>
    <w:rsid w:val="002A6E7C"/>
    <w:rsid w:val="002B12B0"/>
    <w:rsid w:val="002B76AB"/>
    <w:rsid w:val="002C60AD"/>
    <w:rsid w:val="002D23B5"/>
    <w:rsid w:val="002E6097"/>
    <w:rsid w:val="002F1CF0"/>
    <w:rsid w:val="00304F43"/>
    <w:rsid w:val="003072B6"/>
    <w:rsid w:val="00314D41"/>
    <w:rsid w:val="0032787A"/>
    <w:rsid w:val="00350C74"/>
    <w:rsid w:val="00352278"/>
    <w:rsid w:val="00360954"/>
    <w:rsid w:val="00375142"/>
    <w:rsid w:val="003A3418"/>
    <w:rsid w:val="003A436D"/>
    <w:rsid w:val="003A60D7"/>
    <w:rsid w:val="003B168D"/>
    <w:rsid w:val="003B1C8D"/>
    <w:rsid w:val="003C1982"/>
    <w:rsid w:val="003D7295"/>
    <w:rsid w:val="003F5E64"/>
    <w:rsid w:val="003F7556"/>
    <w:rsid w:val="00423599"/>
    <w:rsid w:val="00431E37"/>
    <w:rsid w:val="00440245"/>
    <w:rsid w:val="00462366"/>
    <w:rsid w:val="00482BDD"/>
    <w:rsid w:val="00483C38"/>
    <w:rsid w:val="004D49FE"/>
    <w:rsid w:val="004E7601"/>
    <w:rsid w:val="00504773"/>
    <w:rsid w:val="005068BC"/>
    <w:rsid w:val="00541812"/>
    <w:rsid w:val="00542A0E"/>
    <w:rsid w:val="00545A53"/>
    <w:rsid w:val="005542CE"/>
    <w:rsid w:val="00555E0A"/>
    <w:rsid w:val="00583888"/>
    <w:rsid w:val="00590E28"/>
    <w:rsid w:val="00593F2C"/>
    <w:rsid w:val="005B1FCE"/>
    <w:rsid w:val="005C2D90"/>
    <w:rsid w:val="005C5CA5"/>
    <w:rsid w:val="005D007E"/>
    <w:rsid w:val="005D6837"/>
    <w:rsid w:val="005E0DAC"/>
    <w:rsid w:val="005E331D"/>
    <w:rsid w:val="005F276C"/>
    <w:rsid w:val="005F7DCE"/>
    <w:rsid w:val="0060613E"/>
    <w:rsid w:val="006110DE"/>
    <w:rsid w:val="006144A4"/>
    <w:rsid w:val="006157FD"/>
    <w:rsid w:val="00617AC2"/>
    <w:rsid w:val="00626A67"/>
    <w:rsid w:val="00643180"/>
    <w:rsid w:val="00644F88"/>
    <w:rsid w:val="00652942"/>
    <w:rsid w:val="006579B0"/>
    <w:rsid w:val="00661E89"/>
    <w:rsid w:val="00663B00"/>
    <w:rsid w:val="00666710"/>
    <w:rsid w:val="00667ED8"/>
    <w:rsid w:val="006700CA"/>
    <w:rsid w:val="00677F70"/>
    <w:rsid w:val="006B36A9"/>
    <w:rsid w:val="006C4E71"/>
    <w:rsid w:val="006D0624"/>
    <w:rsid w:val="006E4E4F"/>
    <w:rsid w:val="0070429F"/>
    <w:rsid w:val="00710202"/>
    <w:rsid w:val="00711502"/>
    <w:rsid w:val="00733D64"/>
    <w:rsid w:val="00740976"/>
    <w:rsid w:val="007559F3"/>
    <w:rsid w:val="00764A07"/>
    <w:rsid w:val="00765ED0"/>
    <w:rsid w:val="007945B6"/>
    <w:rsid w:val="007A1391"/>
    <w:rsid w:val="007B0334"/>
    <w:rsid w:val="007C10DE"/>
    <w:rsid w:val="007C191C"/>
    <w:rsid w:val="007C537F"/>
    <w:rsid w:val="007E16F7"/>
    <w:rsid w:val="007F294F"/>
    <w:rsid w:val="0081259B"/>
    <w:rsid w:val="00816E96"/>
    <w:rsid w:val="008240B0"/>
    <w:rsid w:val="00840605"/>
    <w:rsid w:val="00850F04"/>
    <w:rsid w:val="00856B5C"/>
    <w:rsid w:val="008575A3"/>
    <w:rsid w:val="00860F40"/>
    <w:rsid w:val="00862E70"/>
    <w:rsid w:val="00865910"/>
    <w:rsid w:val="00884141"/>
    <w:rsid w:val="0089283A"/>
    <w:rsid w:val="008A2684"/>
    <w:rsid w:val="008A303A"/>
    <w:rsid w:val="008B221F"/>
    <w:rsid w:val="008B4BFE"/>
    <w:rsid w:val="008C0AC8"/>
    <w:rsid w:val="008D13C0"/>
    <w:rsid w:val="008D77CB"/>
    <w:rsid w:val="008E3818"/>
    <w:rsid w:val="008F62A8"/>
    <w:rsid w:val="00911200"/>
    <w:rsid w:val="00926626"/>
    <w:rsid w:val="00932281"/>
    <w:rsid w:val="0094731A"/>
    <w:rsid w:val="00950FB2"/>
    <w:rsid w:val="00957C64"/>
    <w:rsid w:val="00982F29"/>
    <w:rsid w:val="009A2159"/>
    <w:rsid w:val="009A41EF"/>
    <w:rsid w:val="009A58AB"/>
    <w:rsid w:val="009C3854"/>
    <w:rsid w:val="009E4101"/>
    <w:rsid w:val="009F7D52"/>
    <w:rsid w:val="00A02ED9"/>
    <w:rsid w:val="00A31BB8"/>
    <w:rsid w:val="00A36C32"/>
    <w:rsid w:val="00A47FA3"/>
    <w:rsid w:val="00A65F32"/>
    <w:rsid w:val="00A66738"/>
    <w:rsid w:val="00A902B6"/>
    <w:rsid w:val="00A91129"/>
    <w:rsid w:val="00A94F1C"/>
    <w:rsid w:val="00AB02D9"/>
    <w:rsid w:val="00AE0883"/>
    <w:rsid w:val="00AF05A7"/>
    <w:rsid w:val="00AF1ED9"/>
    <w:rsid w:val="00AF4310"/>
    <w:rsid w:val="00B05594"/>
    <w:rsid w:val="00B15565"/>
    <w:rsid w:val="00B17BCF"/>
    <w:rsid w:val="00B22BDC"/>
    <w:rsid w:val="00B2356C"/>
    <w:rsid w:val="00B24711"/>
    <w:rsid w:val="00B25C9B"/>
    <w:rsid w:val="00B262A9"/>
    <w:rsid w:val="00B266AE"/>
    <w:rsid w:val="00B26F01"/>
    <w:rsid w:val="00B30435"/>
    <w:rsid w:val="00B30957"/>
    <w:rsid w:val="00B5694F"/>
    <w:rsid w:val="00B61EF7"/>
    <w:rsid w:val="00B62E5C"/>
    <w:rsid w:val="00B842D3"/>
    <w:rsid w:val="00B84645"/>
    <w:rsid w:val="00B8795D"/>
    <w:rsid w:val="00BD272F"/>
    <w:rsid w:val="00BD6B41"/>
    <w:rsid w:val="00BE3955"/>
    <w:rsid w:val="00BE446E"/>
    <w:rsid w:val="00BE517E"/>
    <w:rsid w:val="00BF38C3"/>
    <w:rsid w:val="00BF4360"/>
    <w:rsid w:val="00BF7F3A"/>
    <w:rsid w:val="00C054C7"/>
    <w:rsid w:val="00C17FF3"/>
    <w:rsid w:val="00C217C2"/>
    <w:rsid w:val="00C24BF1"/>
    <w:rsid w:val="00C3606A"/>
    <w:rsid w:val="00C40A57"/>
    <w:rsid w:val="00C4538E"/>
    <w:rsid w:val="00C508E4"/>
    <w:rsid w:val="00C54356"/>
    <w:rsid w:val="00C7020B"/>
    <w:rsid w:val="00C7469A"/>
    <w:rsid w:val="00C846DB"/>
    <w:rsid w:val="00C90E8C"/>
    <w:rsid w:val="00CB0FEC"/>
    <w:rsid w:val="00CE24B6"/>
    <w:rsid w:val="00CE540D"/>
    <w:rsid w:val="00D06DA8"/>
    <w:rsid w:val="00D31746"/>
    <w:rsid w:val="00D348C5"/>
    <w:rsid w:val="00D40F98"/>
    <w:rsid w:val="00D45ED0"/>
    <w:rsid w:val="00D54143"/>
    <w:rsid w:val="00D82C6C"/>
    <w:rsid w:val="00D86DD0"/>
    <w:rsid w:val="00D94305"/>
    <w:rsid w:val="00DA54F9"/>
    <w:rsid w:val="00DB08FE"/>
    <w:rsid w:val="00DC1EB4"/>
    <w:rsid w:val="00DC32BB"/>
    <w:rsid w:val="00DC4072"/>
    <w:rsid w:val="00DC60F7"/>
    <w:rsid w:val="00DD2582"/>
    <w:rsid w:val="00DD4CDB"/>
    <w:rsid w:val="00DD620B"/>
    <w:rsid w:val="00DE7551"/>
    <w:rsid w:val="00DF1E02"/>
    <w:rsid w:val="00DF660B"/>
    <w:rsid w:val="00E042DD"/>
    <w:rsid w:val="00E2377D"/>
    <w:rsid w:val="00E27F3C"/>
    <w:rsid w:val="00E35C4C"/>
    <w:rsid w:val="00E35E30"/>
    <w:rsid w:val="00E40A31"/>
    <w:rsid w:val="00E4762F"/>
    <w:rsid w:val="00E50E43"/>
    <w:rsid w:val="00E93248"/>
    <w:rsid w:val="00E970FC"/>
    <w:rsid w:val="00EA110A"/>
    <w:rsid w:val="00EC5A97"/>
    <w:rsid w:val="00EC7EB5"/>
    <w:rsid w:val="00ED1E6E"/>
    <w:rsid w:val="00ED21FA"/>
    <w:rsid w:val="00EE468D"/>
    <w:rsid w:val="00EF483B"/>
    <w:rsid w:val="00F10BA3"/>
    <w:rsid w:val="00F169F5"/>
    <w:rsid w:val="00F22F65"/>
    <w:rsid w:val="00F233C6"/>
    <w:rsid w:val="00F23EC5"/>
    <w:rsid w:val="00F30B20"/>
    <w:rsid w:val="00F318DF"/>
    <w:rsid w:val="00F44805"/>
    <w:rsid w:val="00F44DDB"/>
    <w:rsid w:val="00F503C8"/>
    <w:rsid w:val="00F5456A"/>
    <w:rsid w:val="00F6218E"/>
    <w:rsid w:val="00F70137"/>
    <w:rsid w:val="00F80F2B"/>
    <w:rsid w:val="00FA0C3B"/>
    <w:rsid w:val="00FA410E"/>
    <w:rsid w:val="00FA57F2"/>
    <w:rsid w:val="00FA75A4"/>
    <w:rsid w:val="00FB17A2"/>
    <w:rsid w:val="00FE1A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8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5C9B"/>
    <w:rPr>
      <w:color w:val="808080"/>
    </w:rPr>
  </w:style>
  <w:style w:type="paragraph" w:customStyle="1" w:styleId="6115240D996A4B648CDC951B9433B854">
    <w:name w:val="6115240D996A4B648CDC951B9433B854"/>
    <w:rsid w:val="00E50E43"/>
    <w:pPr>
      <w:widowControl w:val="0"/>
      <w:jc w:val="both"/>
    </w:pPr>
    <w:rPr>
      <w:rFonts w:ascii="Calibri" w:eastAsia="宋体"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50284-3C9C-43AE-B42C-578051A9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1241</Characters>
  <Application>Microsoft Office Word</Application>
  <DocSecurity>0</DocSecurity>
  <Lines>155</Lines>
  <Paragraphs>144</Paragraphs>
  <ScaleCrop>false</ScaleCrop>
  <Company>Sky123.Org</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W</cp:lastModifiedBy>
  <cp:revision>2</cp:revision>
  <dcterms:created xsi:type="dcterms:W3CDTF">2025-08-26T08:31:00Z</dcterms:created>
  <dcterms:modified xsi:type="dcterms:W3CDTF">2025-08-26T08:31:00Z</dcterms:modified>
</cp:coreProperties>
</file>