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6A5BF">
      <w:pPr>
        <w:adjustRightInd w:val="0"/>
        <w:snapToGrid w:val="0"/>
        <w:spacing w:line="560" w:lineRule="exact"/>
        <w:jc w:val="left"/>
        <w:rPr>
          <w:rFonts w:hint="default"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证券代码：6</w:t>
      </w:r>
      <w:r>
        <w:rPr>
          <w:rFonts w:asciiTheme="majorEastAsia" w:hAnsiTheme="majorEastAsia" w:eastAsiaTheme="majorEastAsia"/>
          <w:b/>
          <w:sz w:val="24"/>
          <w:szCs w:val="24"/>
        </w:rPr>
        <w:t xml:space="preserve">03191        </w:t>
      </w:r>
      <w:r>
        <w:rPr>
          <w:rFonts w:hint="eastAsia" w:asciiTheme="majorEastAsia" w:hAnsiTheme="majorEastAsia" w:eastAsiaTheme="majorEastAsia"/>
          <w:b/>
          <w:sz w:val="24"/>
          <w:szCs w:val="24"/>
        </w:rPr>
        <w:t>证券简称：望变电气</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highlight w:val="none"/>
        </w:rPr>
        <w:t>公告编号：2</w:t>
      </w:r>
      <w:r>
        <w:rPr>
          <w:rFonts w:asciiTheme="majorEastAsia" w:hAnsiTheme="majorEastAsia" w:eastAsiaTheme="majorEastAsia"/>
          <w:b/>
          <w:sz w:val="24"/>
          <w:szCs w:val="24"/>
          <w:highlight w:val="none"/>
        </w:rPr>
        <w:t>02</w:t>
      </w:r>
      <w:r>
        <w:rPr>
          <w:rFonts w:hint="eastAsia" w:asciiTheme="majorEastAsia" w:hAnsiTheme="majorEastAsia" w:eastAsiaTheme="majorEastAsia"/>
          <w:b/>
          <w:sz w:val="24"/>
          <w:szCs w:val="24"/>
          <w:highlight w:val="none"/>
        </w:rPr>
        <w:t>5</w:t>
      </w:r>
      <w:r>
        <w:rPr>
          <w:rFonts w:asciiTheme="majorEastAsia" w:hAnsiTheme="majorEastAsia" w:eastAsiaTheme="majorEastAsia"/>
          <w:b/>
          <w:sz w:val="24"/>
          <w:szCs w:val="24"/>
          <w:highlight w:val="none"/>
        </w:rPr>
        <w:t>-</w:t>
      </w:r>
      <w:r>
        <w:rPr>
          <w:rFonts w:hint="eastAsia" w:asciiTheme="majorEastAsia" w:hAnsiTheme="majorEastAsia" w:eastAsiaTheme="majorEastAsia"/>
          <w:b/>
          <w:sz w:val="24"/>
          <w:szCs w:val="24"/>
          <w:highlight w:val="none"/>
          <w:lang w:val="en-US" w:eastAsia="zh-CN"/>
        </w:rPr>
        <w:t>035</w:t>
      </w:r>
    </w:p>
    <w:p w14:paraId="6CE38621">
      <w:pPr>
        <w:adjustRightInd w:val="0"/>
        <w:snapToGrid w:val="0"/>
        <w:spacing w:line="560" w:lineRule="exact"/>
        <w:jc w:val="center"/>
        <w:rPr>
          <w:rFonts w:hint="eastAsia" w:asciiTheme="majorEastAsia" w:hAnsiTheme="majorEastAsia" w:eastAsiaTheme="majorEastAsia"/>
          <w:color w:val="FF0000"/>
          <w:sz w:val="36"/>
          <w:szCs w:val="36"/>
        </w:rPr>
      </w:pPr>
    </w:p>
    <w:p w14:paraId="72338D5E">
      <w:pPr>
        <w:snapToGrid w:val="0"/>
        <w:spacing w:line="560" w:lineRule="exact"/>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重庆望变电气（集团）股份有限公司</w:t>
      </w:r>
    </w:p>
    <w:p w14:paraId="063957A4">
      <w:pPr>
        <w:snapToGrid w:val="0"/>
        <w:spacing w:line="560" w:lineRule="exact"/>
        <w:jc w:val="center"/>
        <w:rPr>
          <w:rFonts w:hint="eastAsia" w:cs="黑体-WinCharSetFFFF-H" w:asciiTheme="majorEastAsia" w:hAnsiTheme="majorEastAsia" w:eastAsiaTheme="majorEastAsia"/>
          <w:b/>
          <w:color w:val="FF0000"/>
          <w:kern w:val="0"/>
          <w:sz w:val="36"/>
          <w:szCs w:val="36"/>
        </w:rPr>
      </w:pPr>
      <w:r>
        <w:rPr>
          <w:rFonts w:hint="eastAsia" w:asciiTheme="majorEastAsia" w:hAnsiTheme="majorEastAsia" w:eastAsiaTheme="majorEastAsia"/>
          <w:b/>
          <w:color w:val="FF0000"/>
          <w:sz w:val="36"/>
          <w:szCs w:val="36"/>
        </w:rPr>
        <w:t>2</w:t>
      </w:r>
      <w:r>
        <w:rPr>
          <w:rFonts w:asciiTheme="majorEastAsia" w:hAnsiTheme="majorEastAsia" w:eastAsiaTheme="majorEastAsia"/>
          <w:b/>
          <w:color w:val="FF0000"/>
          <w:sz w:val="36"/>
          <w:szCs w:val="36"/>
        </w:rPr>
        <w:t>02</w:t>
      </w:r>
      <w:r>
        <w:rPr>
          <w:rFonts w:hint="eastAsia" w:asciiTheme="majorEastAsia" w:hAnsiTheme="majorEastAsia" w:eastAsiaTheme="majorEastAsia"/>
          <w:b/>
          <w:color w:val="FF0000"/>
          <w:sz w:val="36"/>
          <w:szCs w:val="36"/>
        </w:rPr>
        <w:t>5年半年度业绩预告</w:t>
      </w:r>
    </w:p>
    <w:p w14:paraId="609CAA4D">
      <w:pPr>
        <w:snapToGrid w:val="0"/>
        <w:spacing w:line="560" w:lineRule="exact"/>
        <w:jc w:val="center"/>
        <w:rPr>
          <w:rFonts w:hint="eastAsia" w:ascii="仿宋_GB2312" w:hAnsi="宋体" w:eastAsia="仿宋_GB2312"/>
          <w:color w:val="000000"/>
          <w:sz w:val="30"/>
          <w:szCs w:val="30"/>
        </w:rPr>
      </w:pPr>
    </w:p>
    <w:p w14:paraId="752C6B0A">
      <w:pPr>
        <w:pBdr>
          <w:top w:val="single" w:color="auto" w:sz="4" w:space="1"/>
          <w:left w:val="single" w:color="auto" w:sz="4" w:space="4"/>
          <w:bottom w:val="single" w:color="auto" w:sz="4" w:space="2"/>
          <w:right w:val="single" w:color="auto" w:sz="4" w:space="4"/>
        </w:pBdr>
        <w:adjustRightInd w:val="0"/>
        <w:spacing w:line="560" w:lineRule="exact"/>
        <w:rPr>
          <w:rFonts w:hint="eastAsia" w:ascii="仿宋_GB2312" w:hAnsi="宋体" w:eastAsia="仿宋_GB2312"/>
          <w:color w:val="000000"/>
          <w:sz w:val="24"/>
          <w:szCs w:val="24"/>
        </w:rPr>
      </w:pPr>
      <w:r>
        <w:rPr>
          <w:rFonts w:hint="eastAsia" w:ascii="仿宋_GB2312" w:hAnsi="宋体" w:eastAsia="仿宋_GB2312"/>
          <w:color w:val="000000"/>
          <w:sz w:val="30"/>
          <w:szCs w:val="30"/>
        </w:rPr>
        <w:t xml:space="preserve">    </w:t>
      </w:r>
      <w:r>
        <w:rPr>
          <w:rFonts w:hint="eastAsia" w:ascii="仿宋_GB2312" w:hAnsi="宋体" w:eastAsia="仿宋_GB2312"/>
          <w:color w:val="000000"/>
          <w:sz w:val="24"/>
          <w:szCs w:val="24"/>
        </w:rPr>
        <w:t>本公司董事会及全体董事保证本公告内容不存在任何虚假记载、误导性陈述或者重大遗漏，并对其内容的真实性、准确性和完整性承担法律责任。</w:t>
      </w:r>
    </w:p>
    <w:p w14:paraId="027D1248">
      <w:pPr>
        <w:adjustRightInd w:val="0"/>
        <w:snapToGrid w:val="0"/>
        <w:spacing w:line="560" w:lineRule="exact"/>
        <w:rPr>
          <w:rFonts w:hint="eastAsia" w:ascii="仿宋_GB2312" w:hAnsi="宋体" w:eastAsia="仿宋_GB2312"/>
          <w:sz w:val="30"/>
          <w:szCs w:val="30"/>
        </w:rPr>
      </w:pPr>
    </w:p>
    <w:p w14:paraId="67F32C55">
      <w:pPr>
        <w:tabs>
          <w:tab w:val="left" w:pos="567"/>
        </w:tabs>
        <w:spacing w:line="440" w:lineRule="exact"/>
        <w:ind w:left="567"/>
        <w:jc w:val="left"/>
        <w:rPr>
          <w:rFonts w:hint="eastAsia" w:ascii="宋体" w:hAnsi="宋体"/>
          <w:b/>
          <w:sz w:val="24"/>
          <w:szCs w:val="24"/>
        </w:rPr>
      </w:pPr>
      <w:r>
        <w:rPr>
          <w:rFonts w:ascii="宋体" w:hAnsi="宋体"/>
          <w:b/>
          <w:sz w:val="24"/>
          <w:szCs w:val="24"/>
        </w:rPr>
        <w:t>重要内容提示：</w:t>
      </w:r>
    </w:p>
    <w:p w14:paraId="1A3D9EA1">
      <w:pPr>
        <w:pStyle w:val="29"/>
        <w:numPr>
          <w:ilvl w:val="0"/>
          <w:numId w:val="1"/>
        </w:numPr>
        <w:tabs>
          <w:tab w:val="left" w:pos="567"/>
        </w:tabs>
        <w:spacing w:line="560" w:lineRule="exact"/>
        <w:ind w:firstLineChars="0"/>
        <w:rPr>
          <w:rFonts w:hint="eastAsia" w:ascii="宋体" w:hAnsi="宋体"/>
          <w:kern w:val="0"/>
          <w:sz w:val="24"/>
          <w:szCs w:val="24"/>
        </w:rPr>
      </w:pPr>
      <w:r>
        <w:rPr>
          <w:rFonts w:ascii="宋体" w:hAnsi="宋体"/>
          <w:sz w:val="24"/>
          <w:szCs w:val="24"/>
        </w:rPr>
        <w:t>重庆望变电气（集团）股份有限公司（以下简称“公司”）</w:t>
      </w:r>
      <w:bookmarkStart w:id="0" w:name="OLE_LINK1"/>
      <w:r>
        <w:rPr>
          <w:rFonts w:ascii="宋体" w:hAnsi="宋体"/>
          <w:sz w:val="24"/>
          <w:szCs w:val="24"/>
        </w:rPr>
        <w:t>预计202</w:t>
      </w:r>
      <w:r>
        <w:rPr>
          <w:rFonts w:hint="eastAsia" w:ascii="宋体" w:hAnsi="宋体"/>
          <w:sz w:val="24"/>
          <w:szCs w:val="24"/>
        </w:rPr>
        <w:t>5</w:t>
      </w:r>
      <w:r>
        <w:rPr>
          <w:rFonts w:ascii="宋体" w:hAnsi="宋体"/>
          <w:sz w:val="24"/>
          <w:szCs w:val="24"/>
        </w:rPr>
        <w:t>年</w:t>
      </w:r>
      <w:r>
        <w:rPr>
          <w:rFonts w:hint="eastAsia" w:ascii="宋体" w:hAnsi="宋体"/>
          <w:sz w:val="24"/>
          <w:szCs w:val="24"/>
        </w:rPr>
        <w:t>半年度</w:t>
      </w:r>
      <w:r>
        <w:rPr>
          <w:rFonts w:ascii="宋体" w:hAnsi="宋体"/>
          <w:sz w:val="24"/>
          <w:szCs w:val="24"/>
        </w:rPr>
        <w:t>实现归属于母公司所有者的净利润为</w:t>
      </w:r>
      <w:r>
        <w:rPr>
          <w:rFonts w:hint="eastAsia" w:ascii="宋体" w:hAnsi="宋体"/>
          <w:sz w:val="24"/>
          <w:szCs w:val="24"/>
        </w:rPr>
        <w:t>4,600万元至5,400万元，与上年同期相比增加1,121万元至1,921万元，同比增加32.21%到55.20%</w:t>
      </w:r>
      <w:r>
        <w:rPr>
          <w:rFonts w:ascii="宋体" w:hAnsi="宋体"/>
          <w:sz w:val="24"/>
          <w:szCs w:val="24"/>
        </w:rPr>
        <w:t>。</w:t>
      </w:r>
    </w:p>
    <w:p w14:paraId="20A293A3">
      <w:pPr>
        <w:pStyle w:val="29"/>
        <w:numPr>
          <w:ilvl w:val="0"/>
          <w:numId w:val="1"/>
        </w:numPr>
        <w:tabs>
          <w:tab w:val="left" w:pos="567"/>
        </w:tabs>
        <w:spacing w:line="560" w:lineRule="exact"/>
        <w:ind w:firstLineChars="0"/>
        <w:rPr>
          <w:rFonts w:hint="eastAsia" w:ascii="宋体" w:hAnsi="宋体"/>
          <w:kern w:val="0"/>
          <w:sz w:val="24"/>
          <w:szCs w:val="24"/>
        </w:rPr>
      </w:pPr>
      <w:r>
        <w:rPr>
          <w:rFonts w:ascii="宋体" w:hAnsi="宋体"/>
          <w:sz w:val="24"/>
          <w:szCs w:val="24"/>
        </w:rPr>
        <w:t>预计202</w:t>
      </w:r>
      <w:r>
        <w:rPr>
          <w:rFonts w:hint="eastAsia" w:ascii="宋体" w:hAnsi="宋体"/>
          <w:sz w:val="24"/>
          <w:szCs w:val="24"/>
        </w:rPr>
        <w:t>5</w:t>
      </w:r>
      <w:r>
        <w:rPr>
          <w:rFonts w:ascii="宋体" w:hAnsi="宋体"/>
          <w:sz w:val="24"/>
          <w:szCs w:val="24"/>
        </w:rPr>
        <w:t>年</w:t>
      </w:r>
      <w:r>
        <w:rPr>
          <w:rFonts w:hint="eastAsia" w:ascii="宋体" w:hAnsi="宋体"/>
          <w:sz w:val="24"/>
          <w:szCs w:val="24"/>
        </w:rPr>
        <w:t>半年度</w:t>
      </w:r>
      <w:r>
        <w:rPr>
          <w:rFonts w:ascii="宋体" w:hAnsi="宋体"/>
          <w:sz w:val="24"/>
          <w:szCs w:val="24"/>
        </w:rPr>
        <w:t>实现归属于母公司所有者的扣除非经常性损益的净利润为</w:t>
      </w:r>
      <w:r>
        <w:rPr>
          <w:rFonts w:hint="eastAsia" w:ascii="宋体" w:hAnsi="宋体"/>
          <w:sz w:val="24"/>
          <w:szCs w:val="24"/>
        </w:rPr>
        <w:t>4,200万元至5,000万元，与上年同期相比增加2,545万元到3,345万元，同比增加153.79%到202.13%</w:t>
      </w:r>
      <w:r>
        <w:rPr>
          <w:rFonts w:ascii="宋体" w:hAnsi="宋体"/>
          <w:sz w:val="24"/>
          <w:szCs w:val="24"/>
        </w:rPr>
        <w:t>。</w:t>
      </w:r>
    </w:p>
    <w:bookmarkEnd w:id="0"/>
    <w:p w14:paraId="23496BB7">
      <w:pPr>
        <w:tabs>
          <w:tab w:val="left" w:pos="567"/>
        </w:tabs>
        <w:spacing w:line="440" w:lineRule="exact"/>
        <w:ind w:left="567"/>
        <w:jc w:val="left"/>
        <w:rPr>
          <w:rFonts w:hint="eastAsia" w:ascii="宋体" w:hAnsi="宋体"/>
          <w:b/>
          <w:sz w:val="24"/>
          <w:szCs w:val="24"/>
        </w:rPr>
      </w:pPr>
      <w:r>
        <w:rPr>
          <w:rFonts w:ascii="宋体" w:hAnsi="宋体"/>
          <w:b/>
          <w:sz w:val="24"/>
          <w:szCs w:val="24"/>
        </w:rPr>
        <w:t>一、本期业绩预告情况</w:t>
      </w:r>
    </w:p>
    <w:p w14:paraId="7BB13D30">
      <w:pPr>
        <w:tabs>
          <w:tab w:val="left" w:pos="567"/>
        </w:tabs>
        <w:spacing w:line="440" w:lineRule="exact"/>
        <w:ind w:firstLine="480" w:firstLineChars="200"/>
        <w:jc w:val="left"/>
        <w:rPr>
          <w:rFonts w:hint="eastAsia" w:ascii="宋体" w:hAnsi="宋体"/>
          <w:sz w:val="24"/>
          <w:szCs w:val="24"/>
        </w:rPr>
      </w:pPr>
      <w:r>
        <w:rPr>
          <w:rFonts w:hint="eastAsia" w:ascii="宋体" w:hAnsi="宋体"/>
          <w:sz w:val="24"/>
          <w:szCs w:val="24"/>
        </w:rPr>
        <w:t>（一）</w:t>
      </w:r>
      <w:r>
        <w:rPr>
          <w:rFonts w:ascii="宋体" w:hAnsi="宋体"/>
          <w:sz w:val="24"/>
          <w:szCs w:val="24"/>
        </w:rPr>
        <w:t>业绩预告期间</w:t>
      </w:r>
    </w:p>
    <w:p w14:paraId="243BF9D9">
      <w:pPr>
        <w:tabs>
          <w:tab w:val="left" w:pos="567"/>
        </w:tabs>
        <w:spacing w:line="440" w:lineRule="exact"/>
        <w:ind w:left="567"/>
        <w:jc w:val="left"/>
        <w:rPr>
          <w:rFonts w:hint="eastAsia" w:ascii="宋体" w:hAnsi="宋体"/>
          <w:sz w:val="24"/>
          <w:szCs w:val="24"/>
        </w:rPr>
      </w:pPr>
      <w:r>
        <w:rPr>
          <w:rFonts w:ascii="宋体" w:hAnsi="宋体"/>
          <w:sz w:val="24"/>
          <w:szCs w:val="24"/>
        </w:rPr>
        <w:t>202</w:t>
      </w:r>
      <w:r>
        <w:rPr>
          <w:rFonts w:hint="eastAsia" w:ascii="宋体" w:hAnsi="宋体"/>
          <w:sz w:val="24"/>
          <w:szCs w:val="24"/>
        </w:rPr>
        <w:t>5</w:t>
      </w:r>
      <w:r>
        <w:rPr>
          <w:rFonts w:ascii="宋体" w:hAnsi="宋体"/>
          <w:sz w:val="24"/>
          <w:szCs w:val="24"/>
        </w:rPr>
        <w:t>年1月1日至202</w:t>
      </w:r>
      <w:r>
        <w:rPr>
          <w:rFonts w:hint="eastAsia" w:ascii="宋体" w:hAnsi="宋体"/>
          <w:sz w:val="24"/>
          <w:szCs w:val="24"/>
        </w:rPr>
        <w:t>5</w:t>
      </w:r>
      <w:r>
        <w:rPr>
          <w:rFonts w:ascii="宋体" w:hAnsi="宋体"/>
          <w:sz w:val="24"/>
          <w:szCs w:val="24"/>
        </w:rPr>
        <w:t>年</w:t>
      </w:r>
      <w:r>
        <w:rPr>
          <w:rFonts w:hint="eastAsia" w:ascii="宋体" w:hAnsi="宋体"/>
          <w:sz w:val="24"/>
          <w:szCs w:val="24"/>
        </w:rPr>
        <w:t>6</w:t>
      </w:r>
      <w:r>
        <w:rPr>
          <w:rFonts w:ascii="宋体" w:hAnsi="宋体"/>
          <w:sz w:val="24"/>
          <w:szCs w:val="24"/>
        </w:rPr>
        <w:t>月3</w:t>
      </w:r>
      <w:r>
        <w:rPr>
          <w:rFonts w:hint="eastAsia" w:ascii="宋体" w:hAnsi="宋体"/>
          <w:sz w:val="24"/>
          <w:szCs w:val="24"/>
        </w:rPr>
        <w:t>0</w:t>
      </w:r>
      <w:r>
        <w:rPr>
          <w:rFonts w:ascii="宋体" w:hAnsi="宋体"/>
          <w:sz w:val="24"/>
          <w:szCs w:val="24"/>
        </w:rPr>
        <w:t>日</w:t>
      </w:r>
    </w:p>
    <w:p w14:paraId="096D2FE2">
      <w:pPr>
        <w:pStyle w:val="29"/>
        <w:numPr>
          <w:ilvl w:val="0"/>
          <w:numId w:val="2"/>
        </w:numPr>
        <w:tabs>
          <w:tab w:val="left" w:pos="567"/>
        </w:tabs>
        <w:spacing w:line="440" w:lineRule="exact"/>
        <w:ind w:firstLineChars="0"/>
        <w:jc w:val="left"/>
        <w:rPr>
          <w:rFonts w:hint="eastAsia" w:ascii="宋体" w:hAnsi="宋体"/>
          <w:sz w:val="24"/>
          <w:szCs w:val="24"/>
        </w:rPr>
      </w:pPr>
      <w:r>
        <w:rPr>
          <w:rFonts w:ascii="宋体" w:hAnsi="宋体"/>
          <w:sz w:val="24"/>
          <w:szCs w:val="24"/>
        </w:rPr>
        <w:t>业绩预告情况</w:t>
      </w:r>
    </w:p>
    <w:p w14:paraId="7059FA7A">
      <w:pPr>
        <w:pStyle w:val="29"/>
        <w:tabs>
          <w:tab w:val="left" w:pos="567"/>
        </w:tabs>
        <w:spacing w:line="560" w:lineRule="exact"/>
        <w:ind w:firstLine="480"/>
        <w:rPr>
          <w:rFonts w:hint="eastAsia" w:ascii="宋体" w:hAnsi="宋体"/>
          <w:sz w:val="24"/>
          <w:szCs w:val="24"/>
        </w:rPr>
      </w:pPr>
      <w:r>
        <w:rPr>
          <w:rFonts w:ascii="宋体" w:hAnsi="宋体"/>
          <w:sz w:val="24"/>
          <w:szCs w:val="24"/>
        </w:rPr>
        <w:t>经财务部门初步测算</w:t>
      </w:r>
      <w:r>
        <w:rPr>
          <w:rFonts w:hint="eastAsia" w:ascii="宋体" w:hAnsi="宋体"/>
          <w:sz w:val="24"/>
          <w:szCs w:val="24"/>
        </w:rPr>
        <w:t>，预计2025年半年度实现归属于母公司所有者的净利润为4,600万元至5,400万元，与上年同期相比增加1,121万元至1,921万元，同比增加32.21%到55.20%。预计2025年半年度实现归属于母公司所有者的扣除非经常性损益的净利润为4,200万元至5,000万元，与上年同期相比增加2,545万元到3,345万元，同比增加153.79%到202.13%。</w:t>
      </w:r>
    </w:p>
    <w:p w14:paraId="4B4A528F">
      <w:pPr>
        <w:pStyle w:val="29"/>
        <w:numPr>
          <w:ilvl w:val="0"/>
          <w:numId w:val="2"/>
        </w:numPr>
        <w:tabs>
          <w:tab w:val="left" w:pos="567"/>
        </w:tabs>
        <w:spacing w:line="560" w:lineRule="exact"/>
        <w:ind w:firstLineChars="0"/>
        <w:jc w:val="left"/>
        <w:rPr>
          <w:rFonts w:hint="eastAsia" w:ascii="宋体" w:hAnsi="宋体"/>
          <w:sz w:val="24"/>
          <w:szCs w:val="24"/>
        </w:rPr>
      </w:pPr>
      <w:r>
        <w:rPr>
          <w:rFonts w:ascii="宋体" w:hAnsi="宋体"/>
          <w:sz w:val="24"/>
          <w:szCs w:val="24"/>
        </w:rPr>
        <w:t>本次业绩预告未经注册会计师审计。</w:t>
      </w:r>
    </w:p>
    <w:p w14:paraId="19EB1EF7">
      <w:pPr>
        <w:tabs>
          <w:tab w:val="left" w:pos="567"/>
        </w:tabs>
        <w:spacing w:line="440" w:lineRule="exact"/>
        <w:ind w:firstLine="482" w:firstLineChars="200"/>
        <w:jc w:val="left"/>
        <w:rPr>
          <w:rFonts w:hint="eastAsia" w:ascii="宋体" w:hAnsi="宋体"/>
          <w:b/>
          <w:sz w:val="24"/>
          <w:szCs w:val="24"/>
        </w:rPr>
      </w:pPr>
      <w:r>
        <w:rPr>
          <w:rFonts w:ascii="宋体" w:hAnsi="宋体"/>
          <w:b/>
          <w:sz w:val="24"/>
          <w:szCs w:val="24"/>
        </w:rPr>
        <w:t>二、上年同期经营业绩和财务状况</w:t>
      </w:r>
    </w:p>
    <w:p w14:paraId="2560EF57">
      <w:pPr>
        <w:tabs>
          <w:tab w:val="left" w:pos="567"/>
        </w:tabs>
        <w:spacing w:line="560" w:lineRule="exact"/>
        <w:ind w:firstLine="480" w:firstLineChars="200"/>
        <w:rPr>
          <w:rFonts w:hint="eastAsia" w:ascii="宋体" w:hAnsi="宋体"/>
          <w:sz w:val="24"/>
          <w:szCs w:val="24"/>
        </w:rPr>
      </w:pPr>
      <w:r>
        <w:rPr>
          <w:rFonts w:ascii="宋体" w:hAnsi="宋体"/>
          <w:sz w:val="24"/>
          <w:szCs w:val="24"/>
        </w:rPr>
        <w:t>（一）归属于母公司所有者的净利润为3,479.32万元，归属于母公司所有者的扣除非经常性损益的净利润1,654.89万元。</w:t>
      </w:r>
    </w:p>
    <w:p w14:paraId="0B1D24AD">
      <w:pPr>
        <w:tabs>
          <w:tab w:val="left" w:pos="567"/>
        </w:tabs>
        <w:spacing w:line="560" w:lineRule="exact"/>
        <w:ind w:firstLine="480" w:firstLineChars="200"/>
        <w:rPr>
          <w:rFonts w:hint="eastAsia" w:ascii="宋体" w:hAnsi="宋体"/>
          <w:sz w:val="24"/>
          <w:szCs w:val="24"/>
        </w:rPr>
      </w:pPr>
      <w:r>
        <w:rPr>
          <w:rFonts w:ascii="宋体" w:hAnsi="宋体"/>
          <w:sz w:val="24"/>
          <w:szCs w:val="24"/>
        </w:rPr>
        <w:t>（二）每股收益：</w:t>
      </w:r>
      <w:r>
        <w:rPr>
          <w:rFonts w:hint="eastAsia" w:ascii="宋体" w:hAnsi="宋体"/>
          <w:sz w:val="24"/>
          <w:szCs w:val="24"/>
        </w:rPr>
        <w:t>0</w:t>
      </w:r>
      <w:r>
        <w:rPr>
          <w:rFonts w:ascii="宋体" w:hAnsi="宋体"/>
          <w:sz w:val="24"/>
          <w:szCs w:val="24"/>
        </w:rPr>
        <w:t>.</w:t>
      </w:r>
      <w:r>
        <w:rPr>
          <w:rFonts w:hint="eastAsia" w:ascii="宋体" w:hAnsi="宋体"/>
          <w:sz w:val="24"/>
          <w:szCs w:val="24"/>
        </w:rPr>
        <w:t>11</w:t>
      </w:r>
      <w:r>
        <w:rPr>
          <w:rFonts w:ascii="宋体" w:hAnsi="宋体"/>
          <w:sz w:val="24"/>
          <w:szCs w:val="24"/>
        </w:rPr>
        <w:t>元。</w:t>
      </w:r>
    </w:p>
    <w:p w14:paraId="6B902069">
      <w:pPr>
        <w:tabs>
          <w:tab w:val="left" w:pos="567"/>
        </w:tabs>
        <w:spacing w:line="440" w:lineRule="exact"/>
        <w:ind w:firstLine="482" w:firstLineChars="200"/>
        <w:jc w:val="left"/>
        <w:rPr>
          <w:rFonts w:hint="eastAsia" w:ascii="宋体" w:hAnsi="宋体"/>
          <w:b/>
          <w:sz w:val="24"/>
          <w:szCs w:val="24"/>
        </w:rPr>
      </w:pPr>
      <w:r>
        <w:rPr>
          <w:rFonts w:ascii="宋体" w:hAnsi="宋体"/>
          <w:b/>
          <w:sz w:val="24"/>
          <w:szCs w:val="24"/>
        </w:rPr>
        <w:t>三、本期业绩</w:t>
      </w:r>
      <w:r>
        <w:rPr>
          <w:rFonts w:hint="eastAsia" w:ascii="宋体" w:hAnsi="宋体"/>
          <w:b/>
          <w:sz w:val="24"/>
          <w:szCs w:val="24"/>
        </w:rPr>
        <w:t>预增</w:t>
      </w:r>
      <w:r>
        <w:rPr>
          <w:rFonts w:ascii="宋体" w:hAnsi="宋体"/>
          <w:b/>
          <w:sz w:val="24"/>
          <w:szCs w:val="24"/>
        </w:rPr>
        <w:t>的主要原因</w:t>
      </w:r>
    </w:p>
    <w:p w14:paraId="3F0DD9FF">
      <w:pPr>
        <w:tabs>
          <w:tab w:val="left" w:pos="567"/>
        </w:tabs>
        <w:spacing w:line="560" w:lineRule="exact"/>
        <w:ind w:firstLine="480" w:firstLineChars="200"/>
        <w:rPr>
          <w:rFonts w:hint="eastAsia" w:ascii="宋体" w:hAnsi="宋体"/>
          <w:sz w:val="24"/>
          <w:szCs w:val="24"/>
        </w:rPr>
      </w:pPr>
      <w:r>
        <w:rPr>
          <w:rFonts w:hint="eastAsia" w:ascii="宋体" w:hAnsi="宋体"/>
          <w:sz w:val="24"/>
          <w:szCs w:val="24"/>
        </w:rPr>
        <w:t>本报告期，公司整体业绩较去年同期相比实现业绩提升，一方面系公司八万吨高端磁性新材料项目投产后，高磁感取向硅钢牌号持续稳步提升，有效推动了取向硅钢业务整体毛利率的增长；另一方面系子公司云变电气输配电及控制设备业务收入较去年同期实现稳步增长，为公司贡献了一定利润增量。</w:t>
      </w:r>
    </w:p>
    <w:p w14:paraId="512E0608">
      <w:pPr>
        <w:tabs>
          <w:tab w:val="left" w:pos="567"/>
        </w:tabs>
        <w:spacing w:line="440" w:lineRule="exact"/>
        <w:ind w:firstLine="482" w:firstLineChars="200"/>
        <w:jc w:val="left"/>
        <w:rPr>
          <w:rFonts w:hint="eastAsia" w:ascii="宋体" w:hAnsi="宋体"/>
          <w:b/>
          <w:sz w:val="24"/>
          <w:szCs w:val="24"/>
        </w:rPr>
      </w:pPr>
      <w:r>
        <w:rPr>
          <w:rFonts w:hint="eastAsia" w:ascii="宋体" w:hAnsi="宋体"/>
          <w:b/>
          <w:sz w:val="24"/>
          <w:szCs w:val="24"/>
        </w:rPr>
        <w:t>四</w:t>
      </w:r>
      <w:r>
        <w:rPr>
          <w:rFonts w:ascii="宋体" w:hAnsi="宋体"/>
          <w:b/>
          <w:sz w:val="24"/>
          <w:szCs w:val="24"/>
        </w:rPr>
        <w:t>、风险提示</w:t>
      </w:r>
    </w:p>
    <w:p w14:paraId="1F9333D1">
      <w:pPr>
        <w:tabs>
          <w:tab w:val="left" w:pos="567"/>
        </w:tabs>
        <w:spacing w:line="560" w:lineRule="exact"/>
        <w:ind w:firstLine="480" w:firstLineChars="200"/>
        <w:jc w:val="left"/>
        <w:rPr>
          <w:rFonts w:hint="eastAsia" w:ascii="宋体" w:hAnsi="宋体"/>
          <w:sz w:val="24"/>
          <w:szCs w:val="24"/>
        </w:rPr>
      </w:pPr>
      <w:r>
        <w:rPr>
          <w:rFonts w:ascii="宋体" w:hAnsi="宋体"/>
          <w:sz w:val="24"/>
          <w:szCs w:val="24"/>
        </w:rPr>
        <w:t>本次业绩预告是公司财务部门基于自身专业判断进行的初步测算，未经注册会计师审计。截止目前，公司不存在可能影响本次业绩预告内容准确性的重大不确定性因素。</w:t>
      </w:r>
    </w:p>
    <w:p w14:paraId="7B65755E">
      <w:pPr>
        <w:tabs>
          <w:tab w:val="left" w:pos="567"/>
        </w:tabs>
        <w:spacing w:line="440" w:lineRule="exact"/>
        <w:ind w:firstLine="482" w:firstLineChars="200"/>
        <w:jc w:val="left"/>
        <w:rPr>
          <w:rFonts w:hint="eastAsia" w:ascii="宋体" w:hAnsi="宋体"/>
          <w:b/>
          <w:sz w:val="24"/>
          <w:szCs w:val="24"/>
        </w:rPr>
      </w:pPr>
      <w:r>
        <w:rPr>
          <w:rFonts w:hint="eastAsia" w:ascii="宋体" w:hAnsi="宋体"/>
          <w:b/>
          <w:sz w:val="24"/>
          <w:szCs w:val="24"/>
        </w:rPr>
        <w:t>五</w:t>
      </w:r>
      <w:r>
        <w:rPr>
          <w:rFonts w:ascii="宋体" w:hAnsi="宋体"/>
          <w:b/>
          <w:sz w:val="24"/>
          <w:szCs w:val="24"/>
        </w:rPr>
        <w:t>、其他说明事项</w:t>
      </w:r>
    </w:p>
    <w:p w14:paraId="04F825F6">
      <w:pPr>
        <w:tabs>
          <w:tab w:val="left" w:pos="567"/>
        </w:tabs>
        <w:spacing w:line="560" w:lineRule="exact"/>
        <w:ind w:firstLine="480" w:firstLineChars="200"/>
        <w:jc w:val="left"/>
        <w:rPr>
          <w:rFonts w:hint="eastAsia" w:ascii="宋体" w:hAnsi="宋体"/>
          <w:sz w:val="24"/>
          <w:szCs w:val="24"/>
        </w:rPr>
      </w:pPr>
      <w:r>
        <w:rPr>
          <w:rFonts w:ascii="宋体" w:hAnsi="宋体"/>
          <w:sz w:val="24"/>
          <w:szCs w:val="24"/>
        </w:rPr>
        <w:t>以上预告数据仅为初步核算数据，具体财务数据将在公司</w:t>
      </w:r>
      <w:r>
        <w:rPr>
          <w:rFonts w:hint="eastAsia" w:ascii="宋体" w:hAnsi="宋体"/>
          <w:sz w:val="24"/>
          <w:szCs w:val="24"/>
        </w:rPr>
        <w:t>正式披露的</w:t>
      </w:r>
      <w:r>
        <w:rPr>
          <w:rFonts w:ascii="宋体" w:hAnsi="宋体"/>
          <w:sz w:val="24"/>
          <w:szCs w:val="24"/>
        </w:rPr>
        <w:t>202</w:t>
      </w:r>
      <w:r>
        <w:rPr>
          <w:rFonts w:hint="eastAsia" w:ascii="宋体" w:hAnsi="宋体"/>
          <w:sz w:val="24"/>
          <w:szCs w:val="24"/>
        </w:rPr>
        <w:t>5</w:t>
      </w:r>
      <w:r>
        <w:rPr>
          <w:rFonts w:ascii="宋体" w:hAnsi="宋体"/>
          <w:sz w:val="24"/>
          <w:szCs w:val="24"/>
        </w:rPr>
        <w:t>年</w:t>
      </w:r>
      <w:r>
        <w:rPr>
          <w:rFonts w:hint="eastAsia" w:ascii="宋体" w:hAnsi="宋体"/>
          <w:sz w:val="24"/>
          <w:szCs w:val="24"/>
        </w:rPr>
        <w:t>半年度</w:t>
      </w:r>
      <w:r>
        <w:rPr>
          <w:rFonts w:ascii="宋体" w:hAnsi="宋体"/>
          <w:sz w:val="24"/>
          <w:szCs w:val="24"/>
        </w:rPr>
        <w:t>报告中详细披露。敬请广大投资者谨慎决策，注意投资风险。</w:t>
      </w:r>
    </w:p>
    <w:p w14:paraId="686C25E6">
      <w:pPr>
        <w:tabs>
          <w:tab w:val="left" w:pos="567"/>
        </w:tabs>
        <w:spacing w:line="560" w:lineRule="exact"/>
        <w:ind w:firstLine="480" w:firstLineChars="200"/>
        <w:jc w:val="left"/>
        <w:rPr>
          <w:rFonts w:hint="eastAsia" w:ascii="宋体" w:hAnsi="宋体"/>
          <w:sz w:val="24"/>
          <w:szCs w:val="24"/>
        </w:rPr>
      </w:pPr>
    </w:p>
    <w:p w14:paraId="507DE5BA">
      <w:pPr>
        <w:autoSpaceDE w:val="0"/>
        <w:autoSpaceDN w:val="0"/>
        <w:adjustRightInd w:val="0"/>
        <w:spacing w:line="560" w:lineRule="exact"/>
        <w:ind w:firstLine="460" w:firstLineChars="192"/>
        <w:jc w:val="left"/>
        <w:rPr>
          <w:rFonts w:hint="eastAsia" w:cs="宋体-WinCharSetFFFF-H" w:asciiTheme="minorEastAsia" w:hAnsiTheme="minorEastAsia" w:eastAsiaTheme="minorEastAsia"/>
          <w:color w:val="000000"/>
          <w:kern w:val="0"/>
          <w:sz w:val="24"/>
          <w:szCs w:val="24"/>
        </w:rPr>
      </w:pPr>
      <w:r>
        <w:rPr>
          <w:rFonts w:hint="eastAsia" w:cs="宋体-WinCharSetFFFF-H" w:asciiTheme="minorEastAsia" w:hAnsiTheme="minorEastAsia" w:eastAsiaTheme="minorEastAsia"/>
          <w:color w:val="000000"/>
          <w:kern w:val="0"/>
          <w:sz w:val="24"/>
          <w:szCs w:val="24"/>
        </w:rPr>
        <w:t>特此公告。</w:t>
      </w:r>
    </w:p>
    <w:p w14:paraId="43EB906F">
      <w:pPr>
        <w:autoSpaceDE w:val="0"/>
        <w:autoSpaceDN w:val="0"/>
        <w:adjustRightInd w:val="0"/>
        <w:spacing w:line="560" w:lineRule="exact"/>
        <w:jc w:val="right"/>
        <w:rPr>
          <w:rFonts w:hint="eastAsia" w:cs="宋体-WinCharSetFFFF-H"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重庆望变电气（集团）</w:t>
      </w:r>
      <w:r>
        <w:rPr>
          <w:rFonts w:hint="eastAsia" w:cs="宋体-WinCharSetFFFF-H" w:asciiTheme="minorEastAsia" w:hAnsiTheme="minorEastAsia" w:eastAsiaTheme="minorEastAsia"/>
          <w:color w:val="000000"/>
          <w:kern w:val="0"/>
          <w:sz w:val="24"/>
          <w:szCs w:val="24"/>
        </w:rPr>
        <w:t>股份有限公司董事会</w:t>
      </w:r>
    </w:p>
    <w:p w14:paraId="2969C38C">
      <w:pPr>
        <w:spacing w:line="560" w:lineRule="exact"/>
        <w:jc w:val="right"/>
        <w:rPr>
          <w:rFonts w:hint="eastAsia" w:cs="宋体-WinCharSetFFFF-H" w:asciiTheme="minorEastAsia" w:hAnsiTheme="minorEastAsia" w:eastAsiaTheme="minorEastAsia"/>
          <w:color w:val="000000"/>
          <w:kern w:val="0"/>
          <w:sz w:val="24"/>
          <w:szCs w:val="24"/>
        </w:rPr>
      </w:pPr>
      <w:r>
        <w:rPr>
          <w:rFonts w:cs="宋体-WinCharSetFFFF-H" w:asciiTheme="minorEastAsia" w:hAnsiTheme="minorEastAsia" w:eastAsiaTheme="minorEastAsia"/>
          <w:color w:val="000000"/>
          <w:kern w:val="0"/>
          <w:sz w:val="24"/>
          <w:szCs w:val="24"/>
        </w:rPr>
        <w:t>202</w:t>
      </w:r>
      <w:r>
        <w:rPr>
          <w:rFonts w:hint="eastAsia" w:cs="宋体-WinCharSetFFFF-H" w:asciiTheme="minorEastAsia" w:hAnsiTheme="minorEastAsia" w:eastAsiaTheme="minorEastAsia"/>
          <w:color w:val="000000"/>
          <w:kern w:val="0"/>
          <w:sz w:val="24"/>
          <w:szCs w:val="24"/>
        </w:rPr>
        <w:t>5年7月</w:t>
      </w:r>
      <w:r>
        <w:rPr>
          <w:rFonts w:cs="宋体-WinCharSetFFFF-H" w:asciiTheme="minorEastAsia" w:hAnsiTheme="minorEastAsia" w:eastAsiaTheme="minorEastAsia"/>
          <w:color w:val="000000"/>
          <w:kern w:val="0"/>
          <w:sz w:val="24"/>
          <w:szCs w:val="24"/>
        </w:rPr>
        <w:t>1</w:t>
      </w:r>
      <w:r>
        <w:rPr>
          <w:rFonts w:hint="eastAsia" w:cs="宋体-WinCharSetFFFF-H" w:asciiTheme="minorEastAsia" w:hAnsiTheme="minorEastAsia" w:eastAsiaTheme="minorEastAsia"/>
          <w:color w:val="000000"/>
          <w:kern w:val="0"/>
          <w:sz w:val="24"/>
          <w:szCs w:val="24"/>
          <w:lang w:val="en-US" w:eastAsia="zh-CN"/>
        </w:rPr>
        <w:t>2</w:t>
      </w:r>
      <w:r>
        <w:rPr>
          <w:rFonts w:hint="eastAsia" w:cs="宋体-WinCharSetFFFF-H" w:asciiTheme="minorEastAsia" w:hAnsiTheme="minorEastAsia" w:eastAsiaTheme="minorEastAsia"/>
          <w:color w:val="000000"/>
          <w:kern w:val="0"/>
          <w:sz w:val="24"/>
          <w:szCs w:val="24"/>
        </w:rPr>
        <w:t>日</w:t>
      </w:r>
    </w:p>
    <w:p w14:paraId="6656D16C">
      <w:pPr>
        <w:widowControl/>
        <w:adjustRightInd w:val="0"/>
        <w:snapToGrid w:val="0"/>
        <w:spacing w:line="560" w:lineRule="exact"/>
        <w:ind w:firstLine="480" w:firstLineChars="200"/>
        <w:jc w:val="left"/>
        <w:rPr>
          <w:rFonts w:hint="eastAsia" w:ascii="宋体" w:hAnsi="宋体"/>
          <w:sz w:val="24"/>
          <w:szCs w:val="24"/>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黑体-WinCharSetFFFF-H">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宋体-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70079"/>
    </w:sdtPr>
    <w:sdtContent>
      <w:p w14:paraId="3D8E38B6">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160CF"/>
    <w:multiLevelType w:val="multilevel"/>
    <w:tmpl w:val="35C160CF"/>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C9751F"/>
    <w:multiLevelType w:val="multilevel"/>
    <w:tmpl w:val="6AC9751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OWYxOTBkNWFmMDlhNTEzNjBjMDFjMjI4MWYyOTYifQ=="/>
    <w:docVar w:name="KSO_WPS_MARK_KEY" w:val="44802625-1500-4e61-a744-51dc88ee1234"/>
  </w:docVars>
  <w:rsids>
    <w:rsidRoot w:val="00BF2ECD"/>
    <w:rsid w:val="00000558"/>
    <w:rsid w:val="0000429D"/>
    <w:rsid w:val="00004DD8"/>
    <w:rsid w:val="00005DBE"/>
    <w:rsid w:val="00005DC5"/>
    <w:rsid w:val="0001585B"/>
    <w:rsid w:val="00016BA9"/>
    <w:rsid w:val="00017440"/>
    <w:rsid w:val="000215DB"/>
    <w:rsid w:val="00032463"/>
    <w:rsid w:val="00035A07"/>
    <w:rsid w:val="000375FD"/>
    <w:rsid w:val="00046E72"/>
    <w:rsid w:val="00063BED"/>
    <w:rsid w:val="00071B14"/>
    <w:rsid w:val="00095E4D"/>
    <w:rsid w:val="000A1BF3"/>
    <w:rsid w:val="000A1E26"/>
    <w:rsid w:val="000A7C0E"/>
    <w:rsid w:val="000B07FC"/>
    <w:rsid w:val="000B6044"/>
    <w:rsid w:val="000C1C22"/>
    <w:rsid w:val="000D08A2"/>
    <w:rsid w:val="000D519F"/>
    <w:rsid w:val="000E3045"/>
    <w:rsid w:val="000E3C59"/>
    <w:rsid w:val="000F2053"/>
    <w:rsid w:val="000F2D46"/>
    <w:rsid w:val="00110C8C"/>
    <w:rsid w:val="00120CF5"/>
    <w:rsid w:val="00121D04"/>
    <w:rsid w:val="00126188"/>
    <w:rsid w:val="001368F4"/>
    <w:rsid w:val="00146CA8"/>
    <w:rsid w:val="00150E21"/>
    <w:rsid w:val="0015611A"/>
    <w:rsid w:val="00157088"/>
    <w:rsid w:val="0017188D"/>
    <w:rsid w:val="00173E73"/>
    <w:rsid w:val="001824D4"/>
    <w:rsid w:val="00183A01"/>
    <w:rsid w:val="00184498"/>
    <w:rsid w:val="00184C48"/>
    <w:rsid w:val="001944E0"/>
    <w:rsid w:val="001A54EA"/>
    <w:rsid w:val="001B40A0"/>
    <w:rsid w:val="001C230D"/>
    <w:rsid w:val="001D37B2"/>
    <w:rsid w:val="001E5089"/>
    <w:rsid w:val="001F7509"/>
    <w:rsid w:val="00204B76"/>
    <w:rsid w:val="002123E8"/>
    <w:rsid w:val="00212929"/>
    <w:rsid w:val="00217B2A"/>
    <w:rsid w:val="0022031A"/>
    <w:rsid w:val="00232660"/>
    <w:rsid w:val="002329C6"/>
    <w:rsid w:val="00232B9D"/>
    <w:rsid w:val="0023667A"/>
    <w:rsid w:val="002413B5"/>
    <w:rsid w:val="00247C74"/>
    <w:rsid w:val="002553D7"/>
    <w:rsid w:val="0026156D"/>
    <w:rsid w:val="00264C7F"/>
    <w:rsid w:val="00265D3B"/>
    <w:rsid w:val="00266DA9"/>
    <w:rsid w:val="00267C31"/>
    <w:rsid w:val="00274437"/>
    <w:rsid w:val="00281D44"/>
    <w:rsid w:val="00281D93"/>
    <w:rsid w:val="002825FE"/>
    <w:rsid w:val="00284BB0"/>
    <w:rsid w:val="0028586C"/>
    <w:rsid w:val="00285C5D"/>
    <w:rsid w:val="00290CF0"/>
    <w:rsid w:val="00291DB8"/>
    <w:rsid w:val="0029448F"/>
    <w:rsid w:val="002A0E5D"/>
    <w:rsid w:val="002A5A56"/>
    <w:rsid w:val="002A5CA0"/>
    <w:rsid w:val="002A7749"/>
    <w:rsid w:val="002C189A"/>
    <w:rsid w:val="002C2C3B"/>
    <w:rsid w:val="002C37D3"/>
    <w:rsid w:val="002D3374"/>
    <w:rsid w:val="002E10C1"/>
    <w:rsid w:val="002F2B38"/>
    <w:rsid w:val="00300216"/>
    <w:rsid w:val="00306D91"/>
    <w:rsid w:val="00311C77"/>
    <w:rsid w:val="00311F57"/>
    <w:rsid w:val="00312996"/>
    <w:rsid w:val="00313A26"/>
    <w:rsid w:val="00316886"/>
    <w:rsid w:val="00316A4F"/>
    <w:rsid w:val="00342D85"/>
    <w:rsid w:val="00344208"/>
    <w:rsid w:val="003451A8"/>
    <w:rsid w:val="003459AF"/>
    <w:rsid w:val="003815D3"/>
    <w:rsid w:val="003878F3"/>
    <w:rsid w:val="0039442B"/>
    <w:rsid w:val="003A6729"/>
    <w:rsid w:val="003C077F"/>
    <w:rsid w:val="003C2296"/>
    <w:rsid w:val="003D41F7"/>
    <w:rsid w:val="003D5483"/>
    <w:rsid w:val="003D57BB"/>
    <w:rsid w:val="003E0DC1"/>
    <w:rsid w:val="003E3B77"/>
    <w:rsid w:val="003E4B0A"/>
    <w:rsid w:val="00400A2D"/>
    <w:rsid w:val="00412966"/>
    <w:rsid w:val="0041687B"/>
    <w:rsid w:val="00417CFA"/>
    <w:rsid w:val="00420B74"/>
    <w:rsid w:val="0043246C"/>
    <w:rsid w:val="00441276"/>
    <w:rsid w:val="00442DC0"/>
    <w:rsid w:val="004430D5"/>
    <w:rsid w:val="00450B4B"/>
    <w:rsid w:val="00451489"/>
    <w:rsid w:val="00460233"/>
    <w:rsid w:val="00460BFE"/>
    <w:rsid w:val="004612AA"/>
    <w:rsid w:val="00471FF8"/>
    <w:rsid w:val="00477264"/>
    <w:rsid w:val="004776C7"/>
    <w:rsid w:val="00483BA3"/>
    <w:rsid w:val="00487DEB"/>
    <w:rsid w:val="00490B74"/>
    <w:rsid w:val="00491ECF"/>
    <w:rsid w:val="00496A60"/>
    <w:rsid w:val="004A0178"/>
    <w:rsid w:val="004A3205"/>
    <w:rsid w:val="004B493E"/>
    <w:rsid w:val="004B5DEB"/>
    <w:rsid w:val="004D54A4"/>
    <w:rsid w:val="004D5838"/>
    <w:rsid w:val="004D5D81"/>
    <w:rsid w:val="004D6EA6"/>
    <w:rsid w:val="004E2864"/>
    <w:rsid w:val="004E5386"/>
    <w:rsid w:val="004E5AFC"/>
    <w:rsid w:val="004E5E81"/>
    <w:rsid w:val="004F396E"/>
    <w:rsid w:val="00501BA7"/>
    <w:rsid w:val="005372A1"/>
    <w:rsid w:val="00537441"/>
    <w:rsid w:val="00540399"/>
    <w:rsid w:val="005443A9"/>
    <w:rsid w:val="00545D33"/>
    <w:rsid w:val="00547519"/>
    <w:rsid w:val="0055059A"/>
    <w:rsid w:val="00557CBA"/>
    <w:rsid w:val="00560BC2"/>
    <w:rsid w:val="00560CD0"/>
    <w:rsid w:val="00563B90"/>
    <w:rsid w:val="00566910"/>
    <w:rsid w:val="00566C60"/>
    <w:rsid w:val="00571051"/>
    <w:rsid w:val="00574E1C"/>
    <w:rsid w:val="00582DEF"/>
    <w:rsid w:val="00585F55"/>
    <w:rsid w:val="0059244B"/>
    <w:rsid w:val="00594A53"/>
    <w:rsid w:val="00596D57"/>
    <w:rsid w:val="005A31C9"/>
    <w:rsid w:val="005B346A"/>
    <w:rsid w:val="005B652D"/>
    <w:rsid w:val="005C49B4"/>
    <w:rsid w:val="005C622C"/>
    <w:rsid w:val="005C64B8"/>
    <w:rsid w:val="005D019C"/>
    <w:rsid w:val="005E7A22"/>
    <w:rsid w:val="005F1F26"/>
    <w:rsid w:val="0060240F"/>
    <w:rsid w:val="00603B61"/>
    <w:rsid w:val="00611BEF"/>
    <w:rsid w:val="00612137"/>
    <w:rsid w:val="0062097A"/>
    <w:rsid w:val="00630BD2"/>
    <w:rsid w:val="00631267"/>
    <w:rsid w:val="006323CB"/>
    <w:rsid w:val="006326A5"/>
    <w:rsid w:val="00632C04"/>
    <w:rsid w:val="006442FE"/>
    <w:rsid w:val="00651D5C"/>
    <w:rsid w:val="00653E85"/>
    <w:rsid w:val="0065652D"/>
    <w:rsid w:val="00657879"/>
    <w:rsid w:val="00662A76"/>
    <w:rsid w:val="00670247"/>
    <w:rsid w:val="00671ED3"/>
    <w:rsid w:val="006754DD"/>
    <w:rsid w:val="00686E15"/>
    <w:rsid w:val="006A206E"/>
    <w:rsid w:val="006A5233"/>
    <w:rsid w:val="006B45CE"/>
    <w:rsid w:val="006B618B"/>
    <w:rsid w:val="006C2CF7"/>
    <w:rsid w:val="006C718B"/>
    <w:rsid w:val="006D2D1B"/>
    <w:rsid w:val="006E114D"/>
    <w:rsid w:val="006E2989"/>
    <w:rsid w:val="006F47AA"/>
    <w:rsid w:val="00701284"/>
    <w:rsid w:val="00702498"/>
    <w:rsid w:val="00704085"/>
    <w:rsid w:val="00711EF8"/>
    <w:rsid w:val="00715AE7"/>
    <w:rsid w:val="0071679B"/>
    <w:rsid w:val="007175CC"/>
    <w:rsid w:val="00735469"/>
    <w:rsid w:val="00735A2B"/>
    <w:rsid w:val="00737E6D"/>
    <w:rsid w:val="00740DE7"/>
    <w:rsid w:val="007438ED"/>
    <w:rsid w:val="00744E73"/>
    <w:rsid w:val="00762F04"/>
    <w:rsid w:val="00763FBD"/>
    <w:rsid w:val="00766DA1"/>
    <w:rsid w:val="007677B7"/>
    <w:rsid w:val="0077027A"/>
    <w:rsid w:val="00773B2C"/>
    <w:rsid w:val="00774E67"/>
    <w:rsid w:val="00774EE2"/>
    <w:rsid w:val="00781166"/>
    <w:rsid w:val="007856CD"/>
    <w:rsid w:val="00785842"/>
    <w:rsid w:val="0079689B"/>
    <w:rsid w:val="007974E9"/>
    <w:rsid w:val="007A4570"/>
    <w:rsid w:val="007A5B56"/>
    <w:rsid w:val="007A5E67"/>
    <w:rsid w:val="007B294B"/>
    <w:rsid w:val="007B2E75"/>
    <w:rsid w:val="007C3DFA"/>
    <w:rsid w:val="007C416B"/>
    <w:rsid w:val="0080295D"/>
    <w:rsid w:val="008149E1"/>
    <w:rsid w:val="0083212F"/>
    <w:rsid w:val="008345E1"/>
    <w:rsid w:val="00840F97"/>
    <w:rsid w:val="00842D10"/>
    <w:rsid w:val="00844175"/>
    <w:rsid w:val="0084706B"/>
    <w:rsid w:val="00847983"/>
    <w:rsid w:val="008527FA"/>
    <w:rsid w:val="008537AA"/>
    <w:rsid w:val="00853838"/>
    <w:rsid w:val="0085726F"/>
    <w:rsid w:val="00857AB8"/>
    <w:rsid w:val="00863386"/>
    <w:rsid w:val="00870AD9"/>
    <w:rsid w:val="008734B5"/>
    <w:rsid w:val="008827E6"/>
    <w:rsid w:val="0088545B"/>
    <w:rsid w:val="008855CB"/>
    <w:rsid w:val="008872C2"/>
    <w:rsid w:val="00895F4B"/>
    <w:rsid w:val="008B6C5F"/>
    <w:rsid w:val="008C0506"/>
    <w:rsid w:val="008D0982"/>
    <w:rsid w:val="008D215B"/>
    <w:rsid w:val="008E0308"/>
    <w:rsid w:val="008E2FF0"/>
    <w:rsid w:val="008E31FE"/>
    <w:rsid w:val="008E3B86"/>
    <w:rsid w:val="008E43E4"/>
    <w:rsid w:val="008E4655"/>
    <w:rsid w:val="008F1D0F"/>
    <w:rsid w:val="008F2906"/>
    <w:rsid w:val="008F4F4F"/>
    <w:rsid w:val="00904157"/>
    <w:rsid w:val="009068F8"/>
    <w:rsid w:val="00906C2E"/>
    <w:rsid w:val="00907B52"/>
    <w:rsid w:val="00912802"/>
    <w:rsid w:val="00914827"/>
    <w:rsid w:val="00922DB1"/>
    <w:rsid w:val="00940169"/>
    <w:rsid w:val="00940F22"/>
    <w:rsid w:val="009564A0"/>
    <w:rsid w:val="00960BFB"/>
    <w:rsid w:val="00962528"/>
    <w:rsid w:val="009750A0"/>
    <w:rsid w:val="0097579E"/>
    <w:rsid w:val="009772BB"/>
    <w:rsid w:val="00982FA1"/>
    <w:rsid w:val="009A54B4"/>
    <w:rsid w:val="009B2C22"/>
    <w:rsid w:val="009B4389"/>
    <w:rsid w:val="009D687C"/>
    <w:rsid w:val="009D68D3"/>
    <w:rsid w:val="009E0533"/>
    <w:rsid w:val="009F0406"/>
    <w:rsid w:val="009F1258"/>
    <w:rsid w:val="00A00577"/>
    <w:rsid w:val="00A021C7"/>
    <w:rsid w:val="00A027D7"/>
    <w:rsid w:val="00A050AE"/>
    <w:rsid w:val="00A21F48"/>
    <w:rsid w:val="00A22602"/>
    <w:rsid w:val="00A26B81"/>
    <w:rsid w:val="00A317FA"/>
    <w:rsid w:val="00A40A57"/>
    <w:rsid w:val="00A4156D"/>
    <w:rsid w:val="00A54920"/>
    <w:rsid w:val="00A64991"/>
    <w:rsid w:val="00A849B7"/>
    <w:rsid w:val="00A84AD6"/>
    <w:rsid w:val="00A95E96"/>
    <w:rsid w:val="00AA1DF6"/>
    <w:rsid w:val="00AB0AED"/>
    <w:rsid w:val="00AB23D6"/>
    <w:rsid w:val="00AC0937"/>
    <w:rsid w:val="00AC5AED"/>
    <w:rsid w:val="00AC6182"/>
    <w:rsid w:val="00AD52D4"/>
    <w:rsid w:val="00AE06F3"/>
    <w:rsid w:val="00AE3238"/>
    <w:rsid w:val="00AF41E5"/>
    <w:rsid w:val="00AF43FD"/>
    <w:rsid w:val="00AF4934"/>
    <w:rsid w:val="00B00573"/>
    <w:rsid w:val="00B04566"/>
    <w:rsid w:val="00B10BE7"/>
    <w:rsid w:val="00B13567"/>
    <w:rsid w:val="00B14F56"/>
    <w:rsid w:val="00B3338B"/>
    <w:rsid w:val="00B3638A"/>
    <w:rsid w:val="00B40B95"/>
    <w:rsid w:val="00B5596B"/>
    <w:rsid w:val="00B64496"/>
    <w:rsid w:val="00B66649"/>
    <w:rsid w:val="00B70608"/>
    <w:rsid w:val="00B7166F"/>
    <w:rsid w:val="00B767D1"/>
    <w:rsid w:val="00B7680C"/>
    <w:rsid w:val="00B85AA8"/>
    <w:rsid w:val="00B93539"/>
    <w:rsid w:val="00B93D18"/>
    <w:rsid w:val="00B95A5B"/>
    <w:rsid w:val="00B97549"/>
    <w:rsid w:val="00BA1AD2"/>
    <w:rsid w:val="00BB2F95"/>
    <w:rsid w:val="00BC6ACB"/>
    <w:rsid w:val="00BC6F88"/>
    <w:rsid w:val="00BD405C"/>
    <w:rsid w:val="00BD6F19"/>
    <w:rsid w:val="00BE0F5C"/>
    <w:rsid w:val="00BE5CD8"/>
    <w:rsid w:val="00BE7978"/>
    <w:rsid w:val="00BF2790"/>
    <w:rsid w:val="00BF2ECD"/>
    <w:rsid w:val="00BF380D"/>
    <w:rsid w:val="00C0039F"/>
    <w:rsid w:val="00C03525"/>
    <w:rsid w:val="00C06CF1"/>
    <w:rsid w:val="00C114FE"/>
    <w:rsid w:val="00C12506"/>
    <w:rsid w:val="00C1602F"/>
    <w:rsid w:val="00C21E04"/>
    <w:rsid w:val="00C33BED"/>
    <w:rsid w:val="00C349B5"/>
    <w:rsid w:val="00C37090"/>
    <w:rsid w:val="00C375FE"/>
    <w:rsid w:val="00C4209A"/>
    <w:rsid w:val="00C43A4D"/>
    <w:rsid w:val="00C463FF"/>
    <w:rsid w:val="00C54C3A"/>
    <w:rsid w:val="00C578DC"/>
    <w:rsid w:val="00C65765"/>
    <w:rsid w:val="00C664EA"/>
    <w:rsid w:val="00C720D9"/>
    <w:rsid w:val="00C73153"/>
    <w:rsid w:val="00C75D06"/>
    <w:rsid w:val="00C80904"/>
    <w:rsid w:val="00C872AE"/>
    <w:rsid w:val="00C94957"/>
    <w:rsid w:val="00C9766D"/>
    <w:rsid w:val="00CB2A42"/>
    <w:rsid w:val="00CC117A"/>
    <w:rsid w:val="00CC3276"/>
    <w:rsid w:val="00CD0630"/>
    <w:rsid w:val="00CE188E"/>
    <w:rsid w:val="00CE6A7F"/>
    <w:rsid w:val="00CF23D6"/>
    <w:rsid w:val="00CF401F"/>
    <w:rsid w:val="00D0213B"/>
    <w:rsid w:val="00D04E83"/>
    <w:rsid w:val="00D104D3"/>
    <w:rsid w:val="00D119FF"/>
    <w:rsid w:val="00D14999"/>
    <w:rsid w:val="00D201F3"/>
    <w:rsid w:val="00D20C62"/>
    <w:rsid w:val="00D23B24"/>
    <w:rsid w:val="00D271F2"/>
    <w:rsid w:val="00D30A0B"/>
    <w:rsid w:val="00D345CB"/>
    <w:rsid w:val="00D34649"/>
    <w:rsid w:val="00D403F1"/>
    <w:rsid w:val="00D44EFA"/>
    <w:rsid w:val="00D46EEA"/>
    <w:rsid w:val="00D54118"/>
    <w:rsid w:val="00D81F8E"/>
    <w:rsid w:val="00D947BC"/>
    <w:rsid w:val="00DA4EF1"/>
    <w:rsid w:val="00DA6929"/>
    <w:rsid w:val="00DC1362"/>
    <w:rsid w:val="00DC275D"/>
    <w:rsid w:val="00DC5603"/>
    <w:rsid w:val="00DD1D01"/>
    <w:rsid w:val="00DD5D73"/>
    <w:rsid w:val="00DE6CCB"/>
    <w:rsid w:val="00DF0DB2"/>
    <w:rsid w:val="00E0568B"/>
    <w:rsid w:val="00E1300D"/>
    <w:rsid w:val="00E1352F"/>
    <w:rsid w:val="00E2728B"/>
    <w:rsid w:val="00E3258D"/>
    <w:rsid w:val="00E40136"/>
    <w:rsid w:val="00E4409E"/>
    <w:rsid w:val="00E5012A"/>
    <w:rsid w:val="00E54AEE"/>
    <w:rsid w:val="00E56B77"/>
    <w:rsid w:val="00E5757A"/>
    <w:rsid w:val="00E90AB8"/>
    <w:rsid w:val="00E9150F"/>
    <w:rsid w:val="00E9324B"/>
    <w:rsid w:val="00E96CDA"/>
    <w:rsid w:val="00EA3381"/>
    <w:rsid w:val="00EA4551"/>
    <w:rsid w:val="00EA4A09"/>
    <w:rsid w:val="00EB23B4"/>
    <w:rsid w:val="00EB3231"/>
    <w:rsid w:val="00EB5AF3"/>
    <w:rsid w:val="00EB7CDE"/>
    <w:rsid w:val="00EC5616"/>
    <w:rsid w:val="00ED70E1"/>
    <w:rsid w:val="00EE3A12"/>
    <w:rsid w:val="00EF2089"/>
    <w:rsid w:val="00EF25C2"/>
    <w:rsid w:val="00EF6737"/>
    <w:rsid w:val="00EF7378"/>
    <w:rsid w:val="00F02E2D"/>
    <w:rsid w:val="00F060F4"/>
    <w:rsid w:val="00F26E9C"/>
    <w:rsid w:val="00F31481"/>
    <w:rsid w:val="00F44B74"/>
    <w:rsid w:val="00F50515"/>
    <w:rsid w:val="00F522E6"/>
    <w:rsid w:val="00F55387"/>
    <w:rsid w:val="00F60B8D"/>
    <w:rsid w:val="00F62284"/>
    <w:rsid w:val="00F63C16"/>
    <w:rsid w:val="00F66EB0"/>
    <w:rsid w:val="00F71163"/>
    <w:rsid w:val="00F77079"/>
    <w:rsid w:val="00F811C5"/>
    <w:rsid w:val="00F934E9"/>
    <w:rsid w:val="00FA36FE"/>
    <w:rsid w:val="00FA7369"/>
    <w:rsid w:val="00FB6249"/>
    <w:rsid w:val="00FC5352"/>
    <w:rsid w:val="00FD3D46"/>
    <w:rsid w:val="00FE51B7"/>
    <w:rsid w:val="00FF0C84"/>
    <w:rsid w:val="00FF2808"/>
    <w:rsid w:val="00FF6F5B"/>
    <w:rsid w:val="03FC0966"/>
    <w:rsid w:val="084762C4"/>
    <w:rsid w:val="0B6D761D"/>
    <w:rsid w:val="0BC414DD"/>
    <w:rsid w:val="0BDE7569"/>
    <w:rsid w:val="0C01717A"/>
    <w:rsid w:val="11F33FEA"/>
    <w:rsid w:val="16456B79"/>
    <w:rsid w:val="19E51250"/>
    <w:rsid w:val="26DF22D6"/>
    <w:rsid w:val="28DC7FC2"/>
    <w:rsid w:val="2BB01839"/>
    <w:rsid w:val="2CE22EB0"/>
    <w:rsid w:val="2E6E3399"/>
    <w:rsid w:val="308C1B14"/>
    <w:rsid w:val="30F66738"/>
    <w:rsid w:val="31333110"/>
    <w:rsid w:val="355569F3"/>
    <w:rsid w:val="3EC15781"/>
    <w:rsid w:val="423D0592"/>
    <w:rsid w:val="4D8928A1"/>
    <w:rsid w:val="50C57353"/>
    <w:rsid w:val="52975A47"/>
    <w:rsid w:val="57C044A9"/>
    <w:rsid w:val="57C642D6"/>
    <w:rsid w:val="5B8166C7"/>
    <w:rsid w:val="5E754763"/>
    <w:rsid w:val="62656A2B"/>
    <w:rsid w:val="64911E38"/>
    <w:rsid w:val="6493693E"/>
    <w:rsid w:val="695C2061"/>
    <w:rsid w:val="6CD15D39"/>
    <w:rsid w:val="6DCF760B"/>
    <w:rsid w:val="6E792C89"/>
    <w:rsid w:val="71265794"/>
    <w:rsid w:val="712E5C01"/>
    <w:rsid w:val="72404D36"/>
    <w:rsid w:val="73B7523F"/>
    <w:rsid w:val="74156D8F"/>
    <w:rsid w:val="75BD463D"/>
    <w:rsid w:val="787D2F23"/>
    <w:rsid w:val="7A385DDE"/>
    <w:rsid w:val="7A71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23"/>
    <w:unhideWhenUsed/>
    <w:qFormat/>
    <w:uiPriority w:val="9"/>
    <w:pPr>
      <w:keepNext/>
      <w:keepLines/>
      <w:spacing w:line="415" w:lineRule="auto"/>
      <w:jc w:val="center"/>
      <w:outlineLvl w:val="1"/>
    </w:pPr>
    <w:rPr>
      <w:rFonts w:ascii="黑体" w:hAnsi="黑体" w:eastAsia="黑体" w:cstheme="majorBidi"/>
      <w:b/>
      <w:bCs/>
      <w:sz w:val="30"/>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unhideWhenUsed/>
    <w:qFormat/>
    <w:uiPriority w:val="99"/>
    <w:pPr>
      <w:jc w:val="left"/>
    </w:pPr>
  </w:style>
  <w:style w:type="paragraph" w:styleId="5">
    <w:name w:val="Body Text Indent 2"/>
    <w:basedOn w:val="1"/>
    <w:link w:val="21"/>
    <w:qFormat/>
    <w:uiPriority w:val="0"/>
    <w:pPr>
      <w:spacing w:line="600" w:lineRule="exact"/>
      <w:ind w:firstLine="600" w:firstLineChars="200"/>
    </w:pPr>
    <w:rPr>
      <w:rFonts w:ascii="仿宋_GB2312" w:hAnsi="宋体" w:eastAsia="仿宋_GB2312"/>
      <w:sz w:val="30"/>
      <w:szCs w:val="30"/>
    </w:rPr>
  </w:style>
  <w:style w:type="paragraph" w:styleId="6">
    <w:name w:val="Balloon Text"/>
    <w:basedOn w:val="1"/>
    <w:link w:val="25"/>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4"/>
    <w:next w:val="4"/>
    <w:link w:val="27"/>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页脚 字符"/>
    <w:basedOn w:val="14"/>
    <w:link w:val="7"/>
    <w:qFormat/>
    <w:uiPriority w:val="99"/>
    <w:rPr>
      <w:rFonts w:ascii="Calibri" w:hAnsi="Calibri" w:eastAsia="宋体" w:cs="Times New Roman"/>
      <w:sz w:val="18"/>
      <w:szCs w:val="18"/>
    </w:rPr>
  </w:style>
  <w:style w:type="paragraph" w:customStyle="1" w:styleId="18">
    <w:name w:val="列出段落1"/>
    <w:basedOn w:val="1"/>
    <w:qFormat/>
    <w:uiPriority w:val="34"/>
    <w:pPr>
      <w:ind w:firstLine="420" w:firstLineChars="200"/>
    </w:pPr>
  </w:style>
  <w:style w:type="character" w:customStyle="1" w:styleId="19">
    <w:name w:val="页眉 字符"/>
    <w:basedOn w:val="14"/>
    <w:link w:val="8"/>
    <w:semiHidden/>
    <w:qFormat/>
    <w:uiPriority w:val="99"/>
    <w:rPr>
      <w:rFonts w:ascii="Calibri" w:hAnsi="Calibri" w:eastAsia="宋体" w:cs="Times New Roman"/>
      <w:sz w:val="18"/>
      <w:szCs w:val="18"/>
    </w:rPr>
  </w:style>
  <w:style w:type="character" w:customStyle="1" w:styleId="20">
    <w:name w:val="正文文本缩进 2 Char"/>
    <w:basedOn w:val="14"/>
    <w:semiHidden/>
    <w:qFormat/>
    <w:uiPriority w:val="99"/>
    <w:rPr>
      <w:rFonts w:ascii="Calibri" w:hAnsi="Calibri" w:eastAsia="宋体" w:cs="Times New Roman"/>
    </w:rPr>
  </w:style>
  <w:style w:type="character" w:customStyle="1" w:styleId="21">
    <w:name w:val="正文文本缩进 2 字符"/>
    <w:basedOn w:val="14"/>
    <w:link w:val="5"/>
    <w:qFormat/>
    <w:uiPriority w:val="0"/>
    <w:rPr>
      <w:rFonts w:ascii="仿宋_GB2312" w:hAnsi="宋体" w:eastAsia="仿宋_GB2312" w:cs="Times New Roman"/>
      <w:sz w:val="30"/>
      <w:szCs w:val="30"/>
    </w:rPr>
  </w:style>
  <w:style w:type="character" w:customStyle="1" w:styleId="22">
    <w:name w:val="标题 1 字符"/>
    <w:basedOn w:val="14"/>
    <w:link w:val="2"/>
    <w:qFormat/>
    <w:uiPriority w:val="9"/>
    <w:rPr>
      <w:rFonts w:ascii="Calibri" w:hAnsi="Calibri" w:eastAsia="黑体" w:cs="Times New Roman"/>
      <w:b/>
      <w:bCs/>
      <w:kern w:val="44"/>
      <w:sz w:val="36"/>
      <w:szCs w:val="44"/>
    </w:rPr>
  </w:style>
  <w:style w:type="character" w:customStyle="1" w:styleId="23">
    <w:name w:val="标题 2 字符"/>
    <w:basedOn w:val="14"/>
    <w:link w:val="3"/>
    <w:qFormat/>
    <w:uiPriority w:val="9"/>
    <w:rPr>
      <w:rFonts w:ascii="黑体" w:hAnsi="黑体" w:eastAsia="黑体" w:cstheme="majorBidi"/>
      <w:b/>
      <w:bCs/>
      <w:kern w:val="2"/>
      <w:sz w:val="30"/>
      <w:szCs w:val="32"/>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字符"/>
    <w:basedOn w:val="14"/>
    <w:link w:val="6"/>
    <w:semiHidden/>
    <w:qFormat/>
    <w:uiPriority w:val="99"/>
    <w:rPr>
      <w:rFonts w:ascii="Calibri" w:hAnsi="Calibri" w:eastAsia="宋体" w:cs="Times New Roman"/>
      <w:sz w:val="18"/>
      <w:szCs w:val="18"/>
    </w:rPr>
  </w:style>
  <w:style w:type="character" w:customStyle="1" w:styleId="26">
    <w:name w:val="批注文字 字符"/>
    <w:basedOn w:val="14"/>
    <w:link w:val="4"/>
    <w:semiHidden/>
    <w:qFormat/>
    <w:uiPriority w:val="99"/>
    <w:rPr>
      <w:rFonts w:ascii="Calibri" w:hAnsi="Calibri" w:eastAsia="宋体" w:cs="Times New Roman"/>
    </w:rPr>
  </w:style>
  <w:style w:type="character" w:customStyle="1" w:styleId="27">
    <w:name w:val="批注主题 字符"/>
    <w:basedOn w:val="26"/>
    <w:link w:val="11"/>
    <w:semiHidden/>
    <w:qFormat/>
    <w:uiPriority w:val="99"/>
    <w:rPr>
      <w:rFonts w:ascii="Calibri" w:hAnsi="Calibri" w:eastAsia="宋体" w:cs="Times New Roman"/>
      <w:b/>
      <w:bCs/>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styleId="29">
    <w:name w:val="List Paragraph"/>
    <w:basedOn w:val="1"/>
    <w:qFormat/>
    <w:uiPriority w:val="99"/>
    <w:pPr>
      <w:ind w:firstLine="420" w:firstLineChars="200"/>
    </w:pPr>
  </w:style>
  <w:style w:type="paragraph" w:customStyle="1" w:styleId="30">
    <w:name w:val="修订2"/>
    <w:hidden/>
    <w:semiHidden/>
    <w:qFormat/>
    <w:uiPriority w:val="99"/>
    <w:rPr>
      <w:rFonts w:ascii="Calibri" w:hAnsi="Calibri" w:eastAsia="宋体" w:cs="Times New Roman"/>
      <w:kern w:val="2"/>
      <w:sz w:val="21"/>
      <w:szCs w:val="22"/>
      <w:lang w:val="en-US" w:eastAsia="zh-CN" w:bidi="ar-SA"/>
    </w:rPr>
  </w:style>
  <w:style w:type="paragraph" w:customStyle="1" w:styleId="31">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5518-1CE8-4E87-B2D3-2A92AE1D333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885</Words>
  <Characters>1051</Characters>
  <Lines>7</Lines>
  <Paragraphs>2</Paragraphs>
  <TotalTime>354</TotalTime>
  <ScaleCrop>false</ScaleCrop>
  <LinksUpToDate>false</LinksUpToDate>
  <CharactersWithSpaces>1070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2024-07-09T05:09:00Z</dcterms:created>
  <dc:creator>BJB-ZB-03</dc:creator>
  <cp:lastModifiedBy>雯亦</cp:lastModifiedBy>
  <cp:lastPrinted>2022-10-09T11:37:00Z</cp:lastPrinted>
  <dcterms:modified xsi:type="dcterms:W3CDTF">2025-07-11T08:06:21Z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B40212C60D5940898FD6189D2544B951_13</vt:lpwstr>
  </property>
  <property fmtid="{D5CDD505-2E9C-101B-9397-08002B2CF9AE}" pid="4" name="KSOTemplateDocerSaveRecord">
    <vt:lpwstr>eyJoZGlkIjoiZTQzZmRmZDMxMjkwMDE2NTk0ZWQ1ZWYwMzRmYjVhNmUiLCJ1c2VySWQiOiI2NDQwNzQxNTQifQ==</vt:lpwstr>
  </property>
</Properties>
</file>