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eastAsia="仿宋_GB2312"/>
          <w:sz w:val="30"/>
          <w:szCs w:val="30"/>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eastAsia="仿宋_GB2312"/>
          <w:b/>
          <w:sz w:val="24"/>
          <w:szCs w:val="24"/>
        </w:rPr>
        <w:t>27</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关于2025年4月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被担保人：控股子公司云南变压器电气股份有限公司（以下简称“云变电气”）、担保金额及已实际提供的担保余额：2025年4月1日-4月30日期间，重庆望变电气（集团）股份有限公司（以下简称“公司”或“望变电气”）及下属子公司新增对外担保21,000万元；截止2025年4月末，公司对外担保余额为41,656.73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特别风险提示：截至2025年4月30日，公司对外担保总额为人民币88,500.00 万元，担保余额为</w:t>
      </w:r>
      <w:r>
        <w:rPr>
          <w:rFonts w:hint="eastAsia" w:ascii="宋体" w:hAnsi="宋体" w:cs="宋体"/>
          <w:sz w:val="24"/>
          <w:szCs w:val="24"/>
        </w:rPr>
        <w:t>41,656.73</w:t>
      </w:r>
      <w:r>
        <w:rPr>
          <w:rFonts w:hint="eastAsia" w:ascii="宋体" w:hAnsi="宋体" w:cs="宋体"/>
          <w:spacing w:val="-1"/>
          <w:sz w:val="24"/>
          <w:szCs w:val="24"/>
        </w:rPr>
        <w:t>万元，占公司最近一期经审计净资产的</w:t>
      </w:r>
      <w:r>
        <w:rPr>
          <w:rFonts w:hint="eastAsia" w:ascii="宋体" w:hAnsi="宋体" w:cs="宋体"/>
          <w:spacing w:val="-1"/>
          <w:sz w:val="24"/>
          <w:szCs w:val="24"/>
          <w:lang w:val="en-US" w:eastAsia="zh-CN"/>
        </w:rPr>
        <w:t>17.26</w:t>
      </w:r>
      <w:r>
        <w:rPr>
          <w:rFonts w:hint="eastAsia" w:ascii="宋体" w:hAnsi="宋体" w:cs="宋体"/>
          <w:spacing w:val="-1"/>
          <w:sz w:val="24"/>
          <w:szCs w:val="24"/>
        </w:rPr>
        <w:t>%；对</w:t>
      </w:r>
      <w:r>
        <w:rPr>
          <w:rFonts w:hint="eastAsia" w:ascii="宋体" w:hAnsi="宋体" w:cs="宋体"/>
          <w:spacing w:val="-2"/>
          <w:sz w:val="24"/>
          <w:szCs w:val="24"/>
        </w:rPr>
        <w:t>资产负债率超过70.00%的单位提供担保的金额为人民币13,000.00万元，担保余额为 4,296.72万元，占公司最近一期经审计净资产的1.78%；</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07CBA29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6B5658E6">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2025年4月，公司及下属子公司新增对外担保人民币21,000万元,其中15,000万元担保系公司于2024年4月10日与中国银行股份有限公司昆明市西山支行（以下简称“中行昆明支行”）签署《最高额保证合同》为控股子公司云变电气与中行昆明支行签署的《授信额度协议》提供不超过人民币15,000万元的连带责任担保；6,000万元担保系公司于2024年4月18日与中信银行股份有限公司昆明分行（以下简称“中信昆明分行”）签署《最高额保证合同》为控股子公司云变电气与中信昆明分行签署的《综合授信合同》提供不超过人民币6,000万元的连带责任担保。</w:t>
      </w:r>
    </w:p>
    <w:p w14:paraId="4A858200">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上述担保无反担保，云变电气其他股东对上述担保未提供对应比例的担保。</w:t>
      </w:r>
    </w:p>
    <w:p w14:paraId="6BBF2DBD">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上述担保事项属于公司2024年第三次临时股东会授权范围并在有效期内，无需再次提交公司董事会、股东会审议。</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截止2025年4月末，公司对外担保的实际发生情况如下：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截止2025.03.31被担保方资产负债率（未经审计）</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2025年预计担保额度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截至2025年4月末累计担保总额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截至2025年4月末担保余额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highlight w:val="none"/>
              </w:rPr>
            </w:pPr>
            <w:r>
              <w:rPr>
                <w:rFonts w:hint="eastAsia" w:asciiTheme="minorEastAsia" w:hAnsiTheme="minorEastAsia" w:eastAsiaTheme="minorEastAsia" w:cstheme="minorEastAsia"/>
                <w:kern w:val="0"/>
                <w:sz w:val="20"/>
                <w:szCs w:val="20"/>
                <w:highlight w:val="none"/>
              </w:rPr>
              <w:t>76.03</w:t>
            </w:r>
            <w:r>
              <w:rPr>
                <w:rFonts w:hint="eastAsia" w:ascii="宋体" w:hAnsi="宋体" w:cs="宋体"/>
                <w:color w:val="000000"/>
                <w:kern w:val="0"/>
                <w:szCs w:val="21"/>
                <w:highlight w:val="none"/>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0</w:t>
            </w:r>
            <w:r>
              <w:rPr>
                <w:rFonts w:ascii="宋体" w:hAnsi="宋体" w:eastAsia="宋体"/>
                <w:sz w:val="21"/>
                <w:szCs w:val="21"/>
                <w:lang w:eastAsia="zh-CN"/>
              </w:rPr>
              <w:t>,000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13,000.00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 4,296.72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highlight w:val="none"/>
              </w:rPr>
            </w:pPr>
            <w:r>
              <w:rPr>
                <w:rFonts w:hint="eastAsia" w:ascii="宋体" w:hAnsi="宋体" w:cs="宋体"/>
                <w:color w:val="000000"/>
                <w:kern w:val="0"/>
                <w:szCs w:val="21"/>
                <w:highlight w:val="none"/>
                <w:lang w:bidi="ar"/>
              </w:rPr>
              <w:t>61.88%</w:t>
            </w:r>
          </w:p>
        </w:tc>
        <w:tc>
          <w:tcPr>
            <w:tcW w:w="1139" w:type="dxa"/>
            <w:vAlign w:val="center"/>
          </w:tcPr>
          <w:p w14:paraId="730CCECF">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12</w:t>
            </w:r>
            <w:r>
              <w:rPr>
                <w:rFonts w:ascii="宋体" w:hAnsi="宋体" w:eastAsia="宋体"/>
                <w:sz w:val="21"/>
                <w:szCs w:val="21"/>
                <w:lang w:eastAsia="zh-CN"/>
              </w:rPr>
              <w:t>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75,5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 37,360.01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highlight w:val="none"/>
              </w:rPr>
            </w:pPr>
            <w:r>
              <w:rPr>
                <w:rFonts w:hint="eastAsia" w:asciiTheme="minorEastAsia" w:hAnsiTheme="minorEastAsia" w:eastAsiaTheme="minorEastAsia" w:cstheme="minorEastAsia"/>
                <w:kern w:val="0"/>
                <w:sz w:val="20"/>
                <w:szCs w:val="20"/>
                <w:highlight w:val="none"/>
              </w:rPr>
              <w:t>57.93</w:t>
            </w:r>
            <w:r>
              <w:rPr>
                <w:rFonts w:hint="eastAsia" w:ascii="宋体" w:hAnsi="宋体" w:cs="宋体"/>
                <w:color w:val="000000"/>
                <w:kern w:val="0"/>
                <w:szCs w:val="21"/>
                <w:highlight w:val="none"/>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150,000.00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88</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41,656.73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73BE9953">
      <w:pPr>
        <w:spacing w:line="560" w:lineRule="exact"/>
        <w:rPr>
          <w:rFonts w:hint="eastAsia" w:ascii="宋体" w:hAnsi="宋体" w:cs="宋体"/>
          <w:kern w:val="0"/>
          <w:szCs w:val="21"/>
        </w:rPr>
      </w:pPr>
      <w:r>
        <w:rPr>
          <w:rFonts w:hint="eastAsia" w:ascii="宋体" w:hAnsi="宋体" w:cs="宋体"/>
          <w:kern w:val="0"/>
          <w:szCs w:val="21"/>
        </w:rPr>
        <w:t>注：尾数差异系小数点四舍五入造成。</w:t>
      </w:r>
    </w:p>
    <w:p w14:paraId="5BCA6F6C">
      <w:pPr>
        <w:numPr>
          <w:ilvl w:val="0"/>
          <w:numId w:val="14"/>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被担保人基本情况</w:t>
      </w:r>
    </w:p>
    <w:p w14:paraId="7A6FA206">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公司名称：云南变压器电气股份有限公司 </w:t>
      </w:r>
    </w:p>
    <w:p w14:paraId="71295D4B">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14:paraId="259CCD3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14:paraId="7645731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14:paraId="7FE6016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法定代表人：肖斌</w:t>
      </w:r>
    </w:p>
    <w:p w14:paraId="26C3FC1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14:paraId="1446BA02">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主要股东：公司</w:t>
      </w:r>
      <w:r>
        <w:rPr>
          <w:rFonts w:hint="eastAsia" w:ascii="宋体" w:hAnsi="宋体" w:cs="宋体"/>
          <w:bCs/>
          <w:snapToGrid w:val="0"/>
          <w:kern w:val="0"/>
          <w:sz w:val="24"/>
          <w:szCs w:val="24"/>
          <w:highlight w:val="none"/>
        </w:rPr>
        <w:t>持股79.97%</w:t>
      </w:r>
    </w:p>
    <w:p w14:paraId="4A9B3195">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61A7BF49">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最近一年及一期的财务数据：</w:t>
      </w:r>
    </w:p>
    <w:p w14:paraId="7832BC92">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Cs w:val="21"/>
          <w:lang w:eastAsia="en-US"/>
        </w:rPr>
      </w:pPr>
      <w:r>
        <w:rPr>
          <w:rFonts w:hint="eastAsia" w:ascii="宋体" w:hAnsi="宋体" w:cs="宋体"/>
          <w:bCs/>
          <w:snapToGrid w:val="0"/>
          <w:kern w:val="0"/>
          <w:szCs w:val="21"/>
        </w:rPr>
        <w:t xml:space="preserve">  </w:t>
      </w:r>
      <w:r>
        <w:rPr>
          <w:rFonts w:hint="eastAsia" w:ascii="宋体" w:hAnsi="宋体" w:cs="宋体"/>
          <w:bCs/>
          <w:snapToGrid w:val="0"/>
          <w:kern w:val="0"/>
          <w:szCs w:val="21"/>
          <w:lang w:eastAsia="en-US"/>
        </w:rPr>
        <w:t>单位：人民币/万元</w:t>
      </w:r>
    </w:p>
    <w:tbl>
      <w:tblPr>
        <w:tblStyle w:val="8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3326"/>
        <w:gridCol w:w="3328"/>
      </w:tblGrid>
      <w:tr w14:paraId="0B7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5D8AB5C6">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财务指标</w:t>
            </w:r>
          </w:p>
        </w:tc>
        <w:tc>
          <w:tcPr>
            <w:tcW w:w="1953" w:type="pct"/>
            <w:vAlign w:val="center"/>
          </w:tcPr>
          <w:p w14:paraId="1D27FC8A">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2025年3月31日（未经审计）</w:t>
            </w:r>
          </w:p>
        </w:tc>
        <w:tc>
          <w:tcPr>
            <w:tcW w:w="1954" w:type="pct"/>
            <w:vAlign w:val="center"/>
          </w:tcPr>
          <w:p w14:paraId="508CA15F">
            <w:pPr>
              <w:autoSpaceDE w:val="0"/>
              <w:autoSpaceDN w:val="0"/>
              <w:adjustRightInd w:val="0"/>
              <w:spacing w:line="560" w:lineRule="exact"/>
              <w:jc w:val="center"/>
              <w:rPr>
                <w:rFonts w:hint="eastAsia" w:ascii="宋体" w:hAnsi="宋体" w:cs="宋体"/>
                <w:kern w:val="0"/>
                <w:sz w:val="20"/>
                <w:szCs w:val="20"/>
              </w:rPr>
            </w:pPr>
            <w:r>
              <w:rPr>
                <w:rFonts w:hint="eastAsia" w:ascii="宋体" w:hAnsi="宋体" w:cs="宋体"/>
                <w:kern w:val="0"/>
                <w:sz w:val="20"/>
                <w:szCs w:val="20"/>
              </w:rPr>
              <w:t>2024年12月31日（经审计）</w:t>
            </w:r>
          </w:p>
        </w:tc>
      </w:tr>
      <w:tr w14:paraId="6A0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D7B3252">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资产总额</w:t>
            </w:r>
          </w:p>
        </w:tc>
        <w:tc>
          <w:tcPr>
            <w:tcW w:w="3329" w:type="dxa"/>
            <w:vAlign w:val="center"/>
          </w:tcPr>
          <w:p w14:paraId="0868FA3F">
            <w:pPr>
              <w:widowControl/>
              <w:jc w:val="right"/>
              <w:textAlignment w:val="center"/>
              <w:rPr>
                <w:rFonts w:hint="eastAsia" w:ascii="宋体" w:hAnsi="宋体" w:cs="宋体"/>
                <w:sz w:val="20"/>
                <w:szCs w:val="20"/>
                <w:highlight w:val="yellow"/>
              </w:rPr>
            </w:pPr>
            <w:r>
              <w:rPr>
                <w:rFonts w:hint="eastAsia" w:ascii="宋体" w:hAnsi="宋体" w:cs="宋体"/>
                <w:color w:val="000000"/>
                <w:kern w:val="0"/>
                <w:sz w:val="20"/>
                <w:szCs w:val="20"/>
                <w:lang w:bidi="ar"/>
              </w:rPr>
              <w:t xml:space="preserve"> 184,911.73 </w:t>
            </w:r>
          </w:p>
        </w:tc>
        <w:tc>
          <w:tcPr>
            <w:tcW w:w="3330" w:type="dxa"/>
            <w:vAlign w:val="center"/>
          </w:tcPr>
          <w:p w14:paraId="473D482E">
            <w:pPr>
              <w:widowControl/>
              <w:jc w:val="right"/>
              <w:textAlignment w:val="center"/>
              <w:rPr>
                <w:rFonts w:hint="eastAsia" w:ascii="宋体" w:hAnsi="宋体" w:cs="宋体"/>
                <w:sz w:val="20"/>
                <w:szCs w:val="20"/>
                <w:highlight w:val="yellow"/>
              </w:rPr>
            </w:pPr>
            <w:r>
              <w:rPr>
                <w:rFonts w:hint="eastAsia" w:ascii="宋体" w:hAnsi="宋体" w:cs="宋体"/>
                <w:color w:val="000000"/>
                <w:kern w:val="0"/>
                <w:sz w:val="20"/>
                <w:szCs w:val="20"/>
                <w:lang w:bidi="ar"/>
              </w:rPr>
              <w:t xml:space="preserve"> 182,092.03 </w:t>
            </w:r>
          </w:p>
        </w:tc>
      </w:tr>
      <w:tr w14:paraId="209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147F08C8">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负债总额</w:t>
            </w:r>
          </w:p>
        </w:tc>
        <w:tc>
          <w:tcPr>
            <w:tcW w:w="3329" w:type="dxa"/>
            <w:vAlign w:val="center"/>
          </w:tcPr>
          <w:p w14:paraId="6FF3AF2B">
            <w:pPr>
              <w:widowControl/>
              <w:jc w:val="right"/>
              <w:textAlignment w:val="center"/>
              <w:rPr>
                <w:rFonts w:hint="eastAsia" w:ascii="宋体" w:hAnsi="宋体" w:cs="宋体"/>
                <w:kern w:val="0"/>
                <w:sz w:val="20"/>
                <w:szCs w:val="20"/>
                <w:highlight w:val="yellow"/>
                <w:lang w:bidi="ar"/>
              </w:rPr>
            </w:pPr>
            <w:r>
              <w:rPr>
                <w:rFonts w:hint="eastAsia" w:ascii="宋体" w:hAnsi="宋体" w:cs="宋体"/>
                <w:color w:val="000000"/>
                <w:kern w:val="0"/>
                <w:sz w:val="20"/>
                <w:szCs w:val="20"/>
                <w:lang w:bidi="ar"/>
              </w:rPr>
              <w:t xml:space="preserve"> 114,417.03 </w:t>
            </w:r>
          </w:p>
        </w:tc>
        <w:tc>
          <w:tcPr>
            <w:tcW w:w="3330" w:type="dxa"/>
            <w:vAlign w:val="center"/>
          </w:tcPr>
          <w:p w14:paraId="2E65CB00">
            <w:pPr>
              <w:widowControl/>
              <w:jc w:val="right"/>
              <w:textAlignment w:val="center"/>
              <w:rPr>
                <w:rFonts w:hint="eastAsia" w:ascii="宋体" w:hAnsi="宋体" w:cs="宋体"/>
                <w:kern w:val="0"/>
                <w:sz w:val="20"/>
                <w:szCs w:val="20"/>
                <w:highlight w:val="yellow"/>
              </w:rPr>
            </w:pPr>
            <w:r>
              <w:rPr>
                <w:rFonts w:hint="eastAsia" w:ascii="宋体" w:hAnsi="宋体" w:cs="宋体"/>
                <w:color w:val="000000"/>
                <w:kern w:val="0"/>
                <w:sz w:val="20"/>
                <w:szCs w:val="20"/>
                <w:lang w:bidi="ar"/>
              </w:rPr>
              <w:t xml:space="preserve"> 112,397.30 </w:t>
            </w:r>
          </w:p>
        </w:tc>
      </w:tr>
      <w:tr w14:paraId="24B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384E5DF">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净资产</w:t>
            </w:r>
          </w:p>
        </w:tc>
        <w:tc>
          <w:tcPr>
            <w:tcW w:w="3329" w:type="dxa"/>
            <w:vAlign w:val="center"/>
          </w:tcPr>
          <w:p w14:paraId="7E809BD9">
            <w:pPr>
              <w:widowControl/>
              <w:jc w:val="right"/>
              <w:textAlignment w:val="center"/>
              <w:rPr>
                <w:rFonts w:hint="eastAsia" w:ascii="宋体" w:hAnsi="宋体" w:cs="宋体"/>
                <w:kern w:val="0"/>
                <w:sz w:val="20"/>
                <w:szCs w:val="20"/>
                <w:highlight w:val="yellow"/>
                <w:lang w:bidi="ar"/>
              </w:rPr>
            </w:pPr>
            <w:r>
              <w:rPr>
                <w:rFonts w:hint="eastAsia" w:ascii="宋体" w:hAnsi="宋体" w:cs="宋体"/>
                <w:color w:val="000000"/>
                <w:kern w:val="0"/>
                <w:sz w:val="20"/>
                <w:szCs w:val="20"/>
                <w:lang w:bidi="ar"/>
              </w:rPr>
              <w:t xml:space="preserve"> 70,494.70 </w:t>
            </w:r>
          </w:p>
        </w:tc>
        <w:tc>
          <w:tcPr>
            <w:tcW w:w="3330" w:type="dxa"/>
            <w:vAlign w:val="center"/>
          </w:tcPr>
          <w:p w14:paraId="7D2B0914">
            <w:pPr>
              <w:widowControl/>
              <w:jc w:val="right"/>
              <w:textAlignment w:val="center"/>
              <w:rPr>
                <w:rFonts w:hint="eastAsia" w:ascii="宋体" w:hAnsi="宋体" w:cs="宋体"/>
                <w:kern w:val="0"/>
                <w:sz w:val="20"/>
                <w:szCs w:val="20"/>
                <w:highlight w:val="yellow"/>
              </w:rPr>
            </w:pPr>
            <w:r>
              <w:rPr>
                <w:rFonts w:hint="eastAsia" w:ascii="宋体" w:hAnsi="宋体" w:cs="宋体"/>
                <w:color w:val="000000"/>
                <w:kern w:val="0"/>
                <w:sz w:val="20"/>
                <w:szCs w:val="20"/>
                <w:lang w:bidi="ar"/>
              </w:rPr>
              <w:t xml:space="preserve"> 69,694.73 </w:t>
            </w:r>
          </w:p>
        </w:tc>
      </w:tr>
      <w:tr w14:paraId="60BC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1C01DBB">
            <w:pPr>
              <w:autoSpaceDE w:val="0"/>
              <w:autoSpaceDN w:val="0"/>
              <w:adjustRightInd w:val="0"/>
              <w:spacing w:line="560" w:lineRule="exact"/>
              <w:rPr>
                <w:rFonts w:hint="eastAsia" w:ascii="宋体" w:hAnsi="宋体" w:cs="宋体"/>
                <w:b/>
                <w:bCs/>
                <w:kern w:val="0"/>
                <w:sz w:val="20"/>
                <w:szCs w:val="20"/>
              </w:rPr>
            </w:pPr>
          </w:p>
        </w:tc>
        <w:tc>
          <w:tcPr>
            <w:tcW w:w="1953" w:type="pct"/>
            <w:vAlign w:val="center"/>
          </w:tcPr>
          <w:p w14:paraId="0A4D50B6">
            <w:pPr>
              <w:widowControl/>
              <w:jc w:val="center"/>
              <w:textAlignment w:val="center"/>
              <w:rPr>
                <w:rFonts w:hint="eastAsia" w:ascii="宋体" w:hAnsi="宋体" w:cs="宋体"/>
                <w:kern w:val="0"/>
                <w:sz w:val="20"/>
                <w:szCs w:val="20"/>
                <w:lang w:bidi="ar"/>
              </w:rPr>
            </w:pPr>
            <w:r>
              <w:rPr>
                <w:rFonts w:hint="eastAsia" w:ascii="宋体" w:hAnsi="宋体" w:cs="宋体"/>
                <w:color w:val="000000"/>
                <w:kern w:val="0"/>
                <w:sz w:val="20"/>
                <w:szCs w:val="20"/>
                <w:lang w:bidi="ar"/>
              </w:rPr>
              <w:t>2025年1-3月（未经审计）</w:t>
            </w:r>
          </w:p>
        </w:tc>
        <w:tc>
          <w:tcPr>
            <w:tcW w:w="1954" w:type="pct"/>
            <w:vAlign w:val="center"/>
          </w:tcPr>
          <w:p w14:paraId="0E91C34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2024年1-12月（经审计）</w:t>
            </w:r>
          </w:p>
        </w:tc>
      </w:tr>
      <w:tr w14:paraId="49CE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6DA89ED">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营业收入</w:t>
            </w:r>
          </w:p>
        </w:tc>
        <w:tc>
          <w:tcPr>
            <w:tcW w:w="3329" w:type="dxa"/>
            <w:vAlign w:val="center"/>
          </w:tcPr>
          <w:p w14:paraId="3EA85D4C">
            <w:pPr>
              <w:widowControl/>
              <w:jc w:val="right"/>
              <w:textAlignment w:val="center"/>
              <w:rPr>
                <w:rFonts w:hint="eastAsia" w:ascii="宋体" w:hAnsi="宋体" w:cs="宋体"/>
                <w:kern w:val="0"/>
                <w:sz w:val="20"/>
                <w:szCs w:val="20"/>
                <w:highlight w:val="yellow"/>
                <w:lang w:bidi="ar"/>
              </w:rPr>
            </w:pPr>
            <w:r>
              <w:rPr>
                <w:rFonts w:hint="eastAsia" w:ascii="宋体" w:hAnsi="宋体" w:cs="宋体"/>
                <w:color w:val="000000"/>
                <w:kern w:val="0"/>
                <w:sz w:val="20"/>
                <w:szCs w:val="20"/>
                <w:lang w:bidi="ar"/>
              </w:rPr>
              <w:t xml:space="preserve"> 18,160.07 </w:t>
            </w:r>
          </w:p>
        </w:tc>
        <w:tc>
          <w:tcPr>
            <w:tcW w:w="3330" w:type="dxa"/>
            <w:vAlign w:val="center"/>
          </w:tcPr>
          <w:p w14:paraId="265A62AC">
            <w:pPr>
              <w:widowControl/>
              <w:jc w:val="right"/>
              <w:textAlignment w:val="center"/>
              <w:rPr>
                <w:rFonts w:hint="eastAsia" w:ascii="宋体" w:hAnsi="宋体" w:cs="宋体"/>
                <w:kern w:val="0"/>
                <w:sz w:val="20"/>
                <w:szCs w:val="20"/>
                <w:highlight w:val="yellow"/>
              </w:rPr>
            </w:pPr>
            <w:r>
              <w:rPr>
                <w:rFonts w:hint="eastAsia" w:ascii="宋体" w:hAnsi="宋体" w:cs="宋体"/>
                <w:color w:val="000000"/>
                <w:kern w:val="0"/>
                <w:sz w:val="20"/>
                <w:szCs w:val="20"/>
                <w:lang w:bidi="ar"/>
              </w:rPr>
              <w:t xml:space="preserve"> 82,015.42 </w:t>
            </w:r>
          </w:p>
        </w:tc>
      </w:tr>
      <w:tr w14:paraId="5EC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2C645448">
            <w:pPr>
              <w:autoSpaceDE w:val="0"/>
              <w:autoSpaceDN w:val="0"/>
              <w:adjustRightInd w:val="0"/>
              <w:spacing w:line="560" w:lineRule="exact"/>
              <w:rPr>
                <w:rFonts w:hint="eastAsia" w:ascii="宋体" w:hAnsi="宋体" w:cs="宋体"/>
                <w:b/>
                <w:bCs/>
                <w:kern w:val="0"/>
                <w:sz w:val="20"/>
                <w:szCs w:val="20"/>
              </w:rPr>
            </w:pPr>
            <w:r>
              <w:rPr>
                <w:rFonts w:hint="eastAsia" w:ascii="宋体" w:hAnsi="宋体" w:cs="宋体"/>
                <w:b/>
                <w:bCs/>
                <w:kern w:val="0"/>
                <w:sz w:val="20"/>
                <w:szCs w:val="20"/>
              </w:rPr>
              <w:t>净利润</w:t>
            </w:r>
          </w:p>
        </w:tc>
        <w:tc>
          <w:tcPr>
            <w:tcW w:w="3329" w:type="dxa"/>
            <w:vAlign w:val="center"/>
          </w:tcPr>
          <w:p w14:paraId="2A8D0D3B">
            <w:pPr>
              <w:widowControl/>
              <w:jc w:val="right"/>
              <w:textAlignment w:val="center"/>
              <w:rPr>
                <w:rFonts w:hint="eastAsia" w:ascii="宋体" w:hAnsi="宋体" w:cs="宋体"/>
                <w:kern w:val="0"/>
                <w:sz w:val="20"/>
                <w:szCs w:val="20"/>
                <w:highlight w:val="yellow"/>
                <w:lang w:bidi="ar"/>
              </w:rPr>
            </w:pPr>
            <w:r>
              <w:rPr>
                <w:rFonts w:hint="eastAsia" w:ascii="宋体" w:hAnsi="宋体" w:cs="宋体"/>
                <w:color w:val="000000"/>
                <w:kern w:val="0"/>
                <w:sz w:val="20"/>
                <w:szCs w:val="20"/>
                <w:lang w:bidi="ar"/>
              </w:rPr>
              <w:t xml:space="preserve"> 777.64 </w:t>
            </w:r>
          </w:p>
        </w:tc>
        <w:tc>
          <w:tcPr>
            <w:tcW w:w="3330" w:type="dxa"/>
            <w:vAlign w:val="center"/>
          </w:tcPr>
          <w:p w14:paraId="1D1D5A8A">
            <w:pPr>
              <w:widowControl/>
              <w:jc w:val="right"/>
              <w:textAlignment w:val="center"/>
              <w:rPr>
                <w:rFonts w:hint="eastAsia" w:ascii="宋体" w:hAnsi="宋体" w:cs="宋体"/>
                <w:kern w:val="0"/>
                <w:sz w:val="20"/>
                <w:szCs w:val="20"/>
                <w:highlight w:val="yellow"/>
              </w:rPr>
            </w:pPr>
            <w:r>
              <w:rPr>
                <w:rFonts w:hint="eastAsia" w:ascii="宋体" w:hAnsi="宋体" w:cs="宋体"/>
                <w:color w:val="000000"/>
                <w:kern w:val="0"/>
                <w:sz w:val="20"/>
                <w:szCs w:val="20"/>
                <w:lang w:bidi="ar"/>
              </w:rPr>
              <w:t xml:space="preserve"> 5,090.37 </w:t>
            </w:r>
          </w:p>
        </w:tc>
      </w:tr>
    </w:tbl>
    <w:p w14:paraId="493C1485">
      <w:pPr>
        <w:numPr>
          <w:ilvl w:val="0"/>
          <w:numId w:val="14"/>
        </w:num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本月签署的《保证合同》主要内容</w:t>
      </w:r>
    </w:p>
    <w:p w14:paraId="6F22CB51">
      <w:pPr>
        <w:numPr>
          <w:ilvl w:val="0"/>
          <w:numId w:val="15"/>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中行昆明支行《最高额保证合同》</w:t>
      </w:r>
    </w:p>
    <w:p w14:paraId="1824BC30">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1E73560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49C75333">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w:t>
      </w:r>
    </w:p>
    <w:p w14:paraId="0A9E6F91">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(1)本合同所担保债权之最高本金余额为人民币15,000万元;</w:t>
      </w:r>
    </w:p>
    <w:p w14:paraId="3B551B82">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授信额度协议》主债权发生期间届满之日，被确定属于本合同之被担保主债权的，则基于该主债权之本金所发生的利息(包括利息、复利、罚息)、违约金、损害赔偿金、实现债权的费用(包括但不限于诉讼费用、律师费用、公证费用、执行费用等)、因债务人违约而给债权人造成的损失和其他所有应付费用等，也属于被担保债权，其具体金额在其被清偿时确定。</w:t>
      </w:r>
    </w:p>
    <w:p w14:paraId="42F9D768">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依据上述两款确定的债权金额之和，即为本合同所担保的最高债权额。</w:t>
      </w:r>
    </w:p>
    <w:p w14:paraId="2037BBD1">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4、担保期限：《最高额保证合同》项下所担保的债务逐笔单独计算保证期间，各债务保证期间为该笔债务履行期限届满之日起三年。在该保证期间内，债权人有权就所涉主债权的全部或部分、多笔或单笔，一并或分别要求保证人承担保证责任。</w:t>
      </w:r>
    </w:p>
    <w:p w14:paraId="774AADCB">
      <w:pPr>
        <w:numPr>
          <w:ilvl w:val="0"/>
          <w:numId w:val="15"/>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中信昆明分行《最高额保证合同》</w:t>
      </w:r>
    </w:p>
    <w:p w14:paraId="0DFF96D7">
      <w:pPr>
        <w:pStyle w:val="81"/>
        <w:spacing w:beforeAutospacing="0" w:afterAutospacing="0" w:line="560" w:lineRule="exact"/>
        <w:ind w:firstLine="480" w:firstLineChars="200"/>
        <w:rPr>
          <w:rFonts w:hint="eastAsia" w:ascii="宋体" w:hAnsi="宋体" w:cs="宋体"/>
          <w:szCs w:val="24"/>
        </w:rPr>
      </w:pPr>
      <w:r>
        <w:rPr>
          <w:rFonts w:hint="eastAsia" w:ascii="宋体" w:hAnsi="宋体" w:cs="宋体"/>
          <w:bCs/>
          <w:snapToGrid w:val="0"/>
          <w:szCs w:val="24"/>
        </w:rPr>
        <w:t>1、</w:t>
      </w:r>
      <w:r>
        <w:rPr>
          <w:rFonts w:hint="eastAsia" w:ascii="宋体" w:hAnsi="宋体" w:cs="宋体"/>
          <w:szCs w:val="24"/>
        </w:rPr>
        <w:t>保证人：重庆望变电气(集团)股份有限公司</w:t>
      </w:r>
    </w:p>
    <w:p w14:paraId="60326640">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2、保证方式：连带保证责任</w:t>
      </w:r>
    </w:p>
    <w:p w14:paraId="1767AF3C">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3、保证范围：包括中信昆明分行和云变电气签署并形成债权债务关系的一系列合同、协议以及其他法律性文件（以下简称“主合同”）项下的主债权、利息、罚息、复利、违约金、损害赔偿金、迟延履行期间的债务利息、迟延履行金、为实现债权的费用(包括但不限于诉讼费、仲裁费、律师费、差旅费、评估费、过户费、保全费、公告费、公证认证费、翻译费、执行费、保全保险费等)和其他所有应付的费用。</w:t>
      </w:r>
    </w:p>
    <w:p w14:paraId="67AE66E2">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担保的债权最高额限度为陆仟万元整和相应的利息、罚息、复利、违约金、损害赔偿金、迟延履行期间的债务利息、迟延履行金以及为实现债权、担保权利等所发生的一切费用(包括但不限于诉讼费、仲裁费、律师费、差旅费、评估费、过户费、保全费、公告费、公证认证费、翻译费、执行费、保全保险费等)和其他所有应付的费用之和。</w:t>
      </w:r>
    </w:p>
    <w:p w14:paraId="1C3692F4">
      <w:pPr>
        <w:numPr>
          <w:ilvl w:val="0"/>
          <w:numId w:val="16"/>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担保期限：</w:t>
      </w:r>
    </w:p>
    <w:p w14:paraId="65B1C6E4">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（1）本合同项下的保证期间为主合同项下债务履行期限届满之日起三年，即自债务人依具体业务合同约定的债务履行期限届满之日起三年。每一具体业务合同项下的保证期间单独计算。</w:t>
      </w:r>
    </w:p>
    <w:p w14:paraId="32059C97">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2）主合同债务人履行债务的期限以主合同约定为准。但按法律、法规、规章规定或依主合同约定或主合同双方当事人协商一致主合同债务提前到期，或主合同双方当事人在第2.2款约定的期间内协议延长债务履行期限的，则主合同债务提前到期日或延长到期日为债务的履行期限届满之日。如主合同约定债务人分期清偿债务，则最后一笔债务到期之日即为主合同项下债务履行期限届满之日。</w:t>
      </w:r>
    </w:p>
    <w:p w14:paraId="6DD81AE8">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如主合同项下业务为信用证或银行承兑汇票，则乙方按信用证或银行承兑汇票垫款日为主合同债务人债务履行期限届满之日。</w:t>
      </w:r>
    </w:p>
    <w:p w14:paraId="18E89676">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如主合同项下业务为保函，则乙方按保函实际履行担保责任日为主合同债务人债务履行期限届满之日。</w:t>
      </w:r>
    </w:p>
    <w:p w14:paraId="5C98E2DF">
      <w:pPr>
        <w:numPr>
          <w:ilvl w:val="255"/>
          <w:numId w:val="0"/>
        </w:num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如主合同项下业务为保理业务的，以保理合同约定的回购价款支付日为主合同债务人债务履行期限届满之日。</w:t>
      </w:r>
    </w:p>
    <w:p w14:paraId="4C3ADCD5">
      <w:pPr>
        <w:numPr>
          <w:ilvl w:val="255"/>
          <w:numId w:val="0"/>
        </w:num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如主合同项下业务为其他或有负债业务的，以乙方实际支付款项日为主合同债务人债务履行期限届满之日。</w:t>
      </w:r>
    </w:p>
    <w:p w14:paraId="67BEC282">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77DF22F8">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公司本月新增的对外担保主要为满足子公司日常生产经营需要，保证其生产经营活动的顺利开展，符合公司实际经营情况和整体发展战略，具有必要性和合理性。被担保对象为公司控股子公司和全资子公司，公司对其日常经营活动和资信状况能够及时掌握，担保风险总体可控，不会对公司及股东特别是中小股东利益造成重大不利影响。</w:t>
      </w:r>
    </w:p>
    <w:p w14:paraId="660C3901">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五、累计对外担保数量及逾期担保的数量</w:t>
      </w:r>
    </w:p>
    <w:p w14:paraId="1E47E60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截至2025年4月末，公司对外担保均为对子公司的担保，累计担保总额为88,500.00万元，担保余额为41,656.73万元，担保余额占公司最近一期经审计净资产的</w:t>
      </w:r>
      <w:r>
        <w:rPr>
          <w:rFonts w:hint="eastAsia" w:ascii="宋体" w:hAnsi="宋体" w:cs="宋体"/>
          <w:bCs/>
          <w:sz w:val="24"/>
          <w:szCs w:val="24"/>
          <w:lang w:val="en-US" w:eastAsia="zh-CN"/>
        </w:rPr>
        <w:t>17.26</w:t>
      </w:r>
      <w:bookmarkStart w:id="0" w:name="_GoBack"/>
      <w:bookmarkEnd w:id="0"/>
      <w:r>
        <w:rPr>
          <w:rFonts w:hint="eastAsia" w:ascii="宋体" w:hAnsi="宋体" w:cs="宋体"/>
          <w:bCs/>
          <w:sz w:val="24"/>
          <w:szCs w:val="24"/>
        </w:rPr>
        <w:t>%；不存在逾期担保。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截止2025年4月末，公司及子公司可用担保额度为98,000.00万元（包含惠泽电器10,000.00万元、黔南望江18,000.00万元和云变电气70,000.00万元），均为经公司2024年第三次临时股东会会议审议通过的2025年度担保额度。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5年5月8日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p w14:paraId="44075C06"/>
    <w:p w14:paraId="38499641"/>
    <w:p w14:paraId="067D987F"/>
    <w:p w14:paraId="78CF2BFD"/>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2F9E"/>
    <w:multiLevelType w:val="singleLevel"/>
    <w:tmpl w:val="92F02F9E"/>
    <w:lvl w:ilvl="0" w:tentative="0">
      <w:start w:val="1"/>
      <w:numFmt w:val="chineseCounting"/>
      <w:suff w:val="nothing"/>
      <w:lvlText w:val="（%1）"/>
      <w:lvlJc w:val="left"/>
      <w:rPr>
        <w:rFonts w:hint="eastAsia"/>
      </w:rPr>
    </w:lvl>
  </w:abstractNum>
  <w:abstractNum w:abstractNumId="1">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3">
    <w:nsid w:val="4019ABB1"/>
    <w:multiLevelType w:val="singleLevel"/>
    <w:tmpl w:val="4019ABB1"/>
    <w:lvl w:ilvl="0" w:tentative="0">
      <w:start w:val="4"/>
      <w:numFmt w:val="decimal"/>
      <w:suff w:val="nothing"/>
      <w:lvlText w:val="%1、"/>
      <w:lvlJc w:val="left"/>
    </w:lvl>
  </w:abstractNum>
  <w:abstractNum w:abstractNumId="14">
    <w:nsid w:val="40EC9271"/>
    <w:multiLevelType w:val="singleLevel"/>
    <w:tmpl w:val="40EC9271"/>
    <w:lvl w:ilvl="0" w:tentative="0">
      <w:start w:val="2"/>
      <w:numFmt w:val="chineseCounting"/>
      <w:suff w:val="nothing"/>
      <w:lvlText w:val="%1、"/>
      <w:lvlJc w:val="left"/>
      <w:rPr>
        <w:rFonts w:hint="eastAsia"/>
      </w:rPr>
    </w:lvl>
  </w:abstractNum>
  <w:abstractNum w:abstractNumId="15">
    <w:nsid w:val="655C0D75"/>
    <w:multiLevelType w:val="singleLevel"/>
    <w:tmpl w:val="655C0D75"/>
    <w:lvl w:ilvl="0" w:tentative="0">
      <w:start w:val="1"/>
      <w:numFmt w:val="chineseCounting"/>
      <w:suff w:val="nothing"/>
      <w:lvlText w:val="%1、"/>
      <w:lvlJc w:val="left"/>
      <w:rPr>
        <w:rFonts w:hint="eastAsia"/>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4E57"/>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619B6"/>
    <w:rsid w:val="00161C50"/>
    <w:rsid w:val="001631B1"/>
    <w:rsid w:val="00177222"/>
    <w:rsid w:val="001903B0"/>
    <w:rsid w:val="001B5730"/>
    <w:rsid w:val="001C165F"/>
    <w:rsid w:val="001C235A"/>
    <w:rsid w:val="001C4707"/>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866A3"/>
    <w:rsid w:val="003A1724"/>
    <w:rsid w:val="003A3C4B"/>
    <w:rsid w:val="003A4934"/>
    <w:rsid w:val="003A6877"/>
    <w:rsid w:val="003B5E5C"/>
    <w:rsid w:val="003C13ED"/>
    <w:rsid w:val="003C3E72"/>
    <w:rsid w:val="003D1D39"/>
    <w:rsid w:val="003D4987"/>
    <w:rsid w:val="003D500E"/>
    <w:rsid w:val="003E399E"/>
    <w:rsid w:val="003F26EB"/>
    <w:rsid w:val="004015D4"/>
    <w:rsid w:val="00404524"/>
    <w:rsid w:val="00412966"/>
    <w:rsid w:val="00414EDD"/>
    <w:rsid w:val="004166FA"/>
    <w:rsid w:val="00421FBB"/>
    <w:rsid w:val="00432414"/>
    <w:rsid w:val="004417CE"/>
    <w:rsid w:val="00455164"/>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335E5"/>
    <w:rsid w:val="005555B7"/>
    <w:rsid w:val="00556B8A"/>
    <w:rsid w:val="005636E0"/>
    <w:rsid w:val="00563DEF"/>
    <w:rsid w:val="005700E6"/>
    <w:rsid w:val="005928B0"/>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1E5A"/>
    <w:rsid w:val="006541E0"/>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6F5A45"/>
    <w:rsid w:val="007041A1"/>
    <w:rsid w:val="00713C80"/>
    <w:rsid w:val="00721749"/>
    <w:rsid w:val="007310E5"/>
    <w:rsid w:val="00732D11"/>
    <w:rsid w:val="0073774F"/>
    <w:rsid w:val="00740449"/>
    <w:rsid w:val="00745B5F"/>
    <w:rsid w:val="0075445C"/>
    <w:rsid w:val="0076073C"/>
    <w:rsid w:val="00776B0C"/>
    <w:rsid w:val="007946B0"/>
    <w:rsid w:val="00795307"/>
    <w:rsid w:val="007A42EC"/>
    <w:rsid w:val="007A46A0"/>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06B7"/>
    <w:rsid w:val="008A12F9"/>
    <w:rsid w:val="008A76CD"/>
    <w:rsid w:val="008B360D"/>
    <w:rsid w:val="008B4652"/>
    <w:rsid w:val="008C75E8"/>
    <w:rsid w:val="008D10ED"/>
    <w:rsid w:val="008D7908"/>
    <w:rsid w:val="008D7D16"/>
    <w:rsid w:val="008E2FF0"/>
    <w:rsid w:val="008E77F9"/>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81177"/>
    <w:rsid w:val="0099027E"/>
    <w:rsid w:val="00992A41"/>
    <w:rsid w:val="009A242D"/>
    <w:rsid w:val="009A3EBC"/>
    <w:rsid w:val="009B1CE4"/>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4F0E"/>
    <w:rsid w:val="00B65460"/>
    <w:rsid w:val="00B656C4"/>
    <w:rsid w:val="00B66D7C"/>
    <w:rsid w:val="00B90010"/>
    <w:rsid w:val="00B96BB6"/>
    <w:rsid w:val="00BA03AD"/>
    <w:rsid w:val="00BC4BBB"/>
    <w:rsid w:val="00BD7901"/>
    <w:rsid w:val="00BE0431"/>
    <w:rsid w:val="00BE7AC6"/>
    <w:rsid w:val="00BF0EF1"/>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CF157C"/>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94A43"/>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A46D7"/>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B1D6D"/>
    <w:rsid w:val="00FD0699"/>
    <w:rsid w:val="00FD1980"/>
    <w:rsid w:val="00FE0712"/>
    <w:rsid w:val="01A21D3D"/>
    <w:rsid w:val="01B20EB9"/>
    <w:rsid w:val="01E50D53"/>
    <w:rsid w:val="01F821BD"/>
    <w:rsid w:val="02066364"/>
    <w:rsid w:val="02815CE9"/>
    <w:rsid w:val="03134C0F"/>
    <w:rsid w:val="032D4E3E"/>
    <w:rsid w:val="04012B21"/>
    <w:rsid w:val="048F7171"/>
    <w:rsid w:val="06E320CC"/>
    <w:rsid w:val="07312958"/>
    <w:rsid w:val="073B5BC9"/>
    <w:rsid w:val="07BE292C"/>
    <w:rsid w:val="07C65CA5"/>
    <w:rsid w:val="084C69BC"/>
    <w:rsid w:val="08514037"/>
    <w:rsid w:val="08CA2A7A"/>
    <w:rsid w:val="096251C7"/>
    <w:rsid w:val="0AD705E9"/>
    <w:rsid w:val="0AF50259"/>
    <w:rsid w:val="0B9C5BD8"/>
    <w:rsid w:val="0D8E4A70"/>
    <w:rsid w:val="0E470635"/>
    <w:rsid w:val="0EBC6E9B"/>
    <w:rsid w:val="0EE14124"/>
    <w:rsid w:val="0FDA2FF1"/>
    <w:rsid w:val="10C85995"/>
    <w:rsid w:val="11162CD7"/>
    <w:rsid w:val="11DD5B0E"/>
    <w:rsid w:val="11F04FB0"/>
    <w:rsid w:val="11FD41AB"/>
    <w:rsid w:val="136F6B4F"/>
    <w:rsid w:val="13F76D41"/>
    <w:rsid w:val="15337B56"/>
    <w:rsid w:val="19857952"/>
    <w:rsid w:val="1A7D7C74"/>
    <w:rsid w:val="1DD957B9"/>
    <w:rsid w:val="1E79312C"/>
    <w:rsid w:val="1F2305F5"/>
    <w:rsid w:val="20967991"/>
    <w:rsid w:val="213B1B76"/>
    <w:rsid w:val="2157485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F9B5627"/>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C47117"/>
    <w:rsid w:val="3FFBD36B"/>
    <w:rsid w:val="40570A70"/>
    <w:rsid w:val="40F46B66"/>
    <w:rsid w:val="40FD3D2C"/>
    <w:rsid w:val="41076FBE"/>
    <w:rsid w:val="41084786"/>
    <w:rsid w:val="41110C42"/>
    <w:rsid w:val="41212946"/>
    <w:rsid w:val="41295BE0"/>
    <w:rsid w:val="41D45DF6"/>
    <w:rsid w:val="42275509"/>
    <w:rsid w:val="42823823"/>
    <w:rsid w:val="42D1600F"/>
    <w:rsid w:val="439C5700"/>
    <w:rsid w:val="44205485"/>
    <w:rsid w:val="45987F90"/>
    <w:rsid w:val="460F40D4"/>
    <w:rsid w:val="4611224F"/>
    <w:rsid w:val="4611554A"/>
    <w:rsid w:val="48695B04"/>
    <w:rsid w:val="49461F7F"/>
    <w:rsid w:val="499F1D78"/>
    <w:rsid w:val="4A2758B7"/>
    <w:rsid w:val="4A983129"/>
    <w:rsid w:val="4B376E07"/>
    <w:rsid w:val="4D556624"/>
    <w:rsid w:val="4EB26519"/>
    <w:rsid w:val="4F020FAD"/>
    <w:rsid w:val="4F095C75"/>
    <w:rsid w:val="50083C0F"/>
    <w:rsid w:val="50E43F8B"/>
    <w:rsid w:val="51283C8D"/>
    <w:rsid w:val="51F33A5F"/>
    <w:rsid w:val="524C7FC2"/>
    <w:rsid w:val="52E00474"/>
    <w:rsid w:val="53202F13"/>
    <w:rsid w:val="53932575"/>
    <w:rsid w:val="54120B01"/>
    <w:rsid w:val="543371DD"/>
    <w:rsid w:val="546F68B3"/>
    <w:rsid w:val="54FB7285"/>
    <w:rsid w:val="55800C5A"/>
    <w:rsid w:val="55845605"/>
    <w:rsid w:val="565D3A9C"/>
    <w:rsid w:val="57823100"/>
    <w:rsid w:val="57BB00D1"/>
    <w:rsid w:val="57C86637"/>
    <w:rsid w:val="58EF64DB"/>
    <w:rsid w:val="58FF2EFF"/>
    <w:rsid w:val="5919171F"/>
    <w:rsid w:val="59531228"/>
    <w:rsid w:val="5BA66D99"/>
    <w:rsid w:val="5C7436E9"/>
    <w:rsid w:val="5C8255FD"/>
    <w:rsid w:val="5CEE2784"/>
    <w:rsid w:val="5D0E2A44"/>
    <w:rsid w:val="5DBE1494"/>
    <w:rsid w:val="5EAF52F7"/>
    <w:rsid w:val="5EFC0458"/>
    <w:rsid w:val="5F7B6833"/>
    <w:rsid w:val="5F8316B7"/>
    <w:rsid w:val="5FE3F82D"/>
    <w:rsid w:val="5FFD5624"/>
    <w:rsid w:val="611F29C3"/>
    <w:rsid w:val="61466C61"/>
    <w:rsid w:val="61AD670E"/>
    <w:rsid w:val="620A112B"/>
    <w:rsid w:val="64787502"/>
    <w:rsid w:val="655C29BA"/>
    <w:rsid w:val="66534921"/>
    <w:rsid w:val="66D35B41"/>
    <w:rsid w:val="67253B4D"/>
    <w:rsid w:val="676705B3"/>
    <w:rsid w:val="67DC6589"/>
    <w:rsid w:val="68B22361"/>
    <w:rsid w:val="68F829FB"/>
    <w:rsid w:val="69D24BFB"/>
    <w:rsid w:val="6BE74894"/>
    <w:rsid w:val="6D41173A"/>
    <w:rsid w:val="6D657C9B"/>
    <w:rsid w:val="6EEE5B5B"/>
    <w:rsid w:val="6F2BFEC0"/>
    <w:rsid w:val="6F6946EC"/>
    <w:rsid w:val="6F8D7841"/>
    <w:rsid w:val="6F92035A"/>
    <w:rsid w:val="70182BA3"/>
    <w:rsid w:val="73733853"/>
    <w:rsid w:val="73A8198C"/>
    <w:rsid w:val="73E55BF9"/>
    <w:rsid w:val="757F06CF"/>
    <w:rsid w:val="75865A4D"/>
    <w:rsid w:val="75B740CF"/>
    <w:rsid w:val="7636144B"/>
    <w:rsid w:val="76FF27BE"/>
    <w:rsid w:val="77E729E4"/>
    <w:rsid w:val="780E64E4"/>
    <w:rsid w:val="78624636"/>
    <w:rsid w:val="78852C26"/>
    <w:rsid w:val="794B6266"/>
    <w:rsid w:val="799A21AD"/>
    <w:rsid w:val="7A227FFF"/>
    <w:rsid w:val="7AC13A71"/>
    <w:rsid w:val="7B255AC8"/>
    <w:rsid w:val="7B87500D"/>
    <w:rsid w:val="7CDF41F3"/>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semiHidden="0"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修订9"/>
    <w:hidden/>
    <w:unhideWhenUsed/>
    <w:qFormat/>
    <w:uiPriority w:val="99"/>
    <w:rPr>
      <w:rFonts w:ascii="Calibri" w:hAnsi="Calibri" w:eastAsia="宋体" w:cs="Times New Roman"/>
      <w:kern w:val="2"/>
      <w:sz w:val="21"/>
      <w:szCs w:val="22"/>
      <w:lang w:val="en-US" w:eastAsia="zh-CN" w:bidi="ar-SA"/>
    </w:rPr>
  </w:style>
  <w:style w:type="paragraph" w:customStyle="1" w:styleId="155">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56">
    <w:name w:val="修订11"/>
    <w:hidden/>
    <w:unhideWhenUsed/>
    <w:qFormat/>
    <w:uiPriority w:val="99"/>
    <w:rPr>
      <w:rFonts w:ascii="Calibri" w:hAnsi="Calibri" w:eastAsia="宋体" w:cs="Times New Roman"/>
      <w:kern w:val="2"/>
      <w:sz w:val="21"/>
      <w:szCs w:val="22"/>
      <w:lang w:val="en-US" w:eastAsia="zh-CN" w:bidi="ar-SA"/>
    </w:rPr>
  </w:style>
  <w:style w:type="paragraph" w:customStyle="1" w:styleId="15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29EB-DD8E-49F2-BCA2-B982D114E1A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3322</Words>
  <Characters>3847</Characters>
  <Lines>129</Lines>
  <Paragraphs>128</Paragraphs>
  <TotalTime>6</TotalTime>
  <ScaleCrop>false</ScaleCrop>
  <LinksUpToDate>false</LinksUpToDate>
  <CharactersWithSpaces>3918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2025-05-07T07:05:00Z</dcterms:created>
  <dc:creator>tek</dc:creator>
  <cp:lastModifiedBy>雯亦</cp:lastModifiedBy>
  <dcterms:modified xsi:type="dcterms:W3CDTF">2025-05-07T08:32:04Z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82BC2E14A1E04498AD21909C6064FBCA_13</vt:lpwstr>
  </property>
  <property fmtid="{D5CDD505-2E9C-101B-9397-08002B2CF9AE}" pid="4" name="KSOTemplateDocerSaveRecord">
    <vt:lpwstr>eyJoZGlkIjoiZTQzZmRmZDMxMjkwMDE2NTk0ZWQ1ZWYwMzRmYjVhNmUiLCJ1c2VySWQiOiI2NDQwNzQxNTQifQ==</vt:lpwstr>
  </property>
</Properties>
</file>