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E5B52">
      <w:pPr>
        <w:adjustRightInd w:val="0"/>
        <w:snapToGrid w:val="0"/>
        <w:spacing w:line="560" w:lineRule="exact"/>
        <w:jc w:val="left"/>
        <w:rPr>
          <w:rFonts w:hint="default" w:ascii="宋体" w:hAnsi="宋体" w:eastAsia="宋体"/>
          <w:b/>
          <w:sz w:val="24"/>
          <w:szCs w:val="24"/>
          <w:lang w:val="en-US" w:eastAsia="zh-CN"/>
        </w:rPr>
      </w:pPr>
      <w:r>
        <w:rPr>
          <w:rFonts w:hint="eastAsia" w:ascii="宋体" w:hAnsi="宋体" w:eastAsia="宋体"/>
          <w:b/>
          <w:sz w:val="24"/>
          <w:szCs w:val="24"/>
        </w:rPr>
        <w:t>证券代码：</w:t>
      </w:r>
      <w:r>
        <w:rPr>
          <w:rFonts w:ascii="宋体" w:hAnsi="宋体" w:eastAsia="宋体"/>
          <w:b/>
          <w:sz w:val="24"/>
          <w:szCs w:val="24"/>
        </w:rPr>
        <w:t xml:space="preserve">603191         </w:t>
      </w:r>
      <w:r>
        <w:rPr>
          <w:rFonts w:hint="eastAsia" w:ascii="宋体" w:hAnsi="宋体" w:eastAsia="宋体"/>
          <w:b/>
          <w:sz w:val="24"/>
          <w:szCs w:val="24"/>
        </w:rPr>
        <w:t xml:space="preserve">证券简称：望变电气 </w:t>
      </w:r>
      <w:r>
        <w:rPr>
          <w:rFonts w:ascii="宋体" w:hAnsi="宋体" w:eastAsia="宋体"/>
          <w:b/>
          <w:sz w:val="24"/>
          <w:szCs w:val="24"/>
        </w:rPr>
        <w:t xml:space="preserve">      </w:t>
      </w:r>
      <w:r>
        <w:rPr>
          <w:rFonts w:hint="eastAsia" w:ascii="宋体" w:hAnsi="宋体" w:eastAsia="宋体"/>
          <w:b/>
          <w:sz w:val="24"/>
          <w:szCs w:val="24"/>
        </w:rPr>
        <w:t>公告编号：2</w:t>
      </w:r>
      <w:r>
        <w:rPr>
          <w:rFonts w:ascii="宋体" w:hAnsi="宋体" w:eastAsia="宋体"/>
          <w:b/>
          <w:sz w:val="24"/>
          <w:szCs w:val="24"/>
        </w:rPr>
        <w:t>02</w:t>
      </w:r>
      <w:r>
        <w:rPr>
          <w:rFonts w:hint="eastAsia" w:ascii="宋体" w:hAnsi="宋体" w:eastAsia="宋体"/>
          <w:b/>
          <w:sz w:val="24"/>
          <w:szCs w:val="24"/>
        </w:rPr>
        <w:t>4-0</w:t>
      </w:r>
      <w:r>
        <w:rPr>
          <w:rFonts w:hint="eastAsia" w:ascii="宋体" w:hAnsi="宋体" w:eastAsia="宋体"/>
          <w:b/>
          <w:sz w:val="24"/>
          <w:szCs w:val="24"/>
          <w:lang w:val="en-US" w:eastAsia="zh-CN"/>
        </w:rPr>
        <w:t>52</w:t>
      </w:r>
    </w:p>
    <w:p w14:paraId="3F3CB8E2">
      <w:pPr>
        <w:adjustRightInd w:val="0"/>
        <w:snapToGrid w:val="0"/>
        <w:spacing w:line="560" w:lineRule="exact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</w:p>
    <w:p w14:paraId="2652D8CC"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重庆望变电气（集团）股份有限公司</w:t>
      </w:r>
    </w:p>
    <w:p w14:paraId="5A046F90">
      <w:pPr>
        <w:adjustRightInd w:val="0"/>
        <w:snapToGrid w:val="0"/>
        <w:spacing w:line="560" w:lineRule="exact"/>
        <w:ind w:firstLine="723" w:firstLineChars="200"/>
        <w:jc w:val="center"/>
        <w:rPr>
          <w:rFonts w:ascii="宋体" w:hAnsi="宋体" w:eastAsia="宋体" w:cs="仿宋_GB2312"/>
          <w:b/>
          <w:color w:val="FF0000"/>
          <w:sz w:val="36"/>
          <w:szCs w:val="36"/>
        </w:rPr>
      </w:pP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第四届监事会第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  <w:lang w:val="en-US" w:eastAsia="zh-CN"/>
        </w:rPr>
        <w:t>六</w:t>
      </w:r>
      <w:r>
        <w:rPr>
          <w:rFonts w:hint="eastAsia" w:ascii="宋体" w:hAnsi="宋体" w:eastAsia="宋体" w:cs="仿宋_GB2312"/>
          <w:b/>
          <w:color w:val="FF0000"/>
          <w:sz w:val="36"/>
          <w:szCs w:val="36"/>
        </w:rPr>
        <w:t>次会议决议公告</w:t>
      </w:r>
    </w:p>
    <w:p w14:paraId="230BA3C1">
      <w:pPr>
        <w:adjustRightInd w:val="0"/>
        <w:snapToGrid w:val="0"/>
        <w:spacing w:line="560" w:lineRule="exact"/>
        <w:ind w:firstLine="562" w:firstLineChars="200"/>
        <w:jc w:val="center"/>
        <w:rPr>
          <w:rFonts w:ascii="宋体" w:hAnsi="宋体" w:eastAsia="宋体" w:cs="仿宋_GB2312"/>
          <w:b/>
          <w:color w:val="FF0000"/>
          <w:sz w:val="28"/>
          <w:szCs w:val="28"/>
        </w:rPr>
      </w:pPr>
    </w:p>
    <w:p w14:paraId="4B347D32">
      <w:pPr>
        <w:pStyle w:val="11"/>
        <w:pBdr>
          <w:top w:val="single" w:color="000000" w:sz="4" w:space="1"/>
          <w:left w:val="single" w:color="000000" w:sz="4" w:space="4"/>
          <w:bottom w:val="single" w:color="000000" w:sz="4" w:space="1"/>
          <w:right w:val="single" w:color="000000" w:sz="4" w:space="4"/>
        </w:pBdr>
        <w:adjustRightInd w:val="0"/>
        <w:snapToGrid w:val="0"/>
        <w:spacing w:line="560" w:lineRule="exact"/>
        <w:ind w:firstLine="480" w:firstLineChars="200"/>
        <w:rPr>
          <w:rFonts w:ascii="仿宋" w:hAnsi="仿宋" w:eastAsia="仿宋"/>
          <w:color w:val="000000"/>
        </w:rPr>
      </w:pPr>
      <w:r>
        <w:rPr>
          <w:rFonts w:hint="eastAsia" w:ascii="仿宋" w:hAnsi="仿宋" w:eastAsia="仿宋"/>
          <w:color w:val="000000"/>
        </w:rPr>
        <w:t>本公司监事会及全体监事保证本公告内容不存在任何虚假记载、误导性陈述或者重大遗漏，并对其内容的真实性、准确性和完整性承担法律责任。</w:t>
      </w:r>
    </w:p>
    <w:p w14:paraId="458DEF56">
      <w:pPr>
        <w:pStyle w:val="11"/>
        <w:adjustRightInd w:val="0"/>
        <w:snapToGrid w:val="0"/>
        <w:spacing w:line="560" w:lineRule="exact"/>
        <w:rPr>
          <w:rFonts w:ascii="宋体" w:hAnsi="宋体"/>
        </w:rPr>
      </w:pPr>
    </w:p>
    <w:p w14:paraId="5D77879C">
      <w:pPr>
        <w:autoSpaceDE w:val="0"/>
        <w:autoSpaceDN w:val="0"/>
        <w:adjustRightInd w:val="0"/>
        <w:spacing w:line="560" w:lineRule="exact"/>
        <w:ind w:firstLine="463" w:firstLineChars="192"/>
        <w:jc w:val="left"/>
        <w:rPr>
          <w:rFonts w:ascii="宋体" w:hAnsi="宋体" w:eastAsia="宋体" w:cs="宋体"/>
          <w:b/>
          <w:color w:val="000000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color w:val="000000"/>
          <w:kern w:val="0"/>
          <w:sz w:val="24"/>
          <w:szCs w:val="24"/>
        </w:rPr>
        <w:t>一、 监事会会议召开情况</w:t>
      </w:r>
    </w:p>
    <w:p w14:paraId="763200A1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重庆望变电气（集团）股份有限公司（以下简称“公司”）第四届监事会第</w:t>
      </w:r>
      <w:r>
        <w:rPr>
          <w:rFonts w:hint="eastAsia" w:ascii="宋体" w:hAnsi="宋体"/>
          <w:color w:val="000000"/>
          <w:lang w:val="en-US" w:eastAsia="zh-CN"/>
        </w:rPr>
        <w:t>六</w:t>
      </w:r>
      <w:r>
        <w:rPr>
          <w:rFonts w:hint="eastAsia" w:ascii="宋体" w:hAnsi="宋体"/>
          <w:color w:val="000000"/>
        </w:rPr>
        <w:t>次会议于2024年</w:t>
      </w:r>
      <w:r>
        <w:rPr>
          <w:rFonts w:hint="eastAsia" w:ascii="宋体" w:hAnsi="宋体"/>
          <w:color w:val="000000"/>
          <w:lang w:val="en-US" w:eastAsia="zh-CN"/>
        </w:rPr>
        <w:t>8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28</w:t>
      </w:r>
      <w:r>
        <w:rPr>
          <w:rFonts w:hint="eastAsia" w:ascii="宋体" w:hAnsi="宋体"/>
          <w:color w:val="000000"/>
        </w:rPr>
        <w:t>日在公司会议</w:t>
      </w:r>
      <w:r>
        <w:rPr>
          <w:rFonts w:hint="eastAsia" w:ascii="宋体" w:hAnsi="宋体"/>
          <w:color w:val="000000"/>
          <w:highlight w:val="none"/>
        </w:rPr>
        <w:t>室以</w:t>
      </w:r>
      <w:bookmarkStart w:id="0" w:name="_GoBack"/>
      <w:r>
        <w:rPr>
          <w:rFonts w:hint="eastAsia" w:ascii="宋体" w:hAnsi="宋体"/>
          <w:color w:val="000000"/>
          <w:highlight w:val="none"/>
        </w:rPr>
        <w:t>现场</w:t>
      </w:r>
      <w:bookmarkEnd w:id="0"/>
      <w:r>
        <w:rPr>
          <w:rFonts w:hint="eastAsia" w:ascii="宋体" w:hAnsi="宋体"/>
          <w:color w:val="000000"/>
          <w:highlight w:val="none"/>
        </w:rPr>
        <w:t>的方式</w:t>
      </w:r>
      <w:r>
        <w:rPr>
          <w:rFonts w:hint="eastAsia" w:ascii="宋体" w:hAnsi="宋体"/>
          <w:color w:val="000000"/>
        </w:rPr>
        <w:t>召开。会议通知于2024年</w:t>
      </w:r>
      <w:r>
        <w:rPr>
          <w:rFonts w:hint="eastAsia" w:ascii="宋体" w:hAnsi="宋体"/>
          <w:color w:val="000000"/>
          <w:lang w:val="en-US" w:eastAsia="zh-CN"/>
        </w:rPr>
        <w:t>8</w:t>
      </w:r>
      <w:r>
        <w:rPr>
          <w:rFonts w:hint="eastAsia" w:ascii="宋体" w:hAnsi="宋体"/>
          <w:color w:val="000000"/>
        </w:rPr>
        <w:t>月1</w:t>
      </w:r>
      <w:r>
        <w:rPr>
          <w:rFonts w:hint="eastAsia" w:ascii="宋体" w:hAnsi="宋体"/>
          <w:color w:val="000000"/>
          <w:lang w:val="en-US" w:eastAsia="zh-CN"/>
        </w:rPr>
        <w:t>8</w:t>
      </w:r>
      <w:r>
        <w:rPr>
          <w:rFonts w:hint="eastAsia" w:ascii="宋体" w:hAnsi="宋体"/>
          <w:color w:val="000000"/>
        </w:rPr>
        <w:t>日以邮件的方式发出。本次会议应出席监事3名，实际出席监事3名。本次会议由监事会主席李长平先生召集并主持。本次会议的召集、召开符合《中华人民共和国公司法》等有关法律、行政法规、部门规章、规范性文件和《公司章程》的相关规定，会议形成的决议合法、有效。</w:t>
      </w:r>
    </w:p>
    <w:p w14:paraId="642A2FC7"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二、监事会会议审议情况</w:t>
      </w:r>
    </w:p>
    <w:p w14:paraId="38D5FF4B">
      <w:pPr>
        <w:pStyle w:val="11"/>
        <w:adjustRightInd w:val="0"/>
        <w:snapToGrid w:val="0"/>
        <w:spacing w:line="560" w:lineRule="exact"/>
        <w:ind w:firstLine="482" w:firstLineChars="200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（一）审议通过《关于公司&lt;2024年半年度报告&gt;及其摘要的议案》</w:t>
      </w:r>
    </w:p>
    <w:p w14:paraId="4E05CC5F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相关内容详见2024年</w:t>
      </w:r>
      <w:r>
        <w:rPr>
          <w:rFonts w:hint="eastAsia" w:ascii="宋体" w:hAnsi="宋体"/>
          <w:bCs/>
          <w:color w:val="000000"/>
          <w:lang w:val="en-US" w:eastAsia="zh-CN"/>
        </w:rPr>
        <w:t>8</w:t>
      </w:r>
      <w:r>
        <w:rPr>
          <w:rFonts w:hint="eastAsia" w:ascii="宋体" w:hAnsi="宋体"/>
          <w:bCs/>
          <w:color w:val="000000"/>
        </w:rPr>
        <w:t>月</w:t>
      </w:r>
      <w:r>
        <w:rPr>
          <w:rFonts w:hint="eastAsia" w:ascii="宋体" w:hAnsi="宋体"/>
          <w:bCs/>
          <w:color w:val="000000"/>
          <w:lang w:val="en-US" w:eastAsia="zh-CN"/>
        </w:rPr>
        <w:t>30</w:t>
      </w:r>
      <w:r>
        <w:rPr>
          <w:rFonts w:hint="eastAsia" w:ascii="宋体" w:hAnsi="宋体"/>
          <w:bCs/>
          <w:color w:val="000000"/>
        </w:rPr>
        <w:t>日刊登于上海证券交易所网站www.sse.com.cn的《2024年半年度报告》和《2024年半年度报告</w:t>
      </w:r>
      <w:r>
        <w:rPr>
          <w:rFonts w:hint="eastAsia" w:ascii="宋体" w:hAnsi="宋体"/>
          <w:bCs/>
          <w:color w:val="000000"/>
          <w:lang w:val="en-US" w:eastAsia="zh-CN"/>
        </w:rPr>
        <w:t>摘要</w:t>
      </w:r>
      <w:r>
        <w:rPr>
          <w:rFonts w:hint="eastAsia" w:ascii="宋体" w:hAnsi="宋体"/>
          <w:bCs/>
          <w:color w:val="000000"/>
        </w:rPr>
        <w:t>》</w:t>
      </w:r>
    </w:p>
    <w:p w14:paraId="7EBC606B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 w14:paraId="2292BB7C">
      <w:pPr>
        <w:pStyle w:val="11"/>
        <w:adjustRightInd w:val="0"/>
        <w:snapToGrid w:val="0"/>
        <w:spacing w:line="560" w:lineRule="exact"/>
        <w:ind w:firstLine="482" w:firstLineChars="200"/>
        <w:rPr>
          <w:rFonts w:hint="eastAsia"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（二）审议通过《关于公司&lt;2024年半年度募集资金存放与使用情况的专项报告&gt;的议案》</w:t>
      </w:r>
    </w:p>
    <w:p w14:paraId="62BF3C4A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相关内容详见2024年</w:t>
      </w:r>
      <w:r>
        <w:rPr>
          <w:rFonts w:hint="eastAsia" w:ascii="宋体" w:hAnsi="宋体"/>
          <w:bCs/>
          <w:color w:val="000000"/>
          <w:lang w:val="en-US" w:eastAsia="zh-CN"/>
        </w:rPr>
        <w:t>8</w:t>
      </w:r>
      <w:r>
        <w:rPr>
          <w:rFonts w:hint="eastAsia" w:ascii="宋体" w:hAnsi="宋体"/>
          <w:bCs/>
          <w:color w:val="000000"/>
        </w:rPr>
        <w:t>月</w:t>
      </w:r>
      <w:r>
        <w:rPr>
          <w:rFonts w:hint="eastAsia" w:ascii="宋体" w:hAnsi="宋体"/>
          <w:bCs/>
          <w:color w:val="000000"/>
          <w:lang w:val="en-US" w:eastAsia="zh-CN"/>
        </w:rPr>
        <w:t>30</w:t>
      </w:r>
      <w:r>
        <w:rPr>
          <w:rFonts w:hint="eastAsia" w:ascii="宋体" w:hAnsi="宋体"/>
          <w:bCs/>
          <w:color w:val="000000"/>
        </w:rPr>
        <w:t>日刊登于上海证券交易所网站www.sse.com.cn的《202</w:t>
      </w:r>
      <w:r>
        <w:rPr>
          <w:rFonts w:hint="eastAsia" w:ascii="宋体" w:hAnsi="宋体"/>
          <w:bCs/>
          <w:color w:val="000000"/>
          <w:lang w:val="en-US" w:eastAsia="zh-CN"/>
        </w:rPr>
        <w:t>4</w:t>
      </w:r>
      <w:r>
        <w:rPr>
          <w:rFonts w:hint="eastAsia" w:ascii="宋体" w:hAnsi="宋体"/>
          <w:bCs/>
          <w:color w:val="000000"/>
        </w:rPr>
        <w:t>年</w:t>
      </w:r>
      <w:r>
        <w:rPr>
          <w:rFonts w:hint="eastAsia" w:ascii="宋体" w:hAnsi="宋体"/>
          <w:bCs/>
          <w:color w:val="000000"/>
          <w:lang w:val="en-US" w:eastAsia="zh-CN"/>
        </w:rPr>
        <w:t>半</w:t>
      </w:r>
      <w:r>
        <w:rPr>
          <w:rFonts w:hint="eastAsia" w:ascii="宋体" w:hAnsi="宋体"/>
          <w:bCs/>
          <w:color w:val="000000"/>
        </w:rPr>
        <w:t>年度募集资金存放与使用情况的专项报告》。</w:t>
      </w:r>
    </w:p>
    <w:p w14:paraId="5643A34F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 w14:paraId="173BE32F"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（三）审议通过《关于变更会计师事务所的议案》</w:t>
      </w:r>
    </w:p>
    <w:p w14:paraId="207FB695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相关内容详见2024年8月30日刊登于上海证券交易所网站www.sse.com.cn的《关于变更会计师事务所的公告》（公告编号：2024-053）。</w:t>
      </w:r>
    </w:p>
    <w:p w14:paraId="6E27D730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 w14:paraId="53B16570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 xml:space="preserve">本议案尚需提交公司股东大会审议。 </w:t>
      </w:r>
    </w:p>
    <w:p w14:paraId="4F6DF09A">
      <w:pPr>
        <w:pStyle w:val="11"/>
        <w:adjustRightInd w:val="0"/>
        <w:snapToGrid w:val="0"/>
        <w:spacing w:line="560" w:lineRule="exact"/>
        <w:ind w:firstLine="482" w:firstLineChars="200"/>
        <w:rPr>
          <w:rFonts w:ascii="宋体" w:hAnsi="宋体"/>
          <w:b/>
          <w:color w:val="000000"/>
        </w:rPr>
      </w:pPr>
      <w:r>
        <w:rPr>
          <w:rFonts w:hint="eastAsia" w:ascii="宋体" w:hAnsi="宋体"/>
          <w:b/>
          <w:color w:val="000000"/>
        </w:rPr>
        <w:t>（四）审议通过《关于修订公司</w:t>
      </w:r>
      <w:r>
        <w:rPr>
          <w:rFonts w:hint="eastAsia" w:ascii="宋体" w:hAnsi="宋体"/>
          <w:b/>
          <w:color w:val="000000"/>
          <w:lang w:val="en-US" w:eastAsia="zh-CN"/>
        </w:rPr>
        <w:t>&lt;</w:t>
      </w:r>
      <w:r>
        <w:rPr>
          <w:rFonts w:hint="eastAsia" w:ascii="宋体" w:hAnsi="宋体"/>
          <w:b/>
          <w:color w:val="000000"/>
        </w:rPr>
        <w:t>监事会议事规则</w:t>
      </w:r>
      <w:r>
        <w:rPr>
          <w:rFonts w:hint="eastAsia" w:ascii="宋体" w:hAnsi="宋体"/>
          <w:b/>
          <w:color w:val="000000"/>
          <w:lang w:val="en-US" w:eastAsia="zh-CN"/>
        </w:rPr>
        <w:t>&gt;</w:t>
      </w:r>
      <w:r>
        <w:rPr>
          <w:rFonts w:hint="eastAsia" w:ascii="宋体" w:hAnsi="宋体"/>
          <w:b/>
          <w:color w:val="000000"/>
        </w:rPr>
        <w:t>的议案》</w:t>
      </w:r>
    </w:p>
    <w:p w14:paraId="50BB3EFD">
      <w:pPr>
        <w:pStyle w:val="11"/>
        <w:adjustRightInd w:val="0"/>
        <w:snapToGrid w:val="0"/>
        <w:spacing w:line="560" w:lineRule="exact"/>
        <w:ind w:firstLine="480" w:firstLineChars="200"/>
        <w:rPr>
          <w:rFonts w:hint="eastAsia" w:ascii="宋体" w:hAnsi="宋体" w:eastAsia="宋体"/>
          <w:bCs/>
          <w:color w:val="000000"/>
          <w:lang w:eastAsia="zh-CN"/>
        </w:rPr>
      </w:pPr>
      <w:r>
        <w:rPr>
          <w:rFonts w:hint="eastAsia" w:ascii="宋体" w:hAnsi="宋体"/>
          <w:bCs/>
          <w:color w:val="000000"/>
        </w:rPr>
        <w:t>监事会同意</w:t>
      </w:r>
      <w:r>
        <w:rPr>
          <w:rFonts w:hint="eastAsia" w:ascii="宋体" w:hAnsi="宋体"/>
          <w:bCs/>
          <w:color w:val="000000"/>
          <w:lang w:val="en-US" w:eastAsia="zh-CN"/>
        </w:rPr>
        <w:t>修订《监事会议规则》，修订后的制度</w:t>
      </w:r>
      <w:r>
        <w:rPr>
          <w:rFonts w:hint="eastAsia" w:ascii="宋体" w:hAnsi="宋体"/>
          <w:bCs/>
          <w:color w:val="000000"/>
        </w:rPr>
        <w:t>内容详见2024年</w:t>
      </w:r>
      <w:r>
        <w:rPr>
          <w:rFonts w:hint="eastAsia" w:ascii="宋体" w:hAnsi="宋体"/>
          <w:bCs/>
          <w:color w:val="000000"/>
          <w:lang w:val="en-US" w:eastAsia="zh-CN"/>
        </w:rPr>
        <w:t>8</w:t>
      </w:r>
      <w:r>
        <w:rPr>
          <w:rFonts w:hint="eastAsia" w:ascii="宋体" w:hAnsi="宋体"/>
          <w:bCs/>
          <w:color w:val="000000"/>
        </w:rPr>
        <w:t>月</w:t>
      </w:r>
      <w:r>
        <w:rPr>
          <w:rFonts w:hint="eastAsia" w:ascii="宋体" w:hAnsi="宋体"/>
          <w:bCs/>
          <w:color w:val="000000"/>
          <w:lang w:val="en-US" w:eastAsia="zh-CN"/>
        </w:rPr>
        <w:t>30</w:t>
      </w:r>
      <w:r>
        <w:rPr>
          <w:rFonts w:hint="eastAsia" w:ascii="宋体" w:hAnsi="宋体"/>
          <w:bCs/>
          <w:color w:val="000000"/>
        </w:rPr>
        <w:t>日刊登于上海证券交易所网站www.sse.com.cn的《监事会议事规则》</w:t>
      </w:r>
      <w:r>
        <w:rPr>
          <w:rFonts w:hint="eastAsia" w:ascii="宋体" w:hAnsi="宋体"/>
          <w:bCs/>
          <w:color w:val="000000"/>
          <w:lang w:eastAsia="zh-CN"/>
        </w:rPr>
        <w:t>。</w:t>
      </w:r>
    </w:p>
    <w:p w14:paraId="06CFF9A5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表决结果：同意3票；反对0票；弃权0票。</w:t>
      </w:r>
    </w:p>
    <w:p w14:paraId="59639840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  <w:r>
        <w:rPr>
          <w:rFonts w:hint="eastAsia" w:ascii="宋体" w:hAnsi="宋体"/>
          <w:bCs/>
          <w:color w:val="000000"/>
        </w:rPr>
        <w:t>本议案</w:t>
      </w:r>
      <w:r>
        <w:rPr>
          <w:rFonts w:hint="eastAsia" w:ascii="宋体" w:hAnsi="宋体"/>
          <w:bCs/>
          <w:color w:val="000000"/>
          <w:lang w:val="en-US" w:eastAsia="zh-CN"/>
        </w:rPr>
        <w:t>尚需以《关于修改&lt;公司章程&gt;及三会议事规则的议案》的子议案提交公司</w:t>
      </w:r>
      <w:r>
        <w:rPr>
          <w:rFonts w:hint="eastAsia" w:ascii="宋体" w:hAnsi="宋体"/>
          <w:bCs/>
          <w:color w:val="000000"/>
        </w:rPr>
        <w:t>股东</w:t>
      </w:r>
      <w:r>
        <w:rPr>
          <w:rFonts w:hint="eastAsia" w:ascii="宋体" w:hAnsi="宋体"/>
          <w:bCs/>
          <w:color w:val="000000"/>
          <w:lang w:val="en-US" w:eastAsia="zh-CN"/>
        </w:rPr>
        <w:t>大</w:t>
      </w:r>
      <w:r>
        <w:rPr>
          <w:rFonts w:hint="eastAsia" w:ascii="宋体" w:hAnsi="宋体"/>
          <w:bCs/>
          <w:color w:val="000000"/>
        </w:rPr>
        <w:t>会审议。</w:t>
      </w:r>
    </w:p>
    <w:p w14:paraId="01EEF48F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bCs/>
          <w:color w:val="000000"/>
        </w:rPr>
      </w:pPr>
    </w:p>
    <w:p w14:paraId="67E9AD76">
      <w:pPr>
        <w:pStyle w:val="11"/>
        <w:adjustRightInd w:val="0"/>
        <w:snapToGrid w:val="0"/>
        <w:spacing w:line="560" w:lineRule="exact"/>
        <w:rPr>
          <w:rFonts w:ascii="宋体" w:hAnsi="宋体"/>
          <w:bCs/>
          <w:color w:val="000000"/>
        </w:rPr>
      </w:pPr>
    </w:p>
    <w:p w14:paraId="3A13777D">
      <w:pPr>
        <w:pStyle w:val="11"/>
        <w:adjustRightInd w:val="0"/>
        <w:snapToGrid w:val="0"/>
        <w:spacing w:line="560" w:lineRule="exact"/>
        <w:ind w:firstLine="480" w:firstLineChars="200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特此公告。</w:t>
      </w:r>
    </w:p>
    <w:p w14:paraId="446DC7EC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color w:val="000000"/>
        </w:rPr>
      </w:pPr>
      <w:r>
        <w:rPr>
          <w:rFonts w:hint="eastAsia" w:ascii="宋体" w:hAnsi="宋体"/>
          <w:color w:val="000000"/>
        </w:rPr>
        <w:t>重庆望变电气（集团）股份有限公司监事会</w:t>
      </w:r>
    </w:p>
    <w:p w14:paraId="3966A99A">
      <w:pPr>
        <w:pStyle w:val="11"/>
        <w:adjustRightInd w:val="0"/>
        <w:snapToGrid w:val="0"/>
        <w:spacing w:line="560" w:lineRule="exact"/>
        <w:ind w:firstLine="480" w:firstLineChars="200"/>
        <w:jc w:val="right"/>
        <w:rPr>
          <w:rFonts w:ascii="宋体" w:hAnsi="宋体"/>
          <w:highlight w:val="yellow"/>
        </w:rPr>
      </w:pPr>
      <w:r>
        <w:rPr>
          <w:rFonts w:hint="eastAsia" w:ascii="宋体" w:hAnsi="宋体"/>
          <w:color w:val="000000"/>
        </w:rPr>
        <w:t>2</w:t>
      </w:r>
      <w:r>
        <w:rPr>
          <w:rFonts w:ascii="宋体" w:hAnsi="宋体"/>
          <w:color w:val="000000"/>
        </w:rPr>
        <w:t>02</w:t>
      </w:r>
      <w:r>
        <w:rPr>
          <w:rFonts w:hint="eastAsia" w:ascii="宋体" w:hAnsi="宋体"/>
          <w:color w:val="000000"/>
        </w:rPr>
        <w:t>4年</w:t>
      </w:r>
      <w:r>
        <w:rPr>
          <w:rFonts w:hint="eastAsia" w:ascii="宋体" w:hAnsi="宋体"/>
          <w:color w:val="000000"/>
          <w:lang w:val="en-US" w:eastAsia="zh-CN"/>
        </w:rPr>
        <w:t>8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lang w:val="en-US" w:eastAsia="zh-CN"/>
        </w:rPr>
        <w:t>30</w:t>
      </w:r>
      <w:r>
        <w:rPr>
          <w:rFonts w:hint="eastAsia" w:ascii="宋体" w:hAnsi="宋体"/>
          <w:color w:val="000000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Book Antiqua">
    <w:panose1 w:val="02040602050305030304"/>
    <w:charset w:val="00"/>
    <w:family w:val="roman"/>
    <w:pitch w:val="default"/>
    <w:sig w:usb0="00000287" w:usb1="00000000" w:usb2="00000000" w:usb3="00000000" w:csb0="2000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288753028"/>
    </w:sdtPr>
    <w:sdtContent>
      <w:p w14:paraId="7D1E38C4">
        <w:pPr>
          <w:pStyle w:val="4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QzZmRmZDMxMjkwMDE2NTk0ZWQ1ZWYwMzRmYjVhNmUifQ=="/>
  </w:docVars>
  <w:rsids>
    <w:rsidRoot w:val="250648DF"/>
    <w:rsid w:val="0000560A"/>
    <w:rsid w:val="00017EDF"/>
    <w:rsid w:val="00030173"/>
    <w:rsid w:val="00071422"/>
    <w:rsid w:val="000C14F3"/>
    <w:rsid w:val="000E2D2B"/>
    <w:rsid w:val="0014314D"/>
    <w:rsid w:val="00145376"/>
    <w:rsid w:val="0015522E"/>
    <w:rsid w:val="00172278"/>
    <w:rsid w:val="00197F58"/>
    <w:rsid w:val="001A19AA"/>
    <w:rsid w:val="001E5B6D"/>
    <w:rsid w:val="0026231B"/>
    <w:rsid w:val="00263A11"/>
    <w:rsid w:val="00265CEB"/>
    <w:rsid w:val="00294FA7"/>
    <w:rsid w:val="002A4A5F"/>
    <w:rsid w:val="002D4803"/>
    <w:rsid w:val="002E4BAE"/>
    <w:rsid w:val="00313FED"/>
    <w:rsid w:val="003503E2"/>
    <w:rsid w:val="003B505E"/>
    <w:rsid w:val="003B5A9C"/>
    <w:rsid w:val="003B6998"/>
    <w:rsid w:val="0043572E"/>
    <w:rsid w:val="00452FDE"/>
    <w:rsid w:val="00471AA1"/>
    <w:rsid w:val="004915CA"/>
    <w:rsid w:val="004958CF"/>
    <w:rsid w:val="004C23D4"/>
    <w:rsid w:val="005052AF"/>
    <w:rsid w:val="00510919"/>
    <w:rsid w:val="005147FD"/>
    <w:rsid w:val="0053474F"/>
    <w:rsid w:val="00566029"/>
    <w:rsid w:val="005A51A9"/>
    <w:rsid w:val="005B1B2B"/>
    <w:rsid w:val="005E47D3"/>
    <w:rsid w:val="005F0EE6"/>
    <w:rsid w:val="006140E4"/>
    <w:rsid w:val="0065083B"/>
    <w:rsid w:val="006521A8"/>
    <w:rsid w:val="00656AB7"/>
    <w:rsid w:val="00671781"/>
    <w:rsid w:val="006740E1"/>
    <w:rsid w:val="00674AB8"/>
    <w:rsid w:val="0068614B"/>
    <w:rsid w:val="006C4055"/>
    <w:rsid w:val="006E0638"/>
    <w:rsid w:val="00743342"/>
    <w:rsid w:val="00756641"/>
    <w:rsid w:val="00775870"/>
    <w:rsid w:val="007B1BE1"/>
    <w:rsid w:val="007C6756"/>
    <w:rsid w:val="007D0568"/>
    <w:rsid w:val="007E3019"/>
    <w:rsid w:val="00802CF4"/>
    <w:rsid w:val="00810890"/>
    <w:rsid w:val="00816738"/>
    <w:rsid w:val="00824398"/>
    <w:rsid w:val="00864A4F"/>
    <w:rsid w:val="00880A4C"/>
    <w:rsid w:val="008A0C1F"/>
    <w:rsid w:val="008E132F"/>
    <w:rsid w:val="008E2407"/>
    <w:rsid w:val="008E6C4A"/>
    <w:rsid w:val="00906FA1"/>
    <w:rsid w:val="00915EFD"/>
    <w:rsid w:val="009D4BD2"/>
    <w:rsid w:val="00A35B35"/>
    <w:rsid w:val="00A61D0E"/>
    <w:rsid w:val="00A824D5"/>
    <w:rsid w:val="00AD3170"/>
    <w:rsid w:val="00AF480D"/>
    <w:rsid w:val="00B127D6"/>
    <w:rsid w:val="00B66502"/>
    <w:rsid w:val="00B7323C"/>
    <w:rsid w:val="00B94247"/>
    <w:rsid w:val="00C07EC8"/>
    <w:rsid w:val="00C60313"/>
    <w:rsid w:val="00C620CE"/>
    <w:rsid w:val="00C62F75"/>
    <w:rsid w:val="00C655CD"/>
    <w:rsid w:val="00C93B26"/>
    <w:rsid w:val="00CE57F8"/>
    <w:rsid w:val="00D2703E"/>
    <w:rsid w:val="00D61553"/>
    <w:rsid w:val="00D62F76"/>
    <w:rsid w:val="00D64D5A"/>
    <w:rsid w:val="00D81E6B"/>
    <w:rsid w:val="00D96B6E"/>
    <w:rsid w:val="00DC344C"/>
    <w:rsid w:val="00DD5DC1"/>
    <w:rsid w:val="00DF16D4"/>
    <w:rsid w:val="00E52CF6"/>
    <w:rsid w:val="00E635D9"/>
    <w:rsid w:val="00E77466"/>
    <w:rsid w:val="00E93946"/>
    <w:rsid w:val="00EC468D"/>
    <w:rsid w:val="00EE3298"/>
    <w:rsid w:val="00F04918"/>
    <w:rsid w:val="00FA1652"/>
    <w:rsid w:val="00FD2ADA"/>
    <w:rsid w:val="02413036"/>
    <w:rsid w:val="02433269"/>
    <w:rsid w:val="03A4154D"/>
    <w:rsid w:val="04504EB3"/>
    <w:rsid w:val="07F60EEB"/>
    <w:rsid w:val="094950CC"/>
    <w:rsid w:val="0B42184D"/>
    <w:rsid w:val="0B600DC7"/>
    <w:rsid w:val="0BD93341"/>
    <w:rsid w:val="0EEA4B99"/>
    <w:rsid w:val="15663828"/>
    <w:rsid w:val="15774B16"/>
    <w:rsid w:val="18CC61E5"/>
    <w:rsid w:val="201072A5"/>
    <w:rsid w:val="21B72742"/>
    <w:rsid w:val="22980952"/>
    <w:rsid w:val="250648DF"/>
    <w:rsid w:val="25EB6BDF"/>
    <w:rsid w:val="27BD3DBC"/>
    <w:rsid w:val="2E6B62F8"/>
    <w:rsid w:val="307411DA"/>
    <w:rsid w:val="31072F7C"/>
    <w:rsid w:val="316A5FE7"/>
    <w:rsid w:val="39221C77"/>
    <w:rsid w:val="45366DBA"/>
    <w:rsid w:val="480E7C0F"/>
    <w:rsid w:val="49184C66"/>
    <w:rsid w:val="49DB44EA"/>
    <w:rsid w:val="4B98272C"/>
    <w:rsid w:val="4FC00144"/>
    <w:rsid w:val="519E4A21"/>
    <w:rsid w:val="5C165156"/>
    <w:rsid w:val="5EC30681"/>
    <w:rsid w:val="61FE3A6B"/>
    <w:rsid w:val="62897151"/>
    <w:rsid w:val="6609788A"/>
    <w:rsid w:val="6D6E0C14"/>
    <w:rsid w:val="6D9B7EBF"/>
    <w:rsid w:val="7400619B"/>
    <w:rsid w:val="75297F2F"/>
    <w:rsid w:val="7FAC5B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autoRedefine/>
    <w:qFormat/>
    <w:uiPriority w:val="0"/>
    <w:pPr>
      <w:jc w:val="left"/>
    </w:p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Title"/>
    <w:basedOn w:val="1"/>
    <w:next w:val="1"/>
    <w:autoRedefine/>
    <w:qFormat/>
    <w:uiPriority w:val="10"/>
    <w:pPr>
      <w:spacing w:before="240" w:after="60"/>
      <w:jc w:val="center"/>
      <w:outlineLvl w:val="0"/>
    </w:pPr>
    <w:rPr>
      <w:rFonts w:eastAsia="宋体" w:asciiTheme="majorHAnsi" w:hAnsiTheme="majorHAnsi" w:cstheme="majorBidi"/>
      <w:b/>
      <w:bCs/>
      <w:sz w:val="30"/>
      <w:szCs w:val="32"/>
    </w:rPr>
  </w:style>
  <w:style w:type="paragraph" w:styleId="7">
    <w:name w:val="annotation subject"/>
    <w:basedOn w:val="2"/>
    <w:next w:val="2"/>
    <w:link w:val="16"/>
    <w:autoRedefine/>
    <w:semiHidden/>
    <w:unhideWhenUsed/>
    <w:qFormat/>
    <w:uiPriority w:val="0"/>
    <w:rPr>
      <w:b/>
      <w:bCs/>
    </w:rPr>
  </w:style>
  <w:style w:type="character" w:styleId="10">
    <w:name w:val="annotation reference"/>
    <w:basedOn w:val="9"/>
    <w:autoRedefine/>
    <w:qFormat/>
    <w:uiPriority w:val="0"/>
    <w:rPr>
      <w:sz w:val="21"/>
      <w:szCs w:val="21"/>
    </w:rPr>
  </w:style>
  <w:style w:type="paragraph" w:customStyle="1" w:styleId="11">
    <w:name w:val="p0"/>
    <w:basedOn w:val="1"/>
    <w:autoRedefine/>
    <w:qFormat/>
    <w:uiPriority w:val="0"/>
    <w:pPr>
      <w:widowControl/>
    </w:pPr>
    <w:rPr>
      <w:rFonts w:ascii="Book Antiqua" w:hAnsi="Book Antiqua" w:eastAsia="宋体" w:cs="宋体"/>
      <w:kern w:val="0"/>
      <w:sz w:val="24"/>
      <w:szCs w:val="24"/>
    </w:rPr>
  </w:style>
  <w:style w:type="character" w:customStyle="1" w:styleId="12">
    <w:name w:val="页眉 字符"/>
    <w:basedOn w:val="9"/>
    <w:link w:val="5"/>
    <w:qFormat/>
    <w:uiPriority w:val="0"/>
    <w:rPr>
      <w:kern w:val="2"/>
      <w:sz w:val="18"/>
      <w:szCs w:val="18"/>
    </w:rPr>
  </w:style>
  <w:style w:type="character" w:customStyle="1" w:styleId="13">
    <w:name w:val="页脚 字符"/>
    <w:basedOn w:val="9"/>
    <w:link w:val="4"/>
    <w:qFormat/>
    <w:uiPriority w:val="99"/>
    <w:rPr>
      <w:kern w:val="2"/>
      <w:sz w:val="18"/>
      <w:szCs w:val="18"/>
    </w:rPr>
  </w:style>
  <w:style w:type="character" w:customStyle="1" w:styleId="14">
    <w:name w:val="批注框文本 字符"/>
    <w:basedOn w:val="9"/>
    <w:link w:val="3"/>
    <w:qFormat/>
    <w:uiPriority w:val="0"/>
    <w:rPr>
      <w:kern w:val="2"/>
      <w:sz w:val="18"/>
      <w:szCs w:val="18"/>
    </w:rPr>
  </w:style>
  <w:style w:type="character" w:customStyle="1" w:styleId="15">
    <w:name w:val="批注文字 字符"/>
    <w:basedOn w:val="9"/>
    <w:link w:val="2"/>
    <w:qFormat/>
    <w:uiPriority w:val="0"/>
    <w:rPr>
      <w:kern w:val="2"/>
      <w:sz w:val="21"/>
      <w:szCs w:val="22"/>
    </w:rPr>
  </w:style>
  <w:style w:type="character" w:customStyle="1" w:styleId="16">
    <w:name w:val="批注主题 字符"/>
    <w:basedOn w:val="15"/>
    <w:link w:val="7"/>
    <w:autoRedefine/>
    <w:semiHidden/>
    <w:qFormat/>
    <w:uiPriority w:val="0"/>
    <w:rPr>
      <w:b/>
      <w:bCs/>
      <w:kern w:val="2"/>
      <w:sz w:val="21"/>
      <w:szCs w:val="22"/>
    </w:rPr>
  </w:style>
  <w:style w:type="paragraph" w:customStyle="1" w:styleId="17">
    <w:name w:val="修订1"/>
    <w:autoRedefine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修订2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20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  <w:style w:type="paragraph" w:customStyle="1" w:styleId="21">
    <w:name w:val="Revision"/>
    <w:hidden/>
    <w:unhideWhenUsed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817</Words>
  <Characters>933</Characters>
  <Lines>12</Lines>
  <Paragraphs>3</Paragraphs>
  <TotalTime>34</TotalTime>
  <ScaleCrop>false</ScaleCrop>
  <LinksUpToDate>false</LinksUpToDate>
  <CharactersWithSpaces>951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2022-08-18T08:37:00Z</dcterms:created>
  <dc:creator>BJB-ZB-03</dc:creator>
  <cp:lastModifiedBy>雯亦</cp:lastModifiedBy>
  <dcterms:modified xsi:type="dcterms:W3CDTF">2024-08-29T06:06:25Z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181ED92DE4064773A374569304AD3365_13</vt:lpwstr>
  </property>
</Properties>
</file>