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F0EC9">
      <w:pPr>
        <w:adjustRightInd w:val="0"/>
        <w:snapToGrid w:val="0"/>
        <w:spacing w:line="560" w:lineRule="exact"/>
        <w:jc w:val="left"/>
        <w:rPr>
          <w:rFonts w:hint="eastAsia" w:ascii="仿宋" w:hAnsi="仿宋" w:eastAsia="仿宋_GB2312"/>
          <w:sz w:val="30"/>
          <w:szCs w:val="30"/>
          <w:lang w:eastAsia="zh-CN"/>
        </w:rPr>
      </w:pPr>
      <w:r>
        <w:rPr>
          <w:rFonts w:hint="eastAsia" w:ascii="宋体" w:hAnsi="宋体"/>
          <w:b/>
          <w:sz w:val="24"/>
          <w:szCs w:val="24"/>
        </w:rPr>
        <w:t>证券代码：</w:t>
      </w:r>
      <w:r>
        <w:rPr>
          <w:rFonts w:ascii="宋体" w:hAnsi="宋体"/>
          <w:b/>
          <w:sz w:val="24"/>
          <w:szCs w:val="24"/>
        </w:rPr>
        <w:t xml:space="preserve">603191        </w:t>
      </w:r>
      <w:r>
        <w:rPr>
          <w:rFonts w:hint="eastAsia" w:ascii="宋体" w:hAnsi="宋体"/>
          <w:b/>
          <w:sz w:val="24"/>
          <w:szCs w:val="24"/>
        </w:rPr>
        <w:t xml:space="preserve">证券简称：望变电气 </w:t>
      </w:r>
      <w:r>
        <w:rPr>
          <w:rFonts w:ascii="宋体" w:hAnsi="宋体"/>
          <w:b/>
          <w:sz w:val="24"/>
          <w:szCs w:val="24"/>
        </w:rPr>
        <w:t xml:space="preserve">       </w:t>
      </w:r>
      <w:r>
        <w:rPr>
          <w:rFonts w:hint="eastAsia" w:ascii="宋体" w:hAnsi="宋体"/>
          <w:b/>
          <w:sz w:val="24"/>
          <w:szCs w:val="24"/>
        </w:rPr>
        <w:t>公告编号：2</w:t>
      </w:r>
      <w:r>
        <w:rPr>
          <w:rFonts w:ascii="宋体" w:hAnsi="宋体"/>
          <w:b/>
          <w:sz w:val="24"/>
          <w:szCs w:val="24"/>
        </w:rPr>
        <w:t>02</w:t>
      </w:r>
      <w:r>
        <w:rPr>
          <w:rFonts w:hint="eastAsia" w:ascii="宋体" w:hAnsi="宋体"/>
          <w:b/>
          <w:sz w:val="24"/>
          <w:szCs w:val="24"/>
        </w:rPr>
        <w:t>4</w:t>
      </w:r>
      <w:r>
        <w:rPr>
          <w:rFonts w:ascii="宋体" w:hAnsi="宋体"/>
          <w:b/>
          <w:sz w:val="24"/>
          <w:szCs w:val="24"/>
        </w:rPr>
        <w:t>-0</w:t>
      </w:r>
      <w:r>
        <w:rPr>
          <w:rFonts w:hint="eastAsia" w:ascii="宋体" w:hAnsi="宋体"/>
          <w:b/>
          <w:sz w:val="24"/>
          <w:szCs w:val="24"/>
        </w:rPr>
        <w:t>5</w:t>
      </w:r>
      <w:r>
        <w:rPr>
          <w:rFonts w:hint="eastAsia" w:ascii="宋体" w:hAnsi="宋体" w:eastAsia="仿宋_GB2312"/>
          <w:b/>
          <w:sz w:val="24"/>
          <w:szCs w:val="24"/>
          <w:lang w:val="en-US" w:eastAsia="zh-CN"/>
        </w:rPr>
        <w:t>7</w:t>
      </w:r>
    </w:p>
    <w:p w14:paraId="04F72019">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重庆望变电气（集团）股份有限公司</w:t>
      </w:r>
    </w:p>
    <w:p w14:paraId="179701DA">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关于2024年8月</w:t>
      </w:r>
      <w:r>
        <w:rPr>
          <w:rFonts w:ascii="宋体" w:hAnsi="宋体" w:cs="仿宋_GB2312"/>
          <w:b/>
          <w:bCs/>
          <w:color w:val="FF0000"/>
          <w:sz w:val="36"/>
          <w:szCs w:val="36"/>
        </w:rPr>
        <w:t>对外</w:t>
      </w:r>
      <w:r>
        <w:rPr>
          <w:rFonts w:hint="eastAsia" w:ascii="宋体" w:hAnsi="宋体" w:cs="仿宋_GB2312"/>
          <w:b/>
          <w:bCs/>
          <w:color w:val="FF0000"/>
          <w:sz w:val="36"/>
          <w:szCs w:val="36"/>
        </w:rPr>
        <w:t>担保的进展公告</w:t>
      </w:r>
    </w:p>
    <w:p w14:paraId="172EC677">
      <w:pPr>
        <w:adjustRightInd w:val="0"/>
        <w:snapToGrid w:val="0"/>
        <w:spacing w:before="159" w:beforeLines="50" w:line="560" w:lineRule="exact"/>
        <w:jc w:val="center"/>
        <w:rPr>
          <w:rFonts w:hint="eastAsia" w:ascii="仿宋_GB2312" w:hAnsi="仿宋_GB2312" w:eastAsia="仿宋_GB2312" w:cs="仿宋_GB2312"/>
          <w:b/>
          <w:bCs/>
          <w:sz w:val="30"/>
          <w:szCs w:val="30"/>
        </w:rPr>
      </w:pPr>
    </w:p>
    <w:p w14:paraId="78807488">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sz w:val="24"/>
          <w:szCs w:val="24"/>
        </w:rPr>
      </w:pPr>
      <w:r>
        <w:rPr>
          <w:rFonts w:hint="eastAsia" w:ascii="仿宋" w:hAnsi="仿宋" w:eastAsia="仿宋"/>
          <w:sz w:val="24"/>
          <w:szCs w:val="24"/>
        </w:rPr>
        <w:t>本公司董事会及全体董事保证本公告内容不存在任何虚假记载、误导性陈述或者重大遗漏，并对其内容的真实性、准确性和完整性承担法律责任</w:t>
      </w:r>
      <w:r>
        <w:rPr>
          <w:rFonts w:hint="eastAsia" w:ascii="宋体" w:hAnsi="宋体"/>
          <w:sz w:val="24"/>
          <w:szCs w:val="24"/>
        </w:rPr>
        <w:t>。</w:t>
      </w:r>
    </w:p>
    <w:p w14:paraId="7303732C">
      <w:pPr>
        <w:adjustRightInd w:val="0"/>
        <w:snapToGrid w:val="0"/>
        <w:spacing w:line="560" w:lineRule="exact"/>
        <w:rPr>
          <w:rFonts w:hint="eastAsia" w:ascii="宋体" w:hAnsi="宋体" w:cs="宋体"/>
          <w:sz w:val="24"/>
          <w:szCs w:val="24"/>
        </w:rPr>
      </w:pPr>
    </w:p>
    <w:p w14:paraId="6666633B">
      <w:pPr>
        <w:adjustRightInd w:val="0"/>
        <w:snapToGrid w:val="0"/>
        <w:spacing w:line="560" w:lineRule="exact"/>
        <w:rPr>
          <w:rFonts w:hint="eastAsia" w:ascii="宋体" w:hAnsi="宋体" w:cs="宋体"/>
          <w:b/>
          <w:sz w:val="24"/>
          <w:szCs w:val="24"/>
        </w:rPr>
      </w:pPr>
      <w:r>
        <w:rPr>
          <w:rFonts w:hint="eastAsia" w:ascii="宋体" w:hAnsi="宋体" w:cs="宋体"/>
          <w:b/>
          <w:sz w:val="24"/>
          <w:szCs w:val="24"/>
        </w:rPr>
        <w:t>重要内容提示：</w:t>
      </w:r>
    </w:p>
    <w:p w14:paraId="5677E61C">
      <w:pPr>
        <w:pStyle w:val="94"/>
        <w:numPr>
          <w:ilvl w:val="0"/>
          <w:numId w:val="12"/>
        </w:numPr>
        <w:rPr>
          <w:rFonts w:hint="eastAsia" w:ascii="宋体" w:hAnsi="宋体" w:cs="宋体"/>
          <w:sz w:val="24"/>
          <w:szCs w:val="24"/>
        </w:rPr>
      </w:pPr>
      <w:r>
        <w:rPr>
          <w:rFonts w:hint="eastAsia" w:ascii="宋体" w:hAnsi="宋体" w:cs="宋体"/>
          <w:sz w:val="24"/>
          <w:szCs w:val="24"/>
        </w:rPr>
        <w:t>被担保人：控股子公司云南变压器电气股份有限公司（以下简称“云变电气”）</w:t>
      </w:r>
    </w:p>
    <w:p w14:paraId="0828EF88">
      <w:pPr>
        <w:pStyle w:val="94"/>
        <w:numPr>
          <w:ilvl w:val="0"/>
          <w:numId w:val="12"/>
        </w:numPr>
        <w:rPr>
          <w:rFonts w:hint="eastAsia" w:ascii="宋体" w:hAnsi="宋体" w:cs="宋体"/>
          <w:sz w:val="24"/>
          <w:szCs w:val="24"/>
        </w:rPr>
      </w:pPr>
      <w:r>
        <w:rPr>
          <w:rFonts w:hint="eastAsia" w:ascii="宋体" w:hAnsi="宋体" w:cs="宋体"/>
          <w:sz w:val="24"/>
          <w:szCs w:val="24"/>
        </w:rPr>
        <w:t>担保金额及已实际提供的担保余额：2024年8月1日-8月31日期间，重庆望变电气（集团）股份有限公司（以下简称“公司”或“望变电气”）合计新增对外担保金额</w:t>
      </w:r>
      <w:r>
        <w:rPr>
          <w:rFonts w:hint="eastAsia" w:ascii="宋体" w:hAnsi="宋体" w:cs="宋体"/>
          <w:sz w:val="24"/>
          <w:szCs w:val="24"/>
          <w:highlight w:val="none"/>
        </w:rPr>
        <w:t>为18,000</w:t>
      </w:r>
      <w:r>
        <w:rPr>
          <w:rFonts w:hint="eastAsia" w:ascii="宋体" w:hAnsi="宋体" w:cs="宋体"/>
          <w:sz w:val="24"/>
          <w:szCs w:val="24"/>
        </w:rPr>
        <w:t>万元，截止2024年8月末，公司对外担保余额为6,674.70万元，均为对子公司提供的担保；</w:t>
      </w:r>
    </w:p>
    <w:p w14:paraId="6B189D6F">
      <w:pPr>
        <w:pStyle w:val="94"/>
        <w:rPr>
          <w:rFonts w:hint="eastAsia" w:ascii="宋体" w:hAnsi="宋体" w:cs="宋体"/>
          <w:sz w:val="24"/>
          <w:szCs w:val="24"/>
        </w:rPr>
      </w:pPr>
      <w:r>
        <w:rPr>
          <w:rFonts w:hint="eastAsia" w:ascii="宋体" w:hAnsi="宋体" w:cs="宋体"/>
          <w:sz w:val="24"/>
          <w:szCs w:val="24"/>
        </w:rPr>
        <w:t>是否有反担保：无</w:t>
      </w:r>
    </w:p>
    <w:p w14:paraId="2A5C8D68">
      <w:pPr>
        <w:pStyle w:val="94"/>
        <w:rPr>
          <w:rFonts w:hint="eastAsia" w:ascii="宋体" w:hAnsi="宋体" w:cs="宋体"/>
          <w:sz w:val="24"/>
          <w:szCs w:val="24"/>
        </w:rPr>
      </w:pPr>
      <w:r>
        <w:rPr>
          <w:rFonts w:hint="eastAsia" w:ascii="宋体" w:hAnsi="宋体" w:cs="宋体"/>
          <w:sz w:val="24"/>
          <w:szCs w:val="24"/>
        </w:rPr>
        <w:t>公司有无逾期对外担保的情况：无</w:t>
      </w:r>
    </w:p>
    <w:p w14:paraId="3BA99FC8">
      <w:pPr>
        <w:pStyle w:val="94"/>
        <w:rPr>
          <w:rFonts w:hint="eastAsia" w:ascii="宋体" w:hAnsi="宋体" w:cs="宋体"/>
          <w:sz w:val="24"/>
          <w:szCs w:val="24"/>
        </w:rPr>
      </w:pPr>
      <w:r>
        <w:rPr>
          <w:rFonts w:hint="eastAsia" w:ascii="宋体" w:hAnsi="宋体" w:cs="宋体"/>
          <w:spacing w:val="-1"/>
          <w:sz w:val="24"/>
          <w:szCs w:val="24"/>
        </w:rPr>
        <w:t>特别风险提示：截至2024年8月31日，公司对外担保总额为人民币29,000万元，担保余额为</w:t>
      </w:r>
      <w:r>
        <w:rPr>
          <w:rFonts w:hint="eastAsia" w:ascii="宋体" w:hAnsi="宋体" w:cs="宋体"/>
          <w:spacing w:val="-1"/>
          <w:sz w:val="24"/>
          <w:szCs w:val="24"/>
          <w:highlight w:val="none"/>
        </w:rPr>
        <w:t>6,674.70</w:t>
      </w:r>
      <w:r>
        <w:rPr>
          <w:rFonts w:hint="eastAsia" w:ascii="宋体" w:hAnsi="宋体" w:cs="宋体"/>
          <w:spacing w:val="-1"/>
          <w:sz w:val="24"/>
          <w:szCs w:val="24"/>
        </w:rPr>
        <w:t>万元，占公司最近一期经审计净资产</w:t>
      </w:r>
      <w:r>
        <w:rPr>
          <w:rFonts w:hint="eastAsia" w:ascii="宋体" w:hAnsi="宋体" w:cs="宋体"/>
          <w:spacing w:val="-1"/>
          <w:sz w:val="24"/>
          <w:szCs w:val="24"/>
          <w:highlight w:val="none"/>
        </w:rPr>
        <w:t>的</w:t>
      </w:r>
      <w:r>
        <w:rPr>
          <w:rFonts w:hint="eastAsia" w:ascii="宋体" w:hAnsi="宋体" w:cs="宋体"/>
          <w:spacing w:val="-1"/>
          <w:sz w:val="24"/>
          <w:szCs w:val="24"/>
          <w:highlight w:val="none"/>
          <w:lang w:val="en-US" w:eastAsia="zh-CN"/>
        </w:rPr>
        <w:t>2.79</w:t>
      </w:r>
      <w:r>
        <w:rPr>
          <w:rFonts w:hint="eastAsia" w:ascii="宋体" w:hAnsi="宋体" w:cs="宋体"/>
          <w:spacing w:val="-1"/>
          <w:sz w:val="24"/>
          <w:szCs w:val="24"/>
          <w:highlight w:val="none"/>
        </w:rPr>
        <w:t>%</w:t>
      </w:r>
      <w:r>
        <w:rPr>
          <w:rFonts w:hint="eastAsia" w:ascii="宋体" w:hAnsi="宋体" w:cs="宋体"/>
          <w:spacing w:val="-1"/>
          <w:sz w:val="24"/>
          <w:szCs w:val="24"/>
        </w:rPr>
        <w:t>；对</w:t>
      </w:r>
      <w:r>
        <w:rPr>
          <w:rFonts w:hint="eastAsia" w:ascii="宋体" w:hAnsi="宋体" w:cs="宋体"/>
          <w:spacing w:val="-2"/>
          <w:sz w:val="24"/>
          <w:szCs w:val="24"/>
        </w:rPr>
        <w:t>资产负债率超过70%的单位提供担保的金额为人民币11,000万元，担保余额为 5,359.48 万元，占公司最近一期经审计净资产的</w:t>
      </w:r>
      <w:r>
        <w:rPr>
          <w:rFonts w:hint="eastAsia" w:ascii="宋体" w:hAnsi="宋体" w:cs="宋体"/>
          <w:spacing w:val="-2"/>
          <w:sz w:val="24"/>
          <w:szCs w:val="24"/>
          <w:highlight w:val="none"/>
          <w:lang w:val="en-US" w:eastAsia="zh-CN"/>
        </w:rPr>
        <w:t>2.24</w:t>
      </w:r>
      <w:r>
        <w:rPr>
          <w:rFonts w:hint="eastAsia" w:ascii="宋体" w:hAnsi="宋体" w:cs="宋体"/>
          <w:spacing w:val="-2"/>
          <w:sz w:val="24"/>
          <w:szCs w:val="24"/>
          <w:highlight w:val="none"/>
        </w:rPr>
        <w:t>%</w:t>
      </w:r>
      <w:r>
        <w:rPr>
          <w:rFonts w:hint="eastAsia" w:ascii="宋体" w:hAnsi="宋体" w:cs="宋体"/>
          <w:spacing w:val="-2"/>
          <w:sz w:val="24"/>
          <w:szCs w:val="24"/>
        </w:rPr>
        <w:t>；</w:t>
      </w:r>
      <w:r>
        <w:rPr>
          <w:rFonts w:hint="eastAsia" w:ascii="宋体" w:hAnsi="宋体" w:cs="宋体"/>
          <w:spacing w:val="-1"/>
          <w:sz w:val="24"/>
          <w:szCs w:val="24"/>
        </w:rPr>
        <w:t>敬请投资者充分关</w:t>
      </w:r>
      <w:r>
        <w:rPr>
          <w:rFonts w:hint="eastAsia" w:ascii="宋体" w:hAnsi="宋体" w:cs="宋体"/>
          <w:spacing w:val="-5"/>
          <w:sz w:val="24"/>
          <w:szCs w:val="24"/>
        </w:rPr>
        <w:t>注担保风险。</w:t>
      </w:r>
    </w:p>
    <w:p w14:paraId="75637CB1">
      <w:pPr>
        <w:numPr>
          <w:ilvl w:val="0"/>
          <w:numId w:val="13"/>
        </w:num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担保情况概述</w:t>
      </w:r>
    </w:p>
    <w:p w14:paraId="04B3859F">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（一）</w:t>
      </w:r>
      <w:r>
        <w:rPr>
          <w:rFonts w:ascii="宋体" w:hAnsi="宋体" w:cs="宋体"/>
          <w:kern w:val="0"/>
          <w:sz w:val="24"/>
          <w:szCs w:val="24"/>
        </w:rPr>
        <w:t>公司对外担保总额及内部决策程序履行</w:t>
      </w:r>
      <w:r>
        <w:rPr>
          <w:rFonts w:hint="eastAsia" w:ascii="宋体" w:hAnsi="宋体" w:cs="宋体"/>
          <w:kern w:val="0"/>
          <w:sz w:val="24"/>
          <w:szCs w:val="24"/>
        </w:rPr>
        <w:t>情况</w:t>
      </w:r>
    </w:p>
    <w:p w14:paraId="7619C6DA">
      <w:pPr>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公司于2024年1月18日召开第四届董事会第二次会议审议通过《关于2024年度向银行等金融机构申请综合授信额度及为子公司提供融资担保额度的议案》，同意2024年度为子公司重庆惠泽电器有限公司（以下简称“惠泽电器”）向银行等金融机构申请综合授信或借款提供新增额度不超过5,000.00万元人民币（或等值外币）的担保，同意2024年度为资产负债率超过70%的子公司黔南望江变压器有限公司（以下简称“黔南望江”）向银行等金融机构申请综合授信或借款提供新增额度不超过21,000.00万元人民币（或等值外币）的担保。上述担保额度有效期自2024年1月1日至2024年12月31日。该担保事项已提交公司2024年第一次临时股东大会审议通过。具体情况详见公司在上海证券交易所官网披露的《关于预计2024年度对子公司新增担保额度的公告》（公告编号：2024-004）和《2024年第一次临时股东大会决议公告》（公告编号：2024-013）。</w:t>
      </w:r>
    </w:p>
    <w:p w14:paraId="55EE8BD6">
      <w:pPr>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公司于2024年4月24日召开第四届董事会第五次会议、第四届监事会第四次会议通过《关于</w:t>
      </w:r>
      <w:bookmarkStart w:id="0" w:name="_Hlk164110070"/>
      <w:r>
        <w:rPr>
          <w:rFonts w:hint="eastAsia" w:ascii="宋体" w:hAnsi="宋体" w:cs="宋体"/>
          <w:kern w:val="0"/>
          <w:sz w:val="24"/>
          <w:szCs w:val="24"/>
        </w:rPr>
        <w:t>为子公司云南变压器电气股份有限公司</w:t>
      </w:r>
      <w:bookmarkEnd w:id="0"/>
      <w:r>
        <w:rPr>
          <w:rFonts w:hint="eastAsia" w:ascii="宋体" w:hAnsi="宋体" w:cs="宋体"/>
          <w:kern w:val="0"/>
          <w:sz w:val="24"/>
          <w:szCs w:val="24"/>
        </w:rPr>
        <w:t>申请授信提供担保的议案》，同意为控股子公司云变电气向银行等金融机构申请综合授信或借款提供总额度不超过90,000万元人民币（或等值外币）的担保，该额度有效期自股东大会审议通过之日起至2024年12月31日止，该担保事项已提交公司2023年度股东大会审议通过。具体情况详见公司在上海证券交易所官网披露的《关于为子公司申请授信提供担保的公告》（公告编号：2024-036）和《2023年年度股东大会决议公告》(公告编号：2024-040）。</w:t>
      </w:r>
    </w:p>
    <w:p w14:paraId="3B776749">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（二）本月对外担保进展情况</w:t>
      </w:r>
    </w:p>
    <w:p w14:paraId="2A5809AD">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2024年8月，公司及下属子公司新增对外担保2项，新增担保金额不超过人民币18,000万元，具体情况如下：</w:t>
      </w:r>
    </w:p>
    <w:p w14:paraId="0E77EFAB">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公司于2024年8月2日与中国光大银行股份有限公司昆明分行签订《最高额保证合同》，为控股子公司云变电气与中国光大银行股份有限公司昆明分行签订的《综合授信协议》提供不超过人民币6,000万元的连带责任担保。</w:t>
      </w:r>
    </w:p>
    <w:p w14:paraId="2A3220FB">
      <w:pPr>
        <w:autoSpaceDE w:val="0"/>
        <w:autoSpaceDN w:val="0"/>
        <w:adjustRightInd w:val="0"/>
        <w:spacing w:line="560" w:lineRule="exact"/>
        <w:ind w:firstLine="480"/>
        <w:rPr>
          <w:rFonts w:ascii="宋体" w:hAnsi="宋体" w:cs="宋体"/>
          <w:kern w:val="0"/>
          <w:sz w:val="24"/>
          <w:szCs w:val="24"/>
        </w:rPr>
      </w:pPr>
      <w:r>
        <w:rPr>
          <w:rFonts w:hint="eastAsia" w:ascii="宋体" w:hAnsi="宋体" w:cs="宋体"/>
          <w:kern w:val="0"/>
          <w:sz w:val="24"/>
          <w:szCs w:val="24"/>
        </w:rPr>
        <w:t>公司于2024年8月29日与华夏银行股份有限公司昆明圆通分行签订《最高额保证合同》，为控股子公司云变电气与华夏银行股份有限公司昆明圆通分行签订的《最高额融资合同》提供不超过人民币12,000万元的连带责任担保。</w:t>
      </w:r>
    </w:p>
    <w:p w14:paraId="6027F6F4">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上述担保均无反担保，云变电气其他股东对上述担保未提供对应比例的担保。</w:t>
      </w:r>
    </w:p>
    <w:p w14:paraId="7839CA33">
      <w:p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上述担保事项属于公司2024年第一次临时股东大会、2023年年度股东大会授权范围并在有效期内，无需再次提交公司董事会、股东大会审议。</w:t>
      </w:r>
    </w:p>
    <w:p w14:paraId="1D139E9F">
      <w:pPr>
        <w:autoSpaceDE w:val="0"/>
        <w:autoSpaceDN w:val="0"/>
        <w:adjustRightInd w:val="0"/>
        <w:spacing w:line="560" w:lineRule="exact"/>
        <w:ind w:firstLine="480"/>
        <w:rPr>
          <w:rFonts w:ascii="宋体" w:hAnsi="宋体" w:cs="宋体"/>
          <w:kern w:val="0"/>
          <w:sz w:val="24"/>
          <w:szCs w:val="24"/>
        </w:rPr>
      </w:pPr>
      <w:r>
        <w:rPr>
          <w:rFonts w:hint="eastAsia" w:ascii="宋体" w:hAnsi="宋体" w:cs="宋体"/>
          <w:kern w:val="0"/>
          <w:sz w:val="24"/>
          <w:szCs w:val="24"/>
        </w:rPr>
        <w:t>（三）担保预计的实际发生情况</w:t>
      </w:r>
    </w:p>
    <w:p w14:paraId="5C0F0561">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截止2024年8月末，公司对外担保的实际发生情况如下：</w:t>
      </w:r>
    </w:p>
    <w:tbl>
      <w:tblPr>
        <w:tblStyle w:val="104"/>
        <w:tblW w:w="5153"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6"/>
        <w:gridCol w:w="1040"/>
        <w:gridCol w:w="879"/>
        <w:gridCol w:w="1057"/>
        <w:gridCol w:w="1139"/>
        <w:gridCol w:w="1070"/>
        <w:gridCol w:w="1143"/>
        <w:gridCol w:w="658"/>
        <w:gridCol w:w="619"/>
      </w:tblGrid>
      <w:tr w14:paraId="19A54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955" w:type="dxa"/>
            <w:vAlign w:val="center"/>
          </w:tcPr>
          <w:p w14:paraId="474E4802">
            <w:pPr>
              <w:pStyle w:val="105"/>
              <w:jc w:val="center"/>
              <w:rPr>
                <w:rFonts w:hint="eastAsia" w:ascii="宋体" w:hAnsi="宋体" w:eastAsia="宋体"/>
                <w:b/>
                <w:bCs/>
                <w:sz w:val="21"/>
                <w:szCs w:val="21"/>
                <w:lang w:eastAsia="zh-CN"/>
              </w:rPr>
            </w:pPr>
            <w:r>
              <w:rPr>
                <w:rFonts w:hint="eastAsia" w:ascii="宋体" w:hAnsi="宋体" w:eastAsia="宋体"/>
                <w:b/>
                <w:bCs/>
                <w:sz w:val="21"/>
                <w:szCs w:val="21"/>
              </w:rPr>
              <w:t>担保</w:t>
            </w:r>
            <w:r>
              <w:rPr>
                <w:rFonts w:hint="eastAsia" w:ascii="宋体" w:hAnsi="宋体" w:eastAsia="宋体"/>
                <w:b/>
                <w:bCs/>
                <w:sz w:val="21"/>
                <w:szCs w:val="21"/>
                <w:lang w:eastAsia="zh-CN"/>
              </w:rPr>
              <w:t>方</w:t>
            </w:r>
          </w:p>
        </w:tc>
        <w:tc>
          <w:tcPr>
            <w:tcW w:w="1039" w:type="dxa"/>
            <w:vAlign w:val="center"/>
          </w:tcPr>
          <w:p w14:paraId="212D528A">
            <w:pPr>
              <w:pStyle w:val="105"/>
              <w:jc w:val="center"/>
              <w:rPr>
                <w:rFonts w:hint="eastAsia" w:ascii="宋体" w:hAnsi="宋体" w:eastAsia="宋体"/>
                <w:b/>
                <w:bCs/>
                <w:sz w:val="21"/>
                <w:szCs w:val="21"/>
                <w:lang w:eastAsia="zh-CN"/>
              </w:rPr>
            </w:pPr>
            <w:r>
              <w:rPr>
                <w:rFonts w:hint="eastAsia" w:ascii="宋体" w:hAnsi="宋体" w:eastAsia="宋体"/>
                <w:b/>
                <w:bCs/>
                <w:sz w:val="21"/>
                <w:szCs w:val="21"/>
              </w:rPr>
              <w:t>被担保</w:t>
            </w:r>
            <w:r>
              <w:rPr>
                <w:rFonts w:hint="eastAsia" w:ascii="宋体" w:hAnsi="宋体" w:eastAsia="宋体"/>
                <w:b/>
                <w:bCs/>
                <w:sz w:val="21"/>
                <w:szCs w:val="21"/>
                <w:lang w:eastAsia="zh-CN"/>
              </w:rPr>
              <w:t>方</w:t>
            </w:r>
          </w:p>
        </w:tc>
        <w:tc>
          <w:tcPr>
            <w:tcW w:w="878" w:type="dxa"/>
            <w:vAlign w:val="center"/>
          </w:tcPr>
          <w:p w14:paraId="4F119B6E">
            <w:pPr>
              <w:pStyle w:val="105"/>
              <w:jc w:val="center"/>
              <w:rPr>
                <w:rFonts w:hint="eastAsia" w:ascii="宋体" w:hAnsi="宋体" w:eastAsia="宋体"/>
                <w:b/>
                <w:bCs/>
                <w:sz w:val="21"/>
                <w:szCs w:val="21"/>
              </w:rPr>
            </w:pPr>
            <w:r>
              <w:rPr>
                <w:rFonts w:hint="eastAsia" w:ascii="宋体" w:hAnsi="宋体" w:eastAsia="宋体"/>
                <w:b/>
                <w:bCs/>
                <w:sz w:val="21"/>
                <w:szCs w:val="21"/>
              </w:rPr>
              <w:t>担保方持股比例</w:t>
            </w:r>
          </w:p>
        </w:tc>
        <w:tc>
          <w:tcPr>
            <w:tcW w:w="1056" w:type="dxa"/>
            <w:vAlign w:val="center"/>
          </w:tcPr>
          <w:p w14:paraId="7C1BA7B4">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截止2024.06.30被担保方资产负债率</w:t>
            </w:r>
          </w:p>
        </w:tc>
        <w:tc>
          <w:tcPr>
            <w:tcW w:w="1138" w:type="dxa"/>
            <w:vAlign w:val="center"/>
          </w:tcPr>
          <w:p w14:paraId="0CD51380">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预计担保额度</w:t>
            </w:r>
          </w:p>
          <w:p w14:paraId="31ADF70D">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（万元）</w:t>
            </w:r>
          </w:p>
        </w:tc>
        <w:tc>
          <w:tcPr>
            <w:tcW w:w="1069" w:type="dxa"/>
            <w:vAlign w:val="center"/>
          </w:tcPr>
          <w:p w14:paraId="62C43B7E">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累计担保总额</w:t>
            </w:r>
          </w:p>
          <w:p w14:paraId="1D2B35EE">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w:t>
            </w:r>
            <w:r>
              <w:rPr>
                <w:rFonts w:hint="eastAsia" w:ascii="宋体" w:hAnsi="宋体" w:eastAsia="宋体"/>
                <w:b/>
                <w:bCs/>
                <w:spacing w:val="-7"/>
                <w:sz w:val="21"/>
                <w:szCs w:val="21"/>
                <w:lang w:eastAsia="zh-CN"/>
              </w:rPr>
              <w:t>元）</w:t>
            </w:r>
          </w:p>
        </w:tc>
        <w:tc>
          <w:tcPr>
            <w:tcW w:w="1142" w:type="dxa"/>
            <w:vAlign w:val="center"/>
          </w:tcPr>
          <w:p w14:paraId="2AA7084F">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截至目前担保余额</w:t>
            </w:r>
          </w:p>
          <w:p w14:paraId="5FAA70E0">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（万元）</w:t>
            </w:r>
          </w:p>
        </w:tc>
        <w:tc>
          <w:tcPr>
            <w:tcW w:w="658" w:type="dxa"/>
            <w:vAlign w:val="center"/>
          </w:tcPr>
          <w:p w14:paraId="7A0891B7">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是否关联担保</w:t>
            </w:r>
          </w:p>
        </w:tc>
        <w:tc>
          <w:tcPr>
            <w:tcW w:w="619" w:type="dxa"/>
            <w:vAlign w:val="center"/>
          </w:tcPr>
          <w:p w14:paraId="11B64C99">
            <w:pPr>
              <w:pStyle w:val="105"/>
              <w:jc w:val="center"/>
              <w:rPr>
                <w:rFonts w:hint="eastAsia" w:ascii="宋体" w:hAnsi="宋体" w:eastAsia="宋体"/>
                <w:b/>
                <w:bCs/>
                <w:sz w:val="21"/>
                <w:szCs w:val="21"/>
              </w:rPr>
            </w:pPr>
            <w:r>
              <w:rPr>
                <w:rFonts w:hint="eastAsia" w:ascii="宋体" w:hAnsi="宋体" w:eastAsia="宋体"/>
                <w:b/>
                <w:bCs/>
                <w:sz w:val="21"/>
                <w:szCs w:val="21"/>
              </w:rPr>
              <w:t>是否有反担保</w:t>
            </w:r>
          </w:p>
        </w:tc>
      </w:tr>
      <w:tr w14:paraId="27884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55" w:type="dxa"/>
            <w:vAlign w:val="center"/>
          </w:tcPr>
          <w:p w14:paraId="73EA9132">
            <w:pPr>
              <w:pStyle w:val="105"/>
              <w:jc w:val="center"/>
              <w:rPr>
                <w:rFonts w:hint="eastAsia" w:ascii="宋体" w:hAnsi="宋体" w:eastAsia="宋体"/>
                <w:sz w:val="21"/>
                <w:szCs w:val="21"/>
              </w:rPr>
            </w:pPr>
            <w:r>
              <w:rPr>
                <w:rFonts w:hint="eastAsia" w:ascii="宋体" w:hAnsi="宋体" w:eastAsia="宋体"/>
                <w:sz w:val="21"/>
                <w:szCs w:val="21"/>
              </w:rPr>
              <w:t>望变电气</w:t>
            </w:r>
          </w:p>
        </w:tc>
        <w:tc>
          <w:tcPr>
            <w:tcW w:w="1039" w:type="dxa"/>
            <w:vAlign w:val="center"/>
          </w:tcPr>
          <w:p w14:paraId="08D11B1C">
            <w:pPr>
              <w:pStyle w:val="105"/>
              <w:jc w:val="center"/>
              <w:rPr>
                <w:rFonts w:hint="eastAsia" w:ascii="宋体" w:hAnsi="宋体" w:eastAsia="宋体"/>
                <w:sz w:val="21"/>
                <w:szCs w:val="21"/>
              </w:rPr>
            </w:pPr>
            <w:r>
              <w:rPr>
                <w:rFonts w:hint="eastAsia" w:ascii="宋体" w:hAnsi="宋体" w:eastAsia="宋体"/>
                <w:sz w:val="21"/>
                <w:szCs w:val="21"/>
              </w:rPr>
              <w:t>黔南望江</w:t>
            </w:r>
          </w:p>
        </w:tc>
        <w:tc>
          <w:tcPr>
            <w:tcW w:w="878" w:type="dxa"/>
            <w:vAlign w:val="center"/>
          </w:tcPr>
          <w:p w14:paraId="0BF1D8C6">
            <w:pPr>
              <w:pStyle w:val="105"/>
              <w:jc w:val="right"/>
              <w:rPr>
                <w:rFonts w:hint="eastAsia" w:ascii="宋体" w:hAnsi="宋体" w:eastAsia="宋体"/>
                <w:sz w:val="21"/>
                <w:szCs w:val="21"/>
              </w:rPr>
            </w:pPr>
            <w:r>
              <w:rPr>
                <w:rFonts w:hint="eastAsia" w:ascii="宋体" w:hAnsi="宋体" w:eastAsia="宋体"/>
                <w:sz w:val="21"/>
                <w:szCs w:val="21"/>
              </w:rPr>
              <w:t>100%</w:t>
            </w:r>
          </w:p>
        </w:tc>
        <w:tc>
          <w:tcPr>
            <w:tcW w:w="1056" w:type="dxa"/>
            <w:vAlign w:val="center"/>
          </w:tcPr>
          <w:p w14:paraId="5AC5E261">
            <w:pPr>
              <w:keepNext w:val="0"/>
              <w:keepLines w:val="0"/>
              <w:widowControl/>
              <w:suppressLineNumbers w:val="0"/>
              <w:jc w:val="right"/>
              <w:textAlignment w:val="center"/>
              <w:rPr>
                <w:rFonts w:hint="eastAsia" w:ascii="宋体" w:hAnsi="宋体" w:eastAsia="宋体"/>
                <w:sz w:val="21"/>
                <w:szCs w:val="21"/>
              </w:rPr>
            </w:pPr>
            <w:r>
              <w:rPr>
                <w:rFonts w:hint="eastAsia" w:ascii="宋体" w:hAnsi="宋体" w:eastAsia="宋体" w:cs="宋体"/>
                <w:i w:val="0"/>
                <w:iCs w:val="0"/>
                <w:color w:val="000000"/>
                <w:kern w:val="0"/>
                <w:sz w:val="21"/>
                <w:szCs w:val="21"/>
                <w:u w:val="none"/>
                <w:lang w:val="en-US" w:eastAsia="zh-CN" w:bidi="ar"/>
              </w:rPr>
              <w:t>77.59%</w:t>
            </w:r>
          </w:p>
        </w:tc>
        <w:tc>
          <w:tcPr>
            <w:tcW w:w="1138" w:type="dxa"/>
            <w:vAlign w:val="center"/>
          </w:tcPr>
          <w:p w14:paraId="57D6FDDC">
            <w:pPr>
              <w:pStyle w:val="105"/>
              <w:jc w:val="right"/>
              <w:rPr>
                <w:rFonts w:hint="eastAsia" w:ascii="宋体" w:hAnsi="宋体" w:eastAsia="宋体"/>
                <w:sz w:val="21"/>
                <w:szCs w:val="21"/>
                <w:lang w:eastAsia="zh-CN"/>
              </w:rPr>
            </w:pPr>
            <w:r>
              <w:rPr>
                <w:rFonts w:ascii="宋体" w:hAnsi="宋体" w:eastAsia="宋体"/>
                <w:sz w:val="21"/>
                <w:szCs w:val="21"/>
                <w:lang w:eastAsia="zh-CN"/>
              </w:rPr>
              <w:t>21,000</w:t>
            </w:r>
            <w:r>
              <w:rPr>
                <w:rFonts w:hint="eastAsia" w:ascii="宋体" w:hAnsi="宋体" w:eastAsia="宋体"/>
                <w:sz w:val="21"/>
                <w:szCs w:val="21"/>
                <w:lang w:eastAsia="zh-CN"/>
              </w:rPr>
              <w:t>.00</w:t>
            </w:r>
          </w:p>
        </w:tc>
        <w:tc>
          <w:tcPr>
            <w:tcW w:w="1069" w:type="dxa"/>
            <w:vAlign w:val="center"/>
          </w:tcPr>
          <w:p w14:paraId="5909C308">
            <w:pPr>
              <w:pStyle w:val="105"/>
              <w:jc w:val="right"/>
              <w:rPr>
                <w:rFonts w:hint="eastAsia" w:ascii="宋体" w:hAnsi="宋体" w:eastAsia="宋体"/>
                <w:sz w:val="21"/>
                <w:szCs w:val="21"/>
              </w:rPr>
            </w:pPr>
            <w:r>
              <w:rPr>
                <w:rFonts w:hint="eastAsia" w:ascii="宋体" w:hAnsi="宋体" w:eastAsia="宋体"/>
                <w:sz w:val="21"/>
                <w:szCs w:val="21"/>
                <w:lang w:eastAsia="zh-CN"/>
              </w:rPr>
              <w:t>1,1</w:t>
            </w:r>
            <w:r>
              <w:rPr>
                <w:rFonts w:hint="eastAsia" w:ascii="宋体" w:hAnsi="宋体" w:eastAsia="宋体"/>
                <w:sz w:val="21"/>
                <w:szCs w:val="21"/>
              </w:rPr>
              <w:t>000.00</w:t>
            </w:r>
          </w:p>
        </w:tc>
        <w:tc>
          <w:tcPr>
            <w:tcW w:w="1142" w:type="dxa"/>
            <w:vAlign w:val="center"/>
          </w:tcPr>
          <w:p w14:paraId="64CB0B4F">
            <w:pPr>
              <w:keepNext w:val="0"/>
              <w:keepLines w:val="0"/>
              <w:widowControl/>
              <w:suppressLineNumbers w:val="0"/>
              <w:jc w:val="right"/>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5,359.48</w:t>
            </w:r>
          </w:p>
        </w:tc>
        <w:tc>
          <w:tcPr>
            <w:tcW w:w="658" w:type="dxa"/>
            <w:vAlign w:val="center"/>
          </w:tcPr>
          <w:p w14:paraId="49A29765">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29511B12">
            <w:pPr>
              <w:pStyle w:val="105"/>
              <w:jc w:val="center"/>
              <w:rPr>
                <w:rFonts w:hint="eastAsia" w:ascii="宋体" w:hAnsi="宋体" w:eastAsia="宋体"/>
                <w:sz w:val="21"/>
                <w:szCs w:val="21"/>
              </w:rPr>
            </w:pPr>
            <w:r>
              <w:rPr>
                <w:rFonts w:hint="eastAsia" w:ascii="宋体" w:hAnsi="宋体" w:eastAsia="宋体"/>
                <w:sz w:val="21"/>
                <w:szCs w:val="21"/>
              </w:rPr>
              <w:t>否</w:t>
            </w:r>
          </w:p>
        </w:tc>
      </w:tr>
      <w:tr w14:paraId="2BF6B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55" w:type="dxa"/>
            <w:vAlign w:val="center"/>
          </w:tcPr>
          <w:p w14:paraId="2015A8AA">
            <w:pPr>
              <w:pStyle w:val="105"/>
              <w:jc w:val="center"/>
              <w:rPr>
                <w:rFonts w:hint="eastAsia" w:ascii="宋体" w:hAnsi="宋体" w:eastAsia="宋体"/>
                <w:sz w:val="21"/>
                <w:szCs w:val="21"/>
              </w:rPr>
            </w:pPr>
            <w:r>
              <w:rPr>
                <w:rFonts w:hint="eastAsia" w:ascii="宋体" w:hAnsi="宋体" w:eastAsia="宋体"/>
                <w:sz w:val="21"/>
                <w:szCs w:val="21"/>
              </w:rPr>
              <w:t>望变电气</w:t>
            </w:r>
          </w:p>
        </w:tc>
        <w:tc>
          <w:tcPr>
            <w:tcW w:w="1039" w:type="dxa"/>
            <w:vAlign w:val="center"/>
          </w:tcPr>
          <w:p w14:paraId="79F44617">
            <w:pPr>
              <w:widowControl/>
              <w:kinsoku w:val="0"/>
              <w:autoSpaceDE w:val="0"/>
              <w:autoSpaceDN w:val="0"/>
              <w:adjustRightInd w:val="0"/>
              <w:snapToGrid w:val="0"/>
              <w:spacing w:line="560" w:lineRule="exact"/>
              <w:jc w:val="center"/>
              <w:textAlignment w:val="baseline"/>
              <w:rPr>
                <w:rFonts w:hint="eastAsia" w:ascii="宋体" w:hAnsi="宋体" w:cs="宋体"/>
                <w:szCs w:val="21"/>
              </w:rPr>
            </w:pPr>
            <w:r>
              <w:rPr>
                <w:rFonts w:hint="eastAsia" w:ascii="宋体" w:hAnsi="宋体" w:cs="宋体"/>
                <w:spacing w:val="-1"/>
                <w:szCs w:val="21"/>
              </w:rPr>
              <w:t>云变电气</w:t>
            </w:r>
          </w:p>
        </w:tc>
        <w:tc>
          <w:tcPr>
            <w:tcW w:w="878" w:type="dxa"/>
            <w:vAlign w:val="center"/>
          </w:tcPr>
          <w:p w14:paraId="2D42EAF5">
            <w:pPr>
              <w:pStyle w:val="105"/>
              <w:jc w:val="right"/>
              <w:rPr>
                <w:rFonts w:hint="eastAsia" w:ascii="宋体" w:hAnsi="宋体" w:eastAsia="宋体"/>
                <w:sz w:val="21"/>
                <w:szCs w:val="21"/>
              </w:rPr>
            </w:pPr>
            <w:r>
              <w:rPr>
                <w:rFonts w:ascii="宋体" w:hAnsi="宋体" w:eastAsia="宋体"/>
                <w:sz w:val="21"/>
                <w:szCs w:val="21"/>
              </w:rPr>
              <w:t>79.97%</w:t>
            </w:r>
          </w:p>
        </w:tc>
        <w:tc>
          <w:tcPr>
            <w:tcW w:w="1056" w:type="dxa"/>
            <w:vAlign w:val="center"/>
          </w:tcPr>
          <w:p w14:paraId="56B864C5">
            <w:pPr>
              <w:keepNext w:val="0"/>
              <w:keepLines w:val="0"/>
              <w:widowControl/>
              <w:suppressLineNumbers w:val="0"/>
              <w:jc w:val="right"/>
              <w:textAlignment w:val="center"/>
              <w:rPr>
                <w:rFonts w:hint="eastAsia" w:ascii="宋体" w:hAnsi="宋体" w:eastAsia="宋体"/>
                <w:sz w:val="21"/>
                <w:szCs w:val="21"/>
              </w:rPr>
            </w:pPr>
            <w:r>
              <w:rPr>
                <w:rFonts w:hint="eastAsia" w:ascii="宋体" w:hAnsi="宋体" w:eastAsia="宋体" w:cs="宋体"/>
                <w:i w:val="0"/>
                <w:iCs w:val="0"/>
                <w:color w:val="000000"/>
                <w:kern w:val="0"/>
                <w:sz w:val="21"/>
                <w:szCs w:val="21"/>
                <w:u w:val="none"/>
                <w:lang w:val="en-US" w:eastAsia="zh-CN" w:bidi="ar"/>
              </w:rPr>
              <w:t>58.02%</w:t>
            </w:r>
          </w:p>
        </w:tc>
        <w:tc>
          <w:tcPr>
            <w:tcW w:w="1138" w:type="dxa"/>
            <w:vAlign w:val="center"/>
          </w:tcPr>
          <w:p w14:paraId="488B94BA">
            <w:pPr>
              <w:pStyle w:val="105"/>
              <w:jc w:val="right"/>
              <w:rPr>
                <w:rFonts w:hint="eastAsia" w:ascii="宋体" w:hAnsi="宋体" w:eastAsia="宋体"/>
                <w:sz w:val="21"/>
                <w:szCs w:val="21"/>
                <w:lang w:eastAsia="zh-CN"/>
              </w:rPr>
            </w:pPr>
            <w:r>
              <w:rPr>
                <w:rFonts w:ascii="宋体" w:hAnsi="宋体" w:eastAsia="宋体"/>
                <w:sz w:val="21"/>
                <w:szCs w:val="21"/>
                <w:lang w:eastAsia="zh-CN"/>
              </w:rPr>
              <w:t>90,000</w:t>
            </w:r>
            <w:r>
              <w:rPr>
                <w:rFonts w:hint="eastAsia" w:ascii="宋体" w:hAnsi="宋体" w:eastAsia="宋体"/>
                <w:sz w:val="21"/>
                <w:szCs w:val="21"/>
                <w:lang w:eastAsia="zh-CN"/>
              </w:rPr>
              <w:t>.00</w:t>
            </w:r>
          </w:p>
        </w:tc>
        <w:tc>
          <w:tcPr>
            <w:tcW w:w="1069" w:type="dxa"/>
            <w:vAlign w:val="center"/>
          </w:tcPr>
          <w:p w14:paraId="2B31D35F">
            <w:pPr>
              <w:pStyle w:val="105"/>
              <w:jc w:val="right"/>
              <w:rPr>
                <w:rFonts w:hint="eastAsia" w:ascii="宋体" w:hAnsi="宋体" w:eastAsia="宋体"/>
                <w:sz w:val="21"/>
                <w:szCs w:val="21"/>
              </w:rPr>
            </w:pPr>
            <w:r>
              <w:rPr>
                <w:rFonts w:hint="eastAsia" w:ascii="宋体" w:hAnsi="宋体" w:eastAsia="宋体"/>
                <w:sz w:val="21"/>
                <w:szCs w:val="21"/>
                <w:lang w:eastAsia="zh-CN"/>
              </w:rPr>
              <w:t>18,0</w:t>
            </w:r>
            <w:r>
              <w:rPr>
                <w:rFonts w:hint="eastAsia" w:ascii="宋体" w:hAnsi="宋体" w:eastAsia="宋体"/>
                <w:sz w:val="21"/>
                <w:szCs w:val="21"/>
              </w:rPr>
              <w:t>00.00</w:t>
            </w:r>
          </w:p>
        </w:tc>
        <w:tc>
          <w:tcPr>
            <w:tcW w:w="1142" w:type="dxa"/>
            <w:vAlign w:val="center"/>
          </w:tcPr>
          <w:p w14:paraId="3DAE4CC8">
            <w:pPr>
              <w:keepNext w:val="0"/>
              <w:keepLines w:val="0"/>
              <w:widowControl/>
              <w:suppressLineNumbers w:val="0"/>
              <w:jc w:val="right"/>
              <w:textAlignment w:val="center"/>
              <w:rPr>
                <w:rFonts w:hint="eastAsia" w:ascii="宋体" w:hAnsi="宋体" w:eastAsia="宋体"/>
                <w:sz w:val="21"/>
                <w:szCs w:val="21"/>
              </w:rPr>
            </w:pPr>
            <w:r>
              <w:rPr>
                <w:rFonts w:hint="eastAsia" w:ascii="宋体" w:hAnsi="宋体" w:eastAsia="宋体" w:cs="宋体"/>
                <w:i w:val="0"/>
                <w:iCs w:val="0"/>
                <w:color w:val="000000"/>
                <w:kern w:val="0"/>
                <w:sz w:val="21"/>
                <w:szCs w:val="21"/>
                <w:u w:val="none"/>
                <w:lang w:val="en-US" w:eastAsia="zh-CN" w:bidi="ar"/>
              </w:rPr>
              <w:t>1,315.22</w:t>
            </w:r>
          </w:p>
        </w:tc>
        <w:tc>
          <w:tcPr>
            <w:tcW w:w="658" w:type="dxa"/>
            <w:vAlign w:val="center"/>
          </w:tcPr>
          <w:p w14:paraId="15B357A3">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2B7E6BB4">
            <w:pPr>
              <w:pStyle w:val="105"/>
              <w:jc w:val="center"/>
              <w:rPr>
                <w:rFonts w:hint="eastAsia" w:ascii="宋体" w:hAnsi="宋体" w:eastAsia="宋体"/>
                <w:sz w:val="21"/>
                <w:szCs w:val="21"/>
              </w:rPr>
            </w:pPr>
            <w:r>
              <w:rPr>
                <w:rFonts w:hint="eastAsia" w:ascii="宋体" w:hAnsi="宋体" w:eastAsia="宋体"/>
                <w:sz w:val="21"/>
                <w:szCs w:val="21"/>
              </w:rPr>
              <w:t>否</w:t>
            </w:r>
          </w:p>
        </w:tc>
      </w:tr>
      <w:tr w14:paraId="2A81E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55" w:type="dxa"/>
            <w:vAlign w:val="center"/>
          </w:tcPr>
          <w:p w14:paraId="5B25CDE7">
            <w:pPr>
              <w:pStyle w:val="105"/>
              <w:jc w:val="center"/>
              <w:rPr>
                <w:rFonts w:hint="eastAsia" w:ascii="宋体" w:hAnsi="宋体" w:eastAsia="宋体"/>
                <w:sz w:val="21"/>
                <w:szCs w:val="21"/>
              </w:rPr>
            </w:pPr>
            <w:r>
              <w:rPr>
                <w:rFonts w:hint="eastAsia" w:ascii="宋体" w:hAnsi="宋体" w:eastAsia="宋体"/>
                <w:sz w:val="21"/>
                <w:szCs w:val="21"/>
                <w:lang w:eastAsia="zh-CN"/>
              </w:rPr>
              <w:t>望变电气</w:t>
            </w:r>
          </w:p>
        </w:tc>
        <w:tc>
          <w:tcPr>
            <w:tcW w:w="1039" w:type="dxa"/>
            <w:vAlign w:val="center"/>
          </w:tcPr>
          <w:p w14:paraId="54590583">
            <w:pPr>
              <w:widowControl/>
              <w:kinsoku w:val="0"/>
              <w:autoSpaceDE w:val="0"/>
              <w:autoSpaceDN w:val="0"/>
              <w:adjustRightInd w:val="0"/>
              <w:snapToGrid w:val="0"/>
              <w:spacing w:line="560" w:lineRule="exact"/>
              <w:jc w:val="center"/>
              <w:textAlignment w:val="baseline"/>
              <w:rPr>
                <w:rFonts w:hint="eastAsia" w:ascii="宋体" w:hAnsi="宋体" w:cs="宋体"/>
                <w:spacing w:val="-1"/>
                <w:szCs w:val="21"/>
              </w:rPr>
            </w:pPr>
            <w:r>
              <w:rPr>
                <w:rFonts w:hint="eastAsia" w:ascii="宋体" w:hAnsi="宋体"/>
                <w:szCs w:val="21"/>
              </w:rPr>
              <w:t>惠泽电器</w:t>
            </w:r>
          </w:p>
        </w:tc>
        <w:tc>
          <w:tcPr>
            <w:tcW w:w="878" w:type="dxa"/>
            <w:vAlign w:val="center"/>
          </w:tcPr>
          <w:p w14:paraId="76355052">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100%</w:t>
            </w:r>
          </w:p>
        </w:tc>
        <w:tc>
          <w:tcPr>
            <w:tcW w:w="1056" w:type="dxa"/>
            <w:vAlign w:val="center"/>
          </w:tcPr>
          <w:p w14:paraId="765762E8">
            <w:pPr>
              <w:keepNext w:val="0"/>
              <w:keepLines w:val="0"/>
              <w:widowControl/>
              <w:suppressLineNumbers w:val="0"/>
              <w:jc w:val="right"/>
              <w:textAlignment w:val="center"/>
              <w:rPr>
                <w:rFonts w:hint="eastAsia" w:ascii="宋体" w:hAnsi="宋体" w:eastAsia="宋体"/>
                <w:sz w:val="21"/>
                <w:szCs w:val="21"/>
                <w:lang w:eastAsia="zh-CN"/>
              </w:rPr>
            </w:pPr>
            <w:r>
              <w:rPr>
                <w:rFonts w:hint="eastAsia" w:ascii="宋体" w:hAnsi="宋体" w:eastAsia="宋体" w:cs="宋体"/>
                <w:i w:val="0"/>
                <w:iCs w:val="0"/>
                <w:color w:val="000000"/>
                <w:kern w:val="0"/>
                <w:sz w:val="21"/>
                <w:szCs w:val="21"/>
                <w:u w:val="none"/>
                <w:lang w:val="en-US" w:eastAsia="zh-CN" w:bidi="ar"/>
              </w:rPr>
              <w:t>92.60%</w:t>
            </w:r>
          </w:p>
        </w:tc>
        <w:tc>
          <w:tcPr>
            <w:tcW w:w="1138" w:type="dxa"/>
            <w:vAlign w:val="center"/>
          </w:tcPr>
          <w:p w14:paraId="117A47B5">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5,000.00</w:t>
            </w:r>
          </w:p>
        </w:tc>
        <w:tc>
          <w:tcPr>
            <w:tcW w:w="1069" w:type="dxa"/>
            <w:vAlign w:val="center"/>
          </w:tcPr>
          <w:p w14:paraId="1B1DB41C">
            <w:pPr>
              <w:pStyle w:val="105"/>
              <w:jc w:val="right"/>
              <w:rPr>
                <w:rFonts w:hint="eastAsia" w:ascii="宋体" w:hAnsi="宋体" w:eastAsia="宋体"/>
                <w:sz w:val="21"/>
                <w:szCs w:val="21"/>
                <w:highlight w:val="none"/>
                <w:lang w:eastAsia="zh-CN"/>
              </w:rPr>
            </w:pPr>
            <w:r>
              <w:rPr>
                <w:rFonts w:hint="eastAsia" w:ascii="宋体" w:hAnsi="宋体" w:eastAsia="宋体"/>
                <w:sz w:val="21"/>
                <w:szCs w:val="21"/>
                <w:highlight w:val="none"/>
                <w:lang w:val="en-US" w:eastAsia="zh-CN"/>
              </w:rPr>
              <w:t>0</w:t>
            </w:r>
          </w:p>
        </w:tc>
        <w:tc>
          <w:tcPr>
            <w:tcW w:w="1142" w:type="dxa"/>
            <w:vAlign w:val="center"/>
          </w:tcPr>
          <w:p w14:paraId="5D936957">
            <w:pPr>
              <w:keepNext w:val="0"/>
              <w:keepLines w:val="0"/>
              <w:widowControl/>
              <w:suppressLineNumbers w:val="0"/>
              <w:jc w:val="right"/>
              <w:textAlignment w:val="center"/>
              <w:rPr>
                <w:rFonts w:hint="eastAsia" w:ascii="宋体" w:hAnsi="宋体" w:eastAsia="宋体"/>
                <w:sz w:val="21"/>
                <w:szCs w:val="21"/>
                <w:highlight w:val="none"/>
                <w:lang w:eastAsia="zh-CN"/>
              </w:rPr>
            </w:pPr>
            <w:r>
              <w:rPr>
                <w:rFonts w:hint="eastAsia" w:ascii="宋体" w:hAnsi="宋体" w:cs="宋体"/>
                <w:i w:val="0"/>
                <w:iCs w:val="0"/>
                <w:color w:val="000000"/>
                <w:kern w:val="0"/>
                <w:sz w:val="21"/>
                <w:szCs w:val="21"/>
                <w:u w:val="none"/>
                <w:lang w:val="en-US" w:eastAsia="zh-CN" w:bidi="ar"/>
              </w:rPr>
              <w:t>0</w:t>
            </w:r>
          </w:p>
        </w:tc>
        <w:tc>
          <w:tcPr>
            <w:tcW w:w="658" w:type="dxa"/>
            <w:vAlign w:val="center"/>
          </w:tcPr>
          <w:p w14:paraId="7B3D2045">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730BE5F5">
            <w:pPr>
              <w:pStyle w:val="105"/>
              <w:jc w:val="center"/>
              <w:rPr>
                <w:rFonts w:hint="eastAsia" w:ascii="宋体" w:hAnsi="宋体" w:eastAsia="宋体"/>
                <w:sz w:val="21"/>
                <w:szCs w:val="21"/>
              </w:rPr>
            </w:pPr>
            <w:r>
              <w:rPr>
                <w:rFonts w:hint="eastAsia" w:ascii="宋体" w:hAnsi="宋体" w:eastAsia="宋体"/>
                <w:sz w:val="21"/>
                <w:szCs w:val="21"/>
              </w:rPr>
              <w:t>否</w:t>
            </w:r>
          </w:p>
        </w:tc>
      </w:tr>
      <w:tr w14:paraId="36BA6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94" w:type="dxa"/>
            <w:gridSpan w:val="2"/>
            <w:vAlign w:val="center"/>
          </w:tcPr>
          <w:p w14:paraId="31875681">
            <w:pPr>
              <w:jc w:val="center"/>
              <w:rPr>
                <w:rFonts w:hint="eastAsia" w:ascii="宋体" w:hAnsi="宋体" w:cs="宋体"/>
                <w:b/>
                <w:bCs/>
                <w:szCs w:val="21"/>
              </w:rPr>
            </w:pPr>
            <w:r>
              <w:rPr>
                <w:rFonts w:hint="eastAsia" w:ascii="宋体" w:hAnsi="宋体" w:cs="宋体"/>
                <w:b/>
                <w:bCs/>
                <w:spacing w:val="-2"/>
                <w:szCs w:val="21"/>
              </w:rPr>
              <w:t>合计</w:t>
            </w:r>
          </w:p>
        </w:tc>
        <w:tc>
          <w:tcPr>
            <w:tcW w:w="878" w:type="dxa"/>
            <w:vAlign w:val="center"/>
          </w:tcPr>
          <w:p w14:paraId="7782C6D4">
            <w:pPr>
              <w:pStyle w:val="105"/>
              <w:jc w:val="right"/>
              <w:rPr>
                <w:rFonts w:hint="eastAsia" w:ascii="宋体" w:hAnsi="宋体" w:eastAsia="宋体"/>
                <w:b/>
                <w:bCs/>
                <w:sz w:val="21"/>
                <w:szCs w:val="21"/>
              </w:rPr>
            </w:pPr>
            <w:r>
              <w:rPr>
                <w:rFonts w:hint="eastAsia" w:ascii="宋体" w:hAnsi="宋体" w:eastAsia="宋体"/>
                <w:b/>
                <w:bCs/>
                <w:sz w:val="21"/>
                <w:szCs w:val="21"/>
                <w:lang w:eastAsia="zh-CN"/>
              </w:rPr>
              <w:t>—</w:t>
            </w:r>
          </w:p>
        </w:tc>
        <w:tc>
          <w:tcPr>
            <w:tcW w:w="1056" w:type="dxa"/>
            <w:vAlign w:val="center"/>
          </w:tcPr>
          <w:p w14:paraId="0FACC42E">
            <w:pPr>
              <w:pStyle w:val="105"/>
              <w:jc w:val="right"/>
              <w:rPr>
                <w:rFonts w:hint="eastAsia" w:ascii="宋体" w:hAnsi="宋体" w:eastAsia="宋体"/>
                <w:b/>
                <w:bCs/>
                <w:sz w:val="21"/>
                <w:szCs w:val="21"/>
              </w:rPr>
            </w:pPr>
            <w:r>
              <w:rPr>
                <w:rFonts w:hint="eastAsia" w:ascii="宋体" w:hAnsi="宋体" w:eastAsia="宋体"/>
                <w:b/>
                <w:bCs/>
                <w:sz w:val="21"/>
                <w:szCs w:val="21"/>
                <w:lang w:eastAsia="zh-CN"/>
              </w:rPr>
              <w:t>—</w:t>
            </w:r>
          </w:p>
        </w:tc>
        <w:tc>
          <w:tcPr>
            <w:tcW w:w="1138" w:type="dxa"/>
            <w:vAlign w:val="center"/>
          </w:tcPr>
          <w:p w14:paraId="5EBB0FD5">
            <w:pPr>
              <w:pStyle w:val="105"/>
              <w:jc w:val="right"/>
              <w:rPr>
                <w:rFonts w:hint="eastAsia" w:ascii="宋体" w:hAnsi="宋体" w:eastAsia="宋体"/>
                <w:b/>
                <w:bCs/>
                <w:sz w:val="21"/>
                <w:szCs w:val="21"/>
                <w:lang w:eastAsia="zh-CN"/>
              </w:rPr>
            </w:pPr>
            <w:r>
              <w:rPr>
                <w:rFonts w:hint="eastAsia" w:ascii="宋体" w:hAnsi="宋体" w:eastAsia="宋体"/>
                <w:b/>
                <w:bCs/>
                <w:sz w:val="21"/>
                <w:szCs w:val="21"/>
                <w:lang w:eastAsia="zh-CN"/>
              </w:rPr>
              <w:t>116,000.00</w:t>
            </w:r>
          </w:p>
        </w:tc>
        <w:tc>
          <w:tcPr>
            <w:tcW w:w="1069" w:type="dxa"/>
            <w:vAlign w:val="center"/>
          </w:tcPr>
          <w:p w14:paraId="300E4E48">
            <w:pPr>
              <w:pStyle w:val="105"/>
              <w:jc w:val="right"/>
              <w:rPr>
                <w:rFonts w:hint="eastAsia" w:ascii="宋体" w:hAnsi="宋体" w:eastAsia="宋体"/>
                <w:b/>
                <w:bCs/>
                <w:sz w:val="21"/>
                <w:szCs w:val="21"/>
              </w:rPr>
            </w:pPr>
            <w:r>
              <w:rPr>
                <w:rFonts w:hint="eastAsia" w:ascii="宋体" w:hAnsi="宋体" w:eastAsia="宋体"/>
                <w:b/>
                <w:bCs/>
                <w:sz w:val="21"/>
                <w:szCs w:val="21"/>
              </w:rPr>
              <w:t>29,000.00</w:t>
            </w:r>
          </w:p>
        </w:tc>
        <w:tc>
          <w:tcPr>
            <w:tcW w:w="1142" w:type="dxa"/>
            <w:vAlign w:val="center"/>
          </w:tcPr>
          <w:p w14:paraId="68225F44">
            <w:pPr>
              <w:pStyle w:val="105"/>
              <w:jc w:val="right"/>
              <w:rPr>
                <w:rFonts w:hint="eastAsia" w:ascii="宋体" w:hAnsi="宋体" w:eastAsia="宋体"/>
                <w:b/>
                <w:bCs/>
                <w:sz w:val="21"/>
                <w:szCs w:val="21"/>
              </w:rPr>
            </w:pPr>
            <w:r>
              <w:rPr>
                <w:rFonts w:hint="eastAsia" w:ascii="宋体" w:hAnsi="宋体" w:eastAsia="宋体"/>
                <w:b/>
                <w:bCs/>
                <w:sz w:val="21"/>
                <w:szCs w:val="21"/>
                <w:lang w:val="en-US" w:eastAsia="zh-CN"/>
              </w:rPr>
              <w:t>6,674.70</w:t>
            </w:r>
          </w:p>
        </w:tc>
        <w:tc>
          <w:tcPr>
            <w:tcW w:w="658" w:type="dxa"/>
            <w:vAlign w:val="center"/>
          </w:tcPr>
          <w:p w14:paraId="140510F0">
            <w:pPr>
              <w:pStyle w:val="105"/>
              <w:jc w:val="right"/>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w:t>
            </w:r>
          </w:p>
        </w:tc>
        <w:tc>
          <w:tcPr>
            <w:tcW w:w="619" w:type="dxa"/>
            <w:vAlign w:val="center"/>
          </w:tcPr>
          <w:p w14:paraId="7741E9FC">
            <w:pPr>
              <w:pStyle w:val="105"/>
              <w:jc w:val="right"/>
              <w:rPr>
                <w:rFonts w:hint="eastAsia" w:ascii="宋体" w:hAnsi="宋体" w:eastAsia="宋体"/>
                <w:b/>
                <w:bCs/>
                <w:sz w:val="21"/>
                <w:szCs w:val="21"/>
              </w:rPr>
            </w:pPr>
            <w:r>
              <w:rPr>
                <w:rFonts w:hint="eastAsia" w:ascii="宋体" w:hAnsi="宋体" w:eastAsia="宋体"/>
                <w:b/>
                <w:bCs/>
                <w:sz w:val="21"/>
                <w:szCs w:val="21"/>
              </w:rPr>
              <w:t>-</w:t>
            </w:r>
          </w:p>
        </w:tc>
      </w:tr>
    </w:tbl>
    <w:p w14:paraId="564345C0">
      <w:pPr>
        <w:spacing w:line="560" w:lineRule="exact"/>
        <w:rPr>
          <w:rFonts w:hint="eastAsia" w:ascii="宋体" w:hAnsi="宋体" w:cs="宋体"/>
          <w:kern w:val="0"/>
          <w:sz w:val="24"/>
          <w:szCs w:val="24"/>
        </w:rPr>
      </w:pPr>
    </w:p>
    <w:p w14:paraId="6DD7C75D">
      <w:pPr>
        <w:numPr>
          <w:ilvl w:val="0"/>
          <w:numId w:val="14"/>
        </w:num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被担保人基本情况</w:t>
      </w:r>
      <w:bookmarkStart w:id="1" w:name="_GoBack"/>
      <w:bookmarkEnd w:id="1"/>
    </w:p>
    <w:p w14:paraId="535C3367">
      <w:pPr>
        <w:autoSpaceDE w:val="0"/>
        <w:autoSpaceDN w:val="0"/>
        <w:adjustRightInd w:val="0"/>
        <w:spacing w:line="560" w:lineRule="exact"/>
        <w:ind w:firstLine="480" w:firstLineChars="200"/>
        <w:rPr>
          <w:rFonts w:hint="eastAsia" w:ascii="宋体" w:hAnsi="宋体" w:cs="宋体"/>
          <w:bCs/>
          <w:sz w:val="24"/>
          <w:szCs w:val="24"/>
        </w:rPr>
      </w:pPr>
      <w:r>
        <w:rPr>
          <w:rFonts w:hint="eastAsia" w:ascii="宋体" w:hAnsi="宋体" w:cs="宋体"/>
          <w:bCs/>
          <w:sz w:val="24"/>
          <w:szCs w:val="24"/>
        </w:rPr>
        <w:t>本月新增担保的被担保方</w:t>
      </w:r>
      <w:r>
        <w:rPr>
          <w:rFonts w:hint="eastAsia" w:ascii="宋体" w:hAnsi="宋体" w:cs="宋体"/>
          <w:bCs/>
          <w:snapToGrid w:val="0"/>
          <w:kern w:val="0"/>
          <w:sz w:val="24"/>
          <w:szCs w:val="24"/>
        </w:rPr>
        <w:t>云南变压器电气股份有限公司的基本情况如下：</w:t>
      </w:r>
    </w:p>
    <w:p w14:paraId="132CC851">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 xml:space="preserve">公司名称：云南变压器电气股份有限公司 </w:t>
      </w:r>
    </w:p>
    <w:p w14:paraId="380D935C">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统一社会信用代码：91530000713402501X</w:t>
      </w:r>
    </w:p>
    <w:p w14:paraId="7BDAF248">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成立时间：1999年01月23日</w:t>
      </w:r>
    </w:p>
    <w:p w14:paraId="198DA766">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 xml:space="preserve">注册地点：中国（云南）自由贸易试验区昆明片区经开区洛羊街道办事处拓翔路212号 </w:t>
      </w:r>
    </w:p>
    <w:p w14:paraId="6A5BB59D">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法定代表人：肖斌</w:t>
      </w:r>
    </w:p>
    <w:p w14:paraId="5B5345C3">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注册资本：人民币 10,041.3641万元</w:t>
      </w:r>
    </w:p>
    <w:p w14:paraId="24A8421A">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主要股东：公司持股79.97%</w:t>
      </w:r>
    </w:p>
    <w:p w14:paraId="65FCA760">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经营范围：各种变压器的生产制造、销售；变压器产品生产所需的原辅助材料、电磁线、硅钢片、机械设备、仪器仪表、备品、备件、零配件、高低压开关柜、箱式变电站、电线电缆及相关技术，变压器修理，电子电器产品；货物进出口、技术进出口业务；电力工程施工总承包；电力设施承装（修、试）业务。</w:t>
      </w:r>
    </w:p>
    <w:p w14:paraId="28ADF61A">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最近一年及一期的财务数据：</w:t>
      </w:r>
    </w:p>
    <w:p w14:paraId="34C71053">
      <w:pPr>
        <w:widowControl/>
        <w:kinsoku w:val="0"/>
        <w:autoSpaceDE w:val="0"/>
        <w:autoSpaceDN w:val="0"/>
        <w:adjustRightInd w:val="0"/>
        <w:snapToGrid w:val="0"/>
        <w:spacing w:line="560" w:lineRule="exact"/>
        <w:jc w:val="right"/>
        <w:textAlignment w:val="baseline"/>
        <w:rPr>
          <w:rFonts w:hint="eastAsia" w:ascii="宋体" w:hAnsi="宋体" w:cs="宋体"/>
          <w:bCs/>
          <w:snapToGrid w:val="0"/>
          <w:kern w:val="0"/>
          <w:szCs w:val="21"/>
          <w:lang w:eastAsia="en-US"/>
        </w:rPr>
      </w:pPr>
      <w:r>
        <w:rPr>
          <w:rFonts w:hint="eastAsia" w:ascii="宋体" w:hAnsi="宋体" w:cs="宋体"/>
          <w:bCs/>
          <w:snapToGrid w:val="0"/>
          <w:kern w:val="0"/>
          <w:szCs w:val="21"/>
        </w:rPr>
        <w:t xml:space="preserve">  </w:t>
      </w:r>
      <w:r>
        <w:rPr>
          <w:rFonts w:hint="eastAsia" w:ascii="宋体" w:hAnsi="宋体" w:cs="宋体"/>
          <w:bCs/>
          <w:snapToGrid w:val="0"/>
          <w:kern w:val="0"/>
          <w:szCs w:val="21"/>
          <w:lang w:eastAsia="en-US"/>
        </w:rPr>
        <w:t>单位：人民币/万元</w:t>
      </w:r>
    </w:p>
    <w:tbl>
      <w:tblPr>
        <w:tblStyle w:val="88"/>
        <w:tblW w:w="4998" w:type="pct"/>
        <w:tblInd w:w="10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1621"/>
        <w:gridCol w:w="3486"/>
        <w:gridCol w:w="3406"/>
      </w:tblGrid>
      <w:tr w14:paraId="50F759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35" w:hRule="atLeast"/>
        </w:trPr>
        <w:tc>
          <w:tcPr>
            <w:tcW w:w="952" w:type="pct"/>
            <w:shd w:val="clear" w:color="auto" w:fill="auto"/>
            <w:vAlign w:val="center"/>
          </w:tcPr>
          <w:p w14:paraId="53CA0190">
            <w:pPr>
              <w:widowControl/>
              <w:jc w:val="center"/>
              <w:textAlignment w:val="top"/>
              <w:rPr>
                <w:rFonts w:hint="eastAsia" w:ascii="宋体" w:hAnsi="宋体" w:cs="宋体"/>
                <w:b/>
                <w:bCs/>
                <w:color w:val="000000"/>
                <w:szCs w:val="21"/>
              </w:rPr>
            </w:pPr>
            <w:r>
              <w:rPr>
                <w:rStyle w:val="147"/>
                <w:rFonts w:hint="default"/>
                <w:sz w:val="21"/>
                <w:szCs w:val="21"/>
                <w:lang w:bidi="ar"/>
              </w:rPr>
              <w:t>科目</w:t>
            </w:r>
          </w:p>
        </w:tc>
        <w:tc>
          <w:tcPr>
            <w:tcW w:w="2047" w:type="pct"/>
            <w:shd w:val="clear" w:color="auto" w:fill="auto"/>
            <w:vAlign w:val="center"/>
          </w:tcPr>
          <w:p w14:paraId="07AAE11C">
            <w:pPr>
              <w:widowControl/>
              <w:jc w:val="center"/>
              <w:textAlignment w:val="top"/>
              <w:rPr>
                <w:rStyle w:val="147"/>
                <w:rFonts w:hint="default"/>
                <w:sz w:val="21"/>
                <w:szCs w:val="21"/>
                <w:highlight w:val="none"/>
                <w:lang w:bidi="ar"/>
              </w:rPr>
            </w:pPr>
            <w:r>
              <w:rPr>
                <w:rFonts w:hint="eastAsia" w:ascii="宋体" w:hAnsi="宋体" w:cs="宋体"/>
                <w:b/>
                <w:bCs/>
                <w:color w:val="000000"/>
                <w:kern w:val="0"/>
                <w:szCs w:val="21"/>
                <w:highlight w:val="none"/>
                <w:lang w:bidi="ar"/>
              </w:rPr>
              <w:t>2024年6月</w:t>
            </w:r>
            <w:r>
              <w:rPr>
                <w:rStyle w:val="147"/>
                <w:rFonts w:hint="default"/>
                <w:sz w:val="21"/>
                <w:szCs w:val="21"/>
                <w:highlight w:val="none"/>
                <w:lang w:bidi="ar"/>
              </w:rPr>
              <w:t>3</w:t>
            </w:r>
            <w:r>
              <w:rPr>
                <w:rStyle w:val="147"/>
                <w:sz w:val="21"/>
                <w:szCs w:val="21"/>
                <w:highlight w:val="none"/>
                <w:lang w:bidi="ar"/>
              </w:rPr>
              <w:t>0</w:t>
            </w:r>
            <w:r>
              <w:rPr>
                <w:rStyle w:val="147"/>
                <w:rFonts w:hint="default"/>
                <w:sz w:val="21"/>
                <w:szCs w:val="21"/>
                <w:highlight w:val="none"/>
                <w:lang w:bidi="ar"/>
              </w:rPr>
              <w:t>日/202</w:t>
            </w:r>
            <w:r>
              <w:rPr>
                <w:rStyle w:val="147"/>
                <w:sz w:val="21"/>
                <w:szCs w:val="21"/>
                <w:highlight w:val="none"/>
                <w:lang w:bidi="ar"/>
              </w:rPr>
              <w:t>4</w:t>
            </w:r>
            <w:r>
              <w:rPr>
                <w:rStyle w:val="147"/>
                <w:rFonts w:hint="default"/>
                <w:sz w:val="21"/>
                <w:szCs w:val="21"/>
                <w:highlight w:val="none"/>
                <w:lang w:bidi="ar"/>
              </w:rPr>
              <w:t>年</w:t>
            </w:r>
            <w:r>
              <w:rPr>
                <w:rStyle w:val="147"/>
                <w:sz w:val="21"/>
                <w:szCs w:val="21"/>
                <w:highlight w:val="none"/>
                <w:lang w:bidi="ar"/>
              </w:rPr>
              <w:t>半年度</w:t>
            </w:r>
          </w:p>
          <w:p w14:paraId="418AA2F3">
            <w:pPr>
              <w:widowControl/>
              <w:jc w:val="center"/>
              <w:textAlignment w:val="top"/>
              <w:rPr>
                <w:rFonts w:hint="eastAsia" w:ascii="宋体" w:hAnsi="宋体" w:cs="宋体"/>
                <w:b/>
                <w:bCs/>
                <w:color w:val="000000"/>
                <w:szCs w:val="21"/>
              </w:rPr>
            </w:pPr>
            <w:r>
              <w:rPr>
                <w:rStyle w:val="147"/>
                <w:rFonts w:hint="default"/>
                <w:sz w:val="21"/>
                <w:szCs w:val="21"/>
                <w:highlight w:val="none"/>
                <w:lang w:bidi="ar"/>
              </w:rPr>
              <w:t>（</w:t>
            </w:r>
            <w:r>
              <w:rPr>
                <w:rStyle w:val="147"/>
                <w:sz w:val="21"/>
                <w:szCs w:val="21"/>
                <w:highlight w:val="none"/>
                <w:lang w:bidi="ar"/>
              </w:rPr>
              <w:t>未经</w:t>
            </w:r>
            <w:r>
              <w:rPr>
                <w:rStyle w:val="147"/>
                <w:rFonts w:hint="default"/>
                <w:sz w:val="21"/>
                <w:szCs w:val="21"/>
                <w:highlight w:val="none"/>
                <w:lang w:bidi="ar"/>
              </w:rPr>
              <w:t>审计）</w:t>
            </w:r>
          </w:p>
        </w:tc>
        <w:tc>
          <w:tcPr>
            <w:tcW w:w="2000" w:type="pct"/>
            <w:shd w:val="clear" w:color="auto" w:fill="auto"/>
            <w:vAlign w:val="center"/>
          </w:tcPr>
          <w:p w14:paraId="7E9A0B75">
            <w:pPr>
              <w:widowControl/>
              <w:jc w:val="center"/>
              <w:textAlignment w:val="top"/>
              <w:rPr>
                <w:rStyle w:val="147"/>
                <w:rFonts w:hint="default"/>
                <w:sz w:val="21"/>
                <w:szCs w:val="21"/>
                <w:lang w:bidi="ar"/>
              </w:rPr>
            </w:pPr>
            <w:r>
              <w:rPr>
                <w:rFonts w:hint="eastAsia" w:ascii="宋体" w:hAnsi="宋体" w:cs="宋体"/>
                <w:b/>
                <w:bCs/>
                <w:color w:val="000000"/>
                <w:kern w:val="0"/>
                <w:szCs w:val="21"/>
                <w:lang w:bidi="ar"/>
              </w:rPr>
              <w:t>202</w:t>
            </w:r>
            <w:r>
              <w:rPr>
                <w:rFonts w:hint="eastAsia" w:ascii="宋体" w:hAnsi="宋体" w:cs="宋体"/>
                <w:b/>
                <w:bCs/>
                <w:color w:val="000000"/>
                <w:kern w:val="0"/>
                <w:szCs w:val="21"/>
                <w:lang w:val="en-US" w:eastAsia="zh-CN" w:bidi="ar"/>
              </w:rPr>
              <w:t>3</w:t>
            </w:r>
            <w:r>
              <w:rPr>
                <w:rFonts w:hint="eastAsia" w:ascii="宋体" w:hAnsi="宋体" w:cs="宋体"/>
                <w:b/>
                <w:bCs/>
                <w:color w:val="000000"/>
                <w:kern w:val="0"/>
                <w:szCs w:val="21"/>
                <w:lang w:bidi="ar"/>
              </w:rPr>
              <w:t>年12月</w:t>
            </w:r>
            <w:r>
              <w:rPr>
                <w:rStyle w:val="147"/>
                <w:rFonts w:hint="default"/>
                <w:sz w:val="21"/>
                <w:szCs w:val="21"/>
                <w:lang w:bidi="ar"/>
              </w:rPr>
              <w:t>31日/202</w:t>
            </w:r>
            <w:r>
              <w:rPr>
                <w:rStyle w:val="147"/>
                <w:rFonts w:hint="eastAsia"/>
                <w:sz w:val="21"/>
                <w:szCs w:val="21"/>
                <w:lang w:val="en-US" w:eastAsia="zh-CN" w:bidi="ar"/>
              </w:rPr>
              <w:t>3</w:t>
            </w:r>
            <w:r>
              <w:rPr>
                <w:rStyle w:val="147"/>
                <w:rFonts w:hint="default"/>
                <w:sz w:val="21"/>
                <w:szCs w:val="21"/>
                <w:lang w:bidi="ar"/>
              </w:rPr>
              <w:t>年度</w:t>
            </w:r>
          </w:p>
          <w:p w14:paraId="76B676C5">
            <w:pPr>
              <w:widowControl/>
              <w:jc w:val="center"/>
              <w:textAlignment w:val="top"/>
              <w:rPr>
                <w:rFonts w:hint="eastAsia" w:ascii="宋体" w:hAnsi="宋体" w:cs="宋体"/>
                <w:b/>
                <w:bCs/>
                <w:color w:val="000000"/>
                <w:szCs w:val="21"/>
              </w:rPr>
            </w:pPr>
            <w:r>
              <w:rPr>
                <w:rStyle w:val="147"/>
                <w:rFonts w:hint="default"/>
                <w:sz w:val="21"/>
                <w:szCs w:val="21"/>
                <w:lang w:bidi="ar"/>
              </w:rPr>
              <w:t>（</w:t>
            </w:r>
            <w:r>
              <w:rPr>
                <w:rStyle w:val="147"/>
                <w:sz w:val="21"/>
                <w:szCs w:val="21"/>
                <w:lang w:bidi="ar"/>
              </w:rPr>
              <w:t>经</w:t>
            </w:r>
            <w:r>
              <w:rPr>
                <w:rStyle w:val="147"/>
                <w:rFonts w:hint="default"/>
                <w:sz w:val="21"/>
                <w:szCs w:val="21"/>
                <w:lang w:bidi="ar"/>
              </w:rPr>
              <w:t>审计）</w:t>
            </w:r>
          </w:p>
        </w:tc>
      </w:tr>
      <w:tr w14:paraId="21AC9A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5" w:hRule="atLeast"/>
        </w:trPr>
        <w:tc>
          <w:tcPr>
            <w:tcW w:w="952" w:type="pct"/>
            <w:shd w:val="clear" w:color="auto" w:fill="auto"/>
            <w:vAlign w:val="center"/>
          </w:tcPr>
          <w:p w14:paraId="3C3A1FA5">
            <w:pPr>
              <w:widowControl/>
              <w:jc w:val="center"/>
              <w:textAlignment w:val="top"/>
              <w:rPr>
                <w:rFonts w:hint="eastAsia" w:ascii="宋体" w:hAnsi="宋体" w:cs="宋体"/>
                <w:color w:val="000000"/>
                <w:szCs w:val="21"/>
              </w:rPr>
            </w:pPr>
            <w:r>
              <w:rPr>
                <w:rStyle w:val="148"/>
                <w:rFonts w:hint="default"/>
                <w:sz w:val="21"/>
                <w:szCs w:val="21"/>
                <w:lang w:bidi="ar"/>
              </w:rPr>
              <w:t>资产总额</w:t>
            </w:r>
          </w:p>
        </w:tc>
        <w:tc>
          <w:tcPr>
            <w:tcW w:w="3486" w:type="dxa"/>
            <w:shd w:val="clear" w:color="auto" w:fill="auto"/>
            <w:vAlign w:val="center"/>
          </w:tcPr>
          <w:p w14:paraId="1CDCC613">
            <w:pPr>
              <w:keepNext w:val="0"/>
              <w:keepLines w:val="0"/>
              <w:widowControl/>
              <w:suppressLineNumbers w:val="0"/>
              <w:jc w:val="right"/>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 xml:space="preserve"> 160,047.59 </w:t>
            </w:r>
          </w:p>
        </w:tc>
        <w:tc>
          <w:tcPr>
            <w:tcW w:w="3406" w:type="dxa"/>
            <w:shd w:val="clear" w:color="auto" w:fill="auto"/>
            <w:vAlign w:val="center"/>
          </w:tcPr>
          <w:p w14:paraId="5CA7852B">
            <w:pPr>
              <w:keepNext w:val="0"/>
              <w:keepLines w:val="0"/>
              <w:widowControl/>
              <w:suppressLineNumbers w:val="0"/>
              <w:jc w:val="right"/>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158,731.03</w:t>
            </w:r>
          </w:p>
        </w:tc>
      </w:tr>
      <w:tr w14:paraId="2ABB1F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5" w:hRule="atLeast"/>
        </w:trPr>
        <w:tc>
          <w:tcPr>
            <w:tcW w:w="952" w:type="pct"/>
            <w:shd w:val="clear" w:color="auto" w:fill="auto"/>
            <w:vAlign w:val="center"/>
          </w:tcPr>
          <w:p w14:paraId="75A7D049">
            <w:pPr>
              <w:widowControl/>
              <w:jc w:val="center"/>
              <w:textAlignment w:val="top"/>
              <w:rPr>
                <w:rFonts w:hint="eastAsia" w:ascii="宋体" w:hAnsi="宋体" w:cs="宋体"/>
                <w:color w:val="000000"/>
                <w:szCs w:val="21"/>
              </w:rPr>
            </w:pPr>
            <w:r>
              <w:rPr>
                <w:rStyle w:val="148"/>
                <w:rFonts w:hint="default"/>
                <w:sz w:val="21"/>
                <w:szCs w:val="21"/>
                <w:lang w:bidi="ar"/>
              </w:rPr>
              <w:t>负债总额</w:t>
            </w:r>
          </w:p>
        </w:tc>
        <w:tc>
          <w:tcPr>
            <w:tcW w:w="3486" w:type="dxa"/>
            <w:shd w:val="clear" w:color="auto" w:fill="auto"/>
            <w:vAlign w:val="center"/>
          </w:tcPr>
          <w:p w14:paraId="41EE84B1">
            <w:pPr>
              <w:keepNext w:val="0"/>
              <w:keepLines w:val="0"/>
              <w:widowControl/>
              <w:suppressLineNumbers w:val="0"/>
              <w:jc w:val="right"/>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 xml:space="preserve"> 92,862.56 </w:t>
            </w:r>
          </w:p>
        </w:tc>
        <w:tc>
          <w:tcPr>
            <w:tcW w:w="3406" w:type="dxa"/>
            <w:shd w:val="clear" w:color="auto" w:fill="auto"/>
            <w:vAlign w:val="center"/>
          </w:tcPr>
          <w:p w14:paraId="76656406">
            <w:pPr>
              <w:keepNext w:val="0"/>
              <w:keepLines w:val="0"/>
              <w:widowControl/>
              <w:suppressLineNumbers w:val="0"/>
              <w:jc w:val="right"/>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91,439.85</w:t>
            </w:r>
          </w:p>
        </w:tc>
      </w:tr>
      <w:tr w14:paraId="32B552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5" w:hRule="atLeast"/>
        </w:trPr>
        <w:tc>
          <w:tcPr>
            <w:tcW w:w="952" w:type="pct"/>
            <w:shd w:val="clear" w:color="auto" w:fill="auto"/>
            <w:vAlign w:val="center"/>
          </w:tcPr>
          <w:p w14:paraId="67ADE21C">
            <w:pPr>
              <w:widowControl/>
              <w:jc w:val="center"/>
              <w:textAlignment w:val="top"/>
              <w:rPr>
                <w:rFonts w:hint="eastAsia" w:ascii="宋体" w:hAnsi="宋体" w:cs="宋体"/>
                <w:color w:val="000000"/>
                <w:szCs w:val="21"/>
              </w:rPr>
            </w:pPr>
            <w:r>
              <w:rPr>
                <w:rStyle w:val="148"/>
                <w:rFonts w:hint="default"/>
                <w:sz w:val="21"/>
                <w:szCs w:val="21"/>
                <w:lang w:bidi="ar"/>
              </w:rPr>
              <w:t>净资产</w:t>
            </w:r>
          </w:p>
        </w:tc>
        <w:tc>
          <w:tcPr>
            <w:tcW w:w="3486" w:type="dxa"/>
            <w:shd w:val="clear" w:color="auto" w:fill="auto"/>
            <w:vAlign w:val="center"/>
          </w:tcPr>
          <w:p w14:paraId="14C82B09">
            <w:pPr>
              <w:keepNext w:val="0"/>
              <w:keepLines w:val="0"/>
              <w:widowControl/>
              <w:suppressLineNumbers w:val="0"/>
              <w:jc w:val="right"/>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 xml:space="preserve"> 67,185.03 </w:t>
            </w:r>
          </w:p>
        </w:tc>
        <w:tc>
          <w:tcPr>
            <w:tcW w:w="3406" w:type="dxa"/>
            <w:shd w:val="clear" w:color="auto" w:fill="auto"/>
            <w:vAlign w:val="center"/>
          </w:tcPr>
          <w:p w14:paraId="5E27AA18">
            <w:pPr>
              <w:keepNext w:val="0"/>
              <w:keepLines w:val="0"/>
              <w:widowControl/>
              <w:suppressLineNumbers w:val="0"/>
              <w:jc w:val="right"/>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67,291.18</w:t>
            </w:r>
          </w:p>
        </w:tc>
      </w:tr>
      <w:tr w14:paraId="2C4438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5" w:hRule="atLeast"/>
        </w:trPr>
        <w:tc>
          <w:tcPr>
            <w:tcW w:w="952" w:type="pct"/>
            <w:shd w:val="clear" w:color="auto" w:fill="auto"/>
            <w:vAlign w:val="center"/>
          </w:tcPr>
          <w:p w14:paraId="713A4F3E">
            <w:pPr>
              <w:widowControl/>
              <w:jc w:val="center"/>
              <w:textAlignment w:val="top"/>
              <w:rPr>
                <w:rFonts w:hint="eastAsia" w:ascii="宋体" w:hAnsi="宋体" w:cs="宋体"/>
                <w:color w:val="000000"/>
                <w:szCs w:val="21"/>
              </w:rPr>
            </w:pPr>
            <w:r>
              <w:rPr>
                <w:rStyle w:val="148"/>
                <w:rFonts w:hint="default"/>
                <w:sz w:val="21"/>
                <w:szCs w:val="21"/>
                <w:lang w:bidi="ar"/>
              </w:rPr>
              <w:t>营业收入</w:t>
            </w:r>
          </w:p>
        </w:tc>
        <w:tc>
          <w:tcPr>
            <w:tcW w:w="3486" w:type="dxa"/>
            <w:shd w:val="clear" w:color="auto" w:fill="auto"/>
            <w:vAlign w:val="center"/>
          </w:tcPr>
          <w:p w14:paraId="64FEE9DE">
            <w:pPr>
              <w:keepNext w:val="0"/>
              <w:keepLines w:val="0"/>
              <w:widowControl/>
              <w:suppressLineNumbers w:val="0"/>
              <w:jc w:val="right"/>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 xml:space="preserve"> 22,755.03 </w:t>
            </w:r>
          </w:p>
        </w:tc>
        <w:tc>
          <w:tcPr>
            <w:tcW w:w="3406" w:type="dxa"/>
            <w:shd w:val="clear" w:color="auto" w:fill="auto"/>
            <w:vAlign w:val="center"/>
          </w:tcPr>
          <w:p w14:paraId="225EDCAA">
            <w:pPr>
              <w:keepNext w:val="0"/>
              <w:keepLines w:val="0"/>
              <w:widowControl/>
              <w:suppressLineNumbers w:val="0"/>
              <w:jc w:val="right"/>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80,828.53</w:t>
            </w:r>
          </w:p>
        </w:tc>
      </w:tr>
      <w:tr w14:paraId="68D48C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5" w:hRule="atLeast"/>
        </w:trPr>
        <w:tc>
          <w:tcPr>
            <w:tcW w:w="952" w:type="pct"/>
            <w:shd w:val="clear" w:color="auto" w:fill="auto"/>
            <w:vAlign w:val="center"/>
          </w:tcPr>
          <w:p w14:paraId="503D4E48">
            <w:pPr>
              <w:widowControl/>
              <w:jc w:val="center"/>
              <w:textAlignment w:val="top"/>
              <w:rPr>
                <w:rFonts w:hint="eastAsia" w:ascii="宋体" w:hAnsi="宋体" w:cs="宋体"/>
                <w:color w:val="000000"/>
                <w:szCs w:val="21"/>
              </w:rPr>
            </w:pPr>
            <w:r>
              <w:rPr>
                <w:rStyle w:val="148"/>
                <w:rFonts w:hint="default"/>
                <w:sz w:val="21"/>
                <w:szCs w:val="21"/>
                <w:lang w:bidi="ar"/>
              </w:rPr>
              <w:t>净利润</w:t>
            </w:r>
          </w:p>
        </w:tc>
        <w:tc>
          <w:tcPr>
            <w:tcW w:w="3486" w:type="dxa"/>
            <w:shd w:val="clear" w:color="auto" w:fill="auto"/>
            <w:vAlign w:val="center"/>
          </w:tcPr>
          <w:p w14:paraId="5AF0F92B">
            <w:pPr>
              <w:keepNext w:val="0"/>
              <w:keepLines w:val="0"/>
              <w:widowControl/>
              <w:suppressLineNumbers w:val="0"/>
              <w:jc w:val="right"/>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 xml:space="preserve"> 1,030.63 </w:t>
            </w:r>
          </w:p>
        </w:tc>
        <w:tc>
          <w:tcPr>
            <w:tcW w:w="3406" w:type="dxa"/>
            <w:shd w:val="clear" w:color="auto" w:fill="auto"/>
            <w:vAlign w:val="center"/>
          </w:tcPr>
          <w:p w14:paraId="6993DEBB">
            <w:pPr>
              <w:keepNext w:val="0"/>
              <w:keepLines w:val="0"/>
              <w:widowControl/>
              <w:suppressLineNumbers w:val="0"/>
              <w:jc w:val="right"/>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8,112.29</w:t>
            </w:r>
          </w:p>
        </w:tc>
      </w:tr>
    </w:tbl>
    <w:p w14:paraId="3D16E35A">
      <w:pPr>
        <w:autoSpaceDE w:val="0"/>
        <w:autoSpaceDN w:val="0"/>
        <w:adjustRightInd w:val="0"/>
        <w:spacing w:line="560" w:lineRule="exact"/>
        <w:rPr>
          <w:rFonts w:hint="eastAsia" w:ascii="宋体" w:hAnsi="宋体" w:cs="宋体"/>
          <w:b/>
          <w:kern w:val="0"/>
          <w:sz w:val="24"/>
          <w:szCs w:val="24"/>
        </w:rPr>
      </w:pPr>
      <w:r>
        <w:rPr>
          <w:rFonts w:hint="eastAsia" w:ascii="宋体" w:hAnsi="宋体" w:cs="宋体"/>
          <w:b/>
          <w:kern w:val="0"/>
          <w:sz w:val="24"/>
          <w:szCs w:val="24"/>
        </w:rPr>
        <w:t>三、本月签署的担保协议主要内容</w:t>
      </w:r>
    </w:p>
    <w:p w14:paraId="13F7CA1C">
      <w:pPr>
        <w:pStyle w:val="81"/>
        <w:spacing w:beforeAutospacing="0" w:afterAutospacing="0" w:line="560" w:lineRule="exact"/>
        <w:ind w:firstLine="480" w:firstLineChars="200"/>
        <w:rPr>
          <w:rFonts w:hint="eastAsia" w:ascii="宋体" w:hAnsi="宋体" w:cs="宋体"/>
          <w:bCs/>
          <w:snapToGrid w:val="0"/>
          <w:szCs w:val="24"/>
        </w:rPr>
      </w:pPr>
      <w:r>
        <w:rPr>
          <w:rFonts w:hint="eastAsia" w:ascii="宋体" w:hAnsi="宋体" w:cs="宋体"/>
          <w:bCs/>
          <w:snapToGrid w:val="0"/>
          <w:szCs w:val="24"/>
        </w:rPr>
        <w:t>（一）2024年8月2日签署的《最高额保证合同》</w:t>
      </w:r>
    </w:p>
    <w:p w14:paraId="24116073">
      <w:pPr>
        <w:pStyle w:val="81"/>
        <w:spacing w:beforeAutospacing="0" w:afterAutospacing="0" w:line="560" w:lineRule="exact"/>
        <w:ind w:firstLine="480" w:firstLineChars="200"/>
        <w:rPr>
          <w:rFonts w:hint="eastAsia" w:ascii="宋体" w:hAnsi="宋体" w:cs="宋体"/>
          <w:bCs/>
          <w:snapToGrid w:val="0"/>
          <w:szCs w:val="24"/>
        </w:rPr>
      </w:pPr>
      <w:r>
        <w:rPr>
          <w:rFonts w:hint="eastAsia" w:ascii="宋体" w:hAnsi="宋体" w:cs="宋体"/>
          <w:bCs/>
          <w:snapToGrid w:val="0"/>
          <w:szCs w:val="24"/>
        </w:rPr>
        <w:t>公司于2024年8月2日与中国光大银行股份有限公司昆明分行签订《最高额保证合同》具体内容详见公司在上海证券交易所官网披露的《关于为子公司申请授信提供担保的进展公告》（公告编号：2024-050）。</w:t>
      </w:r>
    </w:p>
    <w:p w14:paraId="49ADF22B">
      <w:pPr>
        <w:pStyle w:val="81"/>
        <w:spacing w:beforeAutospacing="0" w:afterAutospacing="0" w:line="560" w:lineRule="exact"/>
        <w:ind w:firstLine="480" w:firstLineChars="200"/>
        <w:rPr>
          <w:rFonts w:hint="eastAsia" w:ascii="宋体" w:hAnsi="宋体" w:cs="宋体"/>
          <w:bCs/>
          <w:snapToGrid w:val="0"/>
          <w:szCs w:val="24"/>
        </w:rPr>
      </w:pPr>
      <w:r>
        <w:rPr>
          <w:rFonts w:hint="eastAsia" w:ascii="宋体" w:hAnsi="宋体" w:cs="宋体"/>
          <w:bCs/>
          <w:snapToGrid w:val="0"/>
          <w:szCs w:val="24"/>
        </w:rPr>
        <w:t>（二）2024年8月29日签署的《最高额保证合同》</w:t>
      </w:r>
    </w:p>
    <w:p w14:paraId="31304605">
      <w:pPr>
        <w:pStyle w:val="81"/>
        <w:spacing w:beforeAutospacing="0" w:afterAutospacing="0" w:line="560" w:lineRule="exact"/>
        <w:ind w:firstLine="480" w:firstLineChars="200"/>
        <w:rPr>
          <w:rFonts w:hint="eastAsia" w:ascii="宋体" w:hAnsi="宋体" w:cs="宋体"/>
          <w:bCs/>
          <w:snapToGrid w:val="0"/>
          <w:szCs w:val="24"/>
        </w:rPr>
      </w:pPr>
      <w:r>
        <w:rPr>
          <w:rFonts w:hint="eastAsia" w:ascii="宋体" w:hAnsi="宋体" w:cs="宋体"/>
          <w:bCs/>
          <w:snapToGrid w:val="0"/>
          <w:szCs w:val="24"/>
        </w:rPr>
        <w:t>1、合同签署人</w:t>
      </w:r>
    </w:p>
    <w:p w14:paraId="23FB04F6">
      <w:pPr>
        <w:pStyle w:val="81"/>
        <w:spacing w:beforeAutospacing="0" w:afterAutospacing="0" w:line="560" w:lineRule="exact"/>
        <w:ind w:firstLine="480" w:firstLineChars="200"/>
        <w:rPr>
          <w:rFonts w:hint="eastAsia" w:ascii="宋体" w:hAnsi="宋体" w:cs="宋体"/>
          <w:bCs/>
          <w:snapToGrid w:val="0"/>
          <w:szCs w:val="24"/>
        </w:rPr>
      </w:pPr>
      <w:r>
        <w:rPr>
          <w:rFonts w:hint="eastAsia" w:ascii="宋体" w:hAnsi="宋体" w:cs="宋体"/>
          <w:bCs/>
          <w:snapToGrid w:val="0"/>
          <w:szCs w:val="24"/>
        </w:rPr>
        <w:t>保证人：重庆望变电气（集团）股份有限公司</w:t>
      </w:r>
    </w:p>
    <w:p w14:paraId="6FFA0E5B">
      <w:pPr>
        <w:pStyle w:val="81"/>
        <w:spacing w:beforeAutospacing="0" w:afterAutospacing="0" w:line="560" w:lineRule="exact"/>
        <w:ind w:firstLine="480" w:firstLineChars="200"/>
        <w:rPr>
          <w:rFonts w:hint="eastAsia" w:ascii="宋体" w:hAnsi="宋体" w:cs="宋体"/>
          <w:bCs/>
          <w:snapToGrid w:val="0"/>
          <w:szCs w:val="24"/>
        </w:rPr>
      </w:pPr>
      <w:r>
        <w:rPr>
          <w:rFonts w:hint="eastAsia" w:ascii="宋体" w:hAnsi="宋体" w:cs="宋体"/>
          <w:bCs/>
          <w:snapToGrid w:val="0"/>
          <w:szCs w:val="24"/>
        </w:rPr>
        <w:t>授信人：华夏银行股份有限公司昆明圆通支行</w:t>
      </w:r>
    </w:p>
    <w:p w14:paraId="6705B3B7">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2、保证方式：连带责任担保</w:t>
      </w:r>
    </w:p>
    <w:p w14:paraId="60CC5AA8">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3、保证范围：主债权本金、利息、逾期利息、罚息、复利、违约金、损害赔偿金、汇率损失(因汇率变动引起的相关损失)以及鉴定费评估费、拍卖费、诉讼费、仲裁费、公证费、律师费等乙方为实现债权而发生的合理费用以及其他所有主合同债务人的应付费用。</w:t>
      </w:r>
    </w:p>
    <w:p w14:paraId="1ABEBD72">
      <w:p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4、担保最高额度：人民币12,000.00万元。</w:t>
      </w:r>
    </w:p>
    <w:p w14:paraId="3438924C">
      <w:p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四、担保的必要性和合理性</w:t>
      </w:r>
    </w:p>
    <w:p w14:paraId="79512C52">
      <w:pPr>
        <w:pStyle w:val="81"/>
        <w:autoSpaceDE w:val="0"/>
        <w:autoSpaceDN w:val="0"/>
        <w:adjustRightInd w:val="0"/>
        <w:spacing w:beforeAutospacing="0" w:afterAutospacing="0" w:line="560" w:lineRule="exact"/>
        <w:ind w:firstLine="480" w:firstLineChars="200"/>
        <w:rPr>
          <w:rFonts w:hint="eastAsia" w:ascii="宋体" w:hAnsi="宋体" w:cs="宋体"/>
          <w:bCs/>
          <w:snapToGrid w:val="0"/>
          <w:szCs w:val="24"/>
        </w:rPr>
      </w:pPr>
      <w:r>
        <w:rPr>
          <w:rFonts w:hint="eastAsia" w:ascii="宋体" w:hAnsi="宋体" w:cs="宋体"/>
          <w:bCs/>
          <w:snapToGrid w:val="0"/>
          <w:szCs w:val="24"/>
        </w:rPr>
        <w:t>公司本月新增的对外担保主要为满足子公司日常生产经营需要，保证其生产经营活动的顺利开展，符合公司实际经营情况和整体发展战略，具有必要性和合理性。被担保对象为公司控股子公司，公司对其日常经营活动和资信状况能够及时掌握，担保风险总体可控，不会对公司及股东特别是中小股东利益造成重大不利影响。</w:t>
      </w:r>
    </w:p>
    <w:p w14:paraId="3A1E4744">
      <w:pPr>
        <w:tabs>
          <w:tab w:val="left" w:pos="3468"/>
        </w:tabs>
        <w:autoSpaceDE w:val="0"/>
        <w:autoSpaceDN w:val="0"/>
        <w:adjustRightInd w:val="0"/>
        <w:spacing w:before="159" w:beforeLines="50" w:line="360" w:lineRule="auto"/>
        <w:rPr>
          <w:rFonts w:hint="eastAsia" w:ascii="宋体" w:hAnsi="宋体" w:cs="宋体"/>
          <w:b/>
          <w:sz w:val="24"/>
          <w:szCs w:val="24"/>
        </w:rPr>
      </w:pPr>
      <w:r>
        <w:rPr>
          <w:rFonts w:hint="eastAsia" w:ascii="宋体" w:hAnsi="宋体" w:cs="宋体"/>
          <w:b/>
          <w:sz w:val="24"/>
          <w:szCs w:val="24"/>
        </w:rPr>
        <w:t>五、累计对外担保数量及逾期担保的数量</w:t>
      </w:r>
    </w:p>
    <w:p w14:paraId="36A0D0BF">
      <w:pPr>
        <w:autoSpaceDE w:val="0"/>
        <w:autoSpaceDN w:val="0"/>
        <w:adjustRightInd w:val="0"/>
        <w:spacing w:before="159" w:beforeLines="50" w:line="360" w:lineRule="auto"/>
        <w:ind w:firstLine="480" w:firstLineChars="200"/>
        <w:rPr>
          <w:rFonts w:hint="eastAsia" w:ascii="宋体" w:hAnsi="宋体" w:cs="宋体"/>
          <w:bCs/>
          <w:sz w:val="24"/>
          <w:szCs w:val="24"/>
        </w:rPr>
      </w:pPr>
      <w:r>
        <w:rPr>
          <w:rFonts w:hint="eastAsia" w:ascii="宋体" w:hAnsi="宋体" w:cs="宋体"/>
          <w:bCs/>
          <w:sz w:val="24"/>
          <w:szCs w:val="24"/>
        </w:rPr>
        <w:t>截至报告期末，公司对外担保均为对子公司的担保，担保总额为29,000.00万元；</w:t>
      </w:r>
      <w:r>
        <w:rPr>
          <w:rFonts w:hint="eastAsia" w:ascii="宋体" w:hAnsi="宋体" w:cs="宋体"/>
          <w:bCs/>
          <w:sz w:val="24"/>
          <w:szCs w:val="24"/>
          <w:highlight w:val="none"/>
        </w:rPr>
        <w:t>担保余额为6,674.70万元，担保余额占上市公司最近一期经审计净资产的</w:t>
      </w:r>
      <w:r>
        <w:rPr>
          <w:rFonts w:hint="eastAsia" w:ascii="宋体" w:hAnsi="宋体" w:cs="宋体"/>
          <w:bCs/>
          <w:sz w:val="24"/>
          <w:szCs w:val="24"/>
          <w:highlight w:val="none"/>
          <w:lang w:val="en-US" w:eastAsia="zh-CN"/>
        </w:rPr>
        <w:t>2.79</w:t>
      </w:r>
      <w:r>
        <w:rPr>
          <w:rFonts w:hint="eastAsia" w:ascii="宋体" w:hAnsi="宋体" w:cs="宋体"/>
          <w:bCs/>
          <w:sz w:val="24"/>
          <w:szCs w:val="24"/>
          <w:highlight w:val="none"/>
        </w:rPr>
        <w:t>%；不存在逾期担保。</w:t>
      </w:r>
    </w:p>
    <w:p w14:paraId="52750F72">
      <w:pPr>
        <w:autoSpaceDE w:val="0"/>
        <w:autoSpaceDN w:val="0"/>
        <w:adjustRightInd w:val="0"/>
        <w:spacing w:before="159" w:beforeLines="50" w:line="360" w:lineRule="auto"/>
        <w:ind w:firstLine="480" w:firstLineChars="200"/>
        <w:rPr>
          <w:rFonts w:hint="eastAsia" w:ascii="宋体" w:hAnsi="宋体" w:cs="宋体"/>
          <w:bCs/>
          <w:sz w:val="24"/>
          <w:szCs w:val="24"/>
        </w:rPr>
      </w:pPr>
      <w:r>
        <w:rPr>
          <w:rFonts w:hint="eastAsia" w:ascii="宋体" w:hAnsi="宋体" w:cs="宋体"/>
          <w:bCs/>
          <w:sz w:val="24"/>
          <w:szCs w:val="24"/>
        </w:rPr>
        <w:t>截止本公告披露日，子公司可用担保总额为87,000万元（包含惠泽电器5,000万元、黔南望江10,000.00万元和云变电气72,000万元）。</w:t>
      </w:r>
    </w:p>
    <w:p w14:paraId="6FDE5D01">
      <w:pPr>
        <w:autoSpaceDE w:val="0"/>
        <w:autoSpaceDN w:val="0"/>
        <w:adjustRightInd w:val="0"/>
        <w:spacing w:before="159" w:beforeLines="50" w:line="360" w:lineRule="auto"/>
        <w:ind w:firstLine="480" w:firstLineChars="200"/>
        <w:rPr>
          <w:rFonts w:hint="eastAsia" w:ascii="宋体" w:hAnsi="宋体" w:cs="宋体"/>
          <w:b/>
          <w:sz w:val="24"/>
          <w:szCs w:val="24"/>
        </w:rPr>
      </w:pPr>
      <w:r>
        <w:rPr>
          <w:rFonts w:hint="eastAsia" w:ascii="宋体" w:hAnsi="宋体" w:cs="宋体"/>
          <w:kern w:val="0"/>
          <w:sz w:val="24"/>
          <w:szCs w:val="24"/>
        </w:rPr>
        <w:t>特此公告。</w:t>
      </w:r>
    </w:p>
    <w:p w14:paraId="40A2F257">
      <w:pPr>
        <w:autoSpaceDE w:val="0"/>
        <w:autoSpaceDN w:val="0"/>
        <w:adjustRightInd w:val="0"/>
        <w:spacing w:line="560" w:lineRule="exact"/>
        <w:jc w:val="left"/>
        <w:rPr>
          <w:rFonts w:hint="eastAsia" w:ascii="宋体" w:hAnsi="宋体" w:cs="宋体"/>
          <w:kern w:val="0"/>
          <w:sz w:val="24"/>
          <w:szCs w:val="24"/>
        </w:rPr>
      </w:pPr>
    </w:p>
    <w:p w14:paraId="4637BA90">
      <w:pPr>
        <w:adjustRightInd w:val="0"/>
        <w:snapToGrid w:val="0"/>
        <w:spacing w:line="560" w:lineRule="exact"/>
        <w:ind w:firstLine="480" w:firstLineChars="200"/>
        <w:jc w:val="right"/>
        <w:rPr>
          <w:rFonts w:hint="eastAsia" w:ascii="宋体" w:hAnsi="宋体"/>
          <w:sz w:val="24"/>
          <w:szCs w:val="24"/>
        </w:rPr>
      </w:pPr>
      <w:r>
        <w:rPr>
          <w:rFonts w:hint="eastAsia" w:ascii="宋体" w:hAnsi="宋体" w:cs="宋体"/>
          <w:kern w:val="0"/>
          <w:sz w:val="24"/>
          <w:szCs w:val="24"/>
        </w:rPr>
        <w:t>重庆望变电气（集团）</w:t>
      </w:r>
      <w:r>
        <w:rPr>
          <w:rFonts w:hint="eastAsia" w:ascii="宋体" w:hAnsi="宋体" w:cs="仿宋_GB2312"/>
          <w:sz w:val="24"/>
          <w:szCs w:val="24"/>
        </w:rPr>
        <w:t>股</w:t>
      </w:r>
      <w:r>
        <w:rPr>
          <w:rFonts w:hint="eastAsia" w:ascii="宋体" w:hAnsi="宋体"/>
          <w:sz w:val="24"/>
          <w:szCs w:val="24"/>
        </w:rPr>
        <w:t>份有限公司董事会</w:t>
      </w:r>
    </w:p>
    <w:p w14:paraId="62FD00AD">
      <w:pPr>
        <w:adjustRightInd w:val="0"/>
        <w:snapToGrid w:val="0"/>
        <w:spacing w:line="560" w:lineRule="exact"/>
        <w:ind w:firstLine="480" w:firstLineChars="200"/>
        <w:jc w:val="right"/>
        <w:rPr>
          <w:rFonts w:hint="eastAsia" w:ascii="宋体" w:hAnsi="宋体" w:cs="宋体"/>
          <w:kern w:val="0"/>
          <w:sz w:val="24"/>
          <w:szCs w:val="24"/>
        </w:rPr>
      </w:pPr>
      <w:r>
        <w:rPr>
          <w:rFonts w:ascii="宋体" w:hAnsi="宋体"/>
          <w:sz w:val="24"/>
          <w:szCs w:val="24"/>
        </w:rPr>
        <w:t>202</w:t>
      </w:r>
      <w:r>
        <w:rPr>
          <w:rFonts w:hint="eastAsia" w:ascii="宋体" w:hAnsi="宋体"/>
          <w:sz w:val="24"/>
          <w:szCs w:val="24"/>
        </w:rPr>
        <w:t>4年9月3日</w:t>
      </w:r>
    </w:p>
    <w:p w14:paraId="6CB53D42">
      <w:pPr>
        <w:autoSpaceDE w:val="0"/>
        <w:autoSpaceDN w:val="0"/>
        <w:adjustRightInd w:val="0"/>
        <w:snapToGrid w:val="0"/>
        <w:spacing w:line="560" w:lineRule="exact"/>
        <w:ind w:firstLine="480" w:firstLineChars="200"/>
        <w:rPr>
          <w:rFonts w:hint="eastAsia" w:ascii="宋体" w:hAnsi="宋体" w:cs="宋体"/>
          <w:sz w:val="24"/>
          <w:szCs w:val="24"/>
        </w:rPr>
      </w:pPr>
    </w:p>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14:paraId="28A2429E">
        <w:pPr>
          <w:pStyle w:val="55"/>
          <w:jc w:val="center"/>
        </w:pPr>
        <w:r>
          <w:fldChar w:fldCharType="begin"/>
        </w:r>
        <w:r>
          <w:instrText xml:space="preserve"> PAGE   \* MERGEFORMAT </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04579"/>
    <w:multiLevelType w:val="singleLevel"/>
    <w:tmpl w:val="D5604579"/>
    <w:lvl w:ilvl="0" w:tentative="0">
      <w:start w:val="1"/>
      <w:numFmt w:val="bullet"/>
      <w:lvlText w:val=""/>
      <w:lvlJc w:val="left"/>
      <w:pPr>
        <w:ind w:left="420" w:hanging="420"/>
      </w:pPr>
      <w:rPr>
        <w:rFonts w:hint="default" w:ascii="Wingdings" w:hAnsi="Wingdings"/>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1">
    <w:nsid w:val="22712713"/>
    <w:multiLevelType w:val="singleLevel"/>
    <w:tmpl w:val="22712713"/>
    <w:lvl w:ilvl="0" w:tentative="0">
      <w:start w:val="1"/>
      <w:numFmt w:val="bullet"/>
      <w:pStyle w:val="94"/>
      <w:lvlText w:val=""/>
      <w:lvlJc w:val="left"/>
      <w:pPr>
        <w:ind w:left="420" w:hanging="420"/>
      </w:pPr>
      <w:rPr>
        <w:rFonts w:hint="default" w:ascii="Wingdings" w:hAnsi="Wingdings"/>
      </w:rPr>
    </w:lvl>
  </w:abstractNum>
  <w:abstractNum w:abstractNumId="12">
    <w:nsid w:val="40EC9271"/>
    <w:multiLevelType w:val="singleLevel"/>
    <w:tmpl w:val="40EC9271"/>
    <w:lvl w:ilvl="0" w:tentative="0">
      <w:start w:val="2"/>
      <w:numFmt w:val="chineseCounting"/>
      <w:suff w:val="nothing"/>
      <w:lvlText w:val="%1、"/>
      <w:lvlJc w:val="left"/>
      <w:rPr>
        <w:rFonts w:hint="eastAsia"/>
      </w:rPr>
    </w:lvl>
  </w:abstractNum>
  <w:abstractNum w:abstractNumId="13">
    <w:nsid w:val="655C0D75"/>
    <w:multiLevelType w:val="singleLevel"/>
    <w:tmpl w:val="655C0D75"/>
    <w:lvl w:ilvl="0" w:tentative="0">
      <w:start w:val="1"/>
      <w:numFmt w:val="chineseCounting"/>
      <w:suff w:val="nothing"/>
      <w:lvlText w:val="%1、"/>
      <w:lvlJc w:val="left"/>
      <w:rPr>
        <w:rFonts w:hint="eastAsia"/>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1"/>
  </w:num>
  <w:num w:numId="12">
    <w:abstractNumId w:val="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00BF2ECD"/>
    <w:rsid w:val="00000558"/>
    <w:rsid w:val="00000BC9"/>
    <w:rsid w:val="0000604D"/>
    <w:rsid w:val="00030B8F"/>
    <w:rsid w:val="000369D9"/>
    <w:rsid w:val="00037429"/>
    <w:rsid w:val="000434C6"/>
    <w:rsid w:val="00044B7A"/>
    <w:rsid w:val="000507FA"/>
    <w:rsid w:val="00050D8C"/>
    <w:rsid w:val="00051D15"/>
    <w:rsid w:val="00054EEE"/>
    <w:rsid w:val="00060DFA"/>
    <w:rsid w:val="00064333"/>
    <w:rsid w:val="000671F4"/>
    <w:rsid w:val="00070F49"/>
    <w:rsid w:val="0007156E"/>
    <w:rsid w:val="000764C3"/>
    <w:rsid w:val="00082408"/>
    <w:rsid w:val="00084C5D"/>
    <w:rsid w:val="00087F94"/>
    <w:rsid w:val="00095674"/>
    <w:rsid w:val="000A490B"/>
    <w:rsid w:val="000B677B"/>
    <w:rsid w:val="00124FA5"/>
    <w:rsid w:val="00125C8C"/>
    <w:rsid w:val="00126188"/>
    <w:rsid w:val="001335CF"/>
    <w:rsid w:val="001368F4"/>
    <w:rsid w:val="001619B6"/>
    <w:rsid w:val="00161C50"/>
    <w:rsid w:val="001631B1"/>
    <w:rsid w:val="00177222"/>
    <w:rsid w:val="001903B0"/>
    <w:rsid w:val="001B5730"/>
    <w:rsid w:val="001C165F"/>
    <w:rsid w:val="001C235A"/>
    <w:rsid w:val="001D0405"/>
    <w:rsid w:val="001E4E44"/>
    <w:rsid w:val="001E7562"/>
    <w:rsid w:val="001F0293"/>
    <w:rsid w:val="001F3BAD"/>
    <w:rsid w:val="002032FC"/>
    <w:rsid w:val="002051AC"/>
    <w:rsid w:val="00207506"/>
    <w:rsid w:val="002114BE"/>
    <w:rsid w:val="00224E96"/>
    <w:rsid w:val="00246976"/>
    <w:rsid w:val="00266A7C"/>
    <w:rsid w:val="00272D61"/>
    <w:rsid w:val="002878A7"/>
    <w:rsid w:val="00294DFB"/>
    <w:rsid w:val="002B1A65"/>
    <w:rsid w:val="002B291C"/>
    <w:rsid w:val="002C32E2"/>
    <w:rsid w:val="002C3AF3"/>
    <w:rsid w:val="002C5387"/>
    <w:rsid w:val="002D6A43"/>
    <w:rsid w:val="002E2215"/>
    <w:rsid w:val="002F1340"/>
    <w:rsid w:val="002F33C4"/>
    <w:rsid w:val="002F4948"/>
    <w:rsid w:val="002F5CBD"/>
    <w:rsid w:val="002F6DC2"/>
    <w:rsid w:val="002F6FD5"/>
    <w:rsid w:val="0030115C"/>
    <w:rsid w:val="003051B5"/>
    <w:rsid w:val="003127EC"/>
    <w:rsid w:val="00313A26"/>
    <w:rsid w:val="00335DCA"/>
    <w:rsid w:val="00342251"/>
    <w:rsid w:val="00343F60"/>
    <w:rsid w:val="00347210"/>
    <w:rsid w:val="00352F3F"/>
    <w:rsid w:val="003A3C4B"/>
    <w:rsid w:val="003A4934"/>
    <w:rsid w:val="003A6877"/>
    <w:rsid w:val="003B5E5C"/>
    <w:rsid w:val="003C13ED"/>
    <w:rsid w:val="003C3E72"/>
    <w:rsid w:val="003D1D39"/>
    <w:rsid w:val="003D4987"/>
    <w:rsid w:val="003D500E"/>
    <w:rsid w:val="003E399E"/>
    <w:rsid w:val="003F26EB"/>
    <w:rsid w:val="00404524"/>
    <w:rsid w:val="00412966"/>
    <w:rsid w:val="004166FA"/>
    <w:rsid w:val="00421FBB"/>
    <w:rsid w:val="00432414"/>
    <w:rsid w:val="004417CE"/>
    <w:rsid w:val="004617FD"/>
    <w:rsid w:val="00481530"/>
    <w:rsid w:val="004A27BC"/>
    <w:rsid w:val="004B6940"/>
    <w:rsid w:val="004C3D35"/>
    <w:rsid w:val="004E11B1"/>
    <w:rsid w:val="004F4D81"/>
    <w:rsid w:val="004F792E"/>
    <w:rsid w:val="00501890"/>
    <w:rsid w:val="0050197F"/>
    <w:rsid w:val="00507042"/>
    <w:rsid w:val="0052284A"/>
    <w:rsid w:val="0052751C"/>
    <w:rsid w:val="00527F05"/>
    <w:rsid w:val="005555B7"/>
    <w:rsid w:val="00563DEF"/>
    <w:rsid w:val="005700E6"/>
    <w:rsid w:val="00593D94"/>
    <w:rsid w:val="005950D7"/>
    <w:rsid w:val="005A5697"/>
    <w:rsid w:val="005B06D0"/>
    <w:rsid w:val="005B1790"/>
    <w:rsid w:val="005B1CE9"/>
    <w:rsid w:val="005E015E"/>
    <w:rsid w:val="005E0D94"/>
    <w:rsid w:val="005F0BAA"/>
    <w:rsid w:val="006004F3"/>
    <w:rsid w:val="0061300F"/>
    <w:rsid w:val="0061302E"/>
    <w:rsid w:val="00616B8A"/>
    <w:rsid w:val="00621D2E"/>
    <w:rsid w:val="006227F4"/>
    <w:rsid w:val="00623320"/>
    <w:rsid w:val="006233E1"/>
    <w:rsid w:val="00631267"/>
    <w:rsid w:val="00636AA5"/>
    <w:rsid w:val="006414A6"/>
    <w:rsid w:val="00656B76"/>
    <w:rsid w:val="0065737B"/>
    <w:rsid w:val="0066648F"/>
    <w:rsid w:val="006754DD"/>
    <w:rsid w:val="00692CB8"/>
    <w:rsid w:val="006A782A"/>
    <w:rsid w:val="006B13DA"/>
    <w:rsid w:val="006B1B09"/>
    <w:rsid w:val="006B2315"/>
    <w:rsid w:val="006B45CE"/>
    <w:rsid w:val="006B6910"/>
    <w:rsid w:val="006C2D1F"/>
    <w:rsid w:val="006C312B"/>
    <w:rsid w:val="006C6811"/>
    <w:rsid w:val="006D1676"/>
    <w:rsid w:val="006D6459"/>
    <w:rsid w:val="007041A1"/>
    <w:rsid w:val="00713C80"/>
    <w:rsid w:val="00732D11"/>
    <w:rsid w:val="0073774F"/>
    <w:rsid w:val="00740449"/>
    <w:rsid w:val="00745B5F"/>
    <w:rsid w:val="0075445C"/>
    <w:rsid w:val="0076073C"/>
    <w:rsid w:val="00776B0C"/>
    <w:rsid w:val="007946B0"/>
    <w:rsid w:val="007A42EC"/>
    <w:rsid w:val="007A54FF"/>
    <w:rsid w:val="007B4990"/>
    <w:rsid w:val="007C00D5"/>
    <w:rsid w:val="007C1F91"/>
    <w:rsid w:val="007C343C"/>
    <w:rsid w:val="007C655F"/>
    <w:rsid w:val="007D539C"/>
    <w:rsid w:val="007D7D45"/>
    <w:rsid w:val="007E7845"/>
    <w:rsid w:val="008026A0"/>
    <w:rsid w:val="00816C8F"/>
    <w:rsid w:val="00826B51"/>
    <w:rsid w:val="0083455D"/>
    <w:rsid w:val="00861F0B"/>
    <w:rsid w:val="008625FB"/>
    <w:rsid w:val="00866013"/>
    <w:rsid w:val="00885E01"/>
    <w:rsid w:val="00891EE8"/>
    <w:rsid w:val="008A12F9"/>
    <w:rsid w:val="008A76CD"/>
    <w:rsid w:val="008B360D"/>
    <w:rsid w:val="008B4652"/>
    <w:rsid w:val="008C75E8"/>
    <w:rsid w:val="008D10ED"/>
    <w:rsid w:val="008D7908"/>
    <w:rsid w:val="008D7D16"/>
    <w:rsid w:val="008E2FF0"/>
    <w:rsid w:val="008F3FFE"/>
    <w:rsid w:val="00906FA1"/>
    <w:rsid w:val="00912197"/>
    <w:rsid w:val="00913A1A"/>
    <w:rsid w:val="009238FB"/>
    <w:rsid w:val="009477DC"/>
    <w:rsid w:val="009536D8"/>
    <w:rsid w:val="00955454"/>
    <w:rsid w:val="0095561C"/>
    <w:rsid w:val="00955DC4"/>
    <w:rsid w:val="00960BDB"/>
    <w:rsid w:val="00962784"/>
    <w:rsid w:val="0096329B"/>
    <w:rsid w:val="0097194D"/>
    <w:rsid w:val="009752E9"/>
    <w:rsid w:val="00977420"/>
    <w:rsid w:val="0099027E"/>
    <w:rsid w:val="00992A41"/>
    <w:rsid w:val="009A242D"/>
    <w:rsid w:val="009A3EBC"/>
    <w:rsid w:val="009C3379"/>
    <w:rsid w:val="00A06636"/>
    <w:rsid w:val="00A20224"/>
    <w:rsid w:val="00A317FA"/>
    <w:rsid w:val="00A369A9"/>
    <w:rsid w:val="00A4773A"/>
    <w:rsid w:val="00A50776"/>
    <w:rsid w:val="00A563BC"/>
    <w:rsid w:val="00A56BD4"/>
    <w:rsid w:val="00A750F9"/>
    <w:rsid w:val="00A80442"/>
    <w:rsid w:val="00A87F63"/>
    <w:rsid w:val="00A9108C"/>
    <w:rsid w:val="00AA1DF6"/>
    <w:rsid w:val="00AA36C5"/>
    <w:rsid w:val="00AC6182"/>
    <w:rsid w:val="00AD2992"/>
    <w:rsid w:val="00AD7080"/>
    <w:rsid w:val="00AE01A3"/>
    <w:rsid w:val="00AE3517"/>
    <w:rsid w:val="00AF4CB2"/>
    <w:rsid w:val="00B10348"/>
    <w:rsid w:val="00B10A2A"/>
    <w:rsid w:val="00B12308"/>
    <w:rsid w:val="00B13505"/>
    <w:rsid w:val="00B152B7"/>
    <w:rsid w:val="00B253D1"/>
    <w:rsid w:val="00B25554"/>
    <w:rsid w:val="00B3338B"/>
    <w:rsid w:val="00B35C9C"/>
    <w:rsid w:val="00B575AF"/>
    <w:rsid w:val="00B65460"/>
    <w:rsid w:val="00B656C4"/>
    <w:rsid w:val="00B66D7C"/>
    <w:rsid w:val="00B90010"/>
    <w:rsid w:val="00B96BB6"/>
    <w:rsid w:val="00BC4BBB"/>
    <w:rsid w:val="00BD7901"/>
    <w:rsid w:val="00BE0431"/>
    <w:rsid w:val="00BE7AC6"/>
    <w:rsid w:val="00BF2ECD"/>
    <w:rsid w:val="00BF54FF"/>
    <w:rsid w:val="00C061F6"/>
    <w:rsid w:val="00C11467"/>
    <w:rsid w:val="00C11DBC"/>
    <w:rsid w:val="00C21159"/>
    <w:rsid w:val="00C2610B"/>
    <w:rsid w:val="00C321FA"/>
    <w:rsid w:val="00C335E9"/>
    <w:rsid w:val="00C37A23"/>
    <w:rsid w:val="00C5077D"/>
    <w:rsid w:val="00C515E8"/>
    <w:rsid w:val="00C55AA9"/>
    <w:rsid w:val="00C578DC"/>
    <w:rsid w:val="00C57B6A"/>
    <w:rsid w:val="00C64E83"/>
    <w:rsid w:val="00C800AF"/>
    <w:rsid w:val="00C937A0"/>
    <w:rsid w:val="00CA5962"/>
    <w:rsid w:val="00CA5E22"/>
    <w:rsid w:val="00CC2A94"/>
    <w:rsid w:val="00CC6A06"/>
    <w:rsid w:val="00CD0630"/>
    <w:rsid w:val="00CE38B0"/>
    <w:rsid w:val="00D0021B"/>
    <w:rsid w:val="00D060E9"/>
    <w:rsid w:val="00D061EC"/>
    <w:rsid w:val="00D11AE5"/>
    <w:rsid w:val="00D12713"/>
    <w:rsid w:val="00D14999"/>
    <w:rsid w:val="00D20476"/>
    <w:rsid w:val="00D348AE"/>
    <w:rsid w:val="00D36CEC"/>
    <w:rsid w:val="00D37022"/>
    <w:rsid w:val="00D40D5F"/>
    <w:rsid w:val="00D479B2"/>
    <w:rsid w:val="00D51495"/>
    <w:rsid w:val="00D516F9"/>
    <w:rsid w:val="00D6642E"/>
    <w:rsid w:val="00D706DA"/>
    <w:rsid w:val="00DA6BAB"/>
    <w:rsid w:val="00DB4349"/>
    <w:rsid w:val="00DD1465"/>
    <w:rsid w:val="00DD3A5B"/>
    <w:rsid w:val="00DD5D73"/>
    <w:rsid w:val="00DE0D68"/>
    <w:rsid w:val="00DE24A1"/>
    <w:rsid w:val="00DE2FB4"/>
    <w:rsid w:val="00E06561"/>
    <w:rsid w:val="00E153C6"/>
    <w:rsid w:val="00E1723F"/>
    <w:rsid w:val="00E2700A"/>
    <w:rsid w:val="00E313D8"/>
    <w:rsid w:val="00E35CC1"/>
    <w:rsid w:val="00E360F6"/>
    <w:rsid w:val="00E47DB7"/>
    <w:rsid w:val="00E50EF5"/>
    <w:rsid w:val="00E52836"/>
    <w:rsid w:val="00E54250"/>
    <w:rsid w:val="00E62DAF"/>
    <w:rsid w:val="00E927F8"/>
    <w:rsid w:val="00E92E43"/>
    <w:rsid w:val="00E97E71"/>
    <w:rsid w:val="00EA34E8"/>
    <w:rsid w:val="00EC5C5A"/>
    <w:rsid w:val="00ED0055"/>
    <w:rsid w:val="00ED2FD9"/>
    <w:rsid w:val="00EF138E"/>
    <w:rsid w:val="00EF74FD"/>
    <w:rsid w:val="00F16E07"/>
    <w:rsid w:val="00F2365C"/>
    <w:rsid w:val="00F57B5A"/>
    <w:rsid w:val="00F605B9"/>
    <w:rsid w:val="00F60665"/>
    <w:rsid w:val="00F65A6F"/>
    <w:rsid w:val="00F77490"/>
    <w:rsid w:val="00F84CFA"/>
    <w:rsid w:val="00F964CD"/>
    <w:rsid w:val="00F967B2"/>
    <w:rsid w:val="00FA1CAB"/>
    <w:rsid w:val="00FD1980"/>
    <w:rsid w:val="00FE0712"/>
    <w:rsid w:val="01A21D3D"/>
    <w:rsid w:val="01E50D53"/>
    <w:rsid w:val="02066364"/>
    <w:rsid w:val="02815CE9"/>
    <w:rsid w:val="03134C0F"/>
    <w:rsid w:val="032D4E3E"/>
    <w:rsid w:val="04012B21"/>
    <w:rsid w:val="048F7171"/>
    <w:rsid w:val="07312958"/>
    <w:rsid w:val="073B5BC9"/>
    <w:rsid w:val="07BE292C"/>
    <w:rsid w:val="07C65CA5"/>
    <w:rsid w:val="084C69BC"/>
    <w:rsid w:val="08514037"/>
    <w:rsid w:val="096251C7"/>
    <w:rsid w:val="0AD705E9"/>
    <w:rsid w:val="0AF50259"/>
    <w:rsid w:val="0B9C5BD8"/>
    <w:rsid w:val="0EBC6E9B"/>
    <w:rsid w:val="0FDA2FF1"/>
    <w:rsid w:val="10C85995"/>
    <w:rsid w:val="11162CD7"/>
    <w:rsid w:val="11F04FB0"/>
    <w:rsid w:val="11FD41AB"/>
    <w:rsid w:val="19857952"/>
    <w:rsid w:val="1DD957B9"/>
    <w:rsid w:val="1E79312C"/>
    <w:rsid w:val="20967991"/>
    <w:rsid w:val="213B1B76"/>
    <w:rsid w:val="21A32B39"/>
    <w:rsid w:val="230A0721"/>
    <w:rsid w:val="23C35C66"/>
    <w:rsid w:val="24100647"/>
    <w:rsid w:val="24BC60E2"/>
    <w:rsid w:val="251B37E1"/>
    <w:rsid w:val="2615746A"/>
    <w:rsid w:val="26401ABD"/>
    <w:rsid w:val="29173A50"/>
    <w:rsid w:val="29A05578"/>
    <w:rsid w:val="2AAC23F9"/>
    <w:rsid w:val="2C422599"/>
    <w:rsid w:val="2CCD15FB"/>
    <w:rsid w:val="2FB04883"/>
    <w:rsid w:val="30FC41DF"/>
    <w:rsid w:val="343369E1"/>
    <w:rsid w:val="36372CA9"/>
    <w:rsid w:val="381C2D1C"/>
    <w:rsid w:val="39E2569B"/>
    <w:rsid w:val="3A8D0F72"/>
    <w:rsid w:val="3A960DE3"/>
    <w:rsid w:val="3A9D4FCC"/>
    <w:rsid w:val="3BD46640"/>
    <w:rsid w:val="3C35413D"/>
    <w:rsid w:val="3C6F4907"/>
    <w:rsid w:val="3CF573AA"/>
    <w:rsid w:val="3D624079"/>
    <w:rsid w:val="3D631834"/>
    <w:rsid w:val="3EB91CF7"/>
    <w:rsid w:val="3F946AA7"/>
    <w:rsid w:val="3F9B1851"/>
    <w:rsid w:val="3FFBD36B"/>
    <w:rsid w:val="41076FBE"/>
    <w:rsid w:val="41084786"/>
    <w:rsid w:val="41295BE0"/>
    <w:rsid w:val="41D45DF6"/>
    <w:rsid w:val="42275509"/>
    <w:rsid w:val="45987F90"/>
    <w:rsid w:val="460F40D4"/>
    <w:rsid w:val="4611224F"/>
    <w:rsid w:val="4611554A"/>
    <w:rsid w:val="49461F7F"/>
    <w:rsid w:val="499F1D78"/>
    <w:rsid w:val="4A983129"/>
    <w:rsid w:val="4D556624"/>
    <w:rsid w:val="4EB26519"/>
    <w:rsid w:val="4F095C75"/>
    <w:rsid w:val="524C7FC2"/>
    <w:rsid w:val="52E00474"/>
    <w:rsid w:val="53202F13"/>
    <w:rsid w:val="546F68B3"/>
    <w:rsid w:val="55800C5A"/>
    <w:rsid w:val="565D3A9C"/>
    <w:rsid w:val="57C86637"/>
    <w:rsid w:val="5919171F"/>
    <w:rsid w:val="59531228"/>
    <w:rsid w:val="5BA66D99"/>
    <w:rsid w:val="5C7436E9"/>
    <w:rsid w:val="5C8255FD"/>
    <w:rsid w:val="5CEE2784"/>
    <w:rsid w:val="5D0E2A44"/>
    <w:rsid w:val="5EAF52F7"/>
    <w:rsid w:val="5EFC0458"/>
    <w:rsid w:val="5FE3F82D"/>
    <w:rsid w:val="5FFD5624"/>
    <w:rsid w:val="611F29C3"/>
    <w:rsid w:val="61AD670E"/>
    <w:rsid w:val="620A112B"/>
    <w:rsid w:val="655C29BA"/>
    <w:rsid w:val="67253B4D"/>
    <w:rsid w:val="67DC6589"/>
    <w:rsid w:val="69D24BFB"/>
    <w:rsid w:val="6BE74894"/>
    <w:rsid w:val="6EEE5B5B"/>
    <w:rsid w:val="6F2BFEC0"/>
    <w:rsid w:val="6F6946EC"/>
    <w:rsid w:val="6F8D7841"/>
    <w:rsid w:val="6F92035A"/>
    <w:rsid w:val="70182BA3"/>
    <w:rsid w:val="73A8198C"/>
    <w:rsid w:val="757F06CF"/>
    <w:rsid w:val="75B740CF"/>
    <w:rsid w:val="76FF27BE"/>
    <w:rsid w:val="77E729E4"/>
    <w:rsid w:val="78624636"/>
    <w:rsid w:val="78852C26"/>
    <w:rsid w:val="794B6266"/>
    <w:rsid w:val="7AC13A71"/>
    <w:rsid w:val="7B255AC8"/>
    <w:rsid w:val="7D5B007A"/>
    <w:rsid w:val="7D6864F7"/>
    <w:rsid w:val="7E0457F8"/>
    <w:rsid w:val="7E717EAD"/>
    <w:rsid w:val="7EA126C9"/>
    <w:rsid w:val="7EFD57C1"/>
    <w:rsid w:val="7F2351A1"/>
    <w:rsid w:val="7F93D619"/>
    <w:rsid w:val="7FE01AFA"/>
    <w:rsid w:val="8BFFE455"/>
    <w:rsid w:val="A4B35309"/>
    <w:rsid w:val="BEBE0E25"/>
    <w:rsid w:val="E5FB001E"/>
    <w:rsid w:val="EF5F0041"/>
    <w:rsid w:val="FDA7D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0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1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12"/>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13"/>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14"/>
    <w:autoRedefine/>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115"/>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6"/>
    <w:autoRedefine/>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17"/>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8"/>
    <w:autoRedefine/>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23"/>
    <w:autoRedefine/>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99"/>
    <w:pPr>
      <w:ind w:left="100" w:leftChars="400" w:hanging="200" w:hangingChars="200"/>
      <w:contextualSpacing/>
    </w:pPr>
  </w:style>
  <w:style w:type="paragraph" w:styleId="13">
    <w:name w:val="toc 7"/>
    <w:basedOn w:val="1"/>
    <w:next w:val="1"/>
    <w:autoRedefine/>
    <w:semiHidden/>
    <w:unhideWhenUsed/>
    <w:qFormat/>
    <w:uiPriority w:val="39"/>
    <w:pPr>
      <w:ind w:left="2520" w:leftChars="1200"/>
    </w:pPr>
  </w:style>
  <w:style w:type="paragraph" w:styleId="14">
    <w:name w:val="List Number 2"/>
    <w:basedOn w:val="1"/>
    <w:autoRedefine/>
    <w:semiHidden/>
    <w:unhideWhenUsed/>
    <w:qFormat/>
    <w:uiPriority w:val="99"/>
    <w:pPr>
      <w:numPr>
        <w:ilvl w:val="0"/>
        <w:numId w:val="1"/>
      </w:numPr>
      <w:contextualSpacing/>
    </w:pPr>
  </w:style>
  <w:style w:type="paragraph" w:styleId="15">
    <w:name w:val="table of authorities"/>
    <w:basedOn w:val="1"/>
    <w:next w:val="1"/>
    <w:autoRedefine/>
    <w:semiHidden/>
    <w:unhideWhenUsed/>
    <w:qFormat/>
    <w:uiPriority w:val="99"/>
    <w:pPr>
      <w:ind w:left="420" w:leftChars="200"/>
    </w:pPr>
  </w:style>
  <w:style w:type="paragraph" w:styleId="16">
    <w:name w:val="Note Heading"/>
    <w:basedOn w:val="1"/>
    <w:next w:val="1"/>
    <w:link w:val="145"/>
    <w:autoRedefine/>
    <w:semiHidden/>
    <w:unhideWhenUsed/>
    <w:qFormat/>
    <w:uiPriority w:val="99"/>
    <w:pPr>
      <w:jc w:val="center"/>
    </w:pPr>
  </w:style>
  <w:style w:type="paragraph" w:styleId="17">
    <w:name w:val="List Bullet 4"/>
    <w:basedOn w:val="1"/>
    <w:autoRedefine/>
    <w:semiHidden/>
    <w:unhideWhenUsed/>
    <w:qFormat/>
    <w:uiPriority w:val="99"/>
    <w:pPr>
      <w:numPr>
        <w:ilvl w:val="0"/>
        <w:numId w:val="2"/>
      </w:numPr>
      <w:contextualSpacing/>
    </w:pPr>
  </w:style>
  <w:style w:type="paragraph" w:styleId="18">
    <w:name w:val="index 8"/>
    <w:basedOn w:val="1"/>
    <w:next w:val="1"/>
    <w:autoRedefine/>
    <w:semiHidden/>
    <w:unhideWhenUsed/>
    <w:qFormat/>
    <w:uiPriority w:val="99"/>
    <w:pPr>
      <w:ind w:left="1400" w:leftChars="1400"/>
    </w:pPr>
  </w:style>
  <w:style w:type="paragraph" w:styleId="19">
    <w:name w:val="E-mail Signature"/>
    <w:basedOn w:val="1"/>
    <w:link w:val="121"/>
    <w:autoRedefine/>
    <w:semiHidden/>
    <w:unhideWhenUsed/>
    <w:qFormat/>
    <w:uiPriority w:val="99"/>
  </w:style>
  <w:style w:type="paragraph" w:styleId="20">
    <w:name w:val="List Number"/>
    <w:basedOn w:val="1"/>
    <w:autoRedefine/>
    <w:semiHidden/>
    <w:unhideWhenUsed/>
    <w:qFormat/>
    <w:uiPriority w:val="99"/>
    <w:pPr>
      <w:numPr>
        <w:ilvl w:val="0"/>
        <w:numId w:val="3"/>
      </w:numPr>
      <w:contextualSpacing/>
    </w:pPr>
  </w:style>
  <w:style w:type="paragraph" w:styleId="21">
    <w:name w:val="Normal Indent"/>
    <w:basedOn w:val="1"/>
    <w:autoRedefine/>
    <w:semiHidden/>
    <w:unhideWhenUsed/>
    <w:qFormat/>
    <w:uiPriority w:val="99"/>
    <w:pPr>
      <w:ind w:firstLine="420" w:firstLineChars="200"/>
    </w:pPr>
  </w:style>
  <w:style w:type="paragraph" w:styleId="22">
    <w:name w:val="caption"/>
    <w:basedOn w:val="1"/>
    <w:next w:val="1"/>
    <w:autoRedefine/>
    <w:semiHidden/>
    <w:unhideWhenUsed/>
    <w:qFormat/>
    <w:uiPriority w:val="35"/>
    <w:rPr>
      <w:rFonts w:eastAsia="黑体" w:asciiTheme="majorHAnsi" w:hAnsiTheme="majorHAnsi" w:cstheme="majorBidi"/>
      <w:sz w:val="20"/>
      <w:szCs w:val="20"/>
    </w:rPr>
  </w:style>
  <w:style w:type="paragraph" w:styleId="23">
    <w:name w:val="index 5"/>
    <w:basedOn w:val="1"/>
    <w:next w:val="1"/>
    <w:autoRedefine/>
    <w:semiHidden/>
    <w:unhideWhenUsed/>
    <w:qFormat/>
    <w:uiPriority w:val="99"/>
    <w:pPr>
      <w:ind w:left="800" w:leftChars="800"/>
    </w:pPr>
  </w:style>
  <w:style w:type="paragraph" w:styleId="24">
    <w:name w:val="List Bullet"/>
    <w:basedOn w:val="1"/>
    <w:autoRedefine/>
    <w:semiHidden/>
    <w:unhideWhenUsed/>
    <w:qFormat/>
    <w:uiPriority w:val="99"/>
    <w:pPr>
      <w:numPr>
        <w:ilvl w:val="0"/>
        <w:numId w:val="4"/>
      </w:numPr>
      <w:contextualSpacing/>
    </w:pPr>
  </w:style>
  <w:style w:type="paragraph" w:styleId="25">
    <w:name w:val="envelope address"/>
    <w:basedOn w:val="1"/>
    <w:autoRedefine/>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32"/>
    <w:autoRedefine/>
    <w:semiHidden/>
    <w:unhideWhenUsed/>
    <w:qFormat/>
    <w:uiPriority w:val="99"/>
    <w:rPr>
      <w:rFonts w:ascii="Microsoft YaHei UI" w:eastAsia="Microsoft YaHei UI"/>
      <w:sz w:val="18"/>
      <w:szCs w:val="18"/>
    </w:rPr>
  </w:style>
  <w:style w:type="paragraph" w:styleId="27">
    <w:name w:val="toa heading"/>
    <w:basedOn w:val="1"/>
    <w:next w:val="1"/>
    <w:autoRedefine/>
    <w:semiHidden/>
    <w:unhideWhenUsed/>
    <w:qFormat/>
    <w:uiPriority w:val="99"/>
    <w:pPr>
      <w:spacing w:before="120"/>
    </w:pPr>
    <w:rPr>
      <w:rFonts w:asciiTheme="majorHAnsi" w:hAnsiTheme="majorHAnsi" w:eastAsiaTheme="majorEastAsia" w:cstheme="majorBidi"/>
      <w:sz w:val="24"/>
      <w:szCs w:val="24"/>
    </w:rPr>
  </w:style>
  <w:style w:type="paragraph" w:styleId="28">
    <w:name w:val="annotation text"/>
    <w:basedOn w:val="1"/>
    <w:link w:val="99"/>
    <w:autoRedefine/>
    <w:unhideWhenUsed/>
    <w:qFormat/>
    <w:uiPriority w:val="0"/>
    <w:pPr>
      <w:jc w:val="left"/>
    </w:pPr>
  </w:style>
  <w:style w:type="paragraph" w:styleId="29">
    <w:name w:val="index 6"/>
    <w:basedOn w:val="1"/>
    <w:next w:val="1"/>
    <w:autoRedefine/>
    <w:semiHidden/>
    <w:unhideWhenUsed/>
    <w:qFormat/>
    <w:uiPriority w:val="99"/>
    <w:pPr>
      <w:ind w:left="1000" w:leftChars="1000"/>
    </w:pPr>
  </w:style>
  <w:style w:type="paragraph" w:styleId="30">
    <w:name w:val="Salutation"/>
    <w:basedOn w:val="1"/>
    <w:next w:val="1"/>
    <w:link w:val="119"/>
    <w:autoRedefine/>
    <w:semiHidden/>
    <w:unhideWhenUsed/>
    <w:qFormat/>
    <w:uiPriority w:val="99"/>
  </w:style>
  <w:style w:type="paragraph" w:styleId="31">
    <w:name w:val="Body Text 3"/>
    <w:basedOn w:val="1"/>
    <w:link w:val="138"/>
    <w:autoRedefine/>
    <w:semiHidden/>
    <w:unhideWhenUsed/>
    <w:qFormat/>
    <w:uiPriority w:val="99"/>
    <w:pPr>
      <w:spacing w:after="120"/>
    </w:pPr>
    <w:rPr>
      <w:sz w:val="16"/>
      <w:szCs w:val="16"/>
    </w:rPr>
  </w:style>
  <w:style w:type="paragraph" w:styleId="32">
    <w:name w:val="Closing"/>
    <w:basedOn w:val="1"/>
    <w:link w:val="125"/>
    <w:autoRedefine/>
    <w:semiHidden/>
    <w:unhideWhenUsed/>
    <w:qFormat/>
    <w:uiPriority w:val="99"/>
    <w:pPr>
      <w:ind w:left="100" w:leftChars="2100"/>
    </w:pPr>
  </w:style>
  <w:style w:type="paragraph" w:styleId="33">
    <w:name w:val="List Bullet 3"/>
    <w:basedOn w:val="1"/>
    <w:autoRedefine/>
    <w:semiHidden/>
    <w:unhideWhenUsed/>
    <w:qFormat/>
    <w:uiPriority w:val="99"/>
    <w:pPr>
      <w:numPr>
        <w:ilvl w:val="0"/>
        <w:numId w:val="5"/>
      </w:numPr>
      <w:contextualSpacing/>
    </w:pPr>
  </w:style>
  <w:style w:type="paragraph" w:styleId="34">
    <w:name w:val="Body Text"/>
    <w:basedOn w:val="1"/>
    <w:link w:val="139"/>
    <w:autoRedefine/>
    <w:semiHidden/>
    <w:qFormat/>
    <w:uiPriority w:val="0"/>
    <w:rPr>
      <w:rFonts w:ascii="宋体" w:hAnsi="宋体" w:cs="宋体"/>
      <w:sz w:val="35"/>
      <w:szCs w:val="35"/>
      <w:lang w:eastAsia="en-US"/>
    </w:rPr>
  </w:style>
  <w:style w:type="paragraph" w:styleId="35">
    <w:name w:val="Body Text Indent"/>
    <w:basedOn w:val="1"/>
    <w:link w:val="141"/>
    <w:autoRedefine/>
    <w:semiHidden/>
    <w:unhideWhenUsed/>
    <w:qFormat/>
    <w:uiPriority w:val="99"/>
    <w:pPr>
      <w:spacing w:after="120"/>
      <w:ind w:left="420" w:leftChars="200"/>
    </w:pPr>
  </w:style>
  <w:style w:type="paragraph" w:styleId="36">
    <w:name w:val="List Number 3"/>
    <w:basedOn w:val="1"/>
    <w:autoRedefine/>
    <w:semiHidden/>
    <w:unhideWhenUsed/>
    <w:qFormat/>
    <w:uiPriority w:val="99"/>
    <w:pPr>
      <w:numPr>
        <w:ilvl w:val="0"/>
        <w:numId w:val="6"/>
      </w:numPr>
      <w:contextualSpacing/>
    </w:pPr>
  </w:style>
  <w:style w:type="paragraph" w:styleId="37">
    <w:name w:val="List 2"/>
    <w:basedOn w:val="1"/>
    <w:autoRedefine/>
    <w:semiHidden/>
    <w:unhideWhenUsed/>
    <w:qFormat/>
    <w:uiPriority w:val="99"/>
    <w:pPr>
      <w:ind w:left="100" w:leftChars="200" w:hanging="200" w:hangingChars="200"/>
      <w:contextualSpacing/>
    </w:pPr>
  </w:style>
  <w:style w:type="paragraph" w:styleId="38">
    <w:name w:val="List Continue"/>
    <w:basedOn w:val="1"/>
    <w:autoRedefine/>
    <w:semiHidden/>
    <w:unhideWhenUsed/>
    <w:qFormat/>
    <w:uiPriority w:val="99"/>
    <w:pPr>
      <w:spacing w:after="120"/>
      <w:ind w:left="420" w:leftChars="200"/>
      <w:contextualSpacing/>
    </w:pPr>
  </w:style>
  <w:style w:type="paragraph" w:styleId="39">
    <w:name w:val="Block Text"/>
    <w:basedOn w:val="1"/>
    <w:autoRedefine/>
    <w:semiHidden/>
    <w:unhideWhenUsed/>
    <w:qFormat/>
    <w:uiPriority w:val="99"/>
    <w:pPr>
      <w:spacing w:after="120"/>
      <w:ind w:left="1440" w:leftChars="700" w:right="1440" w:rightChars="700"/>
    </w:pPr>
  </w:style>
  <w:style w:type="paragraph" w:styleId="40">
    <w:name w:val="List Bullet 2"/>
    <w:basedOn w:val="1"/>
    <w:autoRedefine/>
    <w:semiHidden/>
    <w:unhideWhenUsed/>
    <w:qFormat/>
    <w:uiPriority w:val="99"/>
    <w:pPr>
      <w:numPr>
        <w:ilvl w:val="0"/>
        <w:numId w:val="7"/>
      </w:numPr>
      <w:contextualSpacing/>
    </w:pPr>
  </w:style>
  <w:style w:type="paragraph" w:styleId="41">
    <w:name w:val="HTML Address"/>
    <w:basedOn w:val="1"/>
    <w:link w:val="106"/>
    <w:autoRedefine/>
    <w:semiHidden/>
    <w:unhideWhenUsed/>
    <w:qFormat/>
    <w:uiPriority w:val="99"/>
    <w:rPr>
      <w:i/>
      <w:iCs/>
    </w:rPr>
  </w:style>
  <w:style w:type="paragraph" w:styleId="42">
    <w:name w:val="index 4"/>
    <w:basedOn w:val="1"/>
    <w:next w:val="1"/>
    <w:autoRedefine/>
    <w:semiHidden/>
    <w:unhideWhenUsed/>
    <w:qFormat/>
    <w:uiPriority w:val="99"/>
    <w:pPr>
      <w:ind w:left="600" w:leftChars="600"/>
    </w:pPr>
  </w:style>
  <w:style w:type="paragraph" w:styleId="43">
    <w:name w:val="toc 5"/>
    <w:basedOn w:val="1"/>
    <w:next w:val="1"/>
    <w:autoRedefine/>
    <w:semiHidden/>
    <w:unhideWhenUsed/>
    <w:qFormat/>
    <w:uiPriority w:val="39"/>
    <w:pPr>
      <w:ind w:left="1680" w:leftChars="800"/>
    </w:pPr>
  </w:style>
  <w:style w:type="paragraph" w:styleId="44">
    <w:name w:val="toc 3"/>
    <w:basedOn w:val="1"/>
    <w:next w:val="1"/>
    <w:autoRedefine/>
    <w:semiHidden/>
    <w:unhideWhenUsed/>
    <w:qFormat/>
    <w:uiPriority w:val="39"/>
    <w:pPr>
      <w:ind w:left="840" w:leftChars="400"/>
    </w:pPr>
  </w:style>
  <w:style w:type="paragraph" w:styleId="45">
    <w:name w:val="Plain Text"/>
    <w:basedOn w:val="1"/>
    <w:link w:val="120"/>
    <w:autoRedefine/>
    <w:semiHidden/>
    <w:unhideWhenUsed/>
    <w:qFormat/>
    <w:uiPriority w:val="99"/>
    <w:rPr>
      <w:rFonts w:hAnsi="Courier New" w:cs="Courier New" w:asciiTheme="minorEastAsia" w:eastAsiaTheme="minorEastAsia"/>
    </w:rPr>
  </w:style>
  <w:style w:type="paragraph" w:styleId="46">
    <w:name w:val="List Bullet 5"/>
    <w:basedOn w:val="1"/>
    <w:autoRedefine/>
    <w:semiHidden/>
    <w:unhideWhenUsed/>
    <w:qFormat/>
    <w:uiPriority w:val="99"/>
    <w:pPr>
      <w:numPr>
        <w:ilvl w:val="0"/>
        <w:numId w:val="8"/>
      </w:numPr>
      <w:contextualSpacing/>
    </w:pPr>
  </w:style>
  <w:style w:type="paragraph" w:styleId="47">
    <w:name w:val="List Number 4"/>
    <w:basedOn w:val="1"/>
    <w:autoRedefine/>
    <w:semiHidden/>
    <w:unhideWhenUsed/>
    <w:qFormat/>
    <w:uiPriority w:val="99"/>
    <w:pPr>
      <w:numPr>
        <w:ilvl w:val="0"/>
        <w:numId w:val="9"/>
      </w:numPr>
      <w:contextualSpacing/>
    </w:pPr>
  </w:style>
  <w:style w:type="paragraph" w:styleId="48">
    <w:name w:val="toc 8"/>
    <w:basedOn w:val="1"/>
    <w:next w:val="1"/>
    <w:autoRedefine/>
    <w:semiHidden/>
    <w:unhideWhenUsed/>
    <w:qFormat/>
    <w:uiPriority w:val="39"/>
    <w:pPr>
      <w:ind w:left="2940" w:leftChars="1400"/>
    </w:pPr>
  </w:style>
  <w:style w:type="paragraph" w:styleId="49">
    <w:name w:val="index 3"/>
    <w:basedOn w:val="1"/>
    <w:next w:val="1"/>
    <w:autoRedefine/>
    <w:semiHidden/>
    <w:unhideWhenUsed/>
    <w:qFormat/>
    <w:uiPriority w:val="99"/>
    <w:pPr>
      <w:ind w:left="400" w:leftChars="400"/>
    </w:pPr>
  </w:style>
  <w:style w:type="paragraph" w:styleId="50">
    <w:name w:val="Date"/>
    <w:basedOn w:val="1"/>
    <w:next w:val="1"/>
    <w:link w:val="129"/>
    <w:autoRedefine/>
    <w:semiHidden/>
    <w:unhideWhenUsed/>
    <w:qFormat/>
    <w:uiPriority w:val="99"/>
    <w:pPr>
      <w:ind w:left="100" w:leftChars="2500"/>
    </w:pPr>
  </w:style>
  <w:style w:type="paragraph" w:styleId="51">
    <w:name w:val="Body Text Indent 2"/>
    <w:basedOn w:val="1"/>
    <w:link w:val="143"/>
    <w:autoRedefine/>
    <w:semiHidden/>
    <w:unhideWhenUsed/>
    <w:qFormat/>
    <w:uiPriority w:val="99"/>
    <w:pPr>
      <w:spacing w:after="120" w:line="480" w:lineRule="auto"/>
      <w:ind w:left="420" w:leftChars="200"/>
    </w:pPr>
  </w:style>
  <w:style w:type="paragraph" w:styleId="52">
    <w:name w:val="endnote text"/>
    <w:basedOn w:val="1"/>
    <w:link w:val="131"/>
    <w:autoRedefine/>
    <w:semiHidden/>
    <w:unhideWhenUsed/>
    <w:qFormat/>
    <w:uiPriority w:val="99"/>
    <w:pPr>
      <w:snapToGrid w:val="0"/>
      <w:jc w:val="left"/>
    </w:pPr>
  </w:style>
  <w:style w:type="paragraph" w:styleId="53">
    <w:name w:val="List Continue 5"/>
    <w:basedOn w:val="1"/>
    <w:autoRedefine/>
    <w:semiHidden/>
    <w:unhideWhenUsed/>
    <w:qFormat/>
    <w:uiPriority w:val="99"/>
    <w:pPr>
      <w:spacing w:after="120"/>
      <w:ind w:left="2100" w:leftChars="1000"/>
      <w:contextualSpacing/>
    </w:pPr>
  </w:style>
  <w:style w:type="paragraph" w:styleId="54">
    <w:name w:val="Balloon Text"/>
    <w:basedOn w:val="1"/>
    <w:link w:val="96"/>
    <w:autoRedefine/>
    <w:unhideWhenUsed/>
    <w:qFormat/>
    <w:uiPriority w:val="99"/>
    <w:rPr>
      <w:sz w:val="18"/>
      <w:szCs w:val="18"/>
    </w:rPr>
  </w:style>
  <w:style w:type="paragraph" w:styleId="55">
    <w:name w:val="footer"/>
    <w:basedOn w:val="1"/>
    <w:link w:val="93"/>
    <w:autoRedefine/>
    <w:unhideWhenUsed/>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57">
    <w:name w:val="header"/>
    <w:basedOn w:val="1"/>
    <w:link w:val="9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8"/>
    <w:autoRedefine/>
    <w:semiHidden/>
    <w:unhideWhenUsed/>
    <w:qFormat/>
    <w:uiPriority w:val="99"/>
    <w:pPr>
      <w:ind w:left="100" w:leftChars="2100"/>
    </w:pPr>
  </w:style>
  <w:style w:type="paragraph" w:styleId="59">
    <w:name w:val="toc 1"/>
    <w:basedOn w:val="1"/>
    <w:next w:val="1"/>
    <w:autoRedefine/>
    <w:semiHidden/>
    <w:unhideWhenUsed/>
    <w:qFormat/>
    <w:uiPriority w:val="39"/>
  </w:style>
  <w:style w:type="paragraph" w:styleId="60">
    <w:name w:val="List Continue 4"/>
    <w:basedOn w:val="1"/>
    <w:autoRedefine/>
    <w:semiHidden/>
    <w:unhideWhenUsed/>
    <w:qFormat/>
    <w:uiPriority w:val="99"/>
    <w:pPr>
      <w:spacing w:after="120"/>
      <w:ind w:left="1680" w:leftChars="800"/>
      <w:contextualSpacing/>
    </w:pPr>
  </w:style>
  <w:style w:type="paragraph" w:styleId="61">
    <w:name w:val="toc 4"/>
    <w:basedOn w:val="1"/>
    <w:next w:val="1"/>
    <w:autoRedefine/>
    <w:semiHidden/>
    <w:unhideWhenUsed/>
    <w:qFormat/>
    <w:uiPriority w:val="39"/>
    <w:pPr>
      <w:ind w:left="1260" w:leftChars="600"/>
    </w:pPr>
  </w:style>
  <w:style w:type="paragraph" w:styleId="62">
    <w:name w:val="index heading"/>
    <w:basedOn w:val="1"/>
    <w:next w:val="63"/>
    <w:autoRedefine/>
    <w:semiHidden/>
    <w:unhideWhenUsed/>
    <w:qFormat/>
    <w:uiPriority w:val="99"/>
    <w:rPr>
      <w:rFonts w:asciiTheme="majorHAnsi" w:hAnsiTheme="majorHAnsi" w:eastAsiaTheme="majorEastAsia" w:cstheme="majorBidi"/>
      <w:b/>
      <w:bCs/>
    </w:rPr>
  </w:style>
  <w:style w:type="paragraph" w:styleId="63">
    <w:name w:val="index 1"/>
    <w:basedOn w:val="1"/>
    <w:next w:val="1"/>
    <w:autoRedefine/>
    <w:semiHidden/>
    <w:unhideWhenUsed/>
    <w:qFormat/>
    <w:uiPriority w:val="99"/>
  </w:style>
  <w:style w:type="paragraph" w:styleId="64">
    <w:name w:val="Subtitle"/>
    <w:basedOn w:val="1"/>
    <w:next w:val="1"/>
    <w:link w:val="122"/>
    <w:autoRedefine/>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65">
    <w:name w:val="List Number 5"/>
    <w:basedOn w:val="1"/>
    <w:autoRedefine/>
    <w:semiHidden/>
    <w:unhideWhenUsed/>
    <w:qFormat/>
    <w:uiPriority w:val="99"/>
    <w:pPr>
      <w:numPr>
        <w:ilvl w:val="0"/>
        <w:numId w:val="10"/>
      </w:numPr>
      <w:contextualSpacing/>
    </w:pPr>
  </w:style>
  <w:style w:type="paragraph" w:styleId="66">
    <w:name w:val="List"/>
    <w:basedOn w:val="1"/>
    <w:autoRedefine/>
    <w:semiHidden/>
    <w:unhideWhenUsed/>
    <w:qFormat/>
    <w:uiPriority w:val="99"/>
    <w:pPr>
      <w:ind w:left="200" w:hanging="200" w:hangingChars="200"/>
      <w:contextualSpacing/>
    </w:pPr>
  </w:style>
  <w:style w:type="paragraph" w:styleId="67">
    <w:name w:val="footnote text"/>
    <w:basedOn w:val="1"/>
    <w:link w:val="124"/>
    <w:autoRedefine/>
    <w:semiHidden/>
    <w:unhideWhenUsed/>
    <w:qFormat/>
    <w:uiPriority w:val="99"/>
    <w:pPr>
      <w:snapToGrid w:val="0"/>
      <w:jc w:val="left"/>
    </w:pPr>
    <w:rPr>
      <w:sz w:val="18"/>
      <w:szCs w:val="18"/>
    </w:rPr>
  </w:style>
  <w:style w:type="paragraph" w:styleId="68">
    <w:name w:val="toc 6"/>
    <w:basedOn w:val="1"/>
    <w:next w:val="1"/>
    <w:autoRedefine/>
    <w:semiHidden/>
    <w:unhideWhenUsed/>
    <w:qFormat/>
    <w:uiPriority w:val="39"/>
    <w:pPr>
      <w:ind w:left="2100" w:leftChars="1000"/>
    </w:pPr>
  </w:style>
  <w:style w:type="paragraph" w:styleId="69">
    <w:name w:val="List 5"/>
    <w:basedOn w:val="1"/>
    <w:autoRedefine/>
    <w:semiHidden/>
    <w:unhideWhenUsed/>
    <w:qFormat/>
    <w:uiPriority w:val="99"/>
    <w:pPr>
      <w:ind w:left="100" w:leftChars="800" w:hanging="200" w:hangingChars="200"/>
      <w:contextualSpacing/>
    </w:pPr>
  </w:style>
  <w:style w:type="paragraph" w:styleId="70">
    <w:name w:val="Body Text Indent 3"/>
    <w:basedOn w:val="1"/>
    <w:link w:val="144"/>
    <w:autoRedefine/>
    <w:semiHidden/>
    <w:unhideWhenUsed/>
    <w:qFormat/>
    <w:uiPriority w:val="99"/>
    <w:pPr>
      <w:spacing w:after="120"/>
      <w:ind w:left="420" w:leftChars="200"/>
    </w:pPr>
    <w:rPr>
      <w:sz w:val="16"/>
      <w:szCs w:val="16"/>
    </w:rPr>
  </w:style>
  <w:style w:type="paragraph" w:styleId="71">
    <w:name w:val="index 7"/>
    <w:basedOn w:val="1"/>
    <w:next w:val="1"/>
    <w:autoRedefine/>
    <w:semiHidden/>
    <w:unhideWhenUsed/>
    <w:qFormat/>
    <w:uiPriority w:val="99"/>
    <w:pPr>
      <w:ind w:left="1200" w:leftChars="1200"/>
    </w:pPr>
  </w:style>
  <w:style w:type="paragraph" w:styleId="72">
    <w:name w:val="index 9"/>
    <w:basedOn w:val="1"/>
    <w:next w:val="1"/>
    <w:autoRedefine/>
    <w:semiHidden/>
    <w:unhideWhenUsed/>
    <w:qFormat/>
    <w:uiPriority w:val="99"/>
    <w:pPr>
      <w:ind w:left="1600" w:leftChars="1600"/>
    </w:pPr>
  </w:style>
  <w:style w:type="paragraph" w:styleId="73">
    <w:name w:val="table of figures"/>
    <w:basedOn w:val="1"/>
    <w:next w:val="1"/>
    <w:autoRedefine/>
    <w:semiHidden/>
    <w:unhideWhenUsed/>
    <w:qFormat/>
    <w:uiPriority w:val="99"/>
    <w:pPr>
      <w:ind w:left="200" w:leftChars="200" w:hanging="200" w:hangingChars="200"/>
    </w:pPr>
  </w:style>
  <w:style w:type="paragraph" w:styleId="74">
    <w:name w:val="toc 2"/>
    <w:basedOn w:val="1"/>
    <w:next w:val="1"/>
    <w:autoRedefine/>
    <w:semiHidden/>
    <w:unhideWhenUsed/>
    <w:qFormat/>
    <w:uiPriority w:val="39"/>
    <w:pPr>
      <w:ind w:left="420" w:leftChars="200"/>
    </w:pPr>
  </w:style>
  <w:style w:type="paragraph" w:styleId="75">
    <w:name w:val="toc 9"/>
    <w:basedOn w:val="1"/>
    <w:next w:val="1"/>
    <w:autoRedefine/>
    <w:semiHidden/>
    <w:unhideWhenUsed/>
    <w:qFormat/>
    <w:uiPriority w:val="39"/>
    <w:pPr>
      <w:ind w:left="3360" w:leftChars="1600"/>
    </w:pPr>
  </w:style>
  <w:style w:type="paragraph" w:styleId="76">
    <w:name w:val="Body Text 2"/>
    <w:basedOn w:val="1"/>
    <w:link w:val="137"/>
    <w:autoRedefine/>
    <w:semiHidden/>
    <w:unhideWhenUsed/>
    <w:qFormat/>
    <w:uiPriority w:val="99"/>
    <w:pPr>
      <w:spacing w:after="120" w:line="480" w:lineRule="auto"/>
    </w:pPr>
  </w:style>
  <w:style w:type="paragraph" w:styleId="77">
    <w:name w:val="List 4"/>
    <w:basedOn w:val="1"/>
    <w:autoRedefine/>
    <w:semiHidden/>
    <w:unhideWhenUsed/>
    <w:qFormat/>
    <w:uiPriority w:val="99"/>
    <w:pPr>
      <w:ind w:left="100" w:leftChars="600" w:hanging="200" w:hangingChars="200"/>
      <w:contextualSpacing/>
    </w:pPr>
  </w:style>
  <w:style w:type="paragraph" w:styleId="78">
    <w:name w:val="List Continue 2"/>
    <w:basedOn w:val="1"/>
    <w:autoRedefine/>
    <w:semiHidden/>
    <w:unhideWhenUsed/>
    <w:qFormat/>
    <w:uiPriority w:val="99"/>
    <w:pPr>
      <w:spacing w:after="120"/>
      <w:ind w:left="840" w:leftChars="400"/>
      <w:contextualSpacing/>
    </w:pPr>
  </w:style>
  <w:style w:type="paragraph" w:styleId="79">
    <w:name w:val="Message Header"/>
    <w:basedOn w:val="1"/>
    <w:link w:val="134"/>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7"/>
    <w:autoRedefine/>
    <w:semiHidden/>
    <w:unhideWhenUsed/>
    <w:qFormat/>
    <w:uiPriority w:val="99"/>
    <w:rPr>
      <w:rFonts w:ascii="Courier New" w:hAnsi="Courier New" w:cs="Courier New"/>
      <w:sz w:val="20"/>
      <w:szCs w:val="20"/>
    </w:rPr>
  </w:style>
  <w:style w:type="paragraph" w:styleId="81">
    <w:name w:val="Normal (Web)"/>
    <w:basedOn w:val="1"/>
    <w:autoRedefine/>
    <w:semiHidden/>
    <w:unhideWhenUsed/>
    <w:qFormat/>
    <w:uiPriority w:val="99"/>
    <w:pPr>
      <w:spacing w:beforeAutospacing="1" w:afterAutospacing="1"/>
      <w:jc w:val="left"/>
    </w:pPr>
    <w:rPr>
      <w:kern w:val="0"/>
      <w:sz w:val="24"/>
    </w:rPr>
  </w:style>
  <w:style w:type="paragraph" w:styleId="82">
    <w:name w:val="List Continue 3"/>
    <w:basedOn w:val="1"/>
    <w:autoRedefine/>
    <w:semiHidden/>
    <w:unhideWhenUsed/>
    <w:qFormat/>
    <w:uiPriority w:val="99"/>
    <w:pPr>
      <w:spacing w:after="120"/>
      <w:ind w:left="1260" w:leftChars="600"/>
      <w:contextualSpacing/>
    </w:pPr>
  </w:style>
  <w:style w:type="paragraph" w:styleId="83">
    <w:name w:val="index 2"/>
    <w:basedOn w:val="1"/>
    <w:next w:val="1"/>
    <w:autoRedefine/>
    <w:semiHidden/>
    <w:unhideWhenUsed/>
    <w:qFormat/>
    <w:uiPriority w:val="99"/>
    <w:pPr>
      <w:ind w:left="200" w:leftChars="200"/>
    </w:pPr>
  </w:style>
  <w:style w:type="paragraph" w:styleId="84">
    <w:name w:val="Title"/>
    <w:basedOn w:val="1"/>
    <w:next w:val="1"/>
    <w:link w:val="110"/>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85">
    <w:name w:val="annotation subject"/>
    <w:basedOn w:val="28"/>
    <w:next w:val="28"/>
    <w:link w:val="100"/>
    <w:autoRedefine/>
    <w:semiHidden/>
    <w:unhideWhenUsed/>
    <w:qFormat/>
    <w:uiPriority w:val="99"/>
    <w:rPr>
      <w:b/>
      <w:bCs/>
    </w:rPr>
  </w:style>
  <w:style w:type="paragraph" w:styleId="86">
    <w:name w:val="Body Text First Indent"/>
    <w:basedOn w:val="34"/>
    <w:link w:val="140"/>
    <w:autoRedefine/>
    <w:semiHidden/>
    <w:unhideWhenUsed/>
    <w:qFormat/>
    <w:uiPriority w:val="99"/>
    <w:pPr>
      <w:spacing w:after="120"/>
      <w:ind w:firstLine="420" w:firstLineChars="100"/>
    </w:pPr>
    <w:rPr>
      <w:rFonts w:ascii="Calibri" w:hAnsi="Calibri" w:cs="Times New Roman"/>
      <w:sz w:val="21"/>
      <w:szCs w:val="22"/>
      <w:lang w:eastAsia="zh-CN"/>
    </w:rPr>
  </w:style>
  <w:style w:type="paragraph" w:styleId="87">
    <w:name w:val="Body Text First Indent 2"/>
    <w:basedOn w:val="35"/>
    <w:link w:val="142"/>
    <w:autoRedefine/>
    <w:semiHidden/>
    <w:unhideWhenUsed/>
    <w:qFormat/>
    <w:uiPriority w:val="99"/>
    <w:pPr>
      <w:ind w:firstLine="420" w:firstLineChars="200"/>
    </w:pPr>
  </w:style>
  <w:style w:type="table" w:styleId="89">
    <w:name w:val="Table Grid"/>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annotation reference"/>
    <w:basedOn w:val="90"/>
    <w:autoRedefine/>
    <w:semiHidden/>
    <w:unhideWhenUsed/>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脚 字符"/>
    <w:basedOn w:val="90"/>
    <w:link w:val="55"/>
    <w:autoRedefine/>
    <w:qFormat/>
    <w:uiPriority w:val="99"/>
    <w:rPr>
      <w:rFonts w:ascii="Calibri" w:hAnsi="Calibri" w:eastAsia="宋体" w:cs="Times New Roman"/>
      <w:sz w:val="18"/>
      <w:szCs w:val="18"/>
    </w:rPr>
  </w:style>
  <w:style w:type="paragraph" w:customStyle="1" w:styleId="94">
    <w:name w:val="列出段落1"/>
    <w:basedOn w:val="1"/>
    <w:autoRedefine/>
    <w:qFormat/>
    <w:uiPriority w:val="34"/>
    <w:pPr>
      <w:numPr>
        <w:ilvl w:val="0"/>
        <w:numId w:val="11"/>
      </w:numPr>
      <w:adjustRightInd w:val="0"/>
      <w:snapToGrid w:val="0"/>
      <w:spacing w:line="560" w:lineRule="exact"/>
    </w:pPr>
  </w:style>
  <w:style w:type="character" w:customStyle="1" w:styleId="95">
    <w:name w:val="页眉 字符"/>
    <w:basedOn w:val="90"/>
    <w:link w:val="57"/>
    <w:autoRedefine/>
    <w:semiHidden/>
    <w:qFormat/>
    <w:uiPriority w:val="99"/>
    <w:rPr>
      <w:rFonts w:ascii="Calibri" w:hAnsi="Calibri" w:eastAsia="宋体" w:cs="Times New Roman"/>
      <w:sz w:val="18"/>
      <w:szCs w:val="18"/>
    </w:rPr>
  </w:style>
  <w:style w:type="character" w:customStyle="1" w:styleId="96">
    <w:name w:val="批注框文本 字符"/>
    <w:basedOn w:val="90"/>
    <w:link w:val="54"/>
    <w:autoRedefine/>
    <w:semiHidden/>
    <w:qFormat/>
    <w:uiPriority w:val="99"/>
    <w:rPr>
      <w:rFonts w:ascii="Calibri" w:hAnsi="Calibri" w:eastAsia="宋体" w:cs="Times New Roman"/>
      <w:sz w:val="18"/>
      <w:szCs w:val="18"/>
    </w:rPr>
  </w:style>
  <w:style w:type="paragraph" w:customStyle="1" w:styleId="97">
    <w:name w:val="修订1"/>
    <w:autoRedefine/>
    <w:hidden/>
    <w:semiHidden/>
    <w:qFormat/>
    <w:uiPriority w:val="99"/>
    <w:rPr>
      <w:rFonts w:ascii="Calibri" w:hAnsi="Calibri" w:eastAsia="宋体" w:cs="Times New Roman"/>
      <w:kern w:val="2"/>
      <w:sz w:val="21"/>
      <w:szCs w:val="22"/>
      <w:lang w:val="en-US" w:eastAsia="zh-CN" w:bidi="ar-SA"/>
    </w:rPr>
  </w:style>
  <w:style w:type="paragraph" w:styleId="98">
    <w:name w:val="List Paragraph"/>
    <w:basedOn w:val="1"/>
    <w:autoRedefine/>
    <w:qFormat/>
    <w:uiPriority w:val="99"/>
    <w:pPr>
      <w:ind w:firstLine="420" w:firstLineChars="200"/>
    </w:pPr>
  </w:style>
  <w:style w:type="character" w:customStyle="1" w:styleId="99">
    <w:name w:val="批注文字 字符"/>
    <w:basedOn w:val="90"/>
    <w:link w:val="28"/>
    <w:autoRedefine/>
    <w:qFormat/>
    <w:uiPriority w:val="0"/>
    <w:rPr>
      <w:rFonts w:ascii="Calibri" w:hAnsi="Calibri"/>
      <w:kern w:val="2"/>
      <w:sz w:val="21"/>
      <w:szCs w:val="22"/>
    </w:rPr>
  </w:style>
  <w:style w:type="character" w:customStyle="1" w:styleId="100">
    <w:name w:val="批注主题 字符"/>
    <w:basedOn w:val="99"/>
    <w:link w:val="85"/>
    <w:autoRedefine/>
    <w:qFormat/>
    <w:uiPriority w:val="0"/>
    <w:rPr>
      <w:rFonts w:ascii="Calibri" w:hAnsi="Calibri" w:eastAsia="宋体" w:cs="Times New Roman"/>
      <w:kern w:val="2"/>
      <w:sz w:val="21"/>
      <w:szCs w:val="22"/>
    </w:rPr>
  </w:style>
  <w:style w:type="paragraph" w:customStyle="1" w:styleId="101">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102">
    <w:name w:val="修订3"/>
    <w:autoRedefine/>
    <w:hidden/>
    <w:unhideWhenUsed/>
    <w:qFormat/>
    <w:uiPriority w:val="99"/>
    <w:rPr>
      <w:rFonts w:ascii="Calibri" w:hAnsi="Calibri" w:eastAsia="宋体" w:cs="Times New Roman"/>
      <w:kern w:val="2"/>
      <w:sz w:val="21"/>
      <w:szCs w:val="22"/>
      <w:lang w:val="en-US" w:eastAsia="zh-CN" w:bidi="ar-SA"/>
    </w:rPr>
  </w:style>
  <w:style w:type="paragraph" w:customStyle="1" w:styleId="103">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04">
    <w:name w:val="Table Normal"/>
    <w:autoRedefine/>
    <w:semiHidden/>
    <w:unhideWhenUsed/>
    <w:qFormat/>
    <w:uiPriority w:val="0"/>
    <w:tblPr>
      <w:tblCellMar>
        <w:top w:w="0" w:type="dxa"/>
        <w:left w:w="0" w:type="dxa"/>
        <w:bottom w:w="0" w:type="dxa"/>
        <w:right w:w="0" w:type="dxa"/>
      </w:tblCellMar>
    </w:tblPr>
  </w:style>
  <w:style w:type="paragraph" w:customStyle="1" w:styleId="105">
    <w:name w:val="Table Text"/>
    <w:basedOn w:val="1"/>
    <w:autoRedefine/>
    <w:semiHidden/>
    <w:qFormat/>
    <w:uiPriority w:val="0"/>
    <w:pPr>
      <w:spacing w:before="64" w:line="284" w:lineRule="auto"/>
      <w:ind w:left="18" w:right="30" w:hanging="7"/>
      <w:jc w:val="left"/>
    </w:pPr>
    <w:rPr>
      <w:rFonts w:ascii="Times New Roman" w:hAnsi="Times New Roman" w:eastAsia="Times New Roman"/>
      <w:sz w:val="24"/>
      <w:szCs w:val="24"/>
      <w:lang w:eastAsia="en-US"/>
    </w:rPr>
  </w:style>
  <w:style w:type="character" w:customStyle="1" w:styleId="106">
    <w:name w:val="HTML 地址 字符"/>
    <w:basedOn w:val="90"/>
    <w:link w:val="41"/>
    <w:autoRedefine/>
    <w:semiHidden/>
    <w:qFormat/>
    <w:uiPriority w:val="99"/>
    <w:rPr>
      <w:rFonts w:ascii="Calibri" w:hAnsi="Calibri"/>
      <w:i/>
      <w:iCs/>
      <w:kern w:val="2"/>
      <w:sz w:val="21"/>
      <w:szCs w:val="22"/>
    </w:rPr>
  </w:style>
  <w:style w:type="character" w:customStyle="1" w:styleId="107">
    <w:name w:val="HTML 预设格式 字符"/>
    <w:basedOn w:val="90"/>
    <w:link w:val="80"/>
    <w:autoRedefine/>
    <w:semiHidden/>
    <w:qFormat/>
    <w:uiPriority w:val="99"/>
    <w:rPr>
      <w:rFonts w:ascii="Courier New" w:hAnsi="Courier New" w:cs="Courier New"/>
      <w:kern w:val="2"/>
    </w:rPr>
  </w:style>
  <w:style w:type="character" w:customStyle="1" w:styleId="108">
    <w:name w:val="标题 1 字符"/>
    <w:basedOn w:val="90"/>
    <w:link w:val="3"/>
    <w:autoRedefine/>
    <w:qFormat/>
    <w:uiPriority w:val="9"/>
    <w:rPr>
      <w:rFonts w:ascii="Calibri" w:hAnsi="Calibri"/>
      <w:b/>
      <w:bCs/>
      <w:kern w:val="44"/>
      <w:sz w:val="44"/>
      <w:szCs w:val="44"/>
    </w:rPr>
  </w:style>
  <w:style w:type="paragraph" w:customStyle="1" w:styleId="109">
    <w:name w:val="TOC 标题1"/>
    <w:basedOn w:val="3"/>
    <w:next w:val="1"/>
    <w:autoRedefine/>
    <w:semiHidden/>
    <w:unhideWhenUsed/>
    <w:qFormat/>
    <w:uiPriority w:val="39"/>
    <w:pPr>
      <w:outlineLvl w:val="9"/>
    </w:pPr>
  </w:style>
  <w:style w:type="character" w:customStyle="1" w:styleId="110">
    <w:name w:val="标题 字符"/>
    <w:basedOn w:val="90"/>
    <w:link w:val="84"/>
    <w:autoRedefine/>
    <w:qFormat/>
    <w:uiPriority w:val="10"/>
    <w:rPr>
      <w:rFonts w:asciiTheme="majorHAnsi" w:hAnsiTheme="majorHAnsi" w:eastAsiaTheme="majorEastAsia" w:cstheme="majorBidi"/>
      <w:b/>
      <w:bCs/>
      <w:kern w:val="2"/>
      <w:sz w:val="32"/>
      <w:szCs w:val="32"/>
    </w:rPr>
  </w:style>
  <w:style w:type="character" w:customStyle="1" w:styleId="111">
    <w:name w:val="标题 2 字符"/>
    <w:basedOn w:val="90"/>
    <w:link w:val="4"/>
    <w:autoRedefine/>
    <w:semiHidden/>
    <w:qFormat/>
    <w:uiPriority w:val="9"/>
    <w:rPr>
      <w:rFonts w:asciiTheme="majorHAnsi" w:hAnsiTheme="majorHAnsi" w:eastAsiaTheme="majorEastAsia" w:cstheme="majorBidi"/>
      <w:b/>
      <w:bCs/>
      <w:kern w:val="2"/>
      <w:sz w:val="32"/>
      <w:szCs w:val="32"/>
    </w:rPr>
  </w:style>
  <w:style w:type="character" w:customStyle="1" w:styleId="112">
    <w:name w:val="标题 3 字符"/>
    <w:basedOn w:val="90"/>
    <w:link w:val="5"/>
    <w:autoRedefine/>
    <w:semiHidden/>
    <w:qFormat/>
    <w:uiPriority w:val="9"/>
    <w:rPr>
      <w:rFonts w:ascii="Calibri" w:hAnsi="Calibri"/>
      <w:b/>
      <w:bCs/>
      <w:kern w:val="2"/>
      <w:sz w:val="32"/>
      <w:szCs w:val="32"/>
    </w:rPr>
  </w:style>
  <w:style w:type="character" w:customStyle="1" w:styleId="113">
    <w:name w:val="标题 4 字符"/>
    <w:basedOn w:val="90"/>
    <w:link w:val="6"/>
    <w:autoRedefine/>
    <w:semiHidden/>
    <w:qFormat/>
    <w:uiPriority w:val="9"/>
    <w:rPr>
      <w:rFonts w:asciiTheme="majorHAnsi" w:hAnsiTheme="majorHAnsi" w:eastAsiaTheme="majorEastAsia" w:cstheme="majorBidi"/>
      <w:b/>
      <w:bCs/>
      <w:kern w:val="2"/>
      <w:sz w:val="28"/>
      <w:szCs w:val="28"/>
    </w:rPr>
  </w:style>
  <w:style w:type="character" w:customStyle="1" w:styleId="114">
    <w:name w:val="标题 5 字符"/>
    <w:basedOn w:val="90"/>
    <w:link w:val="7"/>
    <w:autoRedefine/>
    <w:semiHidden/>
    <w:qFormat/>
    <w:uiPriority w:val="9"/>
    <w:rPr>
      <w:rFonts w:ascii="Calibri" w:hAnsi="Calibri"/>
      <w:b/>
      <w:bCs/>
      <w:kern w:val="2"/>
      <w:sz w:val="28"/>
      <w:szCs w:val="28"/>
    </w:rPr>
  </w:style>
  <w:style w:type="character" w:customStyle="1" w:styleId="115">
    <w:name w:val="标题 6 字符"/>
    <w:basedOn w:val="90"/>
    <w:link w:val="8"/>
    <w:autoRedefine/>
    <w:semiHidden/>
    <w:qFormat/>
    <w:uiPriority w:val="9"/>
    <w:rPr>
      <w:rFonts w:asciiTheme="majorHAnsi" w:hAnsiTheme="majorHAnsi" w:eastAsiaTheme="majorEastAsia" w:cstheme="majorBidi"/>
      <w:b/>
      <w:bCs/>
      <w:kern w:val="2"/>
      <w:sz w:val="24"/>
      <w:szCs w:val="24"/>
    </w:rPr>
  </w:style>
  <w:style w:type="character" w:customStyle="1" w:styleId="116">
    <w:name w:val="标题 7 字符"/>
    <w:basedOn w:val="90"/>
    <w:link w:val="9"/>
    <w:autoRedefine/>
    <w:semiHidden/>
    <w:qFormat/>
    <w:uiPriority w:val="9"/>
    <w:rPr>
      <w:rFonts w:ascii="Calibri" w:hAnsi="Calibri"/>
      <w:b/>
      <w:bCs/>
      <w:kern w:val="2"/>
      <w:sz w:val="24"/>
      <w:szCs w:val="24"/>
    </w:rPr>
  </w:style>
  <w:style w:type="character" w:customStyle="1" w:styleId="117">
    <w:name w:val="标题 8 字符"/>
    <w:basedOn w:val="90"/>
    <w:link w:val="10"/>
    <w:autoRedefine/>
    <w:semiHidden/>
    <w:qFormat/>
    <w:uiPriority w:val="9"/>
    <w:rPr>
      <w:rFonts w:asciiTheme="majorHAnsi" w:hAnsiTheme="majorHAnsi" w:eastAsiaTheme="majorEastAsia" w:cstheme="majorBidi"/>
      <w:kern w:val="2"/>
      <w:sz w:val="24"/>
      <w:szCs w:val="24"/>
    </w:rPr>
  </w:style>
  <w:style w:type="character" w:customStyle="1" w:styleId="118">
    <w:name w:val="标题 9 字符"/>
    <w:basedOn w:val="90"/>
    <w:link w:val="11"/>
    <w:autoRedefine/>
    <w:semiHidden/>
    <w:qFormat/>
    <w:uiPriority w:val="9"/>
    <w:rPr>
      <w:rFonts w:asciiTheme="majorHAnsi" w:hAnsiTheme="majorHAnsi" w:eastAsiaTheme="majorEastAsia" w:cstheme="majorBidi"/>
      <w:kern w:val="2"/>
      <w:sz w:val="21"/>
      <w:szCs w:val="21"/>
    </w:rPr>
  </w:style>
  <w:style w:type="character" w:customStyle="1" w:styleId="119">
    <w:name w:val="称呼 字符"/>
    <w:basedOn w:val="90"/>
    <w:link w:val="30"/>
    <w:autoRedefine/>
    <w:semiHidden/>
    <w:qFormat/>
    <w:uiPriority w:val="99"/>
    <w:rPr>
      <w:rFonts w:ascii="Calibri" w:hAnsi="Calibri"/>
      <w:kern w:val="2"/>
      <w:sz w:val="21"/>
      <w:szCs w:val="22"/>
    </w:rPr>
  </w:style>
  <w:style w:type="character" w:customStyle="1" w:styleId="120">
    <w:name w:val="纯文本 字符"/>
    <w:basedOn w:val="90"/>
    <w:link w:val="45"/>
    <w:autoRedefine/>
    <w:semiHidden/>
    <w:qFormat/>
    <w:uiPriority w:val="99"/>
    <w:rPr>
      <w:rFonts w:hAnsi="Courier New" w:cs="Courier New" w:asciiTheme="minorEastAsia" w:eastAsiaTheme="minorEastAsia"/>
      <w:kern w:val="2"/>
      <w:sz w:val="21"/>
      <w:szCs w:val="22"/>
    </w:rPr>
  </w:style>
  <w:style w:type="character" w:customStyle="1" w:styleId="121">
    <w:name w:val="电子邮件签名 字符"/>
    <w:basedOn w:val="90"/>
    <w:link w:val="19"/>
    <w:autoRedefine/>
    <w:semiHidden/>
    <w:qFormat/>
    <w:uiPriority w:val="99"/>
    <w:rPr>
      <w:rFonts w:ascii="Calibri" w:hAnsi="Calibri"/>
      <w:kern w:val="2"/>
      <w:sz w:val="21"/>
      <w:szCs w:val="22"/>
    </w:rPr>
  </w:style>
  <w:style w:type="character" w:customStyle="1" w:styleId="122">
    <w:name w:val="副标题 字符"/>
    <w:basedOn w:val="90"/>
    <w:link w:val="64"/>
    <w:autoRedefine/>
    <w:qFormat/>
    <w:uiPriority w:val="11"/>
    <w:rPr>
      <w:rFonts w:asciiTheme="minorHAnsi" w:hAnsiTheme="minorHAnsi" w:eastAsiaTheme="minorEastAsia" w:cstheme="minorBidi"/>
      <w:b/>
      <w:bCs/>
      <w:kern w:val="28"/>
      <w:sz w:val="32"/>
      <w:szCs w:val="32"/>
    </w:rPr>
  </w:style>
  <w:style w:type="character" w:customStyle="1" w:styleId="123">
    <w:name w:val="宏文本 字符"/>
    <w:basedOn w:val="90"/>
    <w:link w:val="2"/>
    <w:autoRedefine/>
    <w:semiHidden/>
    <w:qFormat/>
    <w:uiPriority w:val="99"/>
    <w:rPr>
      <w:rFonts w:ascii="Courier New" w:hAnsi="Courier New" w:cs="Courier New"/>
      <w:kern w:val="2"/>
      <w:sz w:val="24"/>
      <w:szCs w:val="24"/>
    </w:rPr>
  </w:style>
  <w:style w:type="character" w:customStyle="1" w:styleId="124">
    <w:name w:val="脚注文本 字符"/>
    <w:basedOn w:val="90"/>
    <w:link w:val="67"/>
    <w:autoRedefine/>
    <w:semiHidden/>
    <w:qFormat/>
    <w:uiPriority w:val="99"/>
    <w:rPr>
      <w:rFonts w:ascii="Calibri" w:hAnsi="Calibri"/>
      <w:kern w:val="2"/>
      <w:sz w:val="18"/>
      <w:szCs w:val="18"/>
    </w:rPr>
  </w:style>
  <w:style w:type="character" w:customStyle="1" w:styleId="125">
    <w:name w:val="结束语 字符"/>
    <w:basedOn w:val="90"/>
    <w:link w:val="32"/>
    <w:autoRedefine/>
    <w:semiHidden/>
    <w:qFormat/>
    <w:uiPriority w:val="99"/>
    <w:rPr>
      <w:rFonts w:ascii="Calibri" w:hAnsi="Calibri"/>
      <w:kern w:val="2"/>
      <w:sz w:val="21"/>
      <w:szCs w:val="22"/>
    </w:rPr>
  </w:style>
  <w:style w:type="paragraph" w:styleId="126">
    <w:name w:val="Intense Quote"/>
    <w:basedOn w:val="1"/>
    <w:next w:val="1"/>
    <w:link w:val="127"/>
    <w:autoRedefine/>
    <w:semiHidden/>
    <w:unhideWhenUsed/>
    <w:qFormat/>
    <w:uiPriority w:val="99"/>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27">
    <w:name w:val="明显引用 字符"/>
    <w:basedOn w:val="90"/>
    <w:link w:val="126"/>
    <w:autoRedefine/>
    <w:semiHidden/>
    <w:qFormat/>
    <w:uiPriority w:val="99"/>
    <w:rPr>
      <w:rFonts w:ascii="Calibri" w:hAnsi="Calibri"/>
      <w:i/>
      <w:iCs/>
      <w:color w:val="4F81BD" w:themeColor="accent1"/>
      <w:kern w:val="2"/>
      <w:sz w:val="21"/>
      <w:szCs w:val="22"/>
      <w14:textFill>
        <w14:solidFill>
          <w14:schemeClr w14:val="accent1"/>
        </w14:solidFill>
      </w14:textFill>
    </w:rPr>
  </w:style>
  <w:style w:type="character" w:customStyle="1" w:styleId="128">
    <w:name w:val="签名 字符"/>
    <w:basedOn w:val="90"/>
    <w:link w:val="58"/>
    <w:autoRedefine/>
    <w:semiHidden/>
    <w:qFormat/>
    <w:uiPriority w:val="99"/>
    <w:rPr>
      <w:rFonts w:ascii="Calibri" w:hAnsi="Calibri"/>
      <w:kern w:val="2"/>
      <w:sz w:val="21"/>
      <w:szCs w:val="22"/>
    </w:rPr>
  </w:style>
  <w:style w:type="character" w:customStyle="1" w:styleId="129">
    <w:name w:val="日期 字符"/>
    <w:basedOn w:val="90"/>
    <w:link w:val="50"/>
    <w:autoRedefine/>
    <w:semiHidden/>
    <w:qFormat/>
    <w:uiPriority w:val="99"/>
    <w:rPr>
      <w:rFonts w:ascii="Calibri" w:hAnsi="Calibri"/>
      <w:kern w:val="2"/>
      <w:sz w:val="21"/>
      <w:szCs w:val="22"/>
    </w:rPr>
  </w:style>
  <w:style w:type="paragraph" w:customStyle="1" w:styleId="130">
    <w:name w:val="书目1"/>
    <w:basedOn w:val="1"/>
    <w:next w:val="1"/>
    <w:autoRedefine/>
    <w:semiHidden/>
    <w:unhideWhenUsed/>
    <w:qFormat/>
    <w:uiPriority w:val="37"/>
  </w:style>
  <w:style w:type="character" w:customStyle="1" w:styleId="131">
    <w:name w:val="尾注文本 字符"/>
    <w:basedOn w:val="90"/>
    <w:link w:val="52"/>
    <w:autoRedefine/>
    <w:semiHidden/>
    <w:qFormat/>
    <w:uiPriority w:val="99"/>
    <w:rPr>
      <w:rFonts w:ascii="Calibri" w:hAnsi="Calibri"/>
      <w:kern w:val="2"/>
      <w:sz w:val="21"/>
      <w:szCs w:val="22"/>
    </w:rPr>
  </w:style>
  <w:style w:type="character" w:customStyle="1" w:styleId="132">
    <w:name w:val="文档结构图 字符"/>
    <w:basedOn w:val="90"/>
    <w:link w:val="26"/>
    <w:autoRedefine/>
    <w:semiHidden/>
    <w:qFormat/>
    <w:uiPriority w:val="99"/>
    <w:rPr>
      <w:rFonts w:ascii="Microsoft YaHei UI" w:hAnsi="Calibri" w:eastAsia="Microsoft YaHei UI"/>
      <w:kern w:val="2"/>
      <w:sz w:val="18"/>
      <w:szCs w:val="18"/>
    </w:rPr>
  </w:style>
  <w:style w:type="paragraph" w:styleId="133">
    <w:name w:val="No Spacing"/>
    <w:autoRedefine/>
    <w:semiHidden/>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4">
    <w:name w:val="信息标题 字符"/>
    <w:basedOn w:val="90"/>
    <w:link w:val="79"/>
    <w:autoRedefine/>
    <w:semiHidden/>
    <w:qFormat/>
    <w:uiPriority w:val="99"/>
    <w:rPr>
      <w:rFonts w:asciiTheme="majorHAnsi" w:hAnsiTheme="majorHAnsi" w:eastAsiaTheme="majorEastAsia" w:cstheme="majorBidi"/>
      <w:kern w:val="2"/>
      <w:sz w:val="24"/>
      <w:szCs w:val="24"/>
      <w:shd w:val="pct20" w:color="auto" w:fill="auto"/>
    </w:rPr>
  </w:style>
  <w:style w:type="paragraph" w:styleId="135">
    <w:name w:val="Quote"/>
    <w:basedOn w:val="1"/>
    <w:next w:val="1"/>
    <w:link w:val="136"/>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6">
    <w:name w:val="引用 字符"/>
    <w:basedOn w:val="90"/>
    <w:link w:val="135"/>
    <w:autoRedefine/>
    <w:semiHidden/>
    <w:qFormat/>
    <w:uiPriority w:val="99"/>
    <w:rPr>
      <w:rFonts w:ascii="Calibri" w:hAnsi="Calibr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7">
    <w:name w:val="正文文本 2 字符"/>
    <w:basedOn w:val="90"/>
    <w:link w:val="76"/>
    <w:autoRedefine/>
    <w:semiHidden/>
    <w:qFormat/>
    <w:uiPriority w:val="99"/>
    <w:rPr>
      <w:rFonts w:ascii="Calibri" w:hAnsi="Calibri"/>
      <w:kern w:val="2"/>
      <w:sz w:val="21"/>
      <w:szCs w:val="22"/>
    </w:rPr>
  </w:style>
  <w:style w:type="character" w:customStyle="1" w:styleId="138">
    <w:name w:val="正文文本 3 字符"/>
    <w:basedOn w:val="90"/>
    <w:link w:val="31"/>
    <w:autoRedefine/>
    <w:semiHidden/>
    <w:qFormat/>
    <w:uiPriority w:val="99"/>
    <w:rPr>
      <w:rFonts w:ascii="Calibri" w:hAnsi="Calibri"/>
      <w:kern w:val="2"/>
      <w:sz w:val="16"/>
      <w:szCs w:val="16"/>
    </w:rPr>
  </w:style>
  <w:style w:type="character" w:customStyle="1" w:styleId="139">
    <w:name w:val="正文文本 字符"/>
    <w:basedOn w:val="90"/>
    <w:link w:val="34"/>
    <w:autoRedefine/>
    <w:semiHidden/>
    <w:qFormat/>
    <w:uiPriority w:val="0"/>
    <w:rPr>
      <w:rFonts w:ascii="宋体" w:hAnsi="宋体" w:cs="宋体"/>
      <w:kern w:val="2"/>
      <w:sz w:val="35"/>
      <w:szCs w:val="35"/>
      <w:lang w:eastAsia="en-US"/>
    </w:rPr>
  </w:style>
  <w:style w:type="character" w:customStyle="1" w:styleId="140">
    <w:name w:val="正文文本首行缩进 字符"/>
    <w:basedOn w:val="139"/>
    <w:link w:val="86"/>
    <w:autoRedefine/>
    <w:semiHidden/>
    <w:qFormat/>
    <w:uiPriority w:val="99"/>
    <w:rPr>
      <w:rFonts w:ascii="Calibri" w:hAnsi="Calibri" w:cs="宋体"/>
      <w:kern w:val="2"/>
      <w:sz w:val="21"/>
      <w:szCs w:val="22"/>
      <w:lang w:eastAsia="en-US"/>
    </w:rPr>
  </w:style>
  <w:style w:type="character" w:customStyle="1" w:styleId="141">
    <w:name w:val="正文文本缩进 字符"/>
    <w:basedOn w:val="90"/>
    <w:link w:val="35"/>
    <w:autoRedefine/>
    <w:semiHidden/>
    <w:qFormat/>
    <w:uiPriority w:val="99"/>
    <w:rPr>
      <w:rFonts w:ascii="Calibri" w:hAnsi="Calibri"/>
      <w:kern w:val="2"/>
      <w:sz w:val="21"/>
      <w:szCs w:val="22"/>
    </w:rPr>
  </w:style>
  <w:style w:type="character" w:customStyle="1" w:styleId="142">
    <w:name w:val="正文文本首行缩进 2 字符"/>
    <w:basedOn w:val="141"/>
    <w:link w:val="87"/>
    <w:autoRedefine/>
    <w:semiHidden/>
    <w:qFormat/>
    <w:uiPriority w:val="99"/>
    <w:rPr>
      <w:rFonts w:ascii="Calibri" w:hAnsi="Calibri"/>
      <w:kern w:val="2"/>
      <w:sz w:val="21"/>
      <w:szCs w:val="22"/>
    </w:rPr>
  </w:style>
  <w:style w:type="character" w:customStyle="1" w:styleId="143">
    <w:name w:val="正文文本缩进 2 字符"/>
    <w:basedOn w:val="90"/>
    <w:link w:val="51"/>
    <w:autoRedefine/>
    <w:semiHidden/>
    <w:qFormat/>
    <w:uiPriority w:val="99"/>
    <w:rPr>
      <w:rFonts w:ascii="Calibri" w:hAnsi="Calibri"/>
      <w:kern w:val="2"/>
      <w:sz w:val="21"/>
      <w:szCs w:val="22"/>
    </w:rPr>
  </w:style>
  <w:style w:type="character" w:customStyle="1" w:styleId="144">
    <w:name w:val="正文文本缩进 3 字符"/>
    <w:basedOn w:val="90"/>
    <w:link w:val="70"/>
    <w:autoRedefine/>
    <w:semiHidden/>
    <w:qFormat/>
    <w:uiPriority w:val="99"/>
    <w:rPr>
      <w:rFonts w:ascii="Calibri" w:hAnsi="Calibri"/>
      <w:kern w:val="2"/>
      <w:sz w:val="16"/>
      <w:szCs w:val="16"/>
    </w:rPr>
  </w:style>
  <w:style w:type="character" w:customStyle="1" w:styleId="145">
    <w:name w:val="注释标题 字符"/>
    <w:basedOn w:val="90"/>
    <w:link w:val="16"/>
    <w:autoRedefine/>
    <w:semiHidden/>
    <w:qFormat/>
    <w:uiPriority w:val="99"/>
    <w:rPr>
      <w:rFonts w:ascii="Calibri" w:hAnsi="Calibri"/>
      <w:kern w:val="2"/>
      <w:sz w:val="21"/>
      <w:szCs w:val="22"/>
    </w:rPr>
  </w:style>
  <w:style w:type="paragraph" w:customStyle="1" w:styleId="146">
    <w:name w:val="修订5"/>
    <w:autoRedefine/>
    <w:hidden/>
    <w:unhideWhenUsed/>
    <w:qFormat/>
    <w:uiPriority w:val="99"/>
    <w:rPr>
      <w:rFonts w:ascii="Calibri" w:hAnsi="Calibri" w:eastAsia="宋体" w:cs="Times New Roman"/>
      <w:kern w:val="2"/>
      <w:sz w:val="21"/>
      <w:szCs w:val="22"/>
      <w:lang w:val="en-US" w:eastAsia="zh-CN" w:bidi="ar-SA"/>
    </w:rPr>
  </w:style>
  <w:style w:type="character" w:customStyle="1" w:styleId="147">
    <w:name w:val="font11"/>
    <w:basedOn w:val="90"/>
    <w:autoRedefine/>
    <w:qFormat/>
    <w:uiPriority w:val="0"/>
    <w:rPr>
      <w:rFonts w:hint="eastAsia" w:ascii="宋体" w:hAnsi="宋体" w:eastAsia="宋体" w:cs="宋体"/>
      <w:b/>
      <w:bCs/>
      <w:color w:val="000000"/>
      <w:sz w:val="24"/>
      <w:szCs w:val="24"/>
      <w:u w:val="none"/>
    </w:rPr>
  </w:style>
  <w:style w:type="character" w:customStyle="1" w:styleId="148">
    <w:name w:val="font21"/>
    <w:basedOn w:val="90"/>
    <w:autoRedefine/>
    <w:qFormat/>
    <w:uiPriority w:val="0"/>
    <w:rPr>
      <w:rFonts w:hint="eastAsia" w:ascii="宋体" w:hAnsi="宋体" w:eastAsia="宋体" w:cs="宋体"/>
      <w:color w:val="000000"/>
      <w:sz w:val="24"/>
      <w:szCs w:val="24"/>
      <w:u w:val="none"/>
    </w:rPr>
  </w:style>
  <w:style w:type="paragraph" w:customStyle="1" w:styleId="149">
    <w:name w:val="修订6"/>
    <w:autoRedefine/>
    <w:hidden/>
    <w:unhideWhenUsed/>
    <w:qFormat/>
    <w:uiPriority w:val="99"/>
    <w:rPr>
      <w:rFonts w:ascii="Calibri" w:hAnsi="Calibri" w:eastAsia="宋体" w:cs="Times New Roman"/>
      <w:kern w:val="2"/>
      <w:sz w:val="21"/>
      <w:szCs w:val="22"/>
      <w:lang w:val="en-US" w:eastAsia="zh-CN" w:bidi="ar-SA"/>
    </w:rPr>
  </w:style>
  <w:style w:type="paragraph" w:customStyle="1" w:styleId="150">
    <w:name w:val="TOC 标题2"/>
    <w:basedOn w:val="3"/>
    <w:next w:val="1"/>
    <w:autoRedefine/>
    <w:semiHidden/>
    <w:unhideWhenUsed/>
    <w:qFormat/>
    <w:uiPriority w:val="39"/>
    <w:pPr>
      <w:outlineLvl w:val="9"/>
    </w:pPr>
  </w:style>
  <w:style w:type="paragraph" w:customStyle="1" w:styleId="151">
    <w:name w:val="书目2"/>
    <w:basedOn w:val="1"/>
    <w:next w:val="1"/>
    <w:autoRedefine/>
    <w:semiHidden/>
    <w:unhideWhenUsed/>
    <w:qFormat/>
    <w:uiPriority w:val="37"/>
  </w:style>
  <w:style w:type="paragraph" w:customStyle="1" w:styleId="15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2596</Words>
  <Characters>3051</Characters>
  <Lines>35</Lines>
  <Paragraphs>9</Paragraphs>
  <TotalTime>13</TotalTime>
  <ScaleCrop>false</ScaleCrop>
  <LinksUpToDate>false</LinksUpToDate>
  <CharactersWithSpaces>3084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2024-08-05T06:16:00Z</dcterms:created>
  <dc:creator>tek</dc:creator>
  <cp:lastModifiedBy>雯亦</cp:lastModifiedBy>
  <dcterms:modified xsi:type="dcterms:W3CDTF">2024-09-03T05:24:56Z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081A0DB5086F49A4A59BA92755190F7A_13</vt:lpwstr>
  </property>
</Properties>
</file>