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A75051D">
      <w:pPr>
        <w:widowControl/>
        <w:spacing w:before="156" w:line="360" w:lineRule="auto"/>
        <w:ind w:firstLine="602" w:firstLineChars="200"/>
        <w:jc w:val="center"/>
        <w:rPr>
          <w:rFonts w:hint="eastAsia" w:ascii="宋体" w:hAnsi="宋体" w:cs="宋体"/>
          <w:b/>
          <w:kern w:val="0"/>
          <w:sz w:val="30"/>
          <w:szCs w:val="30"/>
          <w:highlight w:val="none"/>
        </w:rPr>
      </w:pPr>
      <w:bookmarkStart w:id="0" w:name="_GoBack"/>
      <w:bookmarkEnd w:id="0"/>
      <w:r>
        <w:rPr>
          <w:rFonts w:hint="eastAsia" w:ascii="宋体" w:hAnsi="宋体" w:cs="宋体"/>
          <w:b/>
          <w:kern w:val="0"/>
          <w:sz w:val="30"/>
          <w:szCs w:val="30"/>
          <w:highlight w:val="none"/>
        </w:rPr>
        <w:t>重庆望变电气（集团）股份有限公司</w:t>
      </w:r>
    </w:p>
    <w:p w14:paraId="7C1F3CC5">
      <w:pPr>
        <w:widowControl/>
        <w:spacing w:after="240" w:afterLines="100" w:line="360" w:lineRule="auto"/>
        <w:ind w:firstLine="602" w:firstLineChars="200"/>
        <w:jc w:val="center"/>
        <w:rPr>
          <w:rFonts w:hint="eastAsia" w:ascii="宋体" w:hAnsi="宋体" w:cs="宋体"/>
          <w:b/>
          <w:kern w:val="0"/>
          <w:sz w:val="30"/>
          <w:szCs w:val="30"/>
          <w:highlight w:val="none"/>
        </w:rPr>
      </w:pPr>
      <w:r>
        <w:rPr>
          <w:rFonts w:ascii="宋体" w:hAnsi="宋体" w:cs="宋体"/>
          <w:b/>
          <w:kern w:val="0"/>
          <w:sz w:val="30"/>
          <w:szCs w:val="30"/>
          <w:highlight w:val="none"/>
        </w:rPr>
        <w:t>202</w:t>
      </w:r>
      <w:r>
        <w:rPr>
          <w:rFonts w:hint="eastAsia" w:ascii="宋体" w:hAnsi="宋体" w:cs="宋体"/>
          <w:b/>
          <w:kern w:val="0"/>
          <w:sz w:val="30"/>
          <w:szCs w:val="30"/>
          <w:highlight w:val="none"/>
        </w:rPr>
        <w:t>4半年度募集资金存放与实际使用情况的专项报告</w:t>
      </w:r>
    </w:p>
    <w:p w14:paraId="1DCC1DB9">
      <w:pPr>
        <w:widowControl/>
        <w:spacing w:before="240" w:beforeLines="100" w:line="360" w:lineRule="auto"/>
        <w:ind w:firstLine="422" w:firstLineChars="200"/>
        <w:outlineLvl w:val="1"/>
        <w:rPr>
          <w:rFonts w:hint="eastAsia" w:ascii="宋体" w:hAnsi="宋体" w:cs="宋体"/>
          <w:b/>
          <w:kern w:val="0"/>
          <w:szCs w:val="21"/>
          <w:highlight w:val="none"/>
        </w:rPr>
      </w:pPr>
      <w:r>
        <w:rPr>
          <w:rFonts w:ascii="宋体" w:hAnsi="宋体"/>
          <w:b/>
          <w:kern w:val="0"/>
          <w:szCs w:val="21"/>
          <w:highlight w:val="none"/>
        </w:rPr>
        <w:t>一、</w:t>
      </w:r>
      <w:r>
        <w:rPr>
          <w:rFonts w:ascii="宋体" w:hAnsi="宋体"/>
          <w:b/>
          <w:kern w:val="0"/>
          <w:szCs w:val="21"/>
          <w:highlight w:val="none"/>
        </w:rPr>
        <w:tab/>
      </w:r>
      <w:r>
        <w:rPr>
          <w:rFonts w:hint="eastAsia" w:ascii="宋体" w:hAnsi="宋体" w:cs="宋体"/>
          <w:b/>
          <w:kern w:val="0"/>
          <w:szCs w:val="21"/>
          <w:highlight w:val="none"/>
        </w:rPr>
        <w:t>募集资金基本情况</w:t>
      </w:r>
    </w:p>
    <w:p w14:paraId="47CBF234">
      <w:pPr>
        <w:widowControl/>
        <w:spacing w:line="360" w:lineRule="auto"/>
        <w:ind w:firstLine="420" w:firstLineChars="200"/>
        <w:rPr>
          <w:rFonts w:hint="eastAsia" w:ascii="宋体" w:hAnsi="宋体"/>
          <w:kern w:val="0"/>
          <w:szCs w:val="21"/>
          <w:highlight w:val="none"/>
        </w:rPr>
      </w:pPr>
      <w:r>
        <w:rPr>
          <w:rFonts w:hint="eastAsia" w:ascii="宋体" w:hAnsi="宋体"/>
          <w:kern w:val="0"/>
          <w:szCs w:val="21"/>
          <w:highlight w:val="none"/>
        </w:rPr>
        <w:t>经中国证券监督管理委员会证监许可[2022]490号文核准，并经上海证券交易所同意，本公司由主承销商中信证券股份有限公司于2022年4月18日向社会公众公开发行普通股（A 股）股票83,291,852股，每股面值1元，每股发行价人民币11.86元。截至2022年4月22日止，本公司共募集资金人民币987,841,364.72元，扣除发行费用合计133,279,564.72元，募集资金净额人民币854,561,800.00元。</w:t>
      </w:r>
    </w:p>
    <w:p w14:paraId="19CB66C9">
      <w:pPr>
        <w:widowControl/>
        <w:spacing w:line="360" w:lineRule="auto"/>
        <w:ind w:firstLine="420" w:firstLineChars="200"/>
        <w:rPr>
          <w:rFonts w:hint="eastAsia" w:ascii="宋体" w:hAnsi="宋体"/>
          <w:kern w:val="0"/>
          <w:szCs w:val="21"/>
          <w:highlight w:val="none"/>
        </w:rPr>
      </w:pPr>
      <w:r>
        <w:rPr>
          <w:rFonts w:hint="eastAsia" w:ascii="宋体" w:hAnsi="宋体"/>
          <w:kern w:val="0"/>
          <w:szCs w:val="21"/>
          <w:highlight w:val="none"/>
        </w:rPr>
        <w:t>截止2022年4月22日，本公司上述发行募集的资金已全部到位，业经大华会计师事务所（特殊普通合伙）以“大华验字[2022]000143号”验资报告验证确认。</w:t>
      </w:r>
    </w:p>
    <w:p w14:paraId="7AAED45F">
      <w:pPr>
        <w:widowControl/>
        <w:spacing w:line="360" w:lineRule="auto"/>
        <w:ind w:firstLine="420" w:firstLineChars="200"/>
        <w:rPr>
          <w:rFonts w:hint="eastAsia" w:ascii="宋体" w:hAnsi="宋体"/>
          <w:kern w:val="0"/>
          <w:szCs w:val="21"/>
          <w:highlight w:val="none"/>
        </w:rPr>
      </w:pPr>
      <w:r>
        <w:rPr>
          <w:rFonts w:hint="eastAsia" w:ascii="宋体" w:hAnsi="宋体"/>
          <w:kern w:val="0"/>
          <w:szCs w:val="21"/>
          <w:highlight w:val="none"/>
        </w:rPr>
        <w:t>截止2024年6月30日，公司对募集资金项目累计投入766,756,161.13元，其中：使用募集资金累计投入 677,516,109.88元（含公司于募集资金到位之前利用自有资金先期投入募集资金项目62,987,300.00元）, 使用银行承兑汇票累计投入 89,347,240.25 元（未置换部分）。</w:t>
      </w:r>
    </w:p>
    <w:p w14:paraId="31C1E29D">
      <w:pPr>
        <w:widowControl/>
        <w:spacing w:line="360" w:lineRule="auto"/>
        <w:ind w:firstLine="420" w:firstLineChars="200"/>
        <w:rPr>
          <w:rFonts w:hint="eastAsia" w:ascii="宋体" w:hAnsi="宋体"/>
          <w:kern w:val="0"/>
          <w:szCs w:val="21"/>
          <w:highlight w:val="none"/>
        </w:rPr>
      </w:pPr>
      <w:r>
        <w:rPr>
          <w:rFonts w:hint="eastAsia" w:ascii="宋体" w:hAnsi="宋体"/>
          <w:kern w:val="0"/>
          <w:szCs w:val="21"/>
          <w:highlight w:val="none"/>
        </w:rPr>
        <w:t>本年度公司对募集资金项目投入122,852,804.52元，其中：本年度使用募集资金96,465,214.71元,使用银行承兑汇票 89,347,240.25 元（未置换部分）。</w:t>
      </w:r>
    </w:p>
    <w:p w14:paraId="4E5C91A3">
      <w:pPr>
        <w:widowControl/>
        <w:spacing w:line="360" w:lineRule="auto"/>
        <w:ind w:firstLine="420" w:firstLineChars="200"/>
        <w:rPr>
          <w:rFonts w:hint="eastAsia" w:ascii="宋体" w:hAnsi="宋体"/>
          <w:kern w:val="0"/>
          <w:szCs w:val="21"/>
          <w:highlight w:val="none"/>
        </w:rPr>
      </w:pPr>
      <w:r>
        <w:rPr>
          <w:rFonts w:hint="eastAsia" w:ascii="宋体" w:hAnsi="宋体"/>
          <w:kern w:val="0"/>
          <w:szCs w:val="21"/>
          <w:highlight w:val="none"/>
        </w:rPr>
        <w:t>截止2024年6月30日，公司募集资金余额为201,461,676.51元。</w:t>
      </w:r>
    </w:p>
    <w:p w14:paraId="6475C196">
      <w:pPr>
        <w:widowControl/>
        <w:spacing w:line="360" w:lineRule="auto"/>
        <w:ind w:firstLine="420" w:firstLineChars="200"/>
        <w:rPr>
          <w:rFonts w:hint="eastAsia" w:ascii="宋体" w:hAnsi="宋体"/>
          <w:kern w:val="0"/>
          <w:szCs w:val="21"/>
          <w:highlight w:val="none"/>
        </w:rPr>
      </w:pPr>
      <w:r>
        <w:rPr>
          <w:rFonts w:hint="eastAsia" w:ascii="宋体" w:hAnsi="宋体"/>
          <w:kern w:val="0"/>
          <w:szCs w:val="21"/>
          <w:highlight w:val="none"/>
        </w:rPr>
        <w:t>募集资金项目使用明细情况如下：</w:t>
      </w:r>
    </w:p>
    <w:p w14:paraId="76AB325E">
      <w:pPr>
        <w:widowControl/>
        <w:spacing w:line="360" w:lineRule="auto"/>
        <w:ind w:firstLine="420" w:firstLineChars="200"/>
        <w:jc w:val="right"/>
        <w:rPr>
          <w:rFonts w:hint="eastAsia" w:ascii="宋体" w:hAnsi="宋体"/>
          <w:kern w:val="0"/>
          <w:szCs w:val="21"/>
          <w:highlight w:val="none"/>
        </w:rPr>
      </w:pPr>
      <w:r>
        <w:rPr>
          <w:rFonts w:hint="eastAsia" w:ascii="宋体" w:hAnsi="宋体"/>
          <w:kern w:val="0"/>
          <w:szCs w:val="21"/>
          <w:highlight w:val="none"/>
        </w:rPr>
        <w:t>单位：元</w:t>
      </w:r>
    </w:p>
    <w:tbl>
      <w:tblPr>
        <w:tblStyle w:val="12"/>
        <w:tblW w:w="5000" w:type="pct"/>
        <w:jc w:val="center"/>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Layout w:type="fixed"/>
        <w:tblCellMar>
          <w:top w:w="0" w:type="dxa"/>
          <w:left w:w="45" w:type="dxa"/>
          <w:bottom w:w="0" w:type="dxa"/>
          <w:right w:w="45" w:type="dxa"/>
        </w:tblCellMar>
      </w:tblPr>
      <w:tblGrid>
        <w:gridCol w:w="2248"/>
        <w:gridCol w:w="1048"/>
        <w:gridCol w:w="1348"/>
        <w:gridCol w:w="1347"/>
        <w:gridCol w:w="1474"/>
        <w:gridCol w:w="1317"/>
      </w:tblGrid>
      <w:tr w14:paraId="16C7088C">
        <w:trPr>
          <w:trHeight w:val="397" w:hRule="atLeast"/>
          <w:tblHeader/>
          <w:jc w:val="center"/>
        </w:trPr>
        <w:tc>
          <w:tcPr>
            <w:tcW w:w="2127" w:type="dxa"/>
            <w:shd w:val="clear" w:color="auto" w:fill="auto"/>
            <w:vAlign w:val="center"/>
          </w:tcPr>
          <w:p w14:paraId="7CF63580">
            <w:pPr>
              <w:widowControl/>
              <w:adjustRightInd w:val="0"/>
              <w:snapToGrid w:val="0"/>
              <w:spacing w:line="240" w:lineRule="exact"/>
              <w:jc w:val="center"/>
              <w:rPr>
                <w:rFonts w:hint="eastAsia" w:ascii="宋体" w:hAnsi="宋体" w:cs="宋体"/>
                <w:snapToGrid w:val="0"/>
                <w:kern w:val="0"/>
                <w:sz w:val="18"/>
                <w:szCs w:val="18"/>
                <w:highlight w:val="none"/>
              </w:rPr>
            </w:pPr>
            <w:r>
              <w:rPr>
                <w:rFonts w:hint="eastAsia" w:ascii="宋体" w:hAnsi="宋体" w:cs="宋体"/>
                <w:snapToGrid w:val="0"/>
                <w:kern w:val="0"/>
                <w:sz w:val="18"/>
                <w:szCs w:val="18"/>
                <w:highlight w:val="none"/>
              </w:rPr>
              <w:t>项目名称</w:t>
            </w:r>
          </w:p>
        </w:tc>
        <w:tc>
          <w:tcPr>
            <w:tcW w:w="992" w:type="dxa"/>
            <w:shd w:val="clear" w:color="auto" w:fill="auto"/>
            <w:vAlign w:val="center"/>
          </w:tcPr>
          <w:p w14:paraId="3DC765F3">
            <w:pPr>
              <w:widowControl/>
              <w:adjustRightInd w:val="0"/>
              <w:snapToGrid w:val="0"/>
              <w:spacing w:line="240" w:lineRule="exact"/>
              <w:jc w:val="center"/>
              <w:rPr>
                <w:rFonts w:hint="eastAsia" w:ascii="宋体" w:hAnsi="宋体" w:cs="宋体"/>
                <w:snapToGrid w:val="0"/>
                <w:kern w:val="0"/>
                <w:sz w:val="18"/>
                <w:szCs w:val="18"/>
                <w:highlight w:val="none"/>
              </w:rPr>
            </w:pPr>
            <w:r>
              <w:rPr>
                <w:rFonts w:hint="eastAsia" w:ascii="宋体" w:hAnsi="宋体" w:cs="宋体"/>
                <w:snapToGrid w:val="0"/>
                <w:kern w:val="0"/>
                <w:sz w:val="18"/>
                <w:szCs w:val="18"/>
                <w:highlight w:val="none"/>
              </w:rPr>
              <w:t>序号</w:t>
            </w:r>
          </w:p>
        </w:tc>
        <w:tc>
          <w:tcPr>
            <w:tcW w:w="1276" w:type="dxa"/>
            <w:shd w:val="clear" w:color="auto" w:fill="auto"/>
            <w:vAlign w:val="center"/>
          </w:tcPr>
          <w:p w14:paraId="7F4DFA63">
            <w:pPr>
              <w:widowControl/>
              <w:adjustRightInd w:val="0"/>
              <w:snapToGrid w:val="0"/>
              <w:spacing w:line="240" w:lineRule="exact"/>
              <w:jc w:val="center"/>
              <w:rPr>
                <w:rFonts w:hint="eastAsia" w:ascii="宋体" w:hAnsi="宋体" w:cs="宋体"/>
                <w:snapToGrid w:val="0"/>
                <w:kern w:val="0"/>
                <w:sz w:val="18"/>
                <w:szCs w:val="18"/>
                <w:highlight w:val="none"/>
              </w:rPr>
            </w:pPr>
            <w:r>
              <w:rPr>
                <w:rFonts w:hint="eastAsia" w:ascii="宋体" w:hAnsi="宋体" w:cs="宋体"/>
                <w:snapToGrid w:val="0"/>
                <w:kern w:val="0"/>
                <w:sz w:val="18"/>
                <w:szCs w:val="18"/>
                <w:highlight w:val="none"/>
              </w:rPr>
              <w:t>累计使用募集金额</w:t>
            </w:r>
          </w:p>
        </w:tc>
        <w:tc>
          <w:tcPr>
            <w:tcW w:w="1275" w:type="dxa"/>
            <w:shd w:val="clear" w:color="auto" w:fill="auto"/>
            <w:vAlign w:val="center"/>
          </w:tcPr>
          <w:p w14:paraId="13261835">
            <w:pPr>
              <w:widowControl/>
              <w:adjustRightInd w:val="0"/>
              <w:snapToGrid w:val="0"/>
              <w:spacing w:line="240" w:lineRule="exact"/>
              <w:jc w:val="center"/>
              <w:rPr>
                <w:rFonts w:hint="eastAsia" w:ascii="宋体" w:hAnsi="宋体" w:cs="宋体"/>
                <w:snapToGrid w:val="0"/>
                <w:kern w:val="0"/>
                <w:sz w:val="18"/>
                <w:szCs w:val="18"/>
                <w:highlight w:val="none"/>
              </w:rPr>
            </w:pPr>
            <w:r>
              <w:rPr>
                <w:rFonts w:hint="eastAsia" w:ascii="宋体" w:hAnsi="宋体" w:cs="宋体"/>
                <w:snapToGrid w:val="0"/>
                <w:kern w:val="0"/>
                <w:sz w:val="18"/>
                <w:szCs w:val="18"/>
                <w:highlight w:val="none"/>
              </w:rPr>
              <w:t>其中：本年度使用募集资金</w:t>
            </w:r>
          </w:p>
        </w:tc>
        <w:tc>
          <w:tcPr>
            <w:tcW w:w="1395" w:type="dxa"/>
            <w:shd w:val="clear" w:color="auto" w:fill="auto"/>
            <w:vAlign w:val="center"/>
          </w:tcPr>
          <w:p w14:paraId="1F42248E">
            <w:pPr>
              <w:widowControl/>
              <w:adjustRightInd w:val="0"/>
              <w:snapToGrid w:val="0"/>
              <w:spacing w:line="240" w:lineRule="exact"/>
              <w:jc w:val="center"/>
              <w:rPr>
                <w:rFonts w:hint="eastAsia" w:ascii="宋体" w:hAnsi="宋体" w:cs="宋体"/>
                <w:snapToGrid w:val="0"/>
                <w:kern w:val="0"/>
                <w:sz w:val="18"/>
                <w:szCs w:val="18"/>
                <w:highlight w:val="none"/>
              </w:rPr>
            </w:pPr>
            <w:r>
              <w:rPr>
                <w:rFonts w:hint="eastAsia" w:ascii="宋体" w:hAnsi="宋体" w:cs="宋体"/>
                <w:snapToGrid w:val="0"/>
                <w:kern w:val="0"/>
                <w:sz w:val="18"/>
                <w:szCs w:val="18"/>
                <w:highlight w:val="none"/>
              </w:rPr>
              <w:t>累计使用承兑汇票金额</w:t>
            </w:r>
          </w:p>
          <w:p w14:paraId="500FB8FD">
            <w:pPr>
              <w:widowControl/>
              <w:adjustRightInd w:val="0"/>
              <w:snapToGrid w:val="0"/>
              <w:spacing w:line="240" w:lineRule="exact"/>
              <w:jc w:val="center"/>
              <w:rPr>
                <w:rFonts w:hint="eastAsia" w:ascii="宋体" w:hAnsi="宋体" w:cs="宋体"/>
                <w:snapToGrid w:val="0"/>
                <w:kern w:val="0"/>
                <w:sz w:val="18"/>
                <w:szCs w:val="18"/>
                <w:highlight w:val="none"/>
              </w:rPr>
            </w:pPr>
            <w:r>
              <w:rPr>
                <w:rFonts w:hint="eastAsia" w:ascii="宋体" w:hAnsi="宋体" w:cs="宋体"/>
                <w:snapToGrid w:val="0"/>
                <w:kern w:val="0"/>
                <w:sz w:val="18"/>
                <w:szCs w:val="18"/>
                <w:highlight w:val="none"/>
              </w:rPr>
              <w:t>（未置换部分）</w:t>
            </w:r>
          </w:p>
        </w:tc>
        <w:tc>
          <w:tcPr>
            <w:tcW w:w="1247" w:type="dxa"/>
            <w:shd w:val="clear" w:color="auto" w:fill="auto"/>
            <w:vAlign w:val="center"/>
          </w:tcPr>
          <w:p w14:paraId="55D3FB3B">
            <w:pPr>
              <w:widowControl/>
              <w:adjustRightInd w:val="0"/>
              <w:snapToGrid w:val="0"/>
              <w:spacing w:line="240" w:lineRule="exact"/>
              <w:jc w:val="center"/>
              <w:rPr>
                <w:rFonts w:hint="eastAsia" w:ascii="宋体" w:hAnsi="宋体" w:cs="宋体"/>
                <w:snapToGrid w:val="0"/>
                <w:kern w:val="0"/>
                <w:sz w:val="18"/>
                <w:szCs w:val="18"/>
                <w:highlight w:val="none"/>
              </w:rPr>
            </w:pPr>
            <w:r>
              <w:rPr>
                <w:rFonts w:hint="eastAsia" w:ascii="宋体" w:hAnsi="宋体" w:cs="宋体"/>
                <w:snapToGrid w:val="0"/>
                <w:kern w:val="0"/>
                <w:sz w:val="18"/>
                <w:szCs w:val="18"/>
                <w:highlight w:val="none"/>
              </w:rPr>
              <w:t>累计投入募集资金项目金额</w:t>
            </w:r>
          </w:p>
        </w:tc>
      </w:tr>
      <w:tr w14:paraId="260133D4">
        <w:trPr>
          <w:cantSplit/>
          <w:trHeight w:val="397" w:hRule="atLeast"/>
          <w:jc w:val="center"/>
        </w:trPr>
        <w:tc>
          <w:tcPr>
            <w:tcW w:w="2127" w:type="dxa"/>
            <w:shd w:val="clear" w:color="auto" w:fill="auto"/>
            <w:vAlign w:val="center"/>
          </w:tcPr>
          <w:p w14:paraId="6ABAA79C">
            <w:pPr>
              <w:widowControl/>
              <w:adjustRightInd w:val="0"/>
              <w:snapToGrid w:val="0"/>
              <w:spacing w:line="240" w:lineRule="exact"/>
              <w:jc w:val="left"/>
              <w:rPr>
                <w:rFonts w:ascii="Arial Narrow" w:hAnsi="Arial Narrow" w:cs="宋体"/>
                <w:snapToGrid w:val="0"/>
                <w:kern w:val="0"/>
                <w:sz w:val="18"/>
                <w:szCs w:val="18"/>
                <w:highlight w:val="none"/>
              </w:rPr>
            </w:pPr>
            <w:r>
              <w:rPr>
                <w:rFonts w:hint="eastAsia" w:ascii="Arial Narrow" w:hAnsi="Arial Narrow" w:cs="宋体"/>
                <w:snapToGrid w:val="0"/>
                <w:kern w:val="0"/>
                <w:sz w:val="18"/>
                <w:szCs w:val="18"/>
                <w:highlight w:val="none"/>
              </w:rPr>
              <w:t>募集资金初始金额</w:t>
            </w:r>
          </w:p>
        </w:tc>
        <w:tc>
          <w:tcPr>
            <w:tcW w:w="992" w:type="dxa"/>
            <w:shd w:val="clear" w:color="auto" w:fill="auto"/>
            <w:vAlign w:val="center"/>
          </w:tcPr>
          <w:p w14:paraId="744079C3">
            <w:pPr>
              <w:widowControl/>
              <w:adjustRightInd w:val="0"/>
              <w:snapToGrid w:val="0"/>
              <w:spacing w:line="240" w:lineRule="exact"/>
              <w:jc w:val="center"/>
              <w:rPr>
                <w:rFonts w:ascii="Arial Narrow" w:hAnsi="Arial Narrow" w:cs="宋体"/>
                <w:snapToGrid w:val="0"/>
                <w:kern w:val="0"/>
                <w:sz w:val="18"/>
                <w:szCs w:val="18"/>
                <w:highlight w:val="none"/>
              </w:rPr>
            </w:pPr>
            <w:r>
              <w:rPr>
                <w:rFonts w:hint="eastAsia" w:ascii="Arial Narrow" w:hAnsi="Arial Narrow" w:cs="宋体"/>
                <w:snapToGrid w:val="0"/>
                <w:kern w:val="0"/>
                <w:sz w:val="18"/>
                <w:szCs w:val="18"/>
                <w:highlight w:val="none"/>
              </w:rPr>
              <w:t>1=2+3+4+5+6+7</w:t>
            </w:r>
          </w:p>
        </w:tc>
        <w:tc>
          <w:tcPr>
            <w:tcW w:w="1276" w:type="dxa"/>
            <w:shd w:val="clear" w:color="auto" w:fill="auto"/>
            <w:vAlign w:val="center"/>
          </w:tcPr>
          <w:p w14:paraId="26F8C50C">
            <w:pPr>
              <w:widowControl/>
              <w:adjustRightInd w:val="0"/>
              <w:snapToGrid w:val="0"/>
              <w:spacing w:line="240" w:lineRule="exact"/>
              <w:jc w:val="right"/>
              <w:rPr>
                <w:rFonts w:ascii="Arial Narrow" w:hAnsi="Arial Narrow" w:cs="宋体"/>
                <w:snapToGrid w:val="0"/>
                <w:kern w:val="0"/>
                <w:sz w:val="18"/>
                <w:szCs w:val="16"/>
                <w:highlight w:val="none"/>
              </w:rPr>
            </w:pPr>
            <w:r>
              <w:rPr>
                <w:rFonts w:ascii="Arial Narrow" w:hAnsi="Arial Narrow" w:cs="宋体"/>
                <w:snapToGrid w:val="0"/>
                <w:kern w:val="0"/>
                <w:sz w:val="18"/>
                <w:szCs w:val="16"/>
                <w:highlight w:val="none"/>
              </w:rPr>
              <w:t>854,561,800.00</w:t>
            </w:r>
          </w:p>
        </w:tc>
        <w:tc>
          <w:tcPr>
            <w:tcW w:w="1275" w:type="dxa"/>
            <w:shd w:val="clear" w:color="auto" w:fill="auto"/>
            <w:vAlign w:val="center"/>
          </w:tcPr>
          <w:p w14:paraId="4342BA5F">
            <w:pPr>
              <w:widowControl/>
              <w:adjustRightInd w:val="0"/>
              <w:snapToGrid w:val="0"/>
              <w:spacing w:line="240" w:lineRule="exact"/>
              <w:jc w:val="right"/>
              <w:rPr>
                <w:rFonts w:ascii="Arial Narrow" w:hAnsi="Arial Narrow" w:cs="宋体"/>
                <w:snapToGrid w:val="0"/>
                <w:kern w:val="0"/>
                <w:sz w:val="18"/>
                <w:szCs w:val="16"/>
                <w:highlight w:val="none"/>
              </w:rPr>
            </w:pPr>
          </w:p>
        </w:tc>
        <w:tc>
          <w:tcPr>
            <w:tcW w:w="1395" w:type="dxa"/>
            <w:shd w:val="clear" w:color="auto" w:fill="auto"/>
            <w:vAlign w:val="center"/>
          </w:tcPr>
          <w:p w14:paraId="0142CD7C">
            <w:pPr>
              <w:widowControl/>
              <w:adjustRightInd w:val="0"/>
              <w:snapToGrid w:val="0"/>
              <w:spacing w:line="240" w:lineRule="exact"/>
              <w:jc w:val="right"/>
              <w:rPr>
                <w:rFonts w:ascii="Arial Narrow" w:hAnsi="Arial Narrow" w:cs="宋体"/>
                <w:snapToGrid w:val="0"/>
                <w:kern w:val="0"/>
                <w:sz w:val="18"/>
                <w:szCs w:val="16"/>
                <w:highlight w:val="none"/>
              </w:rPr>
            </w:pPr>
          </w:p>
        </w:tc>
        <w:tc>
          <w:tcPr>
            <w:tcW w:w="1247" w:type="dxa"/>
            <w:shd w:val="clear" w:color="auto" w:fill="auto"/>
            <w:vAlign w:val="center"/>
          </w:tcPr>
          <w:p w14:paraId="26ADCF71">
            <w:pPr>
              <w:widowControl/>
              <w:adjustRightInd w:val="0"/>
              <w:snapToGrid w:val="0"/>
              <w:spacing w:line="240" w:lineRule="exact"/>
              <w:jc w:val="right"/>
              <w:rPr>
                <w:rFonts w:ascii="Arial Narrow" w:hAnsi="Arial Narrow" w:cs="宋体"/>
                <w:snapToGrid w:val="0"/>
                <w:kern w:val="0"/>
                <w:sz w:val="18"/>
                <w:szCs w:val="16"/>
                <w:highlight w:val="none"/>
              </w:rPr>
            </w:pPr>
          </w:p>
        </w:tc>
      </w:tr>
      <w:tr w14:paraId="3A718F3A">
        <w:trPr>
          <w:cantSplit/>
          <w:trHeight w:val="397" w:hRule="atLeast"/>
          <w:jc w:val="center"/>
        </w:trPr>
        <w:tc>
          <w:tcPr>
            <w:tcW w:w="2127" w:type="dxa"/>
            <w:shd w:val="clear" w:color="auto" w:fill="auto"/>
            <w:vAlign w:val="center"/>
          </w:tcPr>
          <w:p w14:paraId="4669C750">
            <w:pPr>
              <w:widowControl/>
              <w:adjustRightInd w:val="0"/>
              <w:snapToGrid w:val="0"/>
              <w:spacing w:line="240" w:lineRule="exact"/>
              <w:jc w:val="left"/>
              <w:rPr>
                <w:rFonts w:ascii="Arial Narrow" w:hAnsi="Arial Narrow" w:cs="宋体"/>
                <w:snapToGrid w:val="0"/>
                <w:kern w:val="0"/>
                <w:sz w:val="18"/>
                <w:szCs w:val="18"/>
                <w:highlight w:val="none"/>
              </w:rPr>
            </w:pPr>
            <w:r>
              <w:rPr>
                <w:rFonts w:hint="eastAsia" w:ascii="Arial Narrow" w:hAnsi="Arial Narrow" w:cs="宋体"/>
                <w:snapToGrid w:val="0"/>
                <w:kern w:val="0"/>
                <w:sz w:val="18"/>
                <w:szCs w:val="18"/>
                <w:highlight w:val="none"/>
              </w:rPr>
              <w:t>（一）智能成套电气设备产业基地建设项目</w:t>
            </w:r>
          </w:p>
        </w:tc>
        <w:tc>
          <w:tcPr>
            <w:tcW w:w="992" w:type="dxa"/>
            <w:shd w:val="clear" w:color="auto" w:fill="auto"/>
            <w:vAlign w:val="center"/>
          </w:tcPr>
          <w:p w14:paraId="6A7EBBDF">
            <w:pPr>
              <w:widowControl/>
              <w:adjustRightInd w:val="0"/>
              <w:snapToGrid w:val="0"/>
              <w:spacing w:line="240" w:lineRule="exact"/>
              <w:jc w:val="center"/>
              <w:rPr>
                <w:rFonts w:ascii="Arial Narrow" w:hAnsi="Arial Narrow" w:cs="宋体"/>
                <w:snapToGrid w:val="0"/>
                <w:kern w:val="0"/>
                <w:sz w:val="18"/>
                <w:szCs w:val="18"/>
                <w:highlight w:val="none"/>
              </w:rPr>
            </w:pPr>
            <w:r>
              <w:rPr>
                <w:rFonts w:hint="eastAsia" w:ascii="Arial Narrow" w:hAnsi="Arial Narrow" w:cs="宋体"/>
                <w:snapToGrid w:val="0"/>
                <w:kern w:val="0"/>
                <w:sz w:val="18"/>
                <w:szCs w:val="18"/>
                <w:highlight w:val="none"/>
              </w:rPr>
              <w:t>2</w:t>
            </w:r>
          </w:p>
        </w:tc>
        <w:tc>
          <w:tcPr>
            <w:tcW w:w="1276" w:type="dxa"/>
            <w:shd w:val="clear" w:color="auto" w:fill="auto"/>
            <w:vAlign w:val="center"/>
          </w:tcPr>
          <w:p w14:paraId="12093453">
            <w:pPr>
              <w:widowControl/>
              <w:adjustRightInd w:val="0"/>
              <w:snapToGrid w:val="0"/>
              <w:spacing w:line="240" w:lineRule="exact"/>
              <w:jc w:val="right"/>
              <w:rPr>
                <w:rFonts w:ascii="Arial Narrow" w:hAnsi="Arial Narrow" w:cs="宋体"/>
                <w:snapToGrid w:val="0"/>
                <w:kern w:val="0"/>
                <w:sz w:val="18"/>
                <w:szCs w:val="16"/>
                <w:highlight w:val="none"/>
              </w:rPr>
            </w:pPr>
            <w:r>
              <w:rPr>
                <w:rFonts w:ascii="Arial Narrow" w:hAnsi="Arial Narrow" w:cs="宋体"/>
                <w:snapToGrid w:val="0"/>
                <w:kern w:val="0"/>
                <w:sz w:val="18"/>
                <w:szCs w:val="16"/>
                <w:highlight w:val="none"/>
              </w:rPr>
              <w:t>242,684,700.00</w:t>
            </w:r>
          </w:p>
        </w:tc>
        <w:tc>
          <w:tcPr>
            <w:tcW w:w="1275" w:type="dxa"/>
            <w:shd w:val="clear" w:color="auto" w:fill="auto"/>
            <w:vAlign w:val="center"/>
          </w:tcPr>
          <w:p w14:paraId="79FDF772">
            <w:pPr>
              <w:widowControl/>
              <w:adjustRightInd w:val="0"/>
              <w:snapToGrid w:val="0"/>
              <w:spacing w:line="240" w:lineRule="exact"/>
              <w:jc w:val="right"/>
              <w:rPr>
                <w:rFonts w:ascii="Arial Narrow" w:hAnsi="Arial Narrow" w:cs="宋体"/>
                <w:snapToGrid w:val="0"/>
                <w:kern w:val="0"/>
                <w:sz w:val="18"/>
                <w:szCs w:val="16"/>
                <w:highlight w:val="none"/>
              </w:rPr>
            </w:pPr>
          </w:p>
        </w:tc>
        <w:tc>
          <w:tcPr>
            <w:tcW w:w="1395" w:type="dxa"/>
            <w:shd w:val="clear" w:color="auto" w:fill="auto"/>
            <w:vAlign w:val="center"/>
          </w:tcPr>
          <w:p w14:paraId="09DDE474">
            <w:pPr>
              <w:widowControl/>
              <w:adjustRightInd w:val="0"/>
              <w:snapToGrid w:val="0"/>
              <w:spacing w:line="240" w:lineRule="exact"/>
              <w:jc w:val="right"/>
              <w:rPr>
                <w:rFonts w:ascii="Arial Narrow" w:hAnsi="Arial Narrow" w:cs="宋体"/>
                <w:snapToGrid w:val="0"/>
                <w:kern w:val="0"/>
                <w:sz w:val="18"/>
                <w:szCs w:val="16"/>
                <w:highlight w:val="none"/>
              </w:rPr>
            </w:pPr>
          </w:p>
        </w:tc>
        <w:tc>
          <w:tcPr>
            <w:tcW w:w="1247" w:type="dxa"/>
            <w:shd w:val="clear" w:color="auto" w:fill="auto"/>
            <w:vAlign w:val="center"/>
          </w:tcPr>
          <w:p w14:paraId="4CC5D866">
            <w:pPr>
              <w:widowControl/>
              <w:adjustRightInd w:val="0"/>
              <w:snapToGrid w:val="0"/>
              <w:spacing w:line="240" w:lineRule="exact"/>
              <w:jc w:val="right"/>
              <w:rPr>
                <w:rFonts w:ascii="Arial Narrow" w:hAnsi="Arial Narrow" w:cs="宋体"/>
                <w:snapToGrid w:val="0"/>
                <w:kern w:val="0"/>
                <w:sz w:val="18"/>
                <w:szCs w:val="16"/>
                <w:highlight w:val="none"/>
              </w:rPr>
            </w:pPr>
          </w:p>
        </w:tc>
      </w:tr>
      <w:tr w14:paraId="1029AB6F">
        <w:trPr>
          <w:cantSplit/>
          <w:trHeight w:val="397" w:hRule="atLeast"/>
          <w:jc w:val="center"/>
        </w:trPr>
        <w:tc>
          <w:tcPr>
            <w:tcW w:w="2127" w:type="dxa"/>
            <w:shd w:val="clear" w:color="auto" w:fill="auto"/>
            <w:vAlign w:val="center"/>
          </w:tcPr>
          <w:p w14:paraId="6D92CD25">
            <w:pPr>
              <w:widowControl/>
              <w:adjustRightInd w:val="0"/>
              <w:snapToGrid w:val="0"/>
              <w:spacing w:line="240" w:lineRule="exact"/>
              <w:jc w:val="left"/>
              <w:rPr>
                <w:rFonts w:ascii="Arial Narrow" w:hAnsi="Arial Narrow" w:cs="宋体"/>
                <w:snapToGrid w:val="0"/>
                <w:kern w:val="0"/>
                <w:sz w:val="18"/>
                <w:szCs w:val="18"/>
                <w:highlight w:val="none"/>
              </w:rPr>
            </w:pPr>
            <w:r>
              <w:rPr>
                <w:rFonts w:hint="eastAsia" w:ascii="Arial Narrow" w:hAnsi="Arial Narrow" w:cs="宋体"/>
                <w:snapToGrid w:val="0"/>
                <w:kern w:val="0"/>
                <w:sz w:val="18"/>
                <w:szCs w:val="18"/>
                <w:highlight w:val="none"/>
              </w:rPr>
              <w:t>（二）</w:t>
            </w:r>
            <w:r>
              <w:rPr>
                <w:rFonts w:ascii="Arial Narrow" w:hAnsi="Arial Narrow" w:cs="宋体"/>
                <w:snapToGrid w:val="0"/>
                <w:kern w:val="0"/>
                <w:sz w:val="18"/>
                <w:szCs w:val="18"/>
                <w:highlight w:val="none"/>
              </w:rPr>
              <w:t>110kV及以下节能型变压器智能化工厂技改项目</w:t>
            </w:r>
          </w:p>
        </w:tc>
        <w:tc>
          <w:tcPr>
            <w:tcW w:w="992" w:type="dxa"/>
            <w:shd w:val="clear" w:color="auto" w:fill="auto"/>
            <w:vAlign w:val="center"/>
          </w:tcPr>
          <w:p w14:paraId="17B51155">
            <w:pPr>
              <w:widowControl/>
              <w:adjustRightInd w:val="0"/>
              <w:snapToGrid w:val="0"/>
              <w:spacing w:line="240" w:lineRule="exact"/>
              <w:jc w:val="center"/>
              <w:rPr>
                <w:rFonts w:ascii="Arial Narrow" w:hAnsi="Arial Narrow" w:cs="宋体"/>
                <w:snapToGrid w:val="0"/>
                <w:kern w:val="0"/>
                <w:sz w:val="18"/>
                <w:szCs w:val="18"/>
                <w:highlight w:val="none"/>
              </w:rPr>
            </w:pPr>
            <w:r>
              <w:rPr>
                <w:rFonts w:hint="eastAsia" w:ascii="Arial Narrow" w:hAnsi="Arial Narrow" w:cs="宋体"/>
                <w:snapToGrid w:val="0"/>
                <w:kern w:val="0"/>
                <w:sz w:val="18"/>
                <w:szCs w:val="18"/>
                <w:highlight w:val="none"/>
              </w:rPr>
              <w:t>3</w:t>
            </w:r>
          </w:p>
        </w:tc>
        <w:tc>
          <w:tcPr>
            <w:tcW w:w="1276" w:type="dxa"/>
            <w:shd w:val="clear" w:color="auto" w:fill="auto"/>
            <w:vAlign w:val="center"/>
          </w:tcPr>
          <w:p w14:paraId="2D5546C8">
            <w:pPr>
              <w:widowControl/>
              <w:adjustRightInd w:val="0"/>
              <w:snapToGrid w:val="0"/>
              <w:spacing w:line="240" w:lineRule="exact"/>
              <w:jc w:val="right"/>
              <w:rPr>
                <w:rFonts w:ascii="Arial Narrow" w:hAnsi="Arial Narrow" w:cs="宋体"/>
                <w:snapToGrid w:val="0"/>
                <w:kern w:val="0"/>
                <w:sz w:val="18"/>
                <w:szCs w:val="16"/>
                <w:highlight w:val="none"/>
              </w:rPr>
            </w:pPr>
            <w:r>
              <w:rPr>
                <w:rFonts w:hint="eastAsia" w:ascii="Arial Narrow" w:hAnsi="Arial Narrow" w:cs="宋体"/>
                <w:snapToGrid w:val="0"/>
                <w:kern w:val="0"/>
                <w:sz w:val="18"/>
                <w:szCs w:val="16"/>
                <w:highlight w:val="none"/>
              </w:rPr>
              <w:t>73,305,900.00</w:t>
            </w:r>
          </w:p>
        </w:tc>
        <w:tc>
          <w:tcPr>
            <w:tcW w:w="1275" w:type="dxa"/>
            <w:shd w:val="clear" w:color="auto" w:fill="auto"/>
            <w:vAlign w:val="center"/>
          </w:tcPr>
          <w:p w14:paraId="6ABE2D9E">
            <w:pPr>
              <w:widowControl/>
              <w:adjustRightInd w:val="0"/>
              <w:snapToGrid w:val="0"/>
              <w:spacing w:line="240" w:lineRule="exact"/>
              <w:jc w:val="right"/>
              <w:rPr>
                <w:rFonts w:ascii="Arial Narrow" w:hAnsi="Arial Narrow" w:cs="宋体"/>
                <w:snapToGrid w:val="0"/>
                <w:kern w:val="0"/>
                <w:sz w:val="18"/>
                <w:szCs w:val="16"/>
                <w:highlight w:val="none"/>
              </w:rPr>
            </w:pPr>
          </w:p>
        </w:tc>
        <w:tc>
          <w:tcPr>
            <w:tcW w:w="1395" w:type="dxa"/>
            <w:shd w:val="clear" w:color="auto" w:fill="auto"/>
            <w:vAlign w:val="center"/>
          </w:tcPr>
          <w:p w14:paraId="19C0300C">
            <w:pPr>
              <w:widowControl/>
              <w:adjustRightInd w:val="0"/>
              <w:snapToGrid w:val="0"/>
              <w:spacing w:line="240" w:lineRule="exact"/>
              <w:jc w:val="right"/>
              <w:rPr>
                <w:rFonts w:ascii="Arial Narrow" w:hAnsi="Arial Narrow" w:cs="宋体"/>
                <w:snapToGrid w:val="0"/>
                <w:kern w:val="0"/>
                <w:sz w:val="18"/>
                <w:szCs w:val="16"/>
                <w:highlight w:val="none"/>
              </w:rPr>
            </w:pPr>
          </w:p>
        </w:tc>
        <w:tc>
          <w:tcPr>
            <w:tcW w:w="1247" w:type="dxa"/>
            <w:shd w:val="clear" w:color="auto" w:fill="auto"/>
            <w:vAlign w:val="center"/>
          </w:tcPr>
          <w:p w14:paraId="543AC31B">
            <w:pPr>
              <w:widowControl/>
              <w:adjustRightInd w:val="0"/>
              <w:snapToGrid w:val="0"/>
              <w:spacing w:line="240" w:lineRule="exact"/>
              <w:jc w:val="right"/>
              <w:rPr>
                <w:rFonts w:ascii="Arial Narrow" w:hAnsi="Arial Narrow" w:cs="宋体"/>
                <w:snapToGrid w:val="0"/>
                <w:kern w:val="0"/>
                <w:sz w:val="18"/>
                <w:szCs w:val="16"/>
                <w:highlight w:val="none"/>
              </w:rPr>
            </w:pPr>
          </w:p>
        </w:tc>
      </w:tr>
      <w:tr w14:paraId="36C7C639">
        <w:trPr>
          <w:cantSplit/>
          <w:trHeight w:val="397" w:hRule="atLeast"/>
          <w:jc w:val="center"/>
        </w:trPr>
        <w:tc>
          <w:tcPr>
            <w:tcW w:w="2127" w:type="dxa"/>
            <w:shd w:val="clear" w:color="auto" w:fill="auto"/>
            <w:vAlign w:val="center"/>
          </w:tcPr>
          <w:p w14:paraId="0C9BF690">
            <w:pPr>
              <w:widowControl/>
              <w:adjustRightInd w:val="0"/>
              <w:snapToGrid w:val="0"/>
              <w:spacing w:line="240" w:lineRule="exact"/>
              <w:jc w:val="left"/>
              <w:rPr>
                <w:rFonts w:ascii="Arial Narrow" w:hAnsi="Arial Narrow" w:cs="宋体"/>
                <w:snapToGrid w:val="0"/>
                <w:kern w:val="0"/>
                <w:sz w:val="18"/>
                <w:szCs w:val="18"/>
                <w:highlight w:val="none"/>
              </w:rPr>
            </w:pPr>
            <w:r>
              <w:rPr>
                <w:rFonts w:hint="eastAsia" w:ascii="Arial Narrow" w:hAnsi="Arial Narrow" w:cs="宋体"/>
                <w:snapToGrid w:val="0"/>
                <w:kern w:val="0"/>
                <w:sz w:val="18"/>
                <w:szCs w:val="18"/>
                <w:highlight w:val="none"/>
              </w:rPr>
              <w:t>（三）低铁损高磁感硅钢铁心智能制造项目</w:t>
            </w:r>
          </w:p>
        </w:tc>
        <w:tc>
          <w:tcPr>
            <w:tcW w:w="992" w:type="dxa"/>
            <w:shd w:val="clear" w:color="auto" w:fill="auto"/>
            <w:vAlign w:val="center"/>
          </w:tcPr>
          <w:p w14:paraId="1E2D1CAE">
            <w:pPr>
              <w:widowControl/>
              <w:adjustRightInd w:val="0"/>
              <w:snapToGrid w:val="0"/>
              <w:spacing w:line="240" w:lineRule="exact"/>
              <w:jc w:val="center"/>
              <w:rPr>
                <w:rFonts w:ascii="Arial Narrow" w:hAnsi="Arial Narrow" w:cs="宋体"/>
                <w:snapToGrid w:val="0"/>
                <w:kern w:val="0"/>
                <w:sz w:val="18"/>
                <w:szCs w:val="18"/>
                <w:highlight w:val="none"/>
              </w:rPr>
            </w:pPr>
            <w:r>
              <w:rPr>
                <w:rFonts w:hint="eastAsia" w:ascii="Arial Narrow" w:hAnsi="Arial Narrow" w:cs="宋体"/>
                <w:snapToGrid w:val="0"/>
                <w:kern w:val="0"/>
                <w:sz w:val="18"/>
                <w:szCs w:val="18"/>
                <w:highlight w:val="none"/>
              </w:rPr>
              <w:t>4</w:t>
            </w:r>
          </w:p>
        </w:tc>
        <w:tc>
          <w:tcPr>
            <w:tcW w:w="1276" w:type="dxa"/>
            <w:shd w:val="clear" w:color="auto" w:fill="auto"/>
            <w:vAlign w:val="center"/>
          </w:tcPr>
          <w:p w14:paraId="571EF25E">
            <w:pPr>
              <w:widowControl/>
              <w:adjustRightInd w:val="0"/>
              <w:snapToGrid w:val="0"/>
              <w:spacing w:line="240" w:lineRule="exact"/>
              <w:jc w:val="right"/>
              <w:rPr>
                <w:rFonts w:ascii="Arial Narrow" w:hAnsi="Arial Narrow" w:cs="宋体"/>
                <w:snapToGrid w:val="0"/>
                <w:kern w:val="0"/>
                <w:sz w:val="18"/>
                <w:szCs w:val="16"/>
                <w:highlight w:val="none"/>
              </w:rPr>
            </w:pPr>
            <w:r>
              <w:rPr>
                <w:rFonts w:hint="eastAsia" w:ascii="Arial Narrow" w:hAnsi="Arial Narrow" w:cs="宋体"/>
                <w:snapToGrid w:val="0"/>
                <w:kern w:val="0"/>
                <w:sz w:val="18"/>
                <w:szCs w:val="16"/>
                <w:highlight w:val="none"/>
              </w:rPr>
              <w:t>128,326,800.00</w:t>
            </w:r>
          </w:p>
        </w:tc>
        <w:tc>
          <w:tcPr>
            <w:tcW w:w="1275" w:type="dxa"/>
            <w:shd w:val="clear" w:color="auto" w:fill="auto"/>
            <w:vAlign w:val="center"/>
          </w:tcPr>
          <w:p w14:paraId="1CAC2D09">
            <w:pPr>
              <w:widowControl/>
              <w:adjustRightInd w:val="0"/>
              <w:snapToGrid w:val="0"/>
              <w:spacing w:line="240" w:lineRule="exact"/>
              <w:jc w:val="right"/>
              <w:rPr>
                <w:rFonts w:ascii="Arial Narrow" w:hAnsi="Arial Narrow" w:cs="宋体"/>
                <w:snapToGrid w:val="0"/>
                <w:kern w:val="0"/>
                <w:sz w:val="18"/>
                <w:szCs w:val="16"/>
                <w:highlight w:val="none"/>
              </w:rPr>
            </w:pPr>
          </w:p>
        </w:tc>
        <w:tc>
          <w:tcPr>
            <w:tcW w:w="1395" w:type="dxa"/>
            <w:shd w:val="clear" w:color="auto" w:fill="auto"/>
            <w:vAlign w:val="center"/>
          </w:tcPr>
          <w:p w14:paraId="546D4C72">
            <w:pPr>
              <w:widowControl/>
              <w:adjustRightInd w:val="0"/>
              <w:snapToGrid w:val="0"/>
              <w:spacing w:line="240" w:lineRule="exact"/>
              <w:jc w:val="right"/>
              <w:rPr>
                <w:rFonts w:ascii="Arial Narrow" w:hAnsi="Arial Narrow" w:cs="宋体"/>
                <w:snapToGrid w:val="0"/>
                <w:kern w:val="0"/>
                <w:sz w:val="18"/>
                <w:szCs w:val="16"/>
                <w:highlight w:val="none"/>
              </w:rPr>
            </w:pPr>
          </w:p>
        </w:tc>
        <w:tc>
          <w:tcPr>
            <w:tcW w:w="1247" w:type="dxa"/>
            <w:shd w:val="clear" w:color="auto" w:fill="auto"/>
            <w:vAlign w:val="center"/>
          </w:tcPr>
          <w:p w14:paraId="40C9963B">
            <w:pPr>
              <w:widowControl/>
              <w:adjustRightInd w:val="0"/>
              <w:snapToGrid w:val="0"/>
              <w:spacing w:line="240" w:lineRule="exact"/>
              <w:jc w:val="right"/>
              <w:rPr>
                <w:rFonts w:ascii="Arial Narrow" w:hAnsi="Arial Narrow" w:cs="宋体"/>
                <w:snapToGrid w:val="0"/>
                <w:kern w:val="0"/>
                <w:sz w:val="18"/>
                <w:szCs w:val="16"/>
                <w:highlight w:val="none"/>
              </w:rPr>
            </w:pPr>
          </w:p>
        </w:tc>
      </w:tr>
      <w:tr w14:paraId="73F3E405">
        <w:trPr>
          <w:cantSplit/>
          <w:trHeight w:val="397" w:hRule="atLeast"/>
          <w:jc w:val="center"/>
        </w:trPr>
        <w:tc>
          <w:tcPr>
            <w:tcW w:w="2127" w:type="dxa"/>
            <w:shd w:val="clear" w:color="auto" w:fill="auto"/>
            <w:vAlign w:val="center"/>
          </w:tcPr>
          <w:p w14:paraId="362C9539">
            <w:pPr>
              <w:widowControl/>
              <w:adjustRightInd w:val="0"/>
              <w:snapToGrid w:val="0"/>
              <w:spacing w:line="240" w:lineRule="exact"/>
              <w:jc w:val="left"/>
              <w:rPr>
                <w:rFonts w:ascii="Arial Narrow" w:hAnsi="Arial Narrow" w:cs="宋体"/>
                <w:snapToGrid w:val="0"/>
                <w:kern w:val="0"/>
                <w:sz w:val="18"/>
                <w:szCs w:val="18"/>
                <w:highlight w:val="none"/>
              </w:rPr>
            </w:pPr>
            <w:r>
              <w:rPr>
                <w:rFonts w:hint="eastAsia" w:ascii="Arial Narrow" w:hAnsi="Arial Narrow" w:cs="宋体"/>
                <w:snapToGrid w:val="0"/>
                <w:kern w:val="0"/>
                <w:sz w:val="18"/>
                <w:szCs w:val="18"/>
                <w:highlight w:val="none"/>
              </w:rPr>
              <w:t>（四）研发中心及信息化建设项目</w:t>
            </w:r>
          </w:p>
        </w:tc>
        <w:tc>
          <w:tcPr>
            <w:tcW w:w="992" w:type="dxa"/>
            <w:shd w:val="clear" w:color="auto" w:fill="auto"/>
            <w:vAlign w:val="center"/>
          </w:tcPr>
          <w:p w14:paraId="20AC306D">
            <w:pPr>
              <w:widowControl/>
              <w:adjustRightInd w:val="0"/>
              <w:snapToGrid w:val="0"/>
              <w:spacing w:line="240" w:lineRule="exact"/>
              <w:jc w:val="center"/>
              <w:rPr>
                <w:rFonts w:ascii="Arial Narrow" w:hAnsi="Arial Narrow" w:cs="宋体"/>
                <w:snapToGrid w:val="0"/>
                <w:kern w:val="0"/>
                <w:sz w:val="18"/>
                <w:szCs w:val="18"/>
                <w:highlight w:val="none"/>
              </w:rPr>
            </w:pPr>
            <w:r>
              <w:rPr>
                <w:rFonts w:hint="eastAsia" w:ascii="Arial Narrow" w:hAnsi="Arial Narrow" w:cs="宋体"/>
                <w:snapToGrid w:val="0"/>
                <w:kern w:val="0"/>
                <w:sz w:val="18"/>
                <w:szCs w:val="18"/>
                <w:highlight w:val="none"/>
              </w:rPr>
              <w:t>5</w:t>
            </w:r>
          </w:p>
        </w:tc>
        <w:tc>
          <w:tcPr>
            <w:tcW w:w="1276" w:type="dxa"/>
            <w:shd w:val="clear" w:color="auto" w:fill="auto"/>
            <w:vAlign w:val="center"/>
          </w:tcPr>
          <w:p w14:paraId="3135251A">
            <w:pPr>
              <w:widowControl/>
              <w:adjustRightInd w:val="0"/>
              <w:snapToGrid w:val="0"/>
              <w:spacing w:line="240" w:lineRule="exact"/>
              <w:jc w:val="right"/>
              <w:rPr>
                <w:rFonts w:ascii="Arial Narrow" w:hAnsi="Arial Narrow" w:cs="宋体"/>
                <w:snapToGrid w:val="0"/>
                <w:kern w:val="0"/>
                <w:sz w:val="18"/>
                <w:szCs w:val="16"/>
                <w:highlight w:val="none"/>
              </w:rPr>
            </w:pPr>
            <w:r>
              <w:rPr>
                <w:rFonts w:hint="eastAsia" w:ascii="Arial Narrow" w:hAnsi="Arial Narrow" w:cs="宋体"/>
                <w:snapToGrid w:val="0"/>
                <w:kern w:val="0"/>
                <w:sz w:val="18"/>
                <w:szCs w:val="16"/>
                <w:highlight w:val="none"/>
              </w:rPr>
              <w:t>62,500,000.00</w:t>
            </w:r>
          </w:p>
        </w:tc>
        <w:tc>
          <w:tcPr>
            <w:tcW w:w="1275" w:type="dxa"/>
            <w:shd w:val="clear" w:color="auto" w:fill="auto"/>
            <w:vAlign w:val="center"/>
          </w:tcPr>
          <w:p w14:paraId="0EC8393D">
            <w:pPr>
              <w:widowControl/>
              <w:adjustRightInd w:val="0"/>
              <w:snapToGrid w:val="0"/>
              <w:spacing w:line="240" w:lineRule="exact"/>
              <w:jc w:val="right"/>
              <w:rPr>
                <w:rFonts w:ascii="Arial Narrow" w:hAnsi="Arial Narrow" w:cs="宋体"/>
                <w:snapToGrid w:val="0"/>
                <w:kern w:val="0"/>
                <w:sz w:val="18"/>
                <w:szCs w:val="16"/>
                <w:highlight w:val="none"/>
              </w:rPr>
            </w:pPr>
          </w:p>
        </w:tc>
        <w:tc>
          <w:tcPr>
            <w:tcW w:w="1395" w:type="dxa"/>
            <w:shd w:val="clear" w:color="auto" w:fill="auto"/>
            <w:vAlign w:val="center"/>
          </w:tcPr>
          <w:p w14:paraId="6B943D4F">
            <w:pPr>
              <w:widowControl/>
              <w:adjustRightInd w:val="0"/>
              <w:snapToGrid w:val="0"/>
              <w:spacing w:line="240" w:lineRule="exact"/>
              <w:jc w:val="right"/>
              <w:rPr>
                <w:rFonts w:ascii="Arial Narrow" w:hAnsi="Arial Narrow" w:cs="宋体"/>
                <w:snapToGrid w:val="0"/>
                <w:kern w:val="0"/>
                <w:sz w:val="18"/>
                <w:szCs w:val="16"/>
                <w:highlight w:val="none"/>
              </w:rPr>
            </w:pPr>
          </w:p>
        </w:tc>
        <w:tc>
          <w:tcPr>
            <w:tcW w:w="1247" w:type="dxa"/>
            <w:shd w:val="clear" w:color="auto" w:fill="auto"/>
            <w:vAlign w:val="center"/>
          </w:tcPr>
          <w:p w14:paraId="1CE6054E">
            <w:pPr>
              <w:widowControl/>
              <w:adjustRightInd w:val="0"/>
              <w:snapToGrid w:val="0"/>
              <w:spacing w:line="240" w:lineRule="exact"/>
              <w:jc w:val="right"/>
              <w:rPr>
                <w:rFonts w:ascii="Arial Narrow" w:hAnsi="Arial Narrow" w:cs="宋体"/>
                <w:snapToGrid w:val="0"/>
                <w:kern w:val="0"/>
                <w:sz w:val="18"/>
                <w:szCs w:val="16"/>
                <w:highlight w:val="none"/>
              </w:rPr>
            </w:pPr>
          </w:p>
        </w:tc>
      </w:tr>
      <w:tr w14:paraId="53CF55FB">
        <w:trPr>
          <w:cantSplit/>
          <w:trHeight w:val="397" w:hRule="atLeast"/>
          <w:jc w:val="center"/>
        </w:trPr>
        <w:tc>
          <w:tcPr>
            <w:tcW w:w="2127" w:type="dxa"/>
            <w:shd w:val="clear" w:color="auto" w:fill="auto"/>
            <w:vAlign w:val="center"/>
          </w:tcPr>
          <w:p w14:paraId="787DCC1C">
            <w:pPr>
              <w:widowControl/>
              <w:adjustRightInd w:val="0"/>
              <w:snapToGrid w:val="0"/>
              <w:spacing w:line="240" w:lineRule="exact"/>
              <w:jc w:val="left"/>
              <w:rPr>
                <w:rFonts w:ascii="Arial Narrow" w:hAnsi="Arial Narrow" w:cs="宋体"/>
                <w:snapToGrid w:val="0"/>
                <w:kern w:val="0"/>
                <w:sz w:val="18"/>
                <w:szCs w:val="18"/>
                <w:highlight w:val="none"/>
              </w:rPr>
            </w:pPr>
            <w:r>
              <w:rPr>
                <w:rFonts w:hint="eastAsia" w:ascii="Arial Narrow" w:hAnsi="Arial Narrow" w:cs="宋体"/>
                <w:snapToGrid w:val="0"/>
                <w:kern w:val="0"/>
                <w:sz w:val="18"/>
                <w:szCs w:val="18"/>
                <w:highlight w:val="none"/>
              </w:rPr>
              <w:t>（五）智控设备及金属制品智能工厂建设项目（一期）</w:t>
            </w:r>
          </w:p>
        </w:tc>
        <w:tc>
          <w:tcPr>
            <w:tcW w:w="992" w:type="dxa"/>
            <w:shd w:val="clear" w:color="auto" w:fill="auto"/>
            <w:vAlign w:val="center"/>
          </w:tcPr>
          <w:p w14:paraId="4DCDF1D2">
            <w:pPr>
              <w:widowControl/>
              <w:adjustRightInd w:val="0"/>
              <w:snapToGrid w:val="0"/>
              <w:spacing w:line="240" w:lineRule="exact"/>
              <w:jc w:val="center"/>
              <w:rPr>
                <w:rFonts w:ascii="Arial Narrow" w:hAnsi="Arial Narrow" w:cs="宋体"/>
                <w:snapToGrid w:val="0"/>
                <w:kern w:val="0"/>
                <w:sz w:val="18"/>
                <w:szCs w:val="18"/>
                <w:highlight w:val="none"/>
              </w:rPr>
            </w:pPr>
            <w:r>
              <w:rPr>
                <w:rFonts w:hint="eastAsia" w:ascii="Arial Narrow" w:hAnsi="Arial Narrow" w:cs="宋体"/>
                <w:snapToGrid w:val="0"/>
                <w:kern w:val="0"/>
                <w:sz w:val="18"/>
                <w:szCs w:val="18"/>
                <w:highlight w:val="none"/>
              </w:rPr>
              <w:t>6</w:t>
            </w:r>
          </w:p>
        </w:tc>
        <w:tc>
          <w:tcPr>
            <w:tcW w:w="1276" w:type="dxa"/>
            <w:shd w:val="clear" w:color="auto" w:fill="auto"/>
            <w:vAlign w:val="center"/>
          </w:tcPr>
          <w:p w14:paraId="75D57353">
            <w:pPr>
              <w:widowControl/>
              <w:adjustRightInd w:val="0"/>
              <w:snapToGrid w:val="0"/>
              <w:spacing w:line="240" w:lineRule="exact"/>
              <w:jc w:val="right"/>
              <w:rPr>
                <w:rFonts w:ascii="Arial Narrow" w:hAnsi="Arial Narrow" w:cs="宋体"/>
                <w:snapToGrid w:val="0"/>
                <w:kern w:val="0"/>
                <w:sz w:val="18"/>
                <w:szCs w:val="16"/>
                <w:highlight w:val="none"/>
              </w:rPr>
            </w:pPr>
            <w:r>
              <w:rPr>
                <w:rFonts w:hint="eastAsia" w:ascii="Arial Narrow" w:hAnsi="Arial Narrow" w:cs="宋体"/>
                <w:snapToGrid w:val="0"/>
                <w:kern w:val="0"/>
                <w:sz w:val="18"/>
                <w:szCs w:val="16"/>
                <w:highlight w:val="none"/>
              </w:rPr>
              <w:t>147,744,400.00</w:t>
            </w:r>
          </w:p>
        </w:tc>
        <w:tc>
          <w:tcPr>
            <w:tcW w:w="1275" w:type="dxa"/>
            <w:shd w:val="clear" w:color="auto" w:fill="auto"/>
            <w:vAlign w:val="center"/>
          </w:tcPr>
          <w:p w14:paraId="565B8A9A">
            <w:pPr>
              <w:widowControl/>
              <w:adjustRightInd w:val="0"/>
              <w:snapToGrid w:val="0"/>
              <w:spacing w:line="240" w:lineRule="exact"/>
              <w:jc w:val="right"/>
              <w:rPr>
                <w:rFonts w:ascii="Arial Narrow" w:hAnsi="Arial Narrow" w:cs="宋体"/>
                <w:snapToGrid w:val="0"/>
                <w:kern w:val="0"/>
                <w:sz w:val="18"/>
                <w:szCs w:val="16"/>
                <w:highlight w:val="none"/>
              </w:rPr>
            </w:pPr>
          </w:p>
        </w:tc>
        <w:tc>
          <w:tcPr>
            <w:tcW w:w="1395" w:type="dxa"/>
            <w:shd w:val="clear" w:color="auto" w:fill="auto"/>
            <w:vAlign w:val="center"/>
          </w:tcPr>
          <w:p w14:paraId="1B6BFBA7">
            <w:pPr>
              <w:widowControl/>
              <w:adjustRightInd w:val="0"/>
              <w:snapToGrid w:val="0"/>
              <w:spacing w:line="240" w:lineRule="exact"/>
              <w:jc w:val="right"/>
              <w:rPr>
                <w:rFonts w:ascii="Arial Narrow" w:hAnsi="Arial Narrow" w:cs="宋体"/>
                <w:snapToGrid w:val="0"/>
                <w:kern w:val="0"/>
                <w:sz w:val="18"/>
                <w:szCs w:val="16"/>
                <w:highlight w:val="none"/>
              </w:rPr>
            </w:pPr>
          </w:p>
        </w:tc>
        <w:tc>
          <w:tcPr>
            <w:tcW w:w="1247" w:type="dxa"/>
            <w:shd w:val="clear" w:color="auto" w:fill="auto"/>
            <w:vAlign w:val="center"/>
          </w:tcPr>
          <w:p w14:paraId="078C7EA2">
            <w:pPr>
              <w:widowControl/>
              <w:adjustRightInd w:val="0"/>
              <w:snapToGrid w:val="0"/>
              <w:spacing w:line="240" w:lineRule="exact"/>
              <w:jc w:val="right"/>
              <w:rPr>
                <w:rFonts w:ascii="Arial Narrow" w:hAnsi="Arial Narrow" w:cs="宋体"/>
                <w:snapToGrid w:val="0"/>
                <w:kern w:val="0"/>
                <w:sz w:val="18"/>
                <w:szCs w:val="16"/>
                <w:highlight w:val="none"/>
              </w:rPr>
            </w:pPr>
          </w:p>
        </w:tc>
      </w:tr>
      <w:tr w14:paraId="7D2A7BEA">
        <w:trPr>
          <w:cantSplit/>
          <w:trHeight w:val="397" w:hRule="atLeast"/>
          <w:jc w:val="center"/>
        </w:trPr>
        <w:tc>
          <w:tcPr>
            <w:tcW w:w="2127" w:type="dxa"/>
            <w:shd w:val="clear" w:color="auto" w:fill="auto"/>
            <w:vAlign w:val="center"/>
          </w:tcPr>
          <w:p w14:paraId="4FEBB312">
            <w:pPr>
              <w:widowControl/>
              <w:adjustRightInd w:val="0"/>
              <w:snapToGrid w:val="0"/>
              <w:spacing w:line="240" w:lineRule="exact"/>
              <w:jc w:val="left"/>
              <w:rPr>
                <w:rFonts w:ascii="Arial Narrow" w:hAnsi="Arial Narrow" w:cs="宋体"/>
                <w:snapToGrid w:val="0"/>
                <w:kern w:val="0"/>
                <w:sz w:val="18"/>
                <w:szCs w:val="18"/>
                <w:highlight w:val="none"/>
              </w:rPr>
            </w:pPr>
            <w:r>
              <w:rPr>
                <w:rFonts w:hint="eastAsia" w:ascii="Arial Narrow" w:hAnsi="Arial Narrow" w:cs="宋体"/>
                <w:snapToGrid w:val="0"/>
                <w:kern w:val="0"/>
                <w:sz w:val="18"/>
                <w:szCs w:val="18"/>
                <w:highlight w:val="none"/>
              </w:rPr>
              <w:t>（六）补充流动资金</w:t>
            </w:r>
          </w:p>
        </w:tc>
        <w:tc>
          <w:tcPr>
            <w:tcW w:w="992" w:type="dxa"/>
            <w:shd w:val="clear" w:color="auto" w:fill="auto"/>
            <w:vAlign w:val="center"/>
          </w:tcPr>
          <w:p w14:paraId="1F1A4AE1">
            <w:pPr>
              <w:widowControl/>
              <w:adjustRightInd w:val="0"/>
              <w:snapToGrid w:val="0"/>
              <w:spacing w:line="240" w:lineRule="exact"/>
              <w:jc w:val="center"/>
              <w:rPr>
                <w:rFonts w:ascii="Arial Narrow" w:hAnsi="Arial Narrow" w:cs="宋体"/>
                <w:snapToGrid w:val="0"/>
                <w:kern w:val="0"/>
                <w:sz w:val="18"/>
                <w:szCs w:val="18"/>
                <w:highlight w:val="none"/>
              </w:rPr>
            </w:pPr>
            <w:r>
              <w:rPr>
                <w:rFonts w:hint="eastAsia" w:ascii="Arial Narrow" w:hAnsi="Arial Narrow" w:cs="宋体"/>
                <w:snapToGrid w:val="0"/>
                <w:kern w:val="0"/>
                <w:sz w:val="18"/>
                <w:szCs w:val="18"/>
                <w:highlight w:val="none"/>
              </w:rPr>
              <w:t>7</w:t>
            </w:r>
          </w:p>
        </w:tc>
        <w:tc>
          <w:tcPr>
            <w:tcW w:w="1276" w:type="dxa"/>
            <w:shd w:val="clear" w:color="auto" w:fill="auto"/>
            <w:vAlign w:val="center"/>
          </w:tcPr>
          <w:p w14:paraId="5BF64759">
            <w:pPr>
              <w:widowControl/>
              <w:adjustRightInd w:val="0"/>
              <w:snapToGrid w:val="0"/>
              <w:spacing w:line="240" w:lineRule="exact"/>
              <w:jc w:val="right"/>
              <w:rPr>
                <w:rFonts w:ascii="Arial Narrow" w:hAnsi="Arial Narrow" w:cs="宋体"/>
                <w:snapToGrid w:val="0"/>
                <w:kern w:val="0"/>
                <w:sz w:val="18"/>
                <w:szCs w:val="16"/>
                <w:highlight w:val="none"/>
              </w:rPr>
            </w:pPr>
            <w:r>
              <w:rPr>
                <w:rFonts w:hint="eastAsia" w:ascii="Arial Narrow" w:hAnsi="Arial Narrow" w:cs="宋体"/>
                <w:snapToGrid w:val="0"/>
                <w:kern w:val="0"/>
                <w:sz w:val="18"/>
                <w:szCs w:val="16"/>
                <w:highlight w:val="none"/>
              </w:rPr>
              <w:t>200,000,000.00</w:t>
            </w:r>
          </w:p>
        </w:tc>
        <w:tc>
          <w:tcPr>
            <w:tcW w:w="1275" w:type="dxa"/>
            <w:shd w:val="clear" w:color="auto" w:fill="auto"/>
            <w:vAlign w:val="center"/>
          </w:tcPr>
          <w:p w14:paraId="67839453">
            <w:pPr>
              <w:widowControl/>
              <w:adjustRightInd w:val="0"/>
              <w:snapToGrid w:val="0"/>
              <w:spacing w:line="240" w:lineRule="exact"/>
              <w:jc w:val="right"/>
              <w:rPr>
                <w:rFonts w:ascii="Arial Narrow" w:hAnsi="Arial Narrow" w:cs="宋体"/>
                <w:snapToGrid w:val="0"/>
                <w:kern w:val="0"/>
                <w:sz w:val="18"/>
                <w:szCs w:val="16"/>
                <w:highlight w:val="none"/>
              </w:rPr>
            </w:pPr>
          </w:p>
        </w:tc>
        <w:tc>
          <w:tcPr>
            <w:tcW w:w="1395" w:type="dxa"/>
            <w:shd w:val="clear" w:color="auto" w:fill="auto"/>
            <w:vAlign w:val="center"/>
          </w:tcPr>
          <w:p w14:paraId="2133BD33">
            <w:pPr>
              <w:widowControl/>
              <w:adjustRightInd w:val="0"/>
              <w:snapToGrid w:val="0"/>
              <w:spacing w:line="240" w:lineRule="exact"/>
              <w:jc w:val="right"/>
              <w:rPr>
                <w:rFonts w:ascii="Arial Narrow" w:hAnsi="Arial Narrow" w:cs="宋体"/>
                <w:snapToGrid w:val="0"/>
                <w:kern w:val="0"/>
                <w:sz w:val="18"/>
                <w:szCs w:val="16"/>
                <w:highlight w:val="none"/>
              </w:rPr>
            </w:pPr>
          </w:p>
        </w:tc>
        <w:tc>
          <w:tcPr>
            <w:tcW w:w="1247" w:type="dxa"/>
            <w:shd w:val="clear" w:color="auto" w:fill="auto"/>
            <w:vAlign w:val="center"/>
          </w:tcPr>
          <w:p w14:paraId="0F37F9BB">
            <w:pPr>
              <w:widowControl/>
              <w:adjustRightInd w:val="0"/>
              <w:snapToGrid w:val="0"/>
              <w:spacing w:line="240" w:lineRule="exact"/>
              <w:jc w:val="right"/>
              <w:rPr>
                <w:rFonts w:ascii="Arial Narrow" w:hAnsi="Arial Narrow" w:cs="宋体"/>
                <w:snapToGrid w:val="0"/>
                <w:kern w:val="0"/>
                <w:sz w:val="18"/>
                <w:szCs w:val="16"/>
                <w:highlight w:val="none"/>
              </w:rPr>
            </w:pPr>
          </w:p>
        </w:tc>
      </w:tr>
      <w:tr w14:paraId="14532417">
        <w:trPr>
          <w:cantSplit/>
          <w:trHeight w:val="397" w:hRule="atLeast"/>
          <w:jc w:val="center"/>
        </w:trPr>
        <w:tc>
          <w:tcPr>
            <w:tcW w:w="2127" w:type="dxa"/>
            <w:shd w:val="clear" w:color="auto" w:fill="auto"/>
            <w:vAlign w:val="center"/>
          </w:tcPr>
          <w:p w14:paraId="7DBA9C16">
            <w:pPr>
              <w:widowControl/>
              <w:adjustRightInd w:val="0"/>
              <w:snapToGrid w:val="0"/>
              <w:spacing w:line="240" w:lineRule="exact"/>
              <w:jc w:val="left"/>
              <w:rPr>
                <w:rFonts w:ascii="Arial Narrow" w:hAnsi="Arial Narrow" w:cs="宋体"/>
                <w:snapToGrid w:val="0"/>
                <w:kern w:val="0"/>
                <w:sz w:val="18"/>
                <w:szCs w:val="18"/>
                <w:highlight w:val="none"/>
              </w:rPr>
            </w:pPr>
            <w:r>
              <w:rPr>
                <w:rFonts w:hint="eastAsia" w:ascii="Arial Narrow" w:hAnsi="Arial Narrow" w:cs="宋体"/>
                <w:snapToGrid w:val="0"/>
                <w:kern w:val="0"/>
                <w:sz w:val="18"/>
                <w:szCs w:val="18"/>
                <w:highlight w:val="none"/>
              </w:rPr>
              <w:t>累计实际使用募集资金金额</w:t>
            </w:r>
          </w:p>
        </w:tc>
        <w:tc>
          <w:tcPr>
            <w:tcW w:w="992" w:type="dxa"/>
            <w:shd w:val="clear" w:color="auto" w:fill="auto"/>
            <w:vAlign w:val="center"/>
          </w:tcPr>
          <w:p w14:paraId="3D6E9AE8">
            <w:pPr>
              <w:widowControl/>
              <w:adjustRightInd w:val="0"/>
              <w:snapToGrid w:val="0"/>
              <w:spacing w:line="240" w:lineRule="exact"/>
              <w:jc w:val="center"/>
              <w:rPr>
                <w:rFonts w:ascii="Arial Narrow" w:hAnsi="Arial Narrow" w:cs="宋体"/>
                <w:snapToGrid w:val="0"/>
                <w:kern w:val="0"/>
                <w:sz w:val="18"/>
                <w:szCs w:val="18"/>
                <w:highlight w:val="none"/>
              </w:rPr>
            </w:pPr>
            <w:r>
              <w:rPr>
                <w:rFonts w:hint="eastAsia" w:ascii="Arial Narrow" w:hAnsi="Arial Narrow" w:cs="宋体"/>
                <w:snapToGrid w:val="0"/>
                <w:kern w:val="0"/>
                <w:sz w:val="18"/>
                <w:szCs w:val="18"/>
                <w:highlight w:val="none"/>
              </w:rPr>
              <w:t>8=9+10+11+12+13+14</w:t>
            </w:r>
          </w:p>
        </w:tc>
        <w:tc>
          <w:tcPr>
            <w:tcW w:w="1276" w:type="dxa"/>
            <w:shd w:val="clear" w:color="auto" w:fill="auto"/>
            <w:vAlign w:val="center"/>
          </w:tcPr>
          <w:p w14:paraId="2A53AB60">
            <w:pPr>
              <w:widowControl/>
              <w:adjustRightInd w:val="0"/>
              <w:snapToGrid w:val="0"/>
              <w:spacing w:line="240" w:lineRule="exact"/>
              <w:jc w:val="right"/>
              <w:rPr>
                <w:rFonts w:ascii="Arial Narrow" w:hAnsi="Arial Narrow" w:cs="宋体"/>
                <w:snapToGrid w:val="0"/>
                <w:kern w:val="0"/>
                <w:sz w:val="18"/>
                <w:szCs w:val="16"/>
                <w:highlight w:val="none"/>
              </w:rPr>
            </w:pPr>
            <w:r>
              <w:rPr>
                <w:rFonts w:hint="eastAsia" w:ascii="Arial Narrow" w:hAnsi="Arial Narrow" w:cs="宋体"/>
                <w:snapToGrid w:val="0"/>
                <w:kern w:val="0"/>
                <w:sz w:val="18"/>
                <w:szCs w:val="16"/>
                <w:highlight w:val="none"/>
              </w:rPr>
              <w:t xml:space="preserve"> 677,516,109.88 </w:t>
            </w:r>
          </w:p>
        </w:tc>
        <w:tc>
          <w:tcPr>
            <w:tcW w:w="1275" w:type="dxa"/>
            <w:shd w:val="clear" w:color="auto" w:fill="auto"/>
            <w:vAlign w:val="center"/>
          </w:tcPr>
          <w:p w14:paraId="00BBCF1F">
            <w:pPr>
              <w:widowControl/>
              <w:adjustRightInd w:val="0"/>
              <w:snapToGrid w:val="0"/>
              <w:spacing w:line="240" w:lineRule="exact"/>
              <w:jc w:val="right"/>
              <w:rPr>
                <w:rFonts w:ascii="Arial Narrow" w:hAnsi="Arial Narrow" w:cs="宋体"/>
                <w:snapToGrid w:val="0"/>
                <w:kern w:val="0"/>
                <w:sz w:val="18"/>
                <w:szCs w:val="16"/>
                <w:highlight w:val="none"/>
              </w:rPr>
            </w:pPr>
            <w:r>
              <w:rPr>
                <w:rFonts w:hint="eastAsia" w:ascii="Arial Narrow" w:hAnsi="Arial Narrow" w:cs="宋体"/>
                <w:snapToGrid w:val="0"/>
                <w:kern w:val="0"/>
                <w:sz w:val="18"/>
                <w:szCs w:val="16"/>
                <w:highlight w:val="none"/>
              </w:rPr>
              <w:t>96,465,214.71</w:t>
            </w:r>
          </w:p>
        </w:tc>
        <w:tc>
          <w:tcPr>
            <w:tcW w:w="1395" w:type="dxa"/>
            <w:shd w:val="clear" w:color="auto" w:fill="auto"/>
            <w:vAlign w:val="center"/>
          </w:tcPr>
          <w:p w14:paraId="100E3CEA">
            <w:pPr>
              <w:widowControl/>
              <w:adjustRightInd w:val="0"/>
              <w:snapToGrid w:val="0"/>
              <w:spacing w:line="240" w:lineRule="exact"/>
              <w:jc w:val="right"/>
              <w:rPr>
                <w:rFonts w:ascii="Arial Narrow" w:hAnsi="Arial Narrow" w:cs="宋体"/>
                <w:snapToGrid w:val="0"/>
                <w:kern w:val="0"/>
                <w:sz w:val="18"/>
                <w:szCs w:val="16"/>
                <w:highlight w:val="none"/>
              </w:rPr>
            </w:pPr>
            <w:r>
              <w:rPr>
                <w:rFonts w:hint="eastAsia" w:ascii="Arial Narrow" w:hAnsi="Arial Narrow" w:cs="宋体"/>
                <w:snapToGrid w:val="0"/>
                <w:kern w:val="0"/>
                <w:sz w:val="18"/>
                <w:szCs w:val="16"/>
                <w:highlight w:val="none"/>
              </w:rPr>
              <w:t xml:space="preserve"> 89,347,240.25 </w:t>
            </w:r>
          </w:p>
        </w:tc>
        <w:tc>
          <w:tcPr>
            <w:tcW w:w="1247" w:type="dxa"/>
            <w:shd w:val="clear" w:color="auto" w:fill="auto"/>
            <w:vAlign w:val="center"/>
          </w:tcPr>
          <w:p w14:paraId="5A5BB4F1">
            <w:pPr>
              <w:widowControl/>
              <w:adjustRightInd w:val="0"/>
              <w:snapToGrid w:val="0"/>
              <w:spacing w:line="240" w:lineRule="exact"/>
              <w:jc w:val="right"/>
              <w:rPr>
                <w:rFonts w:ascii="Arial Narrow" w:hAnsi="Arial Narrow" w:cs="宋体"/>
                <w:snapToGrid w:val="0"/>
                <w:kern w:val="0"/>
                <w:sz w:val="18"/>
                <w:szCs w:val="16"/>
                <w:highlight w:val="none"/>
              </w:rPr>
            </w:pPr>
            <w:r>
              <w:rPr>
                <w:rFonts w:hint="eastAsia" w:ascii="Arial Narrow" w:hAnsi="Arial Narrow" w:cs="宋体"/>
                <w:snapToGrid w:val="0"/>
                <w:kern w:val="0"/>
                <w:sz w:val="18"/>
                <w:szCs w:val="16"/>
                <w:highlight w:val="none"/>
              </w:rPr>
              <w:t xml:space="preserve"> 766,863,350.13 </w:t>
            </w:r>
          </w:p>
        </w:tc>
      </w:tr>
      <w:tr w14:paraId="7DD8E01D">
        <w:trPr>
          <w:cantSplit/>
          <w:trHeight w:val="397" w:hRule="atLeast"/>
          <w:jc w:val="center"/>
        </w:trPr>
        <w:tc>
          <w:tcPr>
            <w:tcW w:w="2127" w:type="dxa"/>
            <w:shd w:val="clear" w:color="auto" w:fill="auto"/>
            <w:vAlign w:val="center"/>
          </w:tcPr>
          <w:p w14:paraId="23CF41B3">
            <w:pPr>
              <w:widowControl/>
              <w:adjustRightInd w:val="0"/>
              <w:snapToGrid w:val="0"/>
              <w:spacing w:line="240" w:lineRule="exact"/>
              <w:jc w:val="left"/>
              <w:rPr>
                <w:rFonts w:ascii="Arial Narrow" w:hAnsi="Arial Narrow" w:cs="宋体"/>
                <w:snapToGrid w:val="0"/>
                <w:kern w:val="0"/>
                <w:sz w:val="18"/>
                <w:szCs w:val="18"/>
                <w:highlight w:val="none"/>
              </w:rPr>
            </w:pPr>
            <w:r>
              <w:rPr>
                <w:rFonts w:hint="eastAsia" w:ascii="Arial Narrow" w:hAnsi="Arial Narrow" w:cs="宋体"/>
                <w:snapToGrid w:val="0"/>
                <w:kern w:val="0"/>
                <w:sz w:val="18"/>
                <w:szCs w:val="18"/>
                <w:highlight w:val="none"/>
              </w:rPr>
              <w:t>（一）智能成套电气设备产业基地建设项目</w:t>
            </w:r>
          </w:p>
        </w:tc>
        <w:tc>
          <w:tcPr>
            <w:tcW w:w="992" w:type="dxa"/>
            <w:shd w:val="clear" w:color="auto" w:fill="auto"/>
            <w:vAlign w:val="center"/>
          </w:tcPr>
          <w:p w14:paraId="2A2A070A">
            <w:pPr>
              <w:widowControl/>
              <w:adjustRightInd w:val="0"/>
              <w:snapToGrid w:val="0"/>
              <w:spacing w:line="240" w:lineRule="exact"/>
              <w:jc w:val="center"/>
              <w:rPr>
                <w:rFonts w:ascii="Arial Narrow" w:hAnsi="Arial Narrow" w:cs="宋体"/>
                <w:snapToGrid w:val="0"/>
                <w:kern w:val="0"/>
                <w:sz w:val="18"/>
                <w:szCs w:val="18"/>
                <w:highlight w:val="none"/>
              </w:rPr>
            </w:pPr>
            <w:r>
              <w:rPr>
                <w:rFonts w:hint="eastAsia" w:ascii="Arial Narrow" w:hAnsi="Arial Narrow" w:cs="宋体"/>
                <w:snapToGrid w:val="0"/>
                <w:kern w:val="0"/>
                <w:sz w:val="18"/>
                <w:szCs w:val="18"/>
                <w:highlight w:val="none"/>
              </w:rPr>
              <w:t>9</w:t>
            </w:r>
          </w:p>
        </w:tc>
        <w:tc>
          <w:tcPr>
            <w:tcW w:w="1276" w:type="dxa"/>
            <w:shd w:val="clear" w:color="auto" w:fill="auto"/>
            <w:vAlign w:val="center"/>
          </w:tcPr>
          <w:p w14:paraId="2D596DA0">
            <w:pPr>
              <w:widowControl/>
              <w:adjustRightInd w:val="0"/>
              <w:snapToGrid w:val="0"/>
              <w:spacing w:line="240" w:lineRule="exact"/>
              <w:jc w:val="right"/>
              <w:rPr>
                <w:rFonts w:ascii="Arial Narrow" w:hAnsi="Arial Narrow" w:cs="宋体"/>
                <w:snapToGrid w:val="0"/>
                <w:kern w:val="0"/>
                <w:sz w:val="18"/>
                <w:szCs w:val="16"/>
                <w:highlight w:val="none"/>
              </w:rPr>
            </w:pPr>
            <w:r>
              <w:rPr>
                <w:rFonts w:hint="eastAsia" w:ascii="Arial Narrow" w:hAnsi="Arial Narrow" w:cs="宋体"/>
                <w:snapToGrid w:val="0"/>
                <w:kern w:val="0"/>
                <w:sz w:val="18"/>
                <w:szCs w:val="16"/>
                <w:highlight w:val="none"/>
              </w:rPr>
              <w:t xml:space="preserve"> 210,072,247.19 </w:t>
            </w:r>
          </w:p>
        </w:tc>
        <w:tc>
          <w:tcPr>
            <w:tcW w:w="1275" w:type="dxa"/>
            <w:shd w:val="clear" w:color="auto" w:fill="auto"/>
            <w:vAlign w:val="center"/>
          </w:tcPr>
          <w:p w14:paraId="7E8C82CA">
            <w:pPr>
              <w:widowControl/>
              <w:adjustRightInd w:val="0"/>
              <w:snapToGrid w:val="0"/>
              <w:spacing w:line="240" w:lineRule="exact"/>
              <w:jc w:val="right"/>
              <w:rPr>
                <w:rFonts w:ascii="Arial Narrow" w:hAnsi="Arial Narrow" w:cs="宋体"/>
                <w:snapToGrid w:val="0"/>
                <w:kern w:val="0"/>
                <w:sz w:val="18"/>
                <w:szCs w:val="16"/>
                <w:highlight w:val="none"/>
              </w:rPr>
            </w:pPr>
            <w:r>
              <w:rPr>
                <w:rFonts w:hint="eastAsia" w:ascii="Arial Narrow" w:hAnsi="Arial Narrow" w:cs="宋体"/>
                <w:snapToGrid w:val="0"/>
                <w:kern w:val="0"/>
                <w:sz w:val="18"/>
                <w:szCs w:val="16"/>
                <w:highlight w:val="none"/>
              </w:rPr>
              <w:t>22,006,435.28</w:t>
            </w:r>
          </w:p>
        </w:tc>
        <w:tc>
          <w:tcPr>
            <w:tcW w:w="1395" w:type="dxa"/>
            <w:shd w:val="clear" w:color="auto" w:fill="auto"/>
            <w:vAlign w:val="center"/>
          </w:tcPr>
          <w:p w14:paraId="2685F552">
            <w:pPr>
              <w:widowControl/>
              <w:adjustRightInd w:val="0"/>
              <w:snapToGrid w:val="0"/>
              <w:spacing w:line="240" w:lineRule="exact"/>
              <w:jc w:val="right"/>
              <w:rPr>
                <w:rFonts w:ascii="Arial Narrow" w:hAnsi="Arial Narrow" w:cs="宋体"/>
                <w:snapToGrid w:val="0"/>
                <w:kern w:val="0"/>
                <w:sz w:val="18"/>
                <w:szCs w:val="16"/>
                <w:highlight w:val="none"/>
              </w:rPr>
            </w:pPr>
            <w:r>
              <w:rPr>
                <w:rFonts w:hint="eastAsia" w:ascii="Arial Narrow" w:hAnsi="Arial Narrow" w:cs="宋体"/>
                <w:snapToGrid w:val="0"/>
                <w:kern w:val="0"/>
                <w:sz w:val="18"/>
                <w:szCs w:val="16"/>
                <w:highlight w:val="none"/>
              </w:rPr>
              <w:t xml:space="preserve"> 107,189.00  </w:t>
            </w:r>
          </w:p>
        </w:tc>
        <w:tc>
          <w:tcPr>
            <w:tcW w:w="1247" w:type="dxa"/>
            <w:shd w:val="clear" w:color="auto" w:fill="auto"/>
            <w:vAlign w:val="center"/>
          </w:tcPr>
          <w:p w14:paraId="676ADE7E">
            <w:pPr>
              <w:widowControl/>
              <w:adjustRightInd w:val="0"/>
              <w:snapToGrid w:val="0"/>
              <w:spacing w:line="240" w:lineRule="exact"/>
              <w:jc w:val="right"/>
              <w:rPr>
                <w:rFonts w:ascii="Arial Narrow" w:hAnsi="Arial Narrow" w:cs="宋体"/>
                <w:snapToGrid w:val="0"/>
                <w:kern w:val="0"/>
                <w:sz w:val="18"/>
                <w:szCs w:val="16"/>
                <w:highlight w:val="none"/>
              </w:rPr>
            </w:pPr>
            <w:r>
              <w:rPr>
                <w:rFonts w:hint="eastAsia" w:ascii="Arial Narrow" w:hAnsi="Arial Narrow" w:cs="宋体"/>
                <w:snapToGrid w:val="0"/>
                <w:kern w:val="0"/>
                <w:sz w:val="18"/>
                <w:szCs w:val="16"/>
                <w:highlight w:val="none"/>
              </w:rPr>
              <w:t xml:space="preserve">210,179,436.20 </w:t>
            </w:r>
          </w:p>
        </w:tc>
      </w:tr>
      <w:tr w14:paraId="52BBF5F3">
        <w:trPr>
          <w:cantSplit/>
          <w:trHeight w:val="397" w:hRule="atLeast"/>
          <w:jc w:val="center"/>
        </w:trPr>
        <w:tc>
          <w:tcPr>
            <w:tcW w:w="2127" w:type="dxa"/>
            <w:shd w:val="clear" w:color="auto" w:fill="auto"/>
            <w:vAlign w:val="center"/>
          </w:tcPr>
          <w:p w14:paraId="772A9DE7">
            <w:pPr>
              <w:widowControl/>
              <w:adjustRightInd w:val="0"/>
              <w:snapToGrid w:val="0"/>
              <w:spacing w:line="240" w:lineRule="exact"/>
              <w:jc w:val="left"/>
              <w:rPr>
                <w:rFonts w:ascii="Arial Narrow" w:hAnsi="Arial Narrow" w:cs="宋体"/>
                <w:snapToGrid w:val="0"/>
                <w:kern w:val="0"/>
                <w:sz w:val="18"/>
                <w:szCs w:val="18"/>
                <w:highlight w:val="none"/>
              </w:rPr>
            </w:pPr>
            <w:r>
              <w:rPr>
                <w:rFonts w:hint="eastAsia" w:ascii="Arial Narrow" w:hAnsi="Arial Narrow" w:cs="宋体"/>
                <w:snapToGrid w:val="0"/>
                <w:kern w:val="0"/>
                <w:sz w:val="18"/>
                <w:szCs w:val="18"/>
                <w:highlight w:val="none"/>
              </w:rPr>
              <w:t>（二）</w:t>
            </w:r>
            <w:r>
              <w:rPr>
                <w:rFonts w:ascii="Arial Narrow" w:hAnsi="Arial Narrow" w:cs="宋体"/>
                <w:snapToGrid w:val="0"/>
                <w:kern w:val="0"/>
                <w:sz w:val="18"/>
                <w:szCs w:val="18"/>
                <w:highlight w:val="none"/>
              </w:rPr>
              <w:t>110kV及以下节能型变压器智能化工厂技改项目</w:t>
            </w:r>
          </w:p>
        </w:tc>
        <w:tc>
          <w:tcPr>
            <w:tcW w:w="992" w:type="dxa"/>
            <w:shd w:val="clear" w:color="auto" w:fill="auto"/>
            <w:vAlign w:val="center"/>
          </w:tcPr>
          <w:p w14:paraId="37D51333">
            <w:pPr>
              <w:widowControl/>
              <w:adjustRightInd w:val="0"/>
              <w:snapToGrid w:val="0"/>
              <w:spacing w:line="240" w:lineRule="exact"/>
              <w:jc w:val="center"/>
              <w:rPr>
                <w:rFonts w:ascii="Arial Narrow" w:hAnsi="Arial Narrow" w:cs="宋体"/>
                <w:snapToGrid w:val="0"/>
                <w:kern w:val="0"/>
                <w:sz w:val="18"/>
                <w:szCs w:val="18"/>
                <w:highlight w:val="none"/>
              </w:rPr>
            </w:pPr>
            <w:r>
              <w:rPr>
                <w:rFonts w:hint="eastAsia" w:ascii="Arial Narrow" w:hAnsi="Arial Narrow" w:cs="宋体"/>
                <w:snapToGrid w:val="0"/>
                <w:kern w:val="0"/>
                <w:sz w:val="18"/>
                <w:szCs w:val="18"/>
                <w:highlight w:val="none"/>
              </w:rPr>
              <w:t>10</w:t>
            </w:r>
          </w:p>
        </w:tc>
        <w:tc>
          <w:tcPr>
            <w:tcW w:w="1276" w:type="dxa"/>
            <w:shd w:val="clear" w:color="auto" w:fill="auto"/>
            <w:vAlign w:val="center"/>
          </w:tcPr>
          <w:p w14:paraId="56BCB7B0">
            <w:pPr>
              <w:widowControl/>
              <w:adjustRightInd w:val="0"/>
              <w:snapToGrid w:val="0"/>
              <w:spacing w:line="240" w:lineRule="exact"/>
              <w:jc w:val="right"/>
              <w:rPr>
                <w:rFonts w:ascii="Arial Narrow" w:hAnsi="Arial Narrow" w:cs="宋体"/>
                <w:snapToGrid w:val="0"/>
                <w:kern w:val="0"/>
                <w:sz w:val="18"/>
                <w:szCs w:val="16"/>
                <w:highlight w:val="none"/>
              </w:rPr>
            </w:pPr>
            <w:r>
              <w:rPr>
                <w:rFonts w:hint="eastAsia" w:ascii="Arial Narrow" w:hAnsi="Arial Narrow" w:cs="宋体"/>
                <w:snapToGrid w:val="0"/>
                <w:kern w:val="0"/>
                <w:sz w:val="18"/>
                <w:szCs w:val="16"/>
                <w:highlight w:val="none"/>
              </w:rPr>
              <w:t xml:space="preserve"> 43,649,726.47 </w:t>
            </w:r>
          </w:p>
        </w:tc>
        <w:tc>
          <w:tcPr>
            <w:tcW w:w="1275" w:type="dxa"/>
            <w:shd w:val="clear" w:color="auto" w:fill="auto"/>
            <w:vAlign w:val="center"/>
          </w:tcPr>
          <w:p w14:paraId="6FD6CBBE">
            <w:pPr>
              <w:widowControl/>
              <w:adjustRightInd w:val="0"/>
              <w:snapToGrid w:val="0"/>
              <w:spacing w:line="240" w:lineRule="exact"/>
              <w:jc w:val="right"/>
              <w:rPr>
                <w:rFonts w:ascii="Arial Narrow" w:hAnsi="Arial Narrow" w:cs="宋体"/>
                <w:snapToGrid w:val="0"/>
                <w:kern w:val="0"/>
                <w:sz w:val="18"/>
                <w:szCs w:val="16"/>
                <w:highlight w:val="none"/>
              </w:rPr>
            </w:pPr>
            <w:r>
              <w:rPr>
                <w:rFonts w:hint="eastAsia" w:ascii="Arial Narrow" w:hAnsi="Arial Narrow" w:cs="宋体"/>
                <w:snapToGrid w:val="0"/>
                <w:kern w:val="0"/>
                <w:sz w:val="18"/>
                <w:szCs w:val="16"/>
                <w:highlight w:val="none"/>
              </w:rPr>
              <w:t>11,280,443.07</w:t>
            </w:r>
          </w:p>
        </w:tc>
        <w:tc>
          <w:tcPr>
            <w:tcW w:w="1395" w:type="dxa"/>
            <w:shd w:val="clear" w:color="auto" w:fill="auto"/>
            <w:vAlign w:val="center"/>
          </w:tcPr>
          <w:p w14:paraId="3D82AD55">
            <w:pPr>
              <w:widowControl/>
              <w:adjustRightInd w:val="0"/>
              <w:snapToGrid w:val="0"/>
              <w:spacing w:line="240" w:lineRule="exact"/>
              <w:jc w:val="right"/>
              <w:rPr>
                <w:rFonts w:ascii="Arial Narrow" w:hAnsi="Arial Narrow" w:cs="宋体"/>
                <w:snapToGrid w:val="0"/>
                <w:kern w:val="0"/>
                <w:sz w:val="18"/>
                <w:szCs w:val="16"/>
                <w:highlight w:val="none"/>
              </w:rPr>
            </w:pPr>
            <w:r>
              <w:rPr>
                <w:rFonts w:hint="eastAsia" w:ascii="Arial Narrow" w:hAnsi="Arial Narrow" w:cs="宋体"/>
                <w:snapToGrid w:val="0"/>
                <w:kern w:val="0"/>
                <w:sz w:val="18"/>
                <w:szCs w:val="16"/>
                <w:highlight w:val="none"/>
              </w:rPr>
              <w:t xml:space="preserve">12,481,494.95 </w:t>
            </w:r>
          </w:p>
        </w:tc>
        <w:tc>
          <w:tcPr>
            <w:tcW w:w="1247" w:type="dxa"/>
            <w:shd w:val="clear" w:color="auto" w:fill="auto"/>
            <w:vAlign w:val="center"/>
          </w:tcPr>
          <w:p w14:paraId="517C5173">
            <w:pPr>
              <w:widowControl/>
              <w:adjustRightInd w:val="0"/>
              <w:snapToGrid w:val="0"/>
              <w:spacing w:line="240" w:lineRule="exact"/>
              <w:jc w:val="right"/>
              <w:rPr>
                <w:rFonts w:ascii="Arial Narrow" w:hAnsi="Arial Narrow" w:cs="宋体"/>
                <w:snapToGrid w:val="0"/>
                <w:kern w:val="0"/>
                <w:sz w:val="18"/>
                <w:szCs w:val="16"/>
                <w:highlight w:val="none"/>
              </w:rPr>
            </w:pPr>
            <w:r>
              <w:rPr>
                <w:rFonts w:hint="eastAsia" w:ascii="Arial Narrow" w:hAnsi="Arial Narrow" w:cs="宋体"/>
                <w:snapToGrid w:val="0"/>
                <w:kern w:val="0"/>
                <w:sz w:val="18"/>
                <w:szCs w:val="16"/>
                <w:highlight w:val="none"/>
              </w:rPr>
              <w:t>56,131,221.42</w:t>
            </w:r>
          </w:p>
        </w:tc>
      </w:tr>
      <w:tr w14:paraId="31B85208">
        <w:trPr>
          <w:cantSplit/>
          <w:trHeight w:val="397" w:hRule="atLeast"/>
          <w:jc w:val="center"/>
        </w:trPr>
        <w:tc>
          <w:tcPr>
            <w:tcW w:w="2127" w:type="dxa"/>
            <w:shd w:val="clear" w:color="auto" w:fill="auto"/>
            <w:vAlign w:val="center"/>
          </w:tcPr>
          <w:p w14:paraId="4AEF2DAC">
            <w:pPr>
              <w:widowControl/>
              <w:adjustRightInd w:val="0"/>
              <w:snapToGrid w:val="0"/>
              <w:spacing w:line="240" w:lineRule="exact"/>
              <w:jc w:val="left"/>
              <w:rPr>
                <w:rFonts w:ascii="Arial Narrow" w:hAnsi="Arial Narrow" w:cs="宋体"/>
                <w:snapToGrid w:val="0"/>
                <w:kern w:val="0"/>
                <w:sz w:val="18"/>
                <w:szCs w:val="18"/>
                <w:highlight w:val="none"/>
              </w:rPr>
            </w:pPr>
            <w:r>
              <w:rPr>
                <w:rFonts w:hint="eastAsia" w:ascii="Arial Narrow" w:hAnsi="Arial Narrow" w:cs="宋体"/>
                <w:snapToGrid w:val="0"/>
                <w:kern w:val="0"/>
                <w:sz w:val="18"/>
                <w:szCs w:val="18"/>
                <w:highlight w:val="none"/>
              </w:rPr>
              <w:t>（三）低铁损高磁感硅钢铁心智能制造项目</w:t>
            </w:r>
          </w:p>
        </w:tc>
        <w:tc>
          <w:tcPr>
            <w:tcW w:w="992" w:type="dxa"/>
            <w:shd w:val="clear" w:color="auto" w:fill="auto"/>
            <w:vAlign w:val="center"/>
          </w:tcPr>
          <w:p w14:paraId="5E6AAF2D">
            <w:pPr>
              <w:widowControl/>
              <w:adjustRightInd w:val="0"/>
              <w:snapToGrid w:val="0"/>
              <w:spacing w:line="240" w:lineRule="exact"/>
              <w:jc w:val="center"/>
              <w:rPr>
                <w:rFonts w:ascii="Arial Narrow" w:hAnsi="Arial Narrow" w:cs="宋体"/>
                <w:snapToGrid w:val="0"/>
                <w:kern w:val="0"/>
                <w:sz w:val="18"/>
                <w:szCs w:val="18"/>
                <w:highlight w:val="none"/>
              </w:rPr>
            </w:pPr>
            <w:r>
              <w:rPr>
                <w:rFonts w:hint="eastAsia" w:ascii="Arial Narrow" w:hAnsi="Arial Narrow" w:cs="宋体"/>
                <w:snapToGrid w:val="0"/>
                <w:kern w:val="0"/>
                <w:sz w:val="18"/>
                <w:szCs w:val="18"/>
                <w:highlight w:val="none"/>
              </w:rPr>
              <w:t>11</w:t>
            </w:r>
          </w:p>
        </w:tc>
        <w:tc>
          <w:tcPr>
            <w:tcW w:w="1276" w:type="dxa"/>
            <w:shd w:val="clear" w:color="auto" w:fill="auto"/>
            <w:vAlign w:val="center"/>
          </w:tcPr>
          <w:p w14:paraId="5A769DFD">
            <w:pPr>
              <w:widowControl/>
              <w:adjustRightInd w:val="0"/>
              <w:snapToGrid w:val="0"/>
              <w:spacing w:line="240" w:lineRule="exact"/>
              <w:jc w:val="right"/>
              <w:rPr>
                <w:rFonts w:ascii="Arial Narrow" w:hAnsi="Arial Narrow" w:cs="宋体"/>
                <w:snapToGrid w:val="0"/>
                <w:kern w:val="0"/>
                <w:sz w:val="18"/>
                <w:szCs w:val="16"/>
                <w:highlight w:val="none"/>
              </w:rPr>
            </w:pPr>
            <w:r>
              <w:rPr>
                <w:rFonts w:hint="eastAsia" w:ascii="Arial Narrow" w:hAnsi="Arial Narrow" w:cs="宋体"/>
                <w:snapToGrid w:val="0"/>
                <w:kern w:val="0"/>
                <w:sz w:val="18"/>
                <w:szCs w:val="16"/>
                <w:highlight w:val="none"/>
              </w:rPr>
              <w:t xml:space="preserve"> 130,078,692.00 </w:t>
            </w:r>
          </w:p>
        </w:tc>
        <w:tc>
          <w:tcPr>
            <w:tcW w:w="1275" w:type="dxa"/>
            <w:shd w:val="clear" w:color="auto" w:fill="auto"/>
            <w:vAlign w:val="center"/>
          </w:tcPr>
          <w:p w14:paraId="0049D854">
            <w:pPr>
              <w:widowControl/>
              <w:adjustRightInd w:val="0"/>
              <w:snapToGrid w:val="0"/>
              <w:spacing w:line="240" w:lineRule="exact"/>
              <w:jc w:val="right"/>
              <w:rPr>
                <w:rFonts w:ascii="Arial Narrow" w:hAnsi="Arial Narrow" w:cs="宋体"/>
                <w:snapToGrid w:val="0"/>
                <w:kern w:val="0"/>
                <w:sz w:val="18"/>
                <w:szCs w:val="16"/>
                <w:highlight w:val="none"/>
              </w:rPr>
            </w:pPr>
          </w:p>
        </w:tc>
        <w:tc>
          <w:tcPr>
            <w:tcW w:w="1395" w:type="dxa"/>
            <w:shd w:val="clear" w:color="auto" w:fill="auto"/>
            <w:vAlign w:val="center"/>
          </w:tcPr>
          <w:p w14:paraId="3ED7520C">
            <w:pPr>
              <w:widowControl/>
              <w:adjustRightInd w:val="0"/>
              <w:snapToGrid w:val="0"/>
              <w:spacing w:line="240" w:lineRule="exact"/>
              <w:jc w:val="right"/>
              <w:rPr>
                <w:rFonts w:ascii="Arial Narrow" w:hAnsi="Arial Narrow" w:cs="宋体"/>
                <w:snapToGrid w:val="0"/>
                <w:kern w:val="0"/>
                <w:sz w:val="18"/>
                <w:szCs w:val="16"/>
                <w:highlight w:val="none"/>
              </w:rPr>
            </w:pPr>
            <w:r>
              <w:rPr>
                <w:rFonts w:hint="eastAsia" w:ascii="Arial Narrow" w:hAnsi="Arial Narrow" w:cs="宋体"/>
                <w:snapToGrid w:val="0"/>
                <w:kern w:val="0"/>
                <w:sz w:val="18"/>
                <w:szCs w:val="16"/>
                <w:highlight w:val="none"/>
              </w:rPr>
              <w:t xml:space="preserve"> </w:t>
            </w:r>
          </w:p>
        </w:tc>
        <w:tc>
          <w:tcPr>
            <w:tcW w:w="1247" w:type="dxa"/>
            <w:shd w:val="clear" w:color="auto" w:fill="auto"/>
            <w:vAlign w:val="center"/>
          </w:tcPr>
          <w:p w14:paraId="25BFAD94">
            <w:pPr>
              <w:widowControl/>
              <w:adjustRightInd w:val="0"/>
              <w:snapToGrid w:val="0"/>
              <w:spacing w:line="240" w:lineRule="exact"/>
              <w:jc w:val="right"/>
              <w:rPr>
                <w:rFonts w:ascii="Arial Narrow" w:hAnsi="Arial Narrow" w:cs="宋体"/>
                <w:snapToGrid w:val="0"/>
                <w:kern w:val="0"/>
                <w:sz w:val="18"/>
                <w:szCs w:val="16"/>
                <w:highlight w:val="none"/>
              </w:rPr>
            </w:pPr>
            <w:r>
              <w:rPr>
                <w:rFonts w:hint="eastAsia" w:ascii="Arial Narrow" w:hAnsi="Arial Narrow" w:cs="宋体"/>
                <w:snapToGrid w:val="0"/>
                <w:kern w:val="0"/>
                <w:sz w:val="18"/>
                <w:szCs w:val="16"/>
                <w:highlight w:val="none"/>
              </w:rPr>
              <w:t>130,078,692.00</w:t>
            </w:r>
          </w:p>
        </w:tc>
      </w:tr>
      <w:tr w14:paraId="1BF4CA28">
        <w:trPr>
          <w:cantSplit/>
          <w:trHeight w:val="397" w:hRule="atLeast"/>
          <w:jc w:val="center"/>
        </w:trPr>
        <w:tc>
          <w:tcPr>
            <w:tcW w:w="2127" w:type="dxa"/>
            <w:shd w:val="clear" w:color="auto" w:fill="auto"/>
            <w:vAlign w:val="center"/>
          </w:tcPr>
          <w:p w14:paraId="300016B3">
            <w:pPr>
              <w:widowControl/>
              <w:adjustRightInd w:val="0"/>
              <w:snapToGrid w:val="0"/>
              <w:spacing w:line="240" w:lineRule="exact"/>
              <w:jc w:val="left"/>
              <w:rPr>
                <w:rFonts w:ascii="Arial Narrow" w:hAnsi="Arial Narrow" w:cs="宋体"/>
                <w:snapToGrid w:val="0"/>
                <w:kern w:val="0"/>
                <w:sz w:val="18"/>
                <w:szCs w:val="18"/>
                <w:highlight w:val="none"/>
              </w:rPr>
            </w:pPr>
            <w:r>
              <w:rPr>
                <w:rFonts w:hint="eastAsia" w:ascii="Arial Narrow" w:hAnsi="Arial Narrow" w:cs="宋体"/>
                <w:snapToGrid w:val="0"/>
                <w:kern w:val="0"/>
                <w:sz w:val="18"/>
                <w:szCs w:val="18"/>
                <w:highlight w:val="none"/>
              </w:rPr>
              <w:t>（四）研发中心及信息化建设项目</w:t>
            </w:r>
          </w:p>
        </w:tc>
        <w:tc>
          <w:tcPr>
            <w:tcW w:w="992" w:type="dxa"/>
            <w:shd w:val="clear" w:color="auto" w:fill="auto"/>
            <w:vAlign w:val="center"/>
          </w:tcPr>
          <w:p w14:paraId="372F034B">
            <w:pPr>
              <w:widowControl/>
              <w:adjustRightInd w:val="0"/>
              <w:snapToGrid w:val="0"/>
              <w:spacing w:line="240" w:lineRule="exact"/>
              <w:jc w:val="center"/>
              <w:rPr>
                <w:rFonts w:ascii="Arial Narrow" w:hAnsi="Arial Narrow" w:cs="宋体"/>
                <w:snapToGrid w:val="0"/>
                <w:kern w:val="0"/>
                <w:sz w:val="18"/>
                <w:szCs w:val="18"/>
                <w:highlight w:val="none"/>
              </w:rPr>
            </w:pPr>
            <w:r>
              <w:rPr>
                <w:rFonts w:hint="eastAsia" w:ascii="Arial Narrow" w:hAnsi="Arial Narrow" w:cs="宋体"/>
                <w:snapToGrid w:val="0"/>
                <w:kern w:val="0"/>
                <w:sz w:val="18"/>
                <w:szCs w:val="18"/>
                <w:highlight w:val="none"/>
              </w:rPr>
              <w:t>12</w:t>
            </w:r>
          </w:p>
        </w:tc>
        <w:tc>
          <w:tcPr>
            <w:tcW w:w="1276" w:type="dxa"/>
            <w:shd w:val="clear" w:color="auto" w:fill="auto"/>
            <w:vAlign w:val="center"/>
          </w:tcPr>
          <w:p w14:paraId="2F18A1DB">
            <w:pPr>
              <w:widowControl/>
              <w:adjustRightInd w:val="0"/>
              <w:snapToGrid w:val="0"/>
              <w:spacing w:line="240" w:lineRule="exact"/>
              <w:jc w:val="right"/>
              <w:rPr>
                <w:rFonts w:ascii="Arial Narrow" w:hAnsi="Arial Narrow" w:cs="宋体"/>
                <w:snapToGrid w:val="0"/>
                <w:kern w:val="0"/>
                <w:sz w:val="18"/>
                <w:szCs w:val="16"/>
                <w:highlight w:val="none"/>
              </w:rPr>
            </w:pPr>
            <w:r>
              <w:rPr>
                <w:rFonts w:hint="eastAsia" w:ascii="Arial Narrow" w:hAnsi="Arial Narrow" w:cs="宋体"/>
                <w:snapToGrid w:val="0"/>
                <w:kern w:val="0"/>
                <w:sz w:val="18"/>
                <w:szCs w:val="16"/>
                <w:highlight w:val="none"/>
              </w:rPr>
              <w:t xml:space="preserve"> 32,403,010.80 </w:t>
            </w:r>
          </w:p>
        </w:tc>
        <w:tc>
          <w:tcPr>
            <w:tcW w:w="1275" w:type="dxa"/>
            <w:shd w:val="clear" w:color="auto" w:fill="auto"/>
            <w:vAlign w:val="center"/>
          </w:tcPr>
          <w:p w14:paraId="1DE8D751">
            <w:pPr>
              <w:widowControl/>
              <w:adjustRightInd w:val="0"/>
              <w:snapToGrid w:val="0"/>
              <w:spacing w:line="240" w:lineRule="exact"/>
              <w:jc w:val="right"/>
              <w:rPr>
                <w:rFonts w:ascii="Arial Narrow" w:hAnsi="Arial Narrow" w:cs="宋体"/>
                <w:snapToGrid w:val="0"/>
                <w:kern w:val="0"/>
                <w:sz w:val="18"/>
                <w:szCs w:val="16"/>
                <w:highlight w:val="none"/>
              </w:rPr>
            </w:pPr>
            <w:r>
              <w:rPr>
                <w:rFonts w:hint="eastAsia" w:ascii="Arial Narrow" w:hAnsi="Arial Narrow" w:cs="宋体"/>
                <w:snapToGrid w:val="0"/>
                <w:kern w:val="0"/>
                <w:sz w:val="18"/>
                <w:szCs w:val="16"/>
                <w:highlight w:val="none"/>
              </w:rPr>
              <w:t>3,279,198.46</w:t>
            </w:r>
          </w:p>
        </w:tc>
        <w:tc>
          <w:tcPr>
            <w:tcW w:w="1395" w:type="dxa"/>
            <w:shd w:val="clear" w:color="auto" w:fill="auto"/>
            <w:vAlign w:val="center"/>
          </w:tcPr>
          <w:p w14:paraId="60C4782E">
            <w:pPr>
              <w:widowControl/>
              <w:adjustRightInd w:val="0"/>
              <w:snapToGrid w:val="0"/>
              <w:spacing w:line="240" w:lineRule="exact"/>
              <w:jc w:val="right"/>
              <w:rPr>
                <w:rFonts w:ascii="Arial Narrow" w:hAnsi="Arial Narrow" w:cs="宋体"/>
                <w:snapToGrid w:val="0"/>
                <w:kern w:val="0"/>
                <w:sz w:val="18"/>
                <w:szCs w:val="16"/>
                <w:highlight w:val="none"/>
              </w:rPr>
            </w:pPr>
            <w:r>
              <w:rPr>
                <w:rFonts w:hint="eastAsia" w:ascii="Arial Narrow" w:hAnsi="Arial Narrow" w:cs="宋体"/>
                <w:snapToGrid w:val="0"/>
                <w:kern w:val="0"/>
                <w:sz w:val="18"/>
                <w:szCs w:val="16"/>
                <w:highlight w:val="none"/>
              </w:rPr>
              <w:t xml:space="preserve">2,072,200.00 </w:t>
            </w:r>
          </w:p>
        </w:tc>
        <w:tc>
          <w:tcPr>
            <w:tcW w:w="1247" w:type="dxa"/>
            <w:shd w:val="clear" w:color="auto" w:fill="auto"/>
            <w:vAlign w:val="center"/>
          </w:tcPr>
          <w:p w14:paraId="6C28901C">
            <w:pPr>
              <w:widowControl/>
              <w:adjustRightInd w:val="0"/>
              <w:snapToGrid w:val="0"/>
              <w:spacing w:line="240" w:lineRule="exact"/>
              <w:jc w:val="right"/>
              <w:rPr>
                <w:rFonts w:ascii="Arial Narrow" w:hAnsi="Arial Narrow" w:cs="宋体"/>
                <w:snapToGrid w:val="0"/>
                <w:kern w:val="0"/>
                <w:sz w:val="18"/>
                <w:szCs w:val="16"/>
                <w:highlight w:val="none"/>
              </w:rPr>
            </w:pPr>
            <w:r>
              <w:rPr>
                <w:rFonts w:hint="eastAsia" w:ascii="Arial Narrow" w:hAnsi="Arial Narrow" w:cs="宋体"/>
                <w:snapToGrid w:val="0"/>
                <w:kern w:val="0"/>
                <w:sz w:val="18"/>
                <w:szCs w:val="16"/>
                <w:highlight w:val="none"/>
              </w:rPr>
              <w:t>34,475,210.80</w:t>
            </w:r>
          </w:p>
        </w:tc>
      </w:tr>
      <w:tr w14:paraId="4B89BB2E">
        <w:trPr>
          <w:cantSplit/>
          <w:trHeight w:val="397" w:hRule="atLeast"/>
          <w:jc w:val="center"/>
        </w:trPr>
        <w:tc>
          <w:tcPr>
            <w:tcW w:w="2127" w:type="dxa"/>
            <w:shd w:val="clear" w:color="auto" w:fill="auto"/>
            <w:vAlign w:val="center"/>
          </w:tcPr>
          <w:p w14:paraId="2D764DEA">
            <w:pPr>
              <w:widowControl/>
              <w:adjustRightInd w:val="0"/>
              <w:snapToGrid w:val="0"/>
              <w:spacing w:line="240" w:lineRule="exact"/>
              <w:jc w:val="left"/>
              <w:rPr>
                <w:rFonts w:ascii="Arial Narrow" w:hAnsi="Arial Narrow" w:cs="宋体"/>
                <w:snapToGrid w:val="0"/>
                <w:kern w:val="0"/>
                <w:sz w:val="18"/>
                <w:szCs w:val="18"/>
                <w:highlight w:val="none"/>
              </w:rPr>
            </w:pPr>
            <w:r>
              <w:rPr>
                <w:rFonts w:hint="eastAsia" w:ascii="Arial Narrow" w:hAnsi="Arial Narrow" w:cs="宋体"/>
                <w:snapToGrid w:val="0"/>
                <w:kern w:val="0"/>
                <w:sz w:val="18"/>
                <w:szCs w:val="18"/>
                <w:highlight w:val="none"/>
              </w:rPr>
              <w:t>（五）智控设备及金属制品智能工厂建设项目（一期）</w:t>
            </w:r>
          </w:p>
        </w:tc>
        <w:tc>
          <w:tcPr>
            <w:tcW w:w="992" w:type="dxa"/>
            <w:shd w:val="clear" w:color="auto" w:fill="auto"/>
            <w:vAlign w:val="center"/>
          </w:tcPr>
          <w:p w14:paraId="78E359FC">
            <w:pPr>
              <w:widowControl/>
              <w:adjustRightInd w:val="0"/>
              <w:snapToGrid w:val="0"/>
              <w:spacing w:line="240" w:lineRule="exact"/>
              <w:jc w:val="center"/>
              <w:rPr>
                <w:rFonts w:ascii="Arial Narrow" w:hAnsi="Arial Narrow" w:cs="宋体"/>
                <w:snapToGrid w:val="0"/>
                <w:kern w:val="0"/>
                <w:sz w:val="18"/>
                <w:szCs w:val="18"/>
                <w:highlight w:val="none"/>
              </w:rPr>
            </w:pPr>
            <w:r>
              <w:rPr>
                <w:rFonts w:hint="eastAsia" w:ascii="Arial Narrow" w:hAnsi="Arial Narrow" w:cs="宋体"/>
                <w:snapToGrid w:val="0"/>
                <w:kern w:val="0"/>
                <w:sz w:val="18"/>
                <w:szCs w:val="18"/>
                <w:highlight w:val="none"/>
              </w:rPr>
              <w:t>13</w:t>
            </w:r>
          </w:p>
        </w:tc>
        <w:tc>
          <w:tcPr>
            <w:tcW w:w="1276" w:type="dxa"/>
            <w:shd w:val="clear" w:color="auto" w:fill="auto"/>
            <w:vAlign w:val="center"/>
          </w:tcPr>
          <w:p w14:paraId="35530D22">
            <w:pPr>
              <w:widowControl/>
              <w:adjustRightInd w:val="0"/>
              <w:snapToGrid w:val="0"/>
              <w:spacing w:line="240" w:lineRule="exact"/>
              <w:jc w:val="right"/>
              <w:rPr>
                <w:rFonts w:ascii="Arial Narrow" w:hAnsi="Arial Narrow" w:cs="宋体"/>
                <w:snapToGrid w:val="0"/>
                <w:kern w:val="0"/>
                <w:sz w:val="18"/>
                <w:szCs w:val="16"/>
                <w:highlight w:val="none"/>
              </w:rPr>
            </w:pPr>
            <w:r>
              <w:rPr>
                <w:rFonts w:hint="eastAsia" w:ascii="Arial Narrow" w:hAnsi="Arial Narrow" w:cs="宋体"/>
                <w:snapToGrid w:val="0"/>
                <w:kern w:val="0"/>
                <w:sz w:val="18"/>
                <w:szCs w:val="16"/>
                <w:highlight w:val="none"/>
              </w:rPr>
              <w:t xml:space="preserve"> 61,312,414.40 </w:t>
            </w:r>
          </w:p>
        </w:tc>
        <w:tc>
          <w:tcPr>
            <w:tcW w:w="1275" w:type="dxa"/>
            <w:shd w:val="clear" w:color="auto" w:fill="auto"/>
            <w:vAlign w:val="center"/>
          </w:tcPr>
          <w:p w14:paraId="7151B7C1">
            <w:pPr>
              <w:widowControl/>
              <w:adjustRightInd w:val="0"/>
              <w:snapToGrid w:val="0"/>
              <w:spacing w:line="240" w:lineRule="exact"/>
              <w:jc w:val="right"/>
              <w:rPr>
                <w:rFonts w:ascii="Arial Narrow" w:hAnsi="Arial Narrow" w:cs="宋体"/>
                <w:snapToGrid w:val="0"/>
                <w:kern w:val="0"/>
                <w:sz w:val="18"/>
                <w:szCs w:val="16"/>
                <w:highlight w:val="none"/>
              </w:rPr>
            </w:pPr>
            <w:r>
              <w:rPr>
                <w:rFonts w:hint="eastAsia" w:ascii="Arial Narrow" w:hAnsi="Arial Narrow" w:cs="宋体"/>
                <w:snapToGrid w:val="0"/>
                <w:kern w:val="0"/>
                <w:sz w:val="18"/>
                <w:szCs w:val="16"/>
                <w:highlight w:val="none"/>
              </w:rPr>
              <w:t>59,899,137.90</w:t>
            </w:r>
          </w:p>
        </w:tc>
        <w:tc>
          <w:tcPr>
            <w:tcW w:w="1395" w:type="dxa"/>
            <w:shd w:val="clear" w:color="auto" w:fill="auto"/>
            <w:vAlign w:val="center"/>
          </w:tcPr>
          <w:p w14:paraId="062405B9">
            <w:pPr>
              <w:widowControl/>
              <w:adjustRightInd w:val="0"/>
              <w:snapToGrid w:val="0"/>
              <w:spacing w:line="240" w:lineRule="exact"/>
              <w:jc w:val="right"/>
              <w:rPr>
                <w:rFonts w:ascii="Arial Narrow" w:hAnsi="Arial Narrow" w:cs="宋体"/>
                <w:snapToGrid w:val="0"/>
                <w:kern w:val="0"/>
                <w:sz w:val="18"/>
                <w:szCs w:val="16"/>
                <w:highlight w:val="none"/>
              </w:rPr>
            </w:pPr>
            <w:r>
              <w:rPr>
                <w:rFonts w:hint="eastAsia" w:ascii="Arial Narrow" w:hAnsi="Arial Narrow" w:cs="宋体"/>
                <w:snapToGrid w:val="0"/>
                <w:kern w:val="0"/>
                <w:sz w:val="18"/>
                <w:szCs w:val="16"/>
                <w:highlight w:val="none"/>
              </w:rPr>
              <w:t xml:space="preserve">74,686,356.30 </w:t>
            </w:r>
          </w:p>
        </w:tc>
        <w:tc>
          <w:tcPr>
            <w:tcW w:w="1247" w:type="dxa"/>
            <w:shd w:val="clear" w:color="auto" w:fill="auto"/>
            <w:vAlign w:val="center"/>
          </w:tcPr>
          <w:p w14:paraId="57E1423D">
            <w:pPr>
              <w:widowControl/>
              <w:adjustRightInd w:val="0"/>
              <w:snapToGrid w:val="0"/>
              <w:spacing w:line="240" w:lineRule="exact"/>
              <w:jc w:val="right"/>
              <w:rPr>
                <w:rFonts w:ascii="Arial Narrow" w:hAnsi="Arial Narrow" w:cs="宋体"/>
                <w:snapToGrid w:val="0"/>
                <w:kern w:val="0"/>
                <w:sz w:val="18"/>
                <w:szCs w:val="16"/>
                <w:highlight w:val="none"/>
              </w:rPr>
            </w:pPr>
            <w:r>
              <w:rPr>
                <w:rFonts w:hint="eastAsia" w:ascii="Arial Narrow" w:hAnsi="Arial Narrow" w:cs="宋体"/>
                <w:snapToGrid w:val="0"/>
                <w:kern w:val="0"/>
                <w:sz w:val="18"/>
                <w:szCs w:val="16"/>
                <w:highlight w:val="none"/>
              </w:rPr>
              <w:t>135,998,770.70</w:t>
            </w:r>
          </w:p>
        </w:tc>
      </w:tr>
      <w:tr w14:paraId="3F645DE6">
        <w:trPr>
          <w:cantSplit/>
          <w:trHeight w:val="397" w:hRule="atLeast"/>
          <w:jc w:val="center"/>
        </w:trPr>
        <w:tc>
          <w:tcPr>
            <w:tcW w:w="2127" w:type="dxa"/>
            <w:shd w:val="clear" w:color="auto" w:fill="auto"/>
            <w:vAlign w:val="center"/>
          </w:tcPr>
          <w:p w14:paraId="228387F3">
            <w:pPr>
              <w:widowControl/>
              <w:adjustRightInd w:val="0"/>
              <w:snapToGrid w:val="0"/>
              <w:spacing w:line="240" w:lineRule="exact"/>
              <w:jc w:val="left"/>
              <w:rPr>
                <w:rFonts w:ascii="Arial Narrow" w:hAnsi="Arial Narrow" w:cs="宋体"/>
                <w:snapToGrid w:val="0"/>
                <w:kern w:val="0"/>
                <w:sz w:val="18"/>
                <w:szCs w:val="18"/>
                <w:highlight w:val="none"/>
              </w:rPr>
            </w:pPr>
            <w:r>
              <w:rPr>
                <w:rFonts w:hint="eastAsia" w:ascii="Arial Narrow" w:hAnsi="Arial Narrow" w:cs="宋体"/>
                <w:snapToGrid w:val="0"/>
                <w:kern w:val="0"/>
                <w:sz w:val="18"/>
                <w:szCs w:val="18"/>
                <w:highlight w:val="none"/>
              </w:rPr>
              <w:t>（六）补充流动资金</w:t>
            </w:r>
          </w:p>
        </w:tc>
        <w:tc>
          <w:tcPr>
            <w:tcW w:w="992" w:type="dxa"/>
            <w:shd w:val="clear" w:color="auto" w:fill="auto"/>
            <w:vAlign w:val="center"/>
          </w:tcPr>
          <w:p w14:paraId="02991DA2">
            <w:pPr>
              <w:widowControl/>
              <w:adjustRightInd w:val="0"/>
              <w:snapToGrid w:val="0"/>
              <w:spacing w:line="240" w:lineRule="exact"/>
              <w:jc w:val="center"/>
              <w:rPr>
                <w:rFonts w:ascii="Arial Narrow" w:hAnsi="Arial Narrow" w:cs="宋体"/>
                <w:snapToGrid w:val="0"/>
                <w:kern w:val="0"/>
                <w:sz w:val="18"/>
                <w:szCs w:val="18"/>
                <w:highlight w:val="none"/>
              </w:rPr>
            </w:pPr>
            <w:r>
              <w:rPr>
                <w:rFonts w:hint="eastAsia" w:ascii="Arial Narrow" w:hAnsi="Arial Narrow" w:cs="宋体"/>
                <w:snapToGrid w:val="0"/>
                <w:kern w:val="0"/>
                <w:sz w:val="18"/>
                <w:szCs w:val="18"/>
                <w:highlight w:val="none"/>
              </w:rPr>
              <w:t>14</w:t>
            </w:r>
          </w:p>
        </w:tc>
        <w:tc>
          <w:tcPr>
            <w:tcW w:w="1276" w:type="dxa"/>
            <w:shd w:val="clear" w:color="auto" w:fill="auto"/>
            <w:vAlign w:val="center"/>
          </w:tcPr>
          <w:p w14:paraId="72B2598F">
            <w:pPr>
              <w:widowControl/>
              <w:adjustRightInd w:val="0"/>
              <w:snapToGrid w:val="0"/>
              <w:spacing w:line="240" w:lineRule="exact"/>
              <w:jc w:val="right"/>
              <w:rPr>
                <w:rFonts w:ascii="Arial Narrow" w:hAnsi="Arial Narrow" w:cs="宋体"/>
                <w:snapToGrid w:val="0"/>
                <w:kern w:val="0"/>
                <w:sz w:val="18"/>
                <w:szCs w:val="16"/>
                <w:highlight w:val="none"/>
              </w:rPr>
            </w:pPr>
            <w:r>
              <w:rPr>
                <w:rFonts w:hint="eastAsia" w:ascii="Arial Narrow" w:hAnsi="Arial Narrow" w:cs="宋体"/>
                <w:snapToGrid w:val="0"/>
                <w:kern w:val="0"/>
                <w:sz w:val="18"/>
                <w:szCs w:val="16"/>
                <w:highlight w:val="none"/>
              </w:rPr>
              <w:t xml:space="preserve"> 200,000,019.02 </w:t>
            </w:r>
          </w:p>
        </w:tc>
        <w:tc>
          <w:tcPr>
            <w:tcW w:w="1275" w:type="dxa"/>
            <w:shd w:val="clear" w:color="auto" w:fill="auto"/>
            <w:vAlign w:val="center"/>
          </w:tcPr>
          <w:p w14:paraId="2C6AFDBE">
            <w:pPr>
              <w:widowControl/>
              <w:adjustRightInd w:val="0"/>
              <w:snapToGrid w:val="0"/>
              <w:spacing w:line="240" w:lineRule="exact"/>
              <w:jc w:val="right"/>
              <w:rPr>
                <w:rFonts w:ascii="Arial Narrow" w:hAnsi="Arial Narrow" w:cs="宋体"/>
                <w:snapToGrid w:val="0"/>
                <w:kern w:val="0"/>
                <w:sz w:val="18"/>
                <w:szCs w:val="16"/>
                <w:highlight w:val="none"/>
              </w:rPr>
            </w:pPr>
          </w:p>
        </w:tc>
        <w:tc>
          <w:tcPr>
            <w:tcW w:w="1395" w:type="dxa"/>
            <w:shd w:val="clear" w:color="auto" w:fill="auto"/>
            <w:vAlign w:val="center"/>
          </w:tcPr>
          <w:p w14:paraId="7CAE0FE9">
            <w:pPr>
              <w:widowControl/>
              <w:adjustRightInd w:val="0"/>
              <w:snapToGrid w:val="0"/>
              <w:spacing w:line="240" w:lineRule="exact"/>
              <w:jc w:val="right"/>
              <w:rPr>
                <w:rFonts w:ascii="Arial Narrow" w:hAnsi="Arial Narrow" w:cs="宋体"/>
                <w:snapToGrid w:val="0"/>
                <w:kern w:val="0"/>
                <w:sz w:val="18"/>
                <w:szCs w:val="16"/>
                <w:highlight w:val="none"/>
              </w:rPr>
            </w:pPr>
          </w:p>
        </w:tc>
        <w:tc>
          <w:tcPr>
            <w:tcW w:w="1247" w:type="dxa"/>
            <w:shd w:val="clear" w:color="auto" w:fill="auto"/>
            <w:vAlign w:val="center"/>
          </w:tcPr>
          <w:p w14:paraId="6C8A021E">
            <w:pPr>
              <w:widowControl/>
              <w:adjustRightInd w:val="0"/>
              <w:snapToGrid w:val="0"/>
              <w:spacing w:line="240" w:lineRule="exact"/>
              <w:jc w:val="right"/>
              <w:rPr>
                <w:rFonts w:ascii="Arial Narrow" w:hAnsi="Arial Narrow" w:cs="宋体"/>
                <w:snapToGrid w:val="0"/>
                <w:kern w:val="0"/>
                <w:sz w:val="18"/>
                <w:szCs w:val="16"/>
                <w:highlight w:val="none"/>
              </w:rPr>
            </w:pPr>
            <w:r>
              <w:rPr>
                <w:rFonts w:hint="eastAsia" w:ascii="Arial Narrow" w:hAnsi="Arial Narrow" w:cs="宋体"/>
                <w:snapToGrid w:val="0"/>
                <w:kern w:val="0"/>
                <w:sz w:val="18"/>
                <w:szCs w:val="16"/>
                <w:highlight w:val="none"/>
              </w:rPr>
              <w:t>200,000,019.02</w:t>
            </w:r>
          </w:p>
        </w:tc>
      </w:tr>
      <w:tr w14:paraId="01F0C4EC">
        <w:trPr>
          <w:cantSplit/>
          <w:trHeight w:val="397" w:hRule="atLeast"/>
          <w:jc w:val="center"/>
        </w:trPr>
        <w:tc>
          <w:tcPr>
            <w:tcW w:w="2127" w:type="dxa"/>
            <w:shd w:val="clear" w:color="auto" w:fill="auto"/>
            <w:vAlign w:val="center"/>
          </w:tcPr>
          <w:p w14:paraId="668D8C9B">
            <w:pPr>
              <w:widowControl/>
              <w:adjustRightInd w:val="0"/>
              <w:snapToGrid w:val="0"/>
              <w:spacing w:line="240" w:lineRule="exact"/>
              <w:jc w:val="left"/>
              <w:rPr>
                <w:rFonts w:ascii="Arial Narrow" w:hAnsi="Arial Narrow" w:cs="宋体"/>
                <w:snapToGrid w:val="0"/>
                <w:kern w:val="0"/>
                <w:sz w:val="18"/>
                <w:szCs w:val="18"/>
                <w:highlight w:val="none"/>
              </w:rPr>
            </w:pPr>
            <w:r>
              <w:rPr>
                <w:rFonts w:hint="eastAsia" w:ascii="Arial Narrow" w:hAnsi="Arial Narrow" w:cs="宋体"/>
                <w:snapToGrid w:val="0"/>
                <w:kern w:val="0"/>
                <w:sz w:val="18"/>
                <w:szCs w:val="18"/>
                <w:highlight w:val="none"/>
              </w:rPr>
              <w:t>累计募集资金专户现金管理收益</w:t>
            </w:r>
          </w:p>
        </w:tc>
        <w:tc>
          <w:tcPr>
            <w:tcW w:w="992" w:type="dxa"/>
            <w:shd w:val="clear" w:color="auto" w:fill="auto"/>
            <w:vAlign w:val="center"/>
          </w:tcPr>
          <w:p w14:paraId="046EC3C4">
            <w:pPr>
              <w:widowControl/>
              <w:adjustRightInd w:val="0"/>
              <w:snapToGrid w:val="0"/>
              <w:spacing w:line="240" w:lineRule="exact"/>
              <w:jc w:val="center"/>
              <w:rPr>
                <w:rFonts w:ascii="Arial Narrow" w:hAnsi="Arial Narrow" w:cs="宋体"/>
                <w:snapToGrid w:val="0"/>
                <w:kern w:val="0"/>
                <w:sz w:val="18"/>
                <w:szCs w:val="18"/>
                <w:highlight w:val="none"/>
              </w:rPr>
            </w:pPr>
            <w:r>
              <w:rPr>
                <w:rFonts w:hint="eastAsia" w:ascii="Arial Narrow" w:hAnsi="Arial Narrow" w:cs="宋体"/>
                <w:snapToGrid w:val="0"/>
                <w:kern w:val="0"/>
                <w:sz w:val="18"/>
                <w:szCs w:val="18"/>
                <w:highlight w:val="none"/>
              </w:rPr>
              <w:t>15</w:t>
            </w:r>
          </w:p>
        </w:tc>
        <w:tc>
          <w:tcPr>
            <w:tcW w:w="1276" w:type="dxa"/>
            <w:shd w:val="clear" w:color="auto" w:fill="auto"/>
            <w:vAlign w:val="center"/>
          </w:tcPr>
          <w:p w14:paraId="40A89BB2">
            <w:pPr>
              <w:widowControl/>
              <w:adjustRightInd w:val="0"/>
              <w:snapToGrid w:val="0"/>
              <w:spacing w:line="240" w:lineRule="exact"/>
              <w:jc w:val="right"/>
              <w:rPr>
                <w:rFonts w:ascii="Arial Narrow" w:hAnsi="Arial Narrow" w:cs="宋体"/>
                <w:snapToGrid w:val="0"/>
                <w:kern w:val="0"/>
                <w:sz w:val="18"/>
                <w:szCs w:val="16"/>
                <w:highlight w:val="none"/>
              </w:rPr>
            </w:pPr>
            <w:r>
              <w:rPr>
                <w:rFonts w:hint="eastAsia" w:ascii="Arial Narrow" w:hAnsi="Arial Narrow" w:cs="宋体"/>
                <w:snapToGrid w:val="0"/>
                <w:kern w:val="0"/>
                <w:sz w:val="18"/>
                <w:szCs w:val="16"/>
                <w:highlight w:val="none"/>
              </w:rPr>
              <w:t xml:space="preserve"> 1,218,949.32 </w:t>
            </w:r>
          </w:p>
        </w:tc>
        <w:tc>
          <w:tcPr>
            <w:tcW w:w="1275" w:type="dxa"/>
            <w:shd w:val="clear" w:color="auto" w:fill="auto"/>
            <w:vAlign w:val="center"/>
          </w:tcPr>
          <w:p w14:paraId="137953D4">
            <w:pPr>
              <w:widowControl/>
              <w:adjustRightInd w:val="0"/>
              <w:snapToGrid w:val="0"/>
              <w:spacing w:line="240" w:lineRule="exact"/>
              <w:jc w:val="right"/>
              <w:rPr>
                <w:rFonts w:ascii="Arial Narrow" w:hAnsi="Arial Narrow" w:cs="宋体"/>
                <w:snapToGrid w:val="0"/>
                <w:kern w:val="0"/>
                <w:sz w:val="18"/>
                <w:szCs w:val="16"/>
                <w:highlight w:val="none"/>
              </w:rPr>
            </w:pPr>
          </w:p>
        </w:tc>
        <w:tc>
          <w:tcPr>
            <w:tcW w:w="1395" w:type="dxa"/>
            <w:shd w:val="clear" w:color="auto" w:fill="auto"/>
            <w:vAlign w:val="center"/>
          </w:tcPr>
          <w:p w14:paraId="0C30267B">
            <w:pPr>
              <w:widowControl/>
              <w:adjustRightInd w:val="0"/>
              <w:snapToGrid w:val="0"/>
              <w:spacing w:line="240" w:lineRule="exact"/>
              <w:jc w:val="right"/>
              <w:rPr>
                <w:rFonts w:ascii="Arial Narrow" w:hAnsi="Arial Narrow" w:cs="宋体"/>
                <w:snapToGrid w:val="0"/>
                <w:kern w:val="0"/>
                <w:sz w:val="18"/>
                <w:szCs w:val="16"/>
                <w:highlight w:val="none"/>
              </w:rPr>
            </w:pPr>
          </w:p>
        </w:tc>
        <w:tc>
          <w:tcPr>
            <w:tcW w:w="1247" w:type="dxa"/>
            <w:shd w:val="clear" w:color="auto" w:fill="auto"/>
            <w:vAlign w:val="center"/>
          </w:tcPr>
          <w:p w14:paraId="42FB9DE8">
            <w:pPr>
              <w:widowControl/>
              <w:adjustRightInd w:val="0"/>
              <w:snapToGrid w:val="0"/>
              <w:spacing w:line="240" w:lineRule="exact"/>
              <w:jc w:val="right"/>
              <w:rPr>
                <w:rFonts w:ascii="Arial Narrow" w:hAnsi="Arial Narrow" w:cs="宋体"/>
                <w:snapToGrid w:val="0"/>
                <w:kern w:val="0"/>
                <w:sz w:val="18"/>
                <w:szCs w:val="16"/>
                <w:highlight w:val="none"/>
              </w:rPr>
            </w:pPr>
          </w:p>
        </w:tc>
      </w:tr>
      <w:tr w14:paraId="01CCCECD">
        <w:trPr>
          <w:cantSplit/>
          <w:trHeight w:val="397" w:hRule="atLeast"/>
          <w:jc w:val="center"/>
        </w:trPr>
        <w:tc>
          <w:tcPr>
            <w:tcW w:w="2127" w:type="dxa"/>
            <w:shd w:val="clear" w:color="auto" w:fill="auto"/>
            <w:vAlign w:val="center"/>
          </w:tcPr>
          <w:p w14:paraId="181A6452">
            <w:pPr>
              <w:widowControl/>
              <w:adjustRightInd w:val="0"/>
              <w:snapToGrid w:val="0"/>
              <w:spacing w:line="240" w:lineRule="exact"/>
              <w:jc w:val="left"/>
              <w:rPr>
                <w:rFonts w:ascii="Arial Narrow" w:hAnsi="Arial Narrow" w:cs="宋体"/>
                <w:snapToGrid w:val="0"/>
                <w:kern w:val="0"/>
                <w:sz w:val="18"/>
                <w:szCs w:val="18"/>
                <w:highlight w:val="none"/>
              </w:rPr>
            </w:pPr>
            <w:r>
              <w:rPr>
                <w:rFonts w:hint="eastAsia" w:ascii="Arial Narrow" w:hAnsi="Arial Narrow" w:cs="宋体"/>
                <w:snapToGrid w:val="0"/>
                <w:kern w:val="0"/>
                <w:sz w:val="18"/>
                <w:szCs w:val="18"/>
                <w:highlight w:val="none"/>
              </w:rPr>
              <w:t>累计募集资金专户利息收入</w:t>
            </w:r>
          </w:p>
        </w:tc>
        <w:tc>
          <w:tcPr>
            <w:tcW w:w="992" w:type="dxa"/>
            <w:shd w:val="clear" w:color="auto" w:fill="auto"/>
            <w:vAlign w:val="center"/>
          </w:tcPr>
          <w:p w14:paraId="31C4307F">
            <w:pPr>
              <w:widowControl/>
              <w:adjustRightInd w:val="0"/>
              <w:snapToGrid w:val="0"/>
              <w:spacing w:line="240" w:lineRule="exact"/>
              <w:jc w:val="center"/>
              <w:rPr>
                <w:rFonts w:ascii="Arial Narrow" w:hAnsi="Arial Narrow" w:cs="宋体"/>
                <w:snapToGrid w:val="0"/>
                <w:kern w:val="0"/>
                <w:sz w:val="18"/>
                <w:szCs w:val="18"/>
                <w:highlight w:val="none"/>
              </w:rPr>
            </w:pPr>
            <w:r>
              <w:rPr>
                <w:rFonts w:hint="eastAsia" w:ascii="Arial Narrow" w:hAnsi="Arial Narrow" w:cs="宋体"/>
                <w:snapToGrid w:val="0"/>
                <w:kern w:val="0"/>
                <w:sz w:val="18"/>
                <w:szCs w:val="18"/>
                <w:highlight w:val="none"/>
              </w:rPr>
              <w:t>16</w:t>
            </w:r>
          </w:p>
        </w:tc>
        <w:tc>
          <w:tcPr>
            <w:tcW w:w="1276" w:type="dxa"/>
            <w:shd w:val="clear" w:color="auto" w:fill="auto"/>
            <w:vAlign w:val="center"/>
          </w:tcPr>
          <w:p w14:paraId="42C44E3D">
            <w:pPr>
              <w:widowControl/>
              <w:adjustRightInd w:val="0"/>
              <w:snapToGrid w:val="0"/>
              <w:spacing w:line="240" w:lineRule="exact"/>
              <w:jc w:val="right"/>
              <w:rPr>
                <w:rFonts w:ascii="Arial Narrow" w:hAnsi="Arial Narrow" w:cs="宋体"/>
                <w:snapToGrid w:val="0"/>
                <w:kern w:val="0"/>
                <w:sz w:val="18"/>
                <w:szCs w:val="16"/>
                <w:highlight w:val="none"/>
              </w:rPr>
            </w:pPr>
            <w:r>
              <w:rPr>
                <w:rFonts w:hint="eastAsia" w:ascii="Arial Narrow" w:hAnsi="Arial Narrow" w:cs="宋体"/>
                <w:snapToGrid w:val="0"/>
                <w:kern w:val="0"/>
                <w:sz w:val="18"/>
                <w:szCs w:val="16"/>
                <w:highlight w:val="none"/>
              </w:rPr>
              <w:t xml:space="preserve"> 23,198,185.14 </w:t>
            </w:r>
          </w:p>
        </w:tc>
        <w:tc>
          <w:tcPr>
            <w:tcW w:w="1275" w:type="dxa"/>
            <w:shd w:val="clear" w:color="auto" w:fill="auto"/>
            <w:vAlign w:val="center"/>
          </w:tcPr>
          <w:p w14:paraId="32FC49F0">
            <w:pPr>
              <w:widowControl/>
              <w:adjustRightInd w:val="0"/>
              <w:snapToGrid w:val="0"/>
              <w:spacing w:line="240" w:lineRule="exact"/>
              <w:jc w:val="right"/>
              <w:rPr>
                <w:rFonts w:ascii="Arial Narrow" w:hAnsi="Arial Narrow" w:cs="宋体"/>
                <w:snapToGrid w:val="0"/>
                <w:kern w:val="0"/>
                <w:sz w:val="18"/>
                <w:szCs w:val="16"/>
                <w:highlight w:val="none"/>
              </w:rPr>
            </w:pPr>
          </w:p>
        </w:tc>
        <w:tc>
          <w:tcPr>
            <w:tcW w:w="1395" w:type="dxa"/>
            <w:shd w:val="clear" w:color="auto" w:fill="auto"/>
            <w:vAlign w:val="center"/>
          </w:tcPr>
          <w:p w14:paraId="1B4FAFB8">
            <w:pPr>
              <w:widowControl/>
              <w:adjustRightInd w:val="0"/>
              <w:snapToGrid w:val="0"/>
              <w:spacing w:line="240" w:lineRule="exact"/>
              <w:jc w:val="right"/>
              <w:rPr>
                <w:rFonts w:ascii="Arial Narrow" w:hAnsi="Arial Narrow" w:cs="宋体"/>
                <w:snapToGrid w:val="0"/>
                <w:kern w:val="0"/>
                <w:sz w:val="18"/>
                <w:szCs w:val="16"/>
                <w:highlight w:val="none"/>
              </w:rPr>
            </w:pPr>
          </w:p>
        </w:tc>
        <w:tc>
          <w:tcPr>
            <w:tcW w:w="1247" w:type="dxa"/>
            <w:shd w:val="clear" w:color="auto" w:fill="auto"/>
            <w:vAlign w:val="center"/>
          </w:tcPr>
          <w:p w14:paraId="1A4650C2">
            <w:pPr>
              <w:widowControl/>
              <w:adjustRightInd w:val="0"/>
              <w:snapToGrid w:val="0"/>
              <w:spacing w:line="240" w:lineRule="exact"/>
              <w:jc w:val="right"/>
              <w:rPr>
                <w:rFonts w:ascii="Arial Narrow" w:hAnsi="Arial Narrow" w:cs="宋体"/>
                <w:snapToGrid w:val="0"/>
                <w:kern w:val="0"/>
                <w:sz w:val="18"/>
                <w:szCs w:val="16"/>
                <w:highlight w:val="none"/>
              </w:rPr>
            </w:pPr>
          </w:p>
        </w:tc>
      </w:tr>
      <w:tr w14:paraId="5CC9FA38">
        <w:trPr>
          <w:cantSplit/>
          <w:trHeight w:val="397" w:hRule="atLeast"/>
          <w:jc w:val="center"/>
        </w:trPr>
        <w:tc>
          <w:tcPr>
            <w:tcW w:w="2127" w:type="dxa"/>
            <w:shd w:val="clear" w:color="auto" w:fill="auto"/>
            <w:vAlign w:val="center"/>
          </w:tcPr>
          <w:p w14:paraId="4301177C">
            <w:pPr>
              <w:widowControl/>
              <w:adjustRightInd w:val="0"/>
              <w:snapToGrid w:val="0"/>
              <w:spacing w:line="240" w:lineRule="exact"/>
              <w:jc w:val="left"/>
              <w:rPr>
                <w:rFonts w:ascii="Arial Narrow" w:hAnsi="Arial Narrow" w:cs="宋体"/>
                <w:snapToGrid w:val="0"/>
                <w:kern w:val="0"/>
                <w:sz w:val="18"/>
                <w:szCs w:val="18"/>
                <w:highlight w:val="none"/>
              </w:rPr>
            </w:pPr>
            <w:r>
              <w:rPr>
                <w:rFonts w:hint="eastAsia" w:ascii="Arial Narrow" w:hAnsi="Arial Narrow" w:cs="宋体"/>
                <w:snapToGrid w:val="0"/>
                <w:kern w:val="0"/>
                <w:sz w:val="18"/>
                <w:szCs w:val="18"/>
                <w:highlight w:val="none"/>
              </w:rPr>
              <w:t>累计募集资金专户手续费</w:t>
            </w:r>
          </w:p>
        </w:tc>
        <w:tc>
          <w:tcPr>
            <w:tcW w:w="992" w:type="dxa"/>
            <w:shd w:val="clear" w:color="auto" w:fill="auto"/>
            <w:vAlign w:val="center"/>
          </w:tcPr>
          <w:p w14:paraId="32574088">
            <w:pPr>
              <w:widowControl/>
              <w:adjustRightInd w:val="0"/>
              <w:snapToGrid w:val="0"/>
              <w:spacing w:line="240" w:lineRule="exact"/>
              <w:jc w:val="center"/>
              <w:rPr>
                <w:rFonts w:ascii="Arial Narrow" w:hAnsi="Arial Narrow" w:cs="宋体"/>
                <w:snapToGrid w:val="0"/>
                <w:kern w:val="0"/>
                <w:sz w:val="18"/>
                <w:szCs w:val="18"/>
                <w:highlight w:val="none"/>
              </w:rPr>
            </w:pPr>
            <w:r>
              <w:rPr>
                <w:rFonts w:hint="eastAsia" w:ascii="Arial Narrow" w:hAnsi="Arial Narrow" w:cs="宋体"/>
                <w:snapToGrid w:val="0"/>
                <w:kern w:val="0"/>
                <w:sz w:val="18"/>
                <w:szCs w:val="18"/>
                <w:highlight w:val="none"/>
              </w:rPr>
              <w:t>17</w:t>
            </w:r>
          </w:p>
        </w:tc>
        <w:tc>
          <w:tcPr>
            <w:tcW w:w="1276" w:type="dxa"/>
            <w:shd w:val="clear" w:color="auto" w:fill="auto"/>
            <w:vAlign w:val="center"/>
          </w:tcPr>
          <w:p w14:paraId="6ED02044">
            <w:pPr>
              <w:widowControl/>
              <w:adjustRightInd w:val="0"/>
              <w:snapToGrid w:val="0"/>
              <w:spacing w:line="240" w:lineRule="exact"/>
              <w:jc w:val="right"/>
              <w:rPr>
                <w:rFonts w:ascii="Arial Narrow" w:hAnsi="Arial Narrow" w:cs="宋体"/>
                <w:snapToGrid w:val="0"/>
                <w:kern w:val="0"/>
                <w:sz w:val="18"/>
                <w:szCs w:val="16"/>
                <w:highlight w:val="none"/>
              </w:rPr>
            </w:pPr>
            <w:r>
              <w:rPr>
                <w:rFonts w:hint="eastAsia" w:ascii="Arial Narrow" w:hAnsi="Arial Narrow" w:cs="宋体"/>
                <w:snapToGrid w:val="0"/>
                <w:kern w:val="0"/>
                <w:sz w:val="18"/>
                <w:szCs w:val="16"/>
                <w:highlight w:val="none"/>
              </w:rPr>
              <w:t xml:space="preserve"> 1,148.07 </w:t>
            </w:r>
          </w:p>
        </w:tc>
        <w:tc>
          <w:tcPr>
            <w:tcW w:w="1275" w:type="dxa"/>
            <w:shd w:val="clear" w:color="auto" w:fill="auto"/>
            <w:vAlign w:val="center"/>
          </w:tcPr>
          <w:p w14:paraId="6A84F16D">
            <w:pPr>
              <w:widowControl/>
              <w:adjustRightInd w:val="0"/>
              <w:snapToGrid w:val="0"/>
              <w:spacing w:line="240" w:lineRule="exact"/>
              <w:jc w:val="right"/>
              <w:rPr>
                <w:rFonts w:ascii="Arial Narrow" w:hAnsi="Arial Narrow" w:cs="宋体"/>
                <w:snapToGrid w:val="0"/>
                <w:kern w:val="0"/>
                <w:sz w:val="18"/>
                <w:szCs w:val="16"/>
                <w:highlight w:val="none"/>
              </w:rPr>
            </w:pPr>
          </w:p>
        </w:tc>
        <w:tc>
          <w:tcPr>
            <w:tcW w:w="1395" w:type="dxa"/>
            <w:shd w:val="clear" w:color="auto" w:fill="auto"/>
            <w:vAlign w:val="center"/>
          </w:tcPr>
          <w:p w14:paraId="7F7BF212">
            <w:pPr>
              <w:widowControl/>
              <w:adjustRightInd w:val="0"/>
              <w:snapToGrid w:val="0"/>
              <w:spacing w:line="240" w:lineRule="exact"/>
              <w:jc w:val="right"/>
              <w:rPr>
                <w:rFonts w:ascii="Arial Narrow" w:hAnsi="Arial Narrow" w:cs="宋体"/>
                <w:snapToGrid w:val="0"/>
                <w:kern w:val="0"/>
                <w:sz w:val="18"/>
                <w:szCs w:val="16"/>
                <w:highlight w:val="none"/>
              </w:rPr>
            </w:pPr>
          </w:p>
        </w:tc>
        <w:tc>
          <w:tcPr>
            <w:tcW w:w="1247" w:type="dxa"/>
            <w:shd w:val="clear" w:color="auto" w:fill="auto"/>
            <w:vAlign w:val="center"/>
          </w:tcPr>
          <w:p w14:paraId="64AF8EDF">
            <w:pPr>
              <w:widowControl/>
              <w:adjustRightInd w:val="0"/>
              <w:snapToGrid w:val="0"/>
              <w:spacing w:line="240" w:lineRule="exact"/>
              <w:jc w:val="right"/>
              <w:rPr>
                <w:rFonts w:ascii="Arial Narrow" w:hAnsi="Arial Narrow" w:cs="宋体"/>
                <w:snapToGrid w:val="0"/>
                <w:kern w:val="0"/>
                <w:sz w:val="18"/>
                <w:szCs w:val="16"/>
                <w:highlight w:val="none"/>
              </w:rPr>
            </w:pPr>
          </w:p>
        </w:tc>
      </w:tr>
      <w:tr w14:paraId="0B7A6DAD">
        <w:trPr>
          <w:cantSplit/>
          <w:trHeight w:val="397" w:hRule="atLeast"/>
          <w:jc w:val="center"/>
        </w:trPr>
        <w:tc>
          <w:tcPr>
            <w:tcW w:w="2127" w:type="dxa"/>
            <w:shd w:val="clear" w:color="auto" w:fill="auto"/>
            <w:vAlign w:val="center"/>
          </w:tcPr>
          <w:p w14:paraId="35C1F7C2">
            <w:pPr>
              <w:widowControl/>
              <w:adjustRightInd w:val="0"/>
              <w:snapToGrid w:val="0"/>
              <w:spacing w:line="240" w:lineRule="exact"/>
              <w:jc w:val="left"/>
              <w:rPr>
                <w:rFonts w:ascii="Arial Narrow" w:hAnsi="Arial Narrow" w:cs="宋体"/>
                <w:snapToGrid w:val="0"/>
                <w:kern w:val="0"/>
                <w:sz w:val="18"/>
                <w:szCs w:val="18"/>
                <w:highlight w:val="none"/>
              </w:rPr>
            </w:pPr>
            <w:r>
              <w:rPr>
                <w:rFonts w:hint="eastAsia" w:ascii="Arial Narrow" w:hAnsi="Arial Narrow" w:cs="宋体"/>
                <w:snapToGrid w:val="0"/>
                <w:kern w:val="0"/>
                <w:sz w:val="18"/>
                <w:szCs w:val="18"/>
                <w:highlight w:val="none"/>
              </w:rPr>
              <w:t>累计暂时闲置资金投资未收回金额</w:t>
            </w:r>
          </w:p>
        </w:tc>
        <w:tc>
          <w:tcPr>
            <w:tcW w:w="992" w:type="dxa"/>
            <w:shd w:val="clear" w:color="auto" w:fill="auto"/>
            <w:vAlign w:val="center"/>
          </w:tcPr>
          <w:p w14:paraId="064EA2AF">
            <w:pPr>
              <w:widowControl/>
              <w:adjustRightInd w:val="0"/>
              <w:snapToGrid w:val="0"/>
              <w:spacing w:line="240" w:lineRule="exact"/>
              <w:jc w:val="center"/>
              <w:rPr>
                <w:rFonts w:ascii="Arial Narrow" w:hAnsi="Arial Narrow" w:cs="宋体"/>
                <w:snapToGrid w:val="0"/>
                <w:kern w:val="0"/>
                <w:sz w:val="18"/>
                <w:szCs w:val="18"/>
                <w:highlight w:val="none"/>
              </w:rPr>
            </w:pPr>
            <w:r>
              <w:rPr>
                <w:rFonts w:hint="eastAsia" w:ascii="Arial Narrow" w:hAnsi="Arial Narrow" w:cs="宋体"/>
                <w:snapToGrid w:val="0"/>
                <w:kern w:val="0"/>
                <w:sz w:val="18"/>
                <w:szCs w:val="18"/>
                <w:highlight w:val="none"/>
              </w:rPr>
              <w:t>18</w:t>
            </w:r>
          </w:p>
        </w:tc>
        <w:tc>
          <w:tcPr>
            <w:tcW w:w="1276" w:type="dxa"/>
            <w:shd w:val="clear" w:color="auto" w:fill="auto"/>
            <w:vAlign w:val="center"/>
          </w:tcPr>
          <w:p w14:paraId="6D217490">
            <w:pPr>
              <w:widowControl/>
              <w:adjustRightInd w:val="0"/>
              <w:snapToGrid w:val="0"/>
              <w:spacing w:line="240" w:lineRule="exact"/>
              <w:jc w:val="right"/>
              <w:rPr>
                <w:rFonts w:ascii="Arial Narrow" w:hAnsi="Arial Narrow" w:cs="宋体"/>
                <w:snapToGrid w:val="0"/>
                <w:kern w:val="0"/>
                <w:sz w:val="18"/>
                <w:szCs w:val="16"/>
                <w:highlight w:val="none"/>
              </w:rPr>
            </w:pPr>
            <w:r>
              <w:rPr>
                <w:rFonts w:hint="eastAsia" w:ascii="Arial Narrow" w:hAnsi="Arial Narrow" w:cs="宋体"/>
                <w:snapToGrid w:val="0"/>
                <w:kern w:val="0"/>
                <w:sz w:val="18"/>
                <w:szCs w:val="16"/>
                <w:highlight w:val="none"/>
              </w:rPr>
              <w:t xml:space="preserve"> -   </w:t>
            </w:r>
          </w:p>
        </w:tc>
        <w:tc>
          <w:tcPr>
            <w:tcW w:w="1275" w:type="dxa"/>
            <w:shd w:val="clear" w:color="auto" w:fill="auto"/>
            <w:vAlign w:val="center"/>
          </w:tcPr>
          <w:p w14:paraId="5D479FF7">
            <w:pPr>
              <w:widowControl/>
              <w:adjustRightInd w:val="0"/>
              <w:snapToGrid w:val="0"/>
              <w:spacing w:line="240" w:lineRule="exact"/>
              <w:jc w:val="right"/>
              <w:rPr>
                <w:rFonts w:ascii="Arial Narrow" w:hAnsi="Arial Narrow" w:cs="宋体"/>
                <w:snapToGrid w:val="0"/>
                <w:kern w:val="0"/>
                <w:sz w:val="18"/>
                <w:szCs w:val="16"/>
                <w:highlight w:val="none"/>
              </w:rPr>
            </w:pPr>
          </w:p>
        </w:tc>
        <w:tc>
          <w:tcPr>
            <w:tcW w:w="1395" w:type="dxa"/>
            <w:shd w:val="clear" w:color="auto" w:fill="auto"/>
            <w:vAlign w:val="center"/>
          </w:tcPr>
          <w:p w14:paraId="0B72EDAD">
            <w:pPr>
              <w:widowControl/>
              <w:adjustRightInd w:val="0"/>
              <w:snapToGrid w:val="0"/>
              <w:spacing w:line="240" w:lineRule="exact"/>
              <w:jc w:val="right"/>
              <w:rPr>
                <w:rFonts w:ascii="Arial Narrow" w:hAnsi="Arial Narrow" w:cs="宋体"/>
                <w:snapToGrid w:val="0"/>
                <w:kern w:val="0"/>
                <w:sz w:val="18"/>
                <w:szCs w:val="16"/>
                <w:highlight w:val="none"/>
              </w:rPr>
            </w:pPr>
          </w:p>
        </w:tc>
        <w:tc>
          <w:tcPr>
            <w:tcW w:w="1247" w:type="dxa"/>
            <w:shd w:val="clear" w:color="auto" w:fill="auto"/>
            <w:vAlign w:val="center"/>
          </w:tcPr>
          <w:p w14:paraId="6C797928">
            <w:pPr>
              <w:widowControl/>
              <w:adjustRightInd w:val="0"/>
              <w:snapToGrid w:val="0"/>
              <w:spacing w:line="240" w:lineRule="exact"/>
              <w:jc w:val="right"/>
              <w:rPr>
                <w:rFonts w:ascii="Arial Narrow" w:hAnsi="Arial Narrow" w:cs="宋体"/>
                <w:snapToGrid w:val="0"/>
                <w:kern w:val="0"/>
                <w:sz w:val="18"/>
                <w:szCs w:val="16"/>
                <w:highlight w:val="none"/>
              </w:rPr>
            </w:pPr>
          </w:p>
        </w:tc>
      </w:tr>
      <w:tr w14:paraId="02E65B4E">
        <w:trPr>
          <w:cantSplit/>
          <w:trHeight w:val="397" w:hRule="atLeast"/>
          <w:jc w:val="center"/>
        </w:trPr>
        <w:tc>
          <w:tcPr>
            <w:tcW w:w="2127" w:type="dxa"/>
            <w:shd w:val="clear" w:color="auto" w:fill="auto"/>
            <w:vAlign w:val="center"/>
          </w:tcPr>
          <w:p w14:paraId="468CE3A3">
            <w:pPr>
              <w:widowControl/>
              <w:adjustRightInd w:val="0"/>
              <w:snapToGrid w:val="0"/>
              <w:spacing w:line="240" w:lineRule="exact"/>
              <w:jc w:val="left"/>
              <w:rPr>
                <w:rFonts w:ascii="Arial Narrow" w:hAnsi="Arial Narrow" w:cs="宋体"/>
                <w:snapToGrid w:val="0"/>
                <w:kern w:val="0"/>
                <w:sz w:val="18"/>
                <w:szCs w:val="18"/>
                <w:highlight w:val="none"/>
              </w:rPr>
            </w:pPr>
            <w:r>
              <w:rPr>
                <w:rFonts w:ascii="Arial Narrow" w:hAnsi="Arial Narrow" w:cs="宋体"/>
                <w:snapToGrid w:val="0"/>
                <w:kern w:val="0"/>
                <w:sz w:val="18"/>
                <w:szCs w:val="18"/>
                <w:highlight w:val="none"/>
              </w:rPr>
              <w:t>202</w:t>
            </w:r>
            <w:r>
              <w:rPr>
                <w:rFonts w:hint="eastAsia" w:ascii="Arial Narrow" w:hAnsi="Arial Narrow" w:cs="宋体"/>
                <w:snapToGrid w:val="0"/>
                <w:kern w:val="0"/>
                <w:sz w:val="18"/>
                <w:szCs w:val="18"/>
                <w:highlight w:val="none"/>
              </w:rPr>
              <w:t>4</w:t>
            </w:r>
            <w:r>
              <w:rPr>
                <w:rFonts w:ascii="Arial Narrow" w:hAnsi="Arial Narrow" w:cs="宋体"/>
                <w:snapToGrid w:val="0"/>
                <w:kern w:val="0"/>
                <w:sz w:val="18"/>
                <w:szCs w:val="18"/>
                <w:highlight w:val="none"/>
              </w:rPr>
              <w:t>年</w:t>
            </w:r>
            <w:r>
              <w:rPr>
                <w:rFonts w:hint="eastAsia" w:ascii="Arial Narrow" w:hAnsi="Arial Narrow" w:cs="宋体"/>
                <w:snapToGrid w:val="0"/>
                <w:kern w:val="0"/>
                <w:sz w:val="18"/>
                <w:szCs w:val="18"/>
                <w:highlight w:val="none"/>
              </w:rPr>
              <w:t>6</w:t>
            </w:r>
            <w:r>
              <w:rPr>
                <w:rFonts w:ascii="Arial Narrow" w:hAnsi="Arial Narrow" w:cs="宋体"/>
                <w:snapToGrid w:val="0"/>
                <w:kern w:val="0"/>
                <w:sz w:val="18"/>
                <w:szCs w:val="18"/>
                <w:highlight w:val="none"/>
              </w:rPr>
              <w:t>月3</w:t>
            </w:r>
            <w:r>
              <w:rPr>
                <w:rFonts w:hint="eastAsia" w:ascii="Arial Narrow" w:hAnsi="Arial Narrow" w:cs="宋体"/>
                <w:snapToGrid w:val="0"/>
                <w:kern w:val="0"/>
                <w:sz w:val="18"/>
                <w:szCs w:val="18"/>
                <w:highlight w:val="none"/>
              </w:rPr>
              <w:t>0</w:t>
            </w:r>
            <w:r>
              <w:rPr>
                <w:rFonts w:ascii="Arial Narrow" w:hAnsi="Arial Narrow" w:cs="宋体"/>
                <w:snapToGrid w:val="0"/>
                <w:kern w:val="0"/>
                <w:sz w:val="18"/>
                <w:szCs w:val="18"/>
                <w:highlight w:val="none"/>
              </w:rPr>
              <w:t>日募集资金专户余额</w:t>
            </w:r>
          </w:p>
        </w:tc>
        <w:tc>
          <w:tcPr>
            <w:tcW w:w="992" w:type="dxa"/>
            <w:shd w:val="clear" w:color="auto" w:fill="auto"/>
            <w:vAlign w:val="center"/>
          </w:tcPr>
          <w:p w14:paraId="48541900">
            <w:pPr>
              <w:widowControl/>
              <w:adjustRightInd w:val="0"/>
              <w:snapToGrid w:val="0"/>
              <w:spacing w:line="240" w:lineRule="exact"/>
              <w:jc w:val="center"/>
              <w:rPr>
                <w:rFonts w:ascii="Arial Narrow" w:hAnsi="Arial Narrow" w:cs="宋体"/>
                <w:snapToGrid w:val="0"/>
                <w:kern w:val="0"/>
                <w:sz w:val="18"/>
                <w:szCs w:val="18"/>
                <w:highlight w:val="none"/>
              </w:rPr>
            </w:pPr>
            <w:r>
              <w:rPr>
                <w:rFonts w:hint="eastAsia" w:ascii="Arial Narrow" w:hAnsi="Arial Narrow" w:cs="宋体"/>
                <w:snapToGrid w:val="0"/>
                <w:kern w:val="0"/>
                <w:sz w:val="18"/>
                <w:szCs w:val="18"/>
                <w:highlight w:val="none"/>
              </w:rPr>
              <w:t>19=1-8+15+16-17-18</w:t>
            </w:r>
          </w:p>
        </w:tc>
        <w:tc>
          <w:tcPr>
            <w:tcW w:w="1276" w:type="dxa"/>
            <w:shd w:val="clear" w:color="auto" w:fill="auto"/>
            <w:vAlign w:val="center"/>
          </w:tcPr>
          <w:p w14:paraId="2D43A4BD">
            <w:pPr>
              <w:widowControl/>
              <w:adjustRightInd w:val="0"/>
              <w:snapToGrid w:val="0"/>
              <w:spacing w:line="240" w:lineRule="exact"/>
              <w:jc w:val="right"/>
              <w:rPr>
                <w:rFonts w:ascii="Arial Narrow" w:hAnsi="Arial Narrow" w:cs="宋体"/>
                <w:snapToGrid w:val="0"/>
                <w:kern w:val="0"/>
                <w:sz w:val="18"/>
                <w:szCs w:val="16"/>
                <w:highlight w:val="none"/>
              </w:rPr>
            </w:pPr>
            <w:r>
              <w:rPr>
                <w:rFonts w:hint="eastAsia" w:ascii="Arial Narrow" w:hAnsi="Arial Narrow" w:cs="宋体"/>
                <w:snapToGrid w:val="0"/>
                <w:kern w:val="0"/>
                <w:sz w:val="18"/>
                <w:szCs w:val="16"/>
                <w:highlight w:val="none"/>
              </w:rPr>
              <w:t xml:space="preserve"> 201,461,676.51 </w:t>
            </w:r>
          </w:p>
        </w:tc>
        <w:tc>
          <w:tcPr>
            <w:tcW w:w="1275" w:type="dxa"/>
            <w:shd w:val="clear" w:color="auto" w:fill="auto"/>
            <w:vAlign w:val="center"/>
          </w:tcPr>
          <w:p w14:paraId="482B5069">
            <w:pPr>
              <w:widowControl/>
              <w:adjustRightInd w:val="0"/>
              <w:snapToGrid w:val="0"/>
              <w:spacing w:line="240" w:lineRule="exact"/>
              <w:jc w:val="right"/>
              <w:rPr>
                <w:rFonts w:ascii="Arial Narrow" w:hAnsi="Arial Narrow" w:cs="宋体"/>
                <w:snapToGrid w:val="0"/>
                <w:kern w:val="0"/>
                <w:sz w:val="18"/>
                <w:szCs w:val="16"/>
                <w:highlight w:val="none"/>
              </w:rPr>
            </w:pPr>
          </w:p>
        </w:tc>
        <w:tc>
          <w:tcPr>
            <w:tcW w:w="1395" w:type="dxa"/>
            <w:shd w:val="clear" w:color="auto" w:fill="auto"/>
            <w:vAlign w:val="center"/>
          </w:tcPr>
          <w:p w14:paraId="3B4FB522">
            <w:pPr>
              <w:widowControl/>
              <w:adjustRightInd w:val="0"/>
              <w:snapToGrid w:val="0"/>
              <w:spacing w:line="240" w:lineRule="exact"/>
              <w:jc w:val="right"/>
              <w:rPr>
                <w:rFonts w:ascii="Arial Narrow" w:hAnsi="Arial Narrow" w:cs="宋体"/>
                <w:snapToGrid w:val="0"/>
                <w:kern w:val="0"/>
                <w:sz w:val="18"/>
                <w:szCs w:val="16"/>
                <w:highlight w:val="none"/>
              </w:rPr>
            </w:pPr>
          </w:p>
        </w:tc>
        <w:tc>
          <w:tcPr>
            <w:tcW w:w="1247" w:type="dxa"/>
            <w:shd w:val="clear" w:color="auto" w:fill="auto"/>
            <w:vAlign w:val="center"/>
          </w:tcPr>
          <w:p w14:paraId="686FA413">
            <w:pPr>
              <w:widowControl/>
              <w:adjustRightInd w:val="0"/>
              <w:snapToGrid w:val="0"/>
              <w:spacing w:line="240" w:lineRule="exact"/>
              <w:jc w:val="right"/>
              <w:rPr>
                <w:rFonts w:ascii="Arial Narrow" w:hAnsi="Arial Narrow" w:cs="宋体"/>
                <w:snapToGrid w:val="0"/>
                <w:kern w:val="0"/>
                <w:sz w:val="18"/>
                <w:szCs w:val="16"/>
                <w:highlight w:val="none"/>
              </w:rPr>
            </w:pPr>
          </w:p>
        </w:tc>
      </w:tr>
      <w:tr w14:paraId="277AC2DD">
        <w:trPr>
          <w:cantSplit/>
          <w:trHeight w:val="397" w:hRule="atLeast"/>
          <w:jc w:val="center"/>
        </w:trPr>
        <w:tc>
          <w:tcPr>
            <w:tcW w:w="2127" w:type="dxa"/>
            <w:shd w:val="clear" w:color="auto" w:fill="auto"/>
            <w:vAlign w:val="center"/>
          </w:tcPr>
          <w:p w14:paraId="59E67F36">
            <w:pPr>
              <w:widowControl/>
              <w:adjustRightInd w:val="0"/>
              <w:snapToGrid w:val="0"/>
              <w:spacing w:line="240" w:lineRule="exact"/>
              <w:jc w:val="left"/>
              <w:rPr>
                <w:rFonts w:ascii="Arial Narrow" w:hAnsi="Arial Narrow" w:cs="宋体"/>
                <w:snapToGrid w:val="0"/>
                <w:kern w:val="0"/>
                <w:sz w:val="18"/>
                <w:szCs w:val="18"/>
                <w:highlight w:val="none"/>
              </w:rPr>
            </w:pPr>
            <w:r>
              <w:rPr>
                <w:rFonts w:hint="eastAsia" w:ascii="Arial Narrow" w:hAnsi="Arial Narrow" w:cs="宋体"/>
                <w:snapToGrid w:val="0"/>
                <w:kern w:val="0"/>
                <w:sz w:val="18"/>
                <w:szCs w:val="18"/>
                <w:highlight w:val="none"/>
              </w:rPr>
              <w:t>截止</w:t>
            </w:r>
            <w:r>
              <w:rPr>
                <w:rFonts w:ascii="Arial Narrow" w:hAnsi="Arial Narrow" w:cs="宋体"/>
                <w:snapToGrid w:val="0"/>
                <w:kern w:val="0"/>
                <w:sz w:val="18"/>
                <w:szCs w:val="18"/>
                <w:highlight w:val="none"/>
              </w:rPr>
              <w:t>202</w:t>
            </w:r>
            <w:r>
              <w:rPr>
                <w:rFonts w:hint="eastAsia" w:ascii="Arial Narrow" w:hAnsi="Arial Narrow" w:cs="宋体"/>
                <w:snapToGrid w:val="0"/>
                <w:kern w:val="0"/>
                <w:sz w:val="18"/>
                <w:szCs w:val="18"/>
                <w:highlight w:val="none"/>
              </w:rPr>
              <w:t>4</w:t>
            </w:r>
            <w:r>
              <w:rPr>
                <w:rFonts w:ascii="Arial Narrow" w:hAnsi="Arial Narrow" w:cs="宋体"/>
                <w:snapToGrid w:val="0"/>
                <w:kern w:val="0"/>
                <w:sz w:val="18"/>
                <w:szCs w:val="18"/>
                <w:highlight w:val="none"/>
              </w:rPr>
              <w:t>年</w:t>
            </w:r>
            <w:r>
              <w:rPr>
                <w:rFonts w:hint="eastAsia" w:ascii="Arial Narrow" w:hAnsi="Arial Narrow" w:cs="宋体"/>
                <w:snapToGrid w:val="0"/>
                <w:kern w:val="0"/>
                <w:sz w:val="18"/>
                <w:szCs w:val="18"/>
                <w:highlight w:val="none"/>
              </w:rPr>
              <w:t>6</w:t>
            </w:r>
            <w:r>
              <w:rPr>
                <w:rFonts w:ascii="Arial Narrow" w:hAnsi="Arial Narrow" w:cs="宋体"/>
                <w:snapToGrid w:val="0"/>
                <w:kern w:val="0"/>
                <w:sz w:val="18"/>
                <w:szCs w:val="18"/>
                <w:highlight w:val="none"/>
              </w:rPr>
              <w:t>月3</w:t>
            </w:r>
            <w:r>
              <w:rPr>
                <w:rFonts w:hint="eastAsia" w:ascii="Arial Narrow" w:hAnsi="Arial Narrow" w:cs="宋体"/>
                <w:snapToGrid w:val="0"/>
                <w:kern w:val="0"/>
                <w:sz w:val="18"/>
                <w:szCs w:val="18"/>
                <w:highlight w:val="none"/>
              </w:rPr>
              <w:t>0</w:t>
            </w:r>
            <w:r>
              <w:rPr>
                <w:rFonts w:ascii="Arial Narrow" w:hAnsi="Arial Narrow" w:cs="宋体"/>
                <w:snapToGrid w:val="0"/>
                <w:kern w:val="0"/>
                <w:sz w:val="18"/>
                <w:szCs w:val="18"/>
                <w:highlight w:val="none"/>
              </w:rPr>
              <w:t>日累计投入募集资金总额</w:t>
            </w:r>
          </w:p>
        </w:tc>
        <w:tc>
          <w:tcPr>
            <w:tcW w:w="992" w:type="dxa"/>
            <w:shd w:val="clear" w:color="auto" w:fill="auto"/>
            <w:vAlign w:val="center"/>
          </w:tcPr>
          <w:p w14:paraId="2B83B549">
            <w:pPr>
              <w:widowControl/>
              <w:adjustRightInd w:val="0"/>
              <w:snapToGrid w:val="0"/>
              <w:spacing w:line="240" w:lineRule="exact"/>
              <w:jc w:val="center"/>
              <w:rPr>
                <w:rFonts w:ascii="Arial Narrow" w:hAnsi="Arial Narrow" w:cs="宋体"/>
                <w:snapToGrid w:val="0"/>
                <w:kern w:val="0"/>
                <w:sz w:val="18"/>
                <w:szCs w:val="18"/>
                <w:highlight w:val="none"/>
              </w:rPr>
            </w:pPr>
            <w:r>
              <w:rPr>
                <w:rFonts w:hint="eastAsia" w:ascii="Arial Narrow" w:hAnsi="Arial Narrow" w:cs="宋体"/>
                <w:snapToGrid w:val="0"/>
                <w:kern w:val="0"/>
                <w:sz w:val="18"/>
                <w:szCs w:val="18"/>
                <w:highlight w:val="none"/>
              </w:rPr>
              <w:t>20=8</w:t>
            </w:r>
          </w:p>
        </w:tc>
        <w:tc>
          <w:tcPr>
            <w:tcW w:w="1276" w:type="dxa"/>
            <w:shd w:val="clear" w:color="auto" w:fill="auto"/>
            <w:vAlign w:val="center"/>
          </w:tcPr>
          <w:p w14:paraId="17C928E3">
            <w:pPr>
              <w:widowControl/>
              <w:adjustRightInd w:val="0"/>
              <w:snapToGrid w:val="0"/>
              <w:spacing w:line="240" w:lineRule="exact"/>
              <w:jc w:val="right"/>
              <w:rPr>
                <w:rFonts w:ascii="Arial Narrow" w:hAnsi="Arial Narrow" w:cs="宋体"/>
                <w:snapToGrid w:val="0"/>
                <w:kern w:val="0"/>
                <w:sz w:val="18"/>
                <w:szCs w:val="16"/>
                <w:highlight w:val="none"/>
              </w:rPr>
            </w:pPr>
            <w:r>
              <w:rPr>
                <w:rFonts w:hint="eastAsia" w:ascii="Arial Narrow" w:hAnsi="Arial Narrow" w:cs="宋体"/>
                <w:snapToGrid w:val="0"/>
                <w:kern w:val="0"/>
                <w:sz w:val="18"/>
                <w:szCs w:val="16"/>
                <w:highlight w:val="none"/>
              </w:rPr>
              <w:t xml:space="preserve"> 677,516,109.88 </w:t>
            </w:r>
          </w:p>
        </w:tc>
        <w:tc>
          <w:tcPr>
            <w:tcW w:w="1275" w:type="dxa"/>
            <w:shd w:val="clear" w:color="auto" w:fill="auto"/>
            <w:vAlign w:val="center"/>
          </w:tcPr>
          <w:p w14:paraId="057C9FF3">
            <w:pPr>
              <w:widowControl/>
              <w:adjustRightInd w:val="0"/>
              <w:snapToGrid w:val="0"/>
              <w:spacing w:line="240" w:lineRule="exact"/>
              <w:jc w:val="right"/>
              <w:rPr>
                <w:rFonts w:ascii="Arial Narrow" w:hAnsi="Arial Narrow" w:cs="宋体"/>
                <w:snapToGrid w:val="0"/>
                <w:kern w:val="0"/>
                <w:sz w:val="18"/>
                <w:szCs w:val="16"/>
                <w:highlight w:val="none"/>
              </w:rPr>
            </w:pPr>
          </w:p>
        </w:tc>
        <w:tc>
          <w:tcPr>
            <w:tcW w:w="1395" w:type="dxa"/>
            <w:shd w:val="clear" w:color="auto" w:fill="auto"/>
            <w:vAlign w:val="center"/>
          </w:tcPr>
          <w:p w14:paraId="2AE556EF">
            <w:pPr>
              <w:widowControl/>
              <w:adjustRightInd w:val="0"/>
              <w:snapToGrid w:val="0"/>
              <w:spacing w:line="240" w:lineRule="exact"/>
              <w:jc w:val="right"/>
              <w:rPr>
                <w:rFonts w:ascii="Arial Narrow" w:hAnsi="Arial Narrow" w:cs="宋体"/>
                <w:snapToGrid w:val="0"/>
                <w:kern w:val="0"/>
                <w:sz w:val="18"/>
                <w:szCs w:val="16"/>
                <w:highlight w:val="none"/>
              </w:rPr>
            </w:pPr>
          </w:p>
        </w:tc>
        <w:tc>
          <w:tcPr>
            <w:tcW w:w="1247" w:type="dxa"/>
            <w:shd w:val="clear" w:color="auto" w:fill="auto"/>
            <w:vAlign w:val="center"/>
          </w:tcPr>
          <w:p w14:paraId="68CED9D3">
            <w:pPr>
              <w:widowControl/>
              <w:adjustRightInd w:val="0"/>
              <w:snapToGrid w:val="0"/>
              <w:spacing w:line="240" w:lineRule="exact"/>
              <w:jc w:val="right"/>
              <w:rPr>
                <w:rFonts w:ascii="Arial Narrow" w:hAnsi="Arial Narrow" w:cs="宋体"/>
                <w:snapToGrid w:val="0"/>
                <w:kern w:val="0"/>
                <w:sz w:val="18"/>
                <w:szCs w:val="16"/>
                <w:highlight w:val="none"/>
              </w:rPr>
            </w:pPr>
          </w:p>
        </w:tc>
      </w:tr>
    </w:tbl>
    <w:p w14:paraId="3C3F6FB6">
      <w:pPr>
        <w:widowControl/>
        <w:spacing w:before="240" w:beforeLines="100" w:line="360" w:lineRule="auto"/>
        <w:ind w:firstLine="422" w:firstLineChars="200"/>
        <w:outlineLvl w:val="1"/>
        <w:rPr>
          <w:rFonts w:hint="eastAsia" w:ascii="宋体" w:hAnsi="宋体" w:cs="宋体"/>
          <w:b/>
          <w:kern w:val="0"/>
          <w:szCs w:val="21"/>
          <w:highlight w:val="none"/>
        </w:rPr>
      </w:pPr>
      <w:r>
        <w:rPr>
          <w:rFonts w:ascii="宋体" w:hAnsi="宋体"/>
          <w:b/>
          <w:kern w:val="0"/>
          <w:szCs w:val="21"/>
          <w:highlight w:val="none"/>
        </w:rPr>
        <w:t>二、</w:t>
      </w:r>
      <w:r>
        <w:rPr>
          <w:rFonts w:ascii="宋体" w:hAnsi="宋体"/>
          <w:b/>
          <w:kern w:val="0"/>
          <w:szCs w:val="21"/>
          <w:highlight w:val="none"/>
        </w:rPr>
        <w:tab/>
      </w:r>
      <w:r>
        <w:rPr>
          <w:rFonts w:hint="eastAsia" w:ascii="宋体" w:hAnsi="宋体" w:cs="宋体"/>
          <w:b/>
          <w:kern w:val="0"/>
          <w:szCs w:val="21"/>
          <w:highlight w:val="none"/>
        </w:rPr>
        <w:t>募集资金的管理情况</w:t>
      </w:r>
    </w:p>
    <w:p w14:paraId="589F46FC">
      <w:pPr>
        <w:widowControl/>
        <w:spacing w:line="360" w:lineRule="auto"/>
        <w:ind w:firstLine="420" w:firstLineChars="200"/>
        <w:rPr>
          <w:rFonts w:hint="eastAsia" w:ascii="宋体" w:hAnsi="宋体"/>
          <w:kern w:val="0"/>
          <w:szCs w:val="21"/>
          <w:highlight w:val="none"/>
        </w:rPr>
      </w:pPr>
      <w:r>
        <w:rPr>
          <w:rFonts w:hint="eastAsia" w:ascii="宋体" w:hAnsi="宋体"/>
          <w:kern w:val="0"/>
          <w:szCs w:val="21"/>
          <w:highlight w:val="none"/>
        </w:rPr>
        <w:t>为了规范募集资金的管理和使用，保护投资者权益，本公司依照《中</w:t>
      </w:r>
      <w:r>
        <w:rPr>
          <w:rFonts w:ascii="宋体" w:hAnsi="宋体"/>
          <w:kern w:val="0"/>
          <w:szCs w:val="21"/>
          <w:highlight w:val="none"/>
        </w:rPr>
        <w:t>华人民共和国</w:t>
      </w:r>
      <w:r>
        <w:rPr>
          <w:rFonts w:hint="eastAsia" w:ascii="宋体" w:hAnsi="宋体"/>
          <w:kern w:val="0"/>
          <w:szCs w:val="21"/>
          <w:highlight w:val="none"/>
        </w:rPr>
        <w:t>公司法》、《中</w:t>
      </w:r>
      <w:r>
        <w:rPr>
          <w:rFonts w:ascii="宋体" w:hAnsi="宋体"/>
          <w:kern w:val="0"/>
          <w:szCs w:val="21"/>
          <w:highlight w:val="none"/>
        </w:rPr>
        <w:t>华人民共和国</w:t>
      </w:r>
      <w:r>
        <w:rPr>
          <w:rFonts w:hint="eastAsia" w:ascii="宋体" w:hAnsi="宋体"/>
          <w:kern w:val="0"/>
          <w:szCs w:val="21"/>
          <w:highlight w:val="none"/>
        </w:rPr>
        <w:t>证券法》、《上海证券交易所股票上市规则》、《上海证券交易所上市公司自律监管指引第1号——规范运作》等法律法规，结合公司实际情况，制定了《重庆望变电气（集团）股份有限公司募集资金管理制度》（以下简称“管理制度”），该《管理制度》经本公司</w:t>
      </w:r>
      <w:r>
        <w:rPr>
          <w:rFonts w:ascii="宋体" w:hAnsi="宋体"/>
          <w:kern w:val="0"/>
          <w:szCs w:val="21"/>
          <w:highlight w:val="none"/>
        </w:rPr>
        <w:t>2022</w:t>
      </w:r>
      <w:r>
        <w:rPr>
          <w:rFonts w:hint="eastAsia" w:ascii="宋体" w:hAnsi="宋体"/>
          <w:kern w:val="0"/>
          <w:szCs w:val="21"/>
          <w:highlight w:val="none"/>
        </w:rPr>
        <w:t>年第三届第十一次董事会审议通过，并业经本公司</w:t>
      </w:r>
      <w:r>
        <w:rPr>
          <w:rFonts w:ascii="宋体" w:hAnsi="宋体"/>
          <w:kern w:val="0"/>
          <w:szCs w:val="21"/>
          <w:highlight w:val="none"/>
        </w:rPr>
        <w:t>2022</w:t>
      </w:r>
      <w:r>
        <w:rPr>
          <w:rFonts w:hint="eastAsia" w:ascii="宋体" w:hAnsi="宋体"/>
          <w:kern w:val="0"/>
          <w:szCs w:val="21"/>
          <w:highlight w:val="none"/>
        </w:rPr>
        <w:t>年第一次临时股东大会表决通过。</w:t>
      </w:r>
    </w:p>
    <w:p w14:paraId="2A114558">
      <w:pPr>
        <w:widowControl/>
        <w:spacing w:line="360" w:lineRule="auto"/>
        <w:ind w:firstLine="420" w:firstLineChars="200"/>
        <w:rPr>
          <w:rFonts w:hint="eastAsia" w:ascii="宋体" w:hAnsi="宋体"/>
          <w:kern w:val="0"/>
          <w:szCs w:val="21"/>
          <w:highlight w:val="none"/>
        </w:rPr>
      </w:pPr>
      <w:r>
        <w:rPr>
          <w:rFonts w:hint="eastAsia" w:ascii="宋体" w:hAnsi="宋体"/>
          <w:kern w:val="0"/>
          <w:szCs w:val="21"/>
          <w:highlight w:val="none"/>
        </w:rPr>
        <w:t>根据《管理制度》的要求，并结合公司经营需要，本公司分别在招商银行股份有限公司重庆长寿支行（该专户已于2022年6月22日注销）、重庆三峡银行股份有限公司长寿支行、上海浦东发展银行股份有限公司重庆分行、中信银行重庆分行营业部（该专户已于2023年10月13日注销）、中国农业银行股份有限公司重庆长寿支行（该专户已于2023年6月26日注销）、哈尔滨银行股份有限公司重庆分行</w:t>
      </w:r>
      <w:r>
        <w:rPr>
          <w:rFonts w:ascii="宋体" w:hAnsi="宋体"/>
          <w:kern w:val="0"/>
          <w:szCs w:val="21"/>
          <w:highlight w:val="none"/>
        </w:rPr>
        <w:t>开设</w:t>
      </w:r>
      <w:r>
        <w:rPr>
          <w:rFonts w:hint="eastAsia" w:ascii="宋体" w:hAnsi="宋体"/>
          <w:kern w:val="0"/>
          <w:szCs w:val="21"/>
          <w:highlight w:val="none"/>
        </w:rPr>
        <w:t>募集</w:t>
      </w:r>
      <w:r>
        <w:rPr>
          <w:rFonts w:ascii="宋体" w:hAnsi="宋体"/>
          <w:kern w:val="0"/>
          <w:szCs w:val="21"/>
          <w:highlight w:val="none"/>
        </w:rPr>
        <w:t>资金</w:t>
      </w:r>
      <w:r>
        <w:rPr>
          <w:rFonts w:hint="eastAsia" w:ascii="宋体" w:hAnsi="宋体"/>
          <w:kern w:val="0"/>
          <w:szCs w:val="21"/>
          <w:highlight w:val="none"/>
        </w:rPr>
        <w:t>专</w:t>
      </w:r>
      <w:r>
        <w:rPr>
          <w:rFonts w:ascii="宋体" w:hAnsi="宋体"/>
          <w:kern w:val="0"/>
          <w:szCs w:val="21"/>
          <w:highlight w:val="none"/>
        </w:rPr>
        <w:t>项账户</w:t>
      </w:r>
      <w:r>
        <w:rPr>
          <w:rFonts w:hint="eastAsia" w:ascii="宋体" w:hAnsi="宋体"/>
          <w:kern w:val="0"/>
          <w:szCs w:val="21"/>
          <w:highlight w:val="none"/>
        </w:rPr>
        <w:t>。公司与各开户银行、中信证券股份有限公司签署了募集资金三方监管协议，对公开发行股票募集资金的存放和使用情况进行监督。</w:t>
      </w:r>
      <w:r>
        <w:rPr>
          <w:rFonts w:ascii="宋体" w:hAnsi="宋体"/>
          <w:kern w:val="0"/>
          <w:szCs w:val="21"/>
          <w:highlight w:val="none"/>
        </w:rPr>
        <w:t xml:space="preserve"> </w:t>
      </w:r>
    </w:p>
    <w:p w14:paraId="6BF2CADE">
      <w:pPr>
        <w:widowControl/>
        <w:spacing w:line="360" w:lineRule="auto"/>
        <w:ind w:firstLine="420" w:firstLineChars="200"/>
        <w:rPr>
          <w:rFonts w:hint="eastAsia" w:ascii="宋体" w:hAnsi="宋体"/>
          <w:kern w:val="0"/>
          <w:szCs w:val="21"/>
          <w:highlight w:val="none"/>
        </w:rPr>
      </w:pPr>
      <w:r>
        <w:rPr>
          <w:rFonts w:hint="eastAsia" w:ascii="宋体" w:hAnsi="宋体"/>
          <w:kern w:val="0"/>
          <w:szCs w:val="21"/>
          <w:highlight w:val="none"/>
        </w:rPr>
        <w:t>协议相关签署时间请见下表：</w:t>
      </w:r>
    </w:p>
    <w:tbl>
      <w:tblPr>
        <w:tblStyle w:val="12"/>
        <w:tblW w:w="5000" w:type="pct"/>
        <w:tblInd w:w="0" w:type="dxa"/>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Layout w:type="autofit"/>
        <w:tblCellMar>
          <w:top w:w="0" w:type="dxa"/>
          <w:left w:w="45" w:type="dxa"/>
          <w:bottom w:w="0" w:type="dxa"/>
          <w:right w:w="45" w:type="dxa"/>
        </w:tblCellMar>
      </w:tblPr>
      <w:tblGrid>
        <w:gridCol w:w="2247"/>
        <w:gridCol w:w="1838"/>
        <w:gridCol w:w="1941"/>
        <w:gridCol w:w="1630"/>
        <w:gridCol w:w="1126"/>
      </w:tblGrid>
      <w:tr w14:paraId="485E86B0">
        <w:trPr>
          <w:trHeight w:val="340" w:hRule="atLeast"/>
          <w:tblHeader/>
        </w:trPr>
        <w:tc>
          <w:tcPr>
            <w:tcW w:w="1279" w:type="pct"/>
            <w:shd w:val="clear" w:color="auto" w:fill="auto"/>
            <w:vAlign w:val="center"/>
          </w:tcPr>
          <w:p w14:paraId="1B229FBB">
            <w:pPr>
              <w:widowControl/>
              <w:adjustRightInd w:val="0"/>
              <w:snapToGrid w:val="0"/>
              <w:spacing w:line="240" w:lineRule="exact"/>
              <w:jc w:val="center"/>
              <w:rPr>
                <w:rFonts w:hint="eastAsia" w:ascii="宋体" w:hAnsi="宋体"/>
                <w:snapToGrid w:val="0"/>
                <w:kern w:val="0"/>
                <w:sz w:val="18"/>
                <w:szCs w:val="18"/>
                <w:highlight w:val="none"/>
              </w:rPr>
            </w:pPr>
            <w:r>
              <w:rPr>
                <w:rFonts w:hint="eastAsia" w:ascii="宋体" w:hAnsi="宋体"/>
                <w:snapToGrid w:val="0"/>
                <w:kern w:val="0"/>
                <w:sz w:val="18"/>
                <w:szCs w:val="18"/>
                <w:highlight w:val="none"/>
              </w:rPr>
              <w:t>项目名称</w:t>
            </w:r>
          </w:p>
        </w:tc>
        <w:tc>
          <w:tcPr>
            <w:tcW w:w="1046" w:type="pct"/>
            <w:shd w:val="clear" w:color="auto" w:fill="auto"/>
            <w:vAlign w:val="center"/>
          </w:tcPr>
          <w:p w14:paraId="0A03D980">
            <w:pPr>
              <w:widowControl/>
              <w:adjustRightInd w:val="0"/>
              <w:snapToGrid w:val="0"/>
              <w:spacing w:line="240" w:lineRule="exact"/>
              <w:jc w:val="center"/>
              <w:rPr>
                <w:rFonts w:hint="eastAsia" w:ascii="宋体" w:hAnsi="宋体"/>
                <w:snapToGrid w:val="0"/>
                <w:kern w:val="0"/>
                <w:sz w:val="18"/>
                <w:szCs w:val="18"/>
                <w:highlight w:val="none"/>
              </w:rPr>
            </w:pPr>
            <w:r>
              <w:rPr>
                <w:rFonts w:hint="eastAsia" w:ascii="宋体" w:hAnsi="宋体"/>
                <w:snapToGrid w:val="0"/>
                <w:kern w:val="0"/>
                <w:sz w:val="18"/>
                <w:szCs w:val="18"/>
                <w:highlight w:val="none"/>
              </w:rPr>
              <w:t>银行名称</w:t>
            </w:r>
          </w:p>
        </w:tc>
        <w:tc>
          <w:tcPr>
            <w:tcW w:w="1105" w:type="pct"/>
            <w:shd w:val="clear" w:color="auto" w:fill="auto"/>
            <w:vAlign w:val="center"/>
          </w:tcPr>
          <w:p w14:paraId="1FEA278E">
            <w:pPr>
              <w:widowControl/>
              <w:adjustRightInd w:val="0"/>
              <w:snapToGrid w:val="0"/>
              <w:spacing w:line="240" w:lineRule="exact"/>
              <w:jc w:val="center"/>
              <w:rPr>
                <w:rFonts w:hint="eastAsia" w:ascii="宋体" w:hAnsi="宋体"/>
                <w:snapToGrid w:val="0"/>
                <w:kern w:val="0"/>
                <w:sz w:val="18"/>
                <w:szCs w:val="18"/>
                <w:highlight w:val="none"/>
              </w:rPr>
            </w:pPr>
            <w:r>
              <w:rPr>
                <w:rFonts w:hint="eastAsia" w:ascii="宋体" w:hAnsi="宋体"/>
                <w:snapToGrid w:val="0"/>
                <w:kern w:val="0"/>
                <w:sz w:val="18"/>
                <w:szCs w:val="18"/>
                <w:highlight w:val="none"/>
              </w:rPr>
              <w:t>账号</w:t>
            </w:r>
          </w:p>
        </w:tc>
        <w:tc>
          <w:tcPr>
            <w:tcW w:w="928" w:type="pct"/>
            <w:shd w:val="clear" w:color="auto" w:fill="auto"/>
            <w:vAlign w:val="center"/>
          </w:tcPr>
          <w:p w14:paraId="1AFD80BC">
            <w:pPr>
              <w:widowControl/>
              <w:adjustRightInd w:val="0"/>
              <w:snapToGrid w:val="0"/>
              <w:spacing w:line="240" w:lineRule="exact"/>
              <w:jc w:val="center"/>
              <w:rPr>
                <w:rFonts w:hint="eastAsia" w:ascii="宋体" w:hAnsi="宋体"/>
                <w:snapToGrid w:val="0"/>
                <w:kern w:val="0"/>
                <w:sz w:val="18"/>
                <w:szCs w:val="18"/>
                <w:highlight w:val="none"/>
              </w:rPr>
            </w:pPr>
            <w:r>
              <w:rPr>
                <w:rFonts w:hint="eastAsia" w:ascii="宋体" w:hAnsi="宋体"/>
                <w:snapToGrid w:val="0"/>
                <w:kern w:val="0"/>
                <w:sz w:val="18"/>
                <w:szCs w:val="18"/>
                <w:highlight w:val="none"/>
              </w:rPr>
              <w:t>协议签署日期</w:t>
            </w:r>
          </w:p>
        </w:tc>
        <w:tc>
          <w:tcPr>
            <w:tcW w:w="641" w:type="pct"/>
            <w:shd w:val="clear" w:color="auto" w:fill="auto"/>
            <w:vAlign w:val="center"/>
          </w:tcPr>
          <w:p w14:paraId="0508CE22">
            <w:pPr>
              <w:widowControl/>
              <w:adjustRightInd w:val="0"/>
              <w:snapToGrid w:val="0"/>
              <w:spacing w:line="240" w:lineRule="exact"/>
              <w:jc w:val="center"/>
              <w:rPr>
                <w:rFonts w:hint="eastAsia" w:ascii="宋体" w:hAnsi="宋体"/>
                <w:snapToGrid w:val="0"/>
                <w:kern w:val="0"/>
                <w:sz w:val="18"/>
                <w:szCs w:val="18"/>
                <w:highlight w:val="none"/>
              </w:rPr>
            </w:pPr>
            <w:r>
              <w:rPr>
                <w:rFonts w:hint="eastAsia" w:ascii="宋体" w:hAnsi="宋体"/>
                <w:snapToGrid w:val="0"/>
                <w:kern w:val="0"/>
                <w:sz w:val="18"/>
                <w:szCs w:val="18"/>
                <w:highlight w:val="none"/>
              </w:rPr>
              <w:t>协议有效期</w:t>
            </w:r>
          </w:p>
        </w:tc>
      </w:tr>
      <w:tr w14:paraId="57BAAC62">
        <w:trPr>
          <w:cantSplit/>
          <w:trHeight w:val="340" w:hRule="atLeast"/>
        </w:trPr>
        <w:tc>
          <w:tcPr>
            <w:tcW w:w="1279" w:type="pct"/>
            <w:shd w:val="clear" w:color="auto" w:fill="auto"/>
            <w:vAlign w:val="center"/>
          </w:tcPr>
          <w:p w14:paraId="47012A81">
            <w:pPr>
              <w:widowControl/>
              <w:adjustRightInd w:val="0"/>
              <w:snapToGrid w:val="0"/>
              <w:spacing w:line="240" w:lineRule="exact"/>
              <w:jc w:val="left"/>
              <w:rPr>
                <w:rFonts w:ascii="Arial Narrow" w:hAnsi="Arial Narrow"/>
                <w:snapToGrid w:val="0"/>
                <w:kern w:val="0"/>
                <w:sz w:val="18"/>
                <w:szCs w:val="18"/>
                <w:highlight w:val="none"/>
              </w:rPr>
            </w:pPr>
            <w:r>
              <w:rPr>
                <w:rFonts w:hint="eastAsia" w:ascii="Arial Narrow" w:hAnsi="Arial Narrow"/>
                <w:snapToGrid w:val="0"/>
                <w:kern w:val="0"/>
                <w:sz w:val="18"/>
                <w:szCs w:val="18"/>
                <w:highlight w:val="none"/>
              </w:rPr>
              <w:t>智能成套电气设备产业基地建设项目</w:t>
            </w:r>
          </w:p>
        </w:tc>
        <w:tc>
          <w:tcPr>
            <w:tcW w:w="1046" w:type="pct"/>
            <w:shd w:val="clear" w:color="auto" w:fill="auto"/>
            <w:vAlign w:val="center"/>
          </w:tcPr>
          <w:p w14:paraId="794F35D3">
            <w:pPr>
              <w:widowControl/>
              <w:adjustRightInd w:val="0"/>
              <w:snapToGrid w:val="0"/>
              <w:spacing w:line="240" w:lineRule="exact"/>
              <w:jc w:val="left"/>
              <w:rPr>
                <w:rFonts w:ascii="Arial Narrow" w:hAnsi="Arial Narrow"/>
                <w:snapToGrid w:val="0"/>
                <w:kern w:val="0"/>
                <w:sz w:val="18"/>
                <w:szCs w:val="18"/>
                <w:highlight w:val="none"/>
              </w:rPr>
            </w:pPr>
            <w:r>
              <w:rPr>
                <w:rFonts w:hint="eastAsia" w:ascii="Arial Narrow" w:hAnsi="Arial Narrow"/>
                <w:snapToGrid w:val="0"/>
                <w:kern w:val="0"/>
                <w:sz w:val="18"/>
                <w:szCs w:val="18"/>
                <w:highlight w:val="none"/>
              </w:rPr>
              <w:t>招商银行重庆分行长寿支行</w:t>
            </w:r>
          </w:p>
        </w:tc>
        <w:tc>
          <w:tcPr>
            <w:tcW w:w="1105" w:type="pct"/>
            <w:shd w:val="clear" w:color="auto" w:fill="auto"/>
            <w:vAlign w:val="center"/>
          </w:tcPr>
          <w:p w14:paraId="7584A837">
            <w:pPr>
              <w:widowControl/>
              <w:adjustRightInd w:val="0"/>
              <w:snapToGrid w:val="0"/>
              <w:spacing w:line="240" w:lineRule="exact"/>
              <w:ind w:right="105"/>
              <w:jc w:val="left"/>
              <w:rPr>
                <w:rFonts w:ascii="Arial Narrow" w:hAnsi="Arial Narrow"/>
                <w:snapToGrid w:val="0"/>
                <w:kern w:val="0"/>
                <w:sz w:val="18"/>
                <w:szCs w:val="18"/>
                <w:highlight w:val="none"/>
              </w:rPr>
            </w:pPr>
            <w:r>
              <w:rPr>
                <w:rFonts w:ascii="Arial Narrow" w:hAnsi="Arial Narrow"/>
                <w:snapToGrid w:val="0"/>
                <w:kern w:val="0"/>
                <w:sz w:val="18"/>
                <w:szCs w:val="18"/>
                <w:highlight w:val="none"/>
              </w:rPr>
              <w:t>123905910610303</w:t>
            </w:r>
          </w:p>
        </w:tc>
        <w:tc>
          <w:tcPr>
            <w:tcW w:w="928" w:type="pct"/>
            <w:shd w:val="clear" w:color="auto" w:fill="auto"/>
            <w:vAlign w:val="center"/>
          </w:tcPr>
          <w:p w14:paraId="576A1A63">
            <w:pPr>
              <w:widowControl/>
              <w:adjustRightInd w:val="0"/>
              <w:snapToGrid w:val="0"/>
              <w:spacing w:line="240" w:lineRule="exact"/>
              <w:ind w:right="105"/>
              <w:jc w:val="center"/>
              <w:rPr>
                <w:rFonts w:ascii="Arial Narrow" w:hAnsi="Arial Narrow"/>
                <w:snapToGrid w:val="0"/>
                <w:kern w:val="0"/>
                <w:sz w:val="18"/>
                <w:szCs w:val="18"/>
                <w:highlight w:val="none"/>
              </w:rPr>
            </w:pPr>
            <w:r>
              <w:rPr>
                <w:rFonts w:ascii="Arial Narrow" w:hAnsi="Arial Narrow"/>
                <w:snapToGrid w:val="0"/>
                <w:kern w:val="0"/>
                <w:sz w:val="18"/>
                <w:szCs w:val="18"/>
                <w:highlight w:val="none"/>
              </w:rPr>
              <w:t>2022</w:t>
            </w:r>
            <w:r>
              <w:rPr>
                <w:rFonts w:hint="eastAsia" w:ascii="Arial Narrow" w:hAnsi="Arial Narrow"/>
                <w:snapToGrid w:val="0"/>
                <w:kern w:val="0"/>
                <w:sz w:val="18"/>
                <w:szCs w:val="18"/>
                <w:highlight w:val="none"/>
              </w:rPr>
              <w:t>年4月1</w:t>
            </w:r>
            <w:r>
              <w:rPr>
                <w:rFonts w:ascii="Arial Narrow" w:hAnsi="Arial Narrow"/>
                <w:snapToGrid w:val="0"/>
                <w:kern w:val="0"/>
                <w:sz w:val="18"/>
                <w:szCs w:val="18"/>
                <w:highlight w:val="none"/>
              </w:rPr>
              <w:t>8</w:t>
            </w:r>
            <w:r>
              <w:rPr>
                <w:rFonts w:hint="eastAsia" w:ascii="Arial Narrow" w:hAnsi="Arial Narrow"/>
                <w:snapToGrid w:val="0"/>
                <w:kern w:val="0"/>
                <w:sz w:val="18"/>
                <w:szCs w:val="18"/>
                <w:highlight w:val="none"/>
              </w:rPr>
              <w:t>日</w:t>
            </w:r>
          </w:p>
        </w:tc>
        <w:tc>
          <w:tcPr>
            <w:tcW w:w="641" w:type="pct"/>
            <w:shd w:val="clear" w:color="auto" w:fill="auto"/>
            <w:vAlign w:val="center"/>
          </w:tcPr>
          <w:p w14:paraId="37048287">
            <w:pPr>
              <w:widowControl/>
              <w:adjustRightInd w:val="0"/>
              <w:snapToGrid w:val="0"/>
              <w:spacing w:line="240" w:lineRule="exact"/>
              <w:jc w:val="center"/>
              <w:rPr>
                <w:rFonts w:ascii="Arial Narrow" w:hAnsi="Arial Narrow"/>
                <w:snapToGrid w:val="0"/>
                <w:kern w:val="0"/>
                <w:sz w:val="18"/>
                <w:szCs w:val="18"/>
                <w:highlight w:val="none"/>
              </w:rPr>
            </w:pPr>
            <w:r>
              <w:rPr>
                <w:rFonts w:hint="eastAsia" w:ascii="Arial Narrow" w:hAnsi="Arial Narrow"/>
                <w:snapToGrid w:val="0"/>
                <w:kern w:val="0"/>
                <w:sz w:val="18"/>
                <w:szCs w:val="18"/>
                <w:highlight w:val="none"/>
              </w:rPr>
              <w:t>账户已注销</w:t>
            </w:r>
          </w:p>
        </w:tc>
      </w:tr>
      <w:tr w14:paraId="159B49D5">
        <w:trPr>
          <w:cantSplit/>
          <w:trHeight w:val="340" w:hRule="atLeast"/>
        </w:trPr>
        <w:tc>
          <w:tcPr>
            <w:tcW w:w="1279" w:type="pct"/>
            <w:shd w:val="clear" w:color="auto" w:fill="auto"/>
            <w:vAlign w:val="center"/>
          </w:tcPr>
          <w:p w14:paraId="4D8C4792">
            <w:pPr>
              <w:widowControl/>
              <w:adjustRightInd w:val="0"/>
              <w:snapToGrid w:val="0"/>
              <w:spacing w:line="240" w:lineRule="exact"/>
              <w:jc w:val="left"/>
              <w:rPr>
                <w:rFonts w:ascii="Arial Narrow" w:hAnsi="Arial Narrow"/>
                <w:snapToGrid w:val="0"/>
                <w:kern w:val="0"/>
                <w:sz w:val="18"/>
                <w:szCs w:val="18"/>
                <w:highlight w:val="none"/>
              </w:rPr>
            </w:pPr>
            <w:r>
              <w:rPr>
                <w:rFonts w:hint="eastAsia" w:ascii="Arial Narrow" w:hAnsi="Arial Narrow"/>
                <w:snapToGrid w:val="0"/>
                <w:kern w:val="0"/>
                <w:sz w:val="18"/>
                <w:szCs w:val="18"/>
                <w:highlight w:val="none"/>
              </w:rPr>
              <w:t>低铁损高磁感硅钢铁心智能制造项目</w:t>
            </w:r>
          </w:p>
        </w:tc>
        <w:tc>
          <w:tcPr>
            <w:tcW w:w="1046" w:type="pct"/>
            <w:shd w:val="clear" w:color="auto" w:fill="auto"/>
            <w:vAlign w:val="center"/>
          </w:tcPr>
          <w:p w14:paraId="02787FBA">
            <w:pPr>
              <w:widowControl/>
              <w:adjustRightInd w:val="0"/>
              <w:snapToGrid w:val="0"/>
              <w:spacing w:line="240" w:lineRule="exact"/>
              <w:jc w:val="left"/>
              <w:rPr>
                <w:rFonts w:ascii="Arial Narrow" w:hAnsi="Arial Narrow"/>
                <w:snapToGrid w:val="0"/>
                <w:kern w:val="0"/>
                <w:sz w:val="18"/>
                <w:szCs w:val="18"/>
                <w:highlight w:val="none"/>
              </w:rPr>
            </w:pPr>
            <w:r>
              <w:rPr>
                <w:rFonts w:hint="eastAsia" w:ascii="Arial Narrow" w:hAnsi="Arial Narrow"/>
                <w:snapToGrid w:val="0"/>
                <w:kern w:val="0"/>
                <w:sz w:val="18"/>
                <w:szCs w:val="18"/>
                <w:highlight w:val="none"/>
              </w:rPr>
              <w:t>中信银行重庆分行营业部</w:t>
            </w:r>
          </w:p>
        </w:tc>
        <w:tc>
          <w:tcPr>
            <w:tcW w:w="1105" w:type="pct"/>
            <w:shd w:val="clear" w:color="auto" w:fill="auto"/>
            <w:vAlign w:val="center"/>
          </w:tcPr>
          <w:p w14:paraId="70F2A939">
            <w:pPr>
              <w:widowControl/>
              <w:adjustRightInd w:val="0"/>
              <w:snapToGrid w:val="0"/>
              <w:spacing w:line="240" w:lineRule="exact"/>
              <w:ind w:right="105"/>
              <w:jc w:val="left"/>
              <w:rPr>
                <w:rFonts w:ascii="Arial Narrow" w:hAnsi="Arial Narrow"/>
                <w:snapToGrid w:val="0"/>
                <w:kern w:val="0"/>
                <w:sz w:val="18"/>
                <w:szCs w:val="18"/>
                <w:highlight w:val="none"/>
              </w:rPr>
            </w:pPr>
            <w:r>
              <w:rPr>
                <w:rFonts w:ascii="Arial Narrow" w:hAnsi="Arial Narrow"/>
                <w:snapToGrid w:val="0"/>
                <w:kern w:val="0"/>
                <w:sz w:val="18"/>
                <w:szCs w:val="18"/>
                <w:highlight w:val="none"/>
              </w:rPr>
              <w:t>8111201012200530541</w:t>
            </w:r>
          </w:p>
        </w:tc>
        <w:tc>
          <w:tcPr>
            <w:tcW w:w="928" w:type="pct"/>
            <w:shd w:val="clear" w:color="auto" w:fill="auto"/>
            <w:vAlign w:val="center"/>
          </w:tcPr>
          <w:p w14:paraId="072693B7">
            <w:pPr>
              <w:widowControl/>
              <w:adjustRightInd w:val="0"/>
              <w:snapToGrid w:val="0"/>
              <w:spacing w:line="240" w:lineRule="exact"/>
              <w:ind w:right="105"/>
              <w:jc w:val="center"/>
              <w:rPr>
                <w:rFonts w:ascii="Arial Narrow" w:hAnsi="Arial Narrow"/>
                <w:snapToGrid w:val="0"/>
                <w:kern w:val="0"/>
                <w:sz w:val="18"/>
                <w:szCs w:val="18"/>
                <w:highlight w:val="none"/>
              </w:rPr>
            </w:pPr>
            <w:r>
              <w:rPr>
                <w:rFonts w:ascii="Arial Narrow" w:hAnsi="Arial Narrow"/>
                <w:snapToGrid w:val="0"/>
                <w:kern w:val="0"/>
                <w:sz w:val="18"/>
                <w:szCs w:val="18"/>
                <w:highlight w:val="none"/>
              </w:rPr>
              <w:t>2022</w:t>
            </w:r>
            <w:r>
              <w:rPr>
                <w:rFonts w:hint="eastAsia" w:ascii="Arial Narrow" w:hAnsi="Arial Narrow"/>
                <w:snapToGrid w:val="0"/>
                <w:kern w:val="0"/>
                <w:sz w:val="18"/>
                <w:szCs w:val="18"/>
                <w:highlight w:val="none"/>
              </w:rPr>
              <w:t>年4月1</w:t>
            </w:r>
            <w:r>
              <w:rPr>
                <w:rFonts w:ascii="Arial Narrow" w:hAnsi="Arial Narrow"/>
                <w:snapToGrid w:val="0"/>
                <w:kern w:val="0"/>
                <w:sz w:val="18"/>
                <w:szCs w:val="18"/>
                <w:highlight w:val="none"/>
              </w:rPr>
              <w:t>8</w:t>
            </w:r>
            <w:r>
              <w:rPr>
                <w:rFonts w:hint="eastAsia" w:ascii="Arial Narrow" w:hAnsi="Arial Narrow"/>
                <w:snapToGrid w:val="0"/>
                <w:kern w:val="0"/>
                <w:sz w:val="18"/>
                <w:szCs w:val="18"/>
                <w:highlight w:val="none"/>
              </w:rPr>
              <w:t>日</w:t>
            </w:r>
          </w:p>
        </w:tc>
        <w:tc>
          <w:tcPr>
            <w:tcW w:w="641" w:type="pct"/>
            <w:shd w:val="clear" w:color="auto" w:fill="auto"/>
            <w:vAlign w:val="center"/>
          </w:tcPr>
          <w:p w14:paraId="30BF66E7">
            <w:pPr>
              <w:widowControl/>
              <w:adjustRightInd w:val="0"/>
              <w:snapToGrid w:val="0"/>
              <w:spacing w:line="240" w:lineRule="exact"/>
              <w:jc w:val="center"/>
              <w:rPr>
                <w:rFonts w:ascii="Arial Narrow" w:hAnsi="Arial Narrow"/>
                <w:snapToGrid w:val="0"/>
                <w:kern w:val="0"/>
                <w:sz w:val="18"/>
                <w:szCs w:val="18"/>
                <w:highlight w:val="none"/>
              </w:rPr>
            </w:pPr>
            <w:r>
              <w:rPr>
                <w:rFonts w:hint="eastAsia" w:ascii="Arial Narrow" w:hAnsi="Arial Narrow"/>
                <w:snapToGrid w:val="0"/>
                <w:kern w:val="0"/>
                <w:sz w:val="18"/>
                <w:szCs w:val="18"/>
                <w:highlight w:val="none"/>
              </w:rPr>
              <w:t>账户已注销</w:t>
            </w:r>
          </w:p>
        </w:tc>
      </w:tr>
      <w:tr w14:paraId="11BECADA">
        <w:trPr>
          <w:cantSplit/>
          <w:trHeight w:val="340" w:hRule="atLeast"/>
        </w:trPr>
        <w:tc>
          <w:tcPr>
            <w:tcW w:w="1279" w:type="pct"/>
            <w:shd w:val="clear" w:color="auto" w:fill="auto"/>
            <w:vAlign w:val="center"/>
          </w:tcPr>
          <w:p w14:paraId="4960EA7F">
            <w:pPr>
              <w:widowControl/>
              <w:adjustRightInd w:val="0"/>
              <w:snapToGrid w:val="0"/>
              <w:spacing w:line="240" w:lineRule="exact"/>
              <w:jc w:val="left"/>
              <w:rPr>
                <w:rFonts w:ascii="Arial Narrow" w:hAnsi="Arial Narrow"/>
                <w:snapToGrid w:val="0"/>
                <w:kern w:val="0"/>
                <w:sz w:val="18"/>
                <w:szCs w:val="18"/>
                <w:highlight w:val="none"/>
              </w:rPr>
            </w:pPr>
            <w:r>
              <w:rPr>
                <w:rFonts w:hint="eastAsia" w:ascii="Arial Narrow" w:hAnsi="Arial Narrow"/>
                <w:snapToGrid w:val="0"/>
                <w:kern w:val="0"/>
                <w:sz w:val="18"/>
                <w:szCs w:val="18"/>
                <w:highlight w:val="none"/>
              </w:rPr>
              <w:t>110kV及以下节能型变压器智能化工厂技改项目</w:t>
            </w:r>
          </w:p>
        </w:tc>
        <w:tc>
          <w:tcPr>
            <w:tcW w:w="1046" w:type="pct"/>
            <w:shd w:val="clear" w:color="auto" w:fill="auto"/>
            <w:vAlign w:val="center"/>
          </w:tcPr>
          <w:p w14:paraId="73C27B1B">
            <w:pPr>
              <w:widowControl/>
              <w:adjustRightInd w:val="0"/>
              <w:snapToGrid w:val="0"/>
              <w:spacing w:line="240" w:lineRule="exact"/>
              <w:jc w:val="left"/>
              <w:rPr>
                <w:rFonts w:ascii="Arial Narrow" w:hAnsi="Arial Narrow"/>
                <w:snapToGrid w:val="0"/>
                <w:kern w:val="0"/>
                <w:sz w:val="18"/>
                <w:szCs w:val="18"/>
                <w:highlight w:val="none"/>
              </w:rPr>
            </w:pPr>
            <w:r>
              <w:rPr>
                <w:rFonts w:hint="eastAsia" w:ascii="Arial Narrow" w:hAnsi="Arial Narrow"/>
                <w:snapToGrid w:val="0"/>
                <w:kern w:val="0"/>
                <w:sz w:val="18"/>
                <w:szCs w:val="18"/>
                <w:highlight w:val="none"/>
              </w:rPr>
              <w:t>重庆三峡银行股份有限公司长寿支行</w:t>
            </w:r>
          </w:p>
        </w:tc>
        <w:tc>
          <w:tcPr>
            <w:tcW w:w="1105" w:type="pct"/>
            <w:shd w:val="clear" w:color="auto" w:fill="auto"/>
            <w:vAlign w:val="center"/>
          </w:tcPr>
          <w:p w14:paraId="14BE0691">
            <w:pPr>
              <w:widowControl/>
              <w:adjustRightInd w:val="0"/>
              <w:snapToGrid w:val="0"/>
              <w:spacing w:line="240" w:lineRule="exact"/>
              <w:ind w:right="105"/>
              <w:jc w:val="left"/>
              <w:rPr>
                <w:rFonts w:ascii="Arial Narrow" w:hAnsi="Arial Narrow"/>
                <w:snapToGrid w:val="0"/>
                <w:kern w:val="0"/>
                <w:sz w:val="18"/>
                <w:szCs w:val="18"/>
                <w:highlight w:val="none"/>
              </w:rPr>
            </w:pPr>
            <w:r>
              <w:rPr>
                <w:rFonts w:ascii="Arial Narrow" w:hAnsi="Arial Narrow"/>
                <w:snapToGrid w:val="0"/>
                <w:kern w:val="0"/>
                <w:sz w:val="18"/>
                <w:szCs w:val="18"/>
                <w:highlight w:val="none"/>
              </w:rPr>
              <w:t>0153016820000020</w:t>
            </w:r>
          </w:p>
        </w:tc>
        <w:tc>
          <w:tcPr>
            <w:tcW w:w="928" w:type="pct"/>
            <w:shd w:val="clear" w:color="auto" w:fill="auto"/>
            <w:vAlign w:val="center"/>
          </w:tcPr>
          <w:p w14:paraId="7C098520">
            <w:pPr>
              <w:widowControl/>
              <w:adjustRightInd w:val="0"/>
              <w:snapToGrid w:val="0"/>
              <w:spacing w:line="240" w:lineRule="exact"/>
              <w:ind w:right="105"/>
              <w:jc w:val="center"/>
              <w:rPr>
                <w:rFonts w:ascii="Arial Narrow" w:hAnsi="Arial Narrow"/>
                <w:snapToGrid w:val="0"/>
                <w:kern w:val="0"/>
                <w:sz w:val="18"/>
                <w:szCs w:val="18"/>
                <w:highlight w:val="none"/>
              </w:rPr>
            </w:pPr>
            <w:r>
              <w:rPr>
                <w:rFonts w:ascii="Arial Narrow" w:hAnsi="Arial Narrow"/>
                <w:snapToGrid w:val="0"/>
                <w:kern w:val="0"/>
                <w:sz w:val="18"/>
                <w:szCs w:val="18"/>
                <w:highlight w:val="none"/>
              </w:rPr>
              <w:t>2022</w:t>
            </w:r>
            <w:r>
              <w:rPr>
                <w:rFonts w:hint="eastAsia" w:ascii="Arial Narrow" w:hAnsi="Arial Narrow"/>
                <w:snapToGrid w:val="0"/>
                <w:kern w:val="0"/>
                <w:sz w:val="18"/>
                <w:szCs w:val="18"/>
                <w:highlight w:val="none"/>
              </w:rPr>
              <w:t>年4月1</w:t>
            </w:r>
            <w:r>
              <w:rPr>
                <w:rFonts w:ascii="Arial Narrow" w:hAnsi="Arial Narrow"/>
                <w:snapToGrid w:val="0"/>
                <w:kern w:val="0"/>
                <w:sz w:val="18"/>
                <w:szCs w:val="18"/>
                <w:highlight w:val="none"/>
              </w:rPr>
              <w:t>8</w:t>
            </w:r>
            <w:r>
              <w:rPr>
                <w:rFonts w:hint="eastAsia" w:ascii="Arial Narrow" w:hAnsi="Arial Narrow"/>
                <w:snapToGrid w:val="0"/>
                <w:kern w:val="0"/>
                <w:sz w:val="18"/>
                <w:szCs w:val="18"/>
                <w:highlight w:val="none"/>
              </w:rPr>
              <w:t>日</w:t>
            </w:r>
          </w:p>
        </w:tc>
        <w:tc>
          <w:tcPr>
            <w:tcW w:w="641" w:type="pct"/>
            <w:shd w:val="clear" w:color="auto" w:fill="auto"/>
            <w:vAlign w:val="center"/>
          </w:tcPr>
          <w:p w14:paraId="602D2A0B">
            <w:pPr>
              <w:widowControl/>
              <w:adjustRightInd w:val="0"/>
              <w:snapToGrid w:val="0"/>
              <w:spacing w:line="240" w:lineRule="exact"/>
              <w:jc w:val="center"/>
              <w:rPr>
                <w:rFonts w:ascii="Arial Narrow" w:hAnsi="Arial Narrow"/>
                <w:snapToGrid w:val="0"/>
                <w:kern w:val="0"/>
                <w:sz w:val="18"/>
                <w:szCs w:val="18"/>
                <w:highlight w:val="none"/>
              </w:rPr>
            </w:pPr>
            <w:r>
              <w:rPr>
                <w:rFonts w:hint="eastAsia" w:ascii="Arial Narrow" w:hAnsi="Arial Narrow"/>
                <w:snapToGrid w:val="0"/>
                <w:kern w:val="0"/>
                <w:sz w:val="18"/>
                <w:szCs w:val="18"/>
                <w:highlight w:val="none"/>
              </w:rPr>
              <w:t>现存有效</w:t>
            </w:r>
          </w:p>
        </w:tc>
      </w:tr>
      <w:tr w14:paraId="2307A3A6">
        <w:trPr>
          <w:cantSplit/>
          <w:trHeight w:val="340" w:hRule="atLeast"/>
        </w:trPr>
        <w:tc>
          <w:tcPr>
            <w:tcW w:w="1279" w:type="pct"/>
            <w:shd w:val="clear" w:color="auto" w:fill="auto"/>
            <w:vAlign w:val="center"/>
          </w:tcPr>
          <w:p w14:paraId="476A6E1B">
            <w:pPr>
              <w:widowControl/>
              <w:adjustRightInd w:val="0"/>
              <w:snapToGrid w:val="0"/>
              <w:spacing w:line="240" w:lineRule="exact"/>
              <w:jc w:val="left"/>
              <w:rPr>
                <w:rFonts w:ascii="Arial Narrow" w:hAnsi="Arial Narrow"/>
                <w:snapToGrid w:val="0"/>
                <w:kern w:val="0"/>
                <w:sz w:val="18"/>
                <w:szCs w:val="18"/>
                <w:highlight w:val="none"/>
              </w:rPr>
            </w:pPr>
            <w:r>
              <w:rPr>
                <w:rFonts w:hint="eastAsia" w:ascii="Arial Narrow" w:hAnsi="Arial Narrow"/>
                <w:snapToGrid w:val="0"/>
                <w:kern w:val="0"/>
                <w:sz w:val="18"/>
                <w:szCs w:val="18"/>
                <w:highlight w:val="none"/>
              </w:rPr>
              <w:t>研发中心及信息化建设项目</w:t>
            </w:r>
          </w:p>
        </w:tc>
        <w:tc>
          <w:tcPr>
            <w:tcW w:w="1046" w:type="pct"/>
            <w:shd w:val="clear" w:color="auto" w:fill="auto"/>
            <w:vAlign w:val="center"/>
          </w:tcPr>
          <w:p w14:paraId="702C19D1">
            <w:pPr>
              <w:widowControl/>
              <w:adjustRightInd w:val="0"/>
              <w:snapToGrid w:val="0"/>
              <w:spacing w:line="240" w:lineRule="exact"/>
              <w:jc w:val="left"/>
              <w:rPr>
                <w:rFonts w:ascii="Arial Narrow" w:hAnsi="Arial Narrow"/>
                <w:snapToGrid w:val="0"/>
                <w:kern w:val="0"/>
                <w:sz w:val="18"/>
                <w:szCs w:val="18"/>
                <w:highlight w:val="none"/>
              </w:rPr>
            </w:pPr>
            <w:r>
              <w:rPr>
                <w:rFonts w:hint="eastAsia" w:ascii="Arial Narrow" w:hAnsi="Arial Narrow"/>
                <w:snapToGrid w:val="0"/>
                <w:kern w:val="0"/>
                <w:sz w:val="18"/>
                <w:szCs w:val="18"/>
                <w:highlight w:val="none"/>
              </w:rPr>
              <w:t>浦发银行重庆长寿支行</w:t>
            </w:r>
          </w:p>
        </w:tc>
        <w:tc>
          <w:tcPr>
            <w:tcW w:w="1105" w:type="pct"/>
            <w:shd w:val="clear" w:color="auto" w:fill="auto"/>
            <w:vAlign w:val="center"/>
          </w:tcPr>
          <w:p w14:paraId="3F71B47A">
            <w:pPr>
              <w:widowControl/>
              <w:adjustRightInd w:val="0"/>
              <w:snapToGrid w:val="0"/>
              <w:spacing w:line="240" w:lineRule="exact"/>
              <w:ind w:right="105"/>
              <w:jc w:val="left"/>
              <w:rPr>
                <w:rFonts w:ascii="Arial Narrow" w:hAnsi="Arial Narrow"/>
                <w:snapToGrid w:val="0"/>
                <w:kern w:val="0"/>
                <w:sz w:val="18"/>
                <w:szCs w:val="18"/>
                <w:highlight w:val="none"/>
              </w:rPr>
            </w:pPr>
            <w:r>
              <w:rPr>
                <w:rFonts w:ascii="Arial Narrow" w:hAnsi="Arial Narrow"/>
                <w:snapToGrid w:val="0"/>
                <w:kern w:val="0"/>
                <w:sz w:val="18"/>
                <w:szCs w:val="18"/>
                <w:highlight w:val="none"/>
              </w:rPr>
              <w:t>83260078801700000608</w:t>
            </w:r>
          </w:p>
        </w:tc>
        <w:tc>
          <w:tcPr>
            <w:tcW w:w="928" w:type="pct"/>
            <w:shd w:val="clear" w:color="auto" w:fill="auto"/>
            <w:vAlign w:val="center"/>
          </w:tcPr>
          <w:p w14:paraId="70F5144B">
            <w:pPr>
              <w:widowControl/>
              <w:adjustRightInd w:val="0"/>
              <w:snapToGrid w:val="0"/>
              <w:spacing w:line="240" w:lineRule="exact"/>
              <w:ind w:right="105"/>
              <w:jc w:val="center"/>
              <w:rPr>
                <w:rFonts w:ascii="Arial Narrow" w:hAnsi="Arial Narrow"/>
                <w:snapToGrid w:val="0"/>
                <w:kern w:val="0"/>
                <w:sz w:val="18"/>
                <w:szCs w:val="18"/>
                <w:highlight w:val="none"/>
              </w:rPr>
            </w:pPr>
            <w:r>
              <w:rPr>
                <w:rFonts w:ascii="Arial Narrow" w:hAnsi="Arial Narrow"/>
                <w:snapToGrid w:val="0"/>
                <w:kern w:val="0"/>
                <w:sz w:val="18"/>
                <w:szCs w:val="18"/>
                <w:highlight w:val="none"/>
              </w:rPr>
              <w:t>2022</w:t>
            </w:r>
            <w:r>
              <w:rPr>
                <w:rFonts w:hint="eastAsia" w:ascii="Arial Narrow" w:hAnsi="Arial Narrow"/>
                <w:snapToGrid w:val="0"/>
                <w:kern w:val="0"/>
                <w:sz w:val="18"/>
                <w:szCs w:val="18"/>
                <w:highlight w:val="none"/>
              </w:rPr>
              <w:t>年4月1</w:t>
            </w:r>
            <w:r>
              <w:rPr>
                <w:rFonts w:ascii="Arial Narrow" w:hAnsi="Arial Narrow"/>
                <w:snapToGrid w:val="0"/>
                <w:kern w:val="0"/>
                <w:sz w:val="18"/>
                <w:szCs w:val="18"/>
                <w:highlight w:val="none"/>
              </w:rPr>
              <w:t>8</w:t>
            </w:r>
            <w:r>
              <w:rPr>
                <w:rFonts w:hint="eastAsia" w:ascii="Arial Narrow" w:hAnsi="Arial Narrow"/>
                <w:snapToGrid w:val="0"/>
                <w:kern w:val="0"/>
                <w:sz w:val="18"/>
                <w:szCs w:val="18"/>
                <w:highlight w:val="none"/>
              </w:rPr>
              <w:t>日</w:t>
            </w:r>
          </w:p>
        </w:tc>
        <w:tc>
          <w:tcPr>
            <w:tcW w:w="641" w:type="pct"/>
            <w:shd w:val="clear" w:color="auto" w:fill="auto"/>
            <w:vAlign w:val="center"/>
          </w:tcPr>
          <w:p w14:paraId="68248131">
            <w:pPr>
              <w:widowControl/>
              <w:adjustRightInd w:val="0"/>
              <w:snapToGrid w:val="0"/>
              <w:spacing w:line="240" w:lineRule="exact"/>
              <w:jc w:val="center"/>
              <w:rPr>
                <w:rFonts w:ascii="Arial Narrow" w:hAnsi="Arial Narrow"/>
                <w:snapToGrid w:val="0"/>
                <w:kern w:val="0"/>
                <w:sz w:val="18"/>
                <w:szCs w:val="18"/>
                <w:highlight w:val="none"/>
              </w:rPr>
            </w:pPr>
            <w:r>
              <w:rPr>
                <w:rFonts w:hint="eastAsia" w:ascii="Arial Narrow" w:hAnsi="Arial Narrow"/>
                <w:snapToGrid w:val="0"/>
                <w:kern w:val="0"/>
                <w:sz w:val="18"/>
                <w:szCs w:val="18"/>
                <w:highlight w:val="none"/>
              </w:rPr>
              <w:t>现存有效</w:t>
            </w:r>
          </w:p>
        </w:tc>
      </w:tr>
      <w:tr w14:paraId="64DC2F74">
        <w:trPr>
          <w:cantSplit/>
          <w:trHeight w:val="340" w:hRule="atLeast"/>
        </w:trPr>
        <w:tc>
          <w:tcPr>
            <w:tcW w:w="1279" w:type="pct"/>
            <w:shd w:val="clear" w:color="auto" w:fill="auto"/>
            <w:vAlign w:val="center"/>
          </w:tcPr>
          <w:p w14:paraId="6C3A2D61">
            <w:pPr>
              <w:widowControl/>
              <w:adjustRightInd w:val="0"/>
              <w:snapToGrid w:val="0"/>
              <w:spacing w:line="240" w:lineRule="exact"/>
              <w:jc w:val="left"/>
              <w:rPr>
                <w:rFonts w:ascii="Arial Narrow" w:hAnsi="Arial Narrow"/>
                <w:snapToGrid w:val="0"/>
                <w:kern w:val="0"/>
                <w:sz w:val="18"/>
                <w:szCs w:val="18"/>
                <w:highlight w:val="none"/>
              </w:rPr>
            </w:pPr>
            <w:r>
              <w:rPr>
                <w:rFonts w:hint="eastAsia" w:ascii="Arial Narrow" w:hAnsi="Arial Narrow"/>
                <w:snapToGrid w:val="0"/>
                <w:kern w:val="0"/>
                <w:sz w:val="18"/>
                <w:szCs w:val="18"/>
                <w:highlight w:val="none"/>
              </w:rPr>
              <w:t>补充流动资金</w:t>
            </w:r>
          </w:p>
        </w:tc>
        <w:tc>
          <w:tcPr>
            <w:tcW w:w="1046" w:type="pct"/>
            <w:shd w:val="clear" w:color="auto" w:fill="auto"/>
            <w:vAlign w:val="center"/>
          </w:tcPr>
          <w:p w14:paraId="1E7508C7">
            <w:pPr>
              <w:widowControl/>
              <w:adjustRightInd w:val="0"/>
              <w:snapToGrid w:val="0"/>
              <w:spacing w:line="240" w:lineRule="exact"/>
              <w:jc w:val="left"/>
              <w:rPr>
                <w:rFonts w:ascii="Arial Narrow" w:hAnsi="Arial Narrow"/>
                <w:snapToGrid w:val="0"/>
                <w:kern w:val="0"/>
                <w:sz w:val="18"/>
                <w:szCs w:val="18"/>
                <w:highlight w:val="none"/>
              </w:rPr>
            </w:pPr>
            <w:r>
              <w:rPr>
                <w:rFonts w:hint="eastAsia" w:ascii="Arial Narrow" w:hAnsi="Arial Narrow"/>
                <w:snapToGrid w:val="0"/>
                <w:kern w:val="0"/>
                <w:sz w:val="18"/>
                <w:szCs w:val="18"/>
                <w:highlight w:val="none"/>
              </w:rPr>
              <w:t>中国农业银行股份有限公司重庆长寿支行</w:t>
            </w:r>
          </w:p>
        </w:tc>
        <w:tc>
          <w:tcPr>
            <w:tcW w:w="1105" w:type="pct"/>
            <w:shd w:val="clear" w:color="auto" w:fill="auto"/>
            <w:vAlign w:val="center"/>
          </w:tcPr>
          <w:p w14:paraId="417F0240">
            <w:pPr>
              <w:widowControl/>
              <w:adjustRightInd w:val="0"/>
              <w:snapToGrid w:val="0"/>
              <w:spacing w:line="240" w:lineRule="exact"/>
              <w:ind w:right="105"/>
              <w:jc w:val="left"/>
              <w:rPr>
                <w:rFonts w:ascii="Arial Narrow" w:hAnsi="Arial Narrow"/>
                <w:snapToGrid w:val="0"/>
                <w:kern w:val="0"/>
                <w:sz w:val="18"/>
                <w:szCs w:val="18"/>
                <w:highlight w:val="none"/>
              </w:rPr>
            </w:pPr>
            <w:r>
              <w:rPr>
                <w:rFonts w:ascii="Arial Narrow" w:hAnsi="Arial Narrow"/>
                <w:snapToGrid w:val="0"/>
                <w:kern w:val="0"/>
                <w:sz w:val="18"/>
                <w:szCs w:val="18"/>
                <w:highlight w:val="none"/>
              </w:rPr>
              <w:t>31130101040017435</w:t>
            </w:r>
          </w:p>
        </w:tc>
        <w:tc>
          <w:tcPr>
            <w:tcW w:w="928" w:type="pct"/>
            <w:shd w:val="clear" w:color="auto" w:fill="auto"/>
            <w:vAlign w:val="center"/>
          </w:tcPr>
          <w:p w14:paraId="432A48B9">
            <w:pPr>
              <w:widowControl/>
              <w:adjustRightInd w:val="0"/>
              <w:snapToGrid w:val="0"/>
              <w:spacing w:line="240" w:lineRule="exact"/>
              <w:ind w:right="105"/>
              <w:jc w:val="center"/>
              <w:rPr>
                <w:rFonts w:ascii="Arial Narrow" w:hAnsi="Arial Narrow"/>
                <w:snapToGrid w:val="0"/>
                <w:kern w:val="0"/>
                <w:sz w:val="18"/>
                <w:szCs w:val="18"/>
                <w:highlight w:val="none"/>
              </w:rPr>
            </w:pPr>
            <w:r>
              <w:rPr>
                <w:rFonts w:ascii="Arial Narrow" w:hAnsi="Arial Narrow"/>
                <w:snapToGrid w:val="0"/>
                <w:kern w:val="0"/>
                <w:sz w:val="18"/>
                <w:szCs w:val="18"/>
                <w:highlight w:val="none"/>
              </w:rPr>
              <w:t>2022</w:t>
            </w:r>
            <w:r>
              <w:rPr>
                <w:rFonts w:hint="eastAsia" w:ascii="Arial Narrow" w:hAnsi="Arial Narrow"/>
                <w:snapToGrid w:val="0"/>
                <w:kern w:val="0"/>
                <w:sz w:val="18"/>
                <w:szCs w:val="18"/>
                <w:highlight w:val="none"/>
              </w:rPr>
              <w:t>年4月1</w:t>
            </w:r>
            <w:r>
              <w:rPr>
                <w:rFonts w:ascii="Arial Narrow" w:hAnsi="Arial Narrow"/>
                <w:snapToGrid w:val="0"/>
                <w:kern w:val="0"/>
                <w:sz w:val="18"/>
                <w:szCs w:val="18"/>
                <w:highlight w:val="none"/>
              </w:rPr>
              <w:t>8</w:t>
            </w:r>
            <w:r>
              <w:rPr>
                <w:rFonts w:hint="eastAsia" w:ascii="Arial Narrow" w:hAnsi="Arial Narrow"/>
                <w:snapToGrid w:val="0"/>
                <w:kern w:val="0"/>
                <w:sz w:val="18"/>
                <w:szCs w:val="18"/>
                <w:highlight w:val="none"/>
              </w:rPr>
              <w:t>日</w:t>
            </w:r>
          </w:p>
        </w:tc>
        <w:tc>
          <w:tcPr>
            <w:tcW w:w="641" w:type="pct"/>
            <w:shd w:val="clear" w:color="auto" w:fill="auto"/>
            <w:vAlign w:val="center"/>
          </w:tcPr>
          <w:p w14:paraId="3CE81443">
            <w:pPr>
              <w:widowControl/>
              <w:adjustRightInd w:val="0"/>
              <w:snapToGrid w:val="0"/>
              <w:spacing w:line="240" w:lineRule="exact"/>
              <w:jc w:val="center"/>
              <w:rPr>
                <w:rFonts w:ascii="Arial Narrow" w:hAnsi="Arial Narrow"/>
                <w:snapToGrid w:val="0"/>
                <w:kern w:val="0"/>
                <w:sz w:val="18"/>
                <w:szCs w:val="18"/>
                <w:highlight w:val="none"/>
              </w:rPr>
            </w:pPr>
            <w:r>
              <w:rPr>
                <w:rFonts w:hint="eastAsia" w:ascii="Arial Narrow" w:hAnsi="Arial Narrow"/>
                <w:snapToGrid w:val="0"/>
                <w:kern w:val="0"/>
                <w:sz w:val="18"/>
                <w:szCs w:val="18"/>
                <w:highlight w:val="none"/>
              </w:rPr>
              <w:t>账户已注销</w:t>
            </w:r>
          </w:p>
        </w:tc>
      </w:tr>
      <w:tr w14:paraId="2C75EF4E">
        <w:trPr>
          <w:cantSplit/>
          <w:trHeight w:val="340" w:hRule="atLeast"/>
        </w:trPr>
        <w:tc>
          <w:tcPr>
            <w:tcW w:w="1279" w:type="pct"/>
            <w:shd w:val="clear" w:color="auto" w:fill="auto"/>
            <w:vAlign w:val="center"/>
          </w:tcPr>
          <w:p w14:paraId="14C57E67">
            <w:pPr>
              <w:widowControl/>
              <w:adjustRightInd w:val="0"/>
              <w:snapToGrid w:val="0"/>
              <w:spacing w:line="240" w:lineRule="exact"/>
              <w:jc w:val="left"/>
              <w:rPr>
                <w:rFonts w:ascii="Arial Narrow" w:hAnsi="Arial Narrow"/>
                <w:snapToGrid w:val="0"/>
                <w:kern w:val="0"/>
                <w:sz w:val="18"/>
                <w:szCs w:val="18"/>
                <w:highlight w:val="none"/>
              </w:rPr>
            </w:pPr>
            <w:r>
              <w:rPr>
                <w:rFonts w:hint="eastAsia" w:ascii="Arial Narrow" w:hAnsi="Arial Narrow"/>
                <w:snapToGrid w:val="0"/>
                <w:kern w:val="0"/>
                <w:sz w:val="18"/>
                <w:szCs w:val="18"/>
                <w:highlight w:val="none"/>
              </w:rPr>
              <w:t>智能成套电气设备产业基地建设项目/智控设备及金属制品智能工厂建设项目（一期）</w:t>
            </w:r>
          </w:p>
        </w:tc>
        <w:tc>
          <w:tcPr>
            <w:tcW w:w="1046" w:type="pct"/>
            <w:shd w:val="clear" w:color="auto" w:fill="auto"/>
            <w:vAlign w:val="center"/>
          </w:tcPr>
          <w:p w14:paraId="439DE028">
            <w:pPr>
              <w:widowControl/>
              <w:adjustRightInd w:val="0"/>
              <w:snapToGrid w:val="0"/>
              <w:spacing w:line="240" w:lineRule="exact"/>
              <w:jc w:val="left"/>
              <w:rPr>
                <w:rFonts w:ascii="Arial Narrow" w:hAnsi="Arial Narrow"/>
                <w:snapToGrid w:val="0"/>
                <w:kern w:val="0"/>
                <w:sz w:val="18"/>
                <w:szCs w:val="18"/>
                <w:highlight w:val="none"/>
              </w:rPr>
            </w:pPr>
            <w:r>
              <w:rPr>
                <w:rFonts w:hint="eastAsia" w:ascii="Arial Narrow" w:hAnsi="Arial Narrow"/>
                <w:snapToGrid w:val="0"/>
                <w:kern w:val="0"/>
                <w:sz w:val="18"/>
                <w:szCs w:val="18"/>
                <w:highlight w:val="none"/>
              </w:rPr>
              <w:t>哈尔滨银行股份有限公司重庆分行</w:t>
            </w:r>
          </w:p>
        </w:tc>
        <w:tc>
          <w:tcPr>
            <w:tcW w:w="1105" w:type="pct"/>
            <w:shd w:val="clear" w:color="auto" w:fill="auto"/>
            <w:vAlign w:val="center"/>
          </w:tcPr>
          <w:p w14:paraId="5B20EF82">
            <w:pPr>
              <w:widowControl/>
              <w:adjustRightInd w:val="0"/>
              <w:snapToGrid w:val="0"/>
              <w:spacing w:line="240" w:lineRule="exact"/>
              <w:ind w:right="105"/>
              <w:jc w:val="left"/>
              <w:rPr>
                <w:rFonts w:ascii="Arial Narrow" w:hAnsi="Arial Narrow"/>
                <w:snapToGrid w:val="0"/>
                <w:kern w:val="0"/>
                <w:sz w:val="18"/>
                <w:szCs w:val="18"/>
                <w:highlight w:val="none"/>
              </w:rPr>
            </w:pPr>
            <w:r>
              <w:rPr>
                <w:rFonts w:ascii="Arial Narrow" w:hAnsi="Arial Narrow"/>
                <w:snapToGrid w:val="0"/>
                <w:kern w:val="0"/>
                <w:sz w:val="18"/>
                <w:szCs w:val="18"/>
                <w:highlight w:val="none"/>
              </w:rPr>
              <w:t>18010000001689409</w:t>
            </w:r>
          </w:p>
        </w:tc>
        <w:tc>
          <w:tcPr>
            <w:tcW w:w="928" w:type="pct"/>
            <w:shd w:val="clear" w:color="auto" w:fill="auto"/>
            <w:vAlign w:val="center"/>
          </w:tcPr>
          <w:p w14:paraId="2C4522E3">
            <w:pPr>
              <w:widowControl/>
              <w:adjustRightInd w:val="0"/>
              <w:snapToGrid w:val="0"/>
              <w:spacing w:line="240" w:lineRule="exact"/>
              <w:ind w:right="105"/>
              <w:jc w:val="center"/>
              <w:rPr>
                <w:rFonts w:ascii="Arial Narrow" w:hAnsi="Arial Narrow"/>
                <w:snapToGrid w:val="0"/>
                <w:kern w:val="0"/>
                <w:sz w:val="18"/>
                <w:szCs w:val="18"/>
                <w:highlight w:val="none"/>
              </w:rPr>
            </w:pPr>
            <w:r>
              <w:rPr>
                <w:rFonts w:ascii="Arial Narrow" w:hAnsi="Arial Narrow"/>
                <w:snapToGrid w:val="0"/>
                <w:kern w:val="0"/>
                <w:sz w:val="18"/>
                <w:szCs w:val="18"/>
                <w:highlight w:val="none"/>
              </w:rPr>
              <w:t>2022</w:t>
            </w:r>
            <w:r>
              <w:rPr>
                <w:rFonts w:hint="eastAsia" w:ascii="Arial Narrow" w:hAnsi="Arial Narrow"/>
                <w:snapToGrid w:val="0"/>
                <w:kern w:val="0"/>
                <w:sz w:val="18"/>
                <w:szCs w:val="18"/>
                <w:highlight w:val="none"/>
              </w:rPr>
              <w:t>年</w:t>
            </w:r>
            <w:r>
              <w:rPr>
                <w:rFonts w:ascii="Arial Narrow" w:hAnsi="Arial Narrow"/>
                <w:snapToGrid w:val="0"/>
                <w:kern w:val="0"/>
                <w:sz w:val="18"/>
                <w:szCs w:val="18"/>
                <w:highlight w:val="none"/>
              </w:rPr>
              <w:t>7</w:t>
            </w:r>
            <w:r>
              <w:rPr>
                <w:rFonts w:hint="eastAsia" w:ascii="Arial Narrow" w:hAnsi="Arial Narrow"/>
                <w:snapToGrid w:val="0"/>
                <w:kern w:val="0"/>
                <w:sz w:val="18"/>
                <w:szCs w:val="18"/>
                <w:highlight w:val="none"/>
              </w:rPr>
              <w:t>月</w:t>
            </w:r>
            <w:r>
              <w:rPr>
                <w:rFonts w:ascii="Arial Narrow" w:hAnsi="Arial Narrow"/>
                <w:snapToGrid w:val="0"/>
                <w:kern w:val="0"/>
                <w:sz w:val="18"/>
                <w:szCs w:val="18"/>
                <w:highlight w:val="none"/>
              </w:rPr>
              <w:t>3</w:t>
            </w:r>
            <w:r>
              <w:rPr>
                <w:rFonts w:hint="eastAsia" w:ascii="Arial Narrow" w:hAnsi="Arial Narrow"/>
                <w:snapToGrid w:val="0"/>
                <w:kern w:val="0"/>
                <w:sz w:val="18"/>
                <w:szCs w:val="18"/>
                <w:highlight w:val="none"/>
              </w:rPr>
              <w:t>日</w:t>
            </w:r>
          </w:p>
        </w:tc>
        <w:tc>
          <w:tcPr>
            <w:tcW w:w="641" w:type="pct"/>
            <w:shd w:val="clear" w:color="auto" w:fill="auto"/>
            <w:vAlign w:val="center"/>
          </w:tcPr>
          <w:p w14:paraId="25844AE3">
            <w:pPr>
              <w:widowControl/>
              <w:adjustRightInd w:val="0"/>
              <w:snapToGrid w:val="0"/>
              <w:spacing w:line="240" w:lineRule="exact"/>
              <w:jc w:val="center"/>
              <w:rPr>
                <w:rFonts w:ascii="Arial Narrow" w:hAnsi="Arial Narrow"/>
                <w:snapToGrid w:val="0"/>
                <w:kern w:val="0"/>
                <w:sz w:val="18"/>
                <w:szCs w:val="18"/>
                <w:highlight w:val="none"/>
              </w:rPr>
            </w:pPr>
            <w:r>
              <w:rPr>
                <w:rFonts w:hint="eastAsia" w:ascii="Arial Narrow" w:hAnsi="Arial Narrow"/>
                <w:snapToGrid w:val="0"/>
                <w:kern w:val="0"/>
                <w:sz w:val="18"/>
                <w:szCs w:val="18"/>
                <w:highlight w:val="none"/>
              </w:rPr>
              <w:t>现存有效</w:t>
            </w:r>
          </w:p>
        </w:tc>
      </w:tr>
    </w:tbl>
    <w:p w14:paraId="04F859E8">
      <w:pPr>
        <w:widowControl/>
        <w:spacing w:before="120" w:beforeLines="50" w:line="360" w:lineRule="auto"/>
        <w:ind w:firstLine="420" w:firstLineChars="200"/>
        <w:outlineLvl w:val="1"/>
        <w:rPr>
          <w:rFonts w:hint="eastAsia" w:ascii="宋体" w:hAnsi="宋体"/>
          <w:kern w:val="0"/>
          <w:szCs w:val="21"/>
          <w:highlight w:val="none"/>
        </w:rPr>
      </w:pPr>
      <w:r>
        <w:rPr>
          <w:rFonts w:hint="eastAsia" w:ascii="宋体" w:hAnsi="宋体"/>
          <w:kern w:val="0"/>
          <w:szCs w:val="21"/>
          <w:highlight w:val="none"/>
        </w:rPr>
        <w:t>公司为进一步提高募集资金使用效率，公司于2022年6月22日对在招商银行股份有限公司重庆长寿支行开立的募集资金专用账户予以注销，并在哈尔滨银行股份有限公司重庆分行开设了新的募集资金专用账户，该事项于2022年6月15日召开的第三届董事会第十二次会议和第三届监事会第十次会议中分别审议予以通过。</w:t>
      </w:r>
    </w:p>
    <w:p w14:paraId="2E3CF7C9">
      <w:pPr>
        <w:widowControl/>
        <w:spacing w:line="360" w:lineRule="auto"/>
        <w:ind w:firstLine="420" w:firstLineChars="200"/>
        <w:rPr>
          <w:rFonts w:hint="eastAsia" w:ascii="宋体" w:hAnsi="宋体"/>
          <w:kern w:val="0"/>
          <w:szCs w:val="21"/>
          <w:highlight w:val="none"/>
        </w:rPr>
      </w:pPr>
      <w:r>
        <w:rPr>
          <w:rFonts w:hint="eastAsia" w:ascii="宋体" w:hAnsi="宋体"/>
          <w:kern w:val="0"/>
          <w:szCs w:val="21"/>
          <w:highlight w:val="none"/>
        </w:rPr>
        <w:t>变更详情见下表：</w:t>
      </w:r>
    </w:p>
    <w:tbl>
      <w:tblPr>
        <w:tblStyle w:val="12"/>
        <w:tblW w:w="5000" w:type="pct"/>
        <w:tblInd w:w="0" w:type="dxa"/>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Layout w:type="autofit"/>
        <w:tblCellMar>
          <w:top w:w="0" w:type="dxa"/>
          <w:left w:w="45" w:type="dxa"/>
          <w:bottom w:w="0" w:type="dxa"/>
          <w:right w:w="45" w:type="dxa"/>
        </w:tblCellMar>
      </w:tblPr>
      <w:tblGrid>
        <w:gridCol w:w="2097"/>
        <w:gridCol w:w="3388"/>
        <w:gridCol w:w="3297"/>
      </w:tblGrid>
      <w:tr w14:paraId="6B4232E2">
        <w:trPr>
          <w:trHeight w:val="340" w:hRule="atLeast"/>
          <w:tblHeader/>
        </w:trPr>
        <w:tc>
          <w:tcPr>
            <w:tcW w:w="1194" w:type="pct"/>
            <w:shd w:val="clear" w:color="auto" w:fill="auto"/>
            <w:vAlign w:val="center"/>
          </w:tcPr>
          <w:p w14:paraId="10653E04">
            <w:pPr>
              <w:widowControl/>
              <w:adjustRightInd w:val="0"/>
              <w:snapToGrid w:val="0"/>
              <w:spacing w:line="240" w:lineRule="exact"/>
              <w:jc w:val="center"/>
              <w:rPr>
                <w:rFonts w:ascii="Arial Narrow" w:hAnsi="Arial Narrow"/>
                <w:snapToGrid w:val="0"/>
                <w:kern w:val="0"/>
                <w:sz w:val="18"/>
                <w:szCs w:val="18"/>
                <w:highlight w:val="none"/>
              </w:rPr>
            </w:pPr>
            <w:r>
              <w:rPr>
                <w:rFonts w:hint="eastAsia" w:ascii="Arial Narrow" w:hAnsi="Arial Narrow"/>
                <w:snapToGrid w:val="0"/>
                <w:kern w:val="0"/>
                <w:sz w:val="18"/>
                <w:szCs w:val="18"/>
                <w:highlight w:val="none"/>
              </w:rPr>
              <w:t>项目名称</w:t>
            </w:r>
          </w:p>
        </w:tc>
        <w:tc>
          <w:tcPr>
            <w:tcW w:w="1929" w:type="pct"/>
            <w:shd w:val="clear" w:color="auto" w:fill="auto"/>
            <w:vAlign w:val="center"/>
          </w:tcPr>
          <w:p w14:paraId="40C41FAA">
            <w:pPr>
              <w:widowControl/>
              <w:adjustRightInd w:val="0"/>
              <w:snapToGrid w:val="0"/>
              <w:spacing w:line="240" w:lineRule="exact"/>
              <w:jc w:val="center"/>
              <w:rPr>
                <w:rFonts w:ascii="Arial Narrow" w:hAnsi="Arial Narrow"/>
                <w:snapToGrid w:val="0"/>
                <w:kern w:val="0"/>
                <w:sz w:val="18"/>
                <w:szCs w:val="18"/>
                <w:highlight w:val="none"/>
              </w:rPr>
            </w:pPr>
            <w:r>
              <w:rPr>
                <w:rFonts w:hint="eastAsia" w:ascii="Arial Narrow" w:hAnsi="Arial Narrow"/>
                <w:snapToGrid w:val="0"/>
                <w:kern w:val="0"/>
                <w:sz w:val="18"/>
                <w:szCs w:val="18"/>
                <w:highlight w:val="none"/>
              </w:rPr>
              <w:t>变更前</w:t>
            </w:r>
          </w:p>
        </w:tc>
        <w:tc>
          <w:tcPr>
            <w:tcW w:w="1877" w:type="pct"/>
            <w:shd w:val="clear" w:color="auto" w:fill="auto"/>
            <w:vAlign w:val="center"/>
          </w:tcPr>
          <w:p w14:paraId="2EFAB21F">
            <w:pPr>
              <w:widowControl/>
              <w:adjustRightInd w:val="0"/>
              <w:snapToGrid w:val="0"/>
              <w:spacing w:line="240" w:lineRule="exact"/>
              <w:jc w:val="center"/>
              <w:rPr>
                <w:rFonts w:ascii="Arial Narrow" w:hAnsi="Arial Narrow"/>
                <w:snapToGrid w:val="0"/>
                <w:kern w:val="0"/>
                <w:sz w:val="18"/>
                <w:szCs w:val="18"/>
                <w:highlight w:val="none"/>
              </w:rPr>
            </w:pPr>
            <w:r>
              <w:rPr>
                <w:rFonts w:hint="eastAsia" w:ascii="Arial Narrow" w:hAnsi="Arial Narrow"/>
                <w:snapToGrid w:val="0"/>
                <w:kern w:val="0"/>
                <w:sz w:val="18"/>
                <w:szCs w:val="18"/>
                <w:highlight w:val="none"/>
              </w:rPr>
              <w:t>变更后</w:t>
            </w:r>
          </w:p>
        </w:tc>
      </w:tr>
      <w:tr w14:paraId="0AF3BD39">
        <w:trPr>
          <w:cantSplit/>
          <w:trHeight w:val="340" w:hRule="atLeast"/>
        </w:trPr>
        <w:tc>
          <w:tcPr>
            <w:tcW w:w="1194" w:type="pct"/>
            <w:vMerge w:val="restart"/>
            <w:shd w:val="clear" w:color="auto" w:fill="auto"/>
            <w:vAlign w:val="center"/>
          </w:tcPr>
          <w:p w14:paraId="674C006F">
            <w:pPr>
              <w:widowControl/>
              <w:adjustRightInd w:val="0"/>
              <w:snapToGrid w:val="0"/>
              <w:spacing w:line="240" w:lineRule="exact"/>
              <w:jc w:val="left"/>
              <w:rPr>
                <w:rFonts w:ascii="Arial Narrow" w:hAnsi="Arial Narrow"/>
                <w:snapToGrid w:val="0"/>
                <w:kern w:val="0"/>
                <w:sz w:val="18"/>
                <w:szCs w:val="18"/>
                <w:highlight w:val="none"/>
              </w:rPr>
            </w:pPr>
            <w:r>
              <w:rPr>
                <w:rFonts w:hint="eastAsia" w:ascii="Arial Narrow" w:hAnsi="Arial Narrow"/>
                <w:snapToGrid w:val="0"/>
                <w:kern w:val="0"/>
                <w:sz w:val="18"/>
                <w:szCs w:val="18"/>
                <w:highlight w:val="none"/>
              </w:rPr>
              <w:t>智能成套电气设备产业基地建设项目</w:t>
            </w:r>
          </w:p>
        </w:tc>
        <w:tc>
          <w:tcPr>
            <w:tcW w:w="1929" w:type="pct"/>
            <w:shd w:val="clear" w:color="auto" w:fill="auto"/>
            <w:vAlign w:val="center"/>
          </w:tcPr>
          <w:p w14:paraId="61AD4492">
            <w:pPr>
              <w:widowControl/>
              <w:adjustRightInd w:val="0"/>
              <w:snapToGrid w:val="0"/>
              <w:spacing w:line="240" w:lineRule="exact"/>
              <w:ind w:right="105"/>
              <w:jc w:val="left"/>
              <w:rPr>
                <w:rFonts w:ascii="Arial Narrow" w:hAnsi="Arial Narrow"/>
                <w:snapToGrid w:val="0"/>
                <w:kern w:val="0"/>
                <w:sz w:val="18"/>
                <w:szCs w:val="18"/>
                <w:highlight w:val="none"/>
              </w:rPr>
            </w:pPr>
            <w:r>
              <w:rPr>
                <w:rFonts w:hint="eastAsia" w:ascii="Arial Narrow" w:hAnsi="Arial Narrow"/>
                <w:snapToGrid w:val="0"/>
                <w:kern w:val="0"/>
                <w:sz w:val="18"/>
                <w:szCs w:val="18"/>
                <w:highlight w:val="none"/>
              </w:rPr>
              <w:t>招商银行股份有限公司重庆长寿支行</w:t>
            </w:r>
          </w:p>
        </w:tc>
        <w:tc>
          <w:tcPr>
            <w:tcW w:w="1877" w:type="pct"/>
            <w:shd w:val="clear" w:color="auto" w:fill="auto"/>
            <w:vAlign w:val="center"/>
          </w:tcPr>
          <w:p w14:paraId="5CA04DE2">
            <w:pPr>
              <w:widowControl/>
              <w:adjustRightInd w:val="0"/>
              <w:snapToGrid w:val="0"/>
              <w:spacing w:line="240" w:lineRule="exact"/>
              <w:jc w:val="left"/>
              <w:rPr>
                <w:rFonts w:ascii="Arial Narrow" w:hAnsi="Arial Narrow"/>
                <w:snapToGrid w:val="0"/>
                <w:kern w:val="0"/>
                <w:sz w:val="18"/>
                <w:szCs w:val="18"/>
                <w:highlight w:val="none"/>
              </w:rPr>
            </w:pPr>
            <w:r>
              <w:rPr>
                <w:rFonts w:hint="eastAsia" w:ascii="Arial Narrow" w:hAnsi="Arial Narrow"/>
                <w:snapToGrid w:val="0"/>
                <w:kern w:val="0"/>
                <w:sz w:val="18"/>
                <w:szCs w:val="18"/>
                <w:highlight w:val="none"/>
              </w:rPr>
              <w:t>哈尔滨银行股份有限公司重庆分行</w:t>
            </w:r>
          </w:p>
        </w:tc>
      </w:tr>
      <w:tr w14:paraId="2CB3F3A6">
        <w:trPr>
          <w:cantSplit/>
          <w:trHeight w:val="340" w:hRule="atLeast"/>
        </w:trPr>
        <w:tc>
          <w:tcPr>
            <w:tcW w:w="1194" w:type="pct"/>
            <w:vMerge w:val="continue"/>
            <w:shd w:val="clear" w:color="auto" w:fill="auto"/>
            <w:vAlign w:val="center"/>
          </w:tcPr>
          <w:p w14:paraId="58A5F4C7">
            <w:pPr>
              <w:widowControl/>
              <w:adjustRightInd w:val="0"/>
              <w:snapToGrid w:val="0"/>
              <w:spacing w:line="240" w:lineRule="exact"/>
              <w:jc w:val="left"/>
              <w:rPr>
                <w:rFonts w:ascii="Arial Narrow" w:hAnsi="Arial Narrow"/>
                <w:snapToGrid w:val="0"/>
                <w:kern w:val="0"/>
                <w:sz w:val="18"/>
                <w:szCs w:val="18"/>
                <w:highlight w:val="none"/>
              </w:rPr>
            </w:pPr>
          </w:p>
        </w:tc>
        <w:tc>
          <w:tcPr>
            <w:tcW w:w="1929" w:type="pct"/>
            <w:shd w:val="clear" w:color="auto" w:fill="auto"/>
            <w:vAlign w:val="center"/>
          </w:tcPr>
          <w:p w14:paraId="20C90FF4">
            <w:pPr>
              <w:widowControl/>
              <w:adjustRightInd w:val="0"/>
              <w:snapToGrid w:val="0"/>
              <w:spacing w:line="240" w:lineRule="exact"/>
              <w:ind w:right="105"/>
              <w:jc w:val="left"/>
              <w:rPr>
                <w:rFonts w:ascii="Arial Narrow" w:hAnsi="Arial Narrow"/>
                <w:snapToGrid w:val="0"/>
                <w:kern w:val="0"/>
                <w:sz w:val="18"/>
                <w:szCs w:val="18"/>
                <w:highlight w:val="none"/>
              </w:rPr>
            </w:pPr>
            <w:r>
              <w:rPr>
                <w:rFonts w:ascii="Arial Narrow" w:hAnsi="Arial Narrow"/>
                <w:snapToGrid w:val="0"/>
                <w:kern w:val="0"/>
                <w:sz w:val="18"/>
                <w:szCs w:val="18"/>
                <w:highlight w:val="none"/>
              </w:rPr>
              <w:t>123905910610303</w:t>
            </w:r>
          </w:p>
        </w:tc>
        <w:tc>
          <w:tcPr>
            <w:tcW w:w="1877" w:type="pct"/>
            <w:shd w:val="clear" w:color="auto" w:fill="auto"/>
            <w:vAlign w:val="center"/>
          </w:tcPr>
          <w:p w14:paraId="7D362A94">
            <w:pPr>
              <w:widowControl/>
              <w:adjustRightInd w:val="0"/>
              <w:snapToGrid w:val="0"/>
              <w:spacing w:line="240" w:lineRule="exact"/>
              <w:jc w:val="left"/>
              <w:rPr>
                <w:rFonts w:ascii="Arial Narrow" w:hAnsi="Arial Narrow"/>
                <w:snapToGrid w:val="0"/>
                <w:kern w:val="0"/>
                <w:sz w:val="18"/>
                <w:szCs w:val="18"/>
                <w:highlight w:val="none"/>
              </w:rPr>
            </w:pPr>
            <w:r>
              <w:rPr>
                <w:rFonts w:ascii="Arial Narrow" w:hAnsi="Arial Narrow"/>
                <w:snapToGrid w:val="0"/>
                <w:kern w:val="0"/>
                <w:sz w:val="18"/>
                <w:szCs w:val="18"/>
                <w:highlight w:val="none"/>
              </w:rPr>
              <w:t>18010000001689409</w:t>
            </w:r>
          </w:p>
        </w:tc>
      </w:tr>
    </w:tbl>
    <w:p w14:paraId="68FA7B21">
      <w:pPr>
        <w:widowControl/>
        <w:spacing w:line="360" w:lineRule="auto"/>
        <w:ind w:firstLine="420" w:firstLineChars="200"/>
        <w:rPr>
          <w:rFonts w:hint="eastAsia" w:ascii="宋体" w:hAnsi="宋体"/>
          <w:kern w:val="0"/>
          <w:szCs w:val="21"/>
          <w:highlight w:val="none"/>
        </w:rPr>
      </w:pPr>
      <w:r>
        <w:rPr>
          <w:rFonts w:hint="eastAsia" w:ascii="宋体" w:hAnsi="宋体"/>
          <w:kern w:val="0"/>
          <w:szCs w:val="21"/>
          <w:highlight w:val="none"/>
        </w:rPr>
        <w:t>截至2024年6月30日止，募集资金的存储情况列示如下：</w:t>
      </w:r>
    </w:p>
    <w:p w14:paraId="212928B4">
      <w:pPr>
        <w:widowControl/>
        <w:spacing w:line="360" w:lineRule="auto"/>
        <w:ind w:firstLine="420" w:firstLineChars="200"/>
        <w:jc w:val="right"/>
        <w:rPr>
          <w:rFonts w:hint="eastAsia" w:ascii="宋体" w:hAnsi="宋体"/>
          <w:kern w:val="0"/>
          <w:szCs w:val="21"/>
          <w:highlight w:val="none"/>
        </w:rPr>
      </w:pPr>
      <w:r>
        <w:rPr>
          <w:rFonts w:hint="eastAsia" w:ascii="宋体" w:hAnsi="宋体"/>
          <w:kern w:val="0"/>
          <w:szCs w:val="21"/>
          <w:highlight w:val="none"/>
        </w:rPr>
        <w:t>金额单位：人民币元</w:t>
      </w:r>
    </w:p>
    <w:tbl>
      <w:tblPr>
        <w:tblStyle w:val="12"/>
        <w:tblW w:w="5000" w:type="pct"/>
        <w:tblInd w:w="0" w:type="dxa"/>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Layout w:type="autofit"/>
        <w:tblCellMar>
          <w:top w:w="0" w:type="dxa"/>
          <w:left w:w="45" w:type="dxa"/>
          <w:bottom w:w="0" w:type="dxa"/>
          <w:right w:w="45" w:type="dxa"/>
        </w:tblCellMar>
      </w:tblPr>
      <w:tblGrid>
        <w:gridCol w:w="2396"/>
        <w:gridCol w:w="1858"/>
        <w:gridCol w:w="1598"/>
        <w:gridCol w:w="1598"/>
        <w:gridCol w:w="1332"/>
      </w:tblGrid>
      <w:tr w14:paraId="675223B5">
        <w:trPr>
          <w:trHeight w:val="340" w:hRule="atLeast"/>
          <w:tblHeader/>
        </w:trPr>
        <w:tc>
          <w:tcPr>
            <w:tcW w:w="1364" w:type="pct"/>
            <w:shd w:val="clear" w:color="auto" w:fill="auto"/>
            <w:vAlign w:val="center"/>
          </w:tcPr>
          <w:p w14:paraId="2064D9C0">
            <w:pPr>
              <w:widowControl/>
              <w:adjustRightInd w:val="0"/>
              <w:snapToGrid w:val="0"/>
              <w:spacing w:line="240" w:lineRule="exact"/>
              <w:jc w:val="center"/>
              <w:rPr>
                <w:rFonts w:hint="eastAsia" w:ascii="宋体" w:hAnsi="宋体"/>
                <w:snapToGrid w:val="0"/>
                <w:kern w:val="0"/>
                <w:sz w:val="18"/>
                <w:szCs w:val="18"/>
                <w:highlight w:val="none"/>
              </w:rPr>
            </w:pPr>
            <w:r>
              <w:rPr>
                <w:rFonts w:hint="eastAsia" w:ascii="宋体" w:hAnsi="宋体"/>
                <w:snapToGrid w:val="0"/>
                <w:kern w:val="0"/>
                <w:sz w:val="18"/>
                <w:szCs w:val="18"/>
                <w:highlight w:val="none"/>
              </w:rPr>
              <w:t>银行名称</w:t>
            </w:r>
          </w:p>
        </w:tc>
        <w:tc>
          <w:tcPr>
            <w:tcW w:w="1058" w:type="pct"/>
            <w:shd w:val="clear" w:color="auto" w:fill="auto"/>
            <w:vAlign w:val="center"/>
          </w:tcPr>
          <w:p w14:paraId="0D2C1B16">
            <w:pPr>
              <w:widowControl/>
              <w:adjustRightInd w:val="0"/>
              <w:snapToGrid w:val="0"/>
              <w:spacing w:line="240" w:lineRule="exact"/>
              <w:jc w:val="center"/>
              <w:rPr>
                <w:rFonts w:hint="eastAsia" w:ascii="宋体" w:hAnsi="宋体"/>
                <w:snapToGrid w:val="0"/>
                <w:kern w:val="0"/>
                <w:sz w:val="18"/>
                <w:szCs w:val="18"/>
                <w:highlight w:val="none"/>
              </w:rPr>
            </w:pPr>
            <w:r>
              <w:rPr>
                <w:rFonts w:hint="eastAsia" w:ascii="宋体" w:hAnsi="宋体"/>
                <w:snapToGrid w:val="0"/>
                <w:kern w:val="0"/>
                <w:sz w:val="18"/>
                <w:szCs w:val="18"/>
                <w:highlight w:val="none"/>
              </w:rPr>
              <w:t>账号</w:t>
            </w:r>
          </w:p>
        </w:tc>
        <w:tc>
          <w:tcPr>
            <w:tcW w:w="910" w:type="pct"/>
            <w:shd w:val="clear" w:color="auto" w:fill="auto"/>
            <w:vAlign w:val="center"/>
          </w:tcPr>
          <w:p w14:paraId="15871B85">
            <w:pPr>
              <w:widowControl/>
              <w:adjustRightInd w:val="0"/>
              <w:snapToGrid w:val="0"/>
              <w:spacing w:line="240" w:lineRule="exact"/>
              <w:jc w:val="center"/>
              <w:rPr>
                <w:rFonts w:hint="eastAsia" w:ascii="宋体" w:hAnsi="宋体"/>
                <w:snapToGrid w:val="0"/>
                <w:kern w:val="0"/>
                <w:sz w:val="18"/>
                <w:szCs w:val="18"/>
                <w:highlight w:val="none"/>
              </w:rPr>
            </w:pPr>
            <w:r>
              <w:rPr>
                <w:rFonts w:hint="eastAsia" w:ascii="宋体" w:hAnsi="宋体"/>
                <w:snapToGrid w:val="0"/>
                <w:kern w:val="0"/>
                <w:sz w:val="18"/>
                <w:szCs w:val="18"/>
                <w:highlight w:val="none"/>
              </w:rPr>
              <w:t>初</w:t>
            </w:r>
            <w:r>
              <w:rPr>
                <w:rFonts w:hint="eastAsia" w:ascii="宋体" w:hAnsi="宋体"/>
                <w:snapToGrid w:val="0"/>
                <w:kern w:val="0"/>
                <w:sz w:val="18"/>
                <w:szCs w:val="18"/>
                <w:highlight w:val="none"/>
                <w:lang w:val="en-US" w:eastAsia="zh-CN"/>
              </w:rPr>
              <w:t>始存</w:t>
            </w:r>
            <w:r>
              <w:rPr>
                <w:rFonts w:hint="eastAsia" w:ascii="宋体" w:hAnsi="宋体"/>
                <w:snapToGrid w:val="0"/>
                <w:kern w:val="0"/>
                <w:sz w:val="18"/>
                <w:szCs w:val="18"/>
                <w:highlight w:val="none"/>
              </w:rPr>
              <w:t>放金额</w:t>
            </w:r>
          </w:p>
        </w:tc>
        <w:tc>
          <w:tcPr>
            <w:tcW w:w="910" w:type="pct"/>
            <w:shd w:val="clear" w:color="auto" w:fill="auto"/>
            <w:vAlign w:val="center"/>
          </w:tcPr>
          <w:p w14:paraId="108BB8CC">
            <w:pPr>
              <w:widowControl/>
              <w:adjustRightInd w:val="0"/>
              <w:snapToGrid w:val="0"/>
              <w:spacing w:line="240" w:lineRule="exact"/>
              <w:jc w:val="center"/>
              <w:rPr>
                <w:rFonts w:hint="eastAsia" w:ascii="宋体" w:hAnsi="宋体"/>
                <w:snapToGrid w:val="0"/>
                <w:kern w:val="0"/>
                <w:sz w:val="18"/>
                <w:szCs w:val="18"/>
                <w:highlight w:val="none"/>
              </w:rPr>
            </w:pPr>
            <w:r>
              <w:rPr>
                <w:rFonts w:hint="eastAsia" w:ascii="宋体" w:hAnsi="宋体"/>
                <w:snapToGrid w:val="0"/>
                <w:kern w:val="0"/>
                <w:sz w:val="18"/>
                <w:szCs w:val="18"/>
                <w:highlight w:val="none"/>
              </w:rPr>
              <w:t>期末余额</w:t>
            </w:r>
          </w:p>
        </w:tc>
        <w:tc>
          <w:tcPr>
            <w:tcW w:w="758" w:type="pct"/>
            <w:shd w:val="clear" w:color="auto" w:fill="auto"/>
            <w:vAlign w:val="center"/>
          </w:tcPr>
          <w:p w14:paraId="31BC9F6A">
            <w:pPr>
              <w:widowControl/>
              <w:adjustRightInd w:val="0"/>
              <w:snapToGrid w:val="0"/>
              <w:spacing w:line="240" w:lineRule="exact"/>
              <w:jc w:val="center"/>
              <w:rPr>
                <w:rFonts w:hint="eastAsia" w:ascii="宋体" w:hAnsi="宋体"/>
                <w:snapToGrid w:val="0"/>
                <w:kern w:val="0"/>
                <w:sz w:val="18"/>
                <w:szCs w:val="18"/>
                <w:highlight w:val="none"/>
              </w:rPr>
            </w:pPr>
            <w:r>
              <w:rPr>
                <w:rFonts w:hint="eastAsia" w:ascii="宋体" w:hAnsi="宋体"/>
                <w:snapToGrid w:val="0"/>
                <w:kern w:val="0"/>
                <w:sz w:val="18"/>
                <w:szCs w:val="18"/>
                <w:highlight w:val="none"/>
              </w:rPr>
              <w:t>存储方式</w:t>
            </w:r>
          </w:p>
        </w:tc>
      </w:tr>
      <w:tr w14:paraId="3423FF79">
        <w:trPr>
          <w:cantSplit/>
          <w:trHeight w:val="340" w:hRule="atLeast"/>
        </w:trPr>
        <w:tc>
          <w:tcPr>
            <w:tcW w:w="1364" w:type="pct"/>
            <w:shd w:val="clear" w:color="auto" w:fill="auto"/>
            <w:vAlign w:val="center"/>
          </w:tcPr>
          <w:p w14:paraId="3413825C">
            <w:pPr>
              <w:widowControl/>
              <w:adjustRightInd w:val="0"/>
              <w:snapToGrid w:val="0"/>
              <w:spacing w:line="240" w:lineRule="exact"/>
              <w:jc w:val="left"/>
              <w:rPr>
                <w:rFonts w:ascii="Arial Narrow" w:hAnsi="Arial Narrow"/>
                <w:snapToGrid w:val="0"/>
                <w:kern w:val="0"/>
                <w:sz w:val="18"/>
                <w:szCs w:val="18"/>
                <w:highlight w:val="none"/>
              </w:rPr>
            </w:pPr>
            <w:r>
              <w:rPr>
                <w:rFonts w:hint="eastAsia" w:ascii="Arial Narrow" w:hAnsi="Arial Narrow"/>
                <w:snapToGrid w:val="0"/>
                <w:kern w:val="0"/>
                <w:sz w:val="18"/>
                <w:szCs w:val="18"/>
                <w:highlight w:val="none"/>
              </w:rPr>
              <w:t>招商银行重庆分行长寿支行</w:t>
            </w:r>
          </w:p>
        </w:tc>
        <w:tc>
          <w:tcPr>
            <w:tcW w:w="1058" w:type="pct"/>
            <w:shd w:val="clear" w:color="auto" w:fill="auto"/>
            <w:vAlign w:val="center"/>
          </w:tcPr>
          <w:p w14:paraId="59D3E847">
            <w:pPr>
              <w:widowControl/>
              <w:adjustRightInd w:val="0"/>
              <w:snapToGrid w:val="0"/>
              <w:spacing w:line="240" w:lineRule="exact"/>
              <w:jc w:val="left"/>
              <w:rPr>
                <w:rFonts w:ascii="Arial Narrow" w:hAnsi="Arial Narrow"/>
                <w:snapToGrid w:val="0"/>
                <w:kern w:val="0"/>
                <w:sz w:val="18"/>
                <w:szCs w:val="18"/>
                <w:highlight w:val="none"/>
              </w:rPr>
            </w:pPr>
            <w:r>
              <w:rPr>
                <w:rFonts w:ascii="Arial Narrow" w:hAnsi="Arial Narrow"/>
                <w:snapToGrid w:val="0"/>
                <w:kern w:val="0"/>
                <w:sz w:val="18"/>
                <w:szCs w:val="18"/>
                <w:highlight w:val="none"/>
              </w:rPr>
              <w:t>123905910610303</w:t>
            </w:r>
          </w:p>
        </w:tc>
        <w:tc>
          <w:tcPr>
            <w:tcW w:w="910" w:type="pct"/>
            <w:shd w:val="clear" w:color="auto" w:fill="auto"/>
            <w:vAlign w:val="center"/>
          </w:tcPr>
          <w:p w14:paraId="449AF88C">
            <w:pPr>
              <w:widowControl/>
              <w:adjustRightInd w:val="0"/>
              <w:snapToGrid w:val="0"/>
              <w:spacing w:line="240" w:lineRule="exact"/>
              <w:ind w:right="105"/>
              <w:jc w:val="right"/>
              <w:rPr>
                <w:rFonts w:ascii="Arial Narrow" w:hAnsi="Arial Narrow"/>
                <w:snapToGrid w:val="0"/>
                <w:kern w:val="0"/>
                <w:sz w:val="18"/>
                <w:szCs w:val="18"/>
                <w:highlight w:val="none"/>
              </w:rPr>
            </w:pPr>
            <w:r>
              <w:rPr>
                <w:rFonts w:ascii="Arial Narrow" w:hAnsi="Arial Narrow"/>
                <w:snapToGrid w:val="0"/>
                <w:kern w:val="0"/>
                <w:sz w:val="18"/>
                <w:szCs w:val="18"/>
                <w:highlight w:val="none"/>
              </w:rPr>
              <w:t>390,429,100.00</w:t>
            </w:r>
          </w:p>
        </w:tc>
        <w:tc>
          <w:tcPr>
            <w:tcW w:w="910" w:type="pct"/>
            <w:shd w:val="clear" w:color="auto" w:fill="auto"/>
            <w:vAlign w:val="center"/>
          </w:tcPr>
          <w:p w14:paraId="46452AA8">
            <w:pPr>
              <w:widowControl/>
              <w:adjustRightInd w:val="0"/>
              <w:snapToGrid w:val="0"/>
              <w:spacing w:line="240" w:lineRule="exact"/>
              <w:ind w:right="105"/>
              <w:jc w:val="left"/>
              <w:rPr>
                <w:rFonts w:ascii="Arial Narrow" w:hAnsi="Arial Narrow"/>
                <w:snapToGrid w:val="0"/>
                <w:kern w:val="0"/>
                <w:sz w:val="18"/>
                <w:szCs w:val="18"/>
                <w:highlight w:val="none"/>
              </w:rPr>
            </w:pPr>
          </w:p>
        </w:tc>
        <w:tc>
          <w:tcPr>
            <w:tcW w:w="758" w:type="pct"/>
            <w:shd w:val="clear" w:color="auto" w:fill="auto"/>
            <w:vAlign w:val="center"/>
          </w:tcPr>
          <w:p w14:paraId="63C07413">
            <w:pPr>
              <w:widowControl/>
              <w:adjustRightInd w:val="0"/>
              <w:snapToGrid w:val="0"/>
              <w:spacing w:line="240" w:lineRule="exact"/>
              <w:jc w:val="left"/>
              <w:rPr>
                <w:rFonts w:ascii="Arial Narrow" w:hAnsi="Arial Narrow"/>
                <w:snapToGrid w:val="0"/>
                <w:kern w:val="0"/>
                <w:sz w:val="18"/>
                <w:szCs w:val="18"/>
                <w:highlight w:val="none"/>
              </w:rPr>
            </w:pPr>
            <w:r>
              <w:rPr>
                <w:rFonts w:hint="eastAsia" w:ascii="Arial Narrow" w:hAnsi="Arial Narrow"/>
                <w:snapToGrid w:val="0"/>
                <w:kern w:val="0"/>
                <w:sz w:val="18"/>
                <w:szCs w:val="18"/>
                <w:highlight w:val="none"/>
              </w:rPr>
              <w:t>账户已注销</w:t>
            </w:r>
          </w:p>
        </w:tc>
      </w:tr>
      <w:tr w14:paraId="1C57340C">
        <w:trPr>
          <w:cantSplit/>
          <w:trHeight w:val="340" w:hRule="atLeast"/>
        </w:trPr>
        <w:tc>
          <w:tcPr>
            <w:tcW w:w="1364" w:type="pct"/>
            <w:shd w:val="clear" w:color="auto" w:fill="auto"/>
            <w:vAlign w:val="center"/>
          </w:tcPr>
          <w:p w14:paraId="40F92116">
            <w:pPr>
              <w:widowControl/>
              <w:adjustRightInd w:val="0"/>
              <w:snapToGrid w:val="0"/>
              <w:spacing w:line="240" w:lineRule="exact"/>
              <w:jc w:val="left"/>
              <w:rPr>
                <w:rFonts w:ascii="Arial Narrow" w:hAnsi="Arial Narrow"/>
                <w:snapToGrid w:val="0"/>
                <w:kern w:val="0"/>
                <w:sz w:val="18"/>
                <w:szCs w:val="18"/>
                <w:highlight w:val="none"/>
              </w:rPr>
            </w:pPr>
            <w:r>
              <w:rPr>
                <w:rFonts w:hint="eastAsia" w:ascii="Arial Narrow" w:hAnsi="Arial Narrow"/>
                <w:snapToGrid w:val="0"/>
                <w:kern w:val="0"/>
                <w:sz w:val="18"/>
                <w:szCs w:val="18"/>
                <w:highlight w:val="none"/>
              </w:rPr>
              <w:t>中信银行重庆分行营业部</w:t>
            </w:r>
          </w:p>
        </w:tc>
        <w:tc>
          <w:tcPr>
            <w:tcW w:w="1058" w:type="pct"/>
            <w:shd w:val="clear" w:color="auto" w:fill="auto"/>
            <w:vAlign w:val="center"/>
          </w:tcPr>
          <w:p w14:paraId="714A5DDF">
            <w:pPr>
              <w:widowControl/>
              <w:adjustRightInd w:val="0"/>
              <w:snapToGrid w:val="0"/>
              <w:spacing w:line="240" w:lineRule="exact"/>
              <w:jc w:val="left"/>
              <w:rPr>
                <w:rFonts w:ascii="Arial Narrow" w:hAnsi="Arial Narrow"/>
                <w:snapToGrid w:val="0"/>
                <w:kern w:val="0"/>
                <w:sz w:val="18"/>
                <w:szCs w:val="18"/>
                <w:highlight w:val="none"/>
              </w:rPr>
            </w:pPr>
            <w:r>
              <w:rPr>
                <w:rFonts w:ascii="Arial Narrow" w:hAnsi="Arial Narrow"/>
                <w:snapToGrid w:val="0"/>
                <w:kern w:val="0"/>
                <w:sz w:val="18"/>
                <w:szCs w:val="18"/>
                <w:highlight w:val="none"/>
              </w:rPr>
              <w:t>8111201012200530541</w:t>
            </w:r>
          </w:p>
        </w:tc>
        <w:tc>
          <w:tcPr>
            <w:tcW w:w="910" w:type="pct"/>
            <w:shd w:val="clear" w:color="auto" w:fill="auto"/>
            <w:vAlign w:val="center"/>
          </w:tcPr>
          <w:p w14:paraId="09B266CC">
            <w:pPr>
              <w:widowControl/>
              <w:adjustRightInd w:val="0"/>
              <w:snapToGrid w:val="0"/>
              <w:spacing w:line="240" w:lineRule="exact"/>
              <w:ind w:right="105"/>
              <w:jc w:val="right"/>
              <w:rPr>
                <w:rFonts w:ascii="Arial Narrow" w:hAnsi="Arial Narrow"/>
                <w:snapToGrid w:val="0"/>
                <w:kern w:val="0"/>
                <w:sz w:val="18"/>
                <w:szCs w:val="18"/>
                <w:highlight w:val="none"/>
              </w:rPr>
            </w:pPr>
            <w:r>
              <w:rPr>
                <w:rFonts w:ascii="Arial Narrow" w:hAnsi="Arial Narrow"/>
                <w:snapToGrid w:val="0"/>
                <w:kern w:val="0"/>
                <w:sz w:val="18"/>
                <w:szCs w:val="18"/>
                <w:highlight w:val="none"/>
              </w:rPr>
              <w:t>128,326</w:t>
            </w:r>
            <w:r>
              <w:rPr>
                <w:rFonts w:hint="eastAsia" w:ascii="Arial Narrow" w:hAnsi="Arial Narrow"/>
                <w:snapToGrid w:val="0"/>
                <w:kern w:val="0"/>
                <w:sz w:val="18"/>
                <w:szCs w:val="18"/>
                <w:highlight w:val="none"/>
              </w:rPr>
              <w:t>,</w:t>
            </w:r>
            <w:r>
              <w:rPr>
                <w:rFonts w:ascii="Arial Narrow" w:hAnsi="Arial Narrow"/>
                <w:snapToGrid w:val="0"/>
                <w:kern w:val="0"/>
                <w:sz w:val="18"/>
                <w:szCs w:val="18"/>
                <w:highlight w:val="none"/>
              </w:rPr>
              <w:t>800.00</w:t>
            </w:r>
          </w:p>
        </w:tc>
        <w:tc>
          <w:tcPr>
            <w:tcW w:w="910" w:type="pct"/>
            <w:shd w:val="clear" w:color="auto" w:fill="auto"/>
            <w:vAlign w:val="center"/>
          </w:tcPr>
          <w:p w14:paraId="17BF67E5">
            <w:pPr>
              <w:widowControl/>
              <w:adjustRightInd w:val="0"/>
              <w:snapToGrid w:val="0"/>
              <w:spacing w:line="240" w:lineRule="exact"/>
              <w:ind w:right="105"/>
              <w:jc w:val="left"/>
              <w:rPr>
                <w:rFonts w:ascii="Arial Narrow" w:hAnsi="Arial Narrow"/>
                <w:snapToGrid w:val="0"/>
                <w:kern w:val="0"/>
                <w:sz w:val="18"/>
                <w:szCs w:val="18"/>
                <w:highlight w:val="none"/>
              </w:rPr>
            </w:pPr>
          </w:p>
        </w:tc>
        <w:tc>
          <w:tcPr>
            <w:tcW w:w="758" w:type="pct"/>
            <w:shd w:val="clear" w:color="auto" w:fill="auto"/>
            <w:vAlign w:val="center"/>
          </w:tcPr>
          <w:p w14:paraId="491879C6">
            <w:pPr>
              <w:widowControl/>
              <w:adjustRightInd w:val="0"/>
              <w:snapToGrid w:val="0"/>
              <w:spacing w:line="240" w:lineRule="exact"/>
              <w:jc w:val="left"/>
              <w:rPr>
                <w:rFonts w:ascii="Arial Narrow" w:hAnsi="Arial Narrow"/>
                <w:snapToGrid w:val="0"/>
                <w:kern w:val="0"/>
                <w:sz w:val="18"/>
                <w:szCs w:val="18"/>
                <w:highlight w:val="none"/>
              </w:rPr>
            </w:pPr>
            <w:r>
              <w:rPr>
                <w:rFonts w:hint="eastAsia" w:ascii="Arial Narrow" w:hAnsi="Arial Narrow"/>
                <w:snapToGrid w:val="0"/>
                <w:kern w:val="0"/>
                <w:sz w:val="18"/>
                <w:szCs w:val="18"/>
                <w:highlight w:val="none"/>
              </w:rPr>
              <w:t>账户已注销</w:t>
            </w:r>
          </w:p>
        </w:tc>
      </w:tr>
      <w:tr w14:paraId="1CA80BA5">
        <w:trPr>
          <w:cantSplit/>
          <w:trHeight w:val="340" w:hRule="atLeast"/>
        </w:trPr>
        <w:tc>
          <w:tcPr>
            <w:tcW w:w="1364" w:type="pct"/>
            <w:shd w:val="clear" w:color="auto" w:fill="auto"/>
            <w:vAlign w:val="center"/>
          </w:tcPr>
          <w:p w14:paraId="3F0DB694">
            <w:pPr>
              <w:widowControl/>
              <w:adjustRightInd w:val="0"/>
              <w:snapToGrid w:val="0"/>
              <w:spacing w:line="240" w:lineRule="exact"/>
              <w:jc w:val="left"/>
              <w:rPr>
                <w:rFonts w:ascii="Arial Narrow" w:hAnsi="Arial Narrow"/>
                <w:snapToGrid w:val="0"/>
                <w:kern w:val="0"/>
                <w:sz w:val="18"/>
                <w:szCs w:val="18"/>
                <w:highlight w:val="none"/>
              </w:rPr>
            </w:pPr>
            <w:r>
              <w:rPr>
                <w:rFonts w:hint="eastAsia" w:ascii="Arial Narrow" w:hAnsi="Arial Narrow"/>
                <w:snapToGrid w:val="0"/>
                <w:kern w:val="0"/>
                <w:sz w:val="18"/>
                <w:szCs w:val="18"/>
                <w:highlight w:val="none"/>
              </w:rPr>
              <w:t>重庆三峡银行股份有限公司长寿支行</w:t>
            </w:r>
          </w:p>
        </w:tc>
        <w:tc>
          <w:tcPr>
            <w:tcW w:w="1058" w:type="pct"/>
            <w:shd w:val="clear" w:color="auto" w:fill="auto"/>
            <w:vAlign w:val="center"/>
          </w:tcPr>
          <w:p w14:paraId="01BEE466">
            <w:pPr>
              <w:widowControl/>
              <w:adjustRightInd w:val="0"/>
              <w:snapToGrid w:val="0"/>
              <w:spacing w:line="240" w:lineRule="exact"/>
              <w:jc w:val="left"/>
              <w:rPr>
                <w:rFonts w:ascii="Arial Narrow" w:hAnsi="Arial Narrow"/>
                <w:snapToGrid w:val="0"/>
                <w:kern w:val="0"/>
                <w:sz w:val="18"/>
                <w:szCs w:val="18"/>
                <w:highlight w:val="none"/>
              </w:rPr>
            </w:pPr>
            <w:r>
              <w:rPr>
                <w:rFonts w:ascii="Arial Narrow" w:hAnsi="Arial Narrow"/>
                <w:snapToGrid w:val="0"/>
                <w:kern w:val="0"/>
                <w:sz w:val="18"/>
                <w:szCs w:val="18"/>
                <w:highlight w:val="none"/>
              </w:rPr>
              <w:t>0153016820000020</w:t>
            </w:r>
          </w:p>
        </w:tc>
        <w:tc>
          <w:tcPr>
            <w:tcW w:w="910" w:type="pct"/>
            <w:shd w:val="clear" w:color="auto" w:fill="auto"/>
            <w:vAlign w:val="center"/>
          </w:tcPr>
          <w:p w14:paraId="4483DDDE">
            <w:pPr>
              <w:widowControl/>
              <w:adjustRightInd w:val="0"/>
              <w:snapToGrid w:val="0"/>
              <w:spacing w:line="240" w:lineRule="exact"/>
              <w:ind w:right="105"/>
              <w:jc w:val="right"/>
              <w:rPr>
                <w:rFonts w:ascii="Arial Narrow" w:hAnsi="Arial Narrow"/>
                <w:snapToGrid w:val="0"/>
                <w:kern w:val="0"/>
                <w:sz w:val="18"/>
                <w:szCs w:val="18"/>
                <w:highlight w:val="none"/>
              </w:rPr>
            </w:pPr>
            <w:r>
              <w:rPr>
                <w:rFonts w:ascii="Arial Narrow" w:hAnsi="Arial Narrow"/>
                <w:snapToGrid w:val="0"/>
                <w:kern w:val="0"/>
                <w:sz w:val="18"/>
                <w:szCs w:val="18"/>
                <w:highlight w:val="none"/>
              </w:rPr>
              <w:t>73,305,900.00</w:t>
            </w:r>
          </w:p>
        </w:tc>
        <w:tc>
          <w:tcPr>
            <w:tcW w:w="910" w:type="pct"/>
            <w:shd w:val="clear" w:color="auto" w:fill="auto"/>
            <w:vAlign w:val="center"/>
          </w:tcPr>
          <w:p w14:paraId="6841033B">
            <w:pPr>
              <w:widowControl/>
              <w:adjustRightInd w:val="0"/>
              <w:snapToGrid w:val="0"/>
              <w:spacing w:line="240" w:lineRule="exact"/>
              <w:ind w:right="105"/>
              <w:jc w:val="right"/>
              <w:rPr>
                <w:rFonts w:ascii="Arial Narrow" w:hAnsi="Arial Narrow"/>
                <w:snapToGrid w:val="0"/>
                <w:kern w:val="0"/>
                <w:sz w:val="18"/>
                <w:szCs w:val="18"/>
                <w:highlight w:val="none"/>
              </w:rPr>
            </w:pPr>
            <w:r>
              <w:rPr>
                <w:rFonts w:hint="eastAsia" w:ascii="Arial Narrow" w:hAnsi="Arial Narrow"/>
                <w:snapToGrid w:val="0"/>
                <w:kern w:val="0"/>
                <w:sz w:val="18"/>
                <w:szCs w:val="18"/>
                <w:highlight w:val="none"/>
              </w:rPr>
              <w:t xml:space="preserve"> 31,961,206.09 </w:t>
            </w:r>
          </w:p>
        </w:tc>
        <w:tc>
          <w:tcPr>
            <w:tcW w:w="758" w:type="pct"/>
            <w:shd w:val="clear" w:color="auto" w:fill="auto"/>
            <w:vAlign w:val="center"/>
          </w:tcPr>
          <w:p w14:paraId="1231EAC4">
            <w:pPr>
              <w:widowControl/>
              <w:adjustRightInd w:val="0"/>
              <w:snapToGrid w:val="0"/>
              <w:spacing w:line="240" w:lineRule="exact"/>
              <w:jc w:val="left"/>
              <w:rPr>
                <w:rFonts w:ascii="Arial Narrow" w:hAnsi="Arial Narrow"/>
                <w:snapToGrid w:val="0"/>
                <w:kern w:val="0"/>
                <w:sz w:val="18"/>
                <w:szCs w:val="18"/>
                <w:highlight w:val="none"/>
              </w:rPr>
            </w:pPr>
            <w:r>
              <w:rPr>
                <w:rFonts w:hint="eastAsia" w:ascii="Arial Narrow" w:hAnsi="Arial Narrow"/>
                <w:snapToGrid w:val="0"/>
                <w:kern w:val="0"/>
                <w:sz w:val="18"/>
                <w:szCs w:val="18"/>
                <w:highlight w:val="none"/>
              </w:rPr>
              <w:t>活期存款/活期协议存款</w:t>
            </w:r>
          </w:p>
        </w:tc>
      </w:tr>
      <w:tr w14:paraId="0E366260">
        <w:trPr>
          <w:cantSplit/>
          <w:trHeight w:val="340" w:hRule="atLeast"/>
        </w:trPr>
        <w:tc>
          <w:tcPr>
            <w:tcW w:w="1364" w:type="pct"/>
            <w:shd w:val="clear" w:color="auto" w:fill="auto"/>
            <w:vAlign w:val="center"/>
          </w:tcPr>
          <w:p w14:paraId="12D0C5E6">
            <w:pPr>
              <w:widowControl/>
              <w:adjustRightInd w:val="0"/>
              <w:snapToGrid w:val="0"/>
              <w:spacing w:line="240" w:lineRule="exact"/>
              <w:jc w:val="left"/>
              <w:rPr>
                <w:rFonts w:ascii="Arial Narrow" w:hAnsi="Arial Narrow"/>
                <w:snapToGrid w:val="0"/>
                <w:kern w:val="0"/>
                <w:sz w:val="18"/>
                <w:szCs w:val="18"/>
                <w:highlight w:val="none"/>
              </w:rPr>
            </w:pPr>
            <w:r>
              <w:rPr>
                <w:rFonts w:hint="eastAsia" w:ascii="Arial Narrow" w:hAnsi="Arial Narrow"/>
                <w:snapToGrid w:val="0"/>
                <w:kern w:val="0"/>
                <w:sz w:val="18"/>
                <w:szCs w:val="18"/>
                <w:highlight w:val="none"/>
              </w:rPr>
              <w:t>浦发银行重庆长寿支行</w:t>
            </w:r>
          </w:p>
        </w:tc>
        <w:tc>
          <w:tcPr>
            <w:tcW w:w="1058" w:type="pct"/>
            <w:shd w:val="clear" w:color="auto" w:fill="auto"/>
            <w:vAlign w:val="center"/>
          </w:tcPr>
          <w:p w14:paraId="06758A2F">
            <w:pPr>
              <w:widowControl/>
              <w:adjustRightInd w:val="0"/>
              <w:snapToGrid w:val="0"/>
              <w:spacing w:line="240" w:lineRule="exact"/>
              <w:jc w:val="left"/>
              <w:rPr>
                <w:rFonts w:ascii="Arial Narrow" w:hAnsi="Arial Narrow"/>
                <w:snapToGrid w:val="0"/>
                <w:kern w:val="0"/>
                <w:sz w:val="18"/>
                <w:szCs w:val="18"/>
                <w:highlight w:val="none"/>
              </w:rPr>
            </w:pPr>
            <w:r>
              <w:rPr>
                <w:rFonts w:ascii="Arial Narrow" w:hAnsi="Arial Narrow"/>
                <w:snapToGrid w:val="0"/>
                <w:kern w:val="0"/>
                <w:sz w:val="18"/>
                <w:szCs w:val="18"/>
                <w:highlight w:val="none"/>
              </w:rPr>
              <w:t>83260078801700000608</w:t>
            </w:r>
          </w:p>
        </w:tc>
        <w:tc>
          <w:tcPr>
            <w:tcW w:w="910" w:type="pct"/>
            <w:shd w:val="clear" w:color="auto" w:fill="auto"/>
            <w:vAlign w:val="center"/>
          </w:tcPr>
          <w:p w14:paraId="32E06753">
            <w:pPr>
              <w:widowControl/>
              <w:adjustRightInd w:val="0"/>
              <w:snapToGrid w:val="0"/>
              <w:spacing w:line="240" w:lineRule="exact"/>
              <w:ind w:right="105"/>
              <w:jc w:val="right"/>
              <w:rPr>
                <w:rFonts w:ascii="Arial Narrow" w:hAnsi="Arial Narrow"/>
                <w:snapToGrid w:val="0"/>
                <w:kern w:val="0"/>
                <w:sz w:val="18"/>
                <w:szCs w:val="18"/>
                <w:highlight w:val="none"/>
              </w:rPr>
            </w:pPr>
            <w:r>
              <w:rPr>
                <w:rFonts w:ascii="Arial Narrow" w:hAnsi="Arial Narrow"/>
                <w:snapToGrid w:val="0"/>
                <w:kern w:val="0"/>
                <w:sz w:val="18"/>
                <w:szCs w:val="18"/>
                <w:highlight w:val="none"/>
              </w:rPr>
              <w:t>62,500,000.00</w:t>
            </w:r>
          </w:p>
        </w:tc>
        <w:tc>
          <w:tcPr>
            <w:tcW w:w="910" w:type="pct"/>
            <w:shd w:val="clear" w:color="auto" w:fill="auto"/>
            <w:vAlign w:val="center"/>
          </w:tcPr>
          <w:p w14:paraId="43F78AD4">
            <w:pPr>
              <w:widowControl/>
              <w:adjustRightInd w:val="0"/>
              <w:snapToGrid w:val="0"/>
              <w:spacing w:line="240" w:lineRule="exact"/>
              <w:ind w:right="105"/>
              <w:jc w:val="right"/>
              <w:rPr>
                <w:rFonts w:ascii="Arial Narrow" w:hAnsi="Arial Narrow"/>
                <w:snapToGrid w:val="0"/>
                <w:kern w:val="0"/>
                <w:sz w:val="18"/>
                <w:szCs w:val="18"/>
                <w:highlight w:val="none"/>
              </w:rPr>
            </w:pPr>
            <w:r>
              <w:rPr>
                <w:rFonts w:hint="eastAsia" w:ascii="Arial Narrow" w:hAnsi="Arial Narrow"/>
                <w:snapToGrid w:val="0"/>
                <w:kern w:val="0"/>
                <w:sz w:val="18"/>
                <w:szCs w:val="18"/>
                <w:highlight w:val="none"/>
              </w:rPr>
              <w:t xml:space="preserve"> 32,319,892.85 </w:t>
            </w:r>
          </w:p>
        </w:tc>
        <w:tc>
          <w:tcPr>
            <w:tcW w:w="758" w:type="pct"/>
            <w:shd w:val="clear" w:color="auto" w:fill="auto"/>
            <w:vAlign w:val="center"/>
          </w:tcPr>
          <w:p w14:paraId="5E1C18A0">
            <w:pPr>
              <w:widowControl/>
              <w:adjustRightInd w:val="0"/>
              <w:snapToGrid w:val="0"/>
              <w:spacing w:line="240" w:lineRule="exact"/>
              <w:jc w:val="left"/>
              <w:rPr>
                <w:rFonts w:ascii="Arial Narrow" w:hAnsi="Arial Narrow"/>
                <w:snapToGrid w:val="0"/>
                <w:kern w:val="0"/>
                <w:sz w:val="18"/>
                <w:szCs w:val="18"/>
                <w:highlight w:val="none"/>
              </w:rPr>
            </w:pPr>
            <w:r>
              <w:rPr>
                <w:rFonts w:hint="eastAsia" w:ascii="Arial Narrow" w:hAnsi="Arial Narrow"/>
                <w:snapToGrid w:val="0"/>
                <w:kern w:val="0"/>
                <w:sz w:val="18"/>
                <w:szCs w:val="18"/>
                <w:highlight w:val="none"/>
              </w:rPr>
              <w:t>活期存款/活期协议存款</w:t>
            </w:r>
          </w:p>
        </w:tc>
      </w:tr>
      <w:tr w14:paraId="3398579F">
        <w:trPr>
          <w:cantSplit/>
          <w:trHeight w:val="340" w:hRule="atLeast"/>
        </w:trPr>
        <w:tc>
          <w:tcPr>
            <w:tcW w:w="1364" w:type="pct"/>
            <w:shd w:val="clear" w:color="auto" w:fill="auto"/>
            <w:vAlign w:val="center"/>
          </w:tcPr>
          <w:p w14:paraId="1C385E8A">
            <w:pPr>
              <w:widowControl/>
              <w:adjustRightInd w:val="0"/>
              <w:snapToGrid w:val="0"/>
              <w:spacing w:line="240" w:lineRule="exact"/>
              <w:jc w:val="left"/>
              <w:rPr>
                <w:rFonts w:ascii="Arial Narrow" w:hAnsi="Arial Narrow"/>
                <w:snapToGrid w:val="0"/>
                <w:kern w:val="0"/>
                <w:sz w:val="18"/>
                <w:szCs w:val="18"/>
                <w:highlight w:val="none"/>
              </w:rPr>
            </w:pPr>
            <w:r>
              <w:rPr>
                <w:rFonts w:hint="eastAsia" w:ascii="Arial Narrow" w:hAnsi="Arial Narrow"/>
                <w:snapToGrid w:val="0"/>
                <w:kern w:val="0"/>
                <w:sz w:val="18"/>
                <w:szCs w:val="18"/>
                <w:highlight w:val="none"/>
              </w:rPr>
              <w:t>中国农业银行股份有限公司重庆长寿支行</w:t>
            </w:r>
          </w:p>
        </w:tc>
        <w:tc>
          <w:tcPr>
            <w:tcW w:w="1058" w:type="pct"/>
            <w:shd w:val="clear" w:color="auto" w:fill="auto"/>
            <w:vAlign w:val="center"/>
          </w:tcPr>
          <w:p w14:paraId="6B83958C">
            <w:pPr>
              <w:widowControl/>
              <w:adjustRightInd w:val="0"/>
              <w:snapToGrid w:val="0"/>
              <w:spacing w:line="240" w:lineRule="exact"/>
              <w:jc w:val="left"/>
              <w:rPr>
                <w:rFonts w:ascii="Arial Narrow" w:hAnsi="Arial Narrow"/>
                <w:snapToGrid w:val="0"/>
                <w:kern w:val="0"/>
                <w:sz w:val="18"/>
                <w:szCs w:val="18"/>
                <w:highlight w:val="none"/>
              </w:rPr>
            </w:pPr>
            <w:r>
              <w:rPr>
                <w:rFonts w:ascii="Arial Narrow" w:hAnsi="Arial Narrow"/>
                <w:snapToGrid w:val="0"/>
                <w:kern w:val="0"/>
                <w:sz w:val="18"/>
                <w:szCs w:val="18"/>
                <w:highlight w:val="none"/>
              </w:rPr>
              <w:t>31130101040017435</w:t>
            </w:r>
          </w:p>
        </w:tc>
        <w:tc>
          <w:tcPr>
            <w:tcW w:w="910" w:type="pct"/>
            <w:shd w:val="clear" w:color="auto" w:fill="auto"/>
            <w:vAlign w:val="center"/>
          </w:tcPr>
          <w:p w14:paraId="33AAA722">
            <w:pPr>
              <w:widowControl/>
              <w:adjustRightInd w:val="0"/>
              <w:snapToGrid w:val="0"/>
              <w:spacing w:line="240" w:lineRule="exact"/>
              <w:ind w:right="105"/>
              <w:jc w:val="right"/>
              <w:rPr>
                <w:rFonts w:ascii="Arial Narrow" w:hAnsi="Arial Narrow"/>
                <w:snapToGrid w:val="0"/>
                <w:kern w:val="0"/>
                <w:sz w:val="18"/>
                <w:szCs w:val="18"/>
                <w:highlight w:val="none"/>
              </w:rPr>
            </w:pPr>
            <w:r>
              <w:rPr>
                <w:rFonts w:ascii="Arial Narrow" w:hAnsi="Arial Narrow"/>
                <w:snapToGrid w:val="0"/>
                <w:kern w:val="0"/>
                <w:sz w:val="18"/>
                <w:szCs w:val="18"/>
                <w:highlight w:val="none"/>
              </w:rPr>
              <w:t>229,864,470.38</w:t>
            </w:r>
          </w:p>
        </w:tc>
        <w:tc>
          <w:tcPr>
            <w:tcW w:w="910" w:type="pct"/>
            <w:shd w:val="clear" w:color="auto" w:fill="auto"/>
            <w:vAlign w:val="center"/>
          </w:tcPr>
          <w:p w14:paraId="1632437F">
            <w:pPr>
              <w:widowControl/>
              <w:adjustRightInd w:val="0"/>
              <w:snapToGrid w:val="0"/>
              <w:spacing w:line="240" w:lineRule="exact"/>
              <w:ind w:right="105"/>
              <w:jc w:val="left"/>
              <w:rPr>
                <w:rFonts w:ascii="Arial Narrow" w:hAnsi="Arial Narrow"/>
                <w:snapToGrid w:val="0"/>
                <w:kern w:val="0"/>
                <w:sz w:val="18"/>
                <w:szCs w:val="18"/>
                <w:highlight w:val="none"/>
              </w:rPr>
            </w:pPr>
          </w:p>
        </w:tc>
        <w:tc>
          <w:tcPr>
            <w:tcW w:w="758" w:type="pct"/>
            <w:shd w:val="clear" w:color="auto" w:fill="auto"/>
            <w:vAlign w:val="center"/>
          </w:tcPr>
          <w:p w14:paraId="6F3CF5BE">
            <w:pPr>
              <w:widowControl/>
              <w:adjustRightInd w:val="0"/>
              <w:snapToGrid w:val="0"/>
              <w:spacing w:line="240" w:lineRule="exact"/>
              <w:jc w:val="left"/>
              <w:rPr>
                <w:rFonts w:ascii="Arial Narrow" w:hAnsi="Arial Narrow"/>
                <w:snapToGrid w:val="0"/>
                <w:kern w:val="0"/>
                <w:sz w:val="18"/>
                <w:szCs w:val="18"/>
                <w:highlight w:val="none"/>
              </w:rPr>
            </w:pPr>
            <w:r>
              <w:rPr>
                <w:rFonts w:hint="eastAsia" w:ascii="Arial Narrow" w:hAnsi="Arial Narrow"/>
                <w:snapToGrid w:val="0"/>
                <w:kern w:val="0"/>
                <w:sz w:val="18"/>
                <w:szCs w:val="18"/>
                <w:highlight w:val="none"/>
              </w:rPr>
              <w:t>账户已注销</w:t>
            </w:r>
          </w:p>
        </w:tc>
      </w:tr>
      <w:tr w14:paraId="02F65892">
        <w:trPr>
          <w:cantSplit/>
          <w:trHeight w:val="340" w:hRule="atLeast"/>
        </w:trPr>
        <w:tc>
          <w:tcPr>
            <w:tcW w:w="1364" w:type="pct"/>
            <w:shd w:val="clear" w:color="auto" w:fill="auto"/>
            <w:vAlign w:val="center"/>
          </w:tcPr>
          <w:p w14:paraId="26C55686">
            <w:pPr>
              <w:widowControl/>
              <w:adjustRightInd w:val="0"/>
              <w:snapToGrid w:val="0"/>
              <w:spacing w:line="240" w:lineRule="exact"/>
              <w:jc w:val="left"/>
              <w:rPr>
                <w:rFonts w:ascii="Arial Narrow" w:hAnsi="Arial Narrow"/>
                <w:snapToGrid w:val="0"/>
                <w:kern w:val="0"/>
                <w:sz w:val="18"/>
                <w:szCs w:val="18"/>
                <w:highlight w:val="none"/>
              </w:rPr>
            </w:pPr>
            <w:r>
              <w:rPr>
                <w:rFonts w:hint="eastAsia" w:ascii="Arial Narrow" w:hAnsi="Arial Narrow"/>
                <w:snapToGrid w:val="0"/>
                <w:kern w:val="0"/>
                <w:sz w:val="18"/>
                <w:szCs w:val="18"/>
                <w:highlight w:val="none"/>
              </w:rPr>
              <w:t>哈尔滨银行股份有限公司重庆分行</w:t>
            </w:r>
          </w:p>
        </w:tc>
        <w:tc>
          <w:tcPr>
            <w:tcW w:w="1058" w:type="pct"/>
            <w:shd w:val="clear" w:color="auto" w:fill="auto"/>
            <w:vAlign w:val="center"/>
          </w:tcPr>
          <w:p w14:paraId="5D1794CE">
            <w:pPr>
              <w:widowControl/>
              <w:adjustRightInd w:val="0"/>
              <w:snapToGrid w:val="0"/>
              <w:spacing w:line="240" w:lineRule="exact"/>
              <w:jc w:val="left"/>
              <w:rPr>
                <w:rFonts w:ascii="Arial Narrow" w:hAnsi="Arial Narrow"/>
                <w:snapToGrid w:val="0"/>
                <w:kern w:val="0"/>
                <w:sz w:val="18"/>
                <w:szCs w:val="18"/>
                <w:highlight w:val="none"/>
              </w:rPr>
            </w:pPr>
            <w:r>
              <w:rPr>
                <w:rFonts w:ascii="Arial Narrow" w:hAnsi="Arial Narrow"/>
                <w:snapToGrid w:val="0"/>
                <w:kern w:val="0"/>
                <w:sz w:val="18"/>
                <w:szCs w:val="18"/>
                <w:highlight w:val="none"/>
              </w:rPr>
              <w:t>18010000001689409</w:t>
            </w:r>
          </w:p>
        </w:tc>
        <w:tc>
          <w:tcPr>
            <w:tcW w:w="910" w:type="pct"/>
            <w:shd w:val="clear" w:color="auto" w:fill="auto"/>
            <w:vAlign w:val="center"/>
          </w:tcPr>
          <w:p w14:paraId="5293FE53">
            <w:pPr>
              <w:widowControl/>
              <w:adjustRightInd w:val="0"/>
              <w:snapToGrid w:val="0"/>
              <w:spacing w:line="240" w:lineRule="exact"/>
              <w:ind w:right="105"/>
              <w:jc w:val="right"/>
              <w:rPr>
                <w:rFonts w:ascii="Arial Narrow" w:hAnsi="Arial Narrow"/>
                <w:snapToGrid w:val="0"/>
                <w:kern w:val="0"/>
                <w:sz w:val="18"/>
                <w:szCs w:val="18"/>
                <w:highlight w:val="none"/>
              </w:rPr>
            </w:pPr>
          </w:p>
        </w:tc>
        <w:tc>
          <w:tcPr>
            <w:tcW w:w="910" w:type="pct"/>
            <w:shd w:val="clear" w:color="auto" w:fill="auto"/>
            <w:vAlign w:val="center"/>
          </w:tcPr>
          <w:p w14:paraId="517AAD1C">
            <w:pPr>
              <w:widowControl/>
              <w:adjustRightInd w:val="0"/>
              <w:snapToGrid w:val="0"/>
              <w:spacing w:line="240" w:lineRule="exact"/>
              <w:ind w:right="105"/>
              <w:jc w:val="right"/>
              <w:rPr>
                <w:rFonts w:ascii="Arial Narrow" w:hAnsi="Arial Narrow"/>
                <w:snapToGrid w:val="0"/>
                <w:kern w:val="0"/>
                <w:sz w:val="18"/>
                <w:szCs w:val="18"/>
                <w:highlight w:val="none"/>
              </w:rPr>
            </w:pPr>
            <w:r>
              <w:rPr>
                <w:rFonts w:hint="eastAsia" w:ascii="Arial Narrow" w:hAnsi="Arial Narrow"/>
                <w:snapToGrid w:val="0"/>
                <w:kern w:val="0"/>
                <w:sz w:val="18"/>
                <w:szCs w:val="18"/>
                <w:highlight w:val="none"/>
              </w:rPr>
              <w:t xml:space="preserve"> 137,180,577.57 </w:t>
            </w:r>
          </w:p>
        </w:tc>
        <w:tc>
          <w:tcPr>
            <w:tcW w:w="758" w:type="pct"/>
            <w:shd w:val="clear" w:color="auto" w:fill="auto"/>
            <w:vAlign w:val="center"/>
          </w:tcPr>
          <w:p w14:paraId="2F41683C">
            <w:pPr>
              <w:widowControl/>
              <w:adjustRightInd w:val="0"/>
              <w:snapToGrid w:val="0"/>
              <w:spacing w:line="240" w:lineRule="exact"/>
              <w:jc w:val="left"/>
              <w:rPr>
                <w:rFonts w:ascii="Arial Narrow" w:hAnsi="Arial Narrow"/>
                <w:snapToGrid w:val="0"/>
                <w:kern w:val="0"/>
                <w:sz w:val="18"/>
                <w:szCs w:val="18"/>
                <w:highlight w:val="none"/>
              </w:rPr>
            </w:pPr>
            <w:r>
              <w:rPr>
                <w:rFonts w:hint="eastAsia" w:ascii="Arial Narrow" w:hAnsi="Arial Narrow"/>
                <w:snapToGrid w:val="0"/>
                <w:kern w:val="0"/>
                <w:sz w:val="18"/>
                <w:szCs w:val="18"/>
                <w:highlight w:val="none"/>
              </w:rPr>
              <w:t>活期协议存款</w:t>
            </w:r>
          </w:p>
        </w:tc>
      </w:tr>
      <w:tr w14:paraId="2B301B28">
        <w:trPr>
          <w:cantSplit/>
          <w:trHeight w:val="340" w:hRule="atLeast"/>
        </w:trPr>
        <w:tc>
          <w:tcPr>
            <w:tcW w:w="1364" w:type="pct"/>
            <w:shd w:val="clear" w:color="auto" w:fill="auto"/>
            <w:vAlign w:val="center"/>
          </w:tcPr>
          <w:p w14:paraId="499C3B64">
            <w:pPr>
              <w:widowControl/>
              <w:adjustRightInd w:val="0"/>
              <w:snapToGrid w:val="0"/>
              <w:spacing w:line="240" w:lineRule="exact"/>
              <w:jc w:val="center"/>
              <w:rPr>
                <w:rFonts w:ascii="Arial Narrow" w:hAnsi="Arial Narrow"/>
                <w:snapToGrid w:val="0"/>
                <w:kern w:val="0"/>
                <w:sz w:val="18"/>
                <w:szCs w:val="18"/>
                <w:highlight w:val="none"/>
              </w:rPr>
            </w:pPr>
            <w:r>
              <w:rPr>
                <w:rFonts w:hint="eastAsia" w:ascii="Arial Narrow" w:hAnsi="Arial Narrow"/>
                <w:snapToGrid w:val="0"/>
                <w:kern w:val="0"/>
                <w:sz w:val="18"/>
                <w:szCs w:val="18"/>
                <w:highlight w:val="none"/>
              </w:rPr>
              <w:t>合 计</w:t>
            </w:r>
          </w:p>
        </w:tc>
        <w:tc>
          <w:tcPr>
            <w:tcW w:w="1058" w:type="pct"/>
            <w:shd w:val="clear" w:color="auto" w:fill="auto"/>
            <w:vAlign w:val="center"/>
          </w:tcPr>
          <w:p w14:paraId="5F783578">
            <w:pPr>
              <w:widowControl/>
              <w:adjustRightInd w:val="0"/>
              <w:snapToGrid w:val="0"/>
              <w:spacing w:line="240" w:lineRule="exact"/>
              <w:jc w:val="left"/>
              <w:rPr>
                <w:rFonts w:ascii="Arial Narrow" w:hAnsi="Arial Narrow"/>
                <w:snapToGrid w:val="0"/>
                <w:kern w:val="0"/>
                <w:sz w:val="18"/>
                <w:szCs w:val="18"/>
                <w:highlight w:val="none"/>
              </w:rPr>
            </w:pPr>
          </w:p>
        </w:tc>
        <w:tc>
          <w:tcPr>
            <w:tcW w:w="910" w:type="pct"/>
            <w:shd w:val="clear" w:color="auto" w:fill="auto"/>
            <w:vAlign w:val="center"/>
          </w:tcPr>
          <w:p w14:paraId="1E28B049">
            <w:pPr>
              <w:widowControl/>
              <w:adjustRightInd w:val="0"/>
              <w:snapToGrid w:val="0"/>
              <w:spacing w:line="240" w:lineRule="exact"/>
              <w:ind w:right="105"/>
              <w:jc w:val="right"/>
              <w:rPr>
                <w:rFonts w:ascii="Arial Narrow" w:hAnsi="Arial Narrow"/>
                <w:snapToGrid w:val="0"/>
                <w:kern w:val="0"/>
                <w:sz w:val="18"/>
                <w:szCs w:val="18"/>
                <w:highlight w:val="none"/>
              </w:rPr>
            </w:pPr>
            <w:r>
              <w:rPr>
                <w:rFonts w:ascii="Arial Narrow" w:hAnsi="Arial Narrow"/>
                <w:snapToGrid w:val="0"/>
                <w:kern w:val="0"/>
                <w:sz w:val="18"/>
                <w:szCs w:val="18"/>
                <w:highlight w:val="none"/>
              </w:rPr>
              <w:t>884,426,270.38</w:t>
            </w:r>
          </w:p>
        </w:tc>
        <w:tc>
          <w:tcPr>
            <w:tcW w:w="910" w:type="pct"/>
            <w:shd w:val="clear" w:color="auto" w:fill="auto"/>
            <w:vAlign w:val="center"/>
          </w:tcPr>
          <w:p w14:paraId="544C0E96">
            <w:pPr>
              <w:widowControl/>
              <w:adjustRightInd w:val="0"/>
              <w:snapToGrid w:val="0"/>
              <w:spacing w:line="240" w:lineRule="exact"/>
              <w:ind w:right="105"/>
              <w:jc w:val="right"/>
              <w:rPr>
                <w:rFonts w:ascii="Arial Narrow" w:hAnsi="Arial Narrow"/>
                <w:snapToGrid w:val="0"/>
                <w:kern w:val="0"/>
                <w:sz w:val="18"/>
                <w:szCs w:val="18"/>
                <w:highlight w:val="none"/>
              </w:rPr>
            </w:pPr>
            <w:r>
              <w:rPr>
                <w:rFonts w:hint="eastAsia" w:ascii="Arial Narrow" w:hAnsi="Arial Narrow"/>
                <w:snapToGrid w:val="0"/>
                <w:kern w:val="0"/>
                <w:sz w:val="18"/>
                <w:szCs w:val="18"/>
                <w:highlight w:val="none"/>
              </w:rPr>
              <w:t xml:space="preserve"> 201,461,676.51 </w:t>
            </w:r>
          </w:p>
        </w:tc>
        <w:tc>
          <w:tcPr>
            <w:tcW w:w="758" w:type="pct"/>
            <w:shd w:val="clear" w:color="auto" w:fill="auto"/>
            <w:vAlign w:val="center"/>
          </w:tcPr>
          <w:p w14:paraId="2490F6EB">
            <w:pPr>
              <w:widowControl/>
              <w:adjustRightInd w:val="0"/>
              <w:snapToGrid w:val="0"/>
              <w:spacing w:line="240" w:lineRule="exact"/>
              <w:jc w:val="center"/>
              <w:rPr>
                <w:rFonts w:ascii="Arial Narrow" w:hAnsi="Arial Narrow"/>
                <w:snapToGrid w:val="0"/>
                <w:kern w:val="0"/>
                <w:sz w:val="18"/>
                <w:szCs w:val="18"/>
                <w:highlight w:val="none"/>
              </w:rPr>
            </w:pPr>
          </w:p>
        </w:tc>
      </w:tr>
    </w:tbl>
    <w:p w14:paraId="2EC14841">
      <w:pPr>
        <w:widowControl/>
        <w:spacing w:before="120" w:beforeLines="50" w:line="360" w:lineRule="auto"/>
        <w:ind w:firstLine="420" w:firstLineChars="200"/>
        <w:rPr>
          <w:rFonts w:hint="eastAsia" w:ascii="宋体" w:hAnsi="宋体"/>
          <w:kern w:val="0"/>
          <w:szCs w:val="21"/>
          <w:highlight w:val="none"/>
        </w:rPr>
      </w:pPr>
      <w:r>
        <w:rPr>
          <w:rFonts w:hint="eastAsia" w:ascii="宋体" w:hAnsi="宋体"/>
          <w:kern w:val="0"/>
          <w:szCs w:val="21"/>
          <w:highlight w:val="none"/>
        </w:rPr>
        <w:t>注</w:t>
      </w:r>
      <w:r>
        <w:rPr>
          <w:rFonts w:ascii="宋体" w:hAnsi="宋体"/>
          <w:kern w:val="0"/>
          <w:szCs w:val="21"/>
          <w:highlight w:val="none"/>
        </w:rPr>
        <w:t>：</w:t>
      </w:r>
      <w:r>
        <w:rPr>
          <w:rFonts w:hint="eastAsia" w:ascii="宋体" w:hAnsi="宋体"/>
          <w:kern w:val="0"/>
          <w:szCs w:val="21"/>
          <w:highlight w:val="none"/>
        </w:rPr>
        <w:t>上表中初始存放金额为884,426,270.38元，公司募集资金净额为854,561,800.00元，初始存放金额与募集资金净额差异为</w:t>
      </w:r>
      <w:r>
        <w:rPr>
          <w:rFonts w:ascii="宋体" w:hAnsi="宋体"/>
          <w:kern w:val="0"/>
          <w:szCs w:val="21"/>
          <w:highlight w:val="none"/>
        </w:rPr>
        <w:t>29</w:t>
      </w:r>
      <w:r>
        <w:rPr>
          <w:rFonts w:hint="eastAsia" w:ascii="宋体" w:hAnsi="宋体"/>
          <w:kern w:val="0"/>
          <w:szCs w:val="21"/>
          <w:highlight w:val="none"/>
        </w:rPr>
        <w:t>,</w:t>
      </w:r>
      <w:r>
        <w:rPr>
          <w:rFonts w:ascii="宋体" w:hAnsi="宋体"/>
          <w:kern w:val="0"/>
          <w:szCs w:val="21"/>
          <w:highlight w:val="none"/>
        </w:rPr>
        <w:t>864</w:t>
      </w:r>
      <w:r>
        <w:rPr>
          <w:rFonts w:hint="eastAsia" w:ascii="宋体" w:hAnsi="宋体"/>
          <w:kern w:val="0"/>
          <w:szCs w:val="21"/>
          <w:highlight w:val="none"/>
        </w:rPr>
        <w:t>,</w:t>
      </w:r>
      <w:r>
        <w:rPr>
          <w:rFonts w:ascii="宋体" w:hAnsi="宋体"/>
          <w:kern w:val="0"/>
          <w:szCs w:val="21"/>
          <w:highlight w:val="none"/>
        </w:rPr>
        <w:t>470.38</w:t>
      </w:r>
      <w:r>
        <w:rPr>
          <w:rFonts w:hint="eastAsia" w:ascii="宋体" w:hAnsi="宋体"/>
          <w:kern w:val="0"/>
          <w:szCs w:val="21"/>
          <w:highlight w:val="none"/>
        </w:rPr>
        <w:t>元，该差额系相关发行费用，已于2022年6月30日前从募集资金专户划转至公司一般户（开户行：中国农业银行股份有限公司长寿支行，账号：31-130101040005554）。</w:t>
      </w:r>
    </w:p>
    <w:p w14:paraId="0E25BDD4">
      <w:pPr>
        <w:widowControl/>
        <w:spacing w:before="240" w:beforeLines="100" w:line="360" w:lineRule="auto"/>
        <w:ind w:firstLine="422" w:firstLineChars="200"/>
        <w:outlineLvl w:val="1"/>
        <w:rPr>
          <w:rFonts w:hint="eastAsia" w:ascii="宋体" w:hAnsi="宋体" w:cs="宋体"/>
          <w:b/>
          <w:kern w:val="0"/>
          <w:szCs w:val="21"/>
          <w:highlight w:val="none"/>
        </w:rPr>
      </w:pPr>
      <w:r>
        <w:rPr>
          <w:rFonts w:ascii="宋体" w:hAnsi="宋体"/>
          <w:b/>
          <w:kern w:val="0"/>
          <w:szCs w:val="21"/>
          <w:highlight w:val="none"/>
        </w:rPr>
        <w:t>三、</w:t>
      </w:r>
      <w:r>
        <w:rPr>
          <w:rFonts w:ascii="宋体" w:hAnsi="宋体"/>
          <w:b/>
          <w:kern w:val="0"/>
          <w:szCs w:val="21"/>
          <w:highlight w:val="none"/>
        </w:rPr>
        <w:tab/>
      </w:r>
      <w:r>
        <w:rPr>
          <w:rFonts w:hint="eastAsia" w:ascii="宋体" w:hAnsi="宋体" w:cs="宋体"/>
          <w:b/>
          <w:kern w:val="0"/>
          <w:szCs w:val="21"/>
          <w:highlight w:val="none"/>
        </w:rPr>
        <w:t>对闲置募集资金进行现金管理，投资相关产品情况</w:t>
      </w:r>
    </w:p>
    <w:p w14:paraId="7FB2AF48">
      <w:pPr>
        <w:widowControl/>
        <w:spacing w:line="360" w:lineRule="auto"/>
        <w:ind w:firstLine="420" w:firstLineChars="200"/>
        <w:rPr>
          <w:rFonts w:hint="eastAsia" w:ascii="宋体" w:hAnsi="宋体"/>
          <w:kern w:val="0"/>
          <w:szCs w:val="21"/>
          <w:highlight w:val="none"/>
          <w:lang w:val="en-US" w:eastAsia="zh-CN"/>
        </w:rPr>
      </w:pPr>
      <w:r>
        <w:rPr>
          <w:rFonts w:hint="eastAsia" w:ascii="宋体" w:hAnsi="宋体"/>
          <w:kern w:val="0"/>
          <w:szCs w:val="21"/>
          <w:highlight w:val="none"/>
        </w:rPr>
        <w:t>截止2024年6月30日，公司进行现金管理余额为201,461,676.51元</w:t>
      </w:r>
      <w:r>
        <w:rPr>
          <w:rFonts w:hint="eastAsia" w:ascii="宋体" w:hAnsi="宋体"/>
          <w:kern w:val="0"/>
          <w:szCs w:val="21"/>
          <w:highlight w:val="none"/>
          <w:lang w:eastAsia="zh-CN"/>
        </w:rPr>
        <w:t>。</w:t>
      </w:r>
      <w:r>
        <w:rPr>
          <w:rFonts w:hint="eastAsia" w:ascii="宋体" w:hAnsi="宋体"/>
          <w:kern w:val="0"/>
          <w:szCs w:val="21"/>
          <w:highlight w:val="none"/>
        </w:rPr>
        <w:t>截止2024年6月30日，</w:t>
      </w:r>
      <w:r>
        <w:rPr>
          <w:rFonts w:hint="eastAsia" w:ascii="宋体" w:hAnsi="宋体"/>
          <w:kern w:val="0"/>
          <w:szCs w:val="21"/>
          <w:highlight w:val="none"/>
          <w:lang w:val="en-US" w:eastAsia="zh-CN"/>
        </w:rPr>
        <w:t>现金管理明细如下：</w:t>
      </w:r>
    </w:p>
    <w:tbl>
      <w:tblPr>
        <w:tblStyle w:val="12"/>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28" w:type="dxa"/>
        </w:tblCellMar>
      </w:tblPr>
      <w:tblGrid>
        <w:gridCol w:w="590"/>
        <w:gridCol w:w="2566"/>
        <w:gridCol w:w="1552"/>
        <w:gridCol w:w="2369"/>
        <w:gridCol w:w="1647"/>
      </w:tblGrid>
      <w:tr w14:paraId="756F89AE">
        <w:trPr>
          <w:trHeight w:val="397" w:hRule="atLeast"/>
          <w:jc w:val="center"/>
        </w:trPr>
        <w:tc>
          <w:tcPr>
            <w:tcW w:w="578" w:type="dxa"/>
            <w:vAlign w:val="center"/>
          </w:tcPr>
          <w:p w14:paraId="3C58B3CC">
            <w:pPr>
              <w:widowControl/>
              <w:jc w:val="center"/>
              <w:textAlignment w:val="center"/>
              <w:rPr>
                <w:rFonts w:hint="eastAsia" w:ascii="宋体" w:hAnsi="宋体"/>
                <w:kern w:val="0"/>
                <w:szCs w:val="21"/>
                <w:highlight w:val="none"/>
                <w:vertAlign w:val="baseline"/>
              </w:rPr>
            </w:pPr>
            <w:r>
              <w:rPr>
                <w:rFonts w:hint="default" w:ascii="Times New Roman" w:hAnsi="Times New Roman" w:cs="Times New Roman"/>
                <w:b/>
                <w:bCs/>
                <w:kern w:val="0"/>
                <w:sz w:val="21"/>
                <w:szCs w:val="21"/>
                <w:highlight w:val="none"/>
                <w:lang w:bidi="ar"/>
              </w:rPr>
              <w:t>序号</w:t>
            </w:r>
          </w:p>
        </w:tc>
        <w:tc>
          <w:tcPr>
            <w:tcW w:w="2508" w:type="dxa"/>
            <w:vAlign w:val="center"/>
          </w:tcPr>
          <w:p w14:paraId="4F819357">
            <w:pPr>
              <w:widowControl/>
              <w:jc w:val="center"/>
              <w:textAlignment w:val="center"/>
              <w:rPr>
                <w:rFonts w:hint="eastAsia" w:ascii="宋体" w:hAnsi="宋体"/>
                <w:kern w:val="0"/>
                <w:szCs w:val="21"/>
                <w:highlight w:val="none"/>
                <w:vertAlign w:val="baseline"/>
              </w:rPr>
            </w:pPr>
            <w:r>
              <w:rPr>
                <w:rFonts w:hint="default" w:ascii="Times New Roman" w:hAnsi="Times New Roman" w:cs="Times New Roman"/>
                <w:b/>
                <w:bCs/>
                <w:kern w:val="0"/>
                <w:sz w:val="21"/>
                <w:szCs w:val="21"/>
                <w:highlight w:val="none"/>
                <w:lang w:bidi="ar"/>
              </w:rPr>
              <w:t>募集资金投资项目</w:t>
            </w:r>
          </w:p>
        </w:tc>
        <w:tc>
          <w:tcPr>
            <w:tcW w:w="1517" w:type="dxa"/>
            <w:vAlign w:val="center"/>
          </w:tcPr>
          <w:p w14:paraId="7E95F7A8">
            <w:pPr>
              <w:widowControl/>
              <w:jc w:val="center"/>
              <w:textAlignment w:val="center"/>
              <w:rPr>
                <w:rFonts w:hint="eastAsia" w:ascii="宋体" w:hAnsi="宋体"/>
                <w:kern w:val="0"/>
                <w:szCs w:val="21"/>
                <w:highlight w:val="none"/>
                <w:vertAlign w:val="baseline"/>
              </w:rPr>
            </w:pPr>
            <w:r>
              <w:rPr>
                <w:rFonts w:hint="default" w:ascii="Times New Roman" w:hAnsi="Times New Roman" w:cs="Times New Roman"/>
                <w:b/>
                <w:bCs/>
                <w:kern w:val="0"/>
                <w:sz w:val="21"/>
                <w:szCs w:val="21"/>
                <w:highlight w:val="none"/>
                <w:lang w:bidi="ar"/>
              </w:rPr>
              <w:t>开户银行</w:t>
            </w:r>
          </w:p>
        </w:tc>
        <w:tc>
          <w:tcPr>
            <w:tcW w:w="2316" w:type="dxa"/>
            <w:vAlign w:val="center"/>
          </w:tcPr>
          <w:p w14:paraId="0D432173">
            <w:pPr>
              <w:widowControl/>
              <w:jc w:val="center"/>
              <w:textAlignment w:val="center"/>
              <w:rPr>
                <w:rFonts w:hint="eastAsia" w:ascii="宋体" w:hAnsi="宋体"/>
                <w:kern w:val="0"/>
                <w:szCs w:val="21"/>
                <w:highlight w:val="none"/>
                <w:vertAlign w:val="baseline"/>
              </w:rPr>
            </w:pPr>
            <w:r>
              <w:rPr>
                <w:rFonts w:hint="default" w:ascii="Times New Roman" w:hAnsi="Times New Roman" w:cs="Times New Roman"/>
                <w:b/>
                <w:bCs/>
                <w:kern w:val="0"/>
                <w:sz w:val="21"/>
                <w:szCs w:val="21"/>
                <w:highlight w:val="none"/>
                <w:lang w:bidi="ar"/>
              </w:rPr>
              <w:t>募集资金专用账号</w:t>
            </w:r>
          </w:p>
        </w:tc>
        <w:tc>
          <w:tcPr>
            <w:tcW w:w="1610" w:type="dxa"/>
            <w:vAlign w:val="center"/>
          </w:tcPr>
          <w:p w14:paraId="0165F6E4">
            <w:pPr>
              <w:widowControl/>
              <w:jc w:val="center"/>
              <w:textAlignment w:val="center"/>
              <w:rPr>
                <w:rFonts w:hint="eastAsia" w:ascii="宋体" w:hAnsi="宋体"/>
                <w:kern w:val="0"/>
                <w:szCs w:val="21"/>
                <w:highlight w:val="none"/>
                <w:vertAlign w:val="baseline"/>
              </w:rPr>
            </w:pPr>
            <w:r>
              <w:rPr>
                <w:rFonts w:hint="eastAsia" w:ascii="宋体" w:hAnsi="宋体" w:cs="宋体"/>
                <w:b/>
                <w:bCs/>
                <w:kern w:val="0"/>
                <w:sz w:val="21"/>
                <w:szCs w:val="21"/>
                <w:highlight w:val="none"/>
                <w:lang w:bidi="ar"/>
              </w:rPr>
              <w:t>截止2024年</w:t>
            </w:r>
            <w:r>
              <w:rPr>
                <w:rFonts w:hint="eastAsia" w:ascii="宋体" w:hAnsi="宋体" w:cs="宋体"/>
                <w:b/>
                <w:bCs/>
                <w:kern w:val="0"/>
                <w:sz w:val="21"/>
                <w:szCs w:val="21"/>
                <w:highlight w:val="none"/>
                <w:lang w:val="en-US" w:eastAsia="zh-CN" w:bidi="ar"/>
              </w:rPr>
              <w:t>6</w:t>
            </w:r>
            <w:r>
              <w:rPr>
                <w:rFonts w:hint="eastAsia" w:ascii="宋体" w:hAnsi="宋体" w:cs="宋体"/>
                <w:b/>
                <w:bCs/>
                <w:kern w:val="0"/>
                <w:sz w:val="21"/>
                <w:szCs w:val="21"/>
                <w:highlight w:val="none"/>
                <w:lang w:bidi="ar"/>
              </w:rPr>
              <w:t>月</w:t>
            </w:r>
            <w:r>
              <w:rPr>
                <w:rFonts w:hint="eastAsia" w:ascii="宋体" w:hAnsi="宋体" w:cs="宋体"/>
                <w:b/>
                <w:bCs/>
                <w:kern w:val="0"/>
                <w:sz w:val="21"/>
                <w:szCs w:val="21"/>
                <w:highlight w:val="none"/>
                <w:lang w:val="en-US" w:eastAsia="zh-CN" w:bidi="ar"/>
              </w:rPr>
              <w:t>30</w:t>
            </w:r>
            <w:r>
              <w:rPr>
                <w:rFonts w:hint="eastAsia" w:ascii="宋体" w:hAnsi="宋体" w:cs="宋体"/>
                <w:b/>
                <w:bCs/>
                <w:kern w:val="0"/>
                <w:sz w:val="21"/>
                <w:szCs w:val="21"/>
                <w:highlight w:val="none"/>
                <w:lang w:bidi="ar"/>
              </w:rPr>
              <w:t>日协议存款余额（万元</w:t>
            </w:r>
            <w:r>
              <w:rPr>
                <w:rFonts w:hint="default" w:ascii="Times New Roman" w:hAnsi="Times New Roman" w:cs="Times New Roman"/>
                <w:b/>
                <w:bCs/>
                <w:kern w:val="0"/>
                <w:sz w:val="21"/>
                <w:szCs w:val="21"/>
                <w:highlight w:val="none"/>
                <w:lang w:bidi="ar"/>
              </w:rPr>
              <w:t>）</w:t>
            </w:r>
          </w:p>
        </w:tc>
      </w:tr>
      <w:tr w14:paraId="55CEB4DD">
        <w:trPr>
          <w:trHeight w:val="397" w:hRule="atLeast"/>
          <w:jc w:val="center"/>
        </w:trPr>
        <w:tc>
          <w:tcPr>
            <w:tcW w:w="578" w:type="dxa"/>
            <w:vAlign w:val="center"/>
          </w:tcPr>
          <w:p w14:paraId="1FFA9F44">
            <w:pPr>
              <w:widowControl/>
              <w:jc w:val="center"/>
              <w:textAlignment w:val="center"/>
              <w:rPr>
                <w:rFonts w:hint="eastAsia" w:ascii="宋体" w:hAnsi="宋体"/>
                <w:kern w:val="0"/>
                <w:szCs w:val="21"/>
                <w:highlight w:val="none"/>
                <w:vertAlign w:val="baseline"/>
              </w:rPr>
            </w:pPr>
            <w:r>
              <w:rPr>
                <w:rFonts w:ascii="Times New Roman" w:hAnsi="Times New Roman" w:cs="Times New Roman"/>
                <w:kern w:val="0"/>
                <w:sz w:val="21"/>
                <w:szCs w:val="21"/>
                <w:highlight w:val="none"/>
                <w:lang w:bidi="ar"/>
              </w:rPr>
              <w:t>1</w:t>
            </w:r>
          </w:p>
        </w:tc>
        <w:tc>
          <w:tcPr>
            <w:tcW w:w="2508" w:type="dxa"/>
            <w:vAlign w:val="center"/>
          </w:tcPr>
          <w:p w14:paraId="36C79111">
            <w:pPr>
              <w:widowControl/>
              <w:jc w:val="center"/>
              <w:textAlignment w:val="center"/>
              <w:rPr>
                <w:rFonts w:hint="eastAsia" w:ascii="宋体" w:hAnsi="宋体"/>
                <w:kern w:val="0"/>
                <w:szCs w:val="21"/>
                <w:highlight w:val="none"/>
                <w:vertAlign w:val="baseline"/>
              </w:rPr>
            </w:pPr>
            <w:r>
              <w:rPr>
                <w:rFonts w:hint="default" w:ascii="Times New Roman" w:hAnsi="Times New Roman" w:cs="Times New Roman"/>
                <w:kern w:val="0"/>
                <w:sz w:val="21"/>
                <w:szCs w:val="21"/>
                <w:highlight w:val="none"/>
                <w:lang w:bidi="ar"/>
              </w:rPr>
              <w:t>智能成套电气设备产业基地建设项目、智控设备及金属制品智能工厂建设项目（一期）</w:t>
            </w:r>
          </w:p>
        </w:tc>
        <w:tc>
          <w:tcPr>
            <w:tcW w:w="1517" w:type="dxa"/>
            <w:vAlign w:val="center"/>
          </w:tcPr>
          <w:p w14:paraId="5EA3B61C">
            <w:pPr>
              <w:widowControl/>
              <w:jc w:val="center"/>
              <w:textAlignment w:val="center"/>
              <w:rPr>
                <w:rFonts w:hint="eastAsia" w:ascii="宋体" w:hAnsi="宋体"/>
                <w:kern w:val="0"/>
                <w:szCs w:val="21"/>
                <w:highlight w:val="none"/>
                <w:vertAlign w:val="baseline"/>
              </w:rPr>
            </w:pPr>
            <w:r>
              <w:rPr>
                <w:rFonts w:hint="default" w:ascii="Times New Roman" w:hAnsi="Times New Roman" w:cs="Times New Roman"/>
                <w:kern w:val="0"/>
                <w:sz w:val="21"/>
                <w:szCs w:val="21"/>
                <w:highlight w:val="none"/>
                <w:lang w:bidi="ar"/>
              </w:rPr>
              <w:t>哈尔滨银行股份有限公司重庆分行</w:t>
            </w:r>
          </w:p>
        </w:tc>
        <w:tc>
          <w:tcPr>
            <w:tcW w:w="2316" w:type="dxa"/>
            <w:vAlign w:val="center"/>
          </w:tcPr>
          <w:p w14:paraId="377A05BD">
            <w:pPr>
              <w:widowControl/>
              <w:jc w:val="center"/>
              <w:textAlignment w:val="center"/>
              <w:rPr>
                <w:rFonts w:hint="eastAsia" w:ascii="宋体" w:hAnsi="宋体"/>
                <w:kern w:val="0"/>
                <w:szCs w:val="21"/>
                <w:highlight w:val="none"/>
                <w:vertAlign w:val="baseline"/>
              </w:rPr>
            </w:pPr>
            <w:r>
              <w:rPr>
                <w:rFonts w:ascii="Times New Roman" w:hAnsi="Times New Roman" w:cs="Times New Roman"/>
                <w:kern w:val="0"/>
                <w:sz w:val="21"/>
                <w:szCs w:val="21"/>
                <w:highlight w:val="none"/>
                <w:lang w:bidi="ar"/>
              </w:rPr>
              <w:t>18010000001689409</w:t>
            </w:r>
          </w:p>
        </w:tc>
        <w:tc>
          <w:tcPr>
            <w:tcW w:w="1610" w:type="dxa"/>
            <w:vAlign w:val="center"/>
          </w:tcPr>
          <w:p w14:paraId="56326CA5">
            <w:pPr>
              <w:keepNext w:val="0"/>
              <w:keepLines w:val="0"/>
              <w:widowControl/>
              <w:suppressLineNumbers w:val="0"/>
              <w:jc w:val="right"/>
              <w:textAlignment w:val="center"/>
              <w:rPr>
                <w:rFonts w:hint="eastAsia" w:ascii="宋体" w:hAnsi="宋体" w:cs="宋体"/>
                <w:kern w:val="0"/>
                <w:szCs w:val="21"/>
                <w:highlight w:val="none"/>
                <w:vertAlign w:val="baseline"/>
              </w:rPr>
            </w:pPr>
            <w:r>
              <w:rPr>
                <w:rFonts w:hint="eastAsia" w:ascii="宋体" w:hAnsi="宋体" w:eastAsia="宋体" w:cs="宋体"/>
                <w:i w:val="0"/>
                <w:iCs w:val="0"/>
                <w:color w:val="000000"/>
                <w:kern w:val="0"/>
                <w:sz w:val="21"/>
                <w:szCs w:val="21"/>
                <w:highlight w:val="none"/>
                <w:u w:val="none"/>
                <w:lang w:val="en-US" w:eastAsia="zh-CN" w:bidi="ar"/>
              </w:rPr>
              <w:t xml:space="preserve"> 13,718.06 </w:t>
            </w:r>
          </w:p>
        </w:tc>
      </w:tr>
      <w:tr w14:paraId="105E0D00">
        <w:trPr>
          <w:trHeight w:val="397" w:hRule="atLeast"/>
          <w:jc w:val="center"/>
        </w:trPr>
        <w:tc>
          <w:tcPr>
            <w:tcW w:w="578" w:type="dxa"/>
            <w:vAlign w:val="center"/>
          </w:tcPr>
          <w:p w14:paraId="2639D78D">
            <w:pPr>
              <w:widowControl/>
              <w:jc w:val="center"/>
              <w:textAlignment w:val="center"/>
              <w:rPr>
                <w:rFonts w:hint="eastAsia" w:ascii="宋体" w:hAnsi="宋体"/>
                <w:kern w:val="0"/>
                <w:szCs w:val="21"/>
                <w:highlight w:val="none"/>
                <w:vertAlign w:val="baseline"/>
              </w:rPr>
            </w:pPr>
            <w:r>
              <w:rPr>
                <w:rFonts w:ascii="Times New Roman" w:hAnsi="Times New Roman" w:cs="Times New Roman"/>
                <w:kern w:val="0"/>
                <w:sz w:val="21"/>
                <w:szCs w:val="21"/>
                <w:highlight w:val="none"/>
                <w:lang w:bidi="ar"/>
              </w:rPr>
              <w:t>2</w:t>
            </w:r>
          </w:p>
        </w:tc>
        <w:tc>
          <w:tcPr>
            <w:tcW w:w="2508" w:type="dxa"/>
            <w:vAlign w:val="center"/>
          </w:tcPr>
          <w:p w14:paraId="500CC167">
            <w:pPr>
              <w:widowControl/>
              <w:jc w:val="center"/>
              <w:textAlignment w:val="center"/>
              <w:rPr>
                <w:rFonts w:hint="eastAsia" w:ascii="宋体" w:hAnsi="宋体"/>
                <w:kern w:val="0"/>
                <w:szCs w:val="21"/>
                <w:highlight w:val="none"/>
                <w:vertAlign w:val="baseline"/>
              </w:rPr>
            </w:pPr>
            <w:r>
              <w:rPr>
                <w:rFonts w:ascii="Times New Roman" w:hAnsi="Times New Roman" w:cs="Times New Roman"/>
                <w:kern w:val="0"/>
                <w:sz w:val="21"/>
                <w:szCs w:val="21"/>
                <w:highlight w:val="none"/>
                <w:lang w:bidi="ar"/>
              </w:rPr>
              <w:t>110kV及以下节能型变压器智能化工厂技改项目</w:t>
            </w:r>
          </w:p>
        </w:tc>
        <w:tc>
          <w:tcPr>
            <w:tcW w:w="1517" w:type="dxa"/>
            <w:vAlign w:val="center"/>
          </w:tcPr>
          <w:p w14:paraId="467B1E75">
            <w:pPr>
              <w:widowControl/>
              <w:jc w:val="center"/>
              <w:textAlignment w:val="center"/>
              <w:rPr>
                <w:rFonts w:hint="eastAsia" w:ascii="宋体" w:hAnsi="宋体"/>
                <w:kern w:val="0"/>
                <w:szCs w:val="21"/>
                <w:highlight w:val="none"/>
                <w:vertAlign w:val="baseline"/>
              </w:rPr>
            </w:pPr>
            <w:r>
              <w:rPr>
                <w:rFonts w:hint="default" w:ascii="Times New Roman" w:hAnsi="Times New Roman" w:cs="Times New Roman"/>
                <w:kern w:val="0"/>
                <w:sz w:val="21"/>
                <w:szCs w:val="21"/>
                <w:highlight w:val="none"/>
                <w:lang w:bidi="ar"/>
              </w:rPr>
              <w:t>重庆三峡银行股份有限公司长寿支行</w:t>
            </w:r>
          </w:p>
        </w:tc>
        <w:tc>
          <w:tcPr>
            <w:tcW w:w="2316" w:type="dxa"/>
            <w:vAlign w:val="center"/>
          </w:tcPr>
          <w:p w14:paraId="05E1BA81">
            <w:pPr>
              <w:widowControl/>
              <w:jc w:val="center"/>
              <w:textAlignment w:val="center"/>
              <w:rPr>
                <w:rFonts w:hint="eastAsia" w:ascii="宋体" w:hAnsi="宋体"/>
                <w:kern w:val="0"/>
                <w:szCs w:val="21"/>
                <w:highlight w:val="none"/>
                <w:vertAlign w:val="baseline"/>
              </w:rPr>
            </w:pPr>
            <w:r>
              <w:rPr>
                <w:rFonts w:ascii="Times New Roman" w:hAnsi="Times New Roman" w:cs="Times New Roman"/>
                <w:kern w:val="0"/>
                <w:sz w:val="21"/>
                <w:szCs w:val="21"/>
                <w:highlight w:val="none"/>
                <w:lang w:bidi="ar"/>
              </w:rPr>
              <w:t>0153016820000020</w:t>
            </w:r>
          </w:p>
        </w:tc>
        <w:tc>
          <w:tcPr>
            <w:tcW w:w="1610" w:type="dxa"/>
            <w:vAlign w:val="center"/>
          </w:tcPr>
          <w:p w14:paraId="4D282E29">
            <w:pPr>
              <w:keepNext w:val="0"/>
              <w:keepLines w:val="0"/>
              <w:widowControl/>
              <w:suppressLineNumbers w:val="0"/>
              <w:jc w:val="right"/>
              <w:textAlignment w:val="center"/>
              <w:rPr>
                <w:rFonts w:hint="eastAsia" w:ascii="宋体" w:hAnsi="宋体" w:cs="宋体"/>
                <w:kern w:val="0"/>
                <w:szCs w:val="21"/>
                <w:highlight w:val="none"/>
                <w:vertAlign w:val="baseline"/>
              </w:rPr>
            </w:pPr>
            <w:r>
              <w:rPr>
                <w:rFonts w:hint="eastAsia" w:ascii="宋体" w:hAnsi="宋体" w:eastAsia="宋体" w:cs="宋体"/>
                <w:i w:val="0"/>
                <w:iCs w:val="0"/>
                <w:color w:val="000000"/>
                <w:kern w:val="0"/>
                <w:sz w:val="21"/>
                <w:szCs w:val="21"/>
                <w:highlight w:val="none"/>
                <w:u w:val="none"/>
                <w:lang w:val="en-US" w:eastAsia="zh-CN" w:bidi="ar"/>
              </w:rPr>
              <w:t xml:space="preserve"> 3,196.12 </w:t>
            </w:r>
          </w:p>
        </w:tc>
      </w:tr>
      <w:tr w14:paraId="2CE44451">
        <w:trPr>
          <w:trHeight w:val="397" w:hRule="atLeast"/>
          <w:jc w:val="center"/>
        </w:trPr>
        <w:tc>
          <w:tcPr>
            <w:tcW w:w="578" w:type="dxa"/>
            <w:vAlign w:val="center"/>
          </w:tcPr>
          <w:p w14:paraId="3F292166">
            <w:pPr>
              <w:widowControl/>
              <w:jc w:val="center"/>
              <w:textAlignment w:val="center"/>
              <w:rPr>
                <w:rFonts w:hint="eastAsia" w:ascii="宋体" w:hAnsi="宋体"/>
                <w:kern w:val="0"/>
                <w:szCs w:val="21"/>
                <w:highlight w:val="none"/>
                <w:vertAlign w:val="baseline"/>
              </w:rPr>
            </w:pPr>
            <w:r>
              <w:rPr>
                <w:rFonts w:ascii="Times New Roman" w:hAnsi="Times New Roman" w:cs="Times New Roman"/>
                <w:kern w:val="0"/>
                <w:sz w:val="21"/>
                <w:szCs w:val="21"/>
                <w:highlight w:val="none"/>
                <w:lang w:bidi="ar"/>
              </w:rPr>
              <w:t>3</w:t>
            </w:r>
          </w:p>
        </w:tc>
        <w:tc>
          <w:tcPr>
            <w:tcW w:w="2508" w:type="dxa"/>
            <w:vAlign w:val="center"/>
          </w:tcPr>
          <w:p w14:paraId="6A7BD52B">
            <w:pPr>
              <w:widowControl/>
              <w:jc w:val="center"/>
              <w:textAlignment w:val="center"/>
              <w:rPr>
                <w:rFonts w:hint="eastAsia" w:ascii="宋体" w:hAnsi="宋体"/>
                <w:kern w:val="0"/>
                <w:szCs w:val="21"/>
                <w:highlight w:val="none"/>
                <w:vertAlign w:val="baseline"/>
              </w:rPr>
            </w:pPr>
            <w:r>
              <w:rPr>
                <w:rFonts w:hint="default" w:ascii="Times New Roman" w:hAnsi="Times New Roman" w:cs="Times New Roman"/>
                <w:kern w:val="0"/>
                <w:sz w:val="21"/>
                <w:szCs w:val="21"/>
                <w:highlight w:val="none"/>
                <w:lang w:bidi="ar"/>
              </w:rPr>
              <w:t>研发中心及信息化建设项目</w:t>
            </w:r>
          </w:p>
        </w:tc>
        <w:tc>
          <w:tcPr>
            <w:tcW w:w="1517" w:type="dxa"/>
            <w:vAlign w:val="center"/>
          </w:tcPr>
          <w:p w14:paraId="04129554">
            <w:pPr>
              <w:widowControl/>
              <w:jc w:val="center"/>
              <w:textAlignment w:val="center"/>
              <w:rPr>
                <w:rFonts w:hint="eastAsia" w:ascii="宋体" w:hAnsi="宋体"/>
                <w:kern w:val="0"/>
                <w:szCs w:val="21"/>
                <w:highlight w:val="none"/>
                <w:vertAlign w:val="baseline"/>
              </w:rPr>
            </w:pPr>
            <w:r>
              <w:rPr>
                <w:rFonts w:hint="default" w:ascii="Times New Roman" w:hAnsi="Times New Roman" w:cs="Times New Roman"/>
                <w:kern w:val="0"/>
                <w:sz w:val="21"/>
                <w:szCs w:val="21"/>
                <w:highlight w:val="none"/>
                <w:lang w:bidi="ar"/>
              </w:rPr>
              <w:t>上海浦东发展银行股份有限公司重庆分行</w:t>
            </w:r>
          </w:p>
        </w:tc>
        <w:tc>
          <w:tcPr>
            <w:tcW w:w="2316" w:type="dxa"/>
            <w:vAlign w:val="center"/>
          </w:tcPr>
          <w:p w14:paraId="6135AED2">
            <w:pPr>
              <w:widowControl/>
              <w:jc w:val="center"/>
              <w:textAlignment w:val="center"/>
              <w:rPr>
                <w:rFonts w:hint="eastAsia" w:ascii="宋体" w:hAnsi="宋体"/>
                <w:kern w:val="0"/>
                <w:szCs w:val="21"/>
                <w:highlight w:val="none"/>
                <w:vertAlign w:val="baseline"/>
              </w:rPr>
            </w:pPr>
            <w:r>
              <w:rPr>
                <w:rFonts w:ascii="Times New Roman" w:hAnsi="Times New Roman" w:cs="Times New Roman"/>
                <w:kern w:val="0"/>
                <w:sz w:val="21"/>
                <w:szCs w:val="21"/>
                <w:highlight w:val="none"/>
                <w:lang w:bidi="ar"/>
              </w:rPr>
              <w:t>83260078801700000608</w:t>
            </w:r>
          </w:p>
        </w:tc>
        <w:tc>
          <w:tcPr>
            <w:tcW w:w="1610" w:type="dxa"/>
            <w:vAlign w:val="center"/>
          </w:tcPr>
          <w:p w14:paraId="4B13BDC4">
            <w:pPr>
              <w:keepNext w:val="0"/>
              <w:keepLines w:val="0"/>
              <w:widowControl/>
              <w:suppressLineNumbers w:val="0"/>
              <w:jc w:val="right"/>
              <w:textAlignment w:val="center"/>
              <w:rPr>
                <w:rFonts w:hint="eastAsia" w:ascii="宋体" w:hAnsi="宋体" w:cs="宋体"/>
                <w:kern w:val="0"/>
                <w:szCs w:val="21"/>
                <w:highlight w:val="none"/>
                <w:vertAlign w:val="baseline"/>
              </w:rPr>
            </w:pPr>
            <w:r>
              <w:rPr>
                <w:rFonts w:hint="eastAsia" w:ascii="宋体" w:hAnsi="宋体" w:eastAsia="宋体" w:cs="宋体"/>
                <w:i w:val="0"/>
                <w:iCs w:val="0"/>
                <w:color w:val="000000"/>
                <w:kern w:val="0"/>
                <w:sz w:val="21"/>
                <w:szCs w:val="21"/>
                <w:highlight w:val="none"/>
                <w:u w:val="none"/>
                <w:lang w:val="en-US" w:eastAsia="zh-CN" w:bidi="ar"/>
              </w:rPr>
              <w:t xml:space="preserve"> 3,231.99 </w:t>
            </w:r>
          </w:p>
        </w:tc>
      </w:tr>
      <w:tr w14:paraId="795FA91D">
        <w:trPr>
          <w:trHeight w:val="397" w:hRule="atLeast"/>
          <w:jc w:val="center"/>
        </w:trPr>
        <w:tc>
          <w:tcPr>
            <w:tcW w:w="3086" w:type="dxa"/>
            <w:gridSpan w:val="2"/>
            <w:vAlign w:val="center"/>
          </w:tcPr>
          <w:p w14:paraId="1BC83561">
            <w:pPr>
              <w:widowControl/>
              <w:jc w:val="center"/>
              <w:textAlignment w:val="center"/>
              <w:rPr>
                <w:rFonts w:hint="default" w:ascii="Times New Roman" w:hAnsi="Times New Roman" w:eastAsia="宋体" w:cs="Times New Roman"/>
                <w:kern w:val="0"/>
                <w:sz w:val="21"/>
                <w:szCs w:val="21"/>
                <w:highlight w:val="none"/>
                <w:lang w:val="en-US" w:eastAsia="zh-CN" w:bidi="ar"/>
              </w:rPr>
            </w:pPr>
            <w:r>
              <w:rPr>
                <w:rFonts w:hint="eastAsia" w:cs="Times New Roman"/>
                <w:kern w:val="0"/>
                <w:sz w:val="21"/>
                <w:szCs w:val="21"/>
                <w:highlight w:val="none"/>
                <w:lang w:val="en-US" w:eastAsia="zh-CN" w:bidi="ar"/>
              </w:rPr>
              <w:t>合计</w:t>
            </w:r>
          </w:p>
        </w:tc>
        <w:tc>
          <w:tcPr>
            <w:tcW w:w="1517" w:type="dxa"/>
            <w:vAlign w:val="center"/>
          </w:tcPr>
          <w:p w14:paraId="5F43497A">
            <w:pPr>
              <w:widowControl/>
              <w:jc w:val="center"/>
              <w:textAlignment w:val="center"/>
              <w:rPr>
                <w:rFonts w:hint="default" w:ascii="Times New Roman" w:hAnsi="Times New Roman" w:cs="Times New Roman"/>
                <w:kern w:val="0"/>
                <w:sz w:val="21"/>
                <w:szCs w:val="21"/>
                <w:highlight w:val="none"/>
                <w:lang w:bidi="ar"/>
              </w:rPr>
            </w:pPr>
          </w:p>
        </w:tc>
        <w:tc>
          <w:tcPr>
            <w:tcW w:w="2316" w:type="dxa"/>
            <w:vAlign w:val="center"/>
          </w:tcPr>
          <w:p w14:paraId="67C98A3F">
            <w:pPr>
              <w:widowControl/>
              <w:jc w:val="center"/>
              <w:textAlignment w:val="center"/>
              <w:rPr>
                <w:rFonts w:ascii="Times New Roman" w:hAnsi="Times New Roman" w:cs="Times New Roman"/>
                <w:kern w:val="0"/>
                <w:sz w:val="21"/>
                <w:szCs w:val="21"/>
                <w:highlight w:val="none"/>
                <w:lang w:bidi="ar"/>
              </w:rPr>
            </w:pPr>
          </w:p>
        </w:tc>
        <w:tc>
          <w:tcPr>
            <w:tcW w:w="1610" w:type="dxa"/>
            <w:vAlign w:val="center"/>
          </w:tcPr>
          <w:p w14:paraId="580536B2">
            <w:pPr>
              <w:keepNext w:val="0"/>
              <w:keepLines w:val="0"/>
              <w:widowControl/>
              <w:suppressLineNumbers w:val="0"/>
              <w:jc w:val="right"/>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20,146.17</w:t>
            </w:r>
          </w:p>
        </w:tc>
      </w:tr>
    </w:tbl>
    <w:p w14:paraId="34CDFB6A">
      <w:pPr>
        <w:widowControl/>
        <w:spacing w:line="360" w:lineRule="auto"/>
        <w:ind w:firstLine="0" w:firstLineChars="0"/>
        <w:rPr>
          <w:rFonts w:hint="eastAsia" w:ascii="宋体" w:hAnsi="宋体"/>
          <w:kern w:val="0"/>
          <w:szCs w:val="21"/>
          <w:highlight w:val="none"/>
        </w:rPr>
      </w:pPr>
    </w:p>
    <w:p w14:paraId="6D984B9F">
      <w:pPr>
        <w:widowControl/>
        <w:spacing w:before="240" w:beforeLines="100" w:line="360" w:lineRule="auto"/>
        <w:ind w:firstLine="422" w:firstLineChars="200"/>
        <w:outlineLvl w:val="1"/>
        <w:rPr>
          <w:rFonts w:hint="eastAsia" w:ascii="宋体" w:hAnsi="宋体" w:cs="宋体"/>
          <w:b/>
          <w:kern w:val="0"/>
          <w:szCs w:val="21"/>
          <w:highlight w:val="none"/>
        </w:rPr>
      </w:pPr>
      <w:r>
        <w:rPr>
          <w:rFonts w:ascii="宋体" w:hAnsi="宋体"/>
          <w:b/>
          <w:kern w:val="0"/>
          <w:szCs w:val="21"/>
          <w:highlight w:val="none"/>
        </w:rPr>
        <w:t>四、</w:t>
      </w:r>
      <w:r>
        <w:rPr>
          <w:rFonts w:ascii="宋体" w:hAnsi="宋体"/>
          <w:b/>
          <w:kern w:val="0"/>
          <w:szCs w:val="21"/>
          <w:highlight w:val="none"/>
        </w:rPr>
        <w:tab/>
      </w:r>
      <w:r>
        <w:rPr>
          <w:rFonts w:hint="eastAsia" w:ascii="宋体" w:hAnsi="宋体" w:cs="宋体"/>
          <w:b/>
          <w:kern w:val="0"/>
          <w:szCs w:val="21"/>
          <w:highlight w:val="none"/>
        </w:rPr>
        <w:tab/>
      </w:r>
      <w:r>
        <w:rPr>
          <w:rFonts w:hint="eastAsia" w:ascii="宋体" w:hAnsi="宋体" w:cs="宋体"/>
          <w:b/>
          <w:kern w:val="0"/>
          <w:szCs w:val="21"/>
          <w:highlight w:val="none"/>
        </w:rPr>
        <w:t>2024年度募集资金的使用情况</w:t>
      </w:r>
    </w:p>
    <w:p w14:paraId="654D6E9B">
      <w:pPr>
        <w:widowControl/>
        <w:spacing w:line="360" w:lineRule="auto"/>
        <w:ind w:firstLine="420" w:firstLineChars="200"/>
        <w:rPr>
          <w:rFonts w:hint="eastAsia" w:ascii="宋体" w:hAnsi="宋体" w:cs="宋体"/>
          <w:bCs/>
          <w:kern w:val="0"/>
          <w:szCs w:val="21"/>
          <w:highlight w:val="none"/>
        </w:rPr>
      </w:pPr>
      <w:r>
        <w:rPr>
          <w:rFonts w:hint="eastAsia" w:ascii="宋体" w:hAnsi="宋体" w:cs="宋体"/>
          <w:bCs/>
          <w:kern w:val="0"/>
          <w:szCs w:val="21"/>
          <w:highlight w:val="none"/>
        </w:rPr>
        <w:t>详见附表一《募集资金使用情况表》。</w:t>
      </w:r>
    </w:p>
    <w:p w14:paraId="5DC1A707">
      <w:pPr>
        <w:widowControl/>
        <w:spacing w:before="240" w:beforeLines="100" w:line="360" w:lineRule="auto"/>
        <w:ind w:firstLine="422" w:firstLineChars="200"/>
        <w:outlineLvl w:val="1"/>
        <w:rPr>
          <w:rFonts w:hint="eastAsia" w:ascii="宋体" w:hAnsi="宋体" w:cs="宋体"/>
          <w:b/>
          <w:kern w:val="0"/>
          <w:szCs w:val="21"/>
          <w:highlight w:val="none"/>
        </w:rPr>
      </w:pPr>
      <w:r>
        <w:rPr>
          <w:rFonts w:ascii="宋体" w:hAnsi="宋体"/>
          <w:b/>
          <w:kern w:val="0"/>
          <w:szCs w:val="21"/>
          <w:highlight w:val="none"/>
        </w:rPr>
        <w:t>五、</w:t>
      </w:r>
      <w:r>
        <w:rPr>
          <w:rFonts w:ascii="宋体" w:hAnsi="宋体"/>
          <w:b/>
          <w:kern w:val="0"/>
          <w:szCs w:val="21"/>
          <w:highlight w:val="none"/>
        </w:rPr>
        <w:tab/>
      </w:r>
      <w:r>
        <w:rPr>
          <w:rFonts w:hint="eastAsia" w:ascii="宋体" w:hAnsi="宋体" w:cs="宋体"/>
          <w:b/>
          <w:kern w:val="0"/>
          <w:szCs w:val="21"/>
          <w:highlight w:val="none"/>
        </w:rPr>
        <w:t>变更募集资金投资项目的资金使用情况</w:t>
      </w:r>
    </w:p>
    <w:p w14:paraId="2059D75F">
      <w:pPr>
        <w:widowControl/>
        <w:spacing w:line="360" w:lineRule="auto"/>
        <w:ind w:firstLine="420" w:firstLineChars="200"/>
        <w:rPr>
          <w:rFonts w:hint="eastAsia" w:ascii="宋体" w:hAnsi="宋体"/>
          <w:kern w:val="0"/>
          <w:szCs w:val="21"/>
          <w:highlight w:val="none"/>
        </w:rPr>
      </w:pPr>
      <w:r>
        <w:rPr>
          <w:rFonts w:hint="eastAsia" w:ascii="宋体" w:hAnsi="宋体"/>
          <w:kern w:val="0"/>
          <w:szCs w:val="21"/>
          <w:highlight w:val="none"/>
        </w:rPr>
        <w:t>公司于2022年6月15日召开第三届董事会第十二次会议和第三届监事会第十次会议，审议通过了《关于变更部分募投项目实施地点的议案》，同意公司将募集资金投资项目“研发中心及信息化建设项目”的实施地点进行变更。独立董事对此发表了同意的独立意见，保荐机构对该事项无异议。相关公告请见公司于上海证券交易所官方网站（www.sse.com.cn）披露的《望变电气关于变更部分募投项目实施地点的公告》（公告编号：2022-019）。本次募投项目实施地点的变更未改变募集资金的用途、投资金额、实施主体以及实施方式等，不会对募集资金投资项目的实施造成实质性影响，不存在变相改变募集资金用途和损害股东利益的情形。</w:t>
      </w:r>
    </w:p>
    <w:p w14:paraId="78DB4AE2">
      <w:pPr>
        <w:widowControl/>
        <w:spacing w:line="360" w:lineRule="auto"/>
        <w:ind w:firstLine="420" w:firstLineChars="200"/>
        <w:rPr>
          <w:rFonts w:hint="eastAsia" w:ascii="宋体" w:hAnsi="宋体"/>
          <w:kern w:val="0"/>
          <w:szCs w:val="21"/>
          <w:highlight w:val="none"/>
        </w:rPr>
      </w:pPr>
      <w:r>
        <w:rPr>
          <w:rFonts w:hint="eastAsia" w:ascii="宋体" w:hAnsi="宋体"/>
          <w:kern w:val="0"/>
          <w:szCs w:val="21"/>
          <w:highlight w:val="none"/>
        </w:rPr>
        <w:t>变更详情见下表：</w:t>
      </w:r>
    </w:p>
    <w:tbl>
      <w:tblPr>
        <w:tblStyle w:val="12"/>
        <w:tblW w:w="5000" w:type="pct"/>
        <w:tblInd w:w="0" w:type="dxa"/>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Layout w:type="autofit"/>
        <w:tblCellMar>
          <w:top w:w="0" w:type="dxa"/>
          <w:left w:w="45" w:type="dxa"/>
          <w:bottom w:w="0" w:type="dxa"/>
          <w:right w:w="45" w:type="dxa"/>
        </w:tblCellMar>
      </w:tblPr>
      <w:tblGrid>
        <w:gridCol w:w="597"/>
        <w:gridCol w:w="1351"/>
        <w:gridCol w:w="3293"/>
        <w:gridCol w:w="3541"/>
      </w:tblGrid>
      <w:tr w14:paraId="0385BFB4">
        <w:trPr>
          <w:trHeight w:val="340" w:hRule="atLeast"/>
          <w:tblHeader/>
        </w:trPr>
        <w:tc>
          <w:tcPr>
            <w:tcW w:w="340" w:type="pct"/>
            <w:shd w:val="clear" w:color="auto" w:fill="auto"/>
            <w:vAlign w:val="center"/>
          </w:tcPr>
          <w:p w14:paraId="28BE9E7B">
            <w:pPr>
              <w:widowControl/>
              <w:adjustRightInd w:val="0"/>
              <w:snapToGrid w:val="0"/>
              <w:spacing w:line="240" w:lineRule="exact"/>
              <w:jc w:val="center"/>
              <w:rPr>
                <w:rFonts w:hint="eastAsia" w:ascii="宋体" w:hAnsi="宋体"/>
                <w:snapToGrid w:val="0"/>
                <w:kern w:val="0"/>
                <w:sz w:val="18"/>
                <w:szCs w:val="18"/>
                <w:highlight w:val="none"/>
              </w:rPr>
            </w:pPr>
            <w:r>
              <w:rPr>
                <w:rFonts w:hint="eastAsia" w:ascii="宋体" w:hAnsi="宋体"/>
                <w:snapToGrid w:val="0"/>
                <w:kern w:val="0"/>
                <w:sz w:val="18"/>
                <w:szCs w:val="18"/>
                <w:highlight w:val="none"/>
              </w:rPr>
              <w:t>序号</w:t>
            </w:r>
          </w:p>
        </w:tc>
        <w:tc>
          <w:tcPr>
            <w:tcW w:w="769" w:type="pct"/>
            <w:shd w:val="clear" w:color="auto" w:fill="auto"/>
            <w:vAlign w:val="center"/>
          </w:tcPr>
          <w:p w14:paraId="331A399B">
            <w:pPr>
              <w:widowControl/>
              <w:adjustRightInd w:val="0"/>
              <w:snapToGrid w:val="0"/>
              <w:spacing w:line="240" w:lineRule="exact"/>
              <w:jc w:val="center"/>
              <w:rPr>
                <w:rFonts w:hint="eastAsia" w:ascii="宋体" w:hAnsi="宋体"/>
                <w:snapToGrid w:val="0"/>
                <w:kern w:val="0"/>
                <w:sz w:val="18"/>
                <w:szCs w:val="18"/>
                <w:highlight w:val="none"/>
              </w:rPr>
            </w:pPr>
            <w:r>
              <w:rPr>
                <w:rFonts w:hint="eastAsia" w:ascii="宋体" w:hAnsi="宋体"/>
                <w:snapToGrid w:val="0"/>
                <w:kern w:val="0"/>
                <w:sz w:val="18"/>
                <w:szCs w:val="18"/>
                <w:highlight w:val="none"/>
              </w:rPr>
              <w:t>项目名称</w:t>
            </w:r>
          </w:p>
        </w:tc>
        <w:tc>
          <w:tcPr>
            <w:tcW w:w="1875" w:type="pct"/>
            <w:shd w:val="clear" w:color="auto" w:fill="auto"/>
            <w:vAlign w:val="center"/>
          </w:tcPr>
          <w:p w14:paraId="0DE48DFB">
            <w:pPr>
              <w:widowControl/>
              <w:adjustRightInd w:val="0"/>
              <w:snapToGrid w:val="0"/>
              <w:spacing w:line="240" w:lineRule="exact"/>
              <w:jc w:val="center"/>
              <w:rPr>
                <w:rFonts w:hint="eastAsia" w:ascii="宋体" w:hAnsi="宋体"/>
                <w:snapToGrid w:val="0"/>
                <w:kern w:val="0"/>
                <w:sz w:val="18"/>
                <w:szCs w:val="18"/>
                <w:highlight w:val="none"/>
              </w:rPr>
            </w:pPr>
            <w:r>
              <w:rPr>
                <w:rFonts w:hint="eastAsia" w:ascii="宋体" w:hAnsi="宋体"/>
                <w:snapToGrid w:val="0"/>
                <w:kern w:val="0"/>
                <w:sz w:val="18"/>
                <w:szCs w:val="18"/>
                <w:highlight w:val="none"/>
              </w:rPr>
              <w:t>变更前实施地点</w:t>
            </w:r>
          </w:p>
        </w:tc>
        <w:tc>
          <w:tcPr>
            <w:tcW w:w="2016" w:type="pct"/>
            <w:shd w:val="clear" w:color="auto" w:fill="auto"/>
            <w:vAlign w:val="center"/>
          </w:tcPr>
          <w:p w14:paraId="69C86EB4">
            <w:pPr>
              <w:widowControl/>
              <w:adjustRightInd w:val="0"/>
              <w:snapToGrid w:val="0"/>
              <w:spacing w:line="240" w:lineRule="exact"/>
              <w:jc w:val="center"/>
              <w:rPr>
                <w:rFonts w:hint="eastAsia" w:ascii="宋体" w:hAnsi="宋体"/>
                <w:snapToGrid w:val="0"/>
                <w:kern w:val="0"/>
                <w:sz w:val="18"/>
                <w:szCs w:val="18"/>
                <w:highlight w:val="none"/>
              </w:rPr>
            </w:pPr>
            <w:r>
              <w:rPr>
                <w:rFonts w:hint="eastAsia" w:ascii="宋体" w:hAnsi="宋体"/>
                <w:snapToGrid w:val="0"/>
                <w:kern w:val="0"/>
                <w:sz w:val="18"/>
                <w:szCs w:val="18"/>
                <w:highlight w:val="none"/>
              </w:rPr>
              <w:t>变更后实施地点</w:t>
            </w:r>
          </w:p>
        </w:tc>
      </w:tr>
      <w:tr w14:paraId="49A8F76E">
        <w:trPr>
          <w:cantSplit/>
          <w:trHeight w:val="340" w:hRule="atLeast"/>
        </w:trPr>
        <w:tc>
          <w:tcPr>
            <w:tcW w:w="340" w:type="pct"/>
            <w:shd w:val="clear" w:color="auto" w:fill="auto"/>
            <w:vAlign w:val="center"/>
          </w:tcPr>
          <w:p w14:paraId="7AF2D0F0">
            <w:pPr>
              <w:widowControl/>
              <w:adjustRightInd w:val="0"/>
              <w:snapToGrid w:val="0"/>
              <w:spacing w:line="240" w:lineRule="exact"/>
              <w:jc w:val="center"/>
              <w:rPr>
                <w:rFonts w:ascii="Arial Narrow" w:hAnsi="Arial Narrow"/>
                <w:snapToGrid w:val="0"/>
                <w:kern w:val="0"/>
                <w:sz w:val="18"/>
                <w:szCs w:val="18"/>
                <w:highlight w:val="none"/>
              </w:rPr>
            </w:pPr>
            <w:r>
              <w:rPr>
                <w:rFonts w:ascii="Arial Narrow" w:hAnsi="Arial Narrow"/>
                <w:snapToGrid w:val="0"/>
                <w:kern w:val="0"/>
                <w:sz w:val="18"/>
                <w:szCs w:val="18"/>
                <w:highlight w:val="none"/>
              </w:rPr>
              <w:t>1</w:t>
            </w:r>
          </w:p>
        </w:tc>
        <w:tc>
          <w:tcPr>
            <w:tcW w:w="769" w:type="pct"/>
            <w:shd w:val="clear" w:color="auto" w:fill="auto"/>
            <w:vAlign w:val="center"/>
          </w:tcPr>
          <w:p w14:paraId="5C76139F">
            <w:pPr>
              <w:widowControl/>
              <w:adjustRightInd w:val="0"/>
              <w:snapToGrid w:val="0"/>
              <w:spacing w:line="240" w:lineRule="exact"/>
              <w:jc w:val="left"/>
              <w:rPr>
                <w:rFonts w:ascii="Arial Narrow" w:hAnsi="Arial Narrow"/>
                <w:snapToGrid w:val="0"/>
                <w:kern w:val="0"/>
                <w:sz w:val="18"/>
                <w:szCs w:val="18"/>
                <w:highlight w:val="none"/>
              </w:rPr>
            </w:pPr>
            <w:r>
              <w:rPr>
                <w:rFonts w:hint="eastAsia" w:ascii="Arial Narrow" w:hAnsi="Arial Narrow"/>
                <w:snapToGrid w:val="0"/>
                <w:kern w:val="0"/>
                <w:sz w:val="18"/>
                <w:szCs w:val="18"/>
                <w:highlight w:val="none"/>
              </w:rPr>
              <w:t>研发中心及信息化建设项目</w:t>
            </w:r>
          </w:p>
        </w:tc>
        <w:tc>
          <w:tcPr>
            <w:tcW w:w="1875" w:type="pct"/>
            <w:shd w:val="clear" w:color="auto" w:fill="auto"/>
            <w:vAlign w:val="center"/>
          </w:tcPr>
          <w:p w14:paraId="289BE290">
            <w:pPr>
              <w:widowControl/>
              <w:adjustRightInd w:val="0"/>
              <w:snapToGrid w:val="0"/>
              <w:spacing w:line="240" w:lineRule="exact"/>
              <w:ind w:right="105"/>
              <w:jc w:val="left"/>
              <w:rPr>
                <w:rFonts w:ascii="Arial Narrow" w:hAnsi="Arial Narrow"/>
                <w:snapToGrid w:val="0"/>
                <w:kern w:val="0"/>
                <w:sz w:val="18"/>
                <w:szCs w:val="18"/>
                <w:highlight w:val="none"/>
              </w:rPr>
            </w:pPr>
            <w:r>
              <w:rPr>
                <w:rFonts w:hint="eastAsia" w:ascii="Arial Narrow" w:hAnsi="Arial Narrow"/>
                <w:snapToGrid w:val="0"/>
                <w:kern w:val="0"/>
                <w:sz w:val="18"/>
                <w:szCs w:val="18"/>
                <w:highlight w:val="none"/>
              </w:rPr>
              <w:t>重庆市长寿区化北路18号（对应土地证号：渝（2022）长寿区不动产权第000112594号、渝（2019）长寿区不动产权第000759653号）</w:t>
            </w:r>
          </w:p>
        </w:tc>
        <w:tc>
          <w:tcPr>
            <w:tcW w:w="2016" w:type="pct"/>
            <w:shd w:val="clear" w:color="auto" w:fill="auto"/>
            <w:vAlign w:val="center"/>
          </w:tcPr>
          <w:p w14:paraId="56764F59">
            <w:pPr>
              <w:widowControl/>
              <w:adjustRightInd w:val="0"/>
              <w:snapToGrid w:val="0"/>
              <w:spacing w:line="240" w:lineRule="exact"/>
              <w:ind w:right="105"/>
              <w:jc w:val="left"/>
              <w:rPr>
                <w:rFonts w:ascii="Arial Narrow" w:hAnsi="Arial Narrow"/>
                <w:snapToGrid w:val="0"/>
                <w:kern w:val="0"/>
                <w:sz w:val="18"/>
                <w:szCs w:val="18"/>
                <w:highlight w:val="none"/>
              </w:rPr>
            </w:pPr>
            <w:r>
              <w:rPr>
                <w:rFonts w:hint="eastAsia" w:ascii="Arial Narrow" w:hAnsi="Arial Narrow"/>
                <w:snapToGrid w:val="0"/>
                <w:kern w:val="0"/>
                <w:sz w:val="18"/>
                <w:szCs w:val="18"/>
                <w:highlight w:val="none"/>
              </w:rPr>
              <w:t>重庆市长寿区化北路18号、重庆市长寿区化北路9号、重庆市长寿区齐心东路5号、重庆市长寿区齐心东路10号</w:t>
            </w:r>
          </w:p>
        </w:tc>
      </w:tr>
    </w:tbl>
    <w:p w14:paraId="449D3E74">
      <w:pPr>
        <w:pStyle w:val="4"/>
        <w:widowControl/>
        <w:spacing w:before="120" w:beforeLines="50"/>
        <w:ind w:firstLineChars="200"/>
        <w:outlineLvl w:val="1"/>
        <w:rPr>
          <w:rFonts w:hint="eastAsia" w:ascii="宋体" w:hAnsi="宋体"/>
          <w:kern w:val="0"/>
          <w:szCs w:val="21"/>
          <w:highlight w:val="none"/>
        </w:rPr>
      </w:pPr>
      <w:r>
        <w:rPr>
          <w:rFonts w:hint="eastAsia" w:ascii="宋体" w:hAnsi="宋体"/>
          <w:kern w:val="0"/>
          <w:szCs w:val="21"/>
          <w:highlight w:val="none"/>
        </w:rPr>
        <w:t>公司于2022年8月23日召开第三届董事会第十三次会议和第三届监事会第十一次会议，审议通过了《关于使用银行承兑汇票、信用证方式支付募投项目资金并以募集资金等额置换的议案》，同意公司使用银行承兑汇票、信用证等方式支付募投项目资金并以募集资金等额置换事项。独立董事对此发表了同意的独立意见，保荐机构对该事项无异议。相关公告请见公司于上海证券交易所官方网站（www.sse.com.cn）披露的《关于使用银行承兑汇票、信用证方式支付募投项目资金并以募集资金等额置换的公告》（公告编号：2022-0</w:t>
      </w:r>
      <w:r>
        <w:rPr>
          <w:rFonts w:ascii="宋体" w:hAnsi="宋体"/>
          <w:kern w:val="0"/>
          <w:szCs w:val="21"/>
          <w:highlight w:val="none"/>
        </w:rPr>
        <w:t>28</w:t>
      </w:r>
      <w:r>
        <w:rPr>
          <w:rFonts w:hint="eastAsia" w:ascii="宋体" w:hAnsi="宋体"/>
          <w:kern w:val="0"/>
          <w:szCs w:val="21"/>
          <w:highlight w:val="none"/>
        </w:rPr>
        <w:t>）。本次募集资金置换有利于提高资金使用效率和运营管理效率，符合公司和股东的利益，不会影响募投项目的正常实施，也不存在改变或变相改变募集资金投向和损害公司、股东利益的情形。</w:t>
      </w:r>
    </w:p>
    <w:p w14:paraId="13794559">
      <w:pPr>
        <w:pStyle w:val="4"/>
        <w:widowControl/>
        <w:ind w:firstLineChars="200"/>
        <w:rPr>
          <w:rFonts w:hint="eastAsia" w:ascii="宋体" w:hAnsi="宋体" w:cs="宋体"/>
          <w:bCs/>
          <w:kern w:val="0"/>
          <w:szCs w:val="21"/>
          <w:highlight w:val="none"/>
        </w:rPr>
      </w:pPr>
      <w:r>
        <w:rPr>
          <w:rFonts w:hint="eastAsia" w:ascii="宋体" w:hAnsi="宋体" w:cs="宋体"/>
          <w:bCs/>
          <w:kern w:val="0"/>
          <w:szCs w:val="21"/>
          <w:highlight w:val="none"/>
        </w:rPr>
        <w:t>公司于2023年3月27日召开第三届董事会第十五次会议、第三届监事会第十三次会议，审议通过了《关于部分募集资金投资项目延期的议案》，在募投项目实施主体、实施方式、募集资金投资用途及投资规模不发生变更的前提下，将首次公开发行股票募投项目中“智能成套电气设备产业基地项目”“110kV及以下节能型变压器智能化工厂技改项目”“低铁损高磁感硅钢铁心智能制造项目”“研发中心及信息化建设项目”的预定可使用状态日期进行延期。相关公告请见公司于上海证券交易所官方网站（www.sse.com.cn）披露的《关于部分募投项目延期的公告》（公告编号：2023-012）。</w:t>
      </w:r>
    </w:p>
    <w:p w14:paraId="55F57AB0">
      <w:pPr>
        <w:pStyle w:val="4"/>
        <w:widowControl/>
        <w:ind w:firstLineChars="200"/>
        <w:rPr>
          <w:rFonts w:hint="eastAsia" w:ascii="宋体" w:hAnsi="宋体"/>
          <w:kern w:val="0"/>
          <w:szCs w:val="21"/>
          <w:highlight w:val="none"/>
        </w:rPr>
      </w:pPr>
      <w:r>
        <w:rPr>
          <w:rFonts w:hint="eastAsia" w:ascii="宋体" w:hAnsi="宋体" w:cs="宋体"/>
          <w:bCs/>
          <w:kern w:val="0"/>
          <w:szCs w:val="21"/>
          <w:highlight w:val="none"/>
        </w:rPr>
        <w:t>公司于2023年10月25日召开的第三届董事会第十八次会议及第三届监事会第十六次会议审议通过了《关于变更部分募集资金用途并实施新募投项目的的议案》，公司独立董事发表了明确同意的独立意见，本事项不构成关联交易，尚需提交股东大会审议。</w:t>
      </w:r>
      <w:r>
        <w:rPr>
          <w:rFonts w:hint="eastAsia" w:ascii="宋体" w:hAnsi="宋体"/>
          <w:kern w:val="0"/>
          <w:szCs w:val="21"/>
          <w:highlight w:val="none"/>
        </w:rPr>
        <w:t>相关公告请见公司于上海证券交易所官方网站（www.sse.com.cn）披露的《关于变更部分募集资金用途并实施新募投项目的公告》（公告编号：2023-045）</w:t>
      </w:r>
      <w:r>
        <w:rPr>
          <w:rFonts w:hint="eastAsia" w:ascii="宋体" w:hAnsi="宋体" w:cs="宋体"/>
          <w:bCs/>
          <w:kern w:val="0"/>
          <w:szCs w:val="21"/>
          <w:highlight w:val="none"/>
        </w:rPr>
        <w:t>。本事项经2023年第二次临时股东大会决议通过。</w:t>
      </w:r>
      <w:r>
        <w:rPr>
          <w:rFonts w:hint="eastAsia" w:ascii="宋体" w:hAnsi="宋体"/>
          <w:kern w:val="0"/>
          <w:szCs w:val="21"/>
          <w:highlight w:val="none"/>
        </w:rPr>
        <w:t>相关公告请见公司于上海证券交易所官方网站（www.sse.com.cn）披露的《2023年第二次临时股东大会决议公告》（公告编号：2023-054）</w:t>
      </w:r>
      <w:r>
        <w:rPr>
          <w:rFonts w:hint="eastAsia" w:ascii="宋体" w:hAnsi="宋体" w:cs="宋体"/>
          <w:bCs/>
          <w:kern w:val="0"/>
          <w:szCs w:val="21"/>
          <w:highlight w:val="none"/>
        </w:rPr>
        <w:t>。变更情况详见附表二《变更募集资金投资项目情况表》。</w:t>
      </w:r>
    </w:p>
    <w:p w14:paraId="44C10B3B">
      <w:pPr>
        <w:widowControl/>
        <w:spacing w:before="240" w:beforeLines="100" w:line="360" w:lineRule="auto"/>
        <w:ind w:firstLine="422" w:firstLineChars="200"/>
        <w:outlineLvl w:val="1"/>
        <w:rPr>
          <w:rFonts w:hint="eastAsia" w:ascii="宋体" w:hAnsi="宋体" w:cs="宋体"/>
          <w:b/>
          <w:kern w:val="0"/>
          <w:szCs w:val="21"/>
          <w:highlight w:val="none"/>
        </w:rPr>
      </w:pPr>
      <w:r>
        <w:rPr>
          <w:rFonts w:ascii="宋体" w:hAnsi="宋体"/>
          <w:b/>
          <w:kern w:val="0"/>
          <w:szCs w:val="21"/>
          <w:highlight w:val="none"/>
        </w:rPr>
        <w:t>六、</w:t>
      </w:r>
      <w:r>
        <w:rPr>
          <w:rFonts w:ascii="宋体" w:hAnsi="宋体"/>
          <w:b/>
          <w:kern w:val="0"/>
          <w:szCs w:val="21"/>
          <w:highlight w:val="none"/>
        </w:rPr>
        <w:tab/>
      </w:r>
      <w:r>
        <w:rPr>
          <w:rFonts w:hint="eastAsia" w:ascii="宋体" w:hAnsi="宋体" w:cs="宋体"/>
          <w:b/>
          <w:kern w:val="0"/>
          <w:szCs w:val="21"/>
          <w:highlight w:val="none"/>
        </w:rPr>
        <w:t>募集资金使用及披露中存在的问题</w:t>
      </w:r>
    </w:p>
    <w:p w14:paraId="36B178E9">
      <w:pPr>
        <w:widowControl/>
        <w:spacing w:line="360" w:lineRule="auto"/>
        <w:ind w:firstLine="420" w:firstLineChars="200"/>
        <w:rPr>
          <w:rFonts w:hint="eastAsia" w:ascii="宋体" w:hAnsi="宋体"/>
          <w:kern w:val="0"/>
          <w:szCs w:val="21"/>
          <w:highlight w:val="none"/>
        </w:rPr>
      </w:pPr>
      <w:r>
        <w:rPr>
          <w:rFonts w:ascii="宋体" w:hAnsi="宋体"/>
          <w:kern w:val="0"/>
          <w:szCs w:val="21"/>
          <w:highlight w:val="none"/>
        </w:rPr>
        <w:t>本公司已披</w:t>
      </w:r>
      <w:r>
        <w:rPr>
          <w:rFonts w:hint="eastAsia" w:ascii="宋体" w:hAnsi="宋体"/>
          <w:kern w:val="0"/>
          <w:szCs w:val="21"/>
          <w:highlight w:val="none"/>
        </w:rPr>
        <w:t>露</w:t>
      </w:r>
      <w:r>
        <w:rPr>
          <w:rFonts w:ascii="宋体" w:hAnsi="宋体"/>
          <w:kern w:val="0"/>
          <w:szCs w:val="21"/>
          <w:highlight w:val="none"/>
        </w:rPr>
        <w:t>的</w:t>
      </w:r>
      <w:r>
        <w:rPr>
          <w:rFonts w:hint="eastAsia" w:ascii="宋体" w:hAnsi="宋体"/>
          <w:kern w:val="0"/>
          <w:szCs w:val="21"/>
          <w:highlight w:val="none"/>
        </w:rPr>
        <w:t>关</w:t>
      </w:r>
      <w:r>
        <w:rPr>
          <w:rFonts w:ascii="宋体" w:hAnsi="宋体"/>
          <w:kern w:val="0"/>
          <w:szCs w:val="21"/>
          <w:highlight w:val="none"/>
        </w:rPr>
        <w:t>于募集资金使用</w:t>
      </w:r>
      <w:r>
        <w:rPr>
          <w:rFonts w:hint="eastAsia" w:ascii="宋体" w:hAnsi="宋体"/>
          <w:kern w:val="0"/>
          <w:szCs w:val="21"/>
          <w:highlight w:val="none"/>
        </w:rPr>
        <w:t>相</w:t>
      </w:r>
      <w:r>
        <w:rPr>
          <w:rFonts w:ascii="宋体" w:hAnsi="宋体"/>
          <w:kern w:val="0"/>
          <w:szCs w:val="21"/>
          <w:highlight w:val="none"/>
        </w:rPr>
        <w:t>关信息及时、真实、准确、完整</w:t>
      </w:r>
      <w:r>
        <w:rPr>
          <w:rFonts w:hint="eastAsia" w:ascii="宋体" w:hAnsi="宋体"/>
          <w:kern w:val="0"/>
          <w:szCs w:val="21"/>
          <w:highlight w:val="none"/>
        </w:rPr>
        <w:t>，</w:t>
      </w:r>
      <w:r>
        <w:rPr>
          <w:rFonts w:ascii="宋体" w:hAnsi="宋体"/>
          <w:kern w:val="0"/>
          <w:szCs w:val="21"/>
          <w:highlight w:val="none"/>
        </w:rPr>
        <w:t>募集资金</w:t>
      </w:r>
      <w:r>
        <w:rPr>
          <w:rFonts w:hint="eastAsia" w:ascii="宋体" w:hAnsi="宋体"/>
          <w:kern w:val="0"/>
          <w:szCs w:val="21"/>
          <w:highlight w:val="none"/>
        </w:rPr>
        <w:t>的使用</w:t>
      </w:r>
      <w:r>
        <w:rPr>
          <w:rFonts w:ascii="宋体" w:hAnsi="宋体"/>
          <w:kern w:val="0"/>
          <w:szCs w:val="21"/>
          <w:highlight w:val="none"/>
        </w:rPr>
        <w:t>和管理</w:t>
      </w:r>
      <w:r>
        <w:rPr>
          <w:rFonts w:hint="eastAsia" w:ascii="宋体" w:hAnsi="宋体"/>
          <w:kern w:val="0"/>
          <w:szCs w:val="21"/>
          <w:highlight w:val="none"/>
        </w:rPr>
        <w:t>不</w:t>
      </w:r>
      <w:r>
        <w:rPr>
          <w:rFonts w:ascii="宋体" w:hAnsi="宋体"/>
          <w:kern w:val="0"/>
          <w:szCs w:val="21"/>
          <w:highlight w:val="none"/>
        </w:rPr>
        <w:t>存在违规情况。</w:t>
      </w:r>
    </w:p>
    <w:p w14:paraId="2DFABBD9">
      <w:pPr>
        <w:widowControl/>
        <w:spacing w:line="360" w:lineRule="auto"/>
        <w:ind w:firstLine="0" w:firstLineChars="0"/>
        <w:rPr>
          <w:rFonts w:hint="eastAsia" w:ascii="宋体" w:hAnsi="宋体"/>
          <w:kern w:val="0"/>
          <w:szCs w:val="21"/>
          <w:highlight w:val="none"/>
        </w:rPr>
      </w:pPr>
    </w:p>
    <w:p w14:paraId="72865035">
      <w:pPr>
        <w:widowControl/>
        <w:spacing w:line="360" w:lineRule="auto"/>
        <w:ind w:firstLine="420" w:firstLineChars="200"/>
        <w:rPr>
          <w:rFonts w:hint="eastAsia" w:ascii="宋体" w:hAnsi="宋体"/>
          <w:kern w:val="0"/>
          <w:szCs w:val="21"/>
          <w:highlight w:val="none"/>
        </w:rPr>
      </w:pPr>
    </w:p>
    <w:p w14:paraId="12712568">
      <w:pPr>
        <w:widowControl/>
        <w:spacing w:line="360" w:lineRule="auto"/>
        <w:ind w:firstLine="422" w:firstLineChars="200"/>
        <w:jc w:val="right"/>
        <w:rPr>
          <w:rFonts w:hint="eastAsia" w:ascii="宋体" w:hAnsi="宋体"/>
          <w:b/>
          <w:bCs/>
          <w:kern w:val="0"/>
          <w:szCs w:val="21"/>
          <w:highlight w:val="none"/>
        </w:rPr>
      </w:pPr>
      <w:r>
        <w:rPr>
          <w:rFonts w:hint="eastAsia" w:ascii="宋体" w:hAnsi="宋体" w:cs="Arial"/>
          <w:b/>
          <w:bCs/>
          <w:kern w:val="0"/>
          <w:highlight w:val="none"/>
        </w:rPr>
        <w:t>重庆望变电气（集团）股份有限公司</w:t>
      </w:r>
    </w:p>
    <w:p w14:paraId="5374C715">
      <w:pPr>
        <w:widowControl/>
        <w:spacing w:line="360" w:lineRule="auto"/>
        <w:ind w:right="422" w:firstLine="422" w:firstLineChars="200"/>
        <w:jc w:val="right"/>
        <w:rPr>
          <w:rFonts w:hint="eastAsia" w:ascii="宋体" w:hAnsi="宋体"/>
          <w:b/>
          <w:bCs/>
          <w:kern w:val="0"/>
          <w:highlight w:val="none"/>
        </w:rPr>
      </w:pPr>
      <w:r>
        <w:rPr>
          <w:rFonts w:hint="eastAsia" w:ascii="宋体" w:hAnsi="宋体"/>
          <w:b/>
          <w:bCs/>
          <w:kern w:val="0"/>
          <w:szCs w:val="21"/>
          <w:highlight w:val="none"/>
        </w:rPr>
        <w:t>二〇二四年八月二十八日</w:t>
      </w:r>
    </w:p>
    <w:p w14:paraId="6C348CCA">
      <w:pPr>
        <w:snapToGrid w:val="0"/>
        <w:spacing w:line="360" w:lineRule="auto"/>
        <w:ind w:firstLine="420" w:firstLineChars="200"/>
        <w:rPr>
          <w:rFonts w:hint="eastAsia" w:ascii="宋体" w:hAnsi="宋体"/>
          <w:szCs w:val="21"/>
          <w:highlight w:val="none"/>
        </w:rPr>
        <w:sectPr>
          <w:headerReference r:id="rId3" w:type="default"/>
          <w:footerReference r:id="rId4" w:type="default"/>
          <w:pgSz w:w="11907" w:h="16840"/>
          <w:pgMar w:top="1418" w:right="1418" w:bottom="1418" w:left="1797" w:header="851" w:footer="992" w:gutter="0"/>
          <w:cols w:space="425" w:num="1"/>
          <w:docGrid w:linePitch="435" w:charSpace="0"/>
        </w:sectPr>
      </w:pPr>
    </w:p>
    <w:p w14:paraId="2CCB3913">
      <w:pPr>
        <w:snapToGrid w:val="0"/>
        <w:spacing w:line="360" w:lineRule="auto"/>
        <w:rPr>
          <w:rFonts w:hint="eastAsia" w:ascii="宋体" w:hAnsi="宋体"/>
          <w:b/>
          <w:sz w:val="30"/>
          <w:szCs w:val="30"/>
          <w:highlight w:val="none"/>
        </w:rPr>
      </w:pPr>
      <w:r>
        <w:rPr>
          <w:rFonts w:hint="eastAsia" w:ascii="宋体" w:hAnsi="宋体"/>
          <w:b/>
          <w:sz w:val="30"/>
          <w:szCs w:val="30"/>
          <w:highlight w:val="none"/>
        </w:rPr>
        <w:t>附表一</w:t>
      </w:r>
    </w:p>
    <w:p w14:paraId="1BD91E00">
      <w:pPr>
        <w:snapToGrid w:val="0"/>
        <w:spacing w:line="360" w:lineRule="auto"/>
        <w:jc w:val="center"/>
        <w:rPr>
          <w:rFonts w:hint="eastAsia" w:ascii="宋体" w:hAnsi="宋体"/>
          <w:b/>
          <w:sz w:val="30"/>
          <w:szCs w:val="30"/>
          <w:highlight w:val="none"/>
        </w:rPr>
      </w:pPr>
      <w:r>
        <w:rPr>
          <w:rFonts w:hint="eastAsia" w:ascii="宋体" w:hAnsi="宋体"/>
          <w:b/>
          <w:sz w:val="30"/>
          <w:szCs w:val="30"/>
          <w:highlight w:val="none"/>
        </w:rPr>
        <w:t>募集资金使用情况表</w:t>
      </w:r>
    </w:p>
    <w:p w14:paraId="3D4DAAF1">
      <w:pPr>
        <w:snapToGrid w:val="0"/>
        <w:spacing w:before="120" w:beforeLines="50" w:line="360" w:lineRule="auto"/>
        <w:jc w:val="left"/>
        <w:rPr>
          <w:rFonts w:ascii="宋体"/>
          <w:b/>
          <w:sz w:val="30"/>
          <w:szCs w:val="30"/>
          <w:highlight w:val="none"/>
        </w:rPr>
      </w:pPr>
      <w:r>
        <w:rPr>
          <w:rFonts w:hint="eastAsia" w:ascii="宋体" w:hAnsi="宋体"/>
          <w:szCs w:val="21"/>
          <w:highlight w:val="none"/>
        </w:rPr>
        <w:t>编制单位：</w:t>
      </w:r>
      <w:r>
        <w:rPr>
          <w:rFonts w:hint="eastAsia" w:ascii="Arial Narrow" w:hAnsi="Arial Narrow" w:cs="Arial"/>
          <w:kern w:val="0"/>
          <w:highlight w:val="none"/>
        </w:rPr>
        <w:t>重庆望变电气（集团）股份有限公司</w:t>
      </w:r>
      <w:r>
        <w:rPr>
          <w:rFonts w:hint="eastAsia" w:ascii="宋体"/>
          <w:b/>
          <w:sz w:val="30"/>
          <w:szCs w:val="30"/>
          <w:highlight w:val="none"/>
        </w:rPr>
        <w:t xml:space="preserve">                                                   </w:t>
      </w:r>
      <w:r>
        <w:rPr>
          <w:rFonts w:hint="eastAsia" w:ascii="宋体" w:hAnsi="宋体"/>
          <w:szCs w:val="21"/>
          <w:highlight w:val="none"/>
        </w:rPr>
        <w:t>金额单位：人民币元</w:t>
      </w:r>
    </w:p>
    <w:tbl>
      <w:tblPr>
        <w:tblStyle w:val="11"/>
        <w:tblW w:w="14175" w:type="dxa"/>
        <w:jc w:val="center"/>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Layout w:type="fixed"/>
        <w:tblCellMar>
          <w:top w:w="0" w:type="dxa"/>
          <w:left w:w="28" w:type="dxa"/>
          <w:bottom w:w="0" w:type="dxa"/>
          <w:right w:w="28" w:type="dxa"/>
        </w:tblCellMar>
      </w:tblPr>
      <w:tblGrid>
        <w:gridCol w:w="1418"/>
        <w:gridCol w:w="1134"/>
        <w:gridCol w:w="1134"/>
        <w:gridCol w:w="1417"/>
        <w:gridCol w:w="1276"/>
        <w:gridCol w:w="1276"/>
        <w:gridCol w:w="1276"/>
        <w:gridCol w:w="1275"/>
        <w:gridCol w:w="709"/>
        <w:gridCol w:w="992"/>
        <w:gridCol w:w="993"/>
        <w:gridCol w:w="708"/>
        <w:gridCol w:w="567"/>
      </w:tblGrid>
      <w:tr w14:paraId="00BED751">
        <w:trPr>
          <w:trHeight w:val="340" w:hRule="atLeast"/>
          <w:jc w:val="center"/>
        </w:trPr>
        <w:tc>
          <w:tcPr>
            <w:tcW w:w="2552" w:type="dxa"/>
            <w:gridSpan w:val="2"/>
            <w:vAlign w:val="center"/>
          </w:tcPr>
          <w:p w14:paraId="204A6C20">
            <w:pPr>
              <w:snapToGrid w:val="0"/>
              <w:jc w:val="left"/>
              <w:rPr>
                <w:rFonts w:ascii="宋体"/>
                <w:sz w:val="18"/>
                <w:szCs w:val="18"/>
                <w:highlight w:val="none"/>
              </w:rPr>
            </w:pPr>
            <w:r>
              <w:rPr>
                <w:rFonts w:hint="eastAsia" w:ascii="宋体" w:hAnsi="宋体" w:cs="宋体"/>
                <w:sz w:val="18"/>
                <w:szCs w:val="18"/>
                <w:highlight w:val="none"/>
              </w:rPr>
              <w:t>募集资金总额</w:t>
            </w:r>
          </w:p>
        </w:tc>
        <w:tc>
          <w:tcPr>
            <w:tcW w:w="5103" w:type="dxa"/>
            <w:gridSpan w:val="4"/>
            <w:tcBorders>
              <w:top w:val="single" w:color="auto" w:sz="12" w:space="0"/>
              <w:bottom w:val="dotted" w:color="auto" w:sz="4" w:space="0"/>
            </w:tcBorders>
            <w:vAlign w:val="center"/>
          </w:tcPr>
          <w:p w14:paraId="0E11BDC6">
            <w:pPr>
              <w:snapToGrid w:val="0"/>
              <w:jc w:val="right"/>
              <w:rPr>
                <w:rFonts w:ascii="Arial Narrow" w:hAnsi="Arial Narrow"/>
                <w:sz w:val="18"/>
                <w:szCs w:val="18"/>
                <w:highlight w:val="none"/>
              </w:rPr>
            </w:pPr>
            <w:r>
              <w:rPr>
                <w:rFonts w:ascii="Arial Narrow" w:hAnsi="Arial Narrow"/>
                <w:sz w:val="18"/>
                <w:szCs w:val="18"/>
                <w:highlight w:val="none"/>
              </w:rPr>
              <w:t>854,561,800.00</w:t>
            </w:r>
          </w:p>
        </w:tc>
        <w:tc>
          <w:tcPr>
            <w:tcW w:w="3260" w:type="dxa"/>
            <w:gridSpan w:val="3"/>
            <w:vAlign w:val="center"/>
          </w:tcPr>
          <w:p w14:paraId="7391BA14">
            <w:pPr>
              <w:snapToGrid w:val="0"/>
              <w:jc w:val="left"/>
              <w:rPr>
                <w:rFonts w:ascii="宋体"/>
                <w:sz w:val="18"/>
                <w:szCs w:val="18"/>
                <w:highlight w:val="none"/>
              </w:rPr>
            </w:pPr>
            <w:r>
              <w:rPr>
                <w:rFonts w:hint="eastAsia" w:ascii="宋体" w:hAnsi="宋体" w:cs="宋体"/>
                <w:sz w:val="18"/>
                <w:szCs w:val="18"/>
                <w:highlight w:val="none"/>
              </w:rPr>
              <w:t>本年度投入募集资金总额</w:t>
            </w:r>
          </w:p>
        </w:tc>
        <w:tc>
          <w:tcPr>
            <w:tcW w:w="3260" w:type="dxa"/>
            <w:gridSpan w:val="4"/>
            <w:tcBorders>
              <w:top w:val="single" w:color="auto" w:sz="12" w:space="0"/>
              <w:bottom w:val="dotted" w:color="auto" w:sz="4" w:space="0"/>
            </w:tcBorders>
            <w:vAlign w:val="center"/>
          </w:tcPr>
          <w:p w14:paraId="0284E680">
            <w:pPr>
              <w:widowControl/>
              <w:jc w:val="right"/>
              <w:textAlignment w:val="center"/>
              <w:rPr>
                <w:rFonts w:ascii="Arial Narrow" w:hAnsi="Arial Narrow" w:eastAsia="Arial Narrow" w:cs="Arial Narrow"/>
                <w:color w:val="000000"/>
                <w:sz w:val="18"/>
                <w:szCs w:val="18"/>
                <w:highlight w:val="none"/>
              </w:rPr>
            </w:pPr>
            <w:r>
              <w:rPr>
                <w:rFonts w:ascii="Arial Narrow" w:hAnsi="Arial Narrow" w:eastAsia="Arial Narrow" w:cs="Arial Narrow"/>
                <w:color w:val="000000"/>
                <w:kern w:val="0"/>
                <w:sz w:val="18"/>
                <w:szCs w:val="18"/>
                <w:highlight w:val="none"/>
                <w:lang w:bidi="ar"/>
              </w:rPr>
              <w:t>122,852,804.52</w:t>
            </w:r>
          </w:p>
        </w:tc>
      </w:tr>
      <w:tr w14:paraId="2B71B634">
        <w:trPr>
          <w:trHeight w:val="340" w:hRule="atLeast"/>
          <w:jc w:val="center"/>
        </w:trPr>
        <w:tc>
          <w:tcPr>
            <w:tcW w:w="2552" w:type="dxa"/>
            <w:gridSpan w:val="2"/>
            <w:vAlign w:val="center"/>
          </w:tcPr>
          <w:p w14:paraId="31C1BFFC">
            <w:pPr>
              <w:snapToGrid w:val="0"/>
              <w:jc w:val="left"/>
              <w:rPr>
                <w:rFonts w:ascii="宋体"/>
                <w:sz w:val="18"/>
                <w:szCs w:val="18"/>
                <w:highlight w:val="none"/>
              </w:rPr>
            </w:pPr>
            <w:r>
              <w:rPr>
                <w:rFonts w:hint="eastAsia" w:ascii="宋体" w:hAnsi="宋体" w:cs="宋体"/>
                <w:sz w:val="18"/>
                <w:szCs w:val="18"/>
                <w:highlight w:val="none"/>
              </w:rPr>
              <w:t>变更用途的募集资金总额</w:t>
            </w:r>
          </w:p>
        </w:tc>
        <w:tc>
          <w:tcPr>
            <w:tcW w:w="5103" w:type="dxa"/>
            <w:gridSpan w:val="4"/>
            <w:tcBorders>
              <w:top w:val="dotted" w:color="auto" w:sz="4" w:space="0"/>
              <w:bottom w:val="dotted" w:color="auto" w:sz="4" w:space="0"/>
            </w:tcBorders>
            <w:vAlign w:val="center"/>
          </w:tcPr>
          <w:p w14:paraId="09F7701F">
            <w:pPr>
              <w:snapToGrid w:val="0"/>
              <w:jc w:val="right"/>
              <w:rPr>
                <w:rFonts w:ascii="Arial Narrow" w:hAnsi="Arial Narrow"/>
                <w:sz w:val="18"/>
                <w:szCs w:val="18"/>
                <w:highlight w:val="none"/>
              </w:rPr>
            </w:pPr>
            <w:r>
              <w:rPr>
                <w:rFonts w:ascii="Arial Narrow" w:hAnsi="Arial Narrow"/>
                <w:sz w:val="18"/>
                <w:szCs w:val="18"/>
                <w:highlight w:val="none"/>
              </w:rPr>
              <w:t>147,744,400.00</w:t>
            </w:r>
          </w:p>
        </w:tc>
        <w:tc>
          <w:tcPr>
            <w:tcW w:w="3260" w:type="dxa"/>
            <w:gridSpan w:val="3"/>
            <w:vMerge w:val="restart"/>
            <w:vAlign w:val="center"/>
          </w:tcPr>
          <w:p w14:paraId="0ACF498B">
            <w:pPr>
              <w:snapToGrid w:val="0"/>
              <w:jc w:val="left"/>
              <w:rPr>
                <w:rFonts w:ascii="宋体"/>
                <w:sz w:val="18"/>
                <w:szCs w:val="18"/>
                <w:highlight w:val="none"/>
              </w:rPr>
            </w:pPr>
            <w:r>
              <w:rPr>
                <w:rFonts w:hint="eastAsia" w:ascii="宋体" w:hAnsi="宋体" w:cs="宋体"/>
                <w:sz w:val="18"/>
                <w:szCs w:val="18"/>
                <w:highlight w:val="none"/>
              </w:rPr>
              <w:t>已累计投入募集资金总额</w:t>
            </w:r>
          </w:p>
        </w:tc>
        <w:tc>
          <w:tcPr>
            <w:tcW w:w="3260" w:type="dxa"/>
            <w:gridSpan w:val="4"/>
            <w:vMerge w:val="restart"/>
            <w:tcBorders>
              <w:top w:val="dotted" w:color="auto" w:sz="4" w:space="0"/>
            </w:tcBorders>
            <w:vAlign w:val="center"/>
          </w:tcPr>
          <w:p w14:paraId="581B04F3">
            <w:pPr>
              <w:snapToGrid w:val="0"/>
              <w:jc w:val="right"/>
              <w:rPr>
                <w:rFonts w:ascii="Arial Narrow" w:hAnsi="Arial Narrow"/>
                <w:sz w:val="18"/>
                <w:szCs w:val="18"/>
                <w:highlight w:val="none"/>
              </w:rPr>
            </w:pPr>
            <w:r>
              <w:rPr>
                <w:rFonts w:hint="eastAsia" w:ascii="Arial Narrow" w:hAnsi="Arial Narrow" w:cs="宋体"/>
                <w:snapToGrid w:val="0"/>
                <w:kern w:val="0"/>
                <w:sz w:val="18"/>
                <w:szCs w:val="16"/>
                <w:highlight w:val="none"/>
              </w:rPr>
              <w:t xml:space="preserve"> 766,863,350.13</w:t>
            </w:r>
          </w:p>
        </w:tc>
      </w:tr>
      <w:tr w14:paraId="766CF841">
        <w:trPr>
          <w:trHeight w:val="340" w:hRule="atLeast"/>
          <w:jc w:val="center"/>
        </w:trPr>
        <w:tc>
          <w:tcPr>
            <w:tcW w:w="2552" w:type="dxa"/>
            <w:gridSpan w:val="2"/>
            <w:vAlign w:val="center"/>
          </w:tcPr>
          <w:p w14:paraId="3B921FE5">
            <w:pPr>
              <w:snapToGrid w:val="0"/>
              <w:jc w:val="left"/>
              <w:rPr>
                <w:rFonts w:ascii="宋体"/>
                <w:sz w:val="18"/>
                <w:szCs w:val="18"/>
                <w:highlight w:val="none"/>
              </w:rPr>
            </w:pPr>
            <w:r>
              <w:rPr>
                <w:rFonts w:hint="eastAsia" w:ascii="宋体" w:hAnsi="宋体" w:cs="宋体"/>
                <w:sz w:val="18"/>
                <w:szCs w:val="18"/>
                <w:highlight w:val="none"/>
              </w:rPr>
              <w:t>变更用途的募集资金总额比例</w:t>
            </w:r>
          </w:p>
        </w:tc>
        <w:tc>
          <w:tcPr>
            <w:tcW w:w="5103" w:type="dxa"/>
            <w:gridSpan w:val="4"/>
            <w:tcBorders>
              <w:top w:val="dotted" w:color="auto" w:sz="4" w:space="0"/>
              <w:bottom w:val="dotted" w:color="auto" w:sz="4" w:space="0"/>
            </w:tcBorders>
            <w:vAlign w:val="center"/>
          </w:tcPr>
          <w:p w14:paraId="2D7D312F">
            <w:pPr>
              <w:snapToGrid w:val="0"/>
              <w:jc w:val="right"/>
              <w:rPr>
                <w:rFonts w:ascii="Arial Narrow" w:hAnsi="Arial Narrow"/>
                <w:sz w:val="18"/>
                <w:szCs w:val="18"/>
                <w:highlight w:val="none"/>
              </w:rPr>
            </w:pPr>
            <w:r>
              <w:rPr>
                <w:rFonts w:ascii="Arial Narrow" w:hAnsi="Arial Narrow"/>
                <w:sz w:val="18"/>
                <w:szCs w:val="18"/>
                <w:highlight w:val="none"/>
              </w:rPr>
              <w:t>17.29%</w:t>
            </w:r>
          </w:p>
        </w:tc>
        <w:tc>
          <w:tcPr>
            <w:tcW w:w="3260" w:type="dxa"/>
            <w:gridSpan w:val="3"/>
            <w:vMerge w:val="continue"/>
            <w:vAlign w:val="center"/>
          </w:tcPr>
          <w:p w14:paraId="13D0F99D">
            <w:pPr>
              <w:widowControl/>
              <w:snapToGrid w:val="0"/>
              <w:jc w:val="left"/>
              <w:rPr>
                <w:rFonts w:ascii="宋体"/>
                <w:sz w:val="18"/>
                <w:szCs w:val="18"/>
                <w:highlight w:val="none"/>
              </w:rPr>
            </w:pPr>
          </w:p>
        </w:tc>
        <w:tc>
          <w:tcPr>
            <w:tcW w:w="3260" w:type="dxa"/>
            <w:gridSpan w:val="4"/>
            <w:vMerge w:val="continue"/>
            <w:tcBorders>
              <w:bottom w:val="dotted" w:color="auto" w:sz="4" w:space="0"/>
            </w:tcBorders>
            <w:vAlign w:val="center"/>
          </w:tcPr>
          <w:p w14:paraId="7BF63E56">
            <w:pPr>
              <w:widowControl/>
              <w:snapToGrid w:val="0"/>
              <w:jc w:val="left"/>
              <w:rPr>
                <w:rFonts w:ascii="宋体"/>
                <w:sz w:val="18"/>
                <w:szCs w:val="18"/>
                <w:highlight w:val="none"/>
              </w:rPr>
            </w:pPr>
          </w:p>
        </w:tc>
      </w:tr>
      <w:tr w14:paraId="508F59F2">
        <w:trPr>
          <w:trHeight w:val="340" w:hRule="atLeast"/>
          <w:jc w:val="center"/>
        </w:trPr>
        <w:tc>
          <w:tcPr>
            <w:tcW w:w="1418" w:type="dxa"/>
            <w:vAlign w:val="center"/>
          </w:tcPr>
          <w:p w14:paraId="5F7111CF">
            <w:pPr>
              <w:snapToGrid w:val="0"/>
              <w:jc w:val="center"/>
              <w:rPr>
                <w:rFonts w:ascii="宋体"/>
                <w:spacing w:val="-6"/>
                <w:sz w:val="16"/>
                <w:szCs w:val="16"/>
                <w:highlight w:val="none"/>
              </w:rPr>
            </w:pPr>
            <w:r>
              <w:rPr>
                <w:rFonts w:hint="eastAsia" w:ascii="宋体" w:hAnsi="宋体" w:cs="宋体"/>
                <w:spacing w:val="-6"/>
                <w:sz w:val="16"/>
                <w:szCs w:val="16"/>
                <w:highlight w:val="none"/>
              </w:rPr>
              <w:t>承诺投资项目</w:t>
            </w:r>
          </w:p>
        </w:tc>
        <w:tc>
          <w:tcPr>
            <w:tcW w:w="1134" w:type="dxa"/>
            <w:vAlign w:val="center"/>
          </w:tcPr>
          <w:p w14:paraId="7E3361B1">
            <w:pPr>
              <w:snapToGrid w:val="0"/>
              <w:jc w:val="center"/>
              <w:rPr>
                <w:rFonts w:ascii="宋体"/>
                <w:spacing w:val="-4"/>
                <w:sz w:val="16"/>
                <w:szCs w:val="16"/>
                <w:highlight w:val="none"/>
              </w:rPr>
            </w:pPr>
            <w:r>
              <w:rPr>
                <w:rFonts w:hint="eastAsia" w:ascii="宋体" w:hAnsi="宋体" w:cs="宋体"/>
                <w:spacing w:val="-4"/>
                <w:sz w:val="16"/>
                <w:szCs w:val="16"/>
                <w:highlight w:val="none"/>
              </w:rPr>
              <w:t>已变更项目，含部分变更（如有）</w:t>
            </w:r>
          </w:p>
        </w:tc>
        <w:tc>
          <w:tcPr>
            <w:tcW w:w="1134" w:type="dxa"/>
            <w:tcBorders>
              <w:top w:val="dotted" w:color="auto" w:sz="4" w:space="0"/>
            </w:tcBorders>
            <w:vAlign w:val="center"/>
          </w:tcPr>
          <w:p w14:paraId="614F143B">
            <w:pPr>
              <w:snapToGrid w:val="0"/>
              <w:jc w:val="center"/>
              <w:rPr>
                <w:rFonts w:ascii="宋体"/>
                <w:spacing w:val="-6"/>
                <w:sz w:val="16"/>
                <w:szCs w:val="16"/>
                <w:highlight w:val="none"/>
              </w:rPr>
            </w:pPr>
            <w:r>
              <w:rPr>
                <w:rFonts w:hint="eastAsia" w:ascii="宋体" w:hAnsi="宋体" w:cs="宋体"/>
                <w:spacing w:val="-6"/>
                <w:sz w:val="16"/>
                <w:szCs w:val="16"/>
                <w:highlight w:val="none"/>
              </w:rPr>
              <w:t>募集资金承诺投资总额</w:t>
            </w:r>
          </w:p>
        </w:tc>
        <w:tc>
          <w:tcPr>
            <w:tcW w:w="1417" w:type="dxa"/>
            <w:tcBorders>
              <w:top w:val="dotted" w:color="auto" w:sz="4" w:space="0"/>
            </w:tcBorders>
            <w:vAlign w:val="center"/>
          </w:tcPr>
          <w:p w14:paraId="48CD81FE">
            <w:pPr>
              <w:snapToGrid w:val="0"/>
              <w:ind w:left="-12" w:leftChars="-6" w:right="-27" w:rightChars="-13"/>
              <w:jc w:val="center"/>
              <w:rPr>
                <w:rFonts w:ascii="宋体"/>
                <w:spacing w:val="-6"/>
                <w:sz w:val="16"/>
                <w:szCs w:val="16"/>
                <w:highlight w:val="none"/>
              </w:rPr>
            </w:pPr>
            <w:r>
              <w:rPr>
                <w:rFonts w:hint="eastAsia" w:ascii="宋体" w:hAnsi="宋体" w:cs="宋体"/>
                <w:spacing w:val="-6"/>
                <w:sz w:val="16"/>
                <w:szCs w:val="16"/>
                <w:highlight w:val="none"/>
              </w:rPr>
              <w:t>调整后投资总额</w:t>
            </w:r>
          </w:p>
        </w:tc>
        <w:tc>
          <w:tcPr>
            <w:tcW w:w="1276" w:type="dxa"/>
            <w:tcBorders>
              <w:top w:val="dotted" w:color="auto" w:sz="4" w:space="0"/>
            </w:tcBorders>
            <w:vAlign w:val="center"/>
          </w:tcPr>
          <w:p w14:paraId="0236BB60">
            <w:pPr>
              <w:snapToGrid w:val="0"/>
              <w:jc w:val="center"/>
              <w:rPr>
                <w:rFonts w:hint="eastAsia" w:ascii="宋体" w:hAnsi="宋体"/>
                <w:spacing w:val="-6"/>
                <w:sz w:val="16"/>
                <w:szCs w:val="16"/>
                <w:highlight w:val="none"/>
              </w:rPr>
            </w:pPr>
            <w:r>
              <w:rPr>
                <w:rFonts w:hint="eastAsia" w:ascii="宋体" w:hAnsi="宋体" w:cs="宋体"/>
                <w:spacing w:val="-6"/>
                <w:sz w:val="16"/>
                <w:szCs w:val="16"/>
                <w:highlight w:val="none"/>
              </w:rPr>
              <w:t>截至期末承诺投入金额</w:t>
            </w:r>
            <w:r>
              <w:rPr>
                <w:rFonts w:ascii="宋体" w:hAnsi="宋体"/>
                <w:spacing w:val="-6"/>
                <w:sz w:val="16"/>
                <w:szCs w:val="16"/>
                <w:highlight w:val="none"/>
              </w:rPr>
              <w:t>(1)</w:t>
            </w:r>
          </w:p>
        </w:tc>
        <w:tc>
          <w:tcPr>
            <w:tcW w:w="1276" w:type="dxa"/>
            <w:tcBorders>
              <w:top w:val="dotted" w:color="auto" w:sz="4" w:space="0"/>
            </w:tcBorders>
            <w:vAlign w:val="center"/>
          </w:tcPr>
          <w:p w14:paraId="1E58E3CE">
            <w:pPr>
              <w:snapToGrid w:val="0"/>
              <w:jc w:val="center"/>
              <w:rPr>
                <w:rFonts w:ascii="宋体"/>
                <w:spacing w:val="-6"/>
                <w:sz w:val="16"/>
                <w:szCs w:val="16"/>
                <w:highlight w:val="none"/>
              </w:rPr>
            </w:pPr>
            <w:r>
              <w:rPr>
                <w:rFonts w:hint="eastAsia" w:ascii="宋体" w:hAnsi="宋体" w:cs="宋体"/>
                <w:spacing w:val="-6"/>
                <w:sz w:val="16"/>
                <w:szCs w:val="16"/>
                <w:highlight w:val="none"/>
              </w:rPr>
              <w:t>本年度投入金额</w:t>
            </w:r>
          </w:p>
        </w:tc>
        <w:tc>
          <w:tcPr>
            <w:tcW w:w="1276" w:type="dxa"/>
            <w:vAlign w:val="center"/>
          </w:tcPr>
          <w:p w14:paraId="2DC920FA">
            <w:pPr>
              <w:snapToGrid w:val="0"/>
              <w:jc w:val="center"/>
              <w:rPr>
                <w:rFonts w:hint="eastAsia" w:ascii="宋体" w:hAnsi="宋体"/>
                <w:spacing w:val="-6"/>
                <w:sz w:val="16"/>
                <w:szCs w:val="16"/>
                <w:highlight w:val="none"/>
              </w:rPr>
            </w:pPr>
            <w:r>
              <w:rPr>
                <w:rFonts w:hint="eastAsia" w:ascii="宋体" w:hAnsi="宋体" w:cs="宋体"/>
                <w:spacing w:val="-6"/>
                <w:sz w:val="16"/>
                <w:szCs w:val="16"/>
                <w:highlight w:val="none"/>
              </w:rPr>
              <w:t>截至期末累计投入金额</w:t>
            </w:r>
            <w:r>
              <w:rPr>
                <w:rFonts w:ascii="宋体" w:hAnsi="宋体"/>
                <w:spacing w:val="-6"/>
                <w:sz w:val="16"/>
                <w:szCs w:val="16"/>
                <w:highlight w:val="none"/>
              </w:rPr>
              <w:t>(2)</w:t>
            </w:r>
          </w:p>
        </w:tc>
        <w:tc>
          <w:tcPr>
            <w:tcW w:w="1275" w:type="dxa"/>
            <w:vAlign w:val="center"/>
          </w:tcPr>
          <w:p w14:paraId="3878021B">
            <w:pPr>
              <w:snapToGrid w:val="0"/>
              <w:jc w:val="center"/>
              <w:rPr>
                <w:rFonts w:ascii="宋体" w:cs="宋体"/>
                <w:spacing w:val="-6"/>
                <w:sz w:val="16"/>
                <w:szCs w:val="16"/>
                <w:highlight w:val="none"/>
              </w:rPr>
            </w:pPr>
            <w:r>
              <w:rPr>
                <w:rFonts w:hint="eastAsia" w:ascii="宋体" w:hAnsi="宋体" w:cs="宋体"/>
                <w:spacing w:val="-6"/>
                <w:sz w:val="16"/>
                <w:szCs w:val="16"/>
                <w:highlight w:val="none"/>
              </w:rPr>
              <w:t>截至期末累计投入金额与承诺投入金额的差额</w:t>
            </w:r>
          </w:p>
          <w:p w14:paraId="46FCB603">
            <w:pPr>
              <w:snapToGrid w:val="0"/>
              <w:jc w:val="center"/>
              <w:rPr>
                <w:rFonts w:hint="eastAsia" w:ascii="宋体" w:hAnsi="宋体"/>
                <w:spacing w:val="-6"/>
                <w:sz w:val="16"/>
                <w:szCs w:val="16"/>
                <w:highlight w:val="none"/>
              </w:rPr>
            </w:pPr>
            <w:r>
              <w:rPr>
                <w:rFonts w:ascii="宋体" w:hAnsi="宋体"/>
                <w:spacing w:val="-6"/>
                <w:sz w:val="16"/>
                <w:szCs w:val="16"/>
                <w:highlight w:val="none"/>
              </w:rPr>
              <w:t>(3)</w:t>
            </w:r>
            <w:r>
              <w:rPr>
                <w:rFonts w:hint="eastAsia" w:ascii="宋体" w:hAnsi="宋体" w:cs="宋体"/>
                <w:spacing w:val="-6"/>
                <w:sz w:val="16"/>
                <w:szCs w:val="16"/>
                <w:highlight w:val="none"/>
              </w:rPr>
              <w:t>＝</w:t>
            </w:r>
            <w:r>
              <w:rPr>
                <w:rFonts w:ascii="宋体" w:hAnsi="宋体"/>
                <w:spacing w:val="-6"/>
                <w:sz w:val="16"/>
                <w:szCs w:val="16"/>
                <w:highlight w:val="none"/>
              </w:rPr>
              <w:t>(</w:t>
            </w:r>
            <w:r>
              <w:rPr>
                <w:rFonts w:hint="eastAsia" w:ascii="宋体" w:hAnsi="宋体"/>
                <w:spacing w:val="-6"/>
                <w:sz w:val="16"/>
                <w:szCs w:val="16"/>
                <w:highlight w:val="none"/>
              </w:rPr>
              <w:t>1</w:t>
            </w:r>
            <w:r>
              <w:rPr>
                <w:rFonts w:ascii="宋体" w:hAnsi="宋体"/>
                <w:spacing w:val="-6"/>
                <w:sz w:val="16"/>
                <w:szCs w:val="16"/>
                <w:highlight w:val="none"/>
              </w:rPr>
              <w:t>)-(</w:t>
            </w:r>
            <w:r>
              <w:rPr>
                <w:rFonts w:hint="eastAsia" w:ascii="宋体" w:hAnsi="宋体"/>
                <w:spacing w:val="-6"/>
                <w:sz w:val="16"/>
                <w:szCs w:val="16"/>
                <w:highlight w:val="none"/>
              </w:rPr>
              <w:t>2</w:t>
            </w:r>
            <w:r>
              <w:rPr>
                <w:rFonts w:ascii="宋体" w:hAnsi="宋体"/>
                <w:spacing w:val="-6"/>
                <w:sz w:val="16"/>
                <w:szCs w:val="16"/>
                <w:highlight w:val="none"/>
              </w:rPr>
              <w:t>)</w:t>
            </w:r>
          </w:p>
        </w:tc>
        <w:tc>
          <w:tcPr>
            <w:tcW w:w="709" w:type="dxa"/>
            <w:vAlign w:val="center"/>
          </w:tcPr>
          <w:p w14:paraId="0810D457">
            <w:pPr>
              <w:snapToGrid w:val="0"/>
              <w:jc w:val="center"/>
              <w:rPr>
                <w:rFonts w:hint="eastAsia" w:ascii="宋体" w:hAnsi="宋体"/>
                <w:spacing w:val="-6"/>
                <w:sz w:val="16"/>
                <w:szCs w:val="16"/>
                <w:highlight w:val="none"/>
              </w:rPr>
            </w:pPr>
            <w:r>
              <w:rPr>
                <w:rFonts w:hint="eastAsia" w:ascii="宋体" w:hAnsi="宋体" w:cs="宋体"/>
                <w:spacing w:val="-6"/>
                <w:sz w:val="16"/>
                <w:szCs w:val="16"/>
                <w:highlight w:val="none"/>
              </w:rPr>
              <w:t>截至期末投入进度（</w:t>
            </w:r>
            <w:r>
              <w:rPr>
                <w:rFonts w:ascii="宋体" w:hAnsi="宋体"/>
                <w:spacing w:val="-6"/>
                <w:sz w:val="16"/>
                <w:szCs w:val="16"/>
                <w:highlight w:val="none"/>
              </w:rPr>
              <w:t>%</w:t>
            </w:r>
            <w:r>
              <w:rPr>
                <w:rFonts w:hint="eastAsia" w:ascii="宋体" w:hAnsi="宋体" w:cs="宋体"/>
                <w:spacing w:val="-6"/>
                <w:sz w:val="16"/>
                <w:szCs w:val="16"/>
                <w:highlight w:val="none"/>
              </w:rPr>
              <w:t>）</w:t>
            </w:r>
            <w:r>
              <w:rPr>
                <w:rFonts w:ascii="宋体" w:hAnsi="宋体"/>
                <w:spacing w:val="-6"/>
                <w:sz w:val="16"/>
                <w:szCs w:val="16"/>
                <w:highlight w:val="none"/>
              </w:rPr>
              <w:t>(4)</w:t>
            </w:r>
            <w:r>
              <w:rPr>
                <w:rFonts w:hint="eastAsia" w:ascii="宋体" w:hAnsi="宋体" w:cs="宋体"/>
                <w:spacing w:val="-6"/>
                <w:sz w:val="16"/>
                <w:szCs w:val="16"/>
                <w:highlight w:val="none"/>
              </w:rPr>
              <w:t>＝</w:t>
            </w:r>
            <w:r>
              <w:rPr>
                <w:rFonts w:ascii="宋体" w:hAnsi="宋体"/>
                <w:spacing w:val="-6"/>
                <w:sz w:val="16"/>
                <w:szCs w:val="16"/>
                <w:highlight w:val="none"/>
              </w:rPr>
              <w:t>(2)/(1)</w:t>
            </w:r>
          </w:p>
        </w:tc>
        <w:tc>
          <w:tcPr>
            <w:tcW w:w="992" w:type="dxa"/>
            <w:tcBorders>
              <w:top w:val="dotted" w:color="auto" w:sz="4" w:space="0"/>
              <w:bottom w:val="dotted" w:color="auto" w:sz="4" w:space="0"/>
            </w:tcBorders>
            <w:vAlign w:val="center"/>
          </w:tcPr>
          <w:p w14:paraId="7FC38B14">
            <w:pPr>
              <w:snapToGrid w:val="0"/>
              <w:jc w:val="center"/>
              <w:rPr>
                <w:rFonts w:ascii="宋体"/>
                <w:spacing w:val="-6"/>
                <w:sz w:val="16"/>
                <w:szCs w:val="16"/>
                <w:highlight w:val="none"/>
              </w:rPr>
            </w:pPr>
            <w:r>
              <w:rPr>
                <w:rFonts w:hint="eastAsia" w:ascii="宋体" w:hAnsi="宋体" w:cs="宋体"/>
                <w:spacing w:val="-6"/>
                <w:sz w:val="16"/>
                <w:szCs w:val="16"/>
                <w:highlight w:val="none"/>
              </w:rPr>
              <w:t>项目达到预定可使用状态日期</w:t>
            </w:r>
          </w:p>
        </w:tc>
        <w:tc>
          <w:tcPr>
            <w:tcW w:w="993" w:type="dxa"/>
            <w:tcBorders>
              <w:top w:val="dotted" w:color="auto" w:sz="4" w:space="0"/>
            </w:tcBorders>
            <w:vAlign w:val="center"/>
          </w:tcPr>
          <w:p w14:paraId="3C87CC62">
            <w:pPr>
              <w:snapToGrid w:val="0"/>
              <w:jc w:val="center"/>
              <w:rPr>
                <w:rFonts w:ascii="宋体"/>
                <w:spacing w:val="-6"/>
                <w:sz w:val="16"/>
                <w:szCs w:val="16"/>
                <w:highlight w:val="none"/>
              </w:rPr>
            </w:pPr>
            <w:r>
              <w:rPr>
                <w:rFonts w:hint="eastAsia" w:ascii="宋体" w:hAnsi="宋体" w:cs="宋体"/>
                <w:spacing w:val="-6"/>
                <w:sz w:val="16"/>
                <w:szCs w:val="16"/>
                <w:highlight w:val="none"/>
              </w:rPr>
              <w:t>本年度实现的效益</w:t>
            </w:r>
          </w:p>
        </w:tc>
        <w:tc>
          <w:tcPr>
            <w:tcW w:w="708" w:type="dxa"/>
            <w:tcBorders>
              <w:top w:val="dotted" w:color="auto" w:sz="4" w:space="0"/>
            </w:tcBorders>
            <w:vAlign w:val="center"/>
          </w:tcPr>
          <w:p w14:paraId="042BBB7F">
            <w:pPr>
              <w:snapToGrid w:val="0"/>
              <w:jc w:val="center"/>
              <w:rPr>
                <w:rFonts w:ascii="宋体"/>
                <w:spacing w:val="-6"/>
                <w:sz w:val="16"/>
                <w:szCs w:val="16"/>
                <w:highlight w:val="none"/>
              </w:rPr>
            </w:pPr>
            <w:r>
              <w:rPr>
                <w:rFonts w:hint="eastAsia" w:ascii="宋体" w:hAnsi="宋体" w:cs="宋体"/>
                <w:spacing w:val="-6"/>
                <w:sz w:val="16"/>
                <w:szCs w:val="16"/>
                <w:highlight w:val="none"/>
              </w:rPr>
              <w:t>是否达到预计效益</w:t>
            </w:r>
          </w:p>
        </w:tc>
        <w:tc>
          <w:tcPr>
            <w:tcW w:w="567" w:type="dxa"/>
            <w:tcBorders>
              <w:top w:val="dotted" w:color="auto" w:sz="4" w:space="0"/>
            </w:tcBorders>
            <w:vAlign w:val="center"/>
          </w:tcPr>
          <w:p w14:paraId="2206B79E">
            <w:pPr>
              <w:snapToGrid w:val="0"/>
              <w:ind w:left="-21" w:leftChars="-10" w:right="-21" w:rightChars="-10"/>
              <w:jc w:val="center"/>
              <w:rPr>
                <w:rFonts w:ascii="宋体"/>
                <w:spacing w:val="-6"/>
                <w:sz w:val="16"/>
                <w:szCs w:val="16"/>
                <w:highlight w:val="none"/>
              </w:rPr>
            </w:pPr>
            <w:r>
              <w:rPr>
                <w:rFonts w:hint="eastAsia" w:ascii="宋体" w:hAnsi="宋体" w:cs="宋体"/>
                <w:spacing w:val="-6"/>
                <w:sz w:val="16"/>
                <w:szCs w:val="16"/>
                <w:highlight w:val="none"/>
              </w:rPr>
              <w:t>项目可行性是否发生重大变化</w:t>
            </w:r>
          </w:p>
        </w:tc>
      </w:tr>
      <w:tr w14:paraId="1AE41F2A">
        <w:trPr>
          <w:trHeight w:val="340" w:hRule="atLeast"/>
          <w:jc w:val="center"/>
        </w:trPr>
        <w:tc>
          <w:tcPr>
            <w:tcW w:w="1418" w:type="dxa"/>
            <w:vAlign w:val="center"/>
          </w:tcPr>
          <w:p w14:paraId="29266B3F">
            <w:pPr>
              <w:snapToGrid w:val="0"/>
              <w:jc w:val="left"/>
              <w:rPr>
                <w:rFonts w:ascii="宋体"/>
                <w:sz w:val="18"/>
                <w:szCs w:val="18"/>
                <w:highlight w:val="none"/>
              </w:rPr>
            </w:pPr>
            <w:r>
              <w:rPr>
                <w:rFonts w:hint="eastAsia" w:ascii="宋体"/>
                <w:sz w:val="18"/>
                <w:szCs w:val="18"/>
                <w:highlight w:val="none"/>
              </w:rPr>
              <w:t>智能成套电气设备产业基地项目</w:t>
            </w:r>
          </w:p>
        </w:tc>
        <w:tc>
          <w:tcPr>
            <w:tcW w:w="1134" w:type="dxa"/>
            <w:vAlign w:val="center"/>
          </w:tcPr>
          <w:p w14:paraId="4ADAAD87">
            <w:pPr>
              <w:snapToGrid w:val="0"/>
              <w:jc w:val="center"/>
              <w:rPr>
                <w:rFonts w:ascii="宋体"/>
                <w:sz w:val="18"/>
                <w:szCs w:val="18"/>
                <w:highlight w:val="none"/>
              </w:rPr>
            </w:pPr>
            <w:r>
              <w:rPr>
                <w:rFonts w:hint="eastAsia" w:ascii="宋体"/>
                <w:sz w:val="18"/>
                <w:szCs w:val="18"/>
                <w:highlight w:val="none"/>
              </w:rPr>
              <w:t>部分变更</w:t>
            </w:r>
          </w:p>
        </w:tc>
        <w:tc>
          <w:tcPr>
            <w:tcW w:w="1134" w:type="dxa"/>
            <w:vAlign w:val="center"/>
          </w:tcPr>
          <w:p w14:paraId="3B41F168">
            <w:pPr>
              <w:snapToGrid w:val="0"/>
              <w:jc w:val="right"/>
              <w:rPr>
                <w:rFonts w:ascii="Arial Narrow" w:hAnsi="Arial Narrow"/>
                <w:kern w:val="0"/>
                <w:sz w:val="18"/>
                <w:szCs w:val="18"/>
                <w:highlight w:val="none"/>
              </w:rPr>
            </w:pPr>
            <w:r>
              <w:rPr>
                <w:rFonts w:ascii="Arial Narrow" w:hAnsi="Arial Narrow"/>
                <w:kern w:val="0"/>
                <w:sz w:val="18"/>
                <w:szCs w:val="18"/>
                <w:highlight w:val="none"/>
              </w:rPr>
              <w:t>390,429,100.00</w:t>
            </w:r>
          </w:p>
        </w:tc>
        <w:tc>
          <w:tcPr>
            <w:tcW w:w="1417" w:type="dxa"/>
            <w:vAlign w:val="center"/>
          </w:tcPr>
          <w:p w14:paraId="16EC5EFC">
            <w:pPr>
              <w:snapToGrid w:val="0"/>
              <w:jc w:val="right"/>
              <w:rPr>
                <w:rFonts w:ascii="Arial Narrow" w:hAnsi="Arial Narrow"/>
                <w:kern w:val="0"/>
                <w:sz w:val="18"/>
                <w:szCs w:val="18"/>
                <w:highlight w:val="none"/>
              </w:rPr>
            </w:pPr>
            <w:r>
              <w:rPr>
                <w:rFonts w:ascii="Arial Narrow" w:hAnsi="Arial Narrow"/>
                <w:kern w:val="0"/>
                <w:sz w:val="18"/>
                <w:szCs w:val="18"/>
                <w:highlight w:val="none"/>
              </w:rPr>
              <w:t>242,684,700.00</w:t>
            </w:r>
          </w:p>
        </w:tc>
        <w:tc>
          <w:tcPr>
            <w:tcW w:w="1276" w:type="dxa"/>
            <w:vAlign w:val="center"/>
          </w:tcPr>
          <w:p w14:paraId="3D94EECC">
            <w:pPr>
              <w:snapToGrid w:val="0"/>
              <w:jc w:val="right"/>
              <w:rPr>
                <w:rFonts w:ascii="Arial Narrow" w:hAnsi="Arial Narrow"/>
                <w:kern w:val="0"/>
                <w:sz w:val="18"/>
                <w:szCs w:val="18"/>
                <w:highlight w:val="none"/>
              </w:rPr>
            </w:pPr>
            <w:r>
              <w:rPr>
                <w:rFonts w:ascii="Arial Narrow" w:hAnsi="Arial Narrow"/>
                <w:kern w:val="0"/>
                <w:sz w:val="18"/>
                <w:szCs w:val="18"/>
                <w:highlight w:val="none"/>
              </w:rPr>
              <w:t>242,684,700.00</w:t>
            </w:r>
          </w:p>
        </w:tc>
        <w:tc>
          <w:tcPr>
            <w:tcW w:w="1276" w:type="dxa"/>
            <w:vAlign w:val="center"/>
          </w:tcPr>
          <w:p w14:paraId="023BE2EB">
            <w:pPr>
              <w:widowControl/>
              <w:jc w:val="right"/>
              <w:textAlignment w:val="center"/>
              <w:rPr>
                <w:rFonts w:ascii="Arial Narrow" w:hAnsi="Arial Narrow" w:eastAsia="Arial Narrow" w:cs="Arial Narrow"/>
                <w:color w:val="000000"/>
                <w:sz w:val="18"/>
                <w:szCs w:val="18"/>
                <w:highlight w:val="none"/>
              </w:rPr>
            </w:pPr>
            <w:r>
              <w:rPr>
                <w:rFonts w:ascii="Arial Narrow" w:hAnsi="Arial Narrow" w:eastAsia="Arial Narrow" w:cs="Arial Narrow"/>
                <w:color w:val="000000"/>
                <w:kern w:val="0"/>
                <w:sz w:val="18"/>
                <w:szCs w:val="18"/>
                <w:highlight w:val="none"/>
                <w:lang w:bidi="ar"/>
              </w:rPr>
              <w:t>11,826,435.28</w:t>
            </w:r>
          </w:p>
        </w:tc>
        <w:tc>
          <w:tcPr>
            <w:tcW w:w="1276" w:type="dxa"/>
            <w:vAlign w:val="center"/>
          </w:tcPr>
          <w:p w14:paraId="09AEDDD4">
            <w:pPr>
              <w:snapToGrid w:val="0"/>
              <w:jc w:val="right"/>
              <w:rPr>
                <w:rFonts w:ascii="Arial Narrow" w:hAnsi="Arial Narrow"/>
                <w:kern w:val="0"/>
                <w:sz w:val="18"/>
                <w:szCs w:val="18"/>
                <w:highlight w:val="none"/>
              </w:rPr>
            </w:pPr>
            <w:r>
              <w:rPr>
                <w:rFonts w:hint="eastAsia" w:ascii="Arial Narrow" w:hAnsi="Arial Narrow" w:cs="宋体"/>
                <w:snapToGrid w:val="0"/>
                <w:kern w:val="0"/>
                <w:sz w:val="18"/>
                <w:szCs w:val="16"/>
                <w:highlight w:val="none"/>
              </w:rPr>
              <w:t xml:space="preserve"> 210,179,436.20</w:t>
            </w:r>
            <w:r>
              <w:rPr>
                <w:rFonts w:hint="eastAsia" w:ascii="Arial Narrow" w:hAnsi="Arial Narrow"/>
                <w:kern w:val="0"/>
                <w:sz w:val="18"/>
                <w:szCs w:val="18"/>
                <w:highlight w:val="none"/>
              </w:rPr>
              <w:t xml:space="preserve"> </w:t>
            </w:r>
          </w:p>
        </w:tc>
        <w:tc>
          <w:tcPr>
            <w:tcW w:w="1275" w:type="dxa"/>
            <w:vAlign w:val="center"/>
          </w:tcPr>
          <w:p w14:paraId="0050D13D">
            <w:pPr>
              <w:keepNext w:val="0"/>
              <w:keepLines w:val="0"/>
              <w:widowControl/>
              <w:suppressLineNumbers w:val="0"/>
              <w:jc w:val="right"/>
              <w:textAlignment w:val="center"/>
              <w:rPr>
                <w:rFonts w:ascii="Arial Narrow" w:hAnsi="Arial Narrow"/>
                <w:kern w:val="0"/>
                <w:sz w:val="18"/>
                <w:szCs w:val="18"/>
                <w:highlight w:val="none"/>
              </w:rPr>
            </w:pPr>
            <w:r>
              <w:rPr>
                <w:rFonts w:hint="default" w:ascii="Arial Narrow" w:hAnsi="Arial Narrow" w:eastAsia="Arial Narrow" w:cs="Arial Narrow"/>
                <w:i w:val="0"/>
                <w:iCs w:val="0"/>
                <w:color w:val="000000"/>
                <w:kern w:val="0"/>
                <w:sz w:val="18"/>
                <w:szCs w:val="18"/>
                <w:highlight w:val="none"/>
                <w:u w:val="none"/>
                <w:lang w:val="en-US" w:eastAsia="zh-CN" w:bidi="ar"/>
              </w:rPr>
              <w:t>32,505,263.80</w:t>
            </w:r>
          </w:p>
        </w:tc>
        <w:tc>
          <w:tcPr>
            <w:tcW w:w="709" w:type="dxa"/>
            <w:vAlign w:val="center"/>
          </w:tcPr>
          <w:p w14:paraId="15C153BF">
            <w:pPr>
              <w:keepNext w:val="0"/>
              <w:keepLines w:val="0"/>
              <w:widowControl/>
              <w:suppressLineNumbers w:val="0"/>
              <w:jc w:val="right"/>
              <w:textAlignment w:val="center"/>
              <w:rPr>
                <w:rFonts w:ascii="Arial Narrow" w:hAnsi="Arial Narrow"/>
                <w:kern w:val="0"/>
                <w:sz w:val="18"/>
                <w:szCs w:val="18"/>
                <w:highlight w:val="none"/>
              </w:rPr>
            </w:pPr>
            <w:r>
              <w:rPr>
                <w:rFonts w:hint="default" w:ascii="Arial Narrow" w:hAnsi="Arial Narrow" w:eastAsia="Arial Narrow" w:cs="Arial Narrow"/>
                <w:i w:val="0"/>
                <w:iCs w:val="0"/>
                <w:color w:val="000000"/>
                <w:kern w:val="0"/>
                <w:sz w:val="18"/>
                <w:szCs w:val="18"/>
                <w:highlight w:val="none"/>
                <w:u w:val="none"/>
                <w:lang w:val="en-US" w:eastAsia="zh-CN" w:bidi="ar"/>
              </w:rPr>
              <w:t xml:space="preserve"> 86.61 </w:t>
            </w:r>
          </w:p>
        </w:tc>
        <w:tc>
          <w:tcPr>
            <w:tcW w:w="992" w:type="dxa"/>
            <w:tcBorders>
              <w:top w:val="dotted" w:color="auto" w:sz="4" w:space="0"/>
            </w:tcBorders>
            <w:vAlign w:val="center"/>
          </w:tcPr>
          <w:p w14:paraId="78BA185D">
            <w:pPr>
              <w:snapToGrid w:val="0"/>
              <w:jc w:val="center"/>
              <w:rPr>
                <w:rFonts w:ascii="Arial Narrow" w:hAnsi="Arial Narrow"/>
                <w:kern w:val="0"/>
                <w:sz w:val="18"/>
                <w:szCs w:val="18"/>
                <w:highlight w:val="none"/>
              </w:rPr>
            </w:pPr>
            <w:r>
              <w:rPr>
                <w:rFonts w:ascii="Arial Narrow" w:hAnsi="Arial Narrow"/>
                <w:kern w:val="0"/>
                <w:sz w:val="18"/>
                <w:szCs w:val="18"/>
                <w:highlight w:val="none"/>
              </w:rPr>
              <w:t>2024年4月</w:t>
            </w:r>
          </w:p>
        </w:tc>
        <w:tc>
          <w:tcPr>
            <w:tcW w:w="993" w:type="dxa"/>
            <w:vAlign w:val="center"/>
          </w:tcPr>
          <w:p w14:paraId="18098970">
            <w:pPr>
              <w:snapToGrid w:val="0"/>
              <w:jc w:val="center"/>
              <w:rPr>
                <w:rFonts w:ascii="Arial Narrow" w:hAnsi="Arial Narrow"/>
                <w:sz w:val="18"/>
                <w:szCs w:val="18"/>
                <w:highlight w:val="none"/>
              </w:rPr>
            </w:pPr>
            <w:r>
              <w:rPr>
                <w:rFonts w:ascii="Arial Narrow" w:hAnsi="Arial Narrow"/>
                <w:sz w:val="18"/>
                <w:szCs w:val="18"/>
                <w:highlight w:val="none"/>
              </w:rPr>
              <w:t>-</w:t>
            </w:r>
          </w:p>
        </w:tc>
        <w:tc>
          <w:tcPr>
            <w:tcW w:w="708" w:type="dxa"/>
            <w:vAlign w:val="center"/>
          </w:tcPr>
          <w:p w14:paraId="38275F45">
            <w:pPr>
              <w:snapToGrid w:val="0"/>
              <w:jc w:val="center"/>
              <w:rPr>
                <w:rFonts w:hint="default" w:ascii="宋体" w:eastAsia="宋体"/>
                <w:sz w:val="18"/>
                <w:szCs w:val="18"/>
                <w:highlight w:val="none"/>
                <w:lang w:val="en-US" w:eastAsia="zh-CN"/>
              </w:rPr>
            </w:pPr>
            <w:r>
              <w:rPr>
                <w:rFonts w:hint="eastAsia" w:ascii="宋体"/>
                <w:sz w:val="18"/>
                <w:szCs w:val="18"/>
                <w:highlight w:val="none"/>
                <w:lang w:val="en-US" w:eastAsia="zh-CN"/>
              </w:rPr>
              <w:t>注3</w:t>
            </w:r>
          </w:p>
        </w:tc>
        <w:tc>
          <w:tcPr>
            <w:tcW w:w="567" w:type="dxa"/>
            <w:vAlign w:val="center"/>
          </w:tcPr>
          <w:p w14:paraId="2F4F53C6">
            <w:pPr>
              <w:snapToGrid w:val="0"/>
              <w:jc w:val="center"/>
              <w:rPr>
                <w:rFonts w:ascii="宋体"/>
                <w:sz w:val="18"/>
                <w:szCs w:val="18"/>
                <w:highlight w:val="none"/>
              </w:rPr>
            </w:pPr>
            <w:r>
              <w:rPr>
                <w:rFonts w:hint="eastAsia" w:ascii="宋体"/>
                <w:sz w:val="18"/>
                <w:szCs w:val="18"/>
                <w:highlight w:val="none"/>
              </w:rPr>
              <w:t>否</w:t>
            </w:r>
          </w:p>
        </w:tc>
      </w:tr>
      <w:tr w14:paraId="3A3F2B2C">
        <w:trPr>
          <w:trHeight w:val="340" w:hRule="atLeast"/>
          <w:jc w:val="center"/>
        </w:trPr>
        <w:tc>
          <w:tcPr>
            <w:tcW w:w="1418" w:type="dxa"/>
            <w:vAlign w:val="center"/>
          </w:tcPr>
          <w:p w14:paraId="29283C16">
            <w:pPr>
              <w:snapToGrid w:val="0"/>
              <w:jc w:val="left"/>
              <w:rPr>
                <w:rFonts w:ascii="宋体"/>
                <w:sz w:val="18"/>
                <w:szCs w:val="18"/>
                <w:highlight w:val="none"/>
              </w:rPr>
            </w:pPr>
            <w:r>
              <w:rPr>
                <w:rFonts w:hint="eastAsia" w:ascii="宋体"/>
                <w:sz w:val="18"/>
                <w:szCs w:val="18"/>
                <w:highlight w:val="none"/>
              </w:rPr>
              <w:t>110kV及以下节能型变压器智能化工厂技改项目</w:t>
            </w:r>
          </w:p>
        </w:tc>
        <w:tc>
          <w:tcPr>
            <w:tcW w:w="1134" w:type="dxa"/>
            <w:vAlign w:val="center"/>
          </w:tcPr>
          <w:p w14:paraId="77B56AB1">
            <w:pPr>
              <w:snapToGrid w:val="0"/>
              <w:jc w:val="center"/>
              <w:rPr>
                <w:rFonts w:ascii="宋体"/>
                <w:sz w:val="18"/>
                <w:szCs w:val="18"/>
                <w:highlight w:val="none"/>
              </w:rPr>
            </w:pPr>
          </w:p>
        </w:tc>
        <w:tc>
          <w:tcPr>
            <w:tcW w:w="1134" w:type="dxa"/>
            <w:vAlign w:val="center"/>
          </w:tcPr>
          <w:p w14:paraId="0AE53164">
            <w:pPr>
              <w:snapToGrid w:val="0"/>
              <w:jc w:val="right"/>
              <w:rPr>
                <w:rFonts w:ascii="Arial Narrow" w:hAnsi="Arial Narrow"/>
                <w:kern w:val="0"/>
                <w:sz w:val="18"/>
                <w:szCs w:val="18"/>
                <w:highlight w:val="none"/>
              </w:rPr>
            </w:pPr>
            <w:r>
              <w:rPr>
                <w:rFonts w:ascii="Arial Narrow" w:hAnsi="Arial Narrow"/>
                <w:kern w:val="0"/>
                <w:sz w:val="18"/>
                <w:szCs w:val="18"/>
                <w:highlight w:val="none"/>
              </w:rPr>
              <w:t>73,305,900.00</w:t>
            </w:r>
          </w:p>
        </w:tc>
        <w:tc>
          <w:tcPr>
            <w:tcW w:w="1417" w:type="dxa"/>
            <w:vAlign w:val="center"/>
          </w:tcPr>
          <w:p w14:paraId="076BA693">
            <w:pPr>
              <w:snapToGrid w:val="0"/>
              <w:jc w:val="right"/>
              <w:rPr>
                <w:rFonts w:ascii="Arial Narrow" w:hAnsi="Arial Narrow"/>
                <w:kern w:val="0"/>
                <w:sz w:val="18"/>
                <w:szCs w:val="18"/>
                <w:highlight w:val="none"/>
              </w:rPr>
            </w:pPr>
            <w:r>
              <w:rPr>
                <w:rFonts w:ascii="Arial Narrow" w:hAnsi="Arial Narrow"/>
                <w:kern w:val="0"/>
                <w:sz w:val="18"/>
                <w:szCs w:val="18"/>
                <w:highlight w:val="none"/>
              </w:rPr>
              <w:t>73,305,900.00</w:t>
            </w:r>
          </w:p>
        </w:tc>
        <w:tc>
          <w:tcPr>
            <w:tcW w:w="1276" w:type="dxa"/>
            <w:vAlign w:val="center"/>
          </w:tcPr>
          <w:p w14:paraId="2946C8B3">
            <w:pPr>
              <w:snapToGrid w:val="0"/>
              <w:jc w:val="right"/>
              <w:rPr>
                <w:rFonts w:ascii="Arial Narrow" w:hAnsi="Arial Narrow"/>
                <w:kern w:val="0"/>
                <w:sz w:val="18"/>
                <w:szCs w:val="18"/>
                <w:highlight w:val="none"/>
              </w:rPr>
            </w:pPr>
            <w:r>
              <w:rPr>
                <w:rFonts w:ascii="Arial Narrow" w:hAnsi="Arial Narrow"/>
                <w:kern w:val="0"/>
                <w:sz w:val="18"/>
                <w:szCs w:val="18"/>
                <w:highlight w:val="none"/>
              </w:rPr>
              <w:t>73,305,900.00</w:t>
            </w:r>
          </w:p>
        </w:tc>
        <w:tc>
          <w:tcPr>
            <w:tcW w:w="1276" w:type="dxa"/>
            <w:vAlign w:val="center"/>
          </w:tcPr>
          <w:p w14:paraId="2CB44168">
            <w:pPr>
              <w:snapToGrid w:val="0"/>
              <w:jc w:val="right"/>
              <w:rPr>
                <w:rFonts w:ascii="Arial Narrow" w:hAnsi="Arial Narrow"/>
                <w:kern w:val="0"/>
                <w:sz w:val="18"/>
                <w:szCs w:val="18"/>
                <w:highlight w:val="none"/>
              </w:rPr>
            </w:pPr>
            <w:r>
              <w:rPr>
                <w:rFonts w:hint="eastAsia" w:ascii="Arial Narrow" w:hAnsi="Arial Narrow"/>
                <w:kern w:val="0"/>
                <w:sz w:val="18"/>
                <w:szCs w:val="18"/>
                <w:highlight w:val="none"/>
              </w:rPr>
              <w:t>20,089,138.02</w:t>
            </w:r>
          </w:p>
        </w:tc>
        <w:tc>
          <w:tcPr>
            <w:tcW w:w="1276" w:type="dxa"/>
            <w:vAlign w:val="center"/>
          </w:tcPr>
          <w:p w14:paraId="063674E4">
            <w:pPr>
              <w:snapToGrid w:val="0"/>
              <w:jc w:val="right"/>
              <w:rPr>
                <w:rFonts w:ascii="Arial Narrow" w:hAnsi="Arial Narrow"/>
                <w:kern w:val="0"/>
                <w:sz w:val="18"/>
                <w:szCs w:val="18"/>
                <w:highlight w:val="none"/>
              </w:rPr>
            </w:pPr>
            <w:r>
              <w:rPr>
                <w:rFonts w:hint="eastAsia" w:ascii="Arial Narrow" w:hAnsi="Arial Narrow"/>
                <w:kern w:val="0"/>
                <w:sz w:val="18"/>
                <w:szCs w:val="18"/>
                <w:highlight w:val="none"/>
              </w:rPr>
              <w:t xml:space="preserve"> 56,131,221.42 </w:t>
            </w:r>
          </w:p>
        </w:tc>
        <w:tc>
          <w:tcPr>
            <w:tcW w:w="1275" w:type="dxa"/>
            <w:vAlign w:val="center"/>
          </w:tcPr>
          <w:p w14:paraId="18AF76C7">
            <w:pPr>
              <w:keepNext w:val="0"/>
              <w:keepLines w:val="0"/>
              <w:widowControl/>
              <w:suppressLineNumbers w:val="0"/>
              <w:jc w:val="right"/>
              <w:textAlignment w:val="center"/>
              <w:rPr>
                <w:rFonts w:ascii="Arial Narrow" w:hAnsi="Arial Narrow"/>
                <w:kern w:val="0"/>
                <w:sz w:val="18"/>
                <w:szCs w:val="18"/>
                <w:highlight w:val="none"/>
              </w:rPr>
            </w:pPr>
            <w:r>
              <w:rPr>
                <w:rFonts w:hint="default" w:ascii="Arial Narrow" w:hAnsi="Arial Narrow" w:eastAsia="Arial Narrow" w:cs="Arial Narrow"/>
                <w:i w:val="0"/>
                <w:iCs w:val="0"/>
                <w:color w:val="000000"/>
                <w:kern w:val="0"/>
                <w:sz w:val="18"/>
                <w:szCs w:val="18"/>
                <w:highlight w:val="none"/>
                <w:u w:val="none"/>
                <w:lang w:val="en-US" w:eastAsia="zh-CN" w:bidi="ar"/>
              </w:rPr>
              <w:t>17,174,678.58</w:t>
            </w:r>
          </w:p>
        </w:tc>
        <w:tc>
          <w:tcPr>
            <w:tcW w:w="709" w:type="dxa"/>
            <w:vAlign w:val="center"/>
          </w:tcPr>
          <w:p w14:paraId="31419676">
            <w:pPr>
              <w:keepNext w:val="0"/>
              <w:keepLines w:val="0"/>
              <w:widowControl/>
              <w:suppressLineNumbers w:val="0"/>
              <w:jc w:val="right"/>
              <w:textAlignment w:val="center"/>
              <w:rPr>
                <w:rFonts w:ascii="Arial Narrow" w:hAnsi="Arial Narrow"/>
                <w:kern w:val="0"/>
                <w:sz w:val="18"/>
                <w:szCs w:val="18"/>
                <w:highlight w:val="none"/>
              </w:rPr>
            </w:pPr>
            <w:r>
              <w:rPr>
                <w:rFonts w:hint="default" w:ascii="Arial Narrow" w:hAnsi="Arial Narrow" w:eastAsia="Arial Narrow" w:cs="Arial Narrow"/>
                <w:i w:val="0"/>
                <w:iCs w:val="0"/>
                <w:color w:val="000000"/>
                <w:kern w:val="0"/>
                <w:sz w:val="18"/>
                <w:szCs w:val="18"/>
                <w:highlight w:val="none"/>
                <w:u w:val="none"/>
                <w:lang w:val="en-US" w:eastAsia="zh-CN" w:bidi="ar"/>
              </w:rPr>
              <w:t xml:space="preserve"> 76.57 </w:t>
            </w:r>
          </w:p>
        </w:tc>
        <w:tc>
          <w:tcPr>
            <w:tcW w:w="992" w:type="dxa"/>
            <w:vAlign w:val="center"/>
          </w:tcPr>
          <w:p w14:paraId="12613F07">
            <w:pPr>
              <w:snapToGrid w:val="0"/>
              <w:jc w:val="center"/>
              <w:rPr>
                <w:rFonts w:ascii="Arial Narrow" w:hAnsi="Arial Narrow"/>
                <w:kern w:val="0"/>
                <w:sz w:val="18"/>
                <w:szCs w:val="18"/>
                <w:highlight w:val="none"/>
              </w:rPr>
            </w:pPr>
            <w:r>
              <w:rPr>
                <w:rFonts w:ascii="Arial Narrow" w:hAnsi="Arial Narrow"/>
                <w:kern w:val="0"/>
                <w:sz w:val="18"/>
                <w:szCs w:val="18"/>
                <w:highlight w:val="none"/>
              </w:rPr>
              <w:t>2024年4月</w:t>
            </w:r>
          </w:p>
        </w:tc>
        <w:tc>
          <w:tcPr>
            <w:tcW w:w="993" w:type="dxa"/>
            <w:vAlign w:val="center"/>
          </w:tcPr>
          <w:p w14:paraId="16DB4351">
            <w:pPr>
              <w:snapToGrid w:val="0"/>
              <w:jc w:val="center"/>
              <w:rPr>
                <w:rFonts w:ascii="Arial Narrow" w:hAnsi="Arial Narrow"/>
                <w:sz w:val="18"/>
                <w:szCs w:val="18"/>
                <w:highlight w:val="none"/>
              </w:rPr>
            </w:pPr>
            <w:r>
              <w:rPr>
                <w:rFonts w:ascii="Arial Narrow" w:hAnsi="Arial Narrow"/>
                <w:sz w:val="18"/>
                <w:szCs w:val="18"/>
                <w:highlight w:val="none"/>
              </w:rPr>
              <w:t>-</w:t>
            </w:r>
          </w:p>
        </w:tc>
        <w:tc>
          <w:tcPr>
            <w:tcW w:w="708" w:type="dxa"/>
            <w:vAlign w:val="center"/>
          </w:tcPr>
          <w:p w14:paraId="1D3F70AB">
            <w:pPr>
              <w:snapToGrid w:val="0"/>
              <w:jc w:val="center"/>
              <w:rPr>
                <w:rFonts w:hint="default" w:ascii="宋体" w:eastAsia="宋体"/>
                <w:sz w:val="18"/>
                <w:szCs w:val="18"/>
                <w:highlight w:val="none"/>
                <w:lang w:val="en-US" w:eastAsia="zh-CN"/>
              </w:rPr>
            </w:pPr>
            <w:r>
              <w:rPr>
                <w:rFonts w:hint="eastAsia" w:ascii="宋体"/>
                <w:sz w:val="18"/>
                <w:szCs w:val="18"/>
                <w:highlight w:val="none"/>
                <w:lang w:val="en-US" w:eastAsia="zh-CN"/>
              </w:rPr>
              <w:t>注3</w:t>
            </w:r>
          </w:p>
        </w:tc>
        <w:tc>
          <w:tcPr>
            <w:tcW w:w="567" w:type="dxa"/>
            <w:vAlign w:val="center"/>
          </w:tcPr>
          <w:p w14:paraId="4C253BA1">
            <w:pPr>
              <w:snapToGrid w:val="0"/>
              <w:jc w:val="center"/>
              <w:rPr>
                <w:rFonts w:ascii="宋体"/>
                <w:sz w:val="18"/>
                <w:szCs w:val="18"/>
                <w:highlight w:val="none"/>
              </w:rPr>
            </w:pPr>
            <w:r>
              <w:rPr>
                <w:rFonts w:hint="eastAsia" w:ascii="宋体"/>
                <w:sz w:val="18"/>
                <w:szCs w:val="18"/>
                <w:highlight w:val="none"/>
              </w:rPr>
              <w:t>否</w:t>
            </w:r>
          </w:p>
        </w:tc>
      </w:tr>
      <w:tr w14:paraId="69B83DB0">
        <w:trPr>
          <w:trHeight w:val="340" w:hRule="atLeast"/>
          <w:jc w:val="center"/>
        </w:trPr>
        <w:tc>
          <w:tcPr>
            <w:tcW w:w="1418" w:type="dxa"/>
            <w:vAlign w:val="center"/>
          </w:tcPr>
          <w:p w14:paraId="7A6F920A">
            <w:pPr>
              <w:snapToGrid w:val="0"/>
              <w:jc w:val="left"/>
              <w:rPr>
                <w:rFonts w:ascii="宋体"/>
                <w:sz w:val="18"/>
                <w:szCs w:val="18"/>
                <w:highlight w:val="none"/>
              </w:rPr>
            </w:pPr>
            <w:r>
              <w:rPr>
                <w:rFonts w:hint="eastAsia" w:ascii="宋体"/>
                <w:sz w:val="18"/>
                <w:szCs w:val="18"/>
                <w:highlight w:val="none"/>
              </w:rPr>
              <w:t>低铁损高磁感硅钢铁心智能制造项目</w:t>
            </w:r>
            <w:r>
              <w:rPr>
                <w:rFonts w:hint="eastAsia" w:ascii="宋体" w:cs="宋体"/>
                <w:kern w:val="0"/>
                <w:sz w:val="18"/>
                <w:szCs w:val="18"/>
                <w:highlight w:val="none"/>
              </w:rPr>
              <w:t>（注1）</w:t>
            </w:r>
          </w:p>
        </w:tc>
        <w:tc>
          <w:tcPr>
            <w:tcW w:w="1134" w:type="dxa"/>
            <w:vAlign w:val="center"/>
          </w:tcPr>
          <w:p w14:paraId="79C6CCF3">
            <w:pPr>
              <w:snapToGrid w:val="0"/>
              <w:jc w:val="center"/>
              <w:rPr>
                <w:rFonts w:ascii="宋体"/>
                <w:sz w:val="18"/>
                <w:szCs w:val="18"/>
                <w:highlight w:val="none"/>
              </w:rPr>
            </w:pPr>
          </w:p>
        </w:tc>
        <w:tc>
          <w:tcPr>
            <w:tcW w:w="1134" w:type="dxa"/>
            <w:vAlign w:val="center"/>
          </w:tcPr>
          <w:p w14:paraId="600197ED">
            <w:pPr>
              <w:snapToGrid w:val="0"/>
              <w:jc w:val="right"/>
              <w:rPr>
                <w:rFonts w:ascii="Arial Narrow" w:hAnsi="Arial Narrow"/>
                <w:kern w:val="0"/>
                <w:sz w:val="18"/>
                <w:szCs w:val="18"/>
                <w:highlight w:val="none"/>
              </w:rPr>
            </w:pPr>
            <w:r>
              <w:rPr>
                <w:rFonts w:ascii="Arial Narrow" w:hAnsi="Arial Narrow"/>
                <w:kern w:val="0"/>
                <w:sz w:val="18"/>
                <w:szCs w:val="18"/>
                <w:highlight w:val="none"/>
              </w:rPr>
              <w:t>128,326,800.00</w:t>
            </w:r>
          </w:p>
        </w:tc>
        <w:tc>
          <w:tcPr>
            <w:tcW w:w="1417" w:type="dxa"/>
            <w:vAlign w:val="center"/>
          </w:tcPr>
          <w:p w14:paraId="63160A52">
            <w:pPr>
              <w:snapToGrid w:val="0"/>
              <w:jc w:val="right"/>
              <w:rPr>
                <w:rFonts w:ascii="Arial Narrow" w:hAnsi="Arial Narrow"/>
                <w:kern w:val="0"/>
                <w:sz w:val="18"/>
                <w:szCs w:val="18"/>
                <w:highlight w:val="none"/>
              </w:rPr>
            </w:pPr>
            <w:r>
              <w:rPr>
                <w:rFonts w:ascii="Arial Narrow" w:hAnsi="Arial Narrow"/>
                <w:kern w:val="0"/>
                <w:sz w:val="18"/>
                <w:szCs w:val="18"/>
                <w:highlight w:val="none"/>
              </w:rPr>
              <w:t>128,326,800.00</w:t>
            </w:r>
          </w:p>
        </w:tc>
        <w:tc>
          <w:tcPr>
            <w:tcW w:w="1276" w:type="dxa"/>
            <w:vAlign w:val="center"/>
          </w:tcPr>
          <w:p w14:paraId="657F63EC">
            <w:pPr>
              <w:snapToGrid w:val="0"/>
              <w:jc w:val="right"/>
              <w:rPr>
                <w:rFonts w:ascii="Arial Narrow" w:hAnsi="Arial Narrow"/>
                <w:kern w:val="0"/>
                <w:sz w:val="18"/>
                <w:szCs w:val="18"/>
                <w:highlight w:val="none"/>
              </w:rPr>
            </w:pPr>
            <w:r>
              <w:rPr>
                <w:rFonts w:ascii="Arial Narrow" w:hAnsi="Arial Narrow"/>
                <w:kern w:val="0"/>
                <w:sz w:val="18"/>
                <w:szCs w:val="18"/>
                <w:highlight w:val="none"/>
              </w:rPr>
              <w:t>128,326,800.00</w:t>
            </w:r>
          </w:p>
        </w:tc>
        <w:tc>
          <w:tcPr>
            <w:tcW w:w="1276" w:type="dxa"/>
            <w:vAlign w:val="center"/>
          </w:tcPr>
          <w:p w14:paraId="1C25F2C0">
            <w:pPr>
              <w:snapToGrid w:val="0"/>
              <w:jc w:val="right"/>
              <w:rPr>
                <w:rFonts w:ascii="Arial Narrow" w:hAnsi="Arial Narrow"/>
                <w:kern w:val="0"/>
                <w:sz w:val="18"/>
                <w:szCs w:val="18"/>
                <w:highlight w:val="none"/>
              </w:rPr>
            </w:pPr>
            <w:r>
              <w:rPr>
                <w:rFonts w:hint="eastAsia" w:ascii="Arial Narrow" w:hAnsi="Arial Narrow"/>
                <w:kern w:val="0"/>
                <w:sz w:val="18"/>
                <w:szCs w:val="18"/>
                <w:highlight w:val="none"/>
              </w:rPr>
              <w:t xml:space="preserve"> -   </w:t>
            </w:r>
          </w:p>
        </w:tc>
        <w:tc>
          <w:tcPr>
            <w:tcW w:w="1276" w:type="dxa"/>
            <w:vAlign w:val="center"/>
          </w:tcPr>
          <w:p w14:paraId="2C60325F">
            <w:pPr>
              <w:snapToGrid w:val="0"/>
              <w:jc w:val="right"/>
              <w:rPr>
                <w:rFonts w:ascii="Arial Narrow" w:hAnsi="Arial Narrow"/>
                <w:kern w:val="0"/>
                <w:sz w:val="18"/>
                <w:szCs w:val="18"/>
                <w:highlight w:val="none"/>
              </w:rPr>
            </w:pPr>
            <w:r>
              <w:rPr>
                <w:rFonts w:hint="eastAsia" w:ascii="Arial Narrow" w:hAnsi="Arial Narrow"/>
                <w:kern w:val="0"/>
                <w:sz w:val="18"/>
                <w:szCs w:val="18"/>
                <w:highlight w:val="none"/>
              </w:rPr>
              <w:t xml:space="preserve"> 130,078,692.00 </w:t>
            </w:r>
          </w:p>
        </w:tc>
        <w:tc>
          <w:tcPr>
            <w:tcW w:w="1275" w:type="dxa"/>
            <w:vAlign w:val="center"/>
          </w:tcPr>
          <w:p w14:paraId="1E9AA6DB">
            <w:pPr>
              <w:keepNext w:val="0"/>
              <w:keepLines w:val="0"/>
              <w:widowControl/>
              <w:suppressLineNumbers w:val="0"/>
              <w:jc w:val="right"/>
              <w:textAlignment w:val="center"/>
              <w:rPr>
                <w:rFonts w:ascii="Arial Narrow" w:hAnsi="Arial Narrow"/>
                <w:kern w:val="0"/>
                <w:sz w:val="18"/>
                <w:szCs w:val="18"/>
                <w:highlight w:val="none"/>
              </w:rPr>
            </w:pPr>
            <w:r>
              <w:rPr>
                <w:rFonts w:hint="default" w:ascii="Arial Narrow" w:hAnsi="Arial Narrow" w:eastAsia="Arial Narrow" w:cs="Arial Narrow"/>
                <w:i w:val="0"/>
                <w:iCs w:val="0"/>
                <w:color w:val="000000"/>
                <w:kern w:val="0"/>
                <w:sz w:val="18"/>
                <w:szCs w:val="18"/>
                <w:highlight w:val="none"/>
                <w:u w:val="none"/>
                <w:lang w:val="en-US" w:eastAsia="zh-CN" w:bidi="ar"/>
              </w:rPr>
              <w:t>-1,751,892.00</w:t>
            </w:r>
          </w:p>
        </w:tc>
        <w:tc>
          <w:tcPr>
            <w:tcW w:w="709" w:type="dxa"/>
            <w:vAlign w:val="center"/>
          </w:tcPr>
          <w:p w14:paraId="0333510E">
            <w:pPr>
              <w:keepNext w:val="0"/>
              <w:keepLines w:val="0"/>
              <w:widowControl/>
              <w:suppressLineNumbers w:val="0"/>
              <w:jc w:val="right"/>
              <w:textAlignment w:val="center"/>
              <w:rPr>
                <w:rFonts w:ascii="Arial Narrow" w:hAnsi="Arial Narrow"/>
                <w:kern w:val="0"/>
                <w:sz w:val="18"/>
                <w:szCs w:val="18"/>
                <w:highlight w:val="none"/>
              </w:rPr>
            </w:pPr>
            <w:r>
              <w:rPr>
                <w:rFonts w:hint="default" w:ascii="Arial Narrow" w:hAnsi="Arial Narrow" w:eastAsia="Arial Narrow" w:cs="Arial Narrow"/>
                <w:i w:val="0"/>
                <w:iCs w:val="0"/>
                <w:color w:val="000000"/>
                <w:kern w:val="0"/>
                <w:sz w:val="18"/>
                <w:szCs w:val="18"/>
                <w:highlight w:val="none"/>
                <w:u w:val="none"/>
                <w:lang w:val="en-US" w:eastAsia="zh-CN" w:bidi="ar"/>
              </w:rPr>
              <w:t xml:space="preserve"> 101.37 </w:t>
            </w:r>
          </w:p>
        </w:tc>
        <w:tc>
          <w:tcPr>
            <w:tcW w:w="992" w:type="dxa"/>
            <w:vAlign w:val="center"/>
          </w:tcPr>
          <w:p w14:paraId="2DCFEC2C">
            <w:pPr>
              <w:snapToGrid w:val="0"/>
              <w:jc w:val="center"/>
              <w:rPr>
                <w:rFonts w:ascii="Arial Narrow" w:hAnsi="Arial Narrow"/>
                <w:kern w:val="0"/>
                <w:sz w:val="18"/>
                <w:szCs w:val="18"/>
                <w:highlight w:val="none"/>
              </w:rPr>
            </w:pPr>
            <w:r>
              <w:rPr>
                <w:rFonts w:ascii="Arial Narrow" w:hAnsi="Arial Narrow"/>
                <w:kern w:val="0"/>
                <w:sz w:val="18"/>
                <w:szCs w:val="18"/>
                <w:highlight w:val="none"/>
              </w:rPr>
              <w:t>2023年6月</w:t>
            </w:r>
          </w:p>
        </w:tc>
        <w:tc>
          <w:tcPr>
            <w:tcW w:w="993" w:type="dxa"/>
            <w:vAlign w:val="center"/>
          </w:tcPr>
          <w:p w14:paraId="4E55349A">
            <w:pPr>
              <w:snapToGrid w:val="0"/>
              <w:jc w:val="center"/>
              <w:rPr>
                <w:rFonts w:ascii="Arial Narrow" w:hAnsi="Arial Narrow"/>
                <w:sz w:val="18"/>
                <w:szCs w:val="18"/>
                <w:highlight w:val="none"/>
              </w:rPr>
            </w:pPr>
            <w:r>
              <w:rPr>
                <w:rFonts w:hint="eastAsia" w:ascii="Arial Narrow" w:hAnsi="Arial Narrow"/>
                <w:sz w:val="18"/>
                <w:szCs w:val="18"/>
                <w:highlight w:val="none"/>
              </w:rPr>
              <w:t>8,668,162.98</w:t>
            </w:r>
          </w:p>
        </w:tc>
        <w:tc>
          <w:tcPr>
            <w:tcW w:w="708" w:type="dxa"/>
            <w:vAlign w:val="center"/>
          </w:tcPr>
          <w:p w14:paraId="66E75CE4">
            <w:pPr>
              <w:snapToGrid w:val="0"/>
              <w:jc w:val="center"/>
              <w:rPr>
                <w:rFonts w:ascii="宋体"/>
                <w:sz w:val="18"/>
                <w:szCs w:val="18"/>
                <w:highlight w:val="none"/>
              </w:rPr>
            </w:pPr>
            <w:r>
              <w:rPr>
                <w:rFonts w:hint="eastAsia" w:ascii="宋体"/>
                <w:sz w:val="18"/>
                <w:szCs w:val="18"/>
                <w:highlight w:val="none"/>
              </w:rPr>
              <w:t>是</w:t>
            </w:r>
          </w:p>
        </w:tc>
        <w:tc>
          <w:tcPr>
            <w:tcW w:w="567" w:type="dxa"/>
            <w:vAlign w:val="center"/>
          </w:tcPr>
          <w:p w14:paraId="1A3D7348">
            <w:pPr>
              <w:snapToGrid w:val="0"/>
              <w:jc w:val="center"/>
              <w:rPr>
                <w:rFonts w:ascii="宋体"/>
                <w:sz w:val="18"/>
                <w:szCs w:val="18"/>
                <w:highlight w:val="none"/>
              </w:rPr>
            </w:pPr>
            <w:r>
              <w:rPr>
                <w:rFonts w:hint="eastAsia" w:ascii="宋体"/>
                <w:sz w:val="18"/>
                <w:szCs w:val="18"/>
                <w:highlight w:val="none"/>
              </w:rPr>
              <w:t>否</w:t>
            </w:r>
          </w:p>
        </w:tc>
      </w:tr>
      <w:tr w14:paraId="663B7D6E">
        <w:trPr>
          <w:trHeight w:val="340" w:hRule="atLeast"/>
          <w:jc w:val="center"/>
        </w:trPr>
        <w:tc>
          <w:tcPr>
            <w:tcW w:w="1418" w:type="dxa"/>
            <w:vAlign w:val="center"/>
          </w:tcPr>
          <w:p w14:paraId="26244CA4">
            <w:pPr>
              <w:snapToGrid w:val="0"/>
              <w:jc w:val="left"/>
              <w:rPr>
                <w:rFonts w:ascii="宋体"/>
                <w:sz w:val="18"/>
                <w:szCs w:val="18"/>
                <w:highlight w:val="none"/>
              </w:rPr>
            </w:pPr>
            <w:r>
              <w:rPr>
                <w:rFonts w:hint="eastAsia" w:ascii="宋体"/>
                <w:sz w:val="18"/>
                <w:szCs w:val="18"/>
                <w:highlight w:val="none"/>
              </w:rPr>
              <w:t>研发中心及信息化建设项目</w:t>
            </w:r>
          </w:p>
        </w:tc>
        <w:tc>
          <w:tcPr>
            <w:tcW w:w="1134" w:type="dxa"/>
            <w:vAlign w:val="center"/>
          </w:tcPr>
          <w:p w14:paraId="31D3305B">
            <w:pPr>
              <w:snapToGrid w:val="0"/>
              <w:jc w:val="center"/>
              <w:rPr>
                <w:rFonts w:ascii="宋体"/>
                <w:sz w:val="18"/>
                <w:szCs w:val="18"/>
                <w:highlight w:val="none"/>
              </w:rPr>
            </w:pPr>
          </w:p>
        </w:tc>
        <w:tc>
          <w:tcPr>
            <w:tcW w:w="1134" w:type="dxa"/>
            <w:vAlign w:val="center"/>
          </w:tcPr>
          <w:p w14:paraId="0040D204">
            <w:pPr>
              <w:snapToGrid w:val="0"/>
              <w:jc w:val="right"/>
              <w:rPr>
                <w:rFonts w:ascii="Arial Narrow" w:hAnsi="Arial Narrow"/>
                <w:kern w:val="0"/>
                <w:sz w:val="18"/>
                <w:szCs w:val="18"/>
                <w:highlight w:val="none"/>
              </w:rPr>
            </w:pPr>
            <w:r>
              <w:rPr>
                <w:rFonts w:ascii="Arial Narrow" w:hAnsi="Arial Narrow"/>
                <w:kern w:val="0"/>
                <w:sz w:val="18"/>
                <w:szCs w:val="18"/>
                <w:highlight w:val="none"/>
              </w:rPr>
              <w:t>62,500,000.00</w:t>
            </w:r>
          </w:p>
        </w:tc>
        <w:tc>
          <w:tcPr>
            <w:tcW w:w="1417" w:type="dxa"/>
            <w:vAlign w:val="center"/>
          </w:tcPr>
          <w:p w14:paraId="28E2BCC9">
            <w:pPr>
              <w:snapToGrid w:val="0"/>
              <w:jc w:val="right"/>
              <w:rPr>
                <w:rFonts w:ascii="Arial Narrow" w:hAnsi="Arial Narrow"/>
                <w:kern w:val="0"/>
                <w:sz w:val="18"/>
                <w:szCs w:val="18"/>
                <w:highlight w:val="none"/>
              </w:rPr>
            </w:pPr>
            <w:r>
              <w:rPr>
                <w:rFonts w:ascii="Arial Narrow" w:hAnsi="Arial Narrow"/>
                <w:kern w:val="0"/>
                <w:sz w:val="18"/>
                <w:szCs w:val="18"/>
                <w:highlight w:val="none"/>
              </w:rPr>
              <w:t>62,500,000.00</w:t>
            </w:r>
          </w:p>
        </w:tc>
        <w:tc>
          <w:tcPr>
            <w:tcW w:w="1276" w:type="dxa"/>
            <w:vAlign w:val="center"/>
          </w:tcPr>
          <w:p w14:paraId="2A8C0633">
            <w:pPr>
              <w:snapToGrid w:val="0"/>
              <w:jc w:val="right"/>
              <w:rPr>
                <w:rFonts w:ascii="Arial Narrow" w:hAnsi="Arial Narrow"/>
                <w:kern w:val="0"/>
                <w:sz w:val="18"/>
                <w:szCs w:val="18"/>
                <w:highlight w:val="none"/>
              </w:rPr>
            </w:pPr>
            <w:r>
              <w:rPr>
                <w:rFonts w:ascii="Arial Narrow" w:hAnsi="Arial Narrow"/>
                <w:kern w:val="0"/>
                <w:sz w:val="18"/>
                <w:szCs w:val="18"/>
                <w:highlight w:val="none"/>
              </w:rPr>
              <w:t>62,500,000.00</w:t>
            </w:r>
          </w:p>
        </w:tc>
        <w:tc>
          <w:tcPr>
            <w:tcW w:w="1276" w:type="dxa"/>
            <w:vAlign w:val="center"/>
          </w:tcPr>
          <w:p w14:paraId="6D3B8C58">
            <w:pPr>
              <w:snapToGrid w:val="0"/>
              <w:jc w:val="right"/>
              <w:rPr>
                <w:rFonts w:ascii="Arial Narrow" w:hAnsi="Arial Narrow"/>
                <w:kern w:val="0"/>
                <w:sz w:val="18"/>
                <w:szCs w:val="18"/>
                <w:highlight w:val="none"/>
              </w:rPr>
            </w:pPr>
            <w:r>
              <w:rPr>
                <w:rFonts w:hint="eastAsia" w:ascii="Arial Narrow" w:hAnsi="Arial Narrow"/>
                <w:kern w:val="0"/>
                <w:sz w:val="18"/>
                <w:szCs w:val="18"/>
                <w:highlight w:val="none"/>
              </w:rPr>
              <w:t>5,351,398.46</w:t>
            </w:r>
          </w:p>
        </w:tc>
        <w:tc>
          <w:tcPr>
            <w:tcW w:w="1276" w:type="dxa"/>
            <w:vAlign w:val="center"/>
          </w:tcPr>
          <w:p w14:paraId="3B2D1C1F">
            <w:pPr>
              <w:snapToGrid w:val="0"/>
              <w:jc w:val="right"/>
              <w:rPr>
                <w:rFonts w:ascii="Arial Narrow" w:hAnsi="Arial Narrow"/>
                <w:kern w:val="0"/>
                <w:sz w:val="18"/>
                <w:szCs w:val="18"/>
                <w:highlight w:val="none"/>
              </w:rPr>
            </w:pPr>
            <w:r>
              <w:rPr>
                <w:rFonts w:hint="eastAsia" w:ascii="Arial Narrow" w:hAnsi="Arial Narrow"/>
                <w:kern w:val="0"/>
                <w:sz w:val="18"/>
                <w:szCs w:val="18"/>
                <w:highlight w:val="none"/>
              </w:rPr>
              <w:t xml:space="preserve"> 34,475,210.80 </w:t>
            </w:r>
          </w:p>
        </w:tc>
        <w:tc>
          <w:tcPr>
            <w:tcW w:w="1275" w:type="dxa"/>
            <w:vAlign w:val="center"/>
          </w:tcPr>
          <w:p w14:paraId="7F6F56A5">
            <w:pPr>
              <w:keepNext w:val="0"/>
              <w:keepLines w:val="0"/>
              <w:widowControl/>
              <w:suppressLineNumbers w:val="0"/>
              <w:jc w:val="right"/>
              <w:textAlignment w:val="center"/>
              <w:rPr>
                <w:rFonts w:ascii="Arial Narrow" w:hAnsi="Arial Narrow"/>
                <w:kern w:val="0"/>
                <w:sz w:val="18"/>
                <w:szCs w:val="18"/>
                <w:highlight w:val="none"/>
              </w:rPr>
            </w:pPr>
            <w:r>
              <w:rPr>
                <w:rFonts w:hint="default" w:ascii="Arial Narrow" w:hAnsi="Arial Narrow" w:eastAsia="Arial Narrow" w:cs="Arial Narrow"/>
                <w:i w:val="0"/>
                <w:iCs w:val="0"/>
                <w:color w:val="000000"/>
                <w:kern w:val="0"/>
                <w:sz w:val="18"/>
                <w:szCs w:val="18"/>
                <w:highlight w:val="none"/>
                <w:u w:val="none"/>
                <w:lang w:val="en-US" w:eastAsia="zh-CN" w:bidi="ar"/>
              </w:rPr>
              <w:t>28,024,789.20</w:t>
            </w:r>
          </w:p>
        </w:tc>
        <w:tc>
          <w:tcPr>
            <w:tcW w:w="709" w:type="dxa"/>
            <w:vAlign w:val="center"/>
          </w:tcPr>
          <w:p w14:paraId="6092439B">
            <w:pPr>
              <w:keepNext w:val="0"/>
              <w:keepLines w:val="0"/>
              <w:widowControl/>
              <w:suppressLineNumbers w:val="0"/>
              <w:jc w:val="right"/>
              <w:textAlignment w:val="center"/>
              <w:rPr>
                <w:rFonts w:ascii="Arial Narrow" w:hAnsi="Arial Narrow"/>
                <w:kern w:val="0"/>
                <w:sz w:val="18"/>
                <w:szCs w:val="18"/>
                <w:highlight w:val="none"/>
              </w:rPr>
            </w:pPr>
            <w:r>
              <w:rPr>
                <w:rFonts w:hint="default" w:ascii="Arial Narrow" w:hAnsi="Arial Narrow" w:eastAsia="Arial Narrow" w:cs="Arial Narrow"/>
                <w:i w:val="0"/>
                <w:iCs w:val="0"/>
                <w:color w:val="000000"/>
                <w:kern w:val="0"/>
                <w:sz w:val="18"/>
                <w:szCs w:val="18"/>
                <w:highlight w:val="none"/>
                <w:u w:val="none"/>
                <w:lang w:val="en-US" w:eastAsia="zh-CN" w:bidi="ar"/>
              </w:rPr>
              <w:t xml:space="preserve"> 55.16 </w:t>
            </w:r>
          </w:p>
        </w:tc>
        <w:tc>
          <w:tcPr>
            <w:tcW w:w="992" w:type="dxa"/>
            <w:vAlign w:val="center"/>
          </w:tcPr>
          <w:p w14:paraId="48EF48DC">
            <w:pPr>
              <w:snapToGrid w:val="0"/>
              <w:jc w:val="center"/>
              <w:rPr>
                <w:rFonts w:ascii="Arial Narrow" w:hAnsi="Arial Narrow"/>
                <w:kern w:val="0"/>
                <w:sz w:val="18"/>
                <w:szCs w:val="18"/>
                <w:highlight w:val="none"/>
              </w:rPr>
            </w:pPr>
            <w:r>
              <w:rPr>
                <w:rFonts w:ascii="Arial Narrow" w:hAnsi="Arial Narrow"/>
                <w:kern w:val="0"/>
                <w:sz w:val="18"/>
                <w:szCs w:val="18"/>
                <w:highlight w:val="none"/>
              </w:rPr>
              <w:t>2024年4月</w:t>
            </w:r>
          </w:p>
        </w:tc>
        <w:tc>
          <w:tcPr>
            <w:tcW w:w="993" w:type="dxa"/>
            <w:vAlign w:val="center"/>
          </w:tcPr>
          <w:p w14:paraId="6564BBA7">
            <w:pPr>
              <w:snapToGrid w:val="0"/>
              <w:jc w:val="center"/>
              <w:rPr>
                <w:rFonts w:ascii="Arial Narrow" w:hAnsi="Arial Narrow"/>
                <w:sz w:val="18"/>
                <w:szCs w:val="18"/>
                <w:highlight w:val="none"/>
              </w:rPr>
            </w:pPr>
            <w:r>
              <w:rPr>
                <w:rFonts w:ascii="Arial Narrow" w:hAnsi="Arial Narrow"/>
                <w:sz w:val="18"/>
                <w:szCs w:val="18"/>
                <w:highlight w:val="none"/>
              </w:rPr>
              <w:t>-</w:t>
            </w:r>
          </w:p>
        </w:tc>
        <w:tc>
          <w:tcPr>
            <w:tcW w:w="708" w:type="dxa"/>
            <w:vAlign w:val="center"/>
          </w:tcPr>
          <w:p w14:paraId="1218E3E3">
            <w:pPr>
              <w:snapToGrid w:val="0"/>
              <w:jc w:val="center"/>
              <w:rPr>
                <w:rFonts w:hint="default" w:ascii="宋体" w:eastAsia="宋体"/>
                <w:sz w:val="18"/>
                <w:szCs w:val="18"/>
                <w:highlight w:val="none"/>
                <w:lang w:val="en-US" w:eastAsia="zh-CN"/>
              </w:rPr>
            </w:pPr>
            <w:r>
              <w:rPr>
                <w:rFonts w:hint="eastAsia" w:ascii="宋体"/>
                <w:sz w:val="18"/>
                <w:szCs w:val="18"/>
                <w:highlight w:val="none"/>
              </w:rPr>
              <w:t>不适用</w:t>
            </w:r>
            <w:r>
              <w:rPr>
                <w:rFonts w:hint="eastAsia" w:ascii="宋体"/>
                <w:sz w:val="18"/>
                <w:szCs w:val="18"/>
                <w:highlight w:val="none"/>
                <w:lang w:eastAsia="zh-CN"/>
              </w:rPr>
              <w:t>、</w:t>
            </w:r>
            <w:r>
              <w:rPr>
                <w:rFonts w:hint="eastAsia" w:ascii="宋体"/>
                <w:sz w:val="18"/>
                <w:szCs w:val="18"/>
                <w:highlight w:val="none"/>
                <w:lang w:val="en-US" w:eastAsia="zh-CN"/>
              </w:rPr>
              <w:t>注4</w:t>
            </w:r>
          </w:p>
        </w:tc>
        <w:tc>
          <w:tcPr>
            <w:tcW w:w="567" w:type="dxa"/>
            <w:vAlign w:val="center"/>
          </w:tcPr>
          <w:p w14:paraId="4632F7C9">
            <w:pPr>
              <w:snapToGrid w:val="0"/>
              <w:jc w:val="center"/>
              <w:rPr>
                <w:rFonts w:ascii="宋体"/>
                <w:sz w:val="18"/>
                <w:szCs w:val="18"/>
                <w:highlight w:val="none"/>
              </w:rPr>
            </w:pPr>
            <w:r>
              <w:rPr>
                <w:rFonts w:hint="eastAsia" w:ascii="宋体"/>
                <w:sz w:val="18"/>
                <w:szCs w:val="18"/>
                <w:highlight w:val="none"/>
              </w:rPr>
              <w:t>否</w:t>
            </w:r>
          </w:p>
        </w:tc>
      </w:tr>
      <w:tr w14:paraId="30859EBC">
        <w:trPr>
          <w:trHeight w:val="340" w:hRule="atLeast"/>
          <w:jc w:val="center"/>
        </w:trPr>
        <w:tc>
          <w:tcPr>
            <w:tcW w:w="1418" w:type="dxa"/>
            <w:vAlign w:val="center"/>
          </w:tcPr>
          <w:p w14:paraId="700B3C09">
            <w:pPr>
              <w:snapToGrid w:val="0"/>
              <w:jc w:val="left"/>
              <w:rPr>
                <w:rFonts w:ascii="宋体"/>
                <w:sz w:val="18"/>
                <w:szCs w:val="18"/>
                <w:highlight w:val="none"/>
              </w:rPr>
            </w:pPr>
            <w:r>
              <w:rPr>
                <w:rFonts w:hint="eastAsia" w:ascii="宋体"/>
                <w:sz w:val="18"/>
                <w:szCs w:val="18"/>
                <w:highlight w:val="none"/>
              </w:rPr>
              <w:t>智控设备及金属制品智能工厂建设项目</w:t>
            </w:r>
            <w:r>
              <w:rPr>
                <w:rFonts w:hint="eastAsia" w:ascii="宋体" w:cs="宋体"/>
                <w:kern w:val="0"/>
                <w:sz w:val="18"/>
                <w:szCs w:val="18"/>
                <w:highlight w:val="none"/>
              </w:rPr>
              <w:t>（一期）</w:t>
            </w:r>
          </w:p>
        </w:tc>
        <w:tc>
          <w:tcPr>
            <w:tcW w:w="1134" w:type="dxa"/>
            <w:vAlign w:val="center"/>
          </w:tcPr>
          <w:p w14:paraId="31714C43">
            <w:pPr>
              <w:snapToGrid w:val="0"/>
              <w:jc w:val="center"/>
              <w:rPr>
                <w:rFonts w:ascii="宋体"/>
                <w:sz w:val="18"/>
                <w:szCs w:val="18"/>
                <w:highlight w:val="none"/>
              </w:rPr>
            </w:pPr>
            <w:r>
              <w:rPr>
                <w:rFonts w:hint="eastAsia" w:ascii="宋体"/>
                <w:sz w:val="18"/>
                <w:szCs w:val="18"/>
                <w:highlight w:val="none"/>
              </w:rPr>
              <w:t>新增</w:t>
            </w:r>
          </w:p>
        </w:tc>
        <w:tc>
          <w:tcPr>
            <w:tcW w:w="1134" w:type="dxa"/>
            <w:vAlign w:val="center"/>
          </w:tcPr>
          <w:p w14:paraId="4CAA24C5">
            <w:pPr>
              <w:snapToGrid w:val="0"/>
              <w:jc w:val="right"/>
              <w:rPr>
                <w:rFonts w:ascii="Arial Narrow" w:hAnsi="Arial Narrow"/>
                <w:kern w:val="0"/>
                <w:sz w:val="18"/>
                <w:szCs w:val="18"/>
                <w:highlight w:val="none"/>
              </w:rPr>
            </w:pPr>
          </w:p>
        </w:tc>
        <w:tc>
          <w:tcPr>
            <w:tcW w:w="1417" w:type="dxa"/>
            <w:vAlign w:val="center"/>
          </w:tcPr>
          <w:p w14:paraId="461EDEFC">
            <w:pPr>
              <w:snapToGrid w:val="0"/>
              <w:jc w:val="right"/>
              <w:rPr>
                <w:rFonts w:ascii="Arial Narrow" w:hAnsi="Arial Narrow"/>
                <w:kern w:val="0"/>
                <w:sz w:val="18"/>
                <w:szCs w:val="18"/>
                <w:highlight w:val="none"/>
              </w:rPr>
            </w:pPr>
            <w:r>
              <w:rPr>
                <w:rFonts w:ascii="Arial Narrow" w:hAnsi="Arial Narrow"/>
                <w:kern w:val="0"/>
                <w:sz w:val="18"/>
                <w:szCs w:val="18"/>
                <w:highlight w:val="none"/>
              </w:rPr>
              <w:t>147,744,400.00</w:t>
            </w:r>
          </w:p>
        </w:tc>
        <w:tc>
          <w:tcPr>
            <w:tcW w:w="1276" w:type="dxa"/>
            <w:vAlign w:val="center"/>
          </w:tcPr>
          <w:p w14:paraId="16F541D9">
            <w:pPr>
              <w:snapToGrid w:val="0"/>
              <w:jc w:val="right"/>
              <w:rPr>
                <w:rFonts w:ascii="Arial Narrow" w:hAnsi="Arial Narrow"/>
                <w:kern w:val="0"/>
                <w:sz w:val="18"/>
                <w:szCs w:val="18"/>
                <w:highlight w:val="none"/>
              </w:rPr>
            </w:pPr>
            <w:r>
              <w:rPr>
                <w:rFonts w:ascii="Arial Narrow" w:hAnsi="Arial Narrow"/>
                <w:kern w:val="0"/>
                <w:sz w:val="18"/>
                <w:szCs w:val="18"/>
                <w:highlight w:val="none"/>
              </w:rPr>
              <w:t>147,744,400.00</w:t>
            </w:r>
          </w:p>
        </w:tc>
        <w:tc>
          <w:tcPr>
            <w:tcW w:w="1276" w:type="dxa"/>
            <w:vAlign w:val="center"/>
          </w:tcPr>
          <w:p w14:paraId="08B36A90">
            <w:pPr>
              <w:snapToGrid w:val="0"/>
              <w:jc w:val="right"/>
              <w:rPr>
                <w:rFonts w:ascii="Arial Narrow" w:hAnsi="Arial Narrow"/>
                <w:kern w:val="0"/>
                <w:sz w:val="18"/>
                <w:szCs w:val="18"/>
                <w:highlight w:val="none"/>
              </w:rPr>
            </w:pPr>
            <w:r>
              <w:rPr>
                <w:rFonts w:hint="eastAsia" w:ascii="Arial Narrow" w:hAnsi="Arial Narrow"/>
                <w:kern w:val="0"/>
                <w:sz w:val="18"/>
                <w:szCs w:val="18"/>
                <w:highlight w:val="none"/>
              </w:rPr>
              <w:t>85,585,832.76</w:t>
            </w:r>
          </w:p>
        </w:tc>
        <w:tc>
          <w:tcPr>
            <w:tcW w:w="1276" w:type="dxa"/>
            <w:vAlign w:val="center"/>
          </w:tcPr>
          <w:p w14:paraId="0F78E2EE">
            <w:pPr>
              <w:snapToGrid w:val="0"/>
              <w:jc w:val="right"/>
              <w:rPr>
                <w:rFonts w:ascii="Arial Narrow" w:hAnsi="Arial Narrow"/>
                <w:kern w:val="0"/>
                <w:sz w:val="18"/>
                <w:szCs w:val="18"/>
                <w:highlight w:val="none"/>
              </w:rPr>
            </w:pPr>
            <w:r>
              <w:rPr>
                <w:rFonts w:hint="eastAsia" w:ascii="Arial Narrow" w:hAnsi="Arial Narrow"/>
                <w:kern w:val="0"/>
                <w:sz w:val="18"/>
                <w:szCs w:val="18"/>
                <w:highlight w:val="none"/>
              </w:rPr>
              <w:t xml:space="preserve"> 135,998,770.70 </w:t>
            </w:r>
          </w:p>
        </w:tc>
        <w:tc>
          <w:tcPr>
            <w:tcW w:w="1275" w:type="dxa"/>
            <w:vAlign w:val="center"/>
          </w:tcPr>
          <w:p w14:paraId="1A46399B">
            <w:pPr>
              <w:keepNext w:val="0"/>
              <w:keepLines w:val="0"/>
              <w:widowControl/>
              <w:suppressLineNumbers w:val="0"/>
              <w:jc w:val="right"/>
              <w:textAlignment w:val="center"/>
              <w:rPr>
                <w:rFonts w:ascii="Arial Narrow" w:hAnsi="Arial Narrow"/>
                <w:kern w:val="0"/>
                <w:sz w:val="18"/>
                <w:szCs w:val="18"/>
                <w:highlight w:val="none"/>
              </w:rPr>
            </w:pPr>
            <w:r>
              <w:rPr>
                <w:rFonts w:hint="default" w:ascii="Arial Narrow" w:hAnsi="Arial Narrow" w:eastAsia="Arial Narrow" w:cs="Arial Narrow"/>
                <w:i w:val="0"/>
                <w:iCs w:val="0"/>
                <w:color w:val="000000"/>
                <w:kern w:val="0"/>
                <w:sz w:val="18"/>
                <w:szCs w:val="18"/>
                <w:highlight w:val="none"/>
                <w:u w:val="none"/>
                <w:lang w:val="en-US" w:eastAsia="zh-CN" w:bidi="ar"/>
              </w:rPr>
              <w:t>11,745,629.30</w:t>
            </w:r>
          </w:p>
        </w:tc>
        <w:tc>
          <w:tcPr>
            <w:tcW w:w="709" w:type="dxa"/>
            <w:vAlign w:val="center"/>
          </w:tcPr>
          <w:p w14:paraId="441CB6C5">
            <w:pPr>
              <w:keepNext w:val="0"/>
              <w:keepLines w:val="0"/>
              <w:widowControl/>
              <w:suppressLineNumbers w:val="0"/>
              <w:jc w:val="right"/>
              <w:textAlignment w:val="center"/>
              <w:rPr>
                <w:rFonts w:ascii="Arial Narrow" w:hAnsi="Arial Narrow"/>
                <w:kern w:val="0"/>
                <w:sz w:val="18"/>
                <w:szCs w:val="18"/>
                <w:highlight w:val="none"/>
              </w:rPr>
            </w:pPr>
            <w:r>
              <w:rPr>
                <w:rFonts w:hint="default" w:ascii="Arial Narrow" w:hAnsi="Arial Narrow" w:eastAsia="Arial Narrow" w:cs="Arial Narrow"/>
                <w:i w:val="0"/>
                <w:iCs w:val="0"/>
                <w:color w:val="000000"/>
                <w:kern w:val="0"/>
                <w:sz w:val="18"/>
                <w:szCs w:val="18"/>
                <w:highlight w:val="none"/>
                <w:u w:val="none"/>
                <w:lang w:val="en-US" w:eastAsia="zh-CN" w:bidi="ar"/>
              </w:rPr>
              <w:t xml:space="preserve"> 92.05 </w:t>
            </w:r>
          </w:p>
        </w:tc>
        <w:tc>
          <w:tcPr>
            <w:tcW w:w="992" w:type="dxa"/>
            <w:vAlign w:val="center"/>
          </w:tcPr>
          <w:p w14:paraId="7A138172">
            <w:pPr>
              <w:snapToGrid w:val="0"/>
              <w:jc w:val="center"/>
              <w:rPr>
                <w:rFonts w:ascii="Arial Narrow" w:hAnsi="Arial Narrow"/>
                <w:kern w:val="0"/>
                <w:sz w:val="18"/>
                <w:szCs w:val="18"/>
                <w:highlight w:val="none"/>
              </w:rPr>
            </w:pPr>
            <w:r>
              <w:rPr>
                <w:rFonts w:ascii="Arial Narrow" w:hAnsi="Arial Narrow"/>
                <w:kern w:val="0"/>
                <w:sz w:val="18"/>
                <w:szCs w:val="18"/>
                <w:highlight w:val="none"/>
              </w:rPr>
              <w:t>2025年6月</w:t>
            </w:r>
          </w:p>
        </w:tc>
        <w:tc>
          <w:tcPr>
            <w:tcW w:w="993" w:type="dxa"/>
            <w:vAlign w:val="center"/>
          </w:tcPr>
          <w:p w14:paraId="319244F9">
            <w:pPr>
              <w:snapToGrid w:val="0"/>
              <w:jc w:val="center"/>
              <w:rPr>
                <w:rFonts w:ascii="Arial Narrow" w:hAnsi="Arial Narrow"/>
                <w:sz w:val="18"/>
                <w:szCs w:val="18"/>
                <w:highlight w:val="none"/>
              </w:rPr>
            </w:pPr>
            <w:r>
              <w:rPr>
                <w:rFonts w:ascii="Arial Narrow" w:hAnsi="Arial Narrow"/>
                <w:sz w:val="18"/>
                <w:szCs w:val="18"/>
                <w:highlight w:val="none"/>
              </w:rPr>
              <w:t>-</w:t>
            </w:r>
          </w:p>
        </w:tc>
        <w:tc>
          <w:tcPr>
            <w:tcW w:w="708" w:type="dxa"/>
            <w:vAlign w:val="center"/>
          </w:tcPr>
          <w:p w14:paraId="0F755DE9">
            <w:pPr>
              <w:snapToGrid w:val="0"/>
              <w:jc w:val="center"/>
              <w:rPr>
                <w:rFonts w:ascii="宋体"/>
                <w:sz w:val="18"/>
                <w:szCs w:val="18"/>
                <w:highlight w:val="none"/>
              </w:rPr>
            </w:pPr>
            <w:r>
              <w:rPr>
                <w:rFonts w:hint="eastAsia" w:ascii="宋体"/>
                <w:sz w:val="18"/>
                <w:szCs w:val="18"/>
                <w:highlight w:val="none"/>
              </w:rPr>
              <w:t>项目尚在建设中</w:t>
            </w:r>
          </w:p>
        </w:tc>
        <w:tc>
          <w:tcPr>
            <w:tcW w:w="567" w:type="dxa"/>
            <w:vAlign w:val="center"/>
          </w:tcPr>
          <w:p w14:paraId="6D920015">
            <w:pPr>
              <w:snapToGrid w:val="0"/>
              <w:jc w:val="center"/>
              <w:rPr>
                <w:rFonts w:ascii="宋体"/>
                <w:sz w:val="18"/>
                <w:szCs w:val="18"/>
                <w:highlight w:val="none"/>
              </w:rPr>
            </w:pPr>
            <w:r>
              <w:rPr>
                <w:rFonts w:hint="eastAsia" w:ascii="宋体"/>
                <w:sz w:val="18"/>
                <w:szCs w:val="18"/>
                <w:highlight w:val="none"/>
              </w:rPr>
              <w:t>否</w:t>
            </w:r>
          </w:p>
        </w:tc>
      </w:tr>
      <w:tr w14:paraId="2600D621">
        <w:trPr>
          <w:trHeight w:val="340" w:hRule="atLeast"/>
          <w:jc w:val="center"/>
        </w:trPr>
        <w:tc>
          <w:tcPr>
            <w:tcW w:w="1418" w:type="dxa"/>
            <w:vAlign w:val="center"/>
          </w:tcPr>
          <w:p w14:paraId="20B422F2">
            <w:pPr>
              <w:snapToGrid w:val="0"/>
              <w:jc w:val="left"/>
              <w:rPr>
                <w:rFonts w:ascii="宋体"/>
                <w:sz w:val="18"/>
                <w:szCs w:val="18"/>
                <w:highlight w:val="none"/>
              </w:rPr>
            </w:pPr>
            <w:r>
              <w:rPr>
                <w:rFonts w:hint="eastAsia" w:ascii="宋体"/>
                <w:sz w:val="18"/>
                <w:szCs w:val="18"/>
                <w:highlight w:val="none"/>
              </w:rPr>
              <w:t>补充流动资金</w:t>
            </w:r>
          </w:p>
          <w:p w14:paraId="2026F8BA">
            <w:pPr>
              <w:snapToGrid w:val="0"/>
              <w:jc w:val="left"/>
              <w:rPr>
                <w:rFonts w:ascii="宋体"/>
                <w:sz w:val="18"/>
                <w:szCs w:val="18"/>
                <w:highlight w:val="none"/>
              </w:rPr>
            </w:pPr>
            <w:r>
              <w:rPr>
                <w:rFonts w:hint="eastAsia" w:ascii="宋体" w:cs="宋体"/>
                <w:kern w:val="0"/>
                <w:sz w:val="18"/>
                <w:szCs w:val="18"/>
                <w:highlight w:val="none"/>
              </w:rPr>
              <w:t>（注2）</w:t>
            </w:r>
          </w:p>
        </w:tc>
        <w:tc>
          <w:tcPr>
            <w:tcW w:w="1134" w:type="dxa"/>
            <w:vAlign w:val="center"/>
          </w:tcPr>
          <w:p w14:paraId="603FCF10">
            <w:pPr>
              <w:snapToGrid w:val="0"/>
              <w:jc w:val="center"/>
              <w:rPr>
                <w:rFonts w:ascii="宋体"/>
                <w:sz w:val="18"/>
                <w:szCs w:val="18"/>
                <w:highlight w:val="none"/>
              </w:rPr>
            </w:pPr>
          </w:p>
        </w:tc>
        <w:tc>
          <w:tcPr>
            <w:tcW w:w="1134" w:type="dxa"/>
            <w:vAlign w:val="center"/>
          </w:tcPr>
          <w:p w14:paraId="73F2F47D">
            <w:pPr>
              <w:snapToGrid w:val="0"/>
              <w:jc w:val="right"/>
              <w:rPr>
                <w:rFonts w:ascii="Arial Narrow" w:hAnsi="Arial Narrow"/>
                <w:kern w:val="0"/>
                <w:sz w:val="18"/>
                <w:szCs w:val="18"/>
                <w:highlight w:val="none"/>
              </w:rPr>
            </w:pPr>
            <w:r>
              <w:rPr>
                <w:rFonts w:ascii="Arial Narrow" w:hAnsi="Arial Narrow"/>
                <w:kern w:val="0"/>
                <w:sz w:val="18"/>
                <w:szCs w:val="18"/>
                <w:highlight w:val="none"/>
              </w:rPr>
              <w:t>200,000,000.00</w:t>
            </w:r>
          </w:p>
        </w:tc>
        <w:tc>
          <w:tcPr>
            <w:tcW w:w="1417" w:type="dxa"/>
            <w:vAlign w:val="center"/>
          </w:tcPr>
          <w:p w14:paraId="3CC795F1">
            <w:pPr>
              <w:snapToGrid w:val="0"/>
              <w:jc w:val="right"/>
              <w:rPr>
                <w:rFonts w:ascii="Arial Narrow" w:hAnsi="Arial Narrow"/>
                <w:kern w:val="0"/>
                <w:sz w:val="18"/>
                <w:szCs w:val="18"/>
                <w:highlight w:val="none"/>
              </w:rPr>
            </w:pPr>
            <w:r>
              <w:rPr>
                <w:rFonts w:ascii="Arial Narrow" w:hAnsi="Arial Narrow"/>
                <w:kern w:val="0"/>
                <w:sz w:val="18"/>
                <w:szCs w:val="18"/>
                <w:highlight w:val="none"/>
              </w:rPr>
              <w:t>200,000,000.00</w:t>
            </w:r>
          </w:p>
        </w:tc>
        <w:tc>
          <w:tcPr>
            <w:tcW w:w="1276" w:type="dxa"/>
            <w:vAlign w:val="center"/>
          </w:tcPr>
          <w:p w14:paraId="40B2AF7B">
            <w:pPr>
              <w:snapToGrid w:val="0"/>
              <w:jc w:val="right"/>
              <w:rPr>
                <w:rFonts w:ascii="Arial Narrow" w:hAnsi="Arial Narrow"/>
                <w:kern w:val="0"/>
                <w:sz w:val="18"/>
                <w:szCs w:val="18"/>
                <w:highlight w:val="none"/>
              </w:rPr>
            </w:pPr>
            <w:r>
              <w:rPr>
                <w:rFonts w:ascii="Arial Narrow" w:hAnsi="Arial Narrow"/>
                <w:kern w:val="0"/>
                <w:sz w:val="18"/>
                <w:szCs w:val="18"/>
                <w:highlight w:val="none"/>
              </w:rPr>
              <w:t>200,000,000.00</w:t>
            </w:r>
          </w:p>
        </w:tc>
        <w:tc>
          <w:tcPr>
            <w:tcW w:w="1276" w:type="dxa"/>
            <w:vAlign w:val="center"/>
          </w:tcPr>
          <w:p w14:paraId="56C4EB77">
            <w:pPr>
              <w:snapToGrid w:val="0"/>
              <w:jc w:val="right"/>
              <w:rPr>
                <w:rFonts w:ascii="Arial Narrow" w:hAnsi="Arial Narrow"/>
                <w:kern w:val="0"/>
                <w:sz w:val="18"/>
                <w:szCs w:val="18"/>
                <w:highlight w:val="none"/>
              </w:rPr>
            </w:pPr>
            <w:r>
              <w:rPr>
                <w:rFonts w:hint="eastAsia" w:ascii="Arial Narrow" w:hAnsi="Arial Narrow"/>
                <w:kern w:val="0"/>
                <w:sz w:val="18"/>
                <w:szCs w:val="18"/>
                <w:highlight w:val="none"/>
              </w:rPr>
              <w:t xml:space="preserve"> -   </w:t>
            </w:r>
          </w:p>
        </w:tc>
        <w:tc>
          <w:tcPr>
            <w:tcW w:w="1276" w:type="dxa"/>
            <w:vAlign w:val="center"/>
          </w:tcPr>
          <w:p w14:paraId="02F7FD0C">
            <w:pPr>
              <w:snapToGrid w:val="0"/>
              <w:jc w:val="right"/>
              <w:rPr>
                <w:rFonts w:ascii="Arial Narrow" w:hAnsi="Arial Narrow"/>
                <w:kern w:val="0"/>
                <w:sz w:val="18"/>
                <w:szCs w:val="18"/>
                <w:highlight w:val="none"/>
              </w:rPr>
            </w:pPr>
            <w:r>
              <w:rPr>
                <w:rFonts w:hint="eastAsia" w:ascii="Arial Narrow" w:hAnsi="Arial Narrow"/>
                <w:kern w:val="0"/>
                <w:sz w:val="18"/>
                <w:szCs w:val="18"/>
                <w:highlight w:val="none"/>
              </w:rPr>
              <w:t xml:space="preserve"> 200,000,019.02 </w:t>
            </w:r>
          </w:p>
        </w:tc>
        <w:tc>
          <w:tcPr>
            <w:tcW w:w="1275" w:type="dxa"/>
            <w:vAlign w:val="center"/>
          </w:tcPr>
          <w:p w14:paraId="544A0CFD">
            <w:pPr>
              <w:snapToGrid w:val="0"/>
              <w:jc w:val="right"/>
              <w:rPr>
                <w:rFonts w:ascii="Arial Narrow" w:hAnsi="Arial Narrow"/>
                <w:kern w:val="0"/>
                <w:sz w:val="18"/>
                <w:szCs w:val="18"/>
                <w:highlight w:val="none"/>
              </w:rPr>
            </w:pPr>
            <w:r>
              <w:rPr>
                <w:rFonts w:hint="eastAsia" w:ascii="Arial Narrow" w:hAnsi="Arial Narrow"/>
                <w:kern w:val="0"/>
                <w:sz w:val="18"/>
                <w:szCs w:val="18"/>
                <w:highlight w:val="none"/>
              </w:rPr>
              <w:t xml:space="preserve"> -19.02 </w:t>
            </w:r>
          </w:p>
        </w:tc>
        <w:tc>
          <w:tcPr>
            <w:tcW w:w="709" w:type="dxa"/>
            <w:vAlign w:val="center"/>
          </w:tcPr>
          <w:p w14:paraId="5B59F5A7">
            <w:pPr>
              <w:snapToGrid w:val="0"/>
              <w:jc w:val="right"/>
              <w:rPr>
                <w:rFonts w:ascii="Arial Narrow" w:hAnsi="Arial Narrow"/>
                <w:kern w:val="0"/>
                <w:sz w:val="18"/>
                <w:szCs w:val="18"/>
                <w:highlight w:val="none"/>
              </w:rPr>
            </w:pPr>
            <w:r>
              <w:rPr>
                <w:rFonts w:hint="eastAsia" w:ascii="Arial Narrow" w:hAnsi="Arial Narrow"/>
                <w:kern w:val="0"/>
                <w:sz w:val="18"/>
                <w:szCs w:val="18"/>
                <w:highlight w:val="none"/>
              </w:rPr>
              <w:t>100.00%</w:t>
            </w:r>
          </w:p>
        </w:tc>
        <w:tc>
          <w:tcPr>
            <w:tcW w:w="992" w:type="dxa"/>
            <w:vAlign w:val="center"/>
          </w:tcPr>
          <w:p w14:paraId="21BB0F25">
            <w:pPr>
              <w:snapToGrid w:val="0"/>
              <w:jc w:val="center"/>
              <w:rPr>
                <w:rFonts w:ascii="Arial Narrow" w:hAnsi="Arial Narrow"/>
                <w:sz w:val="18"/>
                <w:szCs w:val="18"/>
                <w:highlight w:val="none"/>
              </w:rPr>
            </w:pPr>
          </w:p>
        </w:tc>
        <w:tc>
          <w:tcPr>
            <w:tcW w:w="993" w:type="dxa"/>
            <w:vAlign w:val="center"/>
          </w:tcPr>
          <w:p w14:paraId="24D437CB">
            <w:pPr>
              <w:snapToGrid w:val="0"/>
              <w:jc w:val="center"/>
              <w:rPr>
                <w:rFonts w:ascii="Arial Narrow" w:hAnsi="Arial Narrow"/>
                <w:sz w:val="18"/>
                <w:szCs w:val="18"/>
                <w:highlight w:val="none"/>
              </w:rPr>
            </w:pPr>
            <w:r>
              <w:rPr>
                <w:rFonts w:ascii="Arial Narrow" w:hAnsi="Arial Narrow"/>
                <w:sz w:val="18"/>
                <w:szCs w:val="18"/>
                <w:highlight w:val="none"/>
              </w:rPr>
              <w:t>-</w:t>
            </w:r>
          </w:p>
        </w:tc>
        <w:tc>
          <w:tcPr>
            <w:tcW w:w="708" w:type="dxa"/>
            <w:vAlign w:val="center"/>
          </w:tcPr>
          <w:p w14:paraId="4AC3F865">
            <w:pPr>
              <w:snapToGrid w:val="0"/>
              <w:jc w:val="center"/>
              <w:rPr>
                <w:rFonts w:ascii="宋体"/>
                <w:sz w:val="18"/>
                <w:szCs w:val="18"/>
                <w:highlight w:val="none"/>
              </w:rPr>
            </w:pPr>
            <w:r>
              <w:rPr>
                <w:rFonts w:hint="eastAsia" w:ascii="宋体"/>
                <w:sz w:val="18"/>
                <w:szCs w:val="18"/>
                <w:highlight w:val="none"/>
              </w:rPr>
              <w:t>不适用</w:t>
            </w:r>
          </w:p>
        </w:tc>
        <w:tc>
          <w:tcPr>
            <w:tcW w:w="567" w:type="dxa"/>
            <w:vAlign w:val="center"/>
          </w:tcPr>
          <w:p w14:paraId="4C5DF155">
            <w:pPr>
              <w:snapToGrid w:val="0"/>
              <w:jc w:val="center"/>
              <w:rPr>
                <w:rFonts w:ascii="宋体"/>
                <w:sz w:val="18"/>
                <w:szCs w:val="18"/>
                <w:highlight w:val="none"/>
              </w:rPr>
            </w:pPr>
            <w:r>
              <w:rPr>
                <w:rFonts w:hint="eastAsia" w:ascii="宋体"/>
                <w:sz w:val="18"/>
                <w:szCs w:val="18"/>
                <w:highlight w:val="none"/>
              </w:rPr>
              <w:t>不适用</w:t>
            </w:r>
          </w:p>
        </w:tc>
      </w:tr>
      <w:tr w14:paraId="788DB991">
        <w:trPr>
          <w:trHeight w:val="340" w:hRule="atLeast"/>
          <w:jc w:val="center"/>
        </w:trPr>
        <w:tc>
          <w:tcPr>
            <w:tcW w:w="1418" w:type="dxa"/>
            <w:vAlign w:val="center"/>
          </w:tcPr>
          <w:p w14:paraId="153A8A0D">
            <w:pPr>
              <w:snapToGrid w:val="0"/>
              <w:jc w:val="center"/>
              <w:rPr>
                <w:rFonts w:ascii="宋体"/>
                <w:sz w:val="18"/>
                <w:szCs w:val="18"/>
                <w:highlight w:val="none"/>
              </w:rPr>
            </w:pPr>
            <w:r>
              <w:rPr>
                <w:rFonts w:hint="eastAsia" w:ascii="宋体" w:hAnsi="宋体" w:cs="宋体"/>
                <w:sz w:val="18"/>
                <w:szCs w:val="18"/>
                <w:highlight w:val="none"/>
              </w:rPr>
              <w:t>合计</w:t>
            </w:r>
          </w:p>
        </w:tc>
        <w:tc>
          <w:tcPr>
            <w:tcW w:w="1134" w:type="dxa"/>
            <w:vAlign w:val="center"/>
          </w:tcPr>
          <w:p w14:paraId="0305F2EB">
            <w:pPr>
              <w:snapToGrid w:val="0"/>
              <w:jc w:val="center"/>
              <w:rPr>
                <w:rFonts w:hint="eastAsia" w:ascii="宋体" w:hAnsi="宋体"/>
                <w:sz w:val="18"/>
                <w:szCs w:val="18"/>
                <w:highlight w:val="none"/>
              </w:rPr>
            </w:pPr>
            <w:r>
              <w:rPr>
                <w:rFonts w:ascii="宋体" w:hAnsi="宋体"/>
                <w:sz w:val="18"/>
                <w:szCs w:val="18"/>
                <w:highlight w:val="none"/>
              </w:rPr>
              <w:t>—</w:t>
            </w:r>
          </w:p>
        </w:tc>
        <w:tc>
          <w:tcPr>
            <w:tcW w:w="1134" w:type="dxa"/>
            <w:vAlign w:val="center"/>
          </w:tcPr>
          <w:p w14:paraId="044ADD1F">
            <w:pPr>
              <w:snapToGrid w:val="0"/>
              <w:jc w:val="right"/>
              <w:rPr>
                <w:rFonts w:ascii="Arial Narrow" w:hAnsi="Arial Narrow"/>
                <w:kern w:val="0"/>
                <w:sz w:val="18"/>
                <w:szCs w:val="18"/>
                <w:highlight w:val="none"/>
              </w:rPr>
            </w:pPr>
            <w:r>
              <w:rPr>
                <w:rFonts w:ascii="Arial Narrow" w:hAnsi="Arial Narrow"/>
                <w:kern w:val="0"/>
                <w:sz w:val="18"/>
                <w:szCs w:val="18"/>
                <w:highlight w:val="none"/>
              </w:rPr>
              <w:t>854,561,800.00</w:t>
            </w:r>
          </w:p>
        </w:tc>
        <w:tc>
          <w:tcPr>
            <w:tcW w:w="1417" w:type="dxa"/>
            <w:vAlign w:val="center"/>
          </w:tcPr>
          <w:p w14:paraId="74465AD2">
            <w:pPr>
              <w:snapToGrid w:val="0"/>
              <w:jc w:val="right"/>
              <w:rPr>
                <w:rFonts w:ascii="Arial Narrow" w:hAnsi="Arial Narrow"/>
                <w:kern w:val="0"/>
                <w:sz w:val="18"/>
                <w:szCs w:val="18"/>
                <w:highlight w:val="none"/>
              </w:rPr>
            </w:pPr>
            <w:r>
              <w:rPr>
                <w:rFonts w:ascii="Arial Narrow" w:hAnsi="Arial Narrow"/>
                <w:kern w:val="0"/>
                <w:sz w:val="18"/>
                <w:szCs w:val="18"/>
                <w:highlight w:val="none"/>
              </w:rPr>
              <w:t>854,561,800.00</w:t>
            </w:r>
          </w:p>
        </w:tc>
        <w:tc>
          <w:tcPr>
            <w:tcW w:w="1276" w:type="dxa"/>
            <w:vAlign w:val="center"/>
          </w:tcPr>
          <w:p w14:paraId="477A8A37">
            <w:pPr>
              <w:snapToGrid w:val="0"/>
              <w:jc w:val="right"/>
              <w:rPr>
                <w:rFonts w:ascii="Arial Narrow" w:hAnsi="Arial Narrow"/>
                <w:kern w:val="0"/>
                <w:sz w:val="18"/>
                <w:szCs w:val="18"/>
                <w:highlight w:val="none"/>
              </w:rPr>
            </w:pPr>
            <w:r>
              <w:rPr>
                <w:rFonts w:ascii="Arial Narrow" w:hAnsi="Arial Narrow"/>
                <w:kern w:val="0"/>
                <w:sz w:val="18"/>
                <w:szCs w:val="18"/>
                <w:highlight w:val="none"/>
              </w:rPr>
              <w:t>854,561,800.00</w:t>
            </w:r>
          </w:p>
        </w:tc>
        <w:tc>
          <w:tcPr>
            <w:tcW w:w="1276" w:type="dxa"/>
            <w:vAlign w:val="center"/>
          </w:tcPr>
          <w:p w14:paraId="3751A27E">
            <w:pPr>
              <w:widowControl/>
              <w:jc w:val="right"/>
              <w:textAlignment w:val="center"/>
              <w:rPr>
                <w:rFonts w:ascii="Arial Narrow" w:hAnsi="Arial Narrow" w:eastAsia="Arial Narrow" w:cs="Arial Narrow"/>
                <w:color w:val="000000"/>
                <w:sz w:val="18"/>
                <w:szCs w:val="18"/>
                <w:highlight w:val="none"/>
              </w:rPr>
            </w:pPr>
            <w:r>
              <w:rPr>
                <w:rFonts w:ascii="Arial Narrow" w:hAnsi="Arial Narrow" w:eastAsia="Arial Narrow" w:cs="Arial Narrow"/>
                <w:color w:val="000000"/>
                <w:kern w:val="0"/>
                <w:sz w:val="18"/>
                <w:szCs w:val="18"/>
                <w:highlight w:val="none"/>
                <w:lang w:bidi="ar"/>
              </w:rPr>
              <w:t>122,852,804.52</w:t>
            </w:r>
          </w:p>
        </w:tc>
        <w:tc>
          <w:tcPr>
            <w:tcW w:w="1276" w:type="dxa"/>
            <w:vAlign w:val="center"/>
          </w:tcPr>
          <w:p w14:paraId="5652E6BA">
            <w:pPr>
              <w:snapToGrid w:val="0"/>
              <w:jc w:val="right"/>
              <w:rPr>
                <w:rFonts w:ascii="Arial Narrow" w:hAnsi="Arial Narrow"/>
                <w:kern w:val="0"/>
                <w:sz w:val="18"/>
                <w:szCs w:val="18"/>
                <w:highlight w:val="none"/>
              </w:rPr>
            </w:pPr>
            <w:r>
              <w:rPr>
                <w:rFonts w:hint="eastAsia" w:ascii="Arial Narrow" w:hAnsi="Arial Narrow"/>
                <w:kern w:val="0"/>
                <w:sz w:val="18"/>
                <w:szCs w:val="18"/>
                <w:highlight w:val="none"/>
              </w:rPr>
              <w:t xml:space="preserve"> </w:t>
            </w:r>
            <w:r>
              <w:rPr>
                <w:rFonts w:hint="eastAsia" w:ascii="Arial Narrow" w:hAnsi="Arial Narrow" w:cs="宋体"/>
                <w:snapToGrid w:val="0"/>
                <w:kern w:val="0"/>
                <w:sz w:val="18"/>
                <w:szCs w:val="16"/>
                <w:highlight w:val="none"/>
              </w:rPr>
              <w:t xml:space="preserve"> 766,863,350.13 </w:t>
            </w:r>
            <w:r>
              <w:rPr>
                <w:rFonts w:hint="eastAsia" w:ascii="Arial Narrow" w:hAnsi="Arial Narrow"/>
                <w:kern w:val="0"/>
                <w:sz w:val="18"/>
                <w:szCs w:val="18"/>
                <w:highlight w:val="none"/>
              </w:rPr>
              <w:t xml:space="preserve"> </w:t>
            </w:r>
          </w:p>
        </w:tc>
        <w:tc>
          <w:tcPr>
            <w:tcW w:w="1275" w:type="dxa"/>
            <w:vAlign w:val="center"/>
          </w:tcPr>
          <w:p w14:paraId="3E8093F0">
            <w:pPr>
              <w:keepNext w:val="0"/>
              <w:keepLines w:val="0"/>
              <w:widowControl/>
              <w:suppressLineNumbers w:val="0"/>
              <w:jc w:val="right"/>
              <w:textAlignment w:val="center"/>
              <w:rPr>
                <w:rFonts w:ascii="Arial Narrow" w:hAnsi="Arial Narrow"/>
                <w:kern w:val="0"/>
                <w:sz w:val="18"/>
                <w:szCs w:val="18"/>
                <w:highlight w:val="none"/>
              </w:rPr>
            </w:pPr>
            <w:r>
              <w:rPr>
                <w:rFonts w:hint="default" w:ascii="Arial Narrow" w:hAnsi="Arial Narrow" w:eastAsia="Arial Narrow" w:cs="Arial Narrow"/>
                <w:i w:val="0"/>
                <w:iCs w:val="0"/>
                <w:color w:val="000000"/>
                <w:kern w:val="0"/>
                <w:sz w:val="18"/>
                <w:szCs w:val="18"/>
                <w:highlight w:val="none"/>
                <w:u w:val="none"/>
                <w:lang w:val="en-US" w:eastAsia="zh-CN" w:bidi="ar"/>
              </w:rPr>
              <w:t>87,698,449.87</w:t>
            </w:r>
          </w:p>
        </w:tc>
        <w:tc>
          <w:tcPr>
            <w:tcW w:w="709" w:type="dxa"/>
            <w:vAlign w:val="center"/>
          </w:tcPr>
          <w:p w14:paraId="7E4C3ABA">
            <w:pPr>
              <w:keepNext w:val="0"/>
              <w:keepLines w:val="0"/>
              <w:widowControl/>
              <w:suppressLineNumbers w:val="0"/>
              <w:jc w:val="right"/>
              <w:textAlignment w:val="center"/>
              <w:rPr>
                <w:rFonts w:ascii="Arial Narrow" w:hAnsi="Arial Narrow"/>
                <w:kern w:val="0"/>
                <w:sz w:val="18"/>
                <w:szCs w:val="18"/>
                <w:highlight w:val="none"/>
              </w:rPr>
            </w:pPr>
            <w:r>
              <w:rPr>
                <w:rFonts w:hint="default" w:ascii="Arial Narrow" w:hAnsi="Arial Narrow" w:eastAsia="Arial Narrow" w:cs="Arial Narrow"/>
                <w:i w:val="0"/>
                <w:iCs w:val="0"/>
                <w:color w:val="000000"/>
                <w:kern w:val="0"/>
                <w:sz w:val="18"/>
                <w:szCs w:val="18"/>
                <w:highlight w:val="none"/>
                <w:u w:val="none"/>
                <w:lang w:val="en-US" w:eastAsia="zh-CN" w:bidi="ar"/>
              </w:rPr>
              <w:t xml:space="preserve"> 89.74 </w:t>
            </w:r>
          </w:p>
        </w:tc>
        <w:tc>
          <w:tcPr>
            <w:tcW w:w="992" w:type="dxa"/>
            <w:vAlign w:val="center"/>
          </w:tcPr>
          <w:p w14:paraId="469F4634">
            <w:pPr>
              <w:snapToGrid w:val="0"/>
              <w:jc w:val="center"/>
              <w:rPr>
                <w:rFonts w:ascii="Arial Narrow" w:hAnsi="Arial Narrow"/>
                <w:sz w:val="18"/>
                <w:szCs w:val="18"/>
                <w:highlight w:val="none"/>
              </w:rPr>
            </w:pPr>
            <w:r>
              <w:rPr>
                <w:rFonts w:ascii="Arial Narrow" w:hAnsi="Arial Narrow"/>
                <w:sz w:val="18"/>
                <w:szCs w:val="18"/>
                <w:highlight w:val="none"/>
              </w:rPr>
              <w:t>—</w:t>
            </w:r>
          </w:p>
        </w:tc>
        <w:tc>
          <w:tcPr>
            <w:tcW w:w="993" w:type="dxa"/>
            <w:vAlign w:val="center"/>
          </w:tcPr>
          <w:p w14:paraId="5E674C4F">
            <w:pPr>
              <w:snapToGrid w:val="0"/>
              <w:jc w:val="center"/>
              <w:rPr>
                <w:rFonts w:ascii="Arial Narrow" w:hAnsi="Arial Narrow"/>
                <w:sz w:val="18"/>
                <w:szCs w:val="18"/>
                <w:highlight w:val="none"/>
              </w:rPr>
            </w:pPr>
            <w:r>
              <w:rPr>
                <w:rFonts w:ascii="Arial Narrow" w:hAnsi="Arial Narrow"/>
                <w:sz w:val="18"/>
                <w:szCs w:val="18"/>
                <w:highlight w:val="none"/>
              </w:rPr>
              <w:t>—</w:t>
            </w:r>
          </w:p>
        </w:tc>
        <w:tc>
          <w:tcPr>
            <w:tcW w:w="708" w:type="dxa"/>
            <w:vAlign w:val="center"/>
          </w:tcPr>
          <w:p w14:paraId="4AFEC0D9">
            <w:pPr>
              <w:snapToGrid w:val="0"/>
              <w:jc w:val="center"/>
              <w:rPr>
                <w:rFonts w:hint="eastAsia" w:ascii="宋体" w:hAnsi="宋体"/>
                <w:sz w:val="18"/>
                <w:szCs w:val="18"/>
                <w:highlight w:val="none"/>
              </w:rPr>
            </w:pPr>
            <w:r>
              <w:rPr>
                <w:rFonts w:ascii="宋体" w:hAnsi="宋体"/>
                <w:sz w:val="18"/>
                <w:szCs w:val="18"/>
                <w:highlight w:val="none"/>
              </w:rPr>
              <w:t>—</w:t>
            </w:r>
          </w:p>
        </w:tc>
        <w:tc>
          <w:tcPr>
            <w:tcW w:w="567" w:type="dxa"/>
            <w:vAlign w:val="center"/>
          </w:tcPr>
          <w:p w14:paraId="25C4A8A1">
            <w:pPr>
              <w:snapToGrid w:val="0"/>
              <w:jc w:val="center"/>
              <w:rPr>
                <w:rFonts w:hint="eastAsia" w:ascii="宋体" w:hAnsi="宋体"/>
                <w:sz w:val="18"/>
                <w:szCs w:val="18"/>
                <w:highlight w:val="none"/>
              </w:rPr>
            </w:pPr>
            <w:r>
              <w:rPr>
                <w:rFonts w:ascii="宋体" w:hAnsi="宋体"/>
                <w:sz w:val="18"/>
                <w:szCs w:val="18"/>
                <w:highlight w:val="none"/>
              </w:rPr>
              <w:t>—</w:t>
            </w:r>
          </w:p>
        </w:tc>
      </w:tr>
      <w:tr w14:paraId="2C39B5C5">
        <w:trPr>
          <w:trHeight w:val="737" w:hRule="atLeast"/>
          <w:jc w:val="center"/>
        </w:trPr>
        <w:tc>
          <w:tcPr>
            <w:tcW w:w="2552" w:type="dxa"/>
            <w:gridSpan w:val="2"/>
            <w:vAlign w:val="center"/>
          </w:tcPr>
          <w:p w14:paraId="286A0434">
            <w:pPr>
              <w:widowControl/>
              <w:snapToGrid w:val="0"/>
              <w:rPr>
                <w:rFonts w:ascii="宋体"/>
                <w:sz w:val="18"/>
                <w:szCs w:val="18"/>
                <w:highlight w:val="none"/>
              </w:rPr>
            </w:pPr>
            <w:r>
              <w:rPr>
                <w:rFonts w:hint="eastAsia" w:ascii="宋体" w:hAnsi="宋体"/>
                <w:kern w:val="0"/>
                <w:sz w:val="18"/>
                <w:szCs w:val="18"/>
                <w:highlight w:val="none"/>
              </w:rPr>
              <w:t>未达到计划进度原因（分具体募投项目）</w:t>
            </w:r>
          </w:p>
        </w:tc>
        <w:tc>
          <w:tcPr>
            <w:tcW w:w="11623" w:type="dxa"/>
            <w:gridSpan w:val="11"/>
            <w:vAlign w:val="center"/>
          </w:tcPr>
          <w:p w14:paraId="05C04FB0">
            <w:pPr>
              <w:snapToGrid w:val="0"/>
              <w:jc w:val="left"/>
              <w:rPr>
                <w:rFonts w:ascii="宋体"/>
                <w:sz w:val="18"/>
                <w:szCs w:val="18"/>
                <w:highlight w:val="none"/>
              </w:rPr>
            </w:pPr>
            <w:r>
              <w:rPr>
                <w:rFonts w:hint="eastAsia" w:ascii="宋体"/>
                <w:sz w:val="18"/>
                <w:szCs w:val="18"/>
                <w:highlight w:val="none"/>
              </w:rPr>
              <w:t>不适用</w:t>
            </w:r>
          </w:p>
        </w:tc>
      </w:tr>
      <w:tr w14:paraId="555A2D8B">
        <w:trPr>
          <w:trHeight w:val="737" w:hRule="atLeast"/>
          <w:jc w:val="center"/>
        </w:trPr>
        <w:tc>
          <w:tcPr>
            <w:tcW w:w="2552" w:type="dxa"/>
            <w:gridSpan w:val="2"/>
            <w:vAlign w:val="center"/>
          </w:tcPr>
          <w:p w14:paraId="6967A06D">
            <w:pPr>
              <w:snapToGrid w:val="0"/>
              <w:jc w:val="left"/>
              <w:rPr>
                <w:rFonts w:ascii="宋体"/>
                <w:sz w:val="18"/>
                <w:szCs w:val="18"/>
                <w:highlight w:val="none"/>
              </w:rPr>
            </w:pPr>
            <w:r>
              <w:rPr>
                <w:rFonts w:hint="eastAsia" w:ascii="宋体" w:hAnsi="宋体"/>
                <w:kern w:val="0"/>
                <w:sz w:val="18"/>
                <w:szCs w:val="18"/>
                <w:highlight w:val="none"/>
              </w:rPr>
              <w:t>项目可行性发生重大变化的情况说明</w:t>
            </w:r>
          </w:p>
        </w:tc>
        <w:tc>
          <w:tcPr>
            <w:tcW w:w="11623" w:type="dxa"/>
            <w:gridSpan w:val="11"/>
            <w:vAlign w:val="center"/>
          </w:tcPr>
          <w:p w14:paraId="4862C75A">
            <w:pPr>
              <w:snapToGrid w:val="0"/>
              <w:jc w:val="left"/>
              <w:rPr>
                <w:rFonts w:ascii="宋体"/>
                <w:sz w:val="18"/>
                <w:szCs w:val="18"/>
                <w:highlight w:val="none"/>
              </w:rPr>
            </w:pPr>
            <w:r>
              <w:rPr>
                <w:rFonts w:hint="eastAsia" w:ascii="宋体"/>
                <w:sz w:val="18"/>
                <w:szCs w:val="18"/>
                <w:highlight w:val="none"/>
              </w:rPr>
              <w:t>不适用</w:t>
            </w:r>
          </w:p>
        </w:tc>
      </w:tr>
      <w:tr w14:paraId="567FCAEA">
        <w:trPr>
          <w:trHeight w:val="737" w:hRule="atLeast"/>
          <w:jc w:val="center"/>
        </w:trPr>
        <w:tc>
          <w:tcPr>
            <w:tcW w:w="2552" w:type="dxa"/>
            <w:gridSpan w:val="2"/>
            <w:vAlign w:val="center"/>
          </w:tcPr>
          <w:p w14:paraId="6DBA9B14">
            <w:pPr>
              <w:widowControl/>
              <w:snapToGrid w:val="0"/>
              <w:rPr>
                <w:rFonts w:ascii="宋体"/>
                <w:sz w:val="18"/>
                <w:szCs w:val="18"/>
                <w:highlight w:val="none"/>
              </w:rPr>
            </w:pPr>
            <w:r>
              <w:rPr>
                <w:rFonts w:hint="eastAsia" w:ascii="宋体" w:hAnsi="宋体"/>
                <w:kern w:val="0"/>
                <w:sz w:val="18"/>
                <w:szCs w:val="18"/>
                <w:highlight w:val="none"/>
              </w:rPr>
              <w:t>募集资金投资项目先期投入及置换情况</w:t>
            </w:r>
          </w:p>
        </w:tc>
        <w:tc>
          <w:tcPr>
            <w:tcW w:w="11623" w:type="dxa"/>
            <w:gridSpan w:val="11"/>
            <w:vAlign w:val="center"/>
          </w:tcPr>
          <w:p w14:paraId="3C7884A5">
            <w:pPr>
              <w:snapToGrid w:val="0"/>
              <w:spacing w:line="360" w:lineRule="auto"/>
              <w:jc w:val="left"/>
              <w:rPr>
                <w:rFonts w:ascii="宋体"/>
                <w:sz w:val="18"/>
                <w:szCs w:val="18"/>
                <w:highlight w:val="none"/>
              </w:rPr>
            </w:pPr>
            <w:r>
              <w:rPr>
                <w:rFonts w:hint="eastAsia" w:ascii="宋体"/>
                <w:sz w:val="18"/>
                <w:szCs w:val="18"/>
                <w:highlight w:val="none"/>
              </w:rPr>
              <w:t>截止2022年6月30日，公司以自筹资金预先投入募投资项目的总金额为63,054,300.00元，其中已置换62,987,300.00元，尚余67,000.00元系募集资金到账后一个月至《重庆望变电气（集团）股份有限公司以自筹资金预先投入募集资金投资项目的鉴证报告》（大华验字[2022]009532号）截止日募投项目支出，公司对该差额不进行置换。预先投入金额已于2022年6月15日经第三届董事会第十二次会议、第三届监事会第十次会议审议通过，公司可以募集资金63,054,300.00元置换预先投入募集资金投资项目的自筹资金。大华会计师事务所（特殊普通合伙）对置换事宜进行了鉴证，并出具了大华核字[2022]009532号专项鉴证报告。</w:t>
            </w:r>
          </w:p>
        </w:tc>
      </w:tr>
      <w:tr w14:paraId="0C268B8E">
        <w:trPr>
          <w:trHeight w:val="737" w:hRule="atLeast"/>
          <w:jc w:val="center"/>
        </w:trPr>
        <w:tc>
          <w:tcPr>
            <w:tcW w:w="2552" w:type="dxa"/>
            <w:gridSpan w:val="2"/>
            <w:vAlign w:val="center"/>
          </w:tcPr>
          <w:p w14:paraId="41F9EFAB">
            <w:pPr>
              <w:snapToGrid w:val="0"/>
              <w:jc w:val="left"/>
              <w:rPr>
                <w:rFonts w:ascii="宋体"/>
                <w:sz w:val="18"/>
                <w:szCs w:val="18"/>
                <w:highlight w:val="none"/>
              </w:rPr>
            </w:pPr>
            <w:r>
              <w:rPr>
                <w:rFonts w:hint="eastAsia" w:ascii="宋体" w:hAnsi="宋体"/>
                <w:kern w:val="0"/>
                <w:sz w:val="18"/>
                <w:szCs w:val="18"/>
                <w:highlight w:val="none"/>
              </w:rPr>
              <w:t>用闲置募集资金暂时补充流动资金情况</w:t>
            </w:r>
          </w:p>
        </w:tc>
        <w:tc>
          <w:tcPr>
            <w:tcW w:w="11623" w:type="dxa"/>
            <w:gridSpan w:val="11"/>
            <w:vAlign w:val="center"/>
          </w:tcPr>
          <w:p w14:paraId="5B60E6CC">
            <w:pPr>
              <w:snapToGrid w:val="0"/>
              <w:jc w:val="left"/>
              <w:rPr>
                <w:rFonts w:ascii="宋体"/>
                <w:sz w:val="18"/>
                <w:szCs w:val="18"/>
                <w:highlight w:val="none"/>
              </w:rPr>
            </w:pPr>
            <w:r>
              <w:rPr>
                <w:rFonts w:hint="eastAsia" w:ascii="宋体"/>
                <w:sz w:val="18"/>
                <w:szCs w:val="18"/>
                <w:highlight w:val="none"/>
              </w:rPr>
              <w:t>不适用</w:t>
            </w:r>
          </w:p>
        </w:tc>
      </w:tr>
      <w:tr w14:paraId="7DBE2476">
        <w:trPr>
          <w:trHeight w:val="737" w:hRule="atLeast"/>
          <w:jc w:val="center"/>
        </w:trPr>
        <w:tc>
          <w:tcPr>
            <w:tcW w:w="2552" w:type="dxa"/>
            <w:gridSpan w:val="2"/>
            <w:vAlign w:val="center"/>
          </w:tcPr>
          <w:p w14:paraId="28CAC215">
            <w:pPr>
              <w:snapToGrid w:val="0"/>
              <w:jc w:val="left"/>
              <w:rPr>
                <w:rFonts w:hint="eastAsia" w:ascii="宋体" w:hAnsi="宋体"/>
                <w:kern w:val="0"/>
                <w:sz w:val="18"/>
                <w:szCs w:val="18"/>
                <w:highlight w:val="none"/>
              </w:rPr>
            </w:pPr>
            <w:r>
              <w:rPr>
                <w:rFonts w:hint="eastAsia" w:ascii="宋体" w:hAnsi="宋体"/>
                <w:kern w:val="0"/>
                <w:sz w:val="18"/>
                <w:szCs w:val="18"/>
                <w:highlight w:val="none"/>
              </w:rPr>
              <w:t>对闲置募集资金进行现金管理，投资相关产品情况</w:t>
            </w:r>
          </w:p>
        </w:tc>
        <w:tc>
          <w:tcPr>
            <w:tcW w:w="11623" w:type="dxa"/>
            <w:gridSpan w:val="11"/>
            <w:vAlign w:val="center"/>
          </w:tcPr>
          <w:p w14:paraId="32443568">
            <w:pPr>
              <w:snapToGrid w:val="0"/>
              <w:spacing w:line="360" w:lineRule="auto"/>
              <w:jc w:val="left"/>
              <w:rPr>
                <w:rFonts w:ascii="宋体"/>
                <w:sz w:val="18"/>
                <w:szCs w:val="18"/>
                <w:highlight w:val="none"/>
              </w:rPr>
            </w:pPr>
            <w:r>
              <w:rPr>
                <w:rFonts w:hint="eastAsia" w:ascii="宋体"/>
                <w:sz w:val="18"/>
                <w:szCs w:val="18"/>
                <w:highlight w:val="none"/>
              </w:rPr>
              <w:t>公司于2024年4月24日召开了第四届董事会第五次会议和第四届监事会第四次会议，审议通过了《关于使用暂时闲置募集资金进行现金管理的议案》，同意公司使用不超过29,000万元的暂时闲置募集资金进行现金管理，该额度的有效期自董事会审议通过之日至2024年12月31日止，在上述额度及有效期限内，公司可循环滚动使用。（详见三）</w:t>
            </w:r>
          </w:p>
        </w:tc>
      </w:tr>
      <w:tr w14:paraId="347358A3">
        <w:trPr>
          <w:trHeight w:val="737" w:hRule="atLeast"/>
          <w:jc w:val="center"/>
        </w:trPr>
        <w:tc>
          <w:tcPr>
            <w:tcW w:w="2552" w:type="dxa"/>
            <w:gridSpan w:val="2"/>
            <w:vAlign w:val="center"/>
          </w:tcPr>
          <w:p w14:paraId="02EC359B">
            <w:pPr>
              <w:snapToGrid w:val="0"/>
              <w:jc w:val="left"/>
              <w:rPr>
                <w:rFonts w:hint="eastAsia" w:ascii="宋体" w:hAnsi="宋体"/>
                <w:kern w:val="0"/>
                <w:sz w:val="18"/>
                <w:szCs w:val="18"/>
                <w:highlight w:val="none"/>
              </w:rPr>
            </w:pPr>
            <w:r>
              <w:rPr>
                <w:rFonts w:hint="eastAsia" w:ascii="宋体" w:hAnsi="宋体"/>
                <w:kern w:val="0"/>
                <w:sz w:val="18"/>
                <w:szCs w:val="18"/>
                <w:highlight w:val="none"/>
              </w:rPr>
              <w:t>用超募资金永久补充流动资金</w:t>
            </w:r>
          </w:p>
          <w:p w14:paraId="25F42906">
            <w:pPr>
              <w:snapToGrid w:val="0"/>
              <w:jc w:val="left"/>
              <w:rPr>
                <w:rFonts w:hint="eastAsia" w:ascii="宋体" w:hAnsi="宋体"/>
                <w:kern w:val="0"/>
                <w:sz w:val="18"/>
                <w:szCs w:val="18"/>
                <w:highlight w:val="none"/>
              </w:rPr>
            </w:pPr>
            <w:r>
              <w:rPr>
                <w:rFonts w:hint="eastAsia" w:ascii="宋体" w:hAnsi="宋体"/>
                <w:kern w:val="0"/>
                <w:sz w:val="18"/>
                <w:szCs w:val="18"/>
                <w:highlight w:val="none"/>
              </w:rPr>
              <w:t>或归还银行贷款情况</w:t>
            </w:r>
          </w:p>
        </w:tc>
        <w:tc>
          <w:tcPr>
            <w:tcW w:w="11623" w:type="dxa"/>
            <w:gridSpan w:val="11"/>
            <w:vAlign w:val="center"/>
          </w:tcPr>
          <w:p w14:paraId="3F270FBD">
            <w:pPr>
              <w:snapToGrid w:val="0"/>
              <w:jc w:val="left"/>
              <w:rPr>
                <w:rFonts w:ascii="宋体"/>
                <w:sz w:val="18"/>
                <w:szCs w:val="18"/>
                <w:highlight w:val="none"/>
              </w:rPr>
            </w:pPr>
            <w:r>
              <w:rPr>
                <w:rFonts w:hint="eastAsia" w:ascii="宋体"/>
                <w:sz w:val="18"/>
                <w:szCs w:val="18"/>
                <w:highlight w:val="none"/>
              </w:rPr>
              <w:t>不适用</w:t>
            </w:r>
          </w:p>
        </w:tc>
      </w:tr>
      <w:tr w14:paraId="189B43E6">
        <w:trPr>
          <w:trHeight w:val="737" w:hRule="atLeast"/>
          <w:jc w:val="center"/>
        </w:trPr>
        <w:tc>
          <w:tcPr>
            <w:tcW w:w="2552" w:type="dxa"/>
            <w:gridSpan w:val="2"/>
            <w:vAlign w:val="center"/>
          </w:tcPr>
          <w:p w14:paraId="02618246">
            <w:pPr>
              <w:snapToGrid w:val="0"/>
              <w:jc w:val="left"/>
              <w:rPr>
                <w:rFonts w:ascii="宋体"/>
                <w:sz w:val="18"/>
                <w:szCs w:val="18"/>
                <w:highlight w:val="none"/>
              </w:rPr>
            </w:pPr>
            <w:r>
              <w:rPr>
                <w:rFonts w:hint="eastAsia" w:ascii="宋体" w:hAnsi="宋体"/>
                <w:kern w:val="0"/>
                <w:sz w:val="18"/>
                <w:szCs w:val="18"/>
                <w:highlight w:val="none"/>
              </w:rPr>
              <w:t>募集资金结余的金额及形成原因</w:t>
            </w:r>
          </w:p>
        </w:tc>
        <w:tc>
          <w:tcPr>
            <w:tcW w:w="11623" w:type="dxa"/>
            <w:gridSpan w:val="11"/>
            <w:vAlign w:val="center"/>
          </w:tcPr>
          <w:p w14:paraId="0CB300EE">
            <w:pPr>
              <w:snapToGrid w:val="0"/>
              <w:jc w:val="left"/>
              <w:rPr>
                <w:rFonts w:ascii="宋体"/>
                <w:sz w:val="18"/>
                <w:szCs w:val="18"/>
                <w:highlight w:val="none"/>
              </w:rPr>
            </w:pPr>
            <w:r>
              <w:rPr>
                <w:rFonts w:hint="eastAsia" w:ascii="宋体"/>
                <w:sz w:val="18"/>
                <w:szCs w:val="18"/>
                <w:highlight w:val="none"/>
              </w:rPr>
              <w:t>不适用</w:t>
            </w:r>
          </w:p>
        </w:tc>
      </w:tr>
      <w:tr w14:paraId="72F7A063">
        <w:trPr>
          <w:trHeight w:val="737" w:hRule="atLeast"/>
          <w:jc w:val="center"/>
        </w:trPr>
        <w:tc>
          <w:tcPr>
            <w:tcW w:w="2552" w:type="dxa"/>
            <w:gridSpan w:val="2"/>
            <w:vAlign w:val="center"/>
          </w:tcPr>
          <w:p w14:paraId="45C25D0B">
            <w:pPr>
              <w:snapToGrid w:val="0"/>
              <w:jc w:val="left"/>
              <w:rPr>
                <w:rFonts w:ascii="宋体"/>
                <w:sz w:val="18"/>
                <w:szCs w:val="18"/>
                <w:highlight w:val="none"/>
              </w:rPr>
            </w:pPr>
            <w:r>
              <w:rPr>
                <w:rFonts w:hint="eastAsia" w:ascii="宋体" w:hAnsi="宋体"/>
                <w:kern w:val="0"/>
                <w:sz w:val="18"/>
                <w:szCs w:val="18"/>
                <w:highlight w:val="none"/>
              </w:rPr>
              <w:t>募集资金其他使用情况</w:t>
            </w:r>
          </w:p>
        </w:tc>
        <w:tc>
          <w:tcPr>
            <w:tcW w:w="11623" w:type="dxa"/>
            <w:gridSpan w:val="11"/>
            <w:vAlign w:val="center"/>
          </w:tcPr>
          <w:p w14:paraId="1013EB9A">
            <w:pPr>
              <w:snapToGrid w:val="0"/>
              <w:jc w:val="left"/>
              <w:rPr>
                <w:rFonts w:ascii="宋体"/>
                <w:sz w:val="18"/>
                <w:szCs w:val="18"/>
                <w:highlight w:val="none"/>
              </w:rPr>
            </w:pPr>
            <w:r>
              <w:rPr>
                <w:rFonts w:hint="eastAsia" w:ascii="宋体"/>
                <w:sz w:val="18"/>
                <w:szCs w:val="18"/>
                <w:highlight w:val="none"/>
              </w:rPr>
              <w:t>不适用</w:t>
            </w:r>
          </w:p>
        </w:tc>
      </w:tr>
    </w:tbl>
    <w:p w14:paraId="5D7C7286">
      <w:pPr>
        <w:pStyle w:val="4"/>
        <w:snapToGrid w:val="0"/>
        <w:spacing w:before="120" w:beforeLines="50"/>
        <w:rPr>
          <w:rFonts w:ascii="宋体"/>
          <w:szCs w:val="21"/>
          <w:highlight w:val="none"/>
        </w:rPr>
      </w:pPr>
      <w:r>
        <w:rPr>
          <w:rFonts w:hint="eastAsia" w:ascii="宋体"/>
          <w:szCs w:val="21"/>
          <w:highlight w:val="none"/>
        </w:rPr>
        <w:t>注1：截止2024年6月30日，低铁损高磁感硅钢铁心智能制造项目累计投入金额大于募集资金承诺投资金额系该项目募集资金专户产生的利息及现金管理收益。</w:t>
      </w:r>
    </w:p>
    <w:p w14:paraId="41FF4DF2">
      <w:pPr>
        <w:pStyle w:val="4"/>
        <w:snapToGrid w:val="0"/>
        <w:ind w:firstLine="420" w:firstLineChars="200"/>
        <w:rPr>
          <w:rFonts w:ascii="宋体"/>
          <w:szCs w:val="21"/>
          <w:highlight w:val="none"/>
        </w:rPr>
      </w:pPr>
      <w:r>
        <w:rPr>
          <w:rFonts w:hint="eastAsia" w:ascii="宋体"/>
          <w:szCs w:val="21"/>
          <w:highlight w:val="none"/>
        </w:rPr>
        <w:t>注2：补充流动资金项目累计投入金额大于募集资金承诺投资金额系该项目募集资金专户（该专户已于2023年6月26日注销）产生的利息。</w:t>
      </w:r>
    </w:p>
    <w:p w14:paraId="5D02F1C5">
      <w:pPr>
        <w:pStyle w:val="4"/>
        <w:snapToGrid w:val="0"/>
        <w:rPr>
          <w:rFonts w:hint="eastAsia" w:ascii="宋体"/>
          <w:sz w:val="18"/>
          <w:szCs w:val="18"/>
          <w:highlight w:val="none"/>
          <w:u w:val="none"/>
          <w:lang w:val="en-US" w:eastAsia="zh-CN"/>
        </w:rPr>
      </w:pPr>
      <w:r>
        <w:rPr>
          <w:rFonts w:hint="eastAsia" w:ascii="宋体"/>
          <w:szCs w:val="21"/>
          <w:highlight w:val="none"/>
          <w:u w:val="none"/>
          <w:lang w:val="en-US" w:eastAsia="zh-CN"/>
        </w:rPr>
        <w:t>注3：</w:t>
      </w:r>
      <w:r>
        <w:rPr>
          <w:rFonts w:hint="eastAsia" w:ascii="宋体"/>
          <w:sz w:val="18"/>
          <w:szCs w:val="18"/>
          <w:highlight w:val="none"/>
          <w:u w:val="none"/>
        </w:rPr>
        <w:t>智能成套电气设备产业基地项目</w:t>
      </w:r>
      <w:r>
        <w:rPr>
          <w:rFonts w:hint="eastAsia" w:ascii="宋体"/>
          <w:sz w:val="18"/>
          <w:szCs w:val="18"/>
          <w:highlight w:val="none"/>
          <w:u w:val="none"/>
          <w:lang w:eastAsia="zh-CN"/>
        </w:rPr>
        <w:t>、</w:t>
      </w:r>
      <w:r>
        <w:rPr>
          <w:rFonts w:hint="eastAsia" w:ascii="宋体"/>
          <w:sz w:val="18"/>
          <w:szCs w:val="18"/>
          <w:highlight w:val="none"/>
          <w:u w:val="none"/>
        </w:rPr>
        <w:t>110kV及以下节能型变压器智能化工厂技改项目</w:t>
      </w:r>
      <w:r>
        <w:rPr>
          <w:rFonts w:hint="eastAsia" w:ascii="宋体"/>
          <w:sz w:val="18"/>
          <w:szCs w:val="18"/>
          <w:highlight w:val="none"/>
          <w:u w:val="none"/>
          <w:lang w:val="en-US" w:eastAsia="zh-CN"/>
        </w:rPr>
        <w:t>2024年4月达到预定可使用状态，2024年5-6月主要以调试和试生产为主，未达到测算效益条件。</w:t>
      </w:r>
    </w:p>
    <w:p w14:paraId="332B0DF5">
      <w:pPr>
        <w:pStyle w:val="4"/>
        <w:snapToGrid w:val="0"/>
        <w:rPr>
          <w:rFonts w:hint="eastAsia" w:ascii="宋体"/>
          <w:sz w:val="18"/>
          <w:szCs w:val="18"/>
          <w:highlight w:val="none"/>
          <w:u w:val="none"/>
          <w:lang w:val="en-US" w:eastAsia="zh-CN"/>
        </w:rPr>
      </w:pPr>
    </w:p>
    <w:p w14:paraId="474BFDDB">
      <w:pPr>
        <w:pStyle w:val="4"/>
        <w:snapToGrid w:val="0"/>
        <w:rPr>
          <w:rFonts w:hint="default" w:ascii="宋体" w:eastAsia="宋体"/>
          <w:sz w:val="18"/>
          <w:szCs w:val="18"/>
          <w:highlight w:val="none"/>
          <w:u w:val="none"/>
          <w:lang w:val="en-US" w:eastAsia="zh-CN"/>
        </w:rPr>
        <w:sectPr>
          <w:pgSz w:w="16840" w:h="11907" w:orient="landscape"/>
          <w:pgMar w:top="1797" w:right="1418" w:bottom="1418" w:left="1418" w:header="851" w:footer="992" w:gutter="0"/>
          <w:cols w:space="425" w:num="1"/>
          <w:docGrid w:linePitch="435" w:charSpace="0"/>
        </w:sectPr>
      </w:pPr>
      <w:r>
        <w:rPr>
          <w:rFonts w:hint="eastAsia" w:ascii="宋体"/>
          <w:sz w:val="18"/>
          <w:szCs w:val="18"/>
          <w:highlight w:val="none"/>
          <w:u w:val="none"/>
          <w:lang w:val="en-US" w:eastAsia="zh-CN"/>
        </w:rPr>
        <w:t>注4、</w:t>
      </w:r>
      <w:r>
        <w:rPr>
          <w:rFonts w:hint="eastAsia" w:ascii="宋体"/>
          <w:sz w:val="18"/>
          <w:szCs w:val="18"/>
          <w:highlight w:val="none"/>
        </w:rPr>
        <w:t>研发中心及信息化建设项目</w:t>
      </w:r>
      <w:r>
        <w:rPr>
          <w:rFonts w:hint="eastAsia" w:ascii="宋体"/>
          <w:sz w:val="18"/>
          <w:szCs w:val="18"/>
          <w:highlight w:val="none"/>
          <w:lang w:val="en-US" w:eastAsia="zh-CN"/>
        </w:rPr>
        <w:t>2024年4月已达到预定可使用状态，截止期末投入进度为55.16%，与达到预定可使用状态相比投入进度偏低，主要因为该项目投资预算包括研发人员工资支出900万元和项目研发支出650万元，该两项支出与公司日常研发支出共同发生，因此没有用募集资金支付该两项费用支付，扣除该两项支出预算金额之后投入进度比例为74.95%。</w:t>
      </w:r>
    </w:p>
    <w:p w14:paraId="7BBE5995">
      <w:pPr>
        <w:pStyle w:val="4"/>
        <w:snapToGrid w:val="0"/>
        <w:ind w:firstLine="0"/>
        <w:rPr>
          <w:rFonts w:ascii="宋体"/>
          <w:b/>
          <w:sz w:val="30"/>
          <w:szCs w:val="30"/>
          <w:highlight w:val="none"/>
        </w:rPr>
      </w:pPr>
      <w:r>
        <w:rPr>
          <w:rFonts w:hint="eastAsia" w:ascii="宋体"/>
          <w:b/>
          <w:sz w:val="30"/>
          <w:szCs w:val="30"/>
          <w:highlight w:val="none"/>
        </w:rPr>
        <w:t>附表二</w:t>
      </w:r>
    </w:p>
    <w:p w14:paraId="4837C2E7">
      <w:pPr>
        <w:snapToGrid w:val="0"/>
        <w:spacing w:line="360" w:lineRule="auto"/>
        <w:jc w:val="center"/>
        <w:rPr>
          <w:rFonts w:hint="eastAsia" w:ascii="宋体" w:hAnsi="宋体"/>
          <w:b/>
          <w:sz w:val="30"/>
          <w:szCs w:val="30"/>
          <w:highlight w:val="none"/>
        </w:rPr>
      </w:pPr>
      <w:r>
        <w:rPr>
          <w:rFonts w:hint="eastAsia" w:ascii="宋体" w:hAnsi="宋体"/>
          <w:b/>
          <w:sz w:val="30"/>
          <w:szCs w:val="30"/>
          <w:highlight w:val="none"/>
        </w:rPr>
        <w:t>变更募集资金投资项目情况表</w:t>
      </w:r>
    </w:p>
    <w:p w14:paraId="0BE5B283">
      <w:pPr>
        <w:snapToGrid w:val="0"/>
        <w:spacing w:before="120" w:beforeLines="50" w:line="360" w:lineRule="auto"/>
        <w:ind w:right="238"/>
        <w:jc w:val="left"/>
        <w:rPr>
          <w:rFonts w:hint="eastAsia" w:ascii="宋体" w:hAnsi="宋体"/>
          <w:szCs w:val="21"/>
          <w:highlight w:val="none"/>
        </w:rPr>
      </w:pPr>
      <w:r>
        <w:rPr>
          <w:rFonts w:hint="eastAsia" w:ascii="宋体" w:hAnsi="宋体"/>
          <w:szCs w:val="21"/>
          <w:highlight w:val="none"/>
        </w:rPr>
        <w:t>编制单位：</w:t>
      </w:r>
      <w:r>
        <w:rPr>
          <w:rFonts w:hint="eastAsia" w:ascii="Arial Narrow" w:hAnsi="Arial Narrow" w:cs="Arial"/>
          <w:kern w:val="0"/>
          <w:highlight w:val="none"/>
        </w:rPr>
        <w:t xml:space="preserve">重庆望变电气（集团）股份有限公司                                                               </w:t>
      </w:r>
      <w:r>
        <w:rPr>
          <w:rFonts w:hint="eastAsia" w:ascii="宋体" w:hAnsi="宋体"/>
          <w:szCs w:val="21"/>
          <w:highlight w:val="none"/>
        </w:rPr>
        <w:t>金额单位：人民币元</w:t>
      </w:r>
    </w:p>
    <w:tbl>
      <w:tblPr>
        <w:tblStyle w:val="11"/>
        <w:tblW w:w="13183" w:type="dxa"/>
        <w:tblInd w:w="0" w:type="dxa"/>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Layout w:type="fixed"/>
        <w:tblCellMar>
          <w:top w:w="0" w:type="dxa"/>
          <w:left w:w="108" w:type="dxa"/>
          <w:bottom w:w="0" w:type="dxa"/>
          <w:right w:w="108" w:type="dxa"/>
        </w:tblCellMar>
      </w:tblPr>
      <w:tblGrid>
        <w:gridCol w:w="1418"/>
        <w:gridCol w:w="1417"/>
        <w:gridCol w:w="1560"/>
        <w:gridCol w:w="1417"/>
        <w:gridCol w:w="1276"/>
        <w:gridCol w:w="1276"/>
        <w:gridCol w:w="992"/>
        <w:gridCol w:w="1276"/>
        <w:gridCol w:w="708"/>
        <w:gridCol w:w="709"/>
        <w:gridCol w:w="1134"/>
      </w:tblGrid>
      <w:tr w14:paraId="41F4A893">
        <w:trPr>
          <w:trHeight w:val="850" w:hRule="atLeast"/>
        </w:trPr>
        <w:tc>
          <w:tcPr>
            <w:tcW w:w="1418" w:type="dxa"/>
            <w:vAlign w:val="center"/>
          </w:tcPr>
          <w:p w14:paraId="5C3F1F55">
            <w:pPr>
              <w:widowControl/>
              <w:snapToGrid w:val="0"/>
              <w:jc w:val="center"/>
              <w:rPr>
                <w:rFonts w:hint="eastAsia" w:ascii="宋体" w:hAnsi="宋体" w:cs="宋体"/>
                <w:kern w:val="0"/>
                <w:sz w:val="18"/>
                <w:szCs w:val="18"/>
                <w:highlight w:val="none"/>
              </w:rPr>
            </w:pPr>
            <w:r>
              <w:rPr>
                <w:rFonts w:hint="eastAsia" w:ascii="宋体" w:hAnsi="宋体" w:cs="宋体"/>
                <w:kern w:val="0"/>
                <w:sz w:val="18"/>
                <w:szCs w:val="18"/>
                <w:highlight w:val="none"/>
              </w:rPr>
              <w:t>变更后的项目</w:t>
            </w:r>
          </w:p>
        </w:tc>
        <w:tc>
          <w:tcPr>
            <w:tcW w:w="1417" w:type="dxa"/>
            <w:vAlign w:val="center"/>
          </w:tcPr>
          <w:p w14:paraId="77273EFF">
            <w:pPr>
              <w:widowControl/>
              <w:snapToGrid w:val="0"/>
              <w:jc w:val="center"/>
              <w:rPr>
                <w:rFonts w:hint="eastAsia" w:ascii="宋体" w:hAnsi="宋体" w:cs="宋体"/>
                <w:kern w:val="0"/>
                <w:sz w:val="18"/>
                <w:szCs w:val="18"/>
                <w:highlight w:val="none"/>
              </w:rPr>
            </w:pPr>
            <w:r>
              <w:rPr>
                <w:rFonts w:hint="eastAsia" w:ascii="宋体" w:hAnsi="宋体" w:cs="宋体"/>
                <w:kern w:val="0"/>
                <w:sz w:val="18"/>
                <w:szCs w:val="18"/>
                <w:highlight w:val="none"/>
              </w:rPr>
              <w:t>对应的原承诺项目</w:t>
            </w:r>
          </w:p>
        </w:tc>
        <w:tc>
          <w:tcPr>
            <w:tcW w:w="1560" w:type="dxa"/>
            <w:vAlign w:val="center"/>
          </w:tcPr>
          <w:p w14:paraId="0605010D">
            <w:pPr>
              <w:widowControl/>
              <w:snapToGrid w:val="0"/>
              <w:jc w:val="center"/>
              <w:rPr>
                <w:rFonts w:hint="eastAsia" w:ascii="宋体" w:hAnsi="宋体" w:cs="宋体"/>
                <w:kern w:val="0"/>
                <w:sz w:val="18"/>
                <w:szCs w:val="18"/>
                <w:highlight w:val="none"/>
              </w:rPr>
            </w:pPr>
            <w:r>
              <w:rPr>
                <w:rFonts w:hint="eastAsia" w:ascii="宋体" w:hAnsi="宋体" w:cs="宋体"/>
                <w:kern w:val="0"/>
                <w:sz w:val="18"/>
                <w:szCs w:val="18"/>
                <w:highlight w:val="none"/>
              </w:rPr>
              <w:t>变更后项目拟投入募集资金总额</w:t>
            </w:r>
          </w:p>
        </w:tc>
        <w:tc>
          <w:tcPr>
            <w:tcW w:w="1417" w:type="dxa"/>
            <w:vAlign w:val="center"/>
          </w:tcPr>
          <w:p w14:paraId="5C3941D6">
            <w:pPr>
              <w:widowControl/>
              <w:snapToGrid w:val="0"/>
              <w:jc w:val="center"/>
              <w:rPr>
                <w:rFonts w:hint="eastAsia" w:ascii="宋体" w:hAnsi="宋体" w:cs="宋体"/>
                <w:kern w:val="0"/>
                <w:sz w:val="18"/>
                <w:szCs w:val="18"/>
                <w:highlight w:val="none"/>
              </w:rPr>
            </w:pPr>
            <w:r>
              <w:rPr>
                <w:rFonts w:hint="eastAsia" w:ascii="宋体" w:hAnsi="宋体" w:cs="宋体"/>
                <w:kern w:val="0"/>
                <w:sz w:val="18"/>
                <w:szCs w:val="18"/>
                <w:highlight w:val="none"/>
              </w:rPr>
              <w:t>截至期末计划累计投资金额</w:t>
            </w:r>
            <w:r>
              <w:rPr>
                <w:rFonts w:ascii="宋体" w:hAnsi="宋体" w:cs="宋体"/>
                <w:kern w:val="0"/>
                <w:sz w:val="18"/>
                <w:szCs w:val="18"/>
                <w:highlight w:val="none"/>
              </w:rPr>
              <w:t>(1)</w:t>
            </w:r>
          </w:p>
        </w:tc>
        <w:tc>
          <w:tcPr>
            <w:tcW w:w="1276" w:type="dxa"/>
            <w:vAlign w:val="center"/>
          </w:tcPr>
          <w:p w14:paraId="56561293">
            <w:pPr>
              <w:widowControl/>
              <w:snapToGrid w:val="0"/>
              <w:jc w:val="center"/>
              <w:rPr>
                <w:rFonts w:hint="eastAsia" w:ascii="宋体" w:hAnsi="宋体" w:cs="宋体"/>
                <w:kern w:val="0"/>
                <w:sz w:val="18"/>
                <w:szCs w:val="18"/>
                <w:highlight w:val="none"/>
              </w:rPr>
            </w:pPr>
            <w:r>
              <w:rPr>
                <w:rFonts w:hint="eastAsia" w:ascii="宋体" w:hAnsi="宋体" w:cs="宋体"/>
                <w:kern w:val="0"/>
                <w:sz w:val="18"/>
                <w:szCs w:val="18"/>
                <w:highlight w:val="none"/>
              </w:rPr>
              <w:t>本年度实际投入金额</w:t>
            </w:r>
          </w:p>
        </w:tc>
        <w:tc>
          <w:tcPr>
            <w:tcW w:w="1276" w:type="dxa"/>
            <w:vAlign w:val="center"/>
          </w:tcPr>
          <w:p w14:paraId="31AE9F7D">
            <w:pPr>
              <w:widowControl/>
              <w:snapToGrid w:val="0"/>
              <w:jc w:val="center"/>
              <w:rPr>
                <w:rFonts w:hint="eastAsia" w:ascii="宋体" w:hAnsi="宋体" w:cs="宋体"/>
                <w:kern w:val="0"/>
                <w:sz w:val="18"/>
                <w:szCs w:val="18"/>
                <w:highlight w:val="none"/>
              </w:rPr>
            </w:pPr>
            <w:r>
              <w:rPr>
                <w:rFonts w:hint="eastAsia" w:ascii="宋体" w:hAnsi="宋体" w:cs="宋体"/>
                <w:kern w:val="0"/>
                <w:sz w:val="18"/>
                <w:szCs w:val="18"/>
                <w:highlight w:val="none"/>
              </w:rPr>
              <w:t>实际累计投入金额</w:t>
            </w:r>
            <w:r>
              <w:rPr>
                <w:rFonts w:ascii="宋体" w:hAnsi="宋体" w:cs="宋体"/>
                <w:kern w:val="0"/>
                <w:sz w:val="18"/>
                <w:szCs w:val="18"/>
                <w:highlight w:val="none"/>
              </w:rPr>
              <w:t>(2)</w:t>
            </w:r>
          </w:p>
        </w:tc>
        <w:tc>
          <w:tcPr>
            <w:tcW w:w="992" w:type="dxa"/>
            <w:vAlign w:val="center"/>
          </w:tcPr>
          <w:p w14:paraId="6DAA9225">
            <w:pPr>
              <w:widowControl/>
              <w:snapToGrid w:val="0"/>
              <w:jc w:val="center"/>
              <w:rPr>
                <w:rFonts w:hint="eastAsia" w:ascii="宋体" w:hAnsi="宋体" w:cs="宋体"/>
                <w:kern w:val="0"/>
                <w:sz w:val="18"/>
                <w:szCs w:val="18"/>
                <w:highlight w:val="none"/>
              </w:rPr>
            </w:pPr>
            <w:r>
              <w:rPr>
                <w:rFonts w:hint="eastAsia" w:ascii="宋体" w:hAnsi="宋体" w:cs="宋体"/>
                <w:kern w:val="0"/>
                <w:sz w:val="18"/>
                <w:szCs w:val="18"/>
                <w:highlight w:val="none"/>
              </w:rPr>
              <w:t>投资进度（</w:t>
            </w:r>
            <w:r>
              <w:rPr>
                <w:rFonts w:ascii="宋体" w:hAnsi="宋体" w:cs="宋体"/>
                <w:kern w:val="0"/>
                <w:sz w:val="18"/>
                <w:szCs w:val="18"/>
                <w:highlight w:val="none"/>
              </w:rPr>
              <w:t>%</w:t>
            </w:r>
            <w:r>
              <w:rPr>
                <w:rFonts w:hint="eastAsia" w:ascii="宋体" w:hAnsi="宋体" w:cs="宋体"/>
                <w:kern w:val="0"/>
                <w:sz w:val="18"/>
                <w:szCs w:val="18"/>
                <w:highlight w:val="none"/>
              </w:rPr>
              <w:t>）</w:t>
            </w:r>
            <w:r>
              <w:rPr>
                <w:rFonts w:ascii="宋体" w:hAnsi="宋体" w:cs="宋体"/>
                <w:kern w:val="0"/>
                <w:sz w:val="18"/>
                <w:szCs w:val="18"/>
                <w:highlight w:val="none"/>
              </w:rPr>
              <w:t>(3)=(2)/(1)</w:t>
            </w:r>
          </w:p>
        </w:tc>
        <w:tc>
          <w:tcPr>
            <w:tcW w:w="1276" w:type="dxa"/>
            <w:vAlign w:val="center"/>
          </w:tcPr>
          <w:p w14:paraId="3192C1E7">
            <w:pPr>
              <w:widowControl/>
              <w:snapToGrid w:val="0"/>
              <w:jc w:val="center"/>
              <w:rPr>
                <w:rFonts w:hint="eastAsia" w:ascii="宋体" w:hAnsi="宋体" w:cs="宋体"/>
                <w:kern w:val="0"/>
                <w:sz w:val="18"/>
                <w:szCs w:val="18"/>
                <w:highlight w:val="none"/>
              </w:rPr>
            </w:pPr>
            <w:r>
              <w:rPr>
                <w:rFonts w:hint="eastAsia" w:ascii="宋体" w:hAnsi="宋体" w:cs="宋体"/>
                <w:kern w:val="0"/>
                <w:sz w:val="18"/>
                <w:szCs w:val="18"/>
                <w:highlight w:val="none"/>
              </w:rPr>
              <w:t>项目达到预定可使用状态日期</w:t>
            </w:r>
          </w:p>
        </w:tc>
        <w:tc>
          <w:tcPr>
            <w:tcW w:w="708" w:type="dxa"/>
            <w:vAlign w:val="center"/>
          </w:tcPr>
          <w:p w14:paraId="553B7433">
            <w:pPr>
              <w:widowControl/>
              <w:snapToGrid w:val="0"/>
              <w:jc w:val="center"/>
              <w:rPr>
                <w:rFonts w:hint="eastAsia" w:ascii="宋体" w:hAnsi="宋体" w:cs="宋体"/>
                <w:kern w:val="0"/>
                <w:sz w:val="18"/>
                <w:szCs w:val="18"/>
                <w:highlight w:val="none"/>
              </w:rPr>
            </w:pPr>
            <w:r>
              <w:rPr>
                <w:rFonts w:hint="eastAsia" w:ascii="宋体" w:hAnsi="宋体" w:cs="宋体"/>
                <w:kern w:val="0"/>
                <w:sz w:val="18"/>
                <w:szCs w:val="18"/>
                <w:highlight w:val="none"/>
              </w:rPr>
              <w:t>本年度实现的效益</w:t>
            </w:r>
          </w:p>
        </w:tc>
        <w:tc>
          <w:tcPr>
            <w:tcW w:w="709" w:type="dxa"/>
            <w:vAlign w:val="center"/>
          </w:tcPr>
          <w:p w14:paraId="5CB61356">
            <w:pPr>
              <w:widowControl/>
              <w:snapToGrid w:val="0"/>
              <w:jc w:val="center"/>
              <w:rPr>
                <w:rFonts w:hint="eastAsia" w:ascii="宋体" w:hAnsi="宋体" w:cs="宋体"/>
                <w:kern w:val="0"/>
                <w:sz w:val="18"/>
                <w:szCs w:val="18"/>
                <w:highlight w:val="none"/>
              </w:rPr>
            </w:pPr>
            <w:r>
              <w:rPr>
                <w:rFonts w:hint="eastAsia" w:ascii="宋体" w:hAnsi="宋体" w:cs="宋体"/>
                <w:kern w:val="0"/>
                <w:sz w:val="18"/>
                <w:szCs w:val="18"/>
                <w:highlight w:val="none"/>
              </w:rPr>
              <w:t>是否达到预计效益</w:t>
            </w:r>
          </w:p>
        </w:tc>
        <w:tc>
          <w:tcPr>
            <w:tcW w:w="1134" w:type="dxa"/>
            <w:vAlign w:val="center"/>
          </w:tcPr>
          <w:p w14:paraId="67F6172E">
            <w:pPr>
              <w:widowControl/>
              <w:snapToGrid w:val="0"/>
              <w:ind w:left="-42" w:leftChars="-20" w:right="-63" w:rightChars="-30"/>
              <w:jc w:val="center"/>
              <w:rPr>
                <w:rFonts w:hint="eastAsia" w:ascii="宋体" w:hAnsi="宋体" w:cs="宋体"/>
                <w:kern w:val="0"/>
                <w:sz w:val="18"/>
                <w:szCs w:val="18"/>
                <w:highlight w:val="none"/>
              </w:rPr>
            </w:pPr>
            <w:r>
              <w:rPr>
                <w:rFonts w:hint="eastAsia" w:ascii="宋体" w:hAnsi="宋体" w:cs="宋体"/>
                <w:kern w:val="0"/>
                <w:sz w:val="18"/>
                <w:szCs w:val="18"/>
                <w:highlight w:val="none"/>
              </w:rPr>
              <w:t>变更后的项目可行性是否发生重大变化</w:t>
            </w:r>
          </w:p>
        </w:tc>
      </w:tr>
      <w:tr w14:paraId="744D8A6D">
        <w:trPr>
          <w:trHeight w:val="850" w:hRule="atLeast"/>
        </w:trPr>
        <w:tc>
          <w:tcPr>
            <w:tcW w:w="1418" w:type="dxa"/>
            <w:vAlign w:val="center"/>
          </w:tcPr>
          <w:p w14:paraId="54451912">
            <w:pPr>
              <w:widowControl/>
              <w:snapToGrid w:val="0"/>
              <w:jc w:val="left"/>
              <w:rPr>
                <w:rFonts w:hint="eastAsia" w:ascii="宋体" w:hAnsi="宋体" w:cs="宋体"/>
                <w:kern w:val="0"/>
                <w:sz w:val="18"/>
                <w:szCs w:val="18"/>
                <w:highlight w:val="none"/>
              </w:rPr>
            </w:pPr>
            <w:r>
              <w:rPr>
                <w:rFonts w:hint="eastAsia" w:ascii="宋体" w:hAnsi="宋体" w:cs="宋体"/>
                <w:kern w:val="0"/>
                <w:sz w:val="18"/>
                <w:szCs w:val="18"/>
                <w:highlight w:val="none"/>
              </w:rPr>
              <w:t>智控设备及金属制品智能工厂建设项目（一期）（新增）</w:t>
            </w:r>
          </w:p>
        </w:tc>
        <w:tc>
          <w:tcPr>
            <w:tcW w:w="1417" w:type="dxa"/>
            <w:vAlign w:val="center"/>
          </w:tcPr>
          <w:p w14:paraId="2C0EDB14">
            <w:pPr>
              <w:widowControl/>
              <w:snapToGrid w:val="0"/>
              <w:jc w:val="left"/>
              <w:rPr>
                <w:rFonts w:hint="eastAsia" w:ascii="宋体" w:hAnsi="宋体" w:cs="宋体"/>
                <w:kern w:val="0"/>
                <w:sz w:val="18"/>
                <w:szCs w:val="18"/>
                <w:highlight w:val="none"/>
              </w:rPr>
            </w:pPr>
            <w:r>
              <w:rPr>
                <w:rFonts w:hint="eastAsia" w:ascii="宋体" w:hAnsi="宋体" w:cs="宋体"/>
                <w:kern w:val="0"/>
                <w:sz w:val="18"/>
                <w:szCs w:val="18"/>
                <w:highlight w:val="none"/>
              </w:rPr>
              <w:t>智能成套电气设备产业基地项目（部分变更）</w:t>
            </w:r>
          </w:p>
        </w:tc>
        <w:tc>
          <w:tcPr>
            <w:tcW w:w="1560" w:type="dxa"/>
            <w:vAlign w:val="center"/>
          </w:tcPr>
          <w:p w14:paraId="1DC10C9D">
            <w:pPr>
              <w:widowControl/>
              <w:snapToGrid w:val="0"/>
              <w:jc w:val="right"/>
              <w:rPr>
                <w:rFonts w:ascii="Arial Narrow" w:hAnsi="Arial Narrow" w:cs="宋体"/>
                <w:kern w:val="0"/>
                <w:sz w:val="18"/>
                <w:szCs w:val="18"/>
                <w:highlight w:val="none"/>
              </w:rPr>
            </w:pPr>
            <w:r>
              <w:rPr>
                <w:rFonts w:ascii="Arial Narrow" w:hAnsi="Arial Narrow" w:cs="宋体"/>
                <w:kern w:val="0"/>
                <w:sz w:val="18"/>
                <w:szCs w:val="18"/>
                <w:highlight w:val="none"/>
              </w:rPr>
              <w:t>147,744,400.00</w:t>
            </w:r>
          </w:p>
        </w:tc>
        <w:tc>
          <w:tcPr>
            <w:tcW w:w="1417" w:type="dxa"/>
            <w:vAlign w:val="center"/>
          </w:tcPr>
          <w:p w14:paraId="101B7550">
            <w:pPr>
              <w:widowControl/>
              <w:snapToGrid w:val="0"/>
              <w:jc w:val="right"/>
              <w:rPr>
                <w:rFonts w:ascii="Arial Narrow" w:hAnsi="Arial Narrow" w:cs="宋体"/>
                <w:kern w:val="0"/>
                <w:sz w:val="18"/>
                <w:szCs w:val="18"/>
                <w:highlight w:val="none"/>
              </w:rPr>
            </w:pPr>
            <w:r>
              <w:rPr>
                <w:rFonts w:ascii="Arial Narrow" w:hAnsi="Arial Narrow" w:cs="宋体"/>
                <w:kern w:val="0"/>
                <w:sz w:val="18"/>
                <w:szCs w:val="18"/>
                <w:highlight w:val="none"/>
              </w:rPr>
              <w:t>147,744,400.00</w:t>
            </w:r>
          </w:p>
        </w:tc>
        <w:tc>
          <w:tcPr>
            <w:tcW w:w="1276" w:type="dxa"/>
            <w:vAlign w:val="center"/>
          </w:tcPr>
          <w:p w14:paraId="7B4E043C">
            <w:pPr>
              <w:widowControl/>
              <w:snapToGrid w:val="0"/>
              <w:jc w:val="right"/>
              <w:rPr>
                <w:rFonts w:ascii="Arial Narrow" w:hAnsi="Arial Narrow" w:cs="宋体"/>
                <w:kern w:val="0"/>
                <w:sz w:val="18"/>
                <w:szCs w:val="18"/>
                <w:highlight w:val="none"/>
              </w:rPr>
            </w:pPr>
            <w:r>
              <w:rPr>
                <w:rFonts w:hint="eastAsia" w:ascii="Arial Narrow" w:hAnsi="Arial Narrow" w:cs="宋体"/>
                <w:kern w:val="0"/>
                <w:sz w:val="18"/>
                <w:szCs w:val="18"/>
                <w:highlight w:val="none"/>
              </w:rPr>
              <w:t xml:space="preserve">85,585,832.76 </w:t>
            </w:r>
          </w:p>
        </w:tc>
        <w:tc>
          <w:tcPr>
            <w:tcW w:w="1276" w:type="dxa"/>
            <w:vAlign w:val="center"/>
          </w:tcPr>
          <w:p w14:paraId="5471D717">
            <w:pPr>
              <w:widowControl/>
              <w:snapToGrid w:val="0"/>
              <w:jc w:val="right"/>
              <w:rPr>
                <w:rFonts w:ascii="Arial Narrow" w:hAnsi="Arial Narrow" w:cs="宋体"/>
                <w:kern w:val="0"/>
                <w:sz w:val="18"/>
                <w:szCs w:val="18"/>
                <w:highlight w:val="none"/>
              </w:rPr>
            </w:pPr>
            <w:r>
              <w:rPr>
                <w:rFonts w:hint="eastAsia" w:ascii="Arial Narrow" w:hAnsi="Arial Narrow" w:cs="宋体"/>
                <w:kern w:val="0"/>
                <w:sz w:val="18"/>
                <w:szCs w:val="18"/>
                <w:highlight w:val="none"/>
              </w:rPr>
              <w:t xml:space="preserve">135,998,770.70 </w:t>
            </w:r>
          </w:p>
        </w:tc>
        <w:tc>
          <w:tcPr>
            <w:tcW w:w="992" w:type="dxa"/>
            <w:vAlign w:val="center"/>
          </w:tcPr>
          <w:p w14:paraId="0FE6E4C5">
            <w:pPr>
              <w:snapToGrid w:val="0"/>
              <w:jc w:val="right"/>
              <w:rPr>
                <w:rFonts w:ascii="Arial Narrow" w:hAnsi="Arial Narrow" w:cs="宋体"/>
                <w:kern w:val="0"/>
                <w:sz w:val="18"/>
                <w:szCs w:val="18"/>
                <w:highlight w:val="none"/>
              </w:rPr>
            </w:pPr>
            <w:r>
              <w:rPr>
                <w:rFonts w:hint="eastAsia" w:ascii="Arial Narrow" w:hAnsi="Arial Narrow"/>
                <w:kern w:val="0"/>
                <w:sz w:val="18"/>
                <w:szCs w:val="18"/>
                <w:highlight w:val="none"/>
              </w:rPr>
              <w:t>92.05%</w:t>
            </w:r>
          </w:p>
        </w:tc>
        <w:tc>
          <w:tcPr>
            <w:tcW w:w="1276" w:type="dxa"/>
            <w:vAlign w:val="center"/>
          </w:tcPr>
          <w:p w14:paraId="2CB100E5">
            <w:pPr>
              <w:widowControl/>
              <w:snapToGrid w:val="0"/>
              <w:jc w:val="center"/>
              <w:rPr>
                <w:rFonts w:ascii="Arial Narrow" w:hAnsi="Arial Narrow" w:cs="宋体"/>
                <w:kern w:val="0"/>
                <w:sz w:val="18"/>
                <w:szCs w:val="18"/>
                <w:highlight w:val="none"/>
              </w:rPr>
            </w:pPr>
            <w:r>
              <w:rPr>
                <w:rFonts w:ascii="Arial Narrow" w:hAnsi="Arial Narrow" w:cs="宋体"/>
                <w:kern w:val="0"/>
                <w:sz w:val="18"/>
                <w:szCs w:val="18"/>
                <w:highlight w:val="none"/>
              </w:rPr>
              <w:t>2025年6月</w:t>
            </w:r>
          </w:p>
        </w:tc>
        <w:tc>
          <w:tcPr>
            <w:tcW w:w="708" w:type="dxa"/>
            <w:vAlign w:val="center"/>
          </w:tcPr>
          <w:p w14:paraId="5DBE9D26">
            <w:pPr>
              <w:widowControl/>
              <w:snapToGrid w:val="0"/>
              <w:jc w:val="right"/>
              <w:rPr>
                <w:rFonts w:hint="eastAsia" w:ascii="宋体" w:hAnsi="宋体" w:cs="宋体"/>
                <w:kern w:val="0"/>
                <w:sz w:val="18"/>
                <w:szCs w:val="18"/>
                <w:highlight w:val="none"/>
              </w:rPr>
            </w:pPr>
            <w:r>
              <w:rPr>
                <w:rFonts w:hint="eastAsia" w:ascii="宋体" w:hAnsi="宋体" w:cs="宋体"/>
                <w:kern w:val="0"/>
                <w:sz w:val="18"/>
                <w:szCs w:val="18"/>
                <w:highlight w:val="none"/>
              </w:rPr>
              <w:t>-</w:t>
            </w:r>
          </w:p>
        </w:tc>
        <w:tc>
          <w:tcPr>
            <w:tcW w:w="709" w:type="dxa"/>
            <w:vAlign w:val="center"/>
          </w:tcPr>
          <w:p w14:paraId="4EF0B69D">
            <w:pPr>
              <w:widowControl/>
              <w:snapToGrid w:val="0"/>
              <w:jc w:val="center"/>
              <w:rPr>
                <w:rFonts w:hint="eastAsia" w:ascii="宋体" w:hAnsi="宋体" w:cs="宋体"/>
                <w:kern w:val="0"/>
                <w:sz w:val="18"/>
                <w:szCs w:val="18"/>
                <w:highlight w:val="none"/>
              </w:rPr>
            </w:pPr>
            <w:r>
              <w:rPr>
                <w:rFonts w:hint="eastAsia" w:ascii="宋体" w:hAnsi="宋体" w:cs="宋体"/>
                <w:kern w:val="0"/>
                <w:sz w:val="18"/>
                <w:szCs w:val="18"/>
                <w:highlight w:val="none"/>
              </w:rPr>
              <w:t>项目尚在建设中</w:t>
            </w:r>
          </w:p>
        </w:tc>
        <w:tc>
          <w:tcPr>
            <w:tcW w:w="1134" w:type="dxa"/>
            <w:vAlign w:val="center"/>
          </w:tcPr>
          <w:p w14:paraId="0F8252B8">
            <w:pPr>
              <w:widowControl/>
              <w:snapToGrid w:val="0"/>
              <w:jc w:val="center"/>
              <w:rPr>
                <w:rFonts w:hint="eastAsia" w:ascii="宋体" w:hAnsi="宋体" w:cs="宋体"/>
                <w:kern w:val="0"/>
                <w:sz w:val="18"/>
                <w:szCs w:val="18"/>
                <w:highlight w:val="none"/>
              </w:rPr>
            </w:pPr>
            <w:r>
              <w:rPr>
                <w:rFonts w:hint="eastAsia" w:ascii="宋体" w:hAnsi="宋体" w:cs="宋体"/>
                <w:kern w:val="0"/>
                <w:sz w:val="18"/>
                <w:szCs w:val="18"/>
                <w:highlight w:val="none"/>
              </w:rPr>
              <w:t>否</w:t>
            </w:r>
          </w:p>
        </w:tc>
      </w:tr>
      <w:tr w14:paraId="707A73CB">
        <w:trPr>
          <w:trHeight w:val="850" w:hRule="atLeast"/>
        </w:trPr>
        <w:tc>
          <w:tcPr>
            <w:tcW w:w="1418" w:type="dxa"/>
            <w:vAlign w:val="center"/>
          </w:tcPr>
          <w:p w14:paraId="32AD48AB">
            <w:pPr>
              <w:widowControl/>
              <w:snapToGrid w:val="0"/>
              <w:jc w:val="center"/>
              <w:rPr>
                <w:rFonts w:hint="eastAsia" w:ascii="宋体" w:hAnsi="宋体" w:cs="宋体"/>
                <w:kern w:val="0"/>
                <w:sz w:val="18"/>
                <w:szCs w:val="18"/>
                <w:highlight w:val="none"/>
              </w:rPr>
            </w:pPr>
            <w:r>
              <w:rPr>
                <w:rFonts w:hint="eastAsia" w:ascii="宋体" w:hAnsi="宋体" w:cs="宋体"/>
                <w:kern w:val="0"/>
                <w:sz w:val="18"/>
                <w:szCs w:val="18"/>
                <w:highlight w:val="none"/>
              </w:rPr>
              <w:t>合计</w:t>
            </w:r>
          </w:p>
        </w:tc>
        <w:tc>
          <w:tcPr>
            <w:tcW w:w="1417" w:type="dxa"/>
            <w:vAlign w:val="center"/>
          </w:tcPr>
          <w:p w14:paraId="53187895">
            <w:pPr>
              <w:widowControl/>
              <w:snapToGrid w:val="0"/>
              <w:jc w:val="center"/>
              <w:rPr>
                <w:rFonts w:hint="eastAsia" w:ascii="宋体" w:hAnsi="宋体" w:cs="宋体"/>
                <w:kern w:val="0"/>
                <w:sz w:val="18"/>
                <w:szCs w:val="18"/>
                <w:highlight w:val="none"/>
              </w:rPr>
            </w:pPr>
            <w:r>
              <w:rPr>
                <w:rFonts w:ascii="宋体" w:hAnsi="宋体" w:cs="宋体"/>
                <w:kern w:val="0"/>
                <w:sz w:val="18"/>
                <w:szCs w:val="18"/>
                <w:highlight w:val="none"/>
              </w:rPr>
              <w:t>—</w:t>
            </w:r>
          </w:p>
        </w:tc>
        <w:tc>
          <w:tcPr>
            <w:tcW w:w="1560" w:type="dxa"/>
            <w:vAlign w:val="center"/>
          </w:tcPr>
          <w:p w14:paraId="759EAF10">
            <w:pPr>
              <w:widowControl/>
              <w:snapToGrid w:val="0"/>
              <w:jc w:val="right"/>
              <w:rPr>
                <w:rFonts w:ascii="Arial Narrow" w:hAnsi="Arial Narrow" w:cs="宋体"/>
                <w:kern w:val="0"/>
                <w:sz w:val="18"/>
                <w:szCs w:val="18"/>
                <w:highlight w:val="none"/>
              </w:rPr>
            </w:pPr>
            <w:r>
              <w:rPr>
                <w:rFonts w:ascii="Arial Narrow" w:hAnsi="Arial Narrow" w:cs="宋体"/>
                <w:kern w:val="0"/>
                <w:sz w:val="18"/>
                <w:szCs w:val="18"/>
                <w:highlight w:val="none"/>
              </w:rPr>
              <w:t>147,744,400.00</w:t>
            </w:r>
          </w:p>
        </w:tc>
        <w:tc>
          <w:tcPr>
            <w:tcW w:w="1417" w:type="dxa"/>
            <w:vAlign w:val="center"/>
          </w:tcPr>
          <w:p w14:paraId="30B932C9">
            <w:pPr>
              <w:widowControl/>
              <w:snapToGrid w:val="0"/>
              <w:jc w:val="right"/>
              <w:rPr>
                <w:rFonts w:ascii="Arial Narrow" w:hAnsi="Arial Narrow" w:cs="宋体"/>
                <w:kern w:val="0"/>
                <w:sz w:val="18"/>
                <w:szCs w:val="18"/>
                <w:highlight w:val="none"/>
              </w:rPr>
            </w:pPr>
            <w:r>
              <w:rPr>
                <w:rFonts w:ascii="Arial Narrow" w:hAnsi="Arial Narrow" w:cs="宋体"/>
                <w:kern w:val="0"/>
                <w:sz w:val="18"/>
                <w:szCs w:val="18"/>
                <w:highlight w:val="none"/>
              </w:rPr>
              <w:t>147,744,400.00</w:t>
            </w:r>
          </w:p>
        </w:tc>
        <w:tc>
          <w:tcPr>
            <w:tcW w:w="1276" w:type="dxa"/>
            <w:vAlign w:val="center"/>
          </w:tcPr>
          <w:p w14:paraId="075080E1">
            <w:pPr>
              <w:widowControl/>
              <w:snapToGrid w:val="0"/>
              <w:jc w:val="right"/>
              <w:rPr>
                <w:rFonts w:ascii="Arial Narrow" w:hAnsi="Arial Narrow" w:cs="宋体"/>
                <w:kern w:val="0"/>
                <w:sz w:val="18"/>
                <w:szCs w:val="18"/>
                <w:highlight w:val="none"/>
              </w:rPr>
            </w:pPr>
            <w:r>
              <w:rPr>
                <w:rFonts w:hint="eastAsia" w:ascii="Arial Narrow" w:hAnsi="Arial Narrow" w:cs="宋体"/>
                <w:kern w:val="0"/>
                <w:sz w:val="18"/>
                <w:szCs w:val="18"/>
                <w:highlight w:val="none"/>
              </w:rPr>
              <w:t xml:space="preserve"> 85,585,832.76 </w:t>
            </w:r>
          </w:p>
        </w:tc>
        <w:tc>
          <w:tcPr>
            <w:tcW w:w="1276" w:type="dxa"/>
            <w:vAlign w:val="center"/>
          </w:tcPr>
          <w:p w14:paraId="7EACAC52">
            <w:pPr>
              <w:widowControl/>
              <w:snapToGrid w:val="0"/>
              <w:jc w:val="right"/>
              <w:rPr>
                <w:rFonts w:ascii="Arial Narrow" w:hAnsi="Arial Narrow" w:cs="宋体"/>
                <w:kern w:val="0"/>
                <w:sz w:val="18"/>
                <w:szCs w:val="18"/>
                <w:highlight w:val="none"/>
              </w:rPr>
            </w:pPr>
            <w:r>
              <w:rPr>
                <w:rFonts w:hint="eastAsia" w:ascii="Arial Narrow" w:hAnsi="Arial Narrow" w:cs="宋体"/>
                <w:kern w:val="0"/>
                <w:sz w:val="18"/>
                <w:szCs w:val="18"/>
                <w:highlight w:val="none"/>
              </w:rPr>
              <w:t xml:space="preserve">135,998,770.70 </w:t>
            </w:r>
          </w:p>
        </w:tc>
        <w:tc>
          <w:tcPr>
            <w:tcW w:w="992" w:type="dxa"/>
            <w:vAlign w:val="center"/>
          </w:tcPr>
          <w:p w14:paraId="7F10B859">
            <w:pPr>
              <w:widowControl/>
              <w:snapToGrid w:val="0"/>
              <w:jc w:val="center"/>
              <w:rPr>
                <w:rFonts w:ascii="Arial Narrow" w:hAnsi="Arial Narrow" w:cs="宋体"/>
                <w:kern w:val="0"/>
                <w:sz w:val="18"/>
                <w:szCs w:val="18"/>
                <w:highlight w:val="none"/>
              </w:rPr>
            </w:pPr>
            <w:r>
              <w:rPr>
                <w:rFonts w:ascii="Arial Narrow" w:hAnsi="Arial Narrow" w:cs="宋体"/>
                <w:kern w:val="0"/>
                <w:sz w:val="18"/>
                <w:szCs w:val="18"/>
                <w:highlight w:val="none"/>
              </w:rPr>
              <w:t>—</w:t>
            </w:r>
          </w:p>
        </w:tc>
        <w:tc>
          <w:tcPr>
            <w:tcW w:w="1276" w:type="dxa"/>
            <w:vAlign w:val="center"/>
          </w:tcPr>
          <w:p w14:paraId="7EE9CA2A">
            <w:pPr>
              <w:widowControl/>
              <w:snapToGrid w:val="0"/>
              <w:jc w:val="center"/>
              <w:rPr>
                <w:rFonts w:ascii="Arial Narrow" w:hAnsi="Arial Narrow" w:cs="宋体"/>
                <w:kern w:val="0"/>
                <w:sz w:val="18"/>
                <w:szCs w:val="18"/>
                <w:highlight w:val="none"/>
              </w:rPr>
            </w:pPr>
            <w:r>
              <w:rPr>
                <w:rFonts w:ascii="Arial Narrow" w:hAnsi="Arial Narrow" w:cs="宋体"/>
                <w:kern w:val="0"/>
                <w:sz w:val="18"/>
                <w:szCs w:val="18"/>
                <w:highlight w:val="none"/>
              </w:rPr>
              <w:t>—</w:t>
            </w:r>
          </w:p>
        </w:tc>
        <w:tc>
          <w:tcPr>
            <w:tcW w:w="708" w:type="dxa"/>
            <w:vAlign w:val="center"/>
          </w:tcPr>
          <w:p w14:paraId="05DC4EED">
            <w:pPr>
              <w:widowControl/>
              <w:snapToGrid w:val="0"/>
              <w:jc w:val="right"/>
              <w:rPr>
                <w:rFonts w:hint="eastAsia" w:ascii="宋体" w:hAnsi="宋体" w:cs="宋体"/>
                <w:kern w:val="0"/>
                <w:sz w:val="18"/>
                <w:szCs w:val="18"/>
                <w:highlight w:val="none"/>
              </w:rPr>
            </w:pPr>
          </w:p>
        </w:tc>
        <w:tc>
          <w:tcPr>
            <w:tcW w:w="709" w:type="dxa"/>
            <w:vAlign w:val="center"/>
          </w:tcPr>
          <w:p w14:paraId="38E86E7B">
            <w:pPr>
              <w:widowControl/>
              <w:snapToGrid w:val="0"/>
              <w:jc w:val="center"/>
              <w:rPr>
                <w:rFonts w:hint="eastAsia" w:ascii="宋体" w:hAnsi="宋体" w:cs="宋体"/>
                <w:kern w:val="0"/>
                <w:sz w:val="18"/>
                <w:szCs w:val="18"/>
                <w:highlight w:val="none"/>
              </w:rPr>
            </w:pPr>
            <w:r>
              <w:rPr>
                <w:rFonts w:ascii="宋体" w:hAnsi="宋体" w:cs="宋体"/>
                <w:kern w:val="0"/>
                <w:sz w:val="18"/>
                <w:szCs w:val="18"/>
                <w:highlight w:val="none"/>
              </w:rPr>
              <w:t>—</w:t>
            </w:r>
          </w:p>
        </w:tc>
        <w:tc>
          <w:tcPr>
            <w:tcW w:w="1134" w:type="dxa"/>
            <w:vAlign w:val="center"/>
          </w:tcPr>
          <w:p w14:paraId="368CB6C6">
            <w:pPr>
              <w:widowControl/>
              <w:snapToGrid w:val="0"/>
              <w:jc w:val="center"/>
              <w:rPr>
                <w:rFonts w:hint="eastAsia" w:ascii="宋体" w:hAnsi="宋体" w:cs="宋体"/>
                <w:kern w:val="0"/>
                <w:sz w:val="18"/>
                <w:szCs w:val="18"/>
                <w:highlight w:val="none"/>
              </w:rPr>
            </w:pPr>
            <w:r>
              <w:rPr>
                <w:rFonts w:ascii="宋体" w:hAnsi="宋体" w:cs="宋体"/>
                <w:kern w:val="0"/>
                <w:sz w:val="18"/>
                <w:szCs w:val="18"/>
                <w:highlight w:val="none"/>
              </w:rPr>
              <w:t>—</w:t>
            </w:r>
          </w:p>
        </w:tc>
      </w:tr>
      <w:tr w14:paraId="03ECC5A5">
        <w:trPr>
          <w:trHeight w:val="850" w:hRule="atLeast"/>
        </w:trPr>
        <w:tc>
          <w:tcPr>
            <w:tcW w:w="2835" w:type="dxa"/>
            <w:gridSpan w:val="2"/>
            <w:vAlign w:val="center"/>
          </w:tcPr>
          <w:p w14:paraId="541175CB">
            <w:pPr>
              <w:widowControl/>
              <w:snapToGrid w:val="0"/>
              <w:jc w:val="left"/>
              <w:rPr>
                <w:rFonts w:hint="eastAsia" w:ascii="宋体" w:hAnsi="宋体" w:cs="宋体"/>
                <w:kern w:val="0"/>
                <w:sz w:val="18"/>
                <w:szCs w:val="18"/>
                <w:highlight w:val="none"/>
              </w:rPr>
            </w:pPr>
            <w:r>
              <w:rPr>
                <w:rFonts w:hint="eastAsia" w:ascii="宋体" w:hAnsi="宋体" w:cs="宋体"/>
                <w:kern w:val="0"/>
                <w:sz w:val="18"/>
                <w:szCs w:val="18"/>
                <w:highlight w:val="none"/>
              </w:rPr>
              <w:t>变更原因、决策程序及信息披露情况说明（分具体募投项目）</w:t>
            </w:r>
          </w:p>
        </w:tc>
        <w:tc>
          <w:tcPr>
            <w:tcW w:w="10348" w:type="dxa"/>
            <w:gridSpan w:val="9"/>
            <w:vAlign w:val="center"/>
          </w:tcPr>
          <w:p w14:paraId="51F00BAE">
            <w:pPr>
              <w:widowControl/>
              <w:snapToGrid w:val="0"/>
              <w:spacing w:before="120" w:beforeLines="50" w:line="360" w:lineRule="auto"/>
              <w:ind w:firstLine="361" w:firstLineChars="200"/>
              <w:jc w:val="left"/>
              <w:rPr>
                <w:rFonts w:hint="eastAsia" w:ascii="宋体" w:hAnsi="宋体" w:cs="宋体"/>
                <w:b/>
                <w:bCs/>
                <w:kern w:val="0"/>
                <w:sz w:val="18"/>
                <w:szCs w:val="18"/>
                <w:highlight w:val="none"/>
              </w:rPr>
            </w:pPr>
            <w:r>
              <w:rPr>
                <w:rFonts w:hint="eastAsia" w:ascii="宋体" w:hAnsi="宋体" w:cs="宋体"/>
                <w:b/>
                <w:bCs/>
                <w:kern w:val="0"/>
                <w:sz w:val="18"/>
                <w:szCs w:val="18"/>
                <w:highlight w:val="none"/>
              </w:rPr>
              <w:t>变更原因：</w:t>
            </w:r>
          </w:p>
          <w:p w14:paraId="0C4E7460">
            <w:pPr>
              <w:widowControl/>
              <w:snapToGrid w:val="0"/>
              <w:spacing w:before="50" w:line="360" w:lineRule="auto"/>
              <w:ind w:firstLine="360" w:firstLineChars="200"/>
              <w:jc w:val="left"/>
              <w:rPr>
                <w:rFonts w:hint="eastAsia" w:ascii="宋体" w:hAnsi="宋体" w:cs="宋体"/>
                <w:kern w:val="0"/>
                <w:sz w:val="18"/>
                <w:szCs w:val="18"/>
                <w:highlight w:val="none"/>
              </w:rPr>
            </w:pPr>
            <w:r>
              <w:rPr>
                <w:rFonts w:ascii="宋体" w:hAnsi="宋体" w:cs="宋体"/>
                <w:kern w:val="0"/>
                <w:sz w:val="18"/>
                <w:szCs w:val="18"/>
                <w:highlight w:val="none"/>
              </w:rPr>
              <w:t>公司经过持续的技术升级与布局优化，原募投项目规划的2#厂房在满足项目需求的基础上仍有部分场地可用于其他用途，因此本次对用于场地投资的募集资金根据实际投资进行了调减；</w:t>
            </w:r>
          </w:p>
          <w:p w14:paraId="019E99BB">
            <w:pPr>
              <w:widowControl/>
              <w:snapToGrid w:val="0"/>
              <w:spacing w:before="50" w:line="360" w:lineRule="auto"/>
              <w:ind w:firstLine="360" w:firstLineChars="200"/>
              <w:jc w:val="left"/>
              <w:rPr>
                <w:rFonts w:hint="eastAsia" w:ascii="宋体" w:hAnsi="宋体" w:cs="宋体"/>
                <w:kern w:val="0"/>
                <w:sz w:val="18"/>
                <w:szCs w:val="18"/>
                <w:highlight w:val="none"/>
              </w:rPr>
            </w:pPr>
            <w:r>
              <w:rPr>
                <w:rFonts w:ascii="宋体" w:hAnsi="宋体" w:cs="宋体"/>
                <w:kern w:val="0"/>
                <w:sz w:val="18"/>
                <w:szCs w:val="18"/>
                <w:highlight w:val="none"/>
              </w:rPr>
              <w:t>原募投项目规划设备投资方案内包含板件加工、铜排加工以及自动喷涂生产线等内容，近年来伴随公司业绩持续向好发展，成套电气设备业务规模持续扩大，原规划加工能力已不能满足未来业务发展需求，且设备选型也已不具备领先优势，因此公司拟对项目内金属加工相关内容进行调整。目前公司已购置土地，并规划建设新项目即“智控设备及金属制品智能工厂建设项目（一期）”，拟将金属制品进行统筹制造，在新地块建设钣金加工和自动喷涂线，同时增加变压器油箱加工和夹件加工能力，提升变压器产能配套能力，项目一方面有利于提升公司金属制品加工能力和加工效率，另一方面规模化生产也有利于降低成本，增强公司产品市场竞争力。</w:t>
            </w:r>
          </w:p>
          <w:p w14:paraId="71F2F47F">
            <w:pPr>
              <w:widowControl/>
              <w:snapToGrid w:val="0"/>
              <w:spacing w:before="50" w:line="360" w:lineRule="auto"/>
              <w:ind w:firstLine="360" w:firstLineChars="200"/>
              <w:jc w:val="left"/>
              <w:rPr>
                <w:rFonts w:hint="eastAsia" w:ascii="宋体" w:hAnsi="宋体" w:cs="宋体"/>
                <w:kern w:val="0"/>
                <w:sz w:val="18"/>
                <w:szCs w:val="18"/>
                <w:highlight w:val="none"/>
              </w:rPr>
            </w:pPr>
            <w:r>
              <w:rPr>
                <w:rFonts w:ascii="宋体" w:hAnsi="宋体" w:cs="宋体"/>
                <w:kern w:val="0"/>
                <w:sz w:val="18"/>
                <w:szCs w:val="18"/>
                <w:highlight w:val="none"/>
              </w:rPr>
              <w:t>鉴于以上情况，经公司审慎评估，为更科学、有效地使用募集资金，提升公司盈利能力，维护公司及全体股东的利益，对原募投项目“智能成套电气设备产业基地建设项目”募集资金投资金额进行调减，并将资金用于投入“智控设备及金属制品智能工厂建设项目（一期）”</w:t>
            </w:r>
          </w:p>
          <w:p w14:paraId="484E5E51">
            <w:pPr>
              <w:widowControl/>
              <w:snapToGrid w:val="0"/>
              <w:spacing w:before="50" w:line="360" w:lineRule="auto"/>
              <w:ind w:firstLine="361" w:firstLineChars="200"/>
              <w:jc w:val="left"/>
              <w:rPr>
                <w:rFonts w:hint="eastAsia" w:ascii="宋体" w:hAnsi="宋体" w:cs="宋体"/>
                <w:b/>
                <w:bCs/>
                <w:kern w:val="0"/>
                <w:sz w:val="18"/>
                <w:szCs w:val="18"/>
                <w:highlight w:val="none"/>
              </w:rPr>
            </w:pPr>
            <w:r>
              <w:rPr>
                <w:rFonts w:hint="eastAsia" w:ascii="宋体" w:hAnsi="宋体" w:cs="宋体"/>
                <w:b/>
                <w:bCs/>
                <w:kern w:val="0"/>
                <w:sz w:val="18"/>
                <w:szCs w:val="18"/>
                <w:highlight w:val="none"/>
              </w:rPr>
              <w:t>决策程序：</w:t>
            </w:r>
          </w:p>
          <w:p w14:paraId="5F8AE4ED">
            <w:pPr>
              <w:widowControl/>
              <w:snapToGrid w:val="0"/>
              <w:spacing w:before="50" w:line="360" w:lineRule="auto"/>
              <w:ind w:firstLine="360" w:firstLineChars="200"/>
              <w:jc w:val="left"/>
              <w:rPr>
                <w:rFonts w:hint="eastAsia" w:ascii="宋体" w:hAnsi="宋体" w:cs="宋体"/>
                <w:kern w:val="0"/>
                <w:sz w:val="18"/>
                <w:szCs w:val="18"/>
                <w:highlight w:val="none"/>
              </w:rPr>
            </w:pPr>
            <w:r>
              <w:rPr>
                <w:rFonts w:hint="eastAsia" w:ascii="宋体" w:hAnsi="宋体" w:cs="宋体"/>
                <w:kern w:val="0"/>
                <w:sz w:val="18"/>
                <w:szCs w:val="18"/>
                <w:highlight w:val="none"/>
              </w:rPr>
              <w:t>本次变更部分募集资金用途并实施新募投项目事宜已经公司2023年10月25日召开的第三届董事会第十八次会议及第三届监事会第十六次会议审议通过，并已经2023年11月13日召开的2023年第二次临时股东大会决议通过。</w:t>
            </w:r>
          </w:p>
          <w:p w14:paraId="492A45FE">
            <w:pPr>
              <w:widowControl/>
              <w:snapToGrid w:val="0"/>
              <w:spacing w:before="50" w:line="360" w:lineRule="auto"/>
              <w:ind w:firstLine="361" w:firstLineChars="200"/>
              <w:jc w:val="left"/>
              <w:rPr>
                <w:rFonts w:hint="eastAsia" w:ascii="宋体" w:hAnsi="宋体" w:cs="宋体"/>
                <w:b/>
                <w:bCs/>
                <w:kern w:val="0"/>
                <w:sz w:val="18"/>
                <w:szCs w:val="18"/>
                <w:highlight w:val="none"/>
              </w:rPr>
            </w:pPr>
            <w:r>
              <w:rPr>
                <w:rFonts w:hint="eastAsia" w:ascii="宋体" w:hAnsi="宋体" w:cs="宋体"/>
                <w:b/>
                <w:bCs/>
                <w:kern w:val="0"/>
                <w:sz w:val="18"/>
                <w:szCs w:val="18"/>
                <w:highlight w:val="none"/>
              </w:rPr>
              <w:t>信息披露情况：</w:t>
            </w:r>
          </w:p>
          <w:p w14:paraId="3842F648">
            <w:pPr>
              <w:widowControl/>
              <w:snapToGrid w:val="0"/>
              <w:spacing w:before="50" w:line="360" w:lineRule="auto"/>
              <w:ind w:firstLine="360" w:firstLineChars="200"/>
              <w:jc w:val="left"/>
              <w:rPr>
                <w:rFonts w:hint="eastAsia" w:ascii="宋体" w:hAnsi="宋体" w:cs="宋体"/>
                <w:kern w:val="0"/>
                <w:sz w:val="18"/>
                <w:szCs w:val="18"/>
                <w:highlight w:val="none"/>
              </w:rPr>
            </w:pPr>
            <w:r>
              <w:rPr>
                <w:rFonts w:hint="eastAsia" w:ascii="宋体" w:hAnsi="宋体" w:cs="宋体"/>
                <w:kern w:val="0"/>
                <w:sz w:val="18"/>
                <w:szCs w:val="18"/>
                <w:highlight w:val="none"/>
              </w:rPr>
              <w:t>2023年10月27日已对本次变更部分募集资金用途并实施新募投项目事宜进行公告；</w:t>
            </w:r>
          </w:p>
          <w:p w14:paraId="33C8E10F">
            <w:pPr>
              <w:widowControl/>
              <w:snapToGrid w:val="0"/>
              <w:spacing w:before="50" w:line="360" w:lineRule="auto"/>
              <w:ind w:firstLine="360" w:firstLineChars="200"/>
              <w:jc w:val="left"/>
              <w:rPr>
                <w:rFonts w:hint="eastAsia" w:ascii="宋体" w:hAnsi="宋体" w:cs="宋体"/>
                <w:kern w:val="0"/>
                <w:sz w:val="18"/>
                <w:szCs w:val="18"/>
                <w:highlight w:val="none"/>
              </w:rPr>
            </w:pPr>
            <w:r>
              <w:rPr>
                <w:rFonts w:hint="eastAsia" w:ascii="宋体" w:hAnsi="宋体" w:cs="宋体"/>
                <w:kern w:val="0"/>
                <w:sz w:val="18"/>
                <w:szCs w:val="18"/>
                <w:highlight w:val="none"/>
              </w:rPr>
              <w:t>2023年10月27日已对中信证券股份有限公司关于望变电气关于变更部分募集资金用途投入新项目的核查意见进行公告；</w:t>
            </w:r>
          </w:p>
          <w:p w14:paraId="1C77344B">
            <w:pPr>
              <w:widowControl/>
              <w:snapToGrid w:val="0"/>
              <w:spacing w:before="50" w:line="360" w:lineRule="auto"/>
              <w:ind w:firstLine="360" w:firstLineChars="200"/>
              <w:jc w:val="left"/>
              <w:rPr>
                <w:rFonts w:hint="eastAsia" w:ascii="宋体" w:hAnsi="宋体" w:cs="宋体"/>
                <w:kern w:val="0"/>
                <w:sz w:val="18"/>
                <w:szCs w:val="18"/>
                <w:highlight w:val="none"/>
              </w:rPr>
            </w:pPr>
            <w:r>
              <w:rPr>
                <w:rFonts w:hint="eastAsia" w:ascii="宋体" w:hAnsi="宋体" w:cs="宋体"/>
                <w:kern w:val="0"/>
                <w:sz w:val="18"/>
                <w:szCs w:val="18"/>
                <w:highlight w:val="none"/>
              </w:rPr>
              <w:t>2023年11月02日已对中信证券股份有限公司关于望变电气关于</w:t>
            </w:r>
            <w:r>
              <w:rPr>
                <w:rFonts w:ascii="宋体" w:hAnsi="宋体" w:cs="宋体"/>
                <w:kern w:val="0"/>
                <w:sz w:val="18"/>
                <w:szCs w:val="18"/>
                <w:highlight w:val="none"/>
              </w:rPr>
              <w:t>变更</w:t>
            </w:r>
            <w:r>
              <w:rPr>
                <w:rFonts w:hint="eastAsia" w:ascii="宋体" w:hAnsi="宋体" w:cs="宋体"/>
                <w:kern w:val="0"/>
                <w:sz w:val="18"/>
                <w:szCs w:val="18"/>
                <w:highlight w:val="none"/>
              </w:rPr>
              <w:t>部分募集资金用途投入新项目的核查意见（更新后）进行公告。</w:t>
            </w:r>
          </w:p>
        </w:tc>
      </w:tr>
      <w:tr w14:paraId="15F46CA2">
        <w:trPr>
          <w:trHeight w:val="850" w:hRule="atLeast"/>
        </w:trPr>
        <w:tc>
          <w:tcPr>
            <w:tcW w:w="5812" w:type="dxa"/>
            <w:gridSpan w:val="4"/>
            <w:vAlign w:val="center"/>
          </w:tcPr>
          <w:p w14:paraId="2CDD828C">
            <w:pPr>
              <w:widowControl/>
              <w:snapToGrid w:val="0"/>
              <w:rPr>
                <w:rFonts w:hint="eastAsia" w:ascii="宋体" w:hAnsi="宋体" w:cs="宋体"/>
                <w:kern w:val="0"/>
                <w:sz w:val="18"/>
                <w:szCs w:val="18"/>
                <w:highlight w:val="none"/>
              </w:rPr>
            </w:pPr>
            <w:r>
              <w:rPr>
                <w:rFonts w:hint="eastAsia" w:ascii="宋体" w:hAnsi="宋体" w:cs="宋体"/>
                <w:kern w:val="0"/>
                <w:sz w:val="18"/>
                <w:szCs w:val="18"/>
                <w:highlight w:val="none"/>
              </w:rPr>
              <w:t>未达到计划进度的情况和原因（分具体募投项目）</w:t>
            </w:r>
          </w:p>
        </w:tc>
        <w:tc>
          <w:tcPr>
            <w:tcW w:w="7371" w:type="dxa"/>
            <w:gridSpan w:val="7"/>
            <w:vAlign w:val="center"/>
          </w:tcPr>
          <w:p w14:paraId="47F60464">
            <w:pPr>
              <w:widowControl/>
              <w:snapToGrid w:val="0"/>
              <w:jc w:val="left"/>
              <w:rPr>
                <w:rFonts w:hint="eastAsia" w:ascii="宋体" w:hAnsi="宋体" w:cs="宋体"/>
                <w:kern w:val="0"/>
                <w:sz w:val="18"/>
                <w:szCs w:val="18"/>
                <w:highlight w:val="none"/>
              </w:rPr>
            </w:pPr>
            <w:r>
              <w:rPr>
                <w:rFonts w:hint="eastAsia" w:ascii="宋体" w:hAnsi="宋体" w:cs="宋体"/>
                <w:kern w:val="0"/>
                <w:sz w:val="18"/>
                <w:szCs w:val="18"/>
                <w:highlight w:val="none"/>
              </w:rPr>
              <w:t>不适用</w:t>
            </w:r>
          </w:p>
        </w:tc>
      </w:tr>
      <w:tr w14:paraId="5A086893">
        <w:trPr>
          <w:trHeight w:val="850" w:hRule="atLeast"/>
        </w:trPr>
        <w:tc>
          <w:tcPr>
            <w:tcW w:w="5812" w:type="dxa"/>
            <w:gridSpan w:val="4"/>
            <w:vAlign w:val="center"/>
          </w:tcPr>
          <w:p w14:paraId="02A67538">
            <w:pPr>
              <w:widowControl/>
              <w:snapToGrid w:val="0"/>
              <w:rPr>
                <w:rFonts w:hint="eastAsia" w:ascii="宋体" w:hAnsi="宋体" w:cs="宋体"/>
                <w:kern w:val="0"/>
                <w:sz w:val="18"/>
                <w:szCs w:val="18"/>
                <w:highlight w:val="none"/>
              </w:rPr>
            </w:pPr>
            <w:r>
              <w:rPr>
                <w:rFonts w:hint="eastAsia" w:ascii="宋体" w:hAnsi="宋体" w:cs="宋体"/>
                <w:kern w:val="0"/>
                <w:sz w:val="18"/>
                <w:szCs w:val="18"/>
                <w:highlight w:val="none"/>
              </w:rPr>
              <w:t>变更后的项目可行性发生重大变化的情况说明</w:t>
            </w:r>
          </w:p>
        </w:tc>
        <w:tc>
          <w:tcPr>
            <w:tcW w:w="7371" w:type="dxa"/>
            <w:gridSpan w:val="7"/>
            <w:vAlign w:val="center"/>
          </w:tcPr>
          <w:p w14:paraId="0FBAE00C">
            <w:pPr>
              <w:widowControl/>
              <w:snapToGrid w:val="0"/>
              <w:jc w:val="left"/>
              <w:rPr>
                <w:rFonts w:hint="eastAsia" w:ascii="宋体" w:hAnsi="宋体"/>
                <w:kern w:val="0"/>
                <w:sz w:val="18"/>
                <w:szCs w:val="18"/>
                <w:highlight w:val="none"/>
              </w:rPr>
            </w:pPr>
            <w:r>
              <w:rPr>
                <w:rFonts w:hint="eastAsia" w:ascii="宋体" w:hAnsi="宋体"/>
                <w:kern w:val="0"/>
                <w:sz w:val="18"/>
                <w:szCs w:val="18"/>
                <w:highlight w:val="none"/>
              </w:rPr>
              <w:t>不适用</w:t>
            </w:r>
          </w:p>
        </w:tc>
      </w:tr>
    </w:tbl>
    <w:p w14:paraId="0D7F2C91">
      <w:pPr>
        <w:pStyle w:val="4"/>
        <w:snapToGrid w:val="0"/>
        <w:ind w:firstLine="0"/>
        <w:rPr>
          <w:rFonts w:hint="eastAsia" w:ascii="宋体" w:hAnsi="宋体"/>
          <w:szCs w:val="21"/>
          <w:highlight w:val="none"/>
        </w:rPr>
      </w:pPr>
    </w:p>
    <w:sectPr>
      <w:pgSz w:w="16840" w:h="11907" w:orient="landscape"/>
      <w:pgMar w:top="1797" w:right="2155" w:bottom="1797" w:left="1440" w:header="851" w:footer="992" w:gutter="0"/>
      <w:cols w:space="425" w:num="1"/>
      <w:docGrid w:linePitch="435"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E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7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609020205020404"/>
    <w:charset w:val="01"/>
    <w:family w:val="modern"/>
    <w:pitch w:val="default"/>
    <w:sig w:usb0="E0002AFF" w:usb1="C0007843" w:usb2="00000009" w:usb3="00000000" w:csb0="400001FF" w:csb1="FFFF0000"/>
  </w:font>
  <w:font w:name="Symbol">
    <w:altName w:val="Kingsoft Sign"/>
    <w:panose1 w:val="05050102010706020507"/>
    <w:charset w:val="02"/>
    <w:family w:val="roman"/>
    <w:pitch w:val="default"/>
    <w:sig w:usb0="00000000" w:usb1="00000000" w:usb2="00000000" w:usb3="00000000" w:csb0="80000000" w:csb1="00000000"/>
  </w:font>
  <w:font w:name="Calibri">
    <w:altName w:val="Helvetica Neue"/>
    <w:panose1 w:val="020F0502020204030204"/>
    <w:charset w:val="00"/>
    <w:family w:val="swiss"/>
    <w:pitch w:val="default"/>
    <w:sig w:usb0="00000000" w:usb1="00000000" w:usb2="00000001" w:usb3="00000000" w:csb0="0000019F" w:csb1="00000000"/>
  </w:font>
  <w:font w:name="SimSun">
    <w:panose1 w:val="02010600030101010101"/>
    <w:charset w:val="86"/>
    <w:family w:val="auto"/>
    <w:pitch w:val="default"/>
    <w:sig w:usb0="00000003" w:usb1="288F0000" w:usb2="00000006" w:usb3="00000000" w:csb0="00040001" w:csb1="00000000"/>
  </w:font>
  <w:font w:name="Times New Roman Bold">
    <w:panose1 w:val="02020603050405020304"/>
    <w:charset w:val="00"/>
    <w:family w:val="auto"/>
    <w:pitch w:val="default"/>
    <w:sig w:usb0="E0002AEF" w:usb1="C0007841" w:usb2="00000009" w:usb3="00000000" w:csb0="400001FF" w:csb1="FFFF0000"/>
  </w:font>
  <w:font w:name="SimHei">
    <w:panose1 w:val="02010609060101010101"/>
    <w:charset w:val="86"/>
    <w:family w:val="auto"/>
    <w:pitch w:val="default"/>
    <w:sig w:usb0="800002BF" w:usb1="38CF7CFA" w:usb2="00000016" w:usb3="00000000" w:csb0="00040001" w:csb1="00000000"/>
  </w:font>
  <w:font w:name="Arial Narrow">
    <w:panose1 w:val="020B0706020202030204"/>
    <w:charset w:val="00"/>
    <w:family w:val="swiss"/>
    <w:pitch w:val="default"/>
    <w:sig w:usb0="00000287" w:usb1="00000800" w:usb2="00000000" w:usb3="00000000" w:csb0="2000009F" w:csb1="DFD70000"/>
  </w:font>
  <w:font w:name="PingFang SC">
    <w:panose1 w:val="020B0400000000000000"/>
    <w:charset w:val="86"/>
    <w:family w:val="auto"/>
    <w:pitch w:val="default"/>
    <w:sig w:usb0="A00002FF" w:usb1="7ACFFDFB" w:usb2="00000017" w:usb3="00000000" w:csb0="00040001" w:csb1="00000000"/>
  </w:font>
  <w:font w:name="Tahoma">
    <w:panose1 w:val="020B0804030504040204"/>
    <w:charset w:val="00"/>
    <w:family w:val="auto"/>
    <w:pitch w:val="default"/>
    <w:sig w:usb0="E1002AFF" w:usb1="C000605B" w:usb2="00000029" w:usb3="00000000" w:csb0="200101FF" w:csb1="20280000"/>
  </w:font>
  <w:font w:name="Kingsoft Sign">
    <w:panose1 w:val="05050102010706020507"/>
    <w:charset w:val="00"/>
    <w:family w:val="auto"/>
    <w:pitch w:val="default"/>
    <w:sig w:usb0="00000000" w:usb1="10000000" w:usb2="00000000" w:usb3="00000000" w:csb0="00000001" w:csb1="00000000"/>
  </w:font>
  <w:font w:name="Helvetica Neue">
    <w:panose1 w:val="02000503000000020004"/>
    <w:charset w:val="00"/>
    <w:family w:val="auto"/>
    <w:pitch w:val="default"/>
    <w:sig w:usb0="E50002FF" w:usb1="500079DB" w:usb2="0000001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0CAC1D">
    <w:pPr>
      <w:pStyle w:val="7"/>
      <w:jc w:val="center"/>
      <w:rPr>
        <w:rFonts w:hint="eastAsia" w:ascii="宋体" w:hAnsi="宋体"/>
      </w:rPr>
    </w:pPr>
    <w:r>
      <w:rPr>
        <w:rFonts w:hint="eastAsia" w:ascii="宋体" w:hAnsi="宋体"/>
      </w:rPr>
      <w:t>专项报告 第</w:t>
    </w:r>
    <w:r>
      <w:rPr>
        <w:rFonts w:ascii="宋体" w:hAnsi="宋体"/>
      </w:rPr>
      <w:fldChar w:fldCharType="begin"/>
    </w:r>
    <w:r>
      <w:rPr>
        <w:rFonts w:ascii="宋体" w:hAnsi="宋体"/>
      </w:rPr>
      <w:instrText xml:space="preserve"> PAGE   \* MERGEFORMAT </w:instrText>
    </w:r>
    <w:r>
      <w:rPr>
        <w:rFonts w:ascii="宋体" w:hAnsi="宋体"/>
      </w:rPr>
      <w:fldChar w:fldCharType="separate"/>
    </w:r>
    <w:r>
      <w:rPr>
        <w:rFonts w:ascii="宋体" w:hAnsi="宋体"/>
        <w:lang w:val="zh-CN"/>
      </w:rPr>
      <w:t>10</w:t>
    </w:r>
    <w:r>
      <w:rPr>
        <w:rFonts w:ascii="宋体" w:hAnsi="宋体"/>
      </w:rPr>
      <w:fldChar w:fldCharType="end"/>
    </w:r>
    <w:r>
      <w:rPr>
        <w:rFonts w:hint="eastAsia" w:ascii="宋体" w:hAnsi="宋体"/>
      </w:rPr>
      <w:t>页</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2816894">
    <w:pPr>
      <w:pStyle w:val="8"/>
      <w:jc w:val="left"/>
      <w:rPr>
        <w:rFonts w:hint="eastAsia" w:ascii="宋体" w:hAnsi="宋体"/>
      </w:rPr>
    </w:pPr>
    <w:r>
      <w:rPr>
        <w:rFonts w:hint="eastAsia" w:ascii="宋体" w:hAnsi="宋体"/>
      </w:rPr>
      <w:t>重庆望变电气（集团）股份有限公司</w:t>
    </w:r>
  </w:p>
  <w:p w14:paraId="16D8BA8D">
    <w:pPr>
      <w:pStyle w:val="8"/>
      <w:jc w:val="left"/>
      <w:rPr>
        <w:rFonts w:hint="eastAsia" w:ascii="宋体" w:hAnsi="宋体"/>
      </w:rPr>
    </w:pPr>
    <w:r>
      <w:rPr>
        <w:rFonts w:hint="eastAsia" w:ascii="宋体" w:hAnsi="宋体"/>
      </w:rPr>
      <w:t>2024半年度</w:t>
    </w:r>
  </w:p>
  <w:p w14:paraId="01CF13B8">
    <w:pPr>
      <w:pStyle w:val="8"/>
      <w:jc w:val="left"/>
      <w:rPr>
        <w:rFonts w:hint="eastAsia" w:ascii="宋体" w:hAnsi="宋体"/>
      </w:rPr>
    </w:pPr>
    <w:r>
      <w:rPr>
        <w:rFonts w:hint="eastAsia" w:ascii="宋体" w:hAnsi="宋体"/>
      </w:rPr>
      <w:t>募集资金存放与使用情况专项报告</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doNotDisplayPageBoundaries w:val="1"/>
  <w:bordersDoNotSurroundHeader w:val="0"/>
  <w:bordersDoNotSurroundFooter w:val="0"/>
  <w:documentProtection w:enforcement="0"/>
  <w:defaultTabStop w:val="0"/>
  <w:drawingGridVerticalSpacing w:val="156"/>
  <w:displayHorizontalDrawingGridEvery w:val="1"/>
  <w:displayVerticalDrawingGridEvery w:val="1"/>
  <w:noPunctuationKerning w:val="1"/>
  <w:characterSpacingControl w:val="compressPunctuation"/>
  <w:noLineBreaksAfter w:lang="zh-CN" w:val="$([{£¥·‘“〈《「『【〔〖〝﹙﹛﹝＄（．［｛￡￥"/>
  <w:noLineBreaksBefore w:lang="zh-CN" w:val="!%),.:;&gt;?]}¢¨°·ˇˉ―‖’”…‰′″›℃∶、。〃〉》」』】〕〗〞︶︺︾﹀﹄﹚﹜﹞！＂％＇），．：；？］｀｜｝～￠"/>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TdkMTYzODhjYTIzN2VlNWE1ZmU0YTU0NTgxMDI4MDMifQ=="/>
    <w:docVar w:name="KSO_WPS_MARK_KEY" w:val="b8beae5b-748a-41e7-8c52-a18442355f36"/>
  </w:docVars>
  <w:rsids>
    <w:rsidRoot w:val="003416DC"/>
    <w:rsid w:val="000021E5"/>
    <w:rsid w:val="00002705"/>
    <w:rsid w:val="00003133"/>
    <w:rsid w:val="00011569"/>
    <w:rsid w:val="0001789D"/>
    <w:rsid w:val="0002170E"/>
    <w:rsid w:val="00021840"/>
    <w:rsid w:val="000223E3"/>
    <w:rsid w:val="0002529C"/>
    <w:rsid w:val="00026C0D"/>
    <w:rsid w:val="00036685"/>
    <w:rsid w:val="000369A8"/>
    <w:rsid w:val="00037087"/>
    <w:rsid w:val="00040C72"/>
    <w:rsid w:val="00040E94"/>
    <w:rsid w:val="00044684"/>
    <w:rsid w:val="00046FC8"/>
    <w:rsid w:val="00051AC0"/>
    <w:rsid w:val="00055348"/>
    <w:rsid w:val="00055A16"/>
    <w:rsid w:val="00056327"/>
    <w:rsid w:val="00060B11"/>
    <w:rsid w:val="0006471A"/>
    <w:rsid w:val="00064F6D"/>
    <w:rsid w:val="00070C9A"/>
    <w:rsid w:val="000739FD"/>
    <w:rsid w:val="00074B21"/>
    <w:rsid w:val="00074E05"/>
    <w:rsid w:val="000756C2"/>
    <w:rsid w:val="00082BA3"/>
    <w:rsid w:val="00084926"/>
    <w:rsid w:val="000854B5"/>
    <w:rsid w:val="00091968"/>
    <w:rsid w:val="00092358"/>
    <w:rsid w:val="00092F0E"/>
    <w:rsid w:val="000943CF"/>
    <w:rsid w:val="0009451B"/>
    <w:rsid w:val="00096E5E"/>
    <w:rsid w:val="000A1FE0"/>
    <w:rsid w:val="000A40B2"/>
    <w:rsid w:val="000A5CF3"/>
    <w:rsid w:val="000A672B"/>
    <w:rsid w:val="000A775F"/>
    <w:rsid w:val="000B0173"/>
    <w:rsid w:val="000B1842"/>
    <w:rsid w:val="000B246A"/>
    <w:rsid w:val="000B2879"/>
    <w:rsid w:val="000B3232"/>
    <w:rsid w:val="000B5CED"/>
    <w:rsid w:val="000B61D1"/>
    <w:rsid w:val="000B6760"/>
    <w:rsid w:val="000B6A02"/>
    <w:rsid w:val="000C24F0"/>
    <w:rsid w:val="000D280C"/>
    <w:rsid w:val="000D34ED"/>
    <w:rsid w:val="000D52D5"/>
    <w:rsid w:val="000D75BB"/>
    <w:rsid w:val="000E106D"/>
    <w:rsid w:val="000E345E"/>
    <w:rsid w:val="000E6E62"/>
    <w:rsid w:val="000F002D"/>
    <w:rsid w:val="000F0384"/>
    <w:rsid w:val="000F3D31"/>
    <w:rsid w:val="000F5330"/>
    <w:rsid w:val="000F55E2"/>
    <w:rsid w:val="000F5B6C"/>
    <w:rsid w:val="000F70CC"/>
    <w:rsid w:val="000F76D8"/>
    <w:rsid w:val="000F7A70"/>
    <w:rsid w:val="001024A6"/>
    <w:rsid w:val="00102FCB"/>
    <w:rsid w:val="00103346"/>
    <w:rsid w:val="00104FA8"/>
    <w:rsid w:val="00111541"/>
    <w:rsid w:val="00113A5E"/>
    <w:rsid w:val="00113C7E"/>
    <w:rsid w:val="001150C2"/>
    <w:rsid w:val="00115711"/>
    <w:rsid w:val="00116C90"/>
    <w:rsid w:val="00117CBD"/>
    <w:rsid w:val="00121DE0"/>
    <w:rsid w:val="001247CF"/>
    <w:rsid w:val="00124EC8"/>
    <w:rsid w:val="00126CAD"/>
    <w:rsid w:val="001313B1"/>
    <w:rsid w:val="001316CA"/>
    <w:rsid w:val="0013222E"/>
    <w:rsid w:val="0013245E"/>
    <w:rsid w:val="001365F3"/>
    <w:rsid w:val="00136BC9"/>
    <w:rsid w:val="00141CEC"/>
    <w:rsid w:val="00142D38"/>
    <w:rsid w:val="00144084"/>
    <w:rsid w:val="00150728"/>
    <w:rsid w:val="00150913"/>
    <w:rsid w:val="00151B96"/>
    <w:rsid w:val="00152C12"/>
    <w:rsid w:val="00153503"/>
    <w:rsid w:val="001548AD"/>
    <w:rsid w:val="001556A8"/>
    <w:rsid w:val="001568DB"/>
    <w:rsid w:val="00157CCF"/>
    <w:rsid w:val="001604B0"/>
    <w:rsid w:val="0016129A"/>
    <w:rsid w:val="00162364"/>
    <w:rsid w:val="00164339"/>
    <w:rsid w:val="00164C99"/>
    <w:rsid w:val="00165D64"/>
    <w:rsid w:val="00166DB7"/>
    <w:rsid w:val="00166DDA"/>
    <w:rsid w:val="00170E0A"/>
    <w:rsid w:val="00174005"/>
    <w:rsid w:val="00177909"/>
    <w:rsid w:val="00177F82"/>
    <w:rsid w:val="00180D86"/>
    <w:rsid w:val="001837F2"/>
    <w:rsid w:val="00186000"/>
    <w:rsid w:val="00186BB5"/>
    <w:rsid w:val="00191086"/>
    <w:rsid w:val="0019269D"/>
    <w:rsid w:val="00196C45"/>
    <w:rsid w:val="00197886"/>
    <w:rsid w:val="001A2F1B"/>
    <w:rsid w:val="001A3AAD"/>
    <w:rsid w:val="001A4DE9"/>
    <w:rsid w:val="001A5DD3"/>
    <w:rsid w:val="001A6EDC"/>
    <w:rsid w:val="001A7706"/>
    <w:rsid w:val="001B0ECA"/>
    <w:rsid w:val="001B174D"/>
    <w:rsid w:val="001B181F"/>
    <w:rsid w:val="001B2373"/>
    <w:rsid w:val="001B4980"/>
    <w:rsid w:val="001C05AE"/>
    <w:rsid w:val="001C1B53"/>
    <w:rsid w:val="001C1C18"/>
    <w:rsid w:val="001C4557"/>
    <w:rsid w:val="001C4FCC"/>
    <w:rsid w:val="001C5999"/>
    <w:rsid w:val="001C64A6"/>
    <w:rsid w:val="001D26D4"/>
    <w:rsid w:val="001D31CB"/>
    <w:rsid w:val="001D3C98"/>
    <w:rsid w:val="001D4964"/>
    <w:rsid w:val="001D4C4A"/>
    <w:rsid w:val="001D4D11"/>
    <w:rsid w:val="001E0993"/>
    <w:rsid w:val="001E3BDD"/>
    <w:rsid w:val="001E65F9"/>
    <w:rsid w:val="001F30E4"/>
    <w:rsid w:val="001F3DC7"/>
    <w:rsid w:val="001F54EB"/>
    <w:rsid w:val="0020181B"/>
    <w:rsid w:val="002079E7"/>
    <w:rsid w:val="00212BD2"/>
    <w:rsid w:val="00213353"/>
    <w:rsid w:val="0021438D"/>
    <w:rsid w:val="002171FB"/>
    <w:rsid w:val="0021796B"/>
    <w:rsid w:val="00220E83"/>
    <w:rsid w:val="00224F34"/>
    <w:rsid w:val="00227BF5"/>
    <w:rsid w:val="00230A38"/>
    <w:rsid w:val="00232335"/>
    <w:rsid w:val="00233359"/>
    <w:rsid w:val="00233F7B"/>
    <w:rsid w:val="00235424"/>
    <w:rsid w:val="00244520"/>
    <w:rsid w:val="00246703"/>
    <w:rsid w:val="00246AA6"/>
    <w:rsid w:val="0025744B"/>
    <w:rsid w:val="00257FBF"/>
    <w:rsid w:val="00260C77"/>
    <w:rsid w:val="00261C96"/>
    <w:rsid w:val="00264165"/>
    <w:rsid w:val="002652AC"/>
    <w:rsid w:val="00270966"/>
    <w:rsid w:val="002730A1"/>
    <w:rsid w:val="00273CF6"/>
    <w:rsid w:val="00274969"/>
    <w:rsid w:val="00277388"/>
    <w:rsid w:val="00277F3E"/>
    <w:rsid w:val="0028012F"/>
    <w:rsid w:val="00280517"/>
    <w:rsid w:val="00281F49"/>
    <w:rsid w:val="00282AE2"/>
    <w:rsid w:val="002840D5"/>
    <w:rsid w:val="00287F19"/>
    <w:rsid w:val="00290009"/>
    <w:rsid w:val="00291C79"/>
    <w:rsid w:val="002A4E3B"/>
    <w:rsid w:val="002A7B2D"/>
    <w:rsid w:val="002B20FE"/>
    <w:rsid w:val="002B59DD"/>
    <w:rsid w:val="002B74AF"/>
    <w:rsid w:val="002C013D"/>
    <w:rsid w:val="002C03AB"/>
    <w:rsid w:val="002C47CA"/>
    <w:rsid w:val="002C4FE3"/>
    <w:rsid w:val="002E1C27"/>
    <w:rsid w:val="002E2921"/>
    <w:rsid w:val="002E2A45"/>
    <w:rsid w:val="002E35E7"/>
    <w:rsid w:val="002E7694"/>
    <w:rsid w:val="002F1377"/>
    <w:rsid w:val="002F3977"/>
    <w:rsid w:val="002F47AE"/>
    <w:rsid w:val="002F6A38"/>
    <w:rsid w:val="00300FB7"/>
    <w:rsid w:val="00301FA3"/>
    <w:rsid w:val="00302423"/>
    <w:rsid w:val="003033FC"/>
    <w:rsid w:val="00303427"/>
    <w:rsid w:val="00311C47"/>
    <w:rsid w:val="00314C6A"/>
    <w:rsid w:val="00315251"/>
    <w:rsid w:val="00320BF9"/>
    <w:rsid w:val="0032443A"/>
    <w:rsid w:val="00325AA1"/>
    <w:rsid w:val="00326DB2"/>
    <w:rsid w:val="0032788B"/>
    <w:rsid w:val="00327932"/>
    <w:rsid w:val="003279F0"/>
    <w:rsid w:val="00330BF3"/>
    <w:rsid w:val="00333B29"/>
    <w:rsid w:val="00335DD4"/>
    <w:rsid w:val="003377D7"/>
    <w:rsid w:val="003416DC"/>
    <w:rsid w:val="003419DE"/>
    <w:rsid w:val="0034763B"/>
    <w:rsid w:val="00347CA9"/>
    <w:rsid w:val="00352A35"/>
    <w:rsid w:val="00352A6C"/>
    <w:rsid w:val="003551CE"/>
    <w:rsid w:val="0035544B"/>
    <w:rsid w:val="0035697C"/>
    <w:rsid w:val="003579A2"/>
    <w:rsid w:val="0036064D"/>
    <w:rsid w:val="003617E1"/>
    <w:rsid w:val="00364E51"/>
    <w:rsid w:val="00371243"/>
    <w:rsid w:val="00377216"/>
    <w:rsid w:val="00380A0C"/>
    <w:rsid w:val="003828A9"/>
    <w:rsid w:val="00383B1C"/>
    <w:rsid w:val="00384B5D"/>
    <w:rsid w:val="003853CD"/>
    <w:rsid w:val="00386FA9"/>
    <w:rsid w:val="0039095C"/>
    <w:rsid w:val="00393B73"/>
    <w:rsid w:val="00393BD8"/>
    <w:rsid w:val="00396742"/>
    <w:rsid w:val="00396DF5"/>
    <w:rsid w:val="00397077"/>
    <w:rsid w:val="003A5669"/>
    <w:rsid w:val="003A7619"/>
    <w:rsid w:val="003B2DD2"/>
    <w:rsid w:val="003B4034"/>
    <w:rsid w:val="003B4F85"/>
    <w:rsid w:val="003B573A"/>
    <w:rsid w:val="003B6615"/>
    <w:rsid w:val="003B7741"/>
    <w:rsid w:val="003C177C"/>
    <w:rsid w:val="003C4236"/>
    <w:rsid w:val="003C4303"/>
    <w:rsid w:val="003C48B8"/>
    <w:rsid w:val="003C578A"/>
    <w:rsid w:val="003C66D9"/>
    <w:rsid w:val="003D289A"/>
    <w:rsid w:val="003D2C37"/>
    <w:rsid w:val="003D6109"/>
    <w:rsid w:val="003D6D56"/>
    <w:rsid w:val="003E0B39"/>
    <w:rsid w:val="003E697E"/>
    <w:rsid w:val="003E6ABC"/>
    <w:rsid w:val="003E6D72"/>
    <w:rsid w:val="003F1E99"/>
    <w:rsid w:val="003F28B6"/>
    <w:rsid w:val="003F7DCD"/>
    <w:rsid w:val="0040113C"/>
    <w:rsid w:val="004026E3"/>
    <w:rsid w:val="004027E8"/>
    <w:rsid w:val="004067DC"/>
    <w:rsid w:val="00406B70"/>
    <w:rsid w:val="004104D3"/>
    <w:rsid w:val="004113F9"/>
    <w:rsid w:val="00413FA4"/>
    <w:rsid w:val="004152B5"/>
    <w:rsid w:val="004154FC"/>
    <w:rsid w:val="00416EC4"/>
    <w:rsid w:val="00417589"/>
    <w:rsid w:val="004201CA"/>
    <w:rsid w:val="00424C46"/>
    <w:rsid w:val="0042555F"/>
    <w:rsid w:val="00425A4A"/>
    <w:rsid w:val="004273DD"/>
    <w:rsid w:val="00430471"/>
    <w:rsid w:val="00430576"/>
    <w:rsid w:val="00431DD7"/>
    <w:rsid w:val="004321DE"/>
    <w:rsid w:val="00434A79"/>
    <w:rsid w:val="00435E26"/>
    <w:rsid w:val="00446655"/>
    <w:rsid w:val="00450135"/>
    <w:rsid w:val="004506B5"/>
    <w:rsid w:val="00450C23"/>
    <w:rsid w:val="00450D37"/>
    <w:rsid w:val="0045180F"/>
    <w:rsid w:val="004534F5"/>
    <w:rsid w:val="00453D55"/>
    <w:rsid w:val="004567F5"/>
    <w:rsid w:val="00462212"/>
    <w:rsid w:val="0046225A"/>
    <w:rsid w:val="00462878"/>
    <w:rsid w:val="00462EC4"/>
    <w:rsid w:val="0046705F"/>
    <w:rsid w:val="00470B3F"/>
    <w:rsid w:val="00471659"/>
    <w:rsid w:val="00472857"/>
    <w:rsid w:val="00474297"/>
    <w:rsid w:val="004753B6"/>
    <w:rsid w:val="00481B24"/>
    <w:rsid w:val="0048228C"/>
    <w:rsid w:val="00482841"/>
    <w:rsid w:val="00482E44"/>
    <w:rsid w:val="004862FA"/>
    <w:rsid w:val="00487F67"/>
    <w:rsid w:val="00491C86"/>
    <w:rsid w:val="00494B25"/>
    <w:rsid w:val="004977D9"/>
    <w:rsid w:val="004A23C6"/>
    <w:rsid w:val="004A2F81"/>
    <w:rsid w:val="004A4B62"/>
    <w:rsid w:val="004A5A90"/>
    <w:rsid w:val="004A5C03"/>
    <w:rsid w:val="004A63C6"/>
    <w:rsid w:val="004A68BA"/>
    <w:rsid w:val="004B2E9F"/>
    <w:rsid w:val="004B6299"/>
    <w:rsid w:val="004C13D3"/>
    <w:rsid w:val="004C1808"/>
    <w:rsid w:val="004C34F2"/>
    <w:rsid w:val="004C3DF2"/>
    <w:rsid w:val="004C57B3"/>
    <w:rsid w:val="004C76E2"/>
    <w:rsid w:val="004D0C82"/>
    <w:rsid w:val="004D2F06"/>
    <w:rsid w:val="004D42D8"/>
    <w:rsid w:val="004D5B1C"/>
    <w:rsid w:val="004D6C41"/>
    <w:rsid w:val="004E0057"/>
    <w:rsid w:val="004E0D20"/>
    <w:rsid w:val="004E18FB"/>
    <w:rsid w:val="004E42BD"/>
    <w:rsid w:val="004E69B0"/>
    <w:rsid w:val="004E7616"/>
    <w:rsid w:val="004F51F6"/>
    <w:rsid w:val="004F7670"/>
    <w:rsid w:val="00504518"/>
    <w:rsid w:val="0050734C"/>
    <w:rsid w:val="0051087A"/>
    <w:rsid w:val="00511D7C"/>
    <w:rsid w:val="00512311"/>
    <w:rsid w:val="00513856"/>
    <w:rsid w:val="00516EF6"/>
    <w:rsid w:val="00517AE6"/>
    <w:rsid w:val="005205F0"/>
    <w:rsid w:val="005207F4"/>
    <w:rsid w:val="00524A64"/>
    <w:rsid w:val="00526A34"/>
    <w:rsid w:val="00527482"/>
    <w:rsid w:val="00527581"/>
    <w:rsid w:val="00527797"/>
    <w:rsid w:val="00531096"/>
    <w:rsid w:val="00532901"/>
    <w:rsid w:val="00542418"/>
    <w:rsid w:val="0054405E"/>
    <w:rsid w:val="00545941"/>
    <w:rsid w:val="00546363"/>
    <w:rsid w:val="00550C44"/>
    <w:rsid w:val="00552D43"/>
    <w:rsid w:val="00554546"/>
    <w:rsid w:val="00555034"/>
    <w:rsid w:val="00555C90"/>
    <w:rsid w:val="00557386"/>
    <w:rsid w:val="00557639"/>
    <w:rsid w:val="00562F88"/>
    <w:rsid w:val="00564888"/>
    <w:rsid w:val="005728E8"/>
    <w:rsid w:val="005733D4"/>
    <w:rsid w:val="005756F1"/>
    <w:rsid w:val="00580F28"/>
    <w:rsid w:val="00582F78"/>
    <w:rsid w:val="00583BE7"/>
    <w:rsid w:val="00587178"/>
    <w:rsid w:val="00593FBF"/>
    <w:rsid w:val="00594268"/>
    <w:rsid w:val="005A2E9A"/>
    <w:rsid w:val="005A67BE"/>
    <w:rsid w:val="005A6B0E"/>
    <w:rsid w:val="005A76B4"/>
    <w:rsid w:val="005B3869"/>
    <w:rsid w:val="005B3B6E"/>
    <w:rsid w:val="005B4BDD"/>
    <w:rsid w:val="005C175E"/>
    <w:rsid w:val="005C7BC4"/>
    <w:rsid w:val="005D08A1"/>
    <w:rsid w:val="005D3127"/>
    <w:rsid w:val="005D3F57"/>
    <w:rsid w:val="005D4785"/>
    <w:rsid w:val="005D5AC2"/>
    <w:rsid w:val="005D74F0"/>
    <w:rsid w:val="005E077A"/>
    <w:rsid w:val="005E1E26"/>
    <w:rsid w:val="005E26F4"/>
    <w:rsid w:val="005E390F"/>
    <w:rsid w:val="005E3F64"/>
    <w:rsid w:val="005E5C35"/>
    <w:rsid w:val="00601D3D"/>
    <w:rsid w:val="006037B1"/>
    <w:rsid w:val="00603AA5"/>
    <w:rsid w:val="006050CF"/>
    <w:rsid w:val="00607594"/>
    <w:rsid w:val="006077E2"/>
    <w:rsid w:val="006101D8"/>
    <w:rsid w:val="006116A8"/>
    <w:rsid w:val="006154E4"/>
    <w:rsid w:val="00622F73"/>
    <w:rsid w:val="006235BE"/>
    <w:rsid w:val="0062455C"/>
    <w:rsid w:val="00625FB5"/>
    <w:rsid w:val="006273B6"/>
    <w:rsid w:val="00627886"/>
    <w:rsid w:val="00630278"/>
    <w:rsid w:val="006317BE"/>
    <w:rsid w:val="006330C6"/>
    <w:rsid w:val="006337B1"/>
    <w:rsid w:val="00634599"/>
    <w:rsid w:val="00635E6A"/>
    <w:rsid w:val="006364CF"/>
    <w:rsid w:val="0063650E"/>
    <w:rsid w:val="00637022"/>
    <w:rsid w:val="00640E69"/>
    <w:rsid w:val="00641BA3"/>
    <w:rsid w:val="00643375"/>
    <w:rsid w:val="00645F5C"/>
    <w:rsid w:val="00651764"/>
    <w:rsid w:val="006537E0"/>
    <w:rsid w:val="00655A39"/>
    <w:rsid w:val="00656DAF"/>
    <w:rsid w:val="00657F70"/>
    <w:rsid w:val="00660227"/>
    <w:rsid w:val="0066581B"/>
    <w:rsid w:val="00665F82"/>
    <w:rsid w:val="00666762"/>
    <w:rsid w:val="006667A6"/>
    <w:rsid w:val="006745D6"/>
    <w:rsid w:val="006755C7"/>
    <w:rsid w:val="00675F67"/>
    <w:rsid w:val="00676E56"/>
    <w:rsid w:val="0067730C"/>
    <w:rsid w:val="00680277"/>
    <w:rsid w:val="00684585"/>
    <w:rsid w:val="0069057F"/>
    <w:rsid w:val="00692D1E"/>
    <w:rsid w:val="00694FFC"/>
    <w:rsid w:val="006A1E76"/>
    <w:rsid w:val="006A3B1F"/>
    <w:rsid w:val="006A62E7"/>
    <w:rsid w:val="006A6914"/>
    <w:rsid w:val="006B0366"/>
    <w:rsid w:val="006B07E2"/>
    <w:rsid w:val="006B0F8B"/>
    <w:rsid w:val="006B1D7A"/>
    <w:rsid w:val="006B3ECE"/>
    <w:rsid w:val="006B424B"/>
    <w:rsid w:val="006C130B"/>
    <w:rsid w:val="006C5322"/>
    <w:rsid w:val="006C69DF"/>
    <w:rsid w:val="006C75FB"/>
    <w:rsid w:val="006D0316"/>
    <w:rsid w:val="006D0717"/>
    <w:rsid w:val="006D09DD"/>
    <w:rsid w:val="006D17F4"/>
    <w:rsid w:val="006D44B6"/>
    <w:rsid w:val="006D45CA"/>
    <w:rsid w:val="006D52BF"/>
    <w:rsid w:val="006D7692"/>
    <w:rsid w:val="006E06D4"/>
    <w:rsid w:val="006E607F"/>
    <w:rsid w:val="006F04B9"/>
    <w:rsid w:val="006F5116"/>
    <w:rsid w:val="006F5F47"/>
    <w:rsid w:val="006F78A3"/>
    <w:rsid w:val="00702640"/>
    <w:rsid w:val="00702FF1"/>
    <w:rsid w:val="0070342A"/>
    <w:rsid w:val="00705298"/>
    <w:rsid w:val="00707595"/>
    <w:rsid w:val="00711C8B"/>
    <w:rsid w:val="00711EAD"/>
    <w:rsid w:val="00714C58"/>
    <w:rsid w:val="00715C36"/>
    <w:rsid w:val="00721055"/>
    <w:rsid w:val="007218F2"/>
    <w:rsid w:val="00721F1B"/>
    <w:rsid w:val="00723F05"/>
    <w:rsid w:val="00723F6E"/>
    <w:rsid w:val="007240B3"/>
    <w:rsid w:val="00725B6A"/>
    <w:rsid w:val="00725ED8"/>
    <w:rsid w:val="007273A2"/>
    <w:rsid w:val="00731BC3"/>
    <w:rsid w:val="007328AF"/>
    <w:rsid w:val="00732BDE"/>
    <w:rsid w:val="00732D27"/>
    <w:rsid w:val="0073548E"/>
    <w:rsid w:val="0073733F"/>
    <w:rsid w:val="00740D3D"/>
    <w:rsid w:val="00741813"/>
    <w:rsid w:val="0074452E"/>
    <w:rsid w:val="00746A33"/>
    <w:rsid w:val="00746D9A"/>
    <w:rsid w:val="0074781B"/>
    <w:rsid w:val="00751AC4"/>
    <w:rsid w:val="0075282A"/>
    <w:rsid w:val="0075348F"/>
    <w:rsid w:val="00753E9D"/>
    <w:rsid w:val="007616B0"/>
    <w:rsid w:val="00762250"/>
    <w:rsid w:val="0076432C"/>
    <w:rsid w:val="00764A1D"/>
    <w:rsid w:val="00765659"/>
    <w:rsid w:val="007741E3"/>
    <w:rsid w:val="007836F4"/>
    <w:rsid w:val="007861A4"/>
    <w:rsid w:val="00786CFE"/>
    <w:rsid w:val="0078735A"/>
    <w:rsid w:val="00787629"/>
    <w:rsid w:val="00787FEE"/>
    <w:rsid w:val="007A020C"/>
    <w:rsid w:val="007A3E05"/>
    <w:rsid w:val="007A41F2"/>
    <w:rsid w:val="007A6A21"/>
    <w:rsid w:val="007A6F25"/>
    <w:rsid w:val="007B0BC2"/>
    <w:rsid w:val="007B1FC2"/>
    <w:rsid w:val="007B4288"/>
    <w:rsid w:val="007B4459"/>
    <w:rsid w:val="007B5789"/>
    <w:rsid w:val="007C189F"/>
    <w:rsid w:val="007C3C4F"/>
    <w:rsid w:val="007C6181"/>
    <w:rsid w:val="007C784C"/>
    <w:rsid w:val="007E1CF6"/>
    <w:rsid w:val="007E38B5"/>
    <w:rsid w:val="007F4E5D"/>
    <w:rsid w:val="007F5B78"/>
    <w:rsid w:val="007F6B76"/>
    <w:rsid w:val="00802119"/>
    <w:rsid w:val="00802514"/>
    <w:rsid w:val="008040FE"/>
    <w:rsid w:val="0080442A"/>
    <w:rsid w:val="00811838"/>
    <w:rsid w:val="00812FBB"/>
    <w:rsid w:val="008172AB"/>
    <w:rsid w:val="00817804"/>
    <w:rsid w:val="008226F9"/>
    <w:rsid w:val="00822D72"/>
    <w:rsid w:val="008267C1"/>
    <w:rsid w:val="00827A05"/>
    <w:rsid w:val="0083004F"/>
    <w:rsid w:val="0083139C"/>
    <w:rsid w:val="00831F71"/>
    <w:rsid w:val="0083308D"/>
    <w:rsid w:val="00834B78"/>
    <w:rsid w:val="00835565"/>
    <w:rsid w:val="00836D70"/>
    <w:rsid w:val="008431AB"/>
    <w:rsid w:val="00844F25"/>
    <w:rsid w:val="00844FFF"/>
    <w:rsid w:val="008464CF"/>
    <w:rsid w:val="00853D7C"/>
    <w:rsid w:val="00856F43"/>
    <w:rsid w:val="00857B67"/>
    <w:rsid w:val="008614F9"/>
    <w:rsid w:val="00866F6C"/>
    <w:rsid w:val="00871B4A"/>
    <w:rsid w:val="00872591"/>
    <w:rsid w:val="008747D6"/>
    <w:rsid w:val="008750CC"/>
    <w:rsid w:val="00875E77"/>
    <w:rsid w:val="00876342"/>
    <w:rsid w:val="00876606"/>
    <w:rsid w:val="0087749C"/>
    <w:rsid w:val="00880153"/>
    <w:rsid w:val="00881F7E"/>
    <w:rsid w:val="00884670"/>
    <w:rsid w:val="0088520C"/>
    <w:rsid w:val="008862DC"/>
    <w:rsid w:val="008872B3"/>
    <w:rsid w:val="00890C9A"/>
    <w:rsid w:val="008971FD"/>
    <w:rsid w:val="008A458F"/>
    <w:rsid w:val="008A4C3B"/>
    <w:rsid w:val="008A7F38"/>
    <w:rsid w:val="008B06DF"/>
    <w:rsid w:val="008B1907"/>
    <w:rsid w:val="008B28AD"/>
    <w:rsid w:val="008B52B6"/>
    <w:rsid w:val="008B5758"/>
    <w:rsid w:val="008B5C6C"/>
    <w:rsid w:val="008B76DC"/>
    <w:rsid w:val="008B7BAF"/>
    <w:rsid w:val="008C1908"/>
    <w:rsid w:val="008C3927"/>
    <w:rsid w:val="008C4169"/>
    <w:rsid w:val="008C51BE"/>
    <w:rsid w:val="008C674E"/>
    <w:rsid w:val="008C7530"/>
    <w:rsid w:val="008D2409"/>
    <w:rsid w:val="008D355C"/>
    <w:rsid w:val="008D4EF5"/>
    <w:rsid w:val="008D62C0"/>
    <w:rsid w:val="008E0667"/>
    <w:rsid w:val="008E161B"/>
    <w:rsid w:val="008E2D0C"/>
    <w:rsid w:val="008E5A6A"/>
    <w:rsid w:val="008E5C6F"/>
    <w:rsid w:val="008E62A5"/>
    <w:rsid w:val="008E72E4"/>
    <w:rsid w:val="008F4654"/>
    <w:rsid w:val="008F5355"/>
    <w:rsid w:val="008F6BB3"/>
    <w:rsid w:val="008F7E52"/>
    <w:rsid w:val="0090013D"/>
    <w:rsid w:val="00902DB8"/>
    <w:rsid w:val="00906058"/>
    <w:rsid w:val="00906914"/>
    <w:rsid w:val="009073E6"/>
    <w:rsid w:val="00911A32"/>
    <w:rsid w:val="00912EEE"/>
    <w:rsid w:val="0091452D"/>
    <w:rsid w:val="0091651D"/>
    <w:rsid w:val="00917203"/>
    <w:rsid w:val="00917B49"/>
    <w:rsid w:val="009250CA"/>
    <w:rsid w:val="00927951"/>
    <w:rsid w:val="00930C8F"/>
    <w:rsid w:val="00934259"/>
    <w:rsid w:val="0093763B"/>
    <w:rsid w:val="009416C0"/>
    <w:rsid w:val="0094216E"/>
    <w:rsid w:val="009428D5"/>
    <w:rsid w:val="00943E4B"/>
    <w:rsid w:val="00944891"/>
    <w:rsid w:val="009453AE"/>
    <w:rsid w:val="009500D2"/>
    <w:rsid w:val="009516A1"/>
    <w:rsid w:val="00961E1C"/>
    <w:rsid w:val="0096226D"/>
    <w:rsid w:val="00962309"/>
    <w:rsid w:val="00965307"/>
    <w:rsid w:val="00967565"/>
    <w:rsid w:val="00970188"/>
    <w:rsid w:val="009731B5"/>
    <w:rsid w:val="009756FE"/>
    <w:rsid w:val="0097629B"/>
    <w:rsid w:val="00990120"/>
    <w:rsid w:val="009946F5"/>
    <w:rsid w:val="00995C08"/>
    <w:rsid w:val="00995FC1"/>
    <w:rsid w:val="0099754D"/>
    <w:rsid w:val="009A1F94"/>
    <w:rsid w:val="009A24F7"/>
    <w:rsid w:val="009A3444"/>
    <w:rsid w:val="009A4D9A"/>
    <w:rsid w:val="009A572B"/>
    <w:rsid w:val="009A6B2D"/>
    <w:rsid w:val="009A7A91"/>
    <w:rsid w:val="009B04B1"/>
    <w:rsid w:val="009B2F46"/>
    <w:rsid w:val="009B2FAE"/>
    <w:rsid w:val="009B4569"/>
    <w:rsid w:val="009B6E8F"/>
    <w:rsid w:val="009C3F52"/>
    <w:rsid w:val="009C7BBF"/>
    <w:rsid w:val="009D19CE"/>
    <w:rsid w:val="009D2ED5"/>
    <w:rsid w:val="009D6E15"/>
    <w:rsid w:val="009D7095"/>
    <w:rsid w:val="009E378F"/>
    <w:rsid w:val="009E3ABD"/>
    <w:rsid w:val="009E48B0"/>
    <w:rsid w:val="009E78B2"/>
    <w:rsid w:val="009F2AC4"/>
    <w:rsid w:val="009F5478"/>
    <w:rsid w:val="00A10316"/>
    <w:rsid w:val="00A10C1E"/>
    <w:rsid w:val="00A11CA6"/>
    <w:rsid w:val="00A121C9"/>
    <w:rsid w:val="00A144FC"/>
    <w:rsid w:val="00A159C2"/>
    <w:rsid w:val="00A15F1E"/>
    <w:rsid w:val="00A16DEB"/>
    <w:rsid w:val="00A2375D"/>
    <w:rsid w:val="00A25486"/>
    <w:rsid w:val="00A25B38"/>
    <w:rsid w:val="00A25F1B"/>
    <w:rsid w:val="00A2618B"/>
    <w:rsid w:val="00A26486"/>
    <w:rsid w:val="00A26C4A"/>
    <w:rsid w:val="00A32179"/>
    <w:rsid w:val="00A360AC"/>
    <w:rsid w:val="00A3705C"/>
    <w:rsid w:val="00A37253"/>
    <w:rsid w:val="00A3744B"/>
    <w:rsid w:val="00A47EBA"/>
    <w:rsid w:val="00A50C56"/>
    <w:rsid w:val="00A53134"/>
    <w:rsid w:val="00A558D0"/>
    <w:rsid w:val="00A56B6F"/>
    <w:rsid w:val="00A56F54"/>
    <w:rsid w:val="00A579DA"/>
    <w:rsid w:val="00A61D90"/>
    <w:rsid w:val="00A61F88"/>
    <w:rsid w:val="00A663F0"/>
    <w:rsid w:val="00A66D20"/>
    <w:rsid w:val="00A67D51"/>
    <w:rsid w:val="00A71C83"/>
    <w:rsid w:val="00A72570"/>
    <w:rsid w:val="00A730F0"/>
    <w:rsid w:val="00A74348"/>
    <w:rsid w:val="00A749B0"/>
    <w:rsid w:val="00A76294"/>
    <w:rsid w:val="00A76A81"/>
    <w:rsid w:val="00A76F46"/>
    <w:rsid w:val="00A77E34"/>
    <w:rsid w:val="00A8091D"/>
    <w:rsid w:val="00A81DC0"/>
    <w:rsid w:val="00A83B16"/>
    <w:rsid w:val="00A84E9D"/>
    <w:rsid w:val="00A85CB5"/>
    <w:rsid w:val="00A938AD"/>
    <w:rsid w:val="00A94785"/>
    <w:rsid w:val="00AA1929"/>
    <w:rsid w:val="00AA360F"/>
    <w:rsid w:val="00AA5C8A"/>
    <w:rsid w:val="00AB4B83"/>
    <w:rsid w:val="00AB5B91"/>
    <w:rsid w:val="00AC2221"/>
    <w:rsid w:val="00AC4A6D"/>
    <w:rsid w:val="00AC5D76"/>
    <w:rsid w:val="00AC632E"/>
    <w:rsid w:val="00AC642F"/>
    <w:rsid w:val="00AD2168"/>
    <w:rsid w:val="00AD271D"/>
    <w:rsid w:val="00AD5900"/>
    <w:rsid w:val="00AE05E1"/>
    <w:rsid w:val="00AE382D"/>
    <w:rsid w:val="00AE4B29"/>
    <w:rsid w:val="00AE5C31"/>
    <w:rsid w:val="00AE6315"/>
    <w:rsid w:val="00AF03DC"/>
    <w:rsid w:val="00AF2295"/>
    <w:rsid w:val="00AF35D2"/>
    <w:rsid w:val="00AF35DA"/>
    <w:rsid w:val="00AF3773"/>
    <w:rsid w:val="00AF5341"/>
    <w:rsid w:val="00B048FB"/>
    <w:rsid w:val="00B06A58"/>
    <w:rsid w:val="00B106C5"/>
    <w:rsid w:val="00B109EA"/>
    <w:rsid w:val="00B1331C"/>
    <w:rsid w:val="00B136AB"/>
    <w:rsid w:val="00B15431"/>
    <w:rsid w:val="00B1638C"/>
    <w:rsid w:val="00B17535"/>
    <w:rsid w:val="00B21D11"/>
    <w:rsid w:val="00B227AF"/>
    <w:rsid w:val="00B24DA1"/>
    <w:rsid w:val="00B27018"/>
    <w:rsid w:val="00B32405"/>
    <w:rsid w:val="00B3291A"/>
    <w:rsid w:val="00B33A18"/>
    <w:rsid w:val="00B33AD2"/>
    <w:rsid w:val="00B3584D"/>
    <w:rsid w:val="00B37520"/>
    <w:rsid w:val="00B415E2"/>
    <w:rsid w:val="00B45526"/>
    <w:rsid w:val="00B45ECB"/>
    <w:rsid w:val="00B47B68"/>
    <w:rsid w:val="00B531D6"/>
    <w:rsid w:val="00B5516B"/>
    <w:rsid w:val="00B55300"/>
    <w:rsid w:val="00B603A2"/>
    <w:rsid w:val="00B60BDA"/>
    <w:rsid w:val="00B63553"/>
    <w:rsid w:val="00B63583"/>
    <w:rsid w:val="00B7295F"/>
    <w:rsid w:val="00B7533B"/>
    <w:rsid w:val="00B7683A"/>
    <w:rsid w:val="00B76BB9"/>
    <w:rsid w:val="00B80504"/>
    <w:rsid w:val="00B818DB"/>
    <w:rsid w:val="00B822E0"/>
    <w:rsid w:val="00B82E88"/>
    <w:rsid w:val="00B83F06"/>
    <w:rsid w:val="00B8425E"/>
    <w:rsid w:val="00B9139C"/>
    <w:rsid w:val="00B9140D"/>
    <w:rsid w:val="00B937A7"/>
    <w:rsid w:val="00B93B75"/>
    <w:rsid w:val="00B95EA0"/>
    <w:rsid w:val="00B96B4C"/>
    <w:rsid w:val="00BA298D"/>
    <w:rsid w:val="00BA37D3"/>
    <w:rsid w:val="00BA57F8"/>
    <w:rsid w:val="00BB1FDD"/>
    <w:rsid w:val="00BB3C6B"/>
    <w:rsid w:val="00BB3CCF"/>
    <w:rsid w:val="00BB5BF6"/>
    <w:rsid w:val="00BC0AC7"/>
    <w:rsid w:val="00BC3E64"/>
    <w:rsid w:val="00BC503D"/>
    <w:rsid w:val="00BC5AE2"/>
    <w:rsid w:val="00BC5FD1"/>
    <w:rsid w:val="00BC6BE7"/>
    <w:rsid w:val="00BC74F4"/>
    <w:rsid w:val="00BD1714"/>
    <w:rsid w:val="00BD51BE"/>
    <w:rsid w:val="00BE1EDD"/>
    <w:rsid w:val="00BE333A"/>
    <w:rsid w:val="00BE43A4"/>
    <w:rsid w:val="00BF4CD0"/>
    <w:rsid w:val="00BF4F63"/>
    <w:rsid w:val="00BF73E0"/>
    <w:rsid w:val="00C00087"/>
    <w:rsid w:val="00C011C1"/>
    <w:rsid w:val="00C02F57"/>
    <w:rsid w:val="00C03AC2"/>
    <w:rsid w:val="00C06B54"/>
    <w:rsid w:val="00C10D23"/>
    <w:rsid w:val="00C12AF1"/>
    <w:rsid w:val="00C1388B"/>
    <w:rsid w:val="00C14D97"/>
    <w:rsid w:val="00C169AB"/>
    <w:rsid w:val="00C16D45"/>
    <w:rsid w:val="00C17DEA"/>
    <w:rsid w:val="00C20C14"/>
    <w:rsid w:val="00C221EF"/>
    <w:rsid w:val="00C23042"/>
    <w:rsid w:val="00C234DE"/>
    <w:rsid w:val="00C26E25"/>
    <w:rsid w:val="00C30C04"/>
    <w:rsid w:val="00C31DFC"/>
    <w:rsid w:val="00C33FAB"/>
    <w:rsid w:val="00C36056"/>
    <w:rsid w:val="00C36233"/>
    <w:rsid w:val="00C378B2"/>
    <w:rsid w:val="00C43FDD"/>
    <w:rsid w:val="00C441CC"/>
    <w:rsid w:val="00C50D6A"/>
    <w:rsid w:val="00C518D0"/>
    <w:rsid w:val="00C51DE4"/>
    <w:rsid w:val="00C539A6"/>
    <w:rsid w:val="00C60B4D"/>
    <w:rsid w:val="00C61401"/>
    <w:rsid w:val="00C616A1"/>
    <w:rsid w:val="00C61732"/>
    <w:rsid w:val="00C63D1A"/>
    <w:rsid w:val="00C67192"/>
    <w:rsid w:val="00C71D92"/>
    <w:rsid w:val="00C721BA"/>
    <w:rsid w:val="00C73E22"/>
    <w:rsid w:val="00C84A28"/>
    <w:rsid w:val="00C85D2E"/>
    <w:rsid w:val="00C879AC"/>
    <w:rsid w:val="00C87B6A"/>
    <w:rsid w:val="00C92C0E"/>
    <w:rsid w:val="00C95DFA"/>
    <w:rsid w:val="00C97BCD"/>
    <w:rsid w:val="00CA31D7"/>
    <w:rsid w:val="00CA3351"/>
    <w:rsid w:val="00CA4582"/>
    <w:rsid w:val="00CA6AC4"/>
    <w:rsid w:val="00CB0109"/>
    <w:rsid w:val="00CB10D5"/>
    <w:rsid w:val="00CB1450"/>
    <w:rsid w:val="00CB247D"/>
    <w:rsid w:val="00CB3485"/>
    <w:rsid w:val="00CB3A6F"/>
    <w:rsid w:val="00CB557F"/>
    <w:rsid w:val="00CB5AA6"/>
    <w:rsid w:val="00CC0077"/>
    <w:rsid w:val="00CC0A55"/>
    <w:rsid w:val="00CC3DC2"/>
    <w:rsid w:val="00CC6A49"/>
    <w:rsid w:val="00CC6F91"/>
    <w:rsid w:val="00CC759C"/>
    <w:rsid w:val="00CD082B"/>
    <w:rsid w:val="00CD4254"/>
    <w:rsid w:val="00CD6EAD"/>
    <w:rsid w:val="00CE0378"/>
    <w:rsid w:val="00CE1135"/>
    <w:rsid w:val="00CE4C9C"/>
    <w:rsid w:val="00CE5613"/>
    <w:rsid w:val="00CE6129"/>
    <w:rsid w:val="00CE77F4"/>
    <w:rsid w:val="00CF261C"/>
    <w:rsid w:val="00CF6160"/>
    <w:rsid w:val="00CF7F02"/>
    <w:rsid w:val="00D002D1"/>
    <w:rsid w:val="00D03EA7"/>
    <w:rsid w:val="00D051DF"/>
    <w:rsid w:val="00D07CD9"/>
    <w:rsid w:val="00D13F2E"/>
    <w:rsid w:val="00D2180E"/>
    <w:rsid w:val="00D24A8C"/>
    <w:rsid w:val="00D24D2B"/>
    <w:rsid w:val="00D254B8"/>
    <w:rsid w:val="00D306A1"/>
    <w:rsid w:val="00D32866"/>
    <w:rsid w:val="00D33D1A"/>
    <w:rsid w:val="00D351AC"/>
    <w:rsid w:val="00D35506"/>
    <w:rsid w:val="00D35557"/>
    <w:rsid w:val="00D401A8"/>
    <w:rsid w:val="00D426C5"/>
    <w:rsid w:val="00D43780"/>
    <w:rsid w:val="00D44AF9"/>
    <w:rsid w:val="00D45517"/>
    <w:rsid w:val="00D51BBD"/>
    <w:rsid w:val="00D54696"/>
    <w:rsid w:val="00D600EA"/>
    <w:rsid w:val="00D61CC4"/>
    <w:rsid w:val="00D63370"/>
    <w:rsid w:val="00D649EC"/>
    <w:rsid w:val="00D6512E"/>
    <w:rsid w:val="00D65475"/>
    <w:rsid w:val="00D70706"/>
    <w:rsid w:val="00D71BA4"/>
    <w:rsid w:val="00D723B6"/>
    <w:rsid w:val="00D802C1"/>
    <w:rsid w:val="00D80363"/>
    <w:rsid w:val="00D839E8"/>
    <w:rsid w:val="00D84EE7"/>
    <w:rsid w:val="00D86A50"/>
    <w:rsid w:val="00D96295"/>
    <w:rsid w:val="00D9762A"/>
    <w:rsid w:val="00DA057A"/>
    <w:rsid w:val="00DA449A"/>
    <w:rsid w:val="00DA7781"/>
    <w:rsid w:val="00DB076C"/>
    <w:rsid w:val="00DB0B4C"/>
    <w:rsid w:val="00DB1B8D"/>
    <w:rsid w:val="00DC1447"/>
    <w:rsid w:val="00DC3635"/>
    <w:rsid w:val="00DC46ED"/>
    <w:rsid w:val="00DC6DF1"/>
    <w:rsid w:val="00DD1F14"/>
    <w:rsid w:val="00DD34FE"/>
    <w:rsid w:val="00DE192D"/>
    <w:rsid w:val="00DE4528"/>
    <w:rsid w:val="00DE60E4"/>
    <w:rsid w:val="00DE66D0"/>
    <w:rsid w:val="00DF04CC"/>
    <w:rsid w:val="00DF0B85"/>
    <w:rsid w:val="00DF278D"/>
    <w:rsid w:val="00DF33C6"/>
    <w:rsid w:val="00DF3C1E"/>
    <w:rsid w:val="00DF77C1"/>
    <w:rsid w:val="00DF7BCA"/>
    <w:rsid w:val="00E05705"/>
    <w:rsid w:val="00E058A6"/>
    <w:rsid w:val="00E06939"/>
    <w:rsid w:val="00E07104"/>
    <w:rsid w:val="00E076AC"/>
    <w:rsid w:val="00E07B4B"/>
    <w:rsid w:val="00E12536"/>
    <w:rsid w:val="00E1557F"/>
    <w:rsid w:val="00E21072"/>
    <w:rsid w:val="00E21404"/>
    <w:rsid w:val="00E230F3"/>
    <w:rsid w:val="00E33733"/>
    <w:rsid w:val="00E348AE"/>
    <w:rsid w:val="00E34BE9"/>
    <w:rsid w:val="00E34FE1"/>
    <w:rsid w:val="00E358D0"/>
    <w:rsid w:val="00E37EF5"/>
    <w:rsid w:val="00E4001A"/>
    <w:rsid w:val="00E407AB"/>
    <w:rsid w:val="00E4109F"/>
    <w:rsid w:val="00E4266A"/>
    <w:rsid w:val="00E44A08"/>
    <w:rsid w:val="00E46A99"/>
    <w:rsid w:val="00E51A17"/>
    <w:rsid w:val="00E53DDC"/>
    <w:rsid w:val="00E563D9"/>
    <w:rsid w:val="00E57271"/>
    <w:rsid w:val="00E57585"/>
    <w:rsid w:val="00E60358"/>
    <w:rsid w:val="00E611E9"/>
    <w:rsid w:val="00E61C07"/>
    <w:rsid w:val="00E6200E"/>
    <w:rsid w:val="00E6209F"/>
    <w:rsid w:val="00E62AA2"/>
    <w:rsid w:val="00E62C75"/>
    <w:rsid w:val="00E62FE1"/>
    <w:rsid w:val="00E65A27"/>
    <w:rsid w:val="00E65D6E"/>
    <w:rsid w:val="00E67F05"/>
    <w:rsid w:val="00E72EAD"/>
    <w:rsid w:val="00E74338"/>
    <w:rsid w:val="00E815F9"/>
    <w:rsid w:val="00E85BDC"/>
    <w:rsid w:val="00E85FBE"/>
    <w:rsid w:val="00E864A1"/>
    <w:rsid w:val="00E8739B"/>
    <w:rsid w:val="00E90791"/>
    <w:rsid w:val="00E92C3E"/>
    <w:rsid w:val="00E937F3"/>
    <w:rsid w:val="00EA0CCB"/>
    <w:rsid w:val="00EA198C"/>
    <w:rsid w:val="00EA3010"/>
    <w:rsid w:val="00EB09A0"/>
    <w:rsid w:val="00EB1F5F"/>
    <w:rsid w:val="00EB4CCB"/>
    <w:rsid w:val="00EB661F"/>
    <w:rsid w:val="00EB6698"/>
    <w:rsid w:val="00EB7485"/>
    <w:rsid w:val="00EC3AFC"/>
    <w:rsid w:val="00EC4029"/>
    <w:rsid w:val="00EC4C7A"/>
    <w:rsid w:val="00EC6BF6"/>
    <w:rsid w:val="00ED0505"/>
    <w:rsid w:val="00ED10C5"/>
    <w:rsid w:val="00ED42BA"/>
    <w:rsid w:val="00ED4568"/>
    <w:rsid w:val="00ED4EFE"/>
    <w:rsid w:val="00ED566E"/>
    <w:rsid w:val="00ED6BE1"/>
    <w:rsid w:val="00EE1B92"/>
    <w:rsid w:val="00EE2A36"/>
    <w:rsid w:val="00EE3F30"/>
    <w:rsid w:val="00EE4E6E"/>
    <w:rsid w:val="00EE50AD"/>
    <w:rsid w:val="00EE6F03"/>
    <w:rsid w:val="00EE79FF"/>
    <w:rsid w:val="00EF262D"/>
    <w:rsid w:val="00EF2BC9"/>
    <w:rsid w:val="00EF3896"/>
    <w:rsid w:val="00EF3E8B"/>
    <w:rsid w:val="00EF4114"/>
    <w:rsid w:val="00EF4F52"/>
    <w:rsid w:val="00EF51E7"/>
    <w:rsid w:val="00EF644B"/>
    <w:rsid w:val="00F00195"/>
    <w:rsid w:val="00F05430"/>
    <w:rsid w:val="00F05ACA"/>
    <w:rsid w:val="00F06E9F"/>
    <w:rsid w:val="00F119D7"/>
    <w:rsid w:val="00F11AEC"/>
    <w:rsid w:val="00F146E6"/>
    <w:rsid w:val="00F15BA4"/>
    <w:rsid w:val="00F20FD9"/>
    <w:rsid w:val="00F212EF"/>
    <w:rsid w:val="00F21F9C"/>
    <w:rsid w:val="00F2549B"/>
    <w:rsid w:val="00F25F90"/>
    <w:rsid w:val="00F30964"/>
    <w:rsid w:val="00F31FD9"/>
    <w:rsid w:val="00F32414"/>
    <w:rsid w:val="00F353A6"/>
    <w:rsid w:val="00F42B52"/>
    <w:rsid w:val="00F43D49"/>
    <w:rsid w:val="00F46098"/>
    <w:rsid w:val="00F47DE7"/>
    <w:rsid w:val="00F5194A"/>
    <w:rsid w:val="00F51C27"/>
    <w:rsid w:val="00F55134"/>
    <w:rsid w:val="00F607C7"/>
    <w:rsid w:val="00F61CAA"/>
    <w:rsid w:val="00F648DE"/>
    <w:rsid w:val="00F66C1D"/>
    <w:rsid w:val="00F70CB0"/>
    <w:rsid w:val="00F70D93"/>
    <w:rsid w:val="00F73B0A"/>
    <w:rsid w:val="00F73CC8"/>
    <w:rsid w:val="00F74179"/>
    <w:rsid w:val="00F7458A"/>
    <w:rsid w:val="00F74FFC"/>
    <w:rsid w:val="00F77BA9"/>
    <w:rsid w:val="00F828D9"/>
    <w:rsid w:val="00F83DAA"/>
    <w:rsid w:val="00F83F08"/>
    <w:rsid w:val="00F84C65"/>
    <w:rsid w:val="00F862F1"/>
    <w:rsid w:val="00F86BCC"/>
    <w:rsid w:val="00F87965"/>
    <w:rsid w:val="00F91954"/>
    <w:rsid w:val="00F91C8B"/>
    <w:rsid w:val="00F948FB"/>
    <w:rsid w:val="00F94DB9"/>
    <w:rsid w:val="00FA0111"/>
    <w:rsid w:val="00FA66D6"/>
    <w:rsid w:val="00FA67AC"/>
    <w:rsid w:val="00FB3DD0"/>
    <w:rsid w:val="00FB5573"/>
    <w:rsid w:val="00FB69B3"/>
    <w:rsid w:val="00FB70F1"/>
    <w:rsid w:val="00FB7E11"/>
    <w:rsid w:val="00FC3718"/>
    <w:rsid w:val="00FC3C52"/>
    <w:rsid w:val="00FC3DB4"/>
    <w:rsid w:val="00FC4ED6"/>
    <w:rsid w:val="00FD00D3"/>
    <w:rsid w:val="00FD1C98"/>
    <w:rsid w:val="00FD2D26"/>
    <w:rsid w:val="00FD3E19"/>
    <w:rsid w:val="00FD562F"/>
    <w:rsid w:val="00FD6238"/>
    <w:rsid w:val="00FD7CFA"/>
    <w:rsid w:val="00FE0DD5"/>
    <w:rsid w:val="00FE2942"/>
    <w:rsid w:val="00FE3508"/>
    <w:rsid w:val="00FE4652"/>
    <w:rsid w:val="00FE726F"/>
    <w:rsid w:val="00FF1E8F"/>
    <w:rsid w:val="00FF2A7B"/>
    <w:rsid w:val="00FF51F1"/>
    <w:rsid w:val="00FF5553"/>
    <w:rsid w:val="00FF58FC"/>
    <w:rsid w:val="00FF6824"/>
    <w:rsid w:val="00FF71CD"/>
    <w:rsid w:val="052E600E"/>
    <w:rsid w:val="07357B74"/>
    <w:rsid w:val="07CF3C11"/>
    <w:rsid w:val="0A3E36F7"/>
    <w:rsid w:val="0C8C0749"/>
    <w:rsid w:val="0CBF0F92"/>
    <w:rsid w:val="0F376E23"/>
    <w:rsid w:val="0F6311CC"/>
    <w:rsid w:val="10DD78D9"/>
    <w:rsid w:val="11AA2F63"/>
    <w:rsid w:val="128E3F5B"/>
    <w:rsid w:val="13385187"/>
    <w:rsid w:val="13B81E24"/>
    <w:rsid w:val="13DA623E"/>
    <w:rsid w:val="15794A47"/>
    <w:rsid w:val="183F1F34"/>
    <w:rsid w:val="1B3D71C1"/>
    <w:rsid w:val="1DD36949"/>
    <w:rsid w:val="1E417357"/>
    <w:rsid w:val="231809BE"/>
    <w:rsid w:val="23CB16FF"/>
    <w:rsid w:val="251E653F"/>
    <w:rsid w:val="25F018F1"/>
    <w:rsid w:val="26970E8B"/>
    <w:rsid w:val="2A7C2DA4"/>
    <w:rsid w:val="2B762899"/>
    <w:rsid w:val="2BEE2754"/>
    <w:rsid w:val="2E2642CF"/>
    <w:rsid w:val="2E8628F7"/>
    <w:rsid w:val="2E92240D"/>
    <w:rsid w:val="2F7E1D1C"/>
    <w:rsid w:val="31D10E69"/>
    <w:rsid w:val="33B04A3C"/>
    <w:rsid w:val="35462225"/>
    <w:rsid w:val="35D82BF5"/>
    <w:rsid w:val="36B44275"/>
    <w:rsid w:val="3A13080D"/>
    <w:rsid w:val="3B021A53"/>
    <w:rsid w:val="3B370F40"/>
    <w:rsid w:val="3BD31641"/>
    <w:rsid w:val="3C957107"/>
    <w:rsid w:val="406D3C3F"/>
    <w:rsid w:val="41874A60"/>
    <w:rsid w:val="41C11F06"/>
    <w:rsid w:val="429E5056"/>
    <w:rsid w:val="430E1D2A"/>
    <w:rsid w:val="43BD0C0D"/>
    <w:rsid w:val="45C40594"/>
    <w:rsid w:val="46E97F6B"/>
    <w:rsid w:val="48816908"/>
    <w:rsid w:val="48941B4A"/>
    <w:rsid w:val="491A2A4C"/>
    <w:rsid w:val="4B40606F"/>
    <w:rsid w:val="4BCE3B93"/>
    <w:rsid w:val="4CF13198"/>
    <w:rsid w:val="4CF83380"/>
    <w:rsid w:val="4ECA177C"/>
    <w:rsid w:val="4F564682"/>
    <w:rsid w:val="533D43F1"/>
    <w:rsid w:val="5613796A"/>
    <w:rsid w:val="56234C7E"/>
    <w:rsid w:val="584234DA"/>
    <w:rsid w:val="597F6DBC"/>
    <w:rsid w:val="5AC71F19"/>
    <w:rsid w:val="5C353A9E"/>
    <w:rsid w:val="5D1228EB"/>
    <w:rsid w:val="5D1A27D4"/>
    <w:rsid w:val="5E132C73"/>
    <w:rsid w:val="5FD62925"/>
    <w:rsid w:val="60BF3DBF"/>
    <w:rsid w:val="60C622E9"/>
    <w:rsid w:val="613E24C6"/>
    <w:rsid w:val="61DC5988"/>
    <w:rsid w:val="625E1B3E"/>
    <w:rsid w:val="62640944"/>
    <w:rsid w:val="63284E73"/>
    <w:rsid w:val="63B55005"/>
    <w:rsid w:val="63FC1C24"/>
    <w:rsid w:val="648C707E"/>
    <w:rsid w:val="65234DE3"/>
    <w:rsid w:val="675114E9"/>
    <w:rsid w:val="6A5D155F"/>
    <w:rsid w:val="6AB53F75"/>
    <w:rsid w:val="6E0C230F"/>
    <w:rsid w:val="6F1F2C8D"/>
    <w:rsid w:val="72396CE0"/>
    <w:rsid w:val="740B61C1"/>
    <w:rsid w:val="74633080"/>
    <w:rsid w:val="75F1A6E5"/>
    <w:rsid w:val="780F22B2"/>
    <w:rsid w:val="783D2D89"/>
    <w:rsid w:val="78AF39CF"/>
    <w:rsid w:val="78C0027C"/>
    <w:rsid w:val="79791272"/>
    <w:rsid w:val="7B260901"/>
    <w:rsid w:val="DFDF2659"/>
  </w:rsids>
  <m:mathPr>
    <m:mathFont m:val="Cambria Math"/>
    <m:brkBin m:val="before"/>
    <m:brkBinSub m:val="--"/>
    <m:smallFrac m:val="1"/>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qFormat="1" w:uiPriority="99" w:semiHidden="0" w:name="annotation text"/>
    <w:lsdException w:qFormat="1" w:unhideWhenUsed="0" w:uiPriority="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qFormat="1" w:uiPriority="99" w:semiHidden="0" w:name="annotation reference"/>
    <w:lsdException w:uiPriority="99" w:name="line number"/>
    <w:lsdException w:qFormat="1" w:unhideWhenUsed="0"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qFormat="1" w:unhideWhenUsed="0"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qFormat="1" w:unhideWhenUsed="0" w:uiPriority="99" w:semiHidden="0" w:name="Body Text Indent 3"/>
    <w:lsdException w:uiPriority="99" w:name="Block Text"/>
    <w:lsdException w:qFormat="1" w:uiPriority="0" w:name="Hyperlink"/>
    <w:lsdException w:uiPriority="99" w:name="FollowedHyperlink"/>
    <w:lsdException w:qFormat="1" w:unhideWhenUsed="0" w:uiPriority="0" w:semiHidden="0" w:name="Strong" w:locked="1"/>
    <w:lsdException w:qFormat="1" w:unhideWhenUsed="0" w:uiPriority="20" w:semiHidden="0" w:name="Emphasis" w:locked="1"/>
    <w:lsdException w:qFormat="1" w:uiPriority="99" w:semiHidden="0"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character" w:default="1" w:styleId="13">
    <w:name w:val="Default Paragraph Font"/>
    <w:semiHidden/>
    <w:unhideWhenUsed/>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2">
    <w:name w:val="Document Map"/>
    <w:basedOn w:val="1"/>
    <w:link w:val="27"/>
    <w:unhideWhenUsed/>
    <w:qFormat/>
    <w:uiPriority w:val="99"/>
    <w:rPr>
      <w:rFonts w:ascii="宋体"/>
      <w:sz w:val="18"/>
      <w:szCs w:val="18"/>
    </w:rPr>
  </w:style>
  <w:style w:type="paragraph" w:styleId="3">
    <w:name w:val="annotation text"/>
    <w:basedOn w:val="1"/>
    <w:link w:val="24"/>
    <w:unhideWhenUsed/>
    <w:qFormat/>
    <w:uiPriority w:val="99"/>
    <w:pPr>
      <w:jc w:val="left"/>
    </w:pPr>
  </w:style>
  <w:style w:type="paragraph" w:styleId="4">
    <w:name w:val="Body Text Indent"/>
    <w:basedOn w:val="1"/>
    <w:link w:val="18"/>
    <w:qFormat/>
    <w:uiPriority w:val="99"/>
    <w:pPr>
      <w:spacing w:line="360" w:lineRule="auto"/>
      <w:ind w:firstLine="420"/>
    </w:pPr>
  </w:style>
  <w:style w:type="paragraph" w:styleId="5">
    <w:name w:val="Plain Text"/>
    <w:basedOn w:val="1"/>
    <w:link w:val="22"/>
    <w:qFormat/>
    <w:uiPriority w:val="0"/>
    <w:pPr>
      <w:widowControl/>
      <w:jc w:val="left"/>
    </w:pPr>
    <w:rPr>
      <w:rFonts w:ascii="宋体" w:hAnsi="Courier New"/>
      <w:kern w:val="0"/>
      <w:sz w:val="24"/>
      <w:szCs w:val="24"/>
    </w:rPr>
  </w:style>
  <w:style w:type="paragraph" w:styleId="6">
    <w:name w:val="Balloon Text"/>
    <w:basedOn w:val="1"/>
    <w:link w:val="23"/>
    <w:unhideWhenUsed/>
    <w:qFormat/>
    <w:uiPriority w:val="99"/>
    <w:rPr>
      <w:sz w:val="18"/>
      <w:szCs w:val="18"/>
    </w:rPr>
  </w:style>
  <w:style w:type="paragraph" w:styleId="7">
    <w:name w:val="footer"/>
    <w:basedOn w:val="1"/>
    <w:link w:val="20"/>
    <w:qFormat/>
    <w:uiPriority w:val="99"/>
    <w:pPr>
      <w:tabs>
        <w:tab w:val="center" w:pos="4153"/>
        <w:tab w:val="right" w:pos="8306"/>
      </w:tabs>
      <w:snapToGrid w:val="0"/>
      <w:jc w:val="left"/>
    </w:pPr>
    <w:rPr>
      <w:sz w:val="18"/>
      <w:szCs w:val="18"/>
    </w:rPr>
  </w:style>
  <w:style w:type="paragraph" w:styleId="8">
    <w:name w:val="header"/>
    <w:basedOn w:val="1"/>
    <w:link w:val="21"/>
    <w:semiHidden/>
    <w:qFormat/>
    <w:uiPriority w:val="0"/>
    <w:pPr>
      <w:pBdr>
        <w:bottom w:val="single" w:color="auto" w:sz="6" w:space="1"/>
      </w:pBdr>
      <w:tabs>
        <w:tab w:val="center" w:pos="4153"/>
        <w:tab w:val="right" w:pos="8306"/>
      </w:tabs>
      <w:snapToGrid w:val="0"/>
      <w:jc w:val="center"/>
    </w:pPr>
    <w:rPr>
      <w:sz w:val="18"/>
      <w:szCs w:val="18"/>
    </w:rPr>
  </w:style>
  <w:style w:type="paragraph" w:styleId="9">
    <w:name w:val="Body Text Indent 3"/>
    <w:basedOn w:val="1"/>
    <w:link w:val="19"/>
    <w:qFormat/>
    <w:uiPriority w:val="99"/>
    <w:pPr>
      <w:spacing w:after="120"/>
      <w:ind w:left="420" w:leftChars="200"/>
    </w:pPr>
    <w:rPr>
      <w:sz w:val="16"/>
      <w:szCs w:val="16"/>
    </w:rPr>
  </w:style>
  <w:style w:type="paragraph" w:styleId="10">
    <w:name w:val="annotation subject"/>
    <w:basedOn w:val="3"/>
    <w:next w:val="3"/>
    <w:link w:val="25"/>
    <w:unhideWhenUsed/>
    <w:qFormat/>
    <w:uiPriority w:val="99"/>
    <w:rPr>
      <w:b/>
      <w:bCs/>
    </w:rPr>
  </w:style>
  <w:style w:type="table" w:styleId="12">
    <w:name w:val="Table Grid"/>
    <w:basedOn w:val="11"/>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4">
    <w:name w:val="page number"/>
    <w:qFormat/>
    <w:uiPriority w:val="99"/>
    <w:rPr>
      <w:rFonts w:cs="Times New Roman"/>
    </w:rPr>
  </w:style>
  <w:style w:type="character" w:styleId="15">
    <w:name w:val="Emphasis"/>
    <w:basedOn w:val="13"/>
    <w:qFormat/>
    <w:locked/>
    <w:uiPriority w:val="20"/>
    <w:rPr>
      <w:i/>
      <w:iCs/>
    </w:rPr>
  </w:style>
  <w:style w:type="character" w:styleId="16">
    <w:name w:val="Hyperlink"/>
    <w:semiHidden/>
    <w:unhideWhenUsed/>
    <w:qFormat/>
    <w:uiPriority w:val="0"/>
    <w:rPr>
      <w:color w:val="0563C1"/>
      <w:u w:val="single"/>
    </w:rPr>
  </w:style>
  <w:style w:type="character" w:styleId="17">
    <w:name w:val="annotation reference"/>
    <w:unhideWhenUsed/>
    <w:qFormat/>
    <w:uiPriority w:val="99"/>
    <w:rPr>
      <w:sz w:val="21"/>
      <w:szCs w:val="21"/>
    </w:rPr>
  </w:style>
  <w:style w:type="character" w:customStyle="1" w:styleId="18">
    <w:name w:val="正文文本缩进 字符"/>
    <w:link w:val="4"/>
    <w:qFormat/>
    <w:locked/>
    <w:uiPriority w:val="99"/>
    <w:rPr>
      <w:rFonts w:ascii="Times New Roman" w:hAnsi="Times New Roman" w:eastAsia="宋体" w:cs="Times New Roman"/>
      <w:sz w:val="20"/>
      <w:szCs w:val="20"/>
    </w:rPr>
  </w:style>
  <w:style w:type="character" w:customStyle="1" w:styleId="19">
    <w:name w:val="正文文本缩进 3 字符"/>
    <w:link w:val="9"/>
    <w:qFormat/>
    <w:locked/>
    <w:uiPriority w:val="99"/>
    <w:rPr>
      <w:rFonts w:ascii="Times New Roman" w:hAnsi="Times New Roman" w:eastAsia="宋体" w:cs="Times New Roman"/>
      <w:sz w:val="16"/>
      <w:szCs w:val="16"/>
    </w:rPr>
  </w:style>
  <w:style w:type="character" w:customStyle="1" w:styleId="20">
    <w:name w:val="页脚 字符"/>
    <w:link w:val="7"/>
    <w:qFormat/>
    <w:locked/>
    <w:uiPriority w:val="99"/>
    <w:rPr>
      <w:rFonts w:ascii="Times New Roman" w:hAnsi="Times New Roman" w:eastAsia="宋体" w:cs="Times New Roman"/>
      <w:sz w:val="18"/>
      <w:szCs w:val="18"/>
    </w:rPr>
  </w:style>
  <w:style w:type="character" w:customStyle="1" w:styleId="21">
    <w:name w:val="页眉 字符"/>
    <w:link w:val="8"/>
    <w:semiHidden/>
    <w:qFormat/>
    <w:locked/>
    <w:uiPriority w:val="0"/>
    <w:rPr>
      <w:rFonts w:ascii="Times New Roman" w:hAnsi="Times New Roman" w:eastAsia="宋体" w:cs="Times New Roman"/>
      <w:sz w:val="18"/>
      <w:szCs w:val="18"/>
    </w:rPr>
  </w:style>
  <w:style w:type="character" w:customStyle="1" w:styleId="22">
    <w:name w:val="纯文本 字符"/>
    <w:link w:val="5"/>
    <w:qFormat/>
    <w:uiPriority w:val="0"/>
    <w:rPr>
      <w:rFonts w:ascii="宋体" w:hAnsi="Courier New"/>
      <w:sz w:val="24"/>
      <w:szCs w:val="24"/>
    </w:rPr>
  </w:style>
  <w:style w:type="character" w:customStyle="1" w:styleId="23">
    <w:name w:val="批注框文本 字符"/>
    <w:link w:val="6"/>
    <w:semiHidden/>
    <w:qFormat/>
    <w:uiPriority w:val="99"/>
    <w:rPr>
      <w:rFonts w:ascii="Times New Roman" w:hAnsi="Times New Roman"/>
      <w:kern w:val="2"/>
      <w:sz w:val="18"/>
      <w:szCs w:val="18"/>
    </w:rPr>
  </w:style>
  <w:style w:type="character" w:customStyle="1" w:styleId="24">
    <w:name w:val="批注文字 字符"/>
    <w:link w:val="3"/>
    <w:semiHidden/>
    <w:qFormat/>
    <w:uiPriority w:val="99"/>
    <w:rPr>
      <w:rFonts w:ascii="Times New Roman" w:hAnsi="Times New Roman"/>
      <w:kern w:val="2"/>
      <w:sz w:val="21"/>
    </w:rPr>
  </w:style>
  <w:style w:type="character" w:customStyle="1" w:styleId="25">
    <w:name w:val="批注主题 字符"/>
    <w:link w:val="10"/>
    <w:semiHidden/>
    <w:qFormat/>
    <w:uiPriority w:val="99"/>
    <w:rPr>
      <w:rFonts w:ascii="Times New Roman" w:hAnsi="Times New Roman"/>
      <w:b/>
      <w:bCs/>
      <w:kern w:val="2"/>
      <w:sz w:val="21"/>
    </w:rPr>
  </w:style>
  <w:style w:type="paragraph" w:customStyle="1" w:styleId="26">
    <w:name w:val="修订1"/>
    <w:hidden/>
    <w:semiHidden/>
    <w:qFormat/>
    <w:uiPriority w:val="99"/>
    <w:rPr>
      <w:rFonts w:ascii="Times New Roman" w:hAnsi="Times New Roman" w:eastAsia="宋体" w:cs="Times New Roman"/>
      <w:kern w:val="2"/>
      <w:sz w:val="21"/>
      <w:lang w:val="en-US" w:eastAsia="zh-CN" w:bidi="ar-SA"/>
    </w:rPr>
  </w:style>
  <w:style w:type="character" w:customStyle="1" w:styleId="27">
    <w:name w:val="文档结构图 字符"/>
    <w:basedOn w:val="13"/>
    <w:link w:val="2"/>
    <w:semiHidden/>
    <w:qFormat/>
    <w:uiPriority w:val="99"/>
    <w:rPr>
      <w:rFonts w:ascii="宋体" w:hAnsi="Times New Roman"/>
      <w:kern w:val="2"/>
      <w:sz w:val="18"/>
      <w:szCs w:val="18"/>
    </w:rPr>
  </w:style>
  <w:style w:type="paragraph" w:styleId="28">
    <w:name w:val="List Paragraph"/>
    <w:basedOn w:val="1"/>
    <w:qFormat/>
    <w:uiPriority w:val="99"/>
    <w:pPr>
      <w:ind w:firstLine="420" w:firstLineChars="200"/>
    </w:pPr>
  </w:style>
  <w:style w:type="character" w:customStyle="1" w:styleId="29">
    <w:name w:val="r-title"/>
    <w:basedOn w:val="13"/>
    <w:qFormat/>
    <w:uiPriority w:val="0"/>
  </w:style>
  <w:style w:type="paragraph" w:customStyle="1" w:styleId="30">
    <w:name w:val="修订2"/>
    <w:hidden/>
    <w:unhideWhenUsed/>
    <w:qFormat/>
    <w:uiPriority w:val="99"/>
    <w:rPr>
      <w:rFonts w:ascii="Times New Roman" w:hAnsi="Times New Roman" w:eastAsia="宋体" w:cs="Times New Roman"/>
      <w:kern w:val="2"/>
      <w:sz w:val="21"/>
      <w:lang w:val="en-US" w:eastAsia="zh-CN" w:bidi="ar-SA"/>
    </w:rPr>
  </w:style>
  <w:style w:type="paragraph" w:customStyle="1" w:styleId="31">
    <w:name w:val="Revision"/>
    <w:hidden/>
    <w:unhideWhenUsed/>
    <w:qFormat/>
    <w:uiPriority w:val="99"/>
    <w:rPr>
      <w:rFonts w:ascii="Times New Roman" w:hAnsi="Times New Roman" w:eastAsia="宋体" w:cs="Times New Roman"/>
      <w:kern w:val="2"/>
      <w:sz w:val="21"/>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微软中国</Company>
  <Pages>10</Pages>
  <Words>6278</Words>
  <Characters>8659</Characters>
  <Lines>66</Lines>
  <Paragraphs>18</Paragraphs>
  <TotalTime>2</TotalTime>
  <ScaleCrop>false</ScaleCrop>
  <LinksUpToDate>false</LinksUpToDate>
  <CharactersWithSpaces>8865</CharactersWithSpaces>
  <Application>WPS Office_6.10.1.8873_F1E327BC-269C-435d-A152-05C5408002CA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2024-08-27T21:55:00Z</dcterms:created>
  <dc:creator>李建伟</dc:creator>
  <cp:lastModifiedBy>James Huang</cp:lastModifiedBy>
  <dcterms:modified xsi:type="dcterms:W3CDTF">2024-08-27T18:21:03Z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2052-6.10.1.8873</vt:lpwstr>
  </property>
  <property fmtid="{D5CDD505-2E9C-101B-9397-08002B2CF9AE}" pid="3" name="ICV">
    <vt:lpwstr>8F4E065C7DA70F718FA8CD6683F6DCA9_43</vt:lpwstr>
  </property>
</Properties>
</file>