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F5E74">
      <w:pPr>
        <w:adjustRightInd w:val="0"/>
        <w:snapToGrid w:val="0"/>
        <w:spacing w:line="560" w:lineRule="exact"/>
        <w:jc w:val="left"/>
        <w:rPr>
          <w:rFonts w:hint="eastAsia" w:ascii="宋体" w:hAnsi="宋体"/>
          <w:b/>
          <w:sz w:val="24"/>
          <w:szCs w:val="24"/>
          <w:highlight w:val="yellow"/>
        </w:rPr>
      </w:pPr>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w:t>
      </w:r>
      <w:r>
        <w:rPr>
          <w:rFonts w:ascii="宋体" w:hAnsi="宋体"/>
          <w:b/>
          <w:sz w:val="24"/>
          <w:szCs w:val="24"/>
        </w:rPr>
        <w:t>02</w:t>
      </w:r>
      <w:r>
        <w:rPr>
          <w:rFonts w:hint="eastAsia" w:ascii="宋体" w:hAnsi="宋体"/>
          <w:b/>
          <w:sz w:val="24"/>
          <w:szCs w:val="24"/>
        </w:rPr>
        <w:t>4</w:t>
      </w:r>
      <w:r>
        <w:rPr>
          <w:rFonts w:ascii="宋体" w:hAnsi="宋体"/>
          <w:b/>
          <w:sz w:val="24"/>
          <w:szCs w:val="24"/>
        </w:rPr>
        <w:t>-0</w:t>
      </w:r>
      <w:r>
        <w:rPr>
          <w:rFonts w:hint="eastAsia" w:ascii="宋体" w:hAnsi="宋体"/>
          <w:b/>
          <w:sz w:val="24"/>
          <w:szCs w:val="24"/>
        </w:rPr>
        <w:t>50</w:t>
      </w:r>
    </w:p>
    <w:p w14:paraId="7E8764D0">
      <w:pPr>
        <w:adjustRightInd w:val="0"/>
        <w:snapToGrid w:val="0"/>
        <w:spacing w:line="560" w:lineRule="exact"/>
        <w:jc w:val="left"/>
        <w:rPr>
          <w:rFonts w:hint="eastAsia" w:ascii="仿宋" w:hAnsi="仿宋" w:eastAsia="仿宋_GB2312"/>
          <w:sz w:val="30"/>
          <w:szCs w:val="30"/>
        </w:rPr>
      </w:pPr>
    </w:p>
    <w:p w14:paraId="032B6B05">
      <w:pPr>
        <w:adjustRightInd w:val="0"/>
        <w:snapToGrid w:val="0"/>
        <w:spacing w:before="156"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31170263">
      <w:pPr>
        <w:adjustRightInd w:val="0"/>
        <w:snapToGrid w:val="0"/>
        <w:spacing w:before="156"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关于为子公司申请授信提供担保的进展公告</w:t>
      </w:r>
    </w:p>
    <w:p w14:paraId="2AC9640E">
      <w:pPr>
        <w:adjustRightInd w:val="0"/>
        <w:snapToGrid w:val="0"/>
        <w:spacing w:before="156" w:beforeLines="50" w:line="560" w:lineRule="exact"/>
        <w:jc w:val="center"/>
        <w:rPr>
          <w:rFonts w:hint="eastAsia" w:ascii="仿宋_GB2312" w:hAnsi="仿宋_GB2312" w:eastAsia="仿宋_GB2312" w:cs="仿宋_GB2312"/>
          <w:b/>
          <w:bCs/>
          <w:sz w:val="30"/>
          <w:szCs w:val="30"/>
        </w:rPr>
      </w:pPr>
    </w:p>
    <w:p w14:paraId="2C067379">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sz w:val="24"/>
          <w:szCs w:val="24"/>
        </w:rPr>
        <w:t>。</w:t>
      </w:r>
    </w:p>
    <w:p w14:paraId="292A6D5D">
      <w:pPr>
        <w:adjustRightInd w:val="0"/>
        <w:snapToGrid w:val="0"/>
        <w:spacing w:line="560" w:lineRule="exact"/>
        <w:rPr>
          <w:rFonts w:hint="eastAsia" w:ascii="宋体" w:hAnsi="宋体" w:cs="宋体"/>
          <w:sz w:val="24"/>
          <w:szCs w:val="24"/>
        </w:rPr>
      </w:pPr>
    </w:p>
    <w:p w14:paraId="43173572">
      <w:pPr>
        <w:adjustRightInd w:val="0"/>
        <w:snapToGrid w:val="0"/>
        <w:spacing w:line="560" w:lineRule="exact"/>
        <w:rPr>
          <w:rFonts w:hint="eastAsia" w:ascii="宋体" w:hAnsi="宋体" w:cs="宋体"/>
          <w:b/>
          <w:sz w:val="24"/>
          <w:szCs w:val="24"/>
        </w:rPr>
      </w:pPr>
      <w:r>
        <w:rPr>
          <w:rFonts w:hint="eastAsia" w:ascii="宋体" w:hAnsi="宋体" w:cs="宋体"/>
          <w:b/>
          <w:sz w:val="24"/>
          <w:szCs w:val="24"/>
        </w:rPr>
        <w:t>重要内容提示：</w:t>
      </w:r>
    </w:p>
    <w:p w14:paraId="1AB25D73">
      <w:pPr>
        <w:pStyle w:val="94"/>
        <w:numPr>
          <w:ilvl w:val="0"/>
          <w:numId w:val="12"/>
        </w:numPr>
        <w:rPr>
          <w:rFonts w:hint="eastAsia" w:ascii="宋体" w:hAnsi="宋体" w:cs="宋体"/>
          <w:sz w:val="24"/>
          <w:szCs w:val="24"/>
        </w:rPr>
      </w:pPr>
      <w:r>
        <w:rPr>
          <w:rFonts w:hint="eastAsia" w:ascii="宋体" w:hAnsi="宋体" w:cs="宋体"/>
          <w:sz w:val="24"/>
          <w:szCs w:val="24"/>
        </w:rPr>
        <w:t>被担保人：控股子公司云南变压器电气股份有限公司 （以下简称“云变电气”）</w:t>
      </w:r>
    </w:p>
    <w:p w14:paraId="46BB9920">
      <w:pPr>
        <w:pStyle w:val="94"/>
        <w:rPr>
          <w:rFonts w:hint="eastAsia" w:ascii="宋体" w:hAnsi="宋体" w:cs="宋体"/>
          <w:sz w:val="24"/>
          <w:szCs w:val="24"/>
        </w:rPr>
      </w:pPr>
      <w:r>
        <w:rPr>
          <w:rFonts w:hint="eastAsia" w:ascii="宋体" w:hAnsi="宋体" w:cs="宋体"/>
          <w:sz w:val="24"/>
          <w:szCs w:val="24"/>
        </w:rPr>
        <w:t>本次担保金额及已实际为其提供的担保余额：本次担保金额最高不超过6,000万元</w:t>
      </w:r>
      <w:r>
        <w:rPr>
          <w:rFonts w:hint="eastAsia" w:ascii="宋体" w:hAnsi="宋体" w:cs="宋体"/>
          <w:sz w:val="24"/>
          <w:szCs w:val="24"/>
          <w:lang w:val="en-US" w:eastAsia="zh-CN"/>
        </w:rPr>
        <w:t>人民币</w:t>
      </w:r>
      <w:r>
        <w:rPr>
          <w:rFonts w:hint="eastAsia" w:ascii="宋体" w:hAnsi="宋体" w:cs="宋体"/>
          <w:sz w:val="24"/>
          <w:szCs w:val="24"/>
        </w:rPr>
        <w:t>。截止本公告披露之日，公司已实际为云变电气提供的担保余额为0（不含本次）</w:t>
      </w:r>
    </w:p>
    <w:p w14:paraId="4F44F754">
      <w:pPr>
        <w:pStyle w:val="94"/>
        <w:rPr>
          <w:rFonts w:hint="eastAsia" w:ascii="宋体" w:hAnsi="宋体" w:cs="宋体"/>
          <w:sz w:val="24"/>
          <w:szCs w:val="24"/>
        </w:rPr>
      </w:pPr>
      <w:r>
        <w:rPr>
          <w:rFonts w:hint="eastAsia" w:ascii="宋体" w:hAnsi="宋体" w:cs="宋体"/>
          <w:sz w:val="24"/>
          <w:szCs w:val="24"/>
        </w:rPr>
        <w:t>本次担保有无反担保：无</w:t>
      </w:r>
    </w:p>
    <w:p w14:paraId="1D3F952A">
      <w:pPr>
        <w:pStyle w:val="94"/>
        <w:rPr>
          <w:rFonts w:hint="eastAsia" w:ascii="宋体" w:hAnsi="宋体" w:cs="宋体"/>
          <w:sz w:val="24"/>
          <w:szCs w:val="24"/>
        </w:rPr>
      </w:pPr>
      <w:r>
        <w:rPr>
          <w:rFonts w:hint="eastAsia" w:ascii="宋体" w:hAnsi="宋体" w:cs="宋体"/>
          <w:sz w:val="24"/>
          <w:szCs w:val="24"/>
        </w:rPr>
        <w:t>公司有无逾期对外担保的情况：无</w:t>
      </w:r>
    </w:p>
    <w:p w14:paraId="6B109EFA">
      <w:pPr>
        <w:numPr>
          <w:ilvl w:val="0"/>
          <w:numId w:val="13"/>
        </w:num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担保情况概述</w:t>
      </w:r>
    </w:p>
    <w:p w14:paraId="4F0DAC31">
      <w:pPr>
        <w:numPr>
          <w:ilvl w:val="0"/>
          <w:numId w:val="14"/>
        </w:num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本次担保基本情况</w:t>
      </w:r>
    </w:p>
    <w:p w14:paraId="368AD00F">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为满足</w:t>
      </w:r>
      <w:r>
        <w:rPr>
          <w:rFonts w:hint="eastAsia" w:ascii="宋体" w:hAnsi="宋体" w:cs="宋体"/>
          <w:kern w:val="0"/>
          <w:sz w:val="24"/>
          <w:szCs w:val="24"/>
          <w:highlight w:val="none"/>
          <w:lang w:val="en-US" w:eastAsia="zh-CN"/>
        </w:rPr>
        <w:t>子公司</w:t>
      </w:r>
      <w:r>
        <w:rPr>
          <w:rFonts w:hint="eastAsia" w:ascii="宋体" w:hAnsi="宋体" w:cs="宋体"/>
          <w:kern w:val="0"/>
          <w:sz w:val="24"/>
          <w:szCs w:val="24"/>
          <w:highlight w:val="none"/>
        </w:rPr>
        <w:t>日常生产经</w:t>
      </w:r>
      <w:r>
        <w:rPr>
          <w:rFonts w:hint="eastAsia" w:ascii="宋体" w:hAnsi="宋体" w:cs="宋体"/>
          <w:kern w:val="0"/>
          <w:sz w:val="24"/>
          <w:szCs w:val="24"/>
        </w:rPr>
        <w:t>营及业务发展需要，公司于2024年8月2日与中国光大银行股份有限公司昆明分行签订《最高额保证合同》，为控股子公司云变电气与中国光大银行股份有限公司昆明分行签订的《综合授信协议》提供不超过6,000万元人民币的连带责任担保。</w:t>
      </w:r>
    </w:p>
    <w:p w14:paraId="21D9BB26">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本次担保无反担保情形，云变电气其他股东对本次担保不提供对应比例的担保，本次担保前公司为云变电气提供的担保余额为0，可用担保额度为90,000万元人民币（或等值外币）。</w:t>
      </w:r>
    </w:p>
    <w:p w14:paraId="0C400720">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（二）本次担保决策程序</w:t>
      </w:r>
    </w:p>
    <w:p w14:paraId="72E241AE">
      <w:pPr>
        <w:spacing w:line="560" w:lineRule="exact"/>
        <w:ind w:firstLine="480" w:firstLineChars="200"/>
        <w:rPr>
          <w:rFonts w:hint="default" w:ascii="宋体" w:hAnsi="宋体" w:eastAsia="宋体" w:cs="宋体"/>
          <w:kern w:val="0"/>
          <w:sz w:val="24"/>
          <w:szCs w:val="24"/>
          <w:highlight w:val="yellow"/>
          <w:lang w:val="en-US" w:eastAsia="zh-CN"/>
        </w:rPr>
      </w:pPr>
      <w:r>
        <w:rPr>
          <w:rFonts w:hint="eastAsia" w:ascii="宋体" w:hAnsi="宋体" w:cs="宋体"/>
          <w:kern w:val="0"/>
          <w:sz w:val="24"/>
          <w:szCs w:val="24"/>
        </w:rPr>
        <w:t>公司于2024年4月24日召开第四届董事会第五次会议、第四届监事会第四次会议审议通过《关于</w:t>
      </w:r>
      <w:bookmarkStart w:id="0" w:name="_Hlk164110070"/>
      <w:r>
        <w:rPr>
          <w:rFonts w:hint="eastAsia" w:ascii="宋体" w:hAnsi="宋体" w:cs="宋体"/>
          <w:kern w:val="0"/>
          <w:sz w:val="24"/>
          <w:szCs w:val="24"/>
        </w:rPr>
        <w:t>为子公司云南变压器电气股份有限公司</w:t>
      </w:r>
      <w:bookmarkEnd w:id="0"/>
      <w:r>
        <w:rPr>
          <w:rFonts w:hint="eastAsia" w:ascii="宋体" w:hAnsi="宋体" w:cs="宋体"/>
          <w:kern w:val="0"/>
          <w:sz w:val="24"/>
          <w:szCs w:val="24"/>
        </w:rPr>
        <w:t>申请授信提供担保的议案》，同意为控股子公司云变电气向银行等金融机构申请综合授信或借款提供总额度不超过90,000万元人民币（或等值外币）的担保，该额度有效期自股东大会审议通过</w:t>
      </w:r>
      <w:r>
        <w:rPr>
          <w:rFonts w:hint="eastAsia" w:ascii="宋体" w:hAnsi="宋体" w:cs="宋体"/>
          <w:kern w:val="0"/>
          <w:sz w:val="24"/>
          <w:szCs w:val="24"/>
          <w:highlight w:val="none"/>
        </w:rPr>
        <w:t>之日起至2024年12月31日止，该担保事项已提交公司2023年度股东大会审议通过。</w:t>
      </w:r>
      <w:r>
        <w:rPr>
          <w:rFonts w:hint="eastAsia" w:ascii="宋体" w:hAnsi="宋体" w:cs="宋体"/>
          <w:kern w:val="0"/>
          <w:sz w:val="24"/>
          <w:szCs w:val="24"/>
          <w:highlight w:val="none"/>
          <w:lang w:val="en-US" w:eastAsia="zh-CN"/>
        </w:rPr>
        <w:t>具体情况详见公司在上海证券交易所官网披露的《关于为子公司申请授信提供担保的公告》（公告编号：2024-036）和《2023年年度股东大会决议公告》(公告编号：2024-040）。</w:t>
      </w:r>
    </w:p>
    <w:p w14:paraId="20943DCC">
      <w:pPr>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本次担保事项属于公司2023年年度股东大会授权范围并在有效期内，无需再次提交公司董事会、股东大会审议。</w:t>
      </w:r>
    </w:p>
    <w:p w14:paraId="594DC512">
      <w:pPr>
        <w:numPr>
          <w:ilvl w:val="0"/>
          <w:numId w:val="15"/>
        </w:num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被担保人基本情况</w:t>
      </w:r>
    </w:p>
    <w:p w14:paraId="2AF5F25E">
      <w:pPr>
        <w:widowControl/>
        <w:numPr>
          <w:ilvl w:val="0"/>
          <w:numId w:val="0"/>
        </w:numPr>
        <w:kinsoku w:val="0"/>
        <w:autoSpaceDE w:val="0"/>
        <w:autoSpaceDN w:val="0"/>
        <w:adjustRightInd w:val="0"/>
        <w:snapToGrid w:val="0"/>
        <w:spacing w:line="560" w:lineRule="exact"/>
        <w:jc w:val="left"/>
        <w:textAlignment w:val="baseline"/>
        <w:rPr>
          <w:rFonts w:hint="eastAsia" w:ascii="宋体" w:hAnsi="宋体" w:cs="宋体"/>
          <w:bCs/>
          <w:snapToGrid w:val="0"/>
          <w:kern w:val="0"/>
          <w:sz w:val="24"/>
          <w:szCs w:val="24"/>
          <w:lang w:val="en-US" w:eastAsia="zh-CN"/>
        </w:rPr>
      </w:pPr>
      <w:r>
        <w:rPr>
          <w:rFonts w:hint="eastAsia" w:ascii="宋体" w:hAnsi="宋体" w:cs="宋体"/>
          <w:bCs/>
          <w:snapToGrid w:val="0"/>
          <w:kern w:val="0"/>
          <w:sz w:val="24"/>
          <w:szCs w:val="24"/>
          <w:lang w:val="en-US" w:eastAsia="zh-CN"/>
        </w:rPr>
        <w:t>1、被保人基本情况</w:t>
      </w:r>
    </w:p>
    <w:p w14:paraId="425B9976">
      <w:pPr>
        <w:widowControl/>
        <w:numPr>
          <w:ilvl w:val="0"/>
          <w:numId w:val="0"/>
        </w:numPr>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 xml:space="preserve">被担保人名称：云南变压器电气股份有限公司 </w:t>
      </w:r>
    </w:p>
    <w:p w14:paraId="22D2390D">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成立时间：1999年01月23日</w:t>
      </w:r>
    </w:p>
    <w:p w14:paraId="78AEC87D">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 xml:space="preserve">注册地点：中国（云南）自由贸易试验区昆明片区经开区洛羊街道办事处拓翔路212号 </w:t>
      </w:r>
    </w:p>
    <w:p w14:paraId="1E220FE3">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统一社会信用代码：91530000713402501X</w:t>
      </w:r>
    </w:p>
    <w:p w14:paraId="40548307">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法定代表人：肖斌</w:t>
      </w:r>
    </w:p>
    <w:p w14:paraId="1317758E">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注册资本：人民币 10,041.3641万元</w:t>
      </w:r>
    </w:p>
    <w:p w14:paraId="345C0A74">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主要股东：望变电气持股79.97%</w:t>
      </w:r>
    </w:p>
    <w:p w14:paraId="38D943DA">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经营范围：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p w14:paraId="3D39C20C">
      <w:pPr>
        <w:widowControl/>
        <w:kinsoku w:val="0"/>
        <w:autoSpaceDE w:val="0"/>
        <w:autoSpaceDN w:val="0"/>
        <w:adjustRightInd w:val="0"/>
        <w:snapToGrid w:val="0"/>
        <w:spacing w:line="560" w:lineRule="exact"/>
        <w:jc w:val="left"/>
        <w:textAlignment w:val="baseline"/>
        <w:rPr>
          <w:rFonts w:hint="eastAsia" w:ascii="宋体" w:hAnsi="宋体" w:cs="宋体"/>
          <w:bCs/>
          <w:snapToGrid w:val="0"/>
          <w:kern w:val="0"/>
          <w:sz w:val="24"/>
          <w:szCs w:val="24"/>
        </w:rPr>
      </w:pPr>
      <w:r>
        <w:rPr>
          <w:rFonts w:hint="eastAsia" w:ascii="宋体" w:hAnsi="宋体" w:cs="宋体"/>
          <w:bCs/>
          <w:snapToGrid w:val="0"/>
          <w:kern w:val="0"/>
          <w:sz w:val="24"/>
          <w:szCs w:val="24"/>
        </w:rPr>
        <w:t>2、被担保人最近一年及一期的财务数据：</w:t>
      </w:r>
    </w:p>
    <w:p w14:paraId="4CA9FFB0">
      <w:pPr>
        <w:widowControl/>
        <w:kinsoku w:val="0"/>
        <w:autoSpaceDE w:val="0"/>
        <w:autoSpaceDN w:val="0"/>
        <w:adjustRightInd w:val="0"/>
        <w:snapToGrid w:val="0"/>
        <w:spacing w:line="560" w:lineRule="exact"/>
        <w:jc w:val="right"/>
        <w:textAlignment w:val="baseline"/>
        <w:rPr>
          <w:rFonts w:hint="eastAsia" w:ascii="宋体" w:hAnsi="宋体" w:cs="宋体"/>
          <w:bCs/>
          <w:snapToGrid w:val="0"/>
          <w:kern w:val="0"/>
          <w:sz w:val="21"/>
          <w:szCs w:val="21"/>
          <w:lang w:eastAsia="en-US"/>
        </w:rPr>
      </w:pPr>
      <w:r>
        <w:rPr>
          <w:rFonts w:hint="eastAsia" w:ascii="宋体" w:hAnsi="宋体" w:cs="宋体"/>
          <w:bCs/>
          <w:snapToGrid w:val="0"/>
          <w:kern w:val="0"/>
          <w:sz w:val="21"/>
          <w:szCs w:val="21"/>
          <w:lang w:val="en-US" w:eastAsia="zh-CN"/>
        </w:rPr>
        <w:t xml:space="preserve">  </w:t>
      </w:r>
      <w:r>
        <w:rPr>
          <w:rFonts w:hint="eastAsia" w:ascii="宋体" w:hAnsi="宋体" w:cs="宋体"/>
          <w:bCs/>
          <w:snapToGrid w:val="0"/>
          <w:kern w:val="0"/>
          <w:sz w:val="21"/>
          <w:szCs w:val="21"/>
          <w:lang w:eastAsia="en-US"/>
        </w:rPr>
        <w:t>单位：人民币/万元</w:t>
      </w:r>
    </w:p>
    <w:tbl>
      <w:tblPr>
        <w:tblStyle w:val="88"/>
        <w:tblW w:w="4998" w:type="pct"/>
        <w:tblInd w:w="1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1622"/>
        <w:gridCol w:w="3488"/>
        <w:gridCol w:w="3409"/>
      </w:tblGrid>
      <w:tr w14:paraId="1BC816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35" w:hRule="atLeast"/>
        </w:trPr>
        <w:tc>
          <w:tcPr>
            <w:tcW w:w="952" w:type="pct"/>
            <w:shd w:val="clear" w:color="auto" w:fill="auto"/>
            <w:vAlign w:val="center"/>
          </w:tcPr>
          <w:p w14:paraId="310A996C">
            <w:pPr>
              <w:widowControl/>
              <w:jc w:val="center"/>
              <w:textAlignment w:val="top"/>
              <w:rPr>
                <w:rFonts w:hint="eastAsia" w:ascii="宋体" w:hAnsi="宋体" w:cs="宋体"/>
                <w:b/>
                <w:bCs/>
                <w:color w:val="000000"/>
                <w:szCs w:val="21"/>
              </w:rPr>
            </w:pPr>
            <w:r>
              <w:rPr>
                <w:rStyle w:val="147"/>
                <w:rFonts w:hint="default"/>
                <w:sz w:val="21"/>
                <w:szCs w:val="21"/>
                <w:lang w:bidi="ar"/>
              </w:rPr>
              <w:t>科目</w:t>
            </w:r>
          </w:p>
        </w:tc>
        <w:tc>
          <w:tcPr>
            <w:tcW w:w="2047" w:type="pct"/>
            <w:shd w:val="clear" w:color="auto" w:fill="auto"/>
            <w:vAlign w:val="center"/>
          </w:tcPr>
          <w:p w14:paraId="7DF1E83F">
            <w:pPr>
              <w:widowControl/>
              <w:jc w:val="center"/>
              <w:textAlignment w:val="top"/>
              <w:rPr>
                <w:rStyle w:val="147"/>
                <w:rFonts w:hint="default" w:eastAsia="宋体"/>
                <w:sz w:val="21"/>
                <w:szCs w:val="21"/>
                <w:lang w:val="en-US" w:eastAsia="zh-CN" w:bidi="ar"/>
              </w:rPr>
            </w:pPr>
            <w:r>
              <w:rPr>
                <w:rFonts w:hint="eastAsia" w:ascii="宋体" w:hAnsi="宋体" w:cs="宋体"/>
                <w:b/>
                <w:bCs/>
                <w:color w:val="000000"/>
                <w:kern w:val="0"/>
                <w:szCs w:val="21"/>
                <w:lang w:bidi="ar"/>
              </w:rPr>
              <w:t>202</w:t>
            </w:r>
            <w:r>
              <w:rPr>
                <w:rFonts w:hint="eastAsia" w:ascii="宋体" w:hAnsi="宋体" w:cs="宋体"/>
                <w:b/>
                <w:bCs/>
                <w:color w:val="000000"/>
                <w:kern w:val="0"/>
                <w:szCs w:val="21"/>
                <w:lang w:val="en-US" w:eastAsia="zh-CN" w:bidi="ar"/>
              </w:rPr>
              <w:t>4</w:t>
            </w:r>
            <w:r>
              <w:rPr>
                <w:rFonts w:hint="eastAsia" w:ascii="宋体" w:hAnsi="宋体" w:cs="宋体"/>
                <w:b/>
                <w:bCs/>
                <w:color w:val="000000"/>
                <w:kern w:val="0"/>
                <w:szCs w:val="21"/>
                <w:lang w:bidi="ar"/>
              </w:rPr>
              <w:t>年</w:t>
            </w:r>
            <w:r>
              <w:rPr>
                <w:rFonts w:hint="eastAsia" w:ascii="宋体" w:hAnsi="宋体" w:cs="宋体"/>
                <w:b/>
                <w:bCs/>
                <w:color w:val="000000"/>
                <w:kern w:val="0"/>
                <w:szCs w:val="21"/>
                <w:lang w:val="en-US" w:eastAsia="zh-CN" w:bidi="ar"/>
              </w:rPr>
              <w:t>3</w:t>
            </w:r>
            <w:r>
              <w:rPr>
                <w:rFonts w:hint="eastAsia" w:ascii="宋体" w:hAnsi="宋体" w:cs="宋体"/>
                <w:b/>
                <w:bCs/>
                <w:color w:val="000000"/>
                <w:kern w:val="0"/>
                <w:szCs w:val="21"/>
                <w:lang w:bidi="ar"/>
              </w:rPr>
              <w:t>月</w:t>
            </w:r>
            <w:r>
              <w:rPr>
                <w:rStyle w:val="147"/>
                <w:rFonts w:hint="default"/>
                <w:sz w:val="21"/>
                <w:szCs w:val="21"/>
                <w:lang w:bidi="ar"/>
              </w:rPr>
              <w:t>31日/202</w:t>
            </w:r>
            <w:r>
              <w:rPr>
                <w:rStyle w:val="147"/>
                <w:rFonts w:hint="eastAsia"/>
                <w:sz w:val="21"/>
                <w:szCs w:val="21"/>
                <w:lang w:val="en-US" w:eastAsia="zh-CN" w:bidi="ar"/>
              </w:rPr>
              <w:t>4</w:t>
            </w:r>
            <w:r>
              <w:rPr>
                <w:rStyle w:val="147"/>
                <w:rFonts w:hint="default"/>
                <w:sz w:val="21"/>
                <w:szCs w:val="21"/>
                <w:lang w:bidi="ar"/>
              </w:rPr>
              <w:t>年</w:t>
            </w:r>
            <w:r>
              <w:rPr>
                <w:rStyle w:val="147"/>
                <w:rFonts w:hint="eastAsia"/>
                <w:sz w:val="21"/>
                <w:szCs w:val="21"/>
                <w:lang w:val="en-US" w:eastAsia="zh-CN" w:bidi="ar"/>
              </w:rPr>
              <w:t>第一季度</w:t>
            </w:r>
          </w:p>
          <w:p w14:paraId="0283BDEA">
            <w:pPr>
              <w:widowControl/>
              <w:jc w:val="center"/>
              <w:textAlignment w:val="top"/>
              <w:rPr>
                <w:rFonts w:hint="eastAsia" w:ascii="宋体" w:hAnsi="宋体" w:cs="宋体"/>
                <w:b/>
                <w:bCs/>
                <w:color w:val="000000"/>
                <w:szCs w:val="21"/>
              </w:rPr>
            </w:pPr>
            <w:r>
              <w:rPr>
                <w:rStyle w:val="147"/>
                <w:rFonts w:hint="default"/>
                <w:sz w:val="21"/>
                <w:szCs w:val="21"/>
                <w:lang w:bidi="ar"/>
              </w:rPr>
              <w:t>（</w:t>
            </w:r>
            <w:r>
              <w:rPr>
                <w:rStyle w:val="147"/>
                <w:rFonts w:hint="eastAsia"/>
                <w:sz w:val="21"/>
                <w:szCs w:val="21"/>
                <w:lang w:val="en-US" w:eastAsia="zh-CN" w:bidi="ar"/>
              </w:rPr>
              <w:t>未经</w:t>
            </w:r>
            <w:r>
              <w:rPr>
                <w:rStyle w:val="147"/>
                <w:rFonts w:hint="default"/>
                <w:sz w:val="21"/>
                <w:szCs w:val="21"/>
                <w:lang w:bidi="ar"/>
              </w:rPr>
              <w:t>审计）</w:t>
            </w:r>
          </w:p>
        </w:tc>
        <w:tc>
          <w:tcPr>
            <w:tcW w:w="2000" w:type="pct"/>
            <w:shd w:val="clear" w:color="auto" w:fill="auto"/>
            <w:vAlign w:val="center"/>
          </w:tcPr>
          <w:p w14:paraId="2E48BC55">
            <w:pPr>
              <w:widowControl/>
              <w:jc w:val="center"/>
              <w:textAlignment w:val="top"/>
              <w:rPr>
                <w:rStyle w:val="147"/>
                <w:rFonts w:hint="default"/>
                <w:sz w:val="21"/>
                <w:szCs w:val="21"/>
                <w:lang w:bidi="ar"/>
              </w:rPr>
            </w:pPr>
            <w:r>
              <w:rPr>
                <w:rFonts w:hint="eastAsia" w:ascii="宋体" w:hAnsi="宋体" w:cs="宋体"/>
                <w:b/>
                <w:bCs/>
                <w:color w:val="000000"/>
                <w:kern w:val="0"/>
                <w:szCs w:val="21"/>
                <w:lang w:bidi="ar"/>
              </w:rPr>
              <w:t>2023年12月</w:t>
            </w:r>
            <w:r>
              <w:rPr>
                <w:rStyle w:val="147"/>
                <w:rFonts w:hint="default"/>
                <w:sz w:val="21"/>
                <w:szCs w:val="21"/>
                <w:lang w:bidi="ar"/>
              </w:rPr>
              <w:t>31日/2023年度</w:t>
            </w:r>
          </w:p>
          <w:p w14:paraId="6EEA57C1">
            <w:pPr>
              <w:widowControl/>
              <w:jc w:val="center"/>
              <w:textAlignment w:val="top"/>
              <w:rPr>
                <w:rFonts w:hint="eastAsia" w:ascii="宋体" w:hAnsi="宋体" w:cs="宋体"/>
                <w:b/>
                <w:bCs/>
                <w:color w:val="000000"/>
                <w:szCs w:val="21"/>
              </w:rPr>
            </w:pPr>
            <w:r>
              <w:rPr>
                <w:rStyle w:val="147"/>
                <w:rFonts w:hint="default"/>
                <w:sz w:val="21"/>
                <w:szCs w:val="21"/>
                <w:lang w:bidi="ar"/>
              </w:rPr>
              <w:t>（</w:t>
            </w:r>
            <w:r>
              <w:rPr>
                <w:rStyle w:val="147"/>
                <w:sz w:val="21"/>
                <w:szCs w:val="21"/>
                <w:lang w:bidi="ar"/>
              </w:rPr>
              <w:t>已经大信会计师事务所</w:t>
            </w:r>
            <w:r>
              <w:rPr>
                <w:rStyle w:val="147"/>
                <w:rFonts w:hint="default"/>
                <w:sz w:val="21"/>
                <w:szCs w:val="21"/>
                <w:lang w:bidi="ar"/>
              </w:rPr>
              <w:t>审计）</w:t>
            </w:r>
          </w:p>
        </w:tc>
      </w:tr>
      <w:tr w14:paraId="76D732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14:paraId="0C396478">
            <w:pPr>
              <w:widowControl/>
              <w:jc w:val="center"/>
              <w:textAlignment w:val="top"/>
              <w:rPr>
                <w:rFonts w:hint="eastAsia" w:ascii="宋体" w:hAnsi="宋体" w:cs="宋体"/>
                <w:color w:val="000000"/>
                <w:szCs w:val="21"/>
              </w:rPr>
            </w:pPr>
            <w:r>
              <w:rPr>
                <w:rStyle w:val="148"/>
                <w:rFonts w:hint="default"/>
                <w:sz w:val="21"/>
                <w:szCs w:val="21"/>
                <w:lang w:bidi="ar"/>
              </w:rPr>
              <w:t>资产总额</w:t>
            </w:r>
          </w:p>
        </w:tc>
        <w:tc>
          <w:tcPr>
            <w:tcW w:w="2047" w:type="pct"/>
            <w:shd w:val="clear" w:color="auto" w:fill="auto"/>
            <w:vAlign w:val="center"/>
          </w:tcPr>
          <w:p w14:paraId="6E88F1F8">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158</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318</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0</w:t>
            </w:r>
            <w:r>
              <w:rPr>
                <w:rFonts w:hint="eastAsia" w:ascii="宋体" w:hAnsi="宋体" w:cs="宋体"/>
                <w:color w:val="000000"/>
                <w:kern w:val="0"/>
                <w:szCs w:val="21"/>
                <w:lang w:val="en-US" w:eastAsia="zh-CN" w:bidi="ar"/>
              </w:rPr>
              <w:t>7</w:t>
            </w:r>
            <w:r>
              <w:rPr>
                <w:rFonts w:hint="eastAsia" w:ascii="宋体" w:hAnsi="宋体" w:cs="宋体"/>
                <w:color w:val="000000"/>
                <w:kern w:val="0"/>
                <w:szCs w:val="21"/>
                <w:lang w:bidi="ar"/>
              </w:rPr>
              <w:t xml:space="preserve"> </w:t>
            </w:r>
          </w:p>
        </w:tc>
        <w:tc>
          <w:tcPr>
            <w:tcW w:w="2000" w:type="pct"/>
            <w:shd w:val="clear" w:color="auto" w:fill="auto"/>
            <w:vAlign w:val="center"/>
          </w:tcPr>
          <w:p w14:paraId="2A80229C">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158,731.03</w:t>
            </w:r>
          </w:p>
        </w:tc>
      </w:tr>
      <w:tr w14:paraId="1DC8C2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14:paraId="45A3F20A">
            <w:pPr>
              <w:widowControl/>
              <w:jc w:val="center"/>
              <w:textAlignment w:val="top"/>
              <w:rPr>
                <w:rFonts w:hint="eastAsia" w:ascii="宋体" w:hAnsi="宋体" w:cs="宋体"/>
                <w:color w:val="000000"/>
                <w:szCs w:val="21"/>
              </w:rPr>
            </w:pPr>
            <w:r>
              <w:rPr>
                <w:rStyle w:val="148"/>
                <w:rFonts w:hint="default"/>
                <w:sz w:val="21"/>
                <w:szCs w:val="21"/>
                <w:lang w:bidi="ar"/>
              </w:rPr>
              <w:t>负债总额</w:t>
            </w:r>
          </w:p>
        </w:tc>
        <w:tc>
          <w:tcPr>
            <w:tcW w:w="2047" w:type="pct"/>
            <w:shd w:val="clear" w:color="auto" w:fill="auto"/>
            <w:vAlign w:val="center"/>
          </w:tcPr>
          <w:p w14:paraId="506CCE5F">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92</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239</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 xml:space="preserve">90 </w:t>
            </w:r>
          </w:p>
        </w:tc>
        <w:tc>
          <w:tcPr>
            <w:tcW w:w="2000" w:type="pct"/>
            <w:shd w:val="clear" w:color="auto" w:fill="auto"/>
            <w:vAlign w:val="center"/>
          </w:tcPr>
          <w:p w14:paraId="112BD9C9">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91,439.85</w:t>
            </w:r>
          </w:p>
        </w:tc>
      </w:tr>
      <w:tr w14:paraId="14EACB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14:paraId="464A38E0">
            <w:pPr>
              <w:widowControl/>
              <w:jc w:val="center"/>
              <w:textAlignment w:val="top"/>
              <w:rPr>
                <w:rFonts w:hint="eastAsia" w:ascii="宋体" w:hAnsi="宋体" w:cs="宋体"/>
                <w:color w:val="000000"/>
                <w:szCs w:val="21"/>
              </w:rPr>
            </w:pPr>
            <w:r>
              <w:rPr>
                <w:rStyle w:val="148"/>
                <w:rFonts w:hint="default"/>
                <w:sz w:val="21"/>
                <w:szCs w:val="21"/>
                <w:lang w:bidi="ar"/>
              </w:rPr>
              <w:t>净资产</w:t>
            </w:r>
          </w:p>
        </w:tc>
        <w:tc>
          <w:tcPr>
            <w:tcW w:w="2047" w:type="pct"/>
            <w:shd w:val="clear" w:color="auto" w:fill="auto"/>
            <w:vAlign w:val="center"/>
          </w:tcPr>
          <w:p w14:paraId="401056D0">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66</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078</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 xml:space="preserve">16 </w:t>
            </w:r>
          </w:p>
        </w:tc>
        <w:tc>
          <w:tcPr>
            <w:tcW w:w="2000" w:type="pct"/>
            <w:shd w:val="clear" w:color="auto" w:fill="auto"/>
            <w:vAlign w:val="center"/>
          </w:tcPr>
          <w:p w14:paraId="0E6701DC">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67,291.18</w:t>
            </w:r>
          </w:p>
        </w:tc>
      </w:tr>
      <w:tr w14:paraId="752914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14:paraId="14969A9A">
            <w:pPr>
              <w:widowControl/>
              <w:jc w:val="center"/>
              <w:textAlignment w:val="top"/>
              <w:rPr>
                <w:rFonts w:hint="eastAsia" w:ascii="宋体" w:hAnsi="宋体" w:cs="宋体"/>
                <w:color w:val="000000"/>
                <w:szCs w:val="21"/>
              </w:rPr>
            </w:pPr>
            <w:r>
              <w:rPr>
                <w:rStyle w:val="148"/>
                <w:rFonts w:hint="default"/>
                <w:sz w:val="21"/>
                <w:szCs w:val="21"/>
                <w:lang w:bidi="ar"/>
              </w:rPr>
              <w:t>营业收入</w:t>
            </w:r>
          </w:p>
        </w:tc>
        <w:tc>
          <w:tcPr>
            <w:tcW w:w="2047" w:type="pct"/>
            <w:shd w:val="clear" w:color="auto" w:fill="auto"/>
            <w:vAlign w:val="center"/>
          </w:tcPr>
          <w:p w14:paraId="29567814">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8</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860</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 xml:space="preserve">84 </w:t>
            </w:r>
          </w:p>
        </w:tc>
        <w:tc>
          <w:tcPr>
            <w:tcW w:w="2000" w:type="pct"/>
            <w:shd w:val="clear" w:color="auto" w:fill="auto"/>
            <w:vAlign w:val="center"/>
          </w:tcPr>
          <w:p w14:paraId="1141833D">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80,828.53</w:t>
            </w:r>
          </w:p>
        </w:tc>
      </w:tr>
      <w:tr w14:paraId="3E9D3A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atLeast"/>
        </w:trPr>
        <w:tc>
          <w:tcPr>
            <w:tcW w:w="952" w:type="pct"/>
            <w:shd w:val="clear" w:color="auto" w:fill="auto"/>
            <w:vAlign w:val="center"/>
          </w:tcPr>
          <w:p w14:paraId="0EC8E732">
            <w:pPr>
              <w:widowControl/>
              <w:jc w:val="center"/>
              <w:textAlignment w:val="top"/>
              <w:rPr>
                <w:rFonts w:hint="eastAsia" w:ascii="宋体" w:hAnsi="宋体" w:cs="宋体"/>
                <w:color w:val="000000"/>
                <w:szCs w:val="21"/>
              </w:rPr>
            </w:pPr>
            <w:r>
              <w:rPr>
                <w:rStyle w:val="148"/>
                <w:rFonts w:hint="default"/>
                <w:sz w:val="21"/>
                <w:szCs w:val="21"/>
                <w:lang w:bidi="ar"/>
              </w:rPr>
              <w:t>净利润</w:t>
            </w:r>
          </w:p>
        </w:tc>
        <w:tc>
          <w:tcPr>
            <w:tcW w:w="2047" w:type="pct"/>
            <w:shd w:val="clear" w:color="auto" w:fill="auto"/>
            <w:vAlign w:val="center"/>
          </w:tcPr>
          <w:p w14:paraId="5335955C">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-1</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922</w:t>
            </w:r>
            <w:r>
              <w:rPr>
                <w:rFonts w:hint="eastAsia" w:ascii="宋体" w:hAnsi="宋体" w:cs="宋体"/>
                <w:color w:val="000000"/>
                <w:kern w:val="0"/>
                <w:szCs w:val="21"/>
                <w:lang w:val="en-US" w:eastAsia="zh-CN" w:bidi="ar"/>
              </w:rPr>
              <w:t>.</w:t>
            </w:r>
            <w:r>
              <w:rPr>
                <w:rFonts w:hint="eastAsia" w:ascii="宋体" w:hAnsi="宋体" w:cs="宋体"/>
                <w:color w:val="000000"/>
                <w:kern w:val="0"/>
                <w:szCs w:val="21"/>
                <w:lang w:bidi="ar"/>
              </w:rPr>
              <w:t xml:space="preserve">85 </w:t>
            </w:r>
          </w:p>
        </w:tc>
        <w:tc>
          <w:tcPr>
            <w:tcW w:w="2000" w:type="pct"/>
            <w:shd w:val="clear" w:color="auto" w:fill="auto"/>
            <w:vAlign w:val="center"/>
          </w:tcPr>
          <w:p w14:paraId="5616984A">
            <w:pPr>
              <w:widowControl/>
              <w:jc w:val="right"/>
              <w:textAlignment w:val="center"/>
              <w:rPr>
                <w:rFonts w:hint="eastAsia" w:ascii="宋体" w:hAnsi="宋体" w:cs="宋体"/>
                <w:color w:val="000000"/>
                <w:szCs w:val="21"/>
              </w:rPr>
            </w:pPr>
            <w:r>
              <w:rPr>
                <w:rFonts w:hint="eastAsia" w:ascii="宋体" w:hAnsi="宋体" w:cs="宋体"/>
                <w:color w:val="000000"/>
                <w:kern w:val="0"/>
                <w:szCs w:val="21"/>
                <w:lang w:bidi="ar"/>
              </w:rPr>
              <w:t>8,112.29</w:t>
            </w:r>
          </w:p>
        </w:tc>
      </w:tr>
    </w:tbl>
    <w:p w14:paraId="60381D43">
      <w:pPr>
        <w:autoSpaceDE w:val="0"/>
        <w:autoSpaceDN w:val="0"/>
        <w:adjustRightInd w:val="0"/>
        <w:spacing w:line="560" w:lineRule="exact"/>
        <w:rPr>
          <w:rFonts w:hint="eastAsia" w:ascii="宋体" w:hAnsi="宋体" w:cs="宋体"/>
          <w:b/>
          <w:kern w:val="0"/>
          <w:sz w:val="24"/>
          <w:szCs w:val="24"/>
        </w:rPr>
      </w:pPr>
      <w:r>
        <w:rPr>
          <w:rFonts w:hint="eastAsia" w:ascii="宋体" w:hAnsi="宋体" w:cs="宋体"/>
          <w:b/>
          <w:kern w:val="0"/>
          <w:sz w:val="24"/>
          <w:szCs w:val="24"/>
        </w:rPr>
        <w:t>三、担保协议的主要内容</w:t>
      </w:r>
    </w:p>
    <w:p w14:paraId="1DF6D311">
      <w:pPr>
        <w:autoSpaceDE w:val="0"/>
        <w:autoSpaceDN w:val="0"/>
        <w:adjustRightInd w:val="0"/>
        <w:spacing w:line="560" w:lineRule="exact"/>
        <w:ind w:firstLine="720" w:firstLineChars="300"/>
        <w:rPr>
          <w:rFonts w:ascii="宋体" w:hAnsi="宋体" w:cs="宋体"/>
          <w:kern w:val="0"/>
          <w:sz w:val="24"/>
          <w:szCs w:val="24"/>
        </w:rPr>
      </w:pPr>
      <w:r>
        <w:rPr>
          <w:rFonts w:hint="eastAsia" w:ascii="宋体" w:hAnsi="宋体" w:cs="宋体"/>
          <w:kern w:val="0"/>
          <w:sz w:val="24"/>
          <w:szCs w:val="24"/>
        </w:rPr>
        <w:t>《最高额保证合同》</w:t>
      </w:r>
    </w:p>
    <w:p w14:paraId="61337651">
      <w:pPr>
        <w:autoSpaceDE w:val="0"/>
        <w:autoSpaceDN w:val="0"/>
        <w:adjustRightInd w:val="0"/>
        <w:spacing w:line="560" w:lineRule="exact"/>
        <w:ind w:firstLine="720" w:firstLineChars="300"/>
        <w:rPr>
          <w:rFonts w:ascii="宋体" w:hAnsi="宋体" w:cs="宋体"/>
          <w:kern w:val="0"/>
          <w:sz w:val="24"/>
          <w:szCs w:val="24"/>
        </w:rPr>
      </w:pPr>
      <w:r>
        <w:rPr>
          <w:rFonts w:hint="eastAsia" w:ascii="宋体" w:hAnsi="宋体" w:cs="宋体"/>
          <w:kern w:val="0"/>
          <w:sz w:val="24"/>
          <w:szCs w:val="24"/>
        </w:rPr>
        <w:t>1、合同签署人</w:t>
      </w:r>
    </w:p>
    <w:p w14:paraId="315FBD90">
      <w:pPr>
        <w:autoSpaceDE w:val="0"/>
        <w:autoSpaceDN w:val="0"/>
        <w:adjustRightInd w:val="0"/>
        <w:spacing w:line="560" w:lineRule="exact"/>
        <w:ind w:firstLine="720" w:firstLineChars="300"/>
        <w:rPr>
          <w:rFonts w:ascii="宋体" w:hAnsi="宋体" w:cs="宋体"/>
          <w:kern w:val="0"/>
          <w:sz w:val="24"/>
          <w:szCs w:val="24"/>
        </w:rPr>
      </w:pPr>
      <w:r>
        <w:rPr>
          <w:rFonts w:hint="eastAsia" w:ascii="宋体" w:hAnsi="宋体" w:cs="宋体"/>
          <w:kern w:val="0"/>
          <w:sz w:val="24"/>
          <w:szCs w:val="24"/>
        </w:rPr>
        <w:t>保证人：重庆望变电气（集团）股份有限公司</w:t>
      </w:r>
    </w:p>
    <w:p w14:paraId="365B2BA7">
      <w:pPr>
        <w:autoSpaceDE w:val="0"/>
        <w:autoSpaceDN w:val="0"/>
        <w:adjustRightInd w:val="0"/>
        <w:spacing w:line="560" w:lineRule="exact"/>
        <w:ind w:firstLine="720" w:firstLineChars="300"/>
        <w:rPr>
          <w:rFonts w:ascii="宋体" w:hAnsi="宋体" w:cs="宋体"/>
          <w:kern w:val="0"/>
          <w:sz w:val="24"/>
          <w:szCs w:val="24"/>
        </w:rPr>
      </w:pPr>
      <w:r>
        <w:rPr>
          <w:rFonts w:hint="eastAsia" w:ascii="宋体" w:hAnsi="宋体" w:cs="宋体"/>
          <w:kern w:val="0"/>
          <w:sz w:val="24"/>
          <w:szCs w:val="24"/>
        </w:rPr>
        <w:t>授信人：中国光大银行股份有限公司昆明分行</w:t>
      </w:r>
    </w:p>
    <w:p w14:paraId="1666B83D">
      <w:pPr>
        <w:autoSpaceDE w:val="0"/>
        <w:autoSpaceDN w:val="0"/>
        <w:adjustRightInd w:val="0"/>
        <w:spacing w:line="560" w:lineRule="exact"/>
        <w:ind w:firstLine="720" w:firstLineChars="300"/>
        <w:rPr>
          <w:rFonts w:ascii="宋体" w:hAnsi="宋体" w:cs="宋体"/>
          <w:kern w:val="0"/>
          <w:sz w:val="24"/>
          <w:szCs w:val="24"/>
        </w:rPr>
      </w:pPr>
      <w:r>
        <w:rPr>
          <w:rFonts w:hint="eastAsia" w:ascii="宋体" w:hAnsi="宋体" w:cs="宋体"/>
          <w:kern w:val="0"/>
          <w:sz w:val="24"/>
          <w:szCs w:val="24"/>
        </w:rPr>
        <w:t>2、担保最高额度：6,000万元人民币</w:t>
      </w:r>
    </w:p>
    <w:p w14:paraId="0CB6EEBE">
      <w:pPr>
        <w:autoSpaceDE w:val="0"/>
        <w:autoSpaceDN w:val="0"/>
        <w:adjustRightInd w:val="0"/>
        <w:spacing w:line="560" w:lineRule="exact"/>
        <w:ind w:firstLine="720" w:firstLineChars="300"/>
        <w:rPr>
          <w:rFonts w:ascii="宋体" w:hAnsi="宋体" w:cs="宋体"/>
          <w:kern w:val="0"/>
          <w:sz w:val="24"/>
          <w:szCs w:val="24"/>
        </w:rPr>
      </w:pPr>
      <w:r>
        <w:rPr>
          <w:rFonts w:hint="eastAsia" w:ascii="宋体" w:hAnsi="宋体" w:cs="宋体"/>
          <w:kern w:val="0"/>
          <w:sz w:val="24"/>
          <w:szCs w:val="24"/>
        </w:rPr>
        <w:t>3、保证方式：连带责任担保</w:t>
      </w:r>
    </w:p>
    <w:p w14:paraId="158A8D7A">
      <w:pPr>
        <w:autoSpaceDE w:val="0"/>
        <w:autoSpaceDN w:val="0"/>
        <w:adjustRightInd w:val="0"/>
        <w:spacing w:line="560" w:lineRule="exact"/>
        <w:ind w:firstLine="720" w:firstLineChars="300"/>
        <w:rPr>
          <w:rFonts w:ascii="宋体" w:hAnsi="宋体" w:cs="宋体"/>
          <w:kern w:val="0"/>
          <w:sz w:val="24"/>
          <w:szCs w:val="24"/>
        </w:rPr>
      </w:pPr>
      <w:r>
        <w:rPr>
          <w:rFonts w:hint="eastAsia" w:ascii="宋体" w:hAnsi="宋体" w:cs="宋体"/>
          <w:kern w:val="0"/>
          <w:sz w:val="24"/>
          <w:szCs w:val="24"/>
        </w:rPr>
        <w:t>4、保证范围：受信人在主合同《综合授信协议》项下应向授信人偿还或支付的债务本金、利息（包括法定利息、约定利息及罚息）、复利、违约金、损害赔偿金、实现债权的费用（包括但不限于诉讼/仲裁费用、律师费用、公证费用、执行费用等）和所有其他应付的费用。</w:t>
      </w:r>
    </w:p>
    <w:p w14:paraId="59C242AF">
      <w:pPr>
        <w:autoSpaceDE w:val="0"/>
        <w:autoSpaceDN w:val="0"/>
        <w:adjustRightInd w:val="0"/>
        <w:spacing w:line="560" w:lineRule="exact"/>
        <w:ind w:firstLine="720" w:firstLineChars="300"/>
        <w:rPr>
          <w:rFonts w:ascii="宋体" w:hAnsi="宋体" w:cs="宋体"/>
          <w:kern w:val="0"/>
          <w:sz w:val="24"/>
          <w:szCs w:val="24"/>
        </w:rPr>
      </w:pPr>
      <w:r>
        <w:rPr>
          <w:rFonts w:hint="eastAsia" w:ascii="宋体" w:hAnsi="宋体" w:cs="宋体"/>
          <w:kern w:val="0"/>
          <w:sz w:val="24"/>
          <w:szCs w:val="24"/>
        </w:rPr>
        <w:t>5、保证期间：具体授信业务合同或协议约定的受信人履行债务期限届满之日起三年。如债务提前到期，保证期间为债务提前到期日起三年。保证人同意债务展期的，保证期间为展期协议重新约定的债务履行期限届满之日起三年。如具体授信业务合同或协议项下债务分期履行，则对母期债务而言，保证期间均为最后一期债务履行期限届满之日起三年。</w:t>
      </w:r>
    </w:p>
    <w:p w14:paraId="1DC773AF">
      <w:p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四、担保的必要性和合理性</w:t>
      </w:r>
    </w:p>
    <w:p w14:paraId="1274A516">
      <w:pPr>
        <w:pStyle w:val="81"/>
        <w:autoSpaceDE w:val="0"/>
        <w:autoSpaceDN w:val="0"/>
        <w:adjustRightInd w:val="0"/>
        <w:spacing w:beforeAutospacing="0" w:afterAutospacing="0" w:line="560" w:lineRule="exact"/>
        <w:ind w:firstLine="480" w:firstLineChars="200"/>
        <w:rPr>
          <w:rFonts w:hint="eastAsia" w:ascii="宋体" w:hAnsi="宋体" w:cs="宋体"/>
          <w:bCs/>
          <w:snapToGrid w:val="0"/>
          <w:szCs w:val="24"/>
        </w:rPr>
      </w:pPr>
      <w:r>
        <w:rPr>
          <w:rFonts w:hint="eastAsia" w:ascii="宋体" w:hAnsi="宋体" w:cs="宋体"/>
          <w:bCs/>
          <w:snapToGrid w:val="0"/>
          <w:szCs w:val="24"/>
        </w:rPr>
        <w:t>本次担保主要为满足子公司日常生产经营需要，保证其生产经营活动的顺利开展，符合公司实际经营情况和整体发展战略，具有必要性和合理性。被担保对象为公司控股子公司，公司对其日常经营活动和资信状况能够及时掌握，担保风险总体可控，不会对公司及股东特别是中小股东利益造成重大不利影响。</w:t>
      </w:r>
    </w:p>
    <w:p w14:paraId="42607769">
      <w:p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五、董事会意见</w:t>
      </w:r>
    </w:p>
    <w:p w14:paraId="277B6AAD">
      <w:pPr>
        <w:tabs>
          <w:tab w:val="left" w:pos="3468"/>
        </w:tabs>
        <w:autoSpaceDE w:val="0"/>
        <w:autoSpaceDN w:val="0"/>
        <w:adjustRightInd w:val="0"/>
        <w:spacing w:before="156" w:beforeLines="50" w:line="360" w:lineRule="auto"/>
        <w:ind w:firstLine="480" w:firstLineChars="200"/>
        <w:rPr>
          <w:rFonts w:hint="eastAsia" w:ascii="宋体" w:hAnsi="宋体" w:cs="宋体"/>
          <w:sz w:val="24"/>
          <w:szCs w:val="24"/>
        </w:rPr>
      </w:pPr>
      <w:r>
        <w:rPr>
          <w:rFonts w:ascii="宋体" w:hAnsi="宋体" w:cs="宋体"/>
          <w:sz w:val="24"/>
          <w:szCs w:val="24"/>
        </w:rPr>
        <w:t>本次担保是考虑子公司日常经营需求，符合相关法律法规及公司章程的规定，担保风险总体可控，有利于公司的生产经营和长远发展。</w:t>
      </w:r>
    </w:p>
    <w:p w14:paraId="4ABE662B">
      <w:pPr>
        <w:tabs>
          <w:tab w:val="left" w:pos="3468"/>
        </w:tabs>
        <w:autoSpaceDE w:val="0"/>
        <w:autoSpaceDN w:val="0"/>
        <w:adjustRightInd w:val="0"/>
        <w:spacing w:before="156" w:beforeLines="50" w:line="360" w:lineRule="auto"/>
        <w:ind w:firstLine="480" w:firstLineChars="200"/>
        <w:rPr>
          <w:rFonts w:hint="eastAsia" w:ascii="宋体" w:hAnsi="宋体" w:cs="宋体"/>
          <w:sz w:val="24"/>
          <w:szCs w:val="24"/>
        </w:rPr>
      </w:pPr>
      <w:r>
        <w:rPr>
          <w:rFonts w:hint="eastAsia" w:ascii="宋体" w:hAnsi="宋体" w:cs="宋体"/>
          <w:sz w:val="24"/>
          <w:szCs w:val="24"/>
        </w:rPr>
        <w:t>该事项已经公司第四届董事会第五次会议和2023年年度股东大会审议批准。</w:t>
      </w:r>
    </w:p>
    <w:p w14:paraId="2E7C878C">
      <w:p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六、累计对外担保数量及逾期担保的数量</w:t>
      </w:r>
    </w:p>
    <w:p w14:paraId="79CB1774">
      <w:pPr>
        <w:autoSpaceDE w:val="0"/>
        <w:autoSpaceDN w:val="0"/>
        <w:adjustRightInd w:val="0"/>
        <w:spacing w:before="156"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截至本公告披露日，公司对外担保均为对子公司的担保，担保总额为人民币</w:t>
      </w:r>
      <w:r>
        <w:rPr>
          <w:rFonts w:hint="eastAsia" w:ascii="宋体" w:hAnsi="宋体" w:cs="宋体"/>
          <w:bCs/>
          <w:sz w:val="24"/>
          <w:szCs w:val="24"/>
          <w:lang w:val="en-US" w:eastAsia="zh-CN"/>
        </w:rPr>
        <w:t>20</w:t>
      </w:r>
      <w:r>
        <w:rPr>
          <w:rFonts w:hint="eastAsia" w:ascii="宋体" w:hAnsi="宋体" w:cs="宋体"/>
          <w:bCs/>
          <w:sz w:val="24"/>
          <w:szCs w:val="24"/>
        </w:rPr>
        <w:t>,433.50万元</w:t>
      </w:r>
      <w:r>
        <w:rPr>
          <w:rFonts w:hint="eastAsia" w:ascii="宋体" w:hAnsi="宋体" w:cs="宋体"/>
          <w:bCs/>
          <w:sz w:val="24"/>
          <w:szCs w:val="24"/>
          <w:lang w:eastAsia="zh-CN"/>
        </w:rPr>
        <w:t>；</w:t>
      </w:r>
      <w:r>
        <w:rPr>
          <w:rFonts w:hint="eastAsia" w:ascii="宋体" w:hAnsi="宋体" w:cs="宋体"/>
          <w:bCs/>
          <w:sz w:val="24"/>
          <w:szCs w:val="24"/>
        </w:rPr>
        <w:t>担保余额</w:t>
      </w:r>
      <w:r>
        <w:rPr>
          <w:rFonts w:hint="eastAsia" w:ascii="宋体" w:hAnsi="宋体" w:cs="宋体"/>
          <w:bCs/>
          <w:sz w:val="24"/>
          <w:szCs w:val="24"/>
          <w:lang w:val="en-US" w:eastAsia="zh-CN"/>
        </w:rPr>
        <w:t>为</w:t>
      </w:r>
      <w:r>
        <w:rPr>
          <w:rFonts w:hint="eastAsia" w:ascii="宋体" w:hAnsi="宋体" w:cs="宋体"/>
          <w:bCs/>
          <w:sz w:val="24"/>
          <w:szCs w:val="24"/>
        </w:rPr>
        <w:t>5,353.67万元</w:t>
      </w:r>
      <w:r>
        <w:rPr>
          <w:rFonts w:hint="eastAsia" w:ascii="宋体" w:hAnsi="宋体" w:cs="宋体"/>
          <w:bCs/>
          <w:sz w:val="24"/>
          <w:szCs w:val="24"/>
          <w:lang w:eastAsia="zh-CN"/>
        </w:rPr>
        <w:t>，</w:t>
      </w:r>
      <w:r>
        <w:rPr>
          <w:rFonts w:hint="eastAsia" w:ascii="宋体" w:hAnsi="宋体" w:cs="宋体"/>
          <w:bCs/>
          <w:sz w:val="24"/>
          <w:szCs w:val="24"/>
        </w:rPr>
        <w:t>担保余额占上市公司最近一期经审计净资产的2.24%</w:t>
      </w:r>
      <w:r>
        <w:rPr>
          <w:rFonts w:hint="eastAsia" w:ascii="宋体" w:hAnsi="宋体" w:cs="宋体"/>
          <w:bCs/>
          <w:sz w:val="24"/>
          <w:szCs w:val="24"/>
          <w:lang w:eastAsia="zh-CN"/>
        </w:rPr>
        <w:t>，</w:t>
      </w:r>
      <w:r>
        <w:rPr>
          <w:rFonts w:hint="eastAsia" w:ascii="宋体" w:hAnsi="宋体" w:cs="宋体"/>
          <w:bCs/>
          <w:sz w:val="24"/>
          <w:szCs w:val="24"/>
        </w:rPr>
        <w:t>全部系公司对全资子公司黔南望江变压器有限公司提供的担保；</w:t>
      </w:r>
      <w:r>
        <w:rPr>
          <w:rFonts w:hint="eastAsia" w:ascii="宋体" w:hAnsi="宋体" w:cs="宋体"/>
          <w:bCs/>
          <w:sz w:val="24"/>
          <w:szCs w:val="24"/>
          <w:lang w:val="en-US" w:eastAsia="zh-CN"/>
        </w:rPr>
        <w:t>截止本公告披露日，子公司可用担保总额为 103,566.50 万元（包含重庆惠泽电器有限公司5,000万元、黔南望江变压器有限公司14,566.50万元和云变电气84,000万元）；</w:t>
      </w:r>
      <w:r>
        <w:rPr>
          <w:rFonts w:hint="eastAsia" w:ascii="宋体" w:hAnsi="宋体" w:cs="宋体"/>
          <w:bCs/>
          <w:sz w:val="24"/>
          <w:szCs w:val="24"/>
        </w:rPr>
        <w:t>不存在逾期担保。</w:t>
      </w:r>
    </w:p>
    <w:p w14:paraId="1B66F3E1">
      <w:pPr>
        <w:autoSpaceDE w:val="0"/>
        <w:autoSpaceDN w:val="0"/>
        <w:adjustRightInd w:val="0"/>
        <w:spacing w:before="156" w:beforeLines="50" w:line="360" w:lineRule="auto"/>
        <w:ind w:firstLine="480" w:firstLineChars="200"/>
        <w:rPr>
          <w:rFonts w:hint="eastAsia" w:ascii="宋体" w:hAnsi="宋体" w:cs="宋体"/>
          <w:b/>
          <w:sz w:val="24"/>
          <w:szCs w:val="24"/>
        </w:rPr>
      </w:pPr>
      <w:r>
        <w:rPr>
          <w:rFonts w:hint="eastAsia" w:ascii="宋体" w:hAnsi="宋体" w:cs="宋体"/>
          <w:kern w:val="0"/>
          <w:sz w:val="24"/>
          <w:szCs w:val="24"/>
        </w:rPr>
        <w:t>特此公告。</w:t>
      </w:r>
      <w:bookmarkStart w:id="1" w:name="_GoBack"/>
      <w:bookmarkEnd w:id="1"/>
    </w:p>
    <w:p w14:paraId="76E309D8">
      <w:pPr>
        <w:autoSpaceDE w:val="0"/>
        <w:autoSpaceDN w:val="0"/>
        <w:adjustRightInd w:val="0"/>
        <w:spacing w:line="560" w:lineRule="exact"/>
        <w:jc w:val="left"/>
        <w:rPr>
          <w:rFonts w:hint="eastAsia" w:ascii="宋体" w:hAnsi="宋体" w:cs="宋体"/>
          <w:kern w:val="0"/>
          <w:sz w:val="24"/>
          <w:szCs w:val="24"/>
        </w:rPr>
      </w:pPr>
    </w:p>
    <w:p w14:paraId="617A8DC1">
      <w:pPr>
        <w:adjustRightInd w:val="0"/>
        <w:snapToGrid w:val="0"/>
        <w:spacing w:line="560" w:lineRule="exact"/>
        <w:ind w:firstLine="480" w:firstLineChars="200"/>
        <w:jc w:val="right"/>
        <w:rPr>
          <w:rFonts w:hint="eastAsia" w:ascii="宋体" w:hAnsi="宋体"/>
          <w:sz w:val="24"/>
          <w:szCs w:val="24"/>
        </w:rPr>
      </w:pPr>
      <w:r>
        <w:rPr>
          <w:rFonts w:hint="eastAsia" w:ascii="宋体" w:hAnsi="宋体" w:cs="宋体"/>
          <w:kern w:val="0"/>
          <w:sz w:val="24"/>
          <w:szCs w:val="24"/>
        </w:rPr>
        <w:t>重庆望变电气（集团）</w:t>
      </w:r>
      <w:r>
        <w:rPr>
          <w:rFonts w:hint="eastAsia" w:ascii="宋体" w:hAnsi="宋体" w:cs="仿宋_GB2312"/>
          <w:sz w:val="24"/>
          <w:szCs w:val="24"/>
        </w:rPr>
        <w:t>股</w:t>
      </w:r>
      <w:r>
        <w:rPr>
          <w:rFonts w:hint="eastAsia" w:ascii="宋体" w:hAnsi="宋体"/>
          <w:sz w:val="24"/>
          <w:szCs w:val="24"/>
        </w:rPr>
        <w:t>份有限公司董事会</w:t>
      </w:r>
    </w:p>
    <w:p w14:paraId="5559E7BA">
      <w:pPr>
        <w:adjustRightInd w:val="0"/>
        <w:snapToGrid w:val="0"/>
        <w:spacing w:line="560" w:lineRule="exact"/>
        <w:ind w:firstLine="480" w:firstLineChars="200"/>
        <w:jc w:val="right"/>
        <w:rPr>
          <w:rFonts w:hint="eastAsia" w:ascii="宋体" w:hAnsi="宋体" w:cs="宋体"/>
          <w:kern w:val="0"/>
          <w:sz w:val="24"/>
          <w:szCs w:val="24"/>
        </w:rPr>
      </w:pPr>
      <w:r>
        <w:rPr>
          <w:rFonts w:ascii="宋体" w:hAnsi="宋体"/>
          <w:sz w:val="24"/>
          <w:szCs w:val="24"/>
        </w:rPr>
        <w:t>202</w:t>
      </w:r>
      <w:r>
        <w:rPr>
          <w:rFonts w:hint="eastAsia" w:ascii="宋体" w:hAnsi="宋体"/>
          <w:sz w:val="24"/>
          <w:szCs w:val="24"/>
        </w:rPr>
        <w:t>4年8月6日</w:t>
      </w:r>
    </w:p>
    <w:p w14:paraId="3A2CC8F5">
      <w:pPr>
        <w:autoSpaceDE w:val="0"/>
        <w:autoSpaceDN w:val="0"/>
        <w:adjustRightInd w:val="0"/>
        <w:snapToGrid w:val="0"/>
        <w:spacing w:line="560" w:lineRule="exact"/>
        <w:ind w:firstLine="480" w:firstLineChars="200"/>
        <w:rPr>
          <w:rFonts w:hint="eastAsia" w:ascii="宋体" w:hAnsi="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22D210E2">
        <w:pPr>
          <w:pStyle w:val="55"/>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3F00A"/>
    <w:multiLevelType w:val="singleLevel"/>
    <w:tmpl w:val="B0D3F00A"/>
    <w:lvl w:ilvl="0" w:tentative="0">
      <w:start w:val="1"/>
      <w:numFmt w:val="chineseCounting"/>
      <w:suff w:val="nothing"/>
      <w:lvlText w:val="（%1）"/>
      <w:lvlJc w:val="left"/>
      <w:rPr>
        <w:rFonts w:hint="eastAsia"/>
      </w:rPr>
    </w:lvl>
  </w:abstractNum>
  <w:abstractNum w:abstractNumId="1">
    <w:nsid w:val="D5604579"/>
    <w:multiLevelType w:val="singleLevel"/>
    <w:tmpl w:val="D5604579"/>
    <w:lvl w:ilvl="0" w:tentative="0">
      <w:start w:val="1"/>
      <w:numFmt w:val="bullet"/>
      <w:lvlText w:val=""/>
      <w:lvlJc w:val="left"/>
      <w:pPr>
        <w:ind w:left="420" w:hanging="420"/>
      </w:pPr>
      <w:rPr>
        <w:rFonts w:hint="default" w:ascii="Wingdings" w:hAnsi="Wingdings"/>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2">
    <w:nsid w:val="22712713"/>
    <w:multiLevelType w:val="singleLevel"/>
    <w:tmpl w:val="22712713"/>
    <w:lvl w:ilvl="0" w:tentative="0">
      <w:start w:val="1"/>
      <w:numFmt w:val="bullet"/>
      <w:pStyle w:val="94"/>
      <w:lvlText w:val=""/>
      <w:lvlJc w:val="left"/>
      <w:pPr>
        <w:ind w:left="420" w:hanging="420"/>
      </w:pPr>
      <w:rPr>
        <w:rFonts w:hint="default" w:ascii="Wingdings" w:hAnsi="Wingdings"/>
      </w:rPr>
    </w:lvl>
  </w:abstractNum>
  <w:abstractNum w:abstractNumId="13">
    <w:nsid w:val="40EC9271"/>
    <w:multiLevelType w:val="singleLevel"/>
    <w:tmpl w:val="40EC9271"/>
    <w:lvl w:ilvl="0" w:tentative="0">
      <w:start w:val="2"/>
      <w:numFmt w:val="chineseCounting"/>
      <w:suff w:val="nothing"/>
      <w:lvlText w:val="%1、"/>
      <w:lvlJc w:val="left"/>
      <w:rPr>
        <w:rFonts w:hint="eastAsia"/>
      </w:rPr>
    </w:lvl>
  </w:abstractNum>
  <w:abstractNum w:abstractNumId="14">
    <w:nsid w:val="655C0D75"/>
    <w:multiLevelType w:val="singleLevel"/>
    <w:tmpl w:val="655C0D75"/>
    <w:lvl w:ilvl="0" w:tentative="0">
      <w:start w:val="1"/>
      <w:numFmt w:val="chineseCounting"/>
      <w:suff w:val="nothing"/>
      <w:lvlText w:val="%1、"/>
      <w:lvlJc w:val="left"/>
      <w:rPr>
        <w:rFonts w:hint="eastAsia"/>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12"/>
  </w:num>
  <w:num w:numId="12">
    <w:abstractNumId w:val="1"/>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00BF2ECD"/>
    <w:rsid w:val="00000558"/>
    <w:rsid w:val="00000BC9"/>
    <w:rsid w:val="0000604D"/>
    <w:rsid w:val="00030B8F"/>
    <w:rsid w:val="000369D9"/>
    <w:rsid w:val="00037429"/>
    <w:rsid w:val="00044B7A"/>
    <w:rsid w:val="000507FA"/>
    <w:rsid w:val="00050D8C"/>
    <w:rsid w:val="00051D15"/>
    <w:rsid w:val="00054EEE"/>
    <w:rsid w:val="00060DFA"/>
    <w:rsid w:val="00064333"/>
    <w:rsid w:val="000671F4"/>
    <w:rsid w:val="00070F49"/>
    <w:rsid w:val="0007156E"/>
    <w:rsid w:val="000764C3"/>
    <w:rsid w:val="00082408"/>
    <w:rsid w:val="00084C5D"/>
    <w:rsid w:val="00087F94"/>
    <w:rsid w:val="00095674"/>
    <w:rsid w:val="000A490B"/>
    <w:rsid w:val="000B677B"/>
    <w:rsid w:val="00124FA5"/>
    <w:rsid w:val="00125C8C"/>
    <w:rsid w:val="00126188"/>
    <w:rsid w:val="001335CF"/>
    <w:rsid w:val="001368F4"/>
    <w:rsid w:val="001619B6"/>
    <w:rsid w:val="00161C50"/>
    <w:rsid w:val="001631B1"/>
    <w:rsid w:val="00177222"/>
    <w:rsid w:val="001903B0"/>
    <w:rsid w:val="001B5730"/>
    <w:rsid w:val="001C165F"/>
    <w:rsid w:val="001C235A"/>
    <w:rsid w:val="001D0405"/>
    <w:rsid w:val="001E4E44"/>
    <w:rsid w:val="001E7562"/>
    <w:rsid w:val="001F0293"/>
    <w:rsid w:val="001F3BAD"/>
    <w:rsid w:val="002032FC"/>
    <w:rsid w:val="002051AC"/>
    <w:rsid w:val="00207506"/>
    <w:rsid w:val="002114BE"/>
    <w:rsid w:val="00224E96"/>
    <w:rsid w:val="00246976"/>
    <w:rsid w:val="00266A7C"/>
    <w:rsid w:val="00272D61"/>
    <w:rsid w:val="002878A7"/>
    <w:rsid w:val="00294DFB"/>
    <w:rsid w:val="002B1A65"/>
    <w:rsid w:val="002B291C"/>
    <w:rsid w:val="002C32E2"/>
    <w:rsid w:val="002C3AF3"/>
    <w:rsid w:val="002C5387"/>
    <w:rsid w:val="002D6A43"/>
    <w:rsid w:val="002E2215"/>
    <w:rsid w:val="002F1340"/>
    <w:rsid w:val="002F33C4"/>
    <w:rsid w:val="002F4948"/>
    <w:rsid w:val="002F6DC2"/>
    <w:rsid w:val="002F6FD5"/>
    <w:rsid w:val="0030115C"/>
    <w:rsid w:val="003051B5"/>
    <w:rsid w:val="003127EC"/>
    <w:rsid w:val="00313A26"/>
    <w:rsid w:val="00335DCA"/>
    <w:rsid w:val="00342251"/>
    <w:rsid w:val="00343F60"/>
    <w:rsid w:val="00352F3F"/>
    <w:rsid w:val="003A3C4B"/>
    <w:rsid w:val="003A4934"/>
    <w:rsid w:val="003A6877"/>
    <w:rsid w:val="003B5E5C"/>
    <w:rsid w:val="003C13ED"/>
    <w:rsid w:val="003C3E72"/>
    <w:rsid w:val="003D1D39"/>
    <w:rsid w:val="003D4987"/>
    <w:rsid w:val="003D500E"/>
    <w:rsid w:val="003E399E"/>
    <w:rsid w:val="003F26EB"/>
    <w:rsid w:val="00404524"/>
    <w:rsid w:val="00412966"/>
    <w:rsid w:val="004166FA"/>
    <w:rsid w:val="00421FBB"/>
    <w:rsid w:val="00432414"/>
    <w:rsid w:val="004417CE"/>
    <w:rsid w:val="004617FD"/>
    <w:rsid w:val="00481530"/>
    <w:rsid w:val="004A27BC"/>
    <w:rsid w:val="004B6940"/>
    <w:rsid w:val="004C3D35"/>
    <w:rsid w:val="004E11B1"/>
    <w:rsid w:val="004F4D81"/>
    <w:rsid w:val="004F792E"/>
    <w:rsid w:val="00501890"/>
    <w:rsid w:val="0050197F"/>
    <w:rsid w:val="00507042"/>
    <w:rsid w:val="0052284A"/>
    <w:rsid w:val="0052751C"/>
    <w:rsid w:val="00527F05"/>
    <w:rsid w:val="00563DEF"/>
    <w:rsid w:val="00593D94"/>
    <w:rsid w:val="005950D7"/>
    <w:rsid w:val="005A5697"/>
    <w:rsid w:val="005B06D0"/>
    <w:rsid w:val="005B1790"/>
    <w:rsid w:val="005B1CE9"/>
    <w:rsid w:val="005E015E"/>
    <w:rsid w:val="005E0D94"/>
    <w:rsid w:val="005F0BAA"/>
    <w:rsid w:val="006004F3"/>
    <w:rsid w:val="0061300F"/>
    <w:rsid w:val="0061302E"/>
    <w:rsid w:val="00616B8A"/>
    <w:rsid w:val="00621D2E"/>
    <w:rsid w:val="006227F4"/>
    <w:rsid w:val="00623320"/>
    <w:rsid w:val="006233E1"/>
    <w:rsid w:val="00631267"/>
    <w:rsid w:val="00636AA5"/>
    <w:rsid w:val="006414A6"/>
    <w:rsid w:val="00656B76"/>
    <w:rsid w:val="0065737B"/>
    <w:rsid w:val="0066648F"/>
    <w:rsid w:val="006754DD"/>
    <w:rsid w:val="00692CB8"/>
    <w:rsid w:val="006B13DA"/>
    <w:rsid w:val="006B1B09"/>
    <w:rsid w:val="006B2315"/>
    <w:rsid w:val="006B45CE"/>
    <w:rsid w:val="006B6910"/>
    <w:rsid w:val="006C312B"/>
    <w:rsid w:val="006C6811"/>
    <w:rsid w:val="006D1676"/>
    <w:rsid w:val="006D6459"/>
    <w:rsid w:val="007041A1"/>
    <w:rsid w:val="00713C80"/>
    <w:rsid w:val="00732D11"/>
    <w:rsid w:val="0073774F"/>
    <w:rsid w:val="00740449"/>
    <w:rsid w:val="00745B5F"/>
    <w:rsid w:val="0076073C"/>
    <w:rsid w:val="00776B0C"/>
    <w:rsid w:val="007946B0"/>
    <w:rsid w:val="007A42EC"/>
    <w:rsid w:val="007A54FF"/>
    <w:rsid w:val="007B4990"/>
    <w:rsid w:val="007C00D5"/>
    <w:rsid w:val="007C343C"/>
    <w:rsid w:val="007C655F"/>
    <w:rsid w:val="007D539C"/>
    <w:rsid w:val="007D7D45"/>
    <w:rsid w:val="008026A0"/>
    <w:rsid w:val="00816C8F"/>
    <w:rsid w:val="00826B51"/>
    <w:rsid w:val="0083455D"/>
    <w:rsid w:val="008625FB"/>
    <w:rsid w:val="00866013"/>
    <w:rsid w:val="00885E01"/>
    <w:rsid w:val="00891EE8"/>
    <w:rsid w:val="008A76CD"/>
    <w:rsid w:val="008B360D"/>
    <w:rsid w:val="008B4652"/>
    <w:rsid w:val="008C75E8"/>
    <w:rsid w:val="008D10ED"/>
    <w:rsid w:val="008D7908"/>
    <w:rsid w:val="008D7D16"/>
    <w:rsid w:val="008E2FF0"/>
    <w:rsid w:val="008F3FFE"/>
    <w:rsid w:val="00906FA1"/>
    <w:rsid w:val="00912197"/>
    <w:rsid w:val="00913A1A"/>
    <w:rsid w:val="009238FB"/>
    <w:rsid w:val="009477DC"/>
    <w:rsid w:val="009536D8"/>
    <w:rsid w:val="00955454"/>
    <w:rsid w:val="00955DC4"/>
    <w:rsid w:val="00960BDB"/>
    <w:rsid w:val="00962784"/>
    <w:rsid w:val="0096329B"/>
    <w:rsid w:val="0097194D"/>
    <w:rsid w:val="009752E9"/>
    <w:rsid w:val="00977420"/>
    <w:rsid w:val="0099027E"/>
    <w:rsid w:val="00992A41"/>
    <w:rsid w:val="009A242D"/>
    <w:rsid w:val="009A3EBC"/>
    <w:rsid w:val="009C3379"/>
    <w:rsid w:val="00A06636"/>
    <w:rsid w:val="00A20224"/>
    <w:rsid w:val="00A317FA"/>
    <w:rsid w:val="00A369A9"/>
    <w:rsid w:val="00A4773A"/>
    <w:rsid w:val="00A50776"/>
    <w:rsid w:val="00A563BC"/>
    <w:rsid w:val="00A56BD4"/>
    <w:rsid w:val="00A80442"/>
    <w:rsid w:val="00A87F63"/>
    <w:rsid w:val="00A9108C"/>
    <w:rsid w:val="00AA1DF6"/>
    <w:rsid w:val="00AA36C5"/>
    <w:rsid w:val="00AC6182"/>
    <w:rsid w:val="00AD2992"/>
    <w:rsid w:val="00AD7080"/>
    <w:rsid w:val="00AE3517"/>
    <w:rsid w:val="00AF4CB2"/>
    <w:rsid w:val="00B10348"/>
    <w:rsid w:val="00B10A2A"/>
    <w:rsid w:val="00B12308"/>
    <w:rsid w:val="00B13505"/>
    <w:rsid w:val="00B152B7"/>
    <w:rsid w:val="00B253D1"/>
    <w:rsid w:val="00B25554"/>
    <w:rsid w:val="00B3338B"/>
    <w:rsid w:val="00B35C9C"/>
    <w:rsid w:val="00B575AF"/>
    <w:rsid w:val="00B65460"/>
    <w:rsid w:val="00B656C4"/>
    <w:rsid w:val="00B66D7C"/>
    <w:rsid w:val="00B90010"/>
    <w:rsid w:val="00B96BB6"/>
    <w:rsid w:val="00BC4BBB"/>
    <w:rsid w:val="00BD7901"/>
    <w:rsid w:val="00BE0431"/>
    <w:rsid w:val="00BE7AC6"/>
    <w:rsid w:val="00BF2ECD"/>
    <w:rsid w:val="00BF54FF"/>
    <w:rsid w:val="00C061F6"/>
    <w:rsid w:val="00C11467"/>
    <w:rsid w:val="00C11DBC"/>
    <w:rsid w:val="00C21159"/>
    <w:rsid w:val="00C2610B"/>
    <w:rsid w:val="00C321FA"/>
    <w:rsid w:val="00C335E9"/>
    <w:rsid w:val="00C37A23"/>
    <w:rsid w:val="00C5077D"/>
    <w:rsid w:val="00C515E8"/>
    <w:rsid w:val="00C55AA9"/>
    <w:rsid w:val="00C578DC"/>
    <w:rsid w:val="00C57B6A"/>
    <w:rsid w:val="00C64E83"/>
    <w:rsid w:val="00C800AF"/>
    <w:rsid w:val="00C937A0"/>
    <w:rsid w:val="00CA5962"/>
    <w:rsid w:val="00CA5E22"/>
    <w:rsid w:val="00CC2A94"/>
    <w:rsid w:val="00CC6A06"/>
    <w:rsid w:val="00CD0630"/>
    <w:rsid w:val="00CE38B0"/>
    <w:rsid w:val="00D0021B"/>
    <w:rsid w:val="00D060E9"/>
    <w:rsid w:val="00D061EC"/>
    <w:rsid w:val="00D11AE5"/>
    <w:rsid w:val="00D12713"/>
    <w:rsid w:val="00D14999"/>
    <w:rsid w:val="00D20476"/>
    <w:rsid w:val="00D348AE"/>
    <w:rsid w:val="00D36CEC"/>
    <w:rsid w:val="00D37022"/>
    <w:rsid w:val="00D40D5F"/>
    <w:rsid w:val="00D479B2"/>
    <w:rsid w:val="00D51495"/>
    <w:rsid w:val="00D516F9"/>
    <w:rsid w:val="00D6642E"/>
    <w:rsid w:val="00D706DA"/>
    <w:rsid w:val="00DA6BAB"/>
    <w:rsid w:val="00DB4349"/>
    <w:rsid w:val="00DD1465"/>
    <w:rsid w:val="00DD3A5B"/>
    <w:rsid w:val="00DD5D73"/>
    <w:rsid w:val="00DE0D68"/>
    <w:rsid w:val="00DE24A1"/>
    <w:rsid w:val="00DE2FB4"/>
    <w:rsid w:val="00E1723F"/>
    <w:rsid w:val="00E2700A"/>
    <w:rsid w:val="00E313D8"/>
    <w:rsid w:val="00E35CC1"/>
    <w:rsid w:val="00E360F6"/>
    <w:rsid w:val="00E47DB7"/>
    <w:rsid w:val="00E50EF5"/>
    <w:rsid w:val="00E52836"/>
    <w:rsid w:val="00E54250"/>
    <w:rsid w:val="00E62DAF"/>
    <w:rsid w:val="00E927F8"/>
    <w:rsid w:val="00E92E43"/>
    <w:rsid w:val="00E97E71"/>
    <w:rsid w:val="00EA34E8"/>
    <w:rsid w:val="00EC5C5A"/>
    <w:rsid w:val="00ED0055"/>
    <w:rsid w:val="00EF138E"/>
    <w:rsid w:val="00EF74FD"/>
    <w:rsid w:val="00F16E07"/>
    <w:rsid w:val="00F2365C"/>
    <w:rsid w:val="00F57B5A"/>
    <w:rsid w:val="00F605B9"/>
    <w:rsid w:val="00F60665"/>
    <w:rsid w:val="00F65A6F"/>
    <w:rsid w:val="00F77490"/>
    <w:rsid w:val="00F84CFA"/>
    <w:rsid w:val="00F964CD"/>
    <w:rsid w:val="00F967B2"/>
    <w:rsid w:val="00FA1CAB"/>
    <w:rsid w:val="00FD1980"/>
    <w:rsid w:val="00FE0712"/>
    <w:rsid w:val="01E50D53"/>
    <w:rsid w:val="02066364"/>
    <w:rsid w:val="02815CE9"/>
    <w:rsid w:val="03134C0F"/>
    <w:rsid w:val="032D4E3E"/>
    <w:rsid w:val="073B5BC9"/>
    <w:rsid w:val="07BE292C"/>
    <w:rsid w:val="07C65CA5"/>
    <w:rsid w:val="08514037"/>
    <w:rsid w:val="096251C7"/>
    <w:rsid w:val="0B9C5BD8"/>
    <w:rsid w:val="0EBC6E9B"/>
    <w:rsid w:val="0FDA2FF1"/>
    <w:rsid w:val="10C85995"/>
    <w:rsid w:val="11162CD7"/>
    <w:rsid w:val="11F04FB0"/>
    <w:rsid w:val="11FD41AB"/>
    <w:rsid w:val="19857952"/>
    <w:rsid w:val="1E79312C"/>
    <w:rsid w:val="213B1B76"/>
    <w:rsid w:val="230A0721"/>
    <w:rsid w:val="23C35C66"/>
    <w:rsid w:val="24100647"/>
    <w:rsid w:val="24BC60E2"/>
    <w:rsid w:val="251B37E1"/>
    <w:rsid w:val="2615746A"/>
    <w:rsid w:val="26401ABD"/>
    <w:rsid w:val="29173A50"/>
    <w:rsid w:val="29A05578"/>
    <w:rsid w:val="2AAC23F9"/>
    <w:rsid w:val="2C422599"/>
    <w:rsid w:val="2CCD15FB"/>
    <w:rsid w:val="2FB04883"/>
    <w:rsid w:val="30FC41DF"/>
    <w:rsid w:val="36372CA9"/>
    <w:rsid w:val="381C2D1C"/>
    <w:rsid w:val="39E2569B"/>
    <w:rsid w:val="3A8D0F72"/>
    <w:rsid w:val="3A960DE3"/>
    <w:rsid w:val="3A9D4FCC"/>
    <w:rsid w:val="3BD46640"/>
    <w:rsid w:val="3C6F4907"/>
    <w:rsid w:val="3CF573AA"/>
    <w:rsid w:val="3D624079"/>
    <w:rsid w:val="3D631834"/>
    <w:rsid w:val="3EB91CF7"/>
    <w:rsid w:val="3F9B1851"/>
    <w:rsid w:val="3FFBD36B"/>
    <w:rsid w:val="41076FBE"/>
    <w:rsid w:val="41084786"/>
    <w:rsid w:val="41295BE0"/>
    <w:rsid w:val="41D45DF6"/>
    <w:rsid w:val="42275509"/>
    <w:rsid w:val="460F40D4"/>
    <w:rsid w:val="4611224F"/>
    <w:rsid w:val="4611554A"/>
    <w:rsid w:val="49461F7F"/>
    <w:rsid w:val="499F1D78"/>
    <w:rsid w:val="4A983129"/>
    <w:rsid w:val="4D556624"/>
    <w:rsid w:val="4F095C75"/>
    <w:rsid w:val="524C7FC2"/>
    <w:rsid w:val="52E00474"/>
    <w:rsid w:val="53202F13"/>
    <w:rsid w:val="546F68B3"/>
    <w:rsid w:val="565D3A9C"/>
    <w:rsid w:val="57C86637"/>
    <w:rsid w:val="5919171F"/>
    <w:rsid w:val="59531228"/>
    <w:rsid w:val="5BA66D99"/>
    <w:rsid w:val="5C7436E9"/>
    <w:rsid w:val="5C8255FD"/>
    <w:rsid w:val="5CEE2784"/>
    <w:rsid w:val="5D0E2A44"/>
    <w:rsid w:val="5EAF52F7"/>
    <w:rsid w:val="5EFC0458"/>
    <w:rsid w:val="5FE3F82D"/>
    <w:rsid w:val="5FFD5624"/>
    <w:rsid w:val="611F29C3"/>
    <w:rsid w:val="61AD670E"/>
    <w:rsid w:val="620A112B"/>
    <w:rsid w:val="67253B4D"/>
    <w:rsid w:val="67DC6589"/>
    <w:rsid w:val="69D24BFB"/>
    <w:rsid w:val="6BE74894"/>
    <w:rsid w:val="6EEE5B5B"/>
    <w:rsid w:val="6F2BFEC0"/>
    <w:rsid w:val="6F6946EC"/>
    <w:rsid w:val="6F8D7841"/>
    <w:rsid w:val="6F92035A"/>
    <w:rsid w:val="70182BA3"/>
    <w:rsid w:val="73A8198C"/>
    <w:rsid w:val="757F06CF"/>
    <w:rsid w:val="75B740CF"/>
    <w:rsid w:val="76FF27BE"/>
    <w:rsid w:val="77E729E4"/>
    <w:rsid w:val="78852C26"/>
    <w:rsid w:val="794B6266"/>
    <w:rsid w:val="7D5B007A"/>
    <w:rsid w:val="7E0457F8"/>
    <w:rsid w:val="7EA126C9"/>
    <w:rsid w:val="7EFD57C1"/>
    <w:rsid w:val="7F2351A1"/>
    <w:rsid w:val="7F93D619"/>
    <w:rsid w:val="7FE01AFA"/>
    <w:rsid w:val="8BFFE455"/>
    <w:rsid w:val="A4B35309"/>
    <w:rsid w:val="BEBE0E25"/>
    <w:rsid w:val="E5FB001E"/>
    <w:rsid w:val="EF5F0041"/>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1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4"/>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15"/>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6"/>
    <w:autoRedefine/>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17"/>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8"/>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23"/>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99"/>
    <w:pPr>
      <w:ind w:left="100" w:leftChars="400" w:hanging="200" w:hangingChars="200"/>
      <w:contextualSpacing/>
    </w:pPr>
  </w:style>
  <w:style w:type="paragraph" w:styleId="13">
    <w:name w:val="toc 7"/>
    <w:basedOn w:val="1"/>
    <w:next w:val="1"/>
    <w:autoRedefine/>
    <w:semiHidden/>
    <w:unhideWhenUsed/>
    <w:qFormat/>
    <w:uiPriority w:val="39"/>
    <w:pPr>
      <w:ind w:left="2520" w:leftChars="1200"/>
    </w:pPr>
  </w:style>
  <w:style w:type="paragraph" w:styleId="14">
    <w:name w:val="List Number 2"/>
    <w:basedOn w:val="1"/>
    <w:autoRedefine/>
    <w:semiHidden/>
    <w:unhideWhenUsed/>
    <w:qFormat/>
    <w:uiPriority w:val="99"/>
    <w:pPr>
      <w:numPr>
        <w:ilvl w:val="0"/>
        <w:numId w:val="1"/>
      </w:numPr>
      <w:contextualSpacing/>
    </w:pPr>
  </w:style>
  <w:style w:type="paragraph" w:styleId="15">
    <w:name w:val="table of authorities"/>
    <w:basedOn w:val="1"/>
    <w:next w:val="1"/>
    <w:autoRedefine/>
    <w:semiHidden/>
    <w:unhideWhenUsed/>
    <w:qFormat/>
    <w:uiPriority w:val="99"/>
    <w:pPr>
      <w:ind w:left="420" w:leftChars="200"/>
    </w:pPr>
  </w:style>
  <w:style w:type="paragraph" w:styleId="16">
    <w:name w:val="Note Heading"/>
    <w:basedOn w:val="1"/>
    <w:next w:val="1"/>
    <w:link w:val="145"/>
    <w:autoRedefine/>
    <w:semiHidden/>
    <w:unhideWhenUsed/>
    <w:qFormat/>
    <w:uiPriority w:val="99"/>
    <w:pPr>
      <w:jc w:val="center"/>
    </w:pPr>
  </w:style>
  <w:style w:type="paragraph" w:styleId="17">
    <w:name w:val="List Bullet 4"/>
    <w:basedOn w:val="1"/>
    <w:autoRedefine/>
    <w:semiHidden/>
    <w:unhideWhenUsed/>
    <w:qFormat/>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21"/>
    <w:autoRedefine/>
    <w:semiHidden/>
    <w:unhideWhenUsed/>
    <w:qFormat/>
    <w:uiPriority w:val="99"/>
  </w:style>
  <w:style w:type="paragraph" w:styleId="20">
    <w:name w:val="List Number"/>
    <w:basedOn w:val="1"/>
    <w:autoRedefine/>
    <w:semiHidden/>
    <w:unhideWhenUsed/>
    <w:qFormat/>
    <w:uiPriority w:val="99"/>
    <w:pPr>
      <w:numPr>
        <w:ilvl w:val="0"/>
        <w:numId w:val="3"/>
      </w:numPr>
      <w:contextualSpacing/>
    </w:pPr>
  </w:style>
  <w:style w:type="paragraph" w:styleId="21">
    <w:name w:val="Normal Indent"/>
    <w:basedOn w:val="1"/>
    <w:autoRedefine/>
    <w:semiHidden/>
    <w:unhideWhenUsed/>
    <w:qFormat/>
    <w:uiPriority w:val="99"/>
    <w:pPr>
      <w:ind w:firstLine="420" w:firstLineChars="200"/>
    </w:pPr>
  </w:style>
  <w:style w:type="paragraph" w:styleId="22">
    <w:name w:val="caption"/>
    <w:basedOn w:val="1"/>
    <w:next w:val="1"/>
    <w:autoRedefine/>
    <w:semiHidden/>
    <w:unhideWhenUsed/>
    <w:qFormat/>
    <w:uiPriority w:val="35"/>
    <w:rPr>
      <w:rFonts w:eastAsia="黑体" w:asciiTheme="majorHAnsi" w:hAnsiTheme="majorHAnsi" w:cstheme="majorBidi"/>
      <w:sz w:val="20"/>
      <w:szCs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autoRedefine/>
    <w:semiHidden/>
    <w:unhideWhenUsed/>
    <w:qFormat/>
    <w:uiPriority w:val="99"/>
    <w:pPr>
      <w:numPr>
        <w:ilvl w:val="0"/>
        <w:numId w:val="4"/>
      </w:numPr>
      <w:contextualSpacing/>
    </w:pPr>
  </w:style>
  <w:style w:type="paragraph" w:styleId="25">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2"/>
    <w:autoRedefine/>
    <w:semiHidden/>
    <w:unhideWhenUsed/>
    <w:qFormat/>
    <w:uiPriority w:val="99"/>
    <w:rPr>
      <w:rFonts w:ascii="Microsoft YaHei UI" w:eastAsia="Microsoft YaHei UI"/>
      <w:sz w:val="18"/>
      <w:szCs w:val="18"/>
    </w:rPr>
  </w:style>
  <w:style w:type="paragraph" w:styleId="27">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99"/>
    <w:autoRedefine/>
    <w:unhideWhenUsed/>
    <w:qFormat/>
    <w:uiPriority w:val="0"/>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19"/>
    <w:autoRedefine/>
    <w:semiHidden/>
    <w:unhideWhenUsed/>
    <w:qFormat/>
    <w:uiPriority w:val="99"/>
  </w:style>
  <w:style w:type="paragraph" w:styleId="31">
    <w:name w:val="Body Text 3"/>
    <w:basedOn w:val="1"/>
    <w:link w:val="138"/>
    <w:autoRedefine/>
    <w:semiHidden/>
    <w:unhideWhenUsed/>
    <w:qFormat/>
    <w:uiPriority w:val="99"/>
    <w:pPr>
      <w:spacing w:after="120"/>
    </w:pPr>
    <w:rPr>
      <w:sz w:val="16"/>
      <w:szCs w:val="16"/>
    </w:rPr>
  </w:style>
  <w:style w:type="paragraph" w:styleId="32">
    <w:name w:val="Closing"/>
    <w:basedOn w:val="1"/>
    <w:link w:val="125"/>
    <w:autoRedefine/>
    <w:semiHidden/>
    <w:unhideWhenUsed/>
    <w:qFormat/>
    <w:uiPriority w:val="99"/>
    <w:pPr>
      <w:ind w:left="100" w:leftChars="2100"/>
    </w:pPr>
  </w:style>
  <w:style w:type="paragraph" w:styleId="33">
    <w:name w:val="List Bullet 3"/>
    <w:basedOn w:val="1"/>
    <w:autoRedefine/>
    <w:semiHidden/>
    <w:unhideWhenUsed/>
    <w:qFormat/>
    <w:uiPriority w:val="99"/>
    <w:pPr>
      <w:numPr>
        <w:ilvl w:val="0"/>
        <w:numId w:val="5"/>
      </w:numPr>
      <w:contextualSpacing/>
    </w:pPr>
  </w:style>
  <w:style w:type="paragraph" w:styleId="34">
    <w:name w:val="Body Text"/>
    <w:basedOn w:val="1"/>
    <w:link w:val="139"/>
    <w:autoRedefine/>
    <w:semiHidden/>
    <w:qFormat/>
    <w:uiPriority w:val="0"/>
    <w:rPr>
      <w:rFonts w:ascii="宋体" w:hAnsi="宋体" w:cs="宋体"/>
      <w:sz w:val="35"/>
      <w:szCs w:val="35"/>
      <w:lang w:eastAsia="en-US"/>
    </w:rPr>
  </w:style>
  <w:style w:type="paragraph" w:styleId="35">
    <w:name w:val="Body Text Indent"/>
    <w:basedOn w:val="1"/>
    <w:link w:val="141"/>
    <w:autoRedefine/>
    <w:semiHidden/>
    <w:unhideWhenUsed/>
    <w:qFormat/>
    <w:uiPriority w:val="99"/>
    <w:pPr>
      <w:spacing w:after="120"/>
      <w:ind w:left="420" w:leftChars="200"/>
    </w:pPr>
  </w:style>
  <w:style w:type="paragraph" w:styleId="36">
    <w:name w:val="List Number 3"/>
    <w:basedOn w:val="1"/>
    <w:autoRedefine/>
    <w:semiHidden/>
    <w:unhideWhenUsed/>
    <w:qFormat/>
    <w:uiPriority w:val="99"/>
    <w:pPr>
      <w:numPr>
        <w:ilvl w:val="0"/>
        <w:numId w:val="6"/>
      </w:numPr>
      <w:contextualSpacing/>
    </w:pPr>
  </w:style>
  <w:style w:type="paragraph" w:styleId="37">
    <w:name w:val="List 2"/>
    <w:basedOn w:val="1"/>
    <w:autoRedefine/>
    <w:semiHidden/>
    <w:unhideWhenUsed/>
    <w:qFormat/>
    <w:uiPriority w:val="99"/>
    <w:pPr>
      <w:ind w:left="100" w:leftChars="200" w:hanging="200" w:hangingChars="200"/>
      <w:contextualSpacing/>
    </w:pPr>
  </w:style>
  <w:style w:type="paragraph" w:styleId="38">
    <w:name w:val="List Continue"/>
    <w:basedOn w:val="1"/>
    <w:autoRedefine/>
    <w:semiHidden/>
    <w:unhideWhenUsed/>
    <w:qFormat/>
    <w:uiPriority w:val="99"/>
    <w:pPr>
      <w:spacing w:after="120"/>
      <w:ind w:left="420" w:leftChars="200"/>
      <w:contextualSpacing/>
    </w:pPr>
  </w:style>
  <w:style w:type="paragraph" w:styleId="39">
    <w:name w:val="Block Text"/>
    <w:basedOn w:val="1"/>
    <w:autoRedefine/>
    <w:semiHidden/>
    <w:unhideWhenUsed/>
    <w:qFormat/>
    <w:uiPriority w:val="99"/>
    <w:pPr>
      <w:spacing w:after="120"/>
      <w:ind w:left="1440" w:leftChars="700" w:right="1440" w:rightChars="700"/>
    </w:pPr>
  </w:style>
  <w:style w:type="paragraph" w:styleId="40">
    <w:name w:val="List Bullet 2"/>
    <w:basedOn w:val="1"/>
    <w:autoRedefine/>
    <w:semiHidden/>
    <w:unhideWhenUsed/>
    <w:qFormat/>
    <w:uiPriority w:val="99"/>
    <w:pPr>
      <w:numPr>
        <w:ilvl w:val="0"/>
        <w:numId w:val="7"/>
      </w:numPr>
      <w:contextualSpacing/>
    </w:pPr>
  </w:style>
  <w:style w:type="paragraph" w:styleId="41">
    <w:name w:val="HTML Address"/>
    <w:basedOn w:val="1"/>
    <w:link w:val="106"/>
    <w:autoRedefine/>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autoRedefine/>
    <w:semiHidden/>
    <w:unhideWhenUsed/>
    <w:qFormat/>
    <w:uiPriority w:val="39"/>
    <w:pPr>
      <w:ind w:left="840" w:leftChars="400"/>
    </w:pPr>
  </w:style>
  <w:style w:type="paragraph" w:styleId="45">
    <w:name w:val="Plain Text"/>
    <w:basedOn w:val="1"/>
    <w:link w:val="120"/>
    <w:autoRedefine/>
    <w:semiHidden/>
    <w:unhideWhenUsed/>
    <w:qFormat/>
    <w:uiPriority w:val="99"/>
    <w:rPr>
      <w:rFonts w:hAnsi="Courier New" w:cs="Courier New" w:asciiTheme="minorEastAsia" w:eastAsiaTheme="minorEastAsia"/>
    </w:rPr>
  </w:style>
  <w:style w:type="paragraph" w:styleId="46">
    <w:name w:val="List Bullet 5"/>
    <w:basedOn w:val="1"/>
    <w:autoRedefine/>
    <w:semiHidden/>
    <w:unhideWhenUsed/>
    <w:qFormat/>
    <w:uiPriority w:val="99"/>
    <w:pPr>
      <w:numPr>
        <w:ilvl w:val="0"/>
        <w:numId w:val="8"/>
      </w:numPr>
      <w:contextualSpacing/>
    </w:pPr>
  </w:style>
  <w:style w:type="paragraph" w:styleId="47">
    <w:name w:val="List Number 4"/>
    <w:basedOn w:val="1"/>
    <w:autoRedefine/>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29"/>
    <w:autoRedefine/>
    <w:semiHidden/>
    <w:unhideWhenUsed/>
    <w:qFormat/>
    <w:uiPriority w:val="99"/>
    <w:pPr>
      <w:ind w:left="100" w:leftChars="2500"/>
    </w:pPr>
  </w:style>
  <w:style w:type="paragraph" w:styleId="51">
    <w:name w:val="Body Text Indent 2"/>
    <w:basedOn w:val="1"/>
    <w:link w:val="143"/>
    <w:autoRedefine/>
    <w:semiHidden/>
    <w:unhideWhenUsed/>
    <w:qFormat/>
    <w:uiPriority w:val="99"/>
    <w:pPr>
      <w:spacing w:after="120" w:line="480" w:lineRule="auto"/>
      <w:ind w:left="420" w:leftChars="200"/>
    </w:pPr>
  </w:style>
  <w:style w:type="paragraph" w:styleId="52">
    <w:name w:val="endnote text"/>
    <w:basedOn w:val="1"/>
    <w:link w:val="131"/>
    <w:autoRedefine/>
    <w:semiHidden/>
    <w:unhideWhenUsed/>
    <w:qFormat/>
    <w:uiPriority w:val="99"/>
    <w:pPr>
      <w:snapToGrid w:val="0"/>
      <w:jc w:val="left"/>
    </w:pPr>
  </w:style>
  <w:style w:type="paragraph" w:styleId="53">
    <w:name w:val="List Continue 5"/>
    <w:basedOn w:val="1"/>
    <w:autoRedefine/>
    <w:semiHidden/>
    <w:unhideWhenUsed/>
    <w:qFormat/>
    <w:uiPriority w:val="99"/>
    <w:pPr>
      <w:spacing w:after="120"/>
      <w:ind w:left="2100" w:leftChars="1000"/>
      <w:contextualSpacing/>
    </w:pPr>
  </w:style>
  <w:style w:type="paragraph" w:styleId="54">
    <w:name w:val="Balloon Text"/>
    <w:basedOn w:val="1"/>
    <w:link w:val="96"/>
    <w:autoRedefine/>
    <w:unhideWhenUsed/>
    <w:qFormat/>
    <w:uiPriority w:val="99"/>
    <w:rPr>
      <w:sz w:val="18"/>
      <w:szCs w:val="18"/>
    </w:rPr>
  </w:style>
  <w:style w:type="paragraph" w:styleId="55">
    <w:name w:val="footer"/>
    <w:basedOn w:val="1"/>
    <w:link w:val="93"/>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7">
    <w:name w:val="header"/>
    <w:basedOn w:val="1"/>
    <w:link w:val="9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autoRedefine/>
    <w:semiHidden/>
    <w:unhideWhenUsed/>
    <w:qFormat/>
    <w:uiPriority w:val="99"/>
    <w:pPr>
      <w:ind w:left="100" w:leftChars="2100"/>
    </w:pPr>
  </w:style>
  <w:style w:type="paragraph" w:styleId="59">
    <w:name w:val="toc 1"/>
    <w:basedOn w:val="1"/>
    <w:next w:val="1"/>
    <w:autoRedefine/>
    <w:semiHidden/>
    <w:unhideWhenUsed/>
    <w:qFormat/>
    <w:uiPriority w:val="39"/>
  </w:style>
  <w:style w:type="paragraph" w:styleId="60">
    <w:name w:val="List Continue 4"/>
    <w:basedOn w:val="1"/>
    <w:autoRedefine/>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autoRedefine/>
    <w:semiHidden/>
    <w:unhideWhenUsed/>
    <w:qFormat/>
    <w:uiPriority w:val="99"/>
    <w:rPr>
      <w:rFonts w:asciiTheme="majorHAnsi" w:hAnsiTheme="majorHAnsi" w:eastAsiaTheme="majorEastAsia" w:cstheme="majorBidi"/>
      <w:b/>
      <w:bCs/>
    </w:rPr>
  </w:style>
  <w:style w:type="paragraph" w:styleId="63">
    <w:name w:val="index 1"/>
    <w:basedOn w:val="1"/>
    <w:next w:val="1"/>
    <w:autoRedefine/>
    <w:semiHidden/>
    <w:unhideWhenUsed/>
    <w:qFormat/>
    <w:uiPriority w:val="99"/>
  </w:style>
  <w:style w:type="paragraph" w:styleId="64">
    <w:name w:val="Subtitle"/>
    <w:basedOn w:val="1"/>
    <w:next w:val="1"/>
    <w:link w:val="122"/>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5">
    <w:name w:val="List Number 5"/>
    <w:basedOn w:val="1"/>
    <w:autoRedefine/>
    <w:semiHidden/>
    <w:unhideWhenUsed/>
    <w:qFormat/>
    <w:uiPriority w:val="99"/>
    <w:pPr>
      <w:numPr>
        <w:ilvl w:val="0"/>
        <w:numId w:val="10"/>
      </w:numPr>
      <w:contextualSpacing/>
    </w:pPr>
  </w:style>
  <w:style w:type="paragraph" w:styleId="66">
    <w:name w:val="List"/>
    <w:basedOn w:val="1"/>
    <w:autoRedefine/>
    <w:semiHidden/>
    <w:unhideWhenUsed/>
    <w:qFormat/>
    <w:uiPriority w:val="99"/>
    <w:pPr>
      <w:ind w:left="200" w:hanging="200" w:hangingChars="200"/>
      <w:contextualSpacing/>
    </w:pPr>
  </w:style>
  <w:style w:type="paragraph" w:styleId="67">
    <w:name w:val="footnote text"/>
    <w:basedOn w:val="1"/>
    <w:link w:val="124"/>
    <w:autoRedefine/>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autoRedefine/>
    <w:semiHidden/>
    <w:unhideWhenUsed/>
    <w:qFormat/>
    <w:uiPriority w:val="99"/>
    <w:pPr>
      <w:ind w:left="100" w:leftChars="800" w:hanging="200" w:hangingChars="200"/>
      <w:contextualSpacing/>
    </w:pPr>
  </w:style>
  <w:style w:type="paragraph" w:styleId="70">
    <w:name w:val="Body Text Indent 3"/>
    <w:basedOn w:val="1"/>
    <w:link w:val="144"/>
    <w:autoRedefine/>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autoRedefine/>
    <w:semiHidden/>
    <w:unhideWhenUsed/>
    <w:qFormat/>
    <w:uiPriority w:val="99"/>
    <w:pPr>
      <w:ind w:left="200" w:leftChars="200" w:hanging="200" w:hangingChars="200"/>
    </w:pPr>
  </w:style>
  <w:style w:type="paragraph" w:styleId="74">
    <w:name w:val="toc 2"/>
    <w:basedOn w:val="1"/>
    <w:next w:val="1"/>
    <w:autoRedefine/>
    <w:semiHidden/>
    <w:unhideWhenUsed/>
    <w:qFormat/>
    <w:uiPriority w:val="39"/>
    <w:pPr>
      <w:ind w:left="420" w:leftChars="200"/>
    </w:p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37"/>
    <w:autoRedefine/>
    <w:semiHidden/>
    <w:unhideWhenUsed/>
    <w:qFormat/>
    <w:uiPriority w:val="99"/>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134"/>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7"/>
    <w:autoRedefine/>
    <w:semiHidden/>
    <w:unhideWhenUsed/>
    <w:qFormat/>
    <w:uiPriority w:val="99"/>
    <w:rPr>
      <w:rFonts w:ascii="Courier New" w:hAnsi="Courier New" w:cs="Courier New"/>
      <w:sz w:val="20"/>
      <w:szCs w:val="20"/>
    </w:rPr>
  </w:style>
  <w:style w:type="paragraph" w:styleId="81">
    <w:name w:val="Normal (Web)"/>
    <w:basedOn w:val="1"/>
    <w:autoRedefine/>
    <w:semiHidden/>
    <w:unhideWhenUsed/>
    <w:qFormat/>
    <w:uiPriority w:val="99"/>
    <w:pPr>
      <w:spacing w:beforeAutospacing="1" w:afterAutospacing="1"/>
      <w:jc w:val="left"/>
    </w:pPr>
    <w:rPr>
      <w:kern w:val="0"/>
      <w:sz w:val="24"/>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10"/>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100"/>
    <w:autoRedefine/>
    <w:semiHidden/>
    <w:unhideWhenUsed/>
    <w:qFormat/>
    <w:uiPriority w:val="99"/>
    <w:rPr>
      <w:b/>
      <w:bCs/>
    </w:rPr>
  </w:style>
  <w:style w:type="paragraph" w:styleId="86">
    <w:name w:val="Body Text First Indent"/>
    <w:basedOn w:val="34"/>
    <w:link w:val="140"/>
    <w:autoRedefine/>
    <w:semiHidden/>
    <w:unhideWhenUsed/>
    <w:qFormat/>
    <w:uiPriority w:val="99"/>
    <w:pPr>
      <w:spacing w:after="120"/>
      <w:ind w:firstLine="420" w:firstLineChars="100"/>
    </w:pPr>
    <w:rPr>
      <w:rFonts w:ascii="Calibri" w:hAnsi="Calibri" w:cs="Times New Roman"/>
      <w:sz w:val="21"/>
      <w:szCs w:val="22"/>
      <w:lang w:eastAsia="zh-CN"/>
    </w:rPr>
  </w:style>
  <w:style w:type="paragraph" w:styleId="87">
    <w:name w:val="Body Text First Indent 2"/>
    <w:basedOn w:val="35"/>
    <w:link w:val="142"/>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autoRedefine/>
    <w:semiHidden/>
    <w:unhideWhenUsed/>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脚 字符"/>
    <w:basedOn w:val="90"/>
    <w:link w:val="55"/>
    <w:autoRedefine/>
    <w:qFormat/>
    <w:uiPriority w:val="99"/>
    <w:rPr>
      <w:rFonts w:ascii="Calibri" w:hAnsi="Calibri" w:eastAsia="宋体" w:cs="Times New Roman"/>
      <w:sz w:val="18"/>
      <w:szCs w:val="18"/>
    </w:rPr>
  </w:style>
  <w:style w:type="paragraph" w:customStyle="1" w:styleId="94">
    <w:name w:val="列出段落1"/>
    <w:basedOn w:val="1"/>
    <w:autoRedefine/>
    <w:qFormat/>
    <w:uiPriority w:val="34"/>
    <w:pPr>
      <w:numPr>
        <w:ilvl w:val="0"/>
        <w:numId w:val="11"/>
      </w:numPr>
      <w:adjustRightInd w:val="0"/>
      <w:snapToGrid w:val="0"/>
      <w:spacing w:line="560" w:lineRule="exact"/>
    </w:pPr>
  </w:style>
  <w:style w:type="character" w:customStyle="1" w:styleId="95">
    <w:name w:val="页眉 字符"/>
    <w:basedOn w:val="90"/>
    <w:link w:val="57"/>
    <w:autoRedefine/>
    <w:semiHidden/>
    <w:qFormat/>
    <w:uiPriority w:val="99"/>
    <w:rPr>
      <w:rFonts w:ascii="Calibri" w:hAnsi="Calibri" w:eastAsia="宋体" w:cs="Times New Roman"/>
      <w:sz w:val="18"/>
      <w:szCs w:val="18"/>
    </w:rPr>
  </w:style>
  <w:style w:type="character" w:customStyle="1" w:styleId="96">
    <w:name w:val="批注框文本 字符"/>
    <w:basedOn w:val="90"/>
    <w:link w:val="54"/>
    <w:autoRedefine/>
    <w:semiHidden/>
    <w:qFormat/>
    <w:uiPriority w:val="99"/>
    <w:rPr>
      <w:rFonts w:ascii="Calibri" w:hAnsi="Calibri" w:eastAsia="宋体" w:cs="Times New Roman"/>
      <w:sz w:val="18"/>
      <w:szCs w:val="18"/>
    </w:rPr>
  </w:style>
  <w:style w:type="paragraph" w:customStyle="1" w:styleId="97">
    <w:name w:val="修订1"/>
    <w:autoRedefine/>
    <w:hidden/>
    <w:semiHidden/>
    <w:qFormat/>
    <w:uiPriority w:val="99"/>
    <w:rPr>
      <w:rFonts w:ascii="Calibri" w:hAnsi="Calibri" w:eastAsia="宋体" w:cs="Times New Roman"/>
      <w:kern w:val="2"/>
      <w:sz w:val="21"/>
      <w:szCs w:val="22"/>
      <w:lang w:val="en-US" w:eastAsia="zh-CN" w:bidi="ar-SA"/>
    </w:rPr>
  </w:style>
  <w:style w:type="paragraph" w:styleId="98">
    <w:name w:val="List Paragraph"/>
    <w:basedOn w:val="1"/>
    <w:autoRedefine/>
    <w:qFormat/>
    <w:uiPriority w:val="99"/>
    <w:pPr>
      <w:ind w:firstLine="420" w:firstLineChars="200"/>
    </w:pPr>
  </w:style>
  <w:style w:type="character" w:customStyle="1" w:styleId="99">
    <w:name w:val="批注文字 字符"/>
    <w:basedOn w:val="90"/>
    <w:link w:val="28"/>
    <w:autoRedefine/>
    <w:qFormat/>
    <w:uiPriority w:val="0"/>
    <w:rPr>
      <w:rFonts w:ascii="Calibri" w:hAnsi="Calibri"/>
      <w:kern w:val="2"/>
      <w:sz w:val="21"/>
      <w:szCs w:val="22"/>
    </w:rPr>
  </w:style>
  <w:style w:type="character" w:customStyle="1" w:styleId="100">
    <w:name w:val="批注主题 字符"/>
    <w:basedOn w:val="99"/>
    <w:link w:val="85"/>
    <w:autoRedefine/>
    <w:qFormat/>
    <w:uiPriority w:val="0"/>
    <w:rPr>
      <w:rFonts w:ascii="Calibri" w:hAnsi="Calibri" w:eastAsia="宋体" w:cs="Times New Roman"/>
      <w:kern w:val="2"/>
      <w:sz w:val="21"/>
      <w:szCs w:val="22"/>
    </w:rPr>
  </w:style>
  <w:style w:type="paragraph" w:customStyle="1" w:styleId="101">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102">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10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04">
    <w:name w:val="Table Normal"/>
    <w:autoRedefine/>
    <w:semiHidden/>
    <w:unhideWhenUsed/>
    <w:qFormat/>
    <w:uiPriority w:val="0"/>
    <w:tblPr>
      <w:tblCellMar>
        <w:top w:w="0" w:type="dxa"/>
        <w:left w:w="0" w:type="dxa"/>
        <w:bottom w:w="0" w:type="dxa"/>
        <w:right w:w="0" w:type="dxa"/>
      </w:tblCellMar>
    </w:tblPr>
  </w:style>
  <w:style w:type="paragraph" w:customStyle="1" w:styleId="105">
    <w:name w:val="Table Text"/>
    <w:basedOn w:val="1"/>
    <w:autoRedefine/>
    <w:semiHidden/>
    <w:qFormat/>
    <w:uiPriority w:val="0"/>
    <w:rPr>
      <w:rFonts w:ascii="Times New Roman" w:hAnsi="Times New Roman" w:eastAsia="Times New Roman"/>
      <w:sz w:val="24"/>
      <w:szCs w:val="24"/>
      <w:lang w:eastAsia="en-US"/>
    </w:rPr>
  </w:style>
  <w:style w:type="character" w:customStyle="1" w:styleId="106">
    <w:name w:val="HTML 地址 字符"/>
    <w:basedOn w:val="90"/>
    <w:link w:val="41"/>
    <w:autoRedefine/>
    <w:semiHidden/>
    <w:qFormat/>
    <w:uiPriority w:val="99"/>
    <w:rPr>
      <w:rFonts w:ascii="Calibri" w:hAnsi="Calibri"/>
      <w:i/>
      <w:iCs/>
      <w:kern w:val="2"/>
      <w:sz w:val="21"/>
      <w:szCs w:val="22"/>
    </w:rPr>
  </w:style>
  <w:style w:type="character" w:customStyle="1" w:styleId="107">
    <w:name w:val="HTML 预设格式 字符"/>
    <w:basedOn w:val="90"/>
    <w:link w:val="80"/>
    <w:autoRedefine/>
    <w:semiHidden/>
    <w:qFormat/>
    <w:uiPriority w:val="99"/>
    <w:rPr>
      <w:rFonts w:ascii="Courier New" w:hAnsi="Courier New" w:cs="Courier New"/>
      <w:kern w:val="2"/>
    </w:rPr>
  </w:style>
  <w:style w:type="character" w:customStyle="1" w:styleId="108">
    <w:name w:val="标题 1 字符"/>
    <w:basedOn w:val="90"/>
    <w:link w:val="3"/>
    <w:autoRedefine/>
    <w:qFormat/>
    <w:uiPriority w:val="9"/>
    <w:rPr>
      <w:rFonts w:ascii="Calibri" w:hAnsi="Calibri"/>
      <w:b/>
      <w:bCs/>
      <w:kern w:val="44"/>
      <w:sz w:val="44"/>
      <w:szCs w:val="44"/>
    </w:rPr>
  </w:style>
  <w:style w:type="paragraph" w:customStyle="1" w:styleId="109">
    <w:name w:val="TOC 标题1"/>
    <w:basedOn w:val="3"/>
    <w:next w:val="1"/>
    <w:autoRedefine/>
    <w:semiHidden/>
    <w:unhideWhenUsed/>
    <w:qFormat/>
    <w:uiPriority w:val="39"/>
    <w:pPr>
      <w:outlineLvl w:val="9"/>
    </w:pPr>
  </w:style>
  <w:style w:type="character" w:customStyle="1" w:styleId="110">
    <w:name w:val="标题 字符"/>
    <w:basedOn w:val="90"/>
    <w:link w:val="84"/>
    <w:autoRedefine/>
    <w:qFormat/>
    <w:uiPriority w:val="10"/>
    <w:rPr>
      <w:rFonts w:asciiTheme="majorHAnsi" w:hAnsiTheme="majorHAnsi" w:eastAsiaTheme="majorEastAsia" w:cstheme="majorBidi"/>
      <w:b/>
      <w:bCs/>
      <w:kern w:val="2"/>
      <w:sz w:val="32"/>
      <w:szCs w:val="32"/>
    </w:rPr>
  </w:style>
  <w:style w:type="character" w:customStyle="1" w:styleId="111">
    <w:name w:val="标题 2 字符"/>
    <w:basedOn w:val="90"/>
    <w:link w:val="4"/>
    <w:autoRedefine/>
    <w:semiHidden/>
    <w:qFormat/>
    <w:uiPriority w:val="9"/>
    <w:rPr>
      <w:rFonts w:asciiTheme="majorHAnsi" w:hAnsiTheme="majorHAnsi" w:eastAsiaTheme="majorEastAsia" w:cstheme="majorBidi"/>
      <w:b/>
      <w:bCs/>
      <w:kern w:val="2"/>
      <w:sz w:val="32"/>
      <w:szCs w:val="32"/>
    </w:rPr>
  </w:style>
  <w:style w:type="character" w:customStyle="1" w:styleId="112">
    <w:name w:val="标题 3 字符"/>
    <w:basedOn w:val="90"/>
    <w:link w:val="5"/>
    <w:autoRedefine/>
    <w:semiHidden/>
    <w:qFormat/>
    <w:uiPriority w:val="9"/>
    <w:rPr>
      <w:rFonts w:ascii="Calibri" w:hAnsi="Calibri"/>
      <w:b/>
      <w:bCs/>
      <w:kern w:val="2"/>
      <w:sz w:val="32"/>
      <w:szCs w:val="32"/>
    </w:rPr>
  </w:style>
  <w:style w:type="character" w:customStyle="1" w:styleId="113">
    <w:name w:val="标题 4 字符"/>
    <w:basedOn w:val="90"/>
    <w:link w:val="6"/>
    <w:autoRedefine/>
    <w:semiHidden/>
    <w:qFormat/>
    <w:uiPriority w:val="9"/>
    <w:rPr>
      <w:rFonts w:asciiTheme="majorHAnsi" w:hAnsiTheme="majorHAnsi" w:eastAsiaTheme="majorEastAsia" w:cstheme="majorBidi"/>
      <w:b/>
      <w:bCs/>
      <w:kern w:val="2"/>
      <w:sz w:val="28"/>
      <w:szCs w:val="28"/>
    </w:rPr>
  </w:style>
  <w:style w:type="character" w:customStyle="1" w:styleId="114">
    <w:name w:val="标题 5 字符"/>
    <w:basedOn w:val="90"/>
    <w:link w:val="7"/>
    <w:autoRedefine/>
    <w:semiHidden/>
    <w:qFormat/>
    <w:uiPriority w:val="9"/>
    <w:rPr>
      <w:rFonts w:ascii="Calibri" w:hAnsi="Calibri"/>
      <w:b/>
      <w:bCs/>
      <w:kern w:val="2"/>
      <w:sz w:val="28"/>
      <w:szCs w:val="28"/>
    </w:rPr>
  </w:style>
  <w:style w:type="character" w:customStyle="1" w:styleId="115">
    <w:name w:val="标题 6 字符"/>
    <w:basedOn w:val="90"/>
    <w:link w:val="8"/>
    <w:autoRedefine/>
    <w:semiHidden/>
    <w:qFormat/>
    <w:uiPriority w:val="9"/>
    <w:rPr>
      <w:rFonts w:asciiTheme="majorHAnsi" w:hAnsiTheme="majorHAnsi" w:eastAsiaTheme="majorEastAsia" w:cstheme="majorBidi"/>
      <w:b/>
      <w:bCs/>
      <w:kern w:val="2"/>
      <w:sz w:val="24"/>
      <w:szCs w:val="24"/>
    </w:rPr>
  </w:style>
  <w:style w:type="character" w:customStyle="1" w:styleId="116">
    <w:name w:val="标题 7 字符"/>
    <w:basedOn w:val="90"/>
    <w:link w:val="9"/>
    <w:autoRedefine/>
    <w:semiHidden/>
    <w:qFormat/>
    <w:uiPriority w:val="9"/>
    <w:rPr>
      <w:rFonts w:ascii="Calibri" w:hAnsi="Calibri"/>
      <w:b/>
      <w:bCs/>
      <w:kern w:val="2"/>
      <w:sz w:val="24"/>
      <w:szCs w:val="24"/>
    </w:rPr>
  </w:style>
  <w:style w:type="character" w:customStyle="1" w:styleId="117">
    <w:name w:val="标题 8 字符"/>
    <w:basedOn w:val="90"/>
    <w:link w:val="10"/>
    <w:autoRedefine/>
    <w:semiHidden/>
    <w:qFormat/>
    <w:uiPriority w:val="9"/>
    <w:rPr>
      <w:rFonts w:asciiTheme="majorHAnsi" w:hAnsiTheme="majorHAnsi" w:eastAsiaTheme="majorEastAsia" w:cstheme="majorBidi"/>
      <w:kern w:val="2"/>
      <w:sz w:val="24"/>
      <w:szCs w:val="24"/>
    </w:rPr>
  </w:style>
  <w:style w:type="character" w:customStyle="1" w:styleId="118">
    <w:name w:val="标题 9 字符"/>
    <w:basedOn w:val="90"/>
    <w:link w:val="11"/>
    <w:autoRedefine/>
    <w:semiHidden/>
    <w:qFormat/>
    <w:uiPriority w:val="9"/>
    <w:rPr>
      <w:rFonts w:asciiTheme="majorHAnsi" w:hAnsiTheme="majorHAnsi" w:eastAsiaTheme="majorEastAsia" w:cstheme="majorBidi"/>
      <w:kern w:val="2"/>
      <w:sz w:val="21"/>
      <w:szCs w:val="21"/>
    </w:rPr>
  </w:style>
  <w:style w:type="character" w:customStyle="1" w:styleId="119">
    <w:name w:val="称呼 字符"/>
    <w:basedOn w:val="90"/>
    <w:link w:val="30"/>
    <w:autoRedefine/>
    <w:semiHidden/>
    <w:qFormat/>
    <w:uiPriority w:val="99"/>
    <w:rPr>
      <w:rFonts w:ascii="Calibri" w:hAnsi="Calibri"/>
      <w:kern w:val="2"/>
      <w:sz w:val="21"/>
      <w:szCs w:val="22"/>
    </w:rPr>
  </w:style>
  <w:style w:type="character" w:customStyle="1" w:styleId="120">
    <w:name w:val="纯文本 字符"/>
    <w:basedOn w:val="90"/>
    <w:link w:val="45"/>
    <w:autoRedefine/>
    <w:semiHidden/>
    <w:qFormat/>
    <w:uiPriority w:val="99"/>
    <w:rPr>
      <w:rFonts w:hAnsi="Courier New" w:cs="Courier New" w:asciiTheme="minorEastAsia" w:eastAsiaTheme="minorEastAsia"/>
      <w:kern w:val="2"/>
      <w:sz w:val="21"/>
      <w:szCs w:val="22"/>
    </w:rPr>
  </w:style>
  <w:style w:type="character" w:customStyle="1" w:styleId="121">
    <w:name w:val="电子邮件签名 字符"/>
    <w:basedOn w:val="90"/>
    <w:link w:val="19"/>
    <w:autoRedefine/>
    <w:semiHidden/>
    <w:qFormat/>
    <w:uiPriority w:val="99"/>
    <w:rPr>
      <w:rFonts w:ascii="Calibri" w:hAnsi="Calibri"/>
      <w:kern w:val="2"/>
      <w:sz w:val="21"/>
      <w:szCs w:val="22"/>
    </w:rPr>
  </w:style>
  <w:style w:type="character" w:customStyle="1" w:styleId="122">
    <w:name w:val="副标题 字符"/>
    <w:basedOn w:val="90"/>
    <w:link w:val="64"/>
    <w:autoRedefine/>
    <w:qFormat/>
    <w:uiPriority w:val="11"/>
    <w:rPr>
      <w:rFonts w:asciiTheme="minorHAnsi" w:hAnsiTheme="minorHAnsi" w:eastAsiaTheme="minorEastAsia" w:cstheme="minorBidi"/>
      <w:b/>
      <w:bCs/>
      <w:kern w:val="28"/>
      <w:sz w:val="32"/>
      <w:szCs w:val="32"/>
    </w:rPr>
  </w:style>
  <w:style w:type="character" w:customStyle="1" w:styleId="123">
    <w:name w:val="宏文本 字符"/>
    <w:basedOn w:val="90"/>
    <w:link w:val="2"/>
    <w:autoRedefine/>
    <w:semiHidden/>
    <w:qFormat/>
    <w:uiPriority w:val="99"/>
    <w:rPr>
      <w:rFonts w:ascii="Courier New" w:hAnsi="Courier New" w:cs="Courier New"/>
      <w:kern w:val="2"/>
      <w:sz w:val="24"/>
      <w:szCs w:val="24"/>
    </w:rPr>
  </w:style>
  <w:style w:type="character" w:customStyle="1" w:styleId="124">
    <w:name w:val="脚注文本 字符"/>
    <w:basedOn w:val="90"/>
    <w:link w:val="67"/>
    <w:autoRedefine/>
    <w:semiHidden/>
    <w:qFormat/>
    <w:uiPriority w:val="99"/>
    <w:rPr>
      <w:rFonts w:ascii="Calibri" w:hAnsi="Calibri"/>
      <w:kern w:val="2"/>
      <w:sz w:val="18"/>
      <w:szCs w:val="18"/>
    </w:rPr>
  </w:style>
  <w:style w:type="character" w:customStyle="1" w:styleId="125">
    <w:name w:val="结束语 字符"/>
    <w:basedOn w:val="90"/>
    <w:link w:val="32"/>
    <w:autoRedefine/>
    <w:semiHidden/>
    <w:qFormat/>
    <w:uiPriority w:val="99"/>
    <w:rPr>
      <w:rFonts w:ascii="Calibri" w:hAnsi="Calibri"/>
      <w:kern w:val="2"/>
      <w:sz w:val="21"/>
      <w:szCs w:val="22"/>
    </w:rPr>
  </w:style>
  <w:style w:type="paragraph" w:styleId="126">
    <w:name w:val="Intense Quote"/>
    <w:basedOn w:val="1"/>
    <w:next w:val="1"/>
    <w:link w:val="127"/>
    <w:autoRedefine/>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27">
    <w:name w:val="明显引用 字符"/>
    <w:basedOn w:val="90"/>
    <w:link w:val="126"/>
    <w:autoRedefine/>
    <w:semiHidden/>
    <w:qFormat/>
    <w:uiPriority w:val="99"/>
    <w:rPr>
      <w:rFonts w:ascii="Calibri" w:hAnsi="Calibri"/>
      <w:i/>
      <w:iCs/>
      <w:color w:val="4F81BD" w:themeColor="accent1"/>
      <w:kern w:val="2"/>
      <w:sz w:val="21"/>
      <w:szCs w:val="22"/>
      <w14:textFill>
        <w14:solidFill>
          <w14:schemeClr w14:val="accent1"/>
        </w14:solidFill>
      </w14:textFill>
    </w:rPr>
  </w:style>
  <w:style w:type="character" w:customStyle="1" w:styleId="128">
    <w:name w:val="签名 字符"/>
    <w:basedOn w:val="90"/>
    <w:link w:val="58"/>
    <w:autoRedefine/>
    <w:semiHidden/>
    <w:qFormat/>
    <w:uiPriority w:val="99"/>
    <w:rPr>
      <w:rFonts w:ascii="Calibri" w:hAnsi="Calibri"/>
      <w:kern w:val="2"/>
      <w:sz w:val="21"/>
      <w:szCs w:val="22"/>
    </w:rPr>
  </w:style>
  <w:style w:type="character" w:customStyle="1" w:styleId="129">
    <w:name w:val="日期 字符"/>
    <w:basedOn w:val="90"/>
    <w:link w:val="50"/>
    <w:autoRedefine/>
    <w:semiHidden/>
    <w:qFormat/>
    <w:uiPriority w:val="99"/>
    <w:rPr>
      <w:rFonts w:ascii="Calibri" w:hAnsi="Calibri"/>
      <w:kern w:val="2"/>
      <w:sz w:val="21"/>
      <w:szCs w:val="22"/>
    </w:rPr>
  </w:style>
  <w:style w:type="paragraph" w:customStyle="1" w:styleId="130">
    <w:name w:val="书目1"/>
    <w:basedOn w:val="1"/>
    <w:next w:val="1"/>
    <w:autoRedefine/>
    <w:semiHidden/>
    <w:unhideWhenUsed/>
    <w:qFormat/>
    <w:uiPriority w:val="37"/>
  </w:style>
  <w:style w:type="character" w:customStyle="1" w:styleId="131">
    <w:name w:val="尾注文本 字符"/>
    <w:basedOn w:val="90"/>
    <w:link w:val="52"/>
    <w:autoRedefine/>
    <w:semiHidden/>
    <w:qFormat/>
    <w:uiPriority w:val="99"/>
    <w:rPr>
      <w:rFonts w:ascii="Calibri" w:hAnsi="Calibri"/>
      <w:kern w:val="2"/>
      <w:sz w:val="21"/>
      <w:szCs w:val="22"/>
    </w:rPr>
  </w:style>
  <w:style w:type="character" w:customStyle="1" w:styleId="132">
    <w:name w:val="文档结构图 字符"/>
    <w:basedOn w:val="90"/>
    <w:link w:val="26"/>
    <w:autoRedefine/>
    <w:semiHidden/>
    <w:qFormat/>
    <w:uiPriority w:val="99"/>
    <w:rPr>
      <w:rFonts w:ascii="Microsoft YaHei UI" w:hAnsi="Calibri" w:eastAsia="Microsoft YaHei UI"/>
      <w:kern w:val="2"/>
      <w:sz w:val="18"/>
      <w:szCs w:val="18"/>
    </w:rPr>
  </w:style>
  <w:style w:type="paragraph" w:styleId="133">
    <w:name w:val="No Spacing"/>
    <w:autoRedefine/>
    <w:semiHidden/>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4">
    <w:name w:val="信息标题 字符"/>
    <w:basedOn w:val="90"/>
    <w:link w:val="79"/>
    <w:autoRedefine/>
    <w:semiHidden/>
    <w:qFormat/>
    <w:uiPriority w:val="99"/>
    <w:rPr>
      <w:rFonts w:asciiTheme="majorHAnsi" w:hAnsiTheme="majorHAnsi" w:eastAsiaTheme="majorEastAsia" w:cstheme="majorBidi"/>
      <w:kern w:val="2"/>
      <w:sz w:val="24"/>
      <w:szCs w:val="24"/>
      <w:shd w:val="pct20" w:color="auto" w:fill="auto"/>
    </w:rPr>
  </w:style>
  <w:style w:type="paragraph" w:styleId="135">
    <w:name w:val="Quote"/>
    <w:basedOn w:val="1"/>
    <w:next w:val="1"/>
    <w:link w:val="136"/>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6">
    <w:name w:val="引用 字符"/>
    <w:basedOn w:val="90"/>
    <w:link w:val="135"/>
    <w:autoRedefine/>
    <w:semiHidden/>
    <w:qFormat/>
    <w:uiPriority w:val="9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7">
    <w:name w:val="正文文本 2 字符"/>
    <w:basedOn w:val="90"/>
    <w:link w:val="76"/>
    <w:autoRedefine/>
    <w:semiHidden/>
    <w:qFormat/>
    <w:uiPriority w:val="99"/>
    <w:rPr>
      <w:rFonts w:ascii="Calibri" w:hAnsi="Calibri"/>
      <w:kern w:val="2"/>
      <w:sz w:val="21"/>
      <w:szCs w:val="22"/>
    </w:rPr>
  </w:style>
  <w:style w:type="character" w:customStyle="1" w:styleId="138">
    <w:name w:val="正文文本 3 字符"/>
    <w:basedOn w:val="90"/>
    <w:link w:val="31"/>
    <w:autoRedefine/>
    <w:semiHidden/>
    <w:qFormat/>
    <w:uiPriority w:val="99"/>
    <w:rPr>
      <w:rFonts w:ascii="Calibri" w:hAnsi="Calibri"/>
      <w:kern w:val="2"/>
      <w:sz w:val="16"/>
      <w:szCs w:val="16"/>
    </w:rPr>
  </w:style>
  <w:style w:type="character" w:customStyle="1" w:styleId="139">
    <w:name w:val="正文文本 字符"/>
    <w:basedOn w:val="90"/>
    <w:link w:val="34"/>
    <w:autoRedefine/>
    <w:semiHidden/>
    <w:qFormat/>
    <w:uiPriority w:val="0"/>
    <w:rPr>
      <w:rFonts w:ascii="宋体" w:hAnsi="宋体" w:cs="宋体"/>
      <w:kern w:val="2"/>
      <w:sz w:val="35"/>
      <w:szCs w:val="35"/>
      <w:lang w:eastAsia="en-US"/>
    </w:rPr>
  </w:style>
  <w:style w:type="character" w:customStyle="1" w:styleId="140">
    <w:name w:val="正文文本首行缩进 字符"/>
    <w:basedOn w:val="139"/>
    <w:link w:val="86"/>
    <w:autoRedefine/>
    <w:semiHidden/>
    <w:qFormat/>
    <w:uiPriority w:val="99"/>
    <w:rPr>
      <w:rFonts w:ascii="Calibri" w:hAnsi="Calibri" w:cs="宋体"/>
      <w:kern w:val="2"/>
      <w:sz w:val="21"/>
      <w:szCs w:val="22"/>
      <w:lang w:eastAsia="en-US"/>
    </w:rPr>
  </w:style>
  <w:style w:type="character" w:customStyle="1" w:styleId="141">
    <w:name w:val="正文文本缩进 字符"/>
    <w:basedOn w:val="90"/>
    <w:link w:val="35"/>
    <w:autoRedefine/>
    <w:semiHidden/>
    <w:qFormat/>
    <w:uiPriority w:val="99"/>
    <w:rPr>
      <w:rFonts w:ascii="Calibri" w:hAnsi="Calibri"/>
      <w:kern w:val="2"/>
      <w:sz w:val="21"/>
      <w:szCs w:val="22"/>
    </w:rPr>
  </w:style>
  <w:style w:type="character" w:customStyle="1" w:styleId="142">
    <w:name w:val="正文文本首行缩进 2 字符"/>
    <w:basedOn w:val="141"/>
    <w:link w:val="87"/>
    <w:autoRedefine/>
    <w:semiHidden/>
    <w:qFormat/>
    <w:uiPriority w:val="99"/>
    <w:rPr>
      <w:rFonts w:ascii="Calibri" w:hAnsi="Calibri"/>
      <w:kern w:val="2"/>
      <w:sz w:val="21"/>
      <w:szCs w:val="22"/>
    </w:rPr>
  </w:style>
  <w:style w:type="character" w:customStyle="1" w:styleId="143">
    <w:name w:val="正文文本缩进 2 字符"/>
    <w:basedOn w:val="90"/>
    <w:link w:val="51"/>
    <w:autoRedefine/>
    <w:semiHidden/>
    <w:qFormat/>
    <w:uiPriority w:val="99"/>
    <w:rPr>
      <w:rFonts w:ascii="Calibri" w:hAnsi="Calibri"/>
      <w:kern w:val="2"/>
      <w:sz w:val="21"/>
      <w:szCs w:val="22"/>
    </w:rPr>
  </w:style>
  <w:style w:type="character" w:customStyle="1" w:styleId="144">
    <w:name w:val="正文文本缩进 3 字符"/>
    <w:basedOn w:val="90"/>
    <w:link w:val="70"/>
    <w:autoRedefine/>
    <w:semiHidden/>
    <w:qFormat/>
    <w:uiPriority w:val="99"/>
    <w:rPr>
      <w:rFonts w:ascii="Calibri" w:hAnsi="Calibri"/>
      <w:kern w:val="2"/>
      <w:sz w:val="16"/>
      <w:szCs w:val="16"/>
    </w:rPr>
  </w:style>
  <w:style w:type="character" w:customStyle="1" w:styleId="145">
    <w:name w:val="注释标题 字符"/>
    <w:basedOn w:val="90"/>
    <w:link w:val="16"/>
    <w:autoRedefine/>
    <w:semiHidden/>
    <w:qFormat/>
    <w:uiPriority w:val="99"/>
    <w:rPr>
      <w:rFonts w:ascii="Calibri" w:hAnsi="Calibri"/>
      <w:kern w:val="2"/>
      <w:sz w:val="21"/>
      <w:szCs w:val="22"/>
    </w:rPr>
  </w:style>
  <w:style w:type="paragraph" w:customStyle="1" w:styleId="146">
    <w:name w:val="修订5"/>
    <w:autoRedefine/>
    <w:hidden/>
    <w:unhideWhenUsed/>
    <w:qFormat/>
    <w:uiPriority w:val="99"/>
    <w:rPr>
      <w:rFonts w:ascii="Calibri" w:hAnsi="Calibri" w:eastAsia="宋体" w:cs="Times New Roman"/>
      <w:kern w:val="2"/>
      <w:sz w:val="21"/>
      <w:szCs w:val="22"/>
      <w:lang w:val="en-US" w:eastAsia="zh-CN" w:bidi="ar-SA"/>
    </w:rPr>
  </w:style>
  <w:style w:type="character" w:customStyle="1" w:styleId="147">
    <w:name w:val="font11"/>
    <w:basedOn w:val="90"/>
    <w:autoRedefine/>
    <w:qFormat/>
    <w:uiPriority w:val="0"/>
    <w:rPr>
      <w:rFonts w:hint="eastAsia" w:ascii="宋体" w:hAnsi="宋体" w:eastAsia="宋体" w:cs="宋体"/>
      <w:b/>
      <w:bCs/>
      <w:color w:val="000000"/>
      <w:sz w:val="24"/>
      <w:szCs w:val="24"/>
      <w:u w:val="none"/>
    </w:rPr>
  </w:style>
  <w:style w:type="character" w:customStyle="1" w:styleId="148">
    <w:name w:val="font21"/>
    <w:basedOn w:val="90"/>
    <w:autoRedefine/>
    <w:qFormat/>
    <w:uiPriority w:val="0"/>
    <w:rPr>
      <w:rFonts w:hint="eastAsia" w:ascii="宋体" w:hAnsi="宋体" w:eastAsia="宋体" w:cs="宋体"/>
      <w:color w:val="000000"/>
      <w:sz w:val="24"/>
      <w:szCs w:val="24"/>
      <w:u w:val="none"/>
    </w:rPr>
  </w:style>
  <w:style w:type="paragraph" w:customStyle="1" w:styleId="149">
    <w:name w:val="修订6"/>
    <w:autoRedefine/>
    <w:hidden/>
    <w:unhideWhenUsed/>
    <w:qFormat/>
    <w:uiPriority w:val="99"/>
    <w:rPr>
      <w:rFonts w:ascii="Calibri" w:hAnsi="Calibri" w:eastAsia="宋体" w:cs="Times New Roman"/>
      <w:kern w:val="2"/>
      <w:sz w:val="21"/>
      <w:szCs w:val="22"/>
      <w:lang w:val="en-US" w:eastAsia="zh-CN" w:bidi="ar-SA"/>
    </w:rPr>
  </w:style>
  <w:style w:type="paragraph" w:customStyle="1" w:styleId="150">
    <w:name w:val="TOC 标题2"/>
    <w:basedOn w:val="3"/>
    <w:next w:val="1"/>
    <w:autoRedefine/>
    <w:semiHidden/>
    <w:unhideWhenUsed/>
    <w:qFormat/>
    <w:uiPriority w:val="39"/>
    <w:pPr>
      <w:outlineLvl w:val="9"/>
    </w:pPr>
  </w:style>
  <w:style w:type="paragraph" w:customStyle="1" w:styleId="151">
    <w:name w:val="书目2"/>
    <w:basedOn w:val="1"/>
    <w:next w:val="1"/>
    <w:autoRedefine/>
    <w:semiHidden/>
    <w:unhideWhenUsed/>
    <w:qFormat/>
    <w:uiPriority w:val="37"/>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1949</Words>
  <Characters>2196</Characters>
  <Lines>13</Lines>
  <Paragraphs>3</Paragraphs>
  <TotalTime>8</TotalTime>
  <ScaleCrop>false</ScaleCrop>
  <LinksUpToDate>false</LinksUpToDate>
  <CharactersWithSpaces>2228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2024-08-05T06:16:00Z</dcterms:created>
  <dc:creator>tek</dc:creator>
  <cp:lastModifiedBy>雯亦</cp:lastModifiedBy>
  <dcterms:modified xsi:type="dcterms:W3CDTF">2024-08-05T08:45:25Z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32F87C89B9334C4CADE528240EC59EEF_13</vt:lpwstr>
  </property>
</Properties>
</file>