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ind w:firstLine="0"/>
        <w:jc w:val="center"/>
        <w:rPr>
          <w:rFonts w:hint="eastAsia" w:ascii="仿宋" w:hAnsi="仿宋" w:eastAsia="仿宋" w:cs="仿宋"/>
          <w:b/>
          <w:bCs/>
          <w:color w:val="000000"/>
          <w:sz w:val="44"/>
          <w:szCs w:val="44"/>
        </w:rPr>
      </w:pPr>
      <w:r>
        <w:rPr>
          <w:rFonts w:hint="eastAsia" w:ascii="仿宋" w:hAnsi="仿宋" w:eastAsia="仿宋" w:cs="仿宋"/>
          <w:b/>
          <w:bCs/>
          <w:color w:val="000000"/>
          <w:sz w:val="44"/>
          <w:szCs w:val="44"/>
        </w:rPr>
        <w:t>2023年度会计师事务所履职情况评估报告</w:t>
      </w:r>
    </w:p>
    <w:p>
      <w:pPr>
        <w:pStyle w:val="2"/>
      </w:pPr>
      <w:bookmarkStart w:id="4" w:name="_GoBack"/>
      <w:bookmarkEnd w:id="4"/>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重庆望变电气（集团）股份有限公司（以下简称“公司”）聘请大华会计师事务所（特殊普通合伙）（以下简称“大华会所”）作为公司2023年度财务及内部控制审计机构。根据相关法律、法规及规章制度的规定，公司对大华会所2023年度履职情况进行了评估。经评估，公司认为大华会所具备为上市公司提供审计服务的经验、专业胜任能力、投资者保护能力和良好的诚信状况，恪尽职守，遵循独立、客观、公正的执业准则，较好地完成了各项审计工作，具体情况如下：</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一、资质条件</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大华会所成立于2012年2月9日（由大华会计师事务所有限公司转制为特殊普通合伙企业），组织形式为特殊普通合伙，注册地址为北京市海淀区西四环中路16号院7号楼1101，首席合伙人为梁春。</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截至2023年12月31日，大华会所共有合伙人270人，注册会计师1471人，其中签署过证券服务业务审计报告的注册会计师人数有1141人。</w:t>
      </w:r>
    </w:p>
    <w:p>
      <w:pPr>
        <w:pStyle w:val="8"/>
        <w:shd w:val="clear" w:color="auto" w:fill="FFFFFF"/>
        <w:spacing w:before="0" w:after="0" w:line="480" w:lineRule="atLeast"/>
        <w:ind w:firstLine="640"/>
        <w:jc w:val="both"/>
        <w:rPr>
          <w:rFonts w:ascii="仿宋" w:hAnsi="仿宋" w:eastAsia="仿宋" w:cs="仿宋"/>
          <w:color w:val="000000"/>
          <w:kern w:val="2"/>
          <w:sz w:val="32"/>
          <w:szCs w:val="32"/>
        </w:rPr>
      </w:pPr>
      <w:bookmarkStart w:id="0" w:name="_Hlk111825735"/>
      <w:r>
        <w:rPr>
          <w:rFonts w:hint="eastAsia" w:ascii="仿宋" w:hAnsi="仿宋" w:eastAsia="仿宋" w:cs="仿宋"/>
          <w:color w:val="000000"/>
          <w:kern w:val="2"/>
          <w:sz w:val="32"/>
          <w:szCs w:val="32"/>
        </w:rPr>
        <w:t>2022年度业务总收入：</w:t>
      </w:r>
      <w:bookmarkStart w:id="1" w:name="_Hlk140580160"/>
      <w:r>
        <w:rPr>
          <w:rFonts w:hint="eastAsia" w:ascii="仿宋" w:hAnsi="仿宋" w:eastAsia="仿宋" w:cs="仿宋"/>
          <w:color w:val="000000"/>
          <w:kern w:val="2"/>
          <w:sz w:val="32"/>
          <w:szCs w:val="32"/>
        </w:rPr>
        <w:t>332,731.85</w:t>
      </w:r>
      <w:bookmarkEnd w:id="1"/>
      <w:r>
        <w:rPr>
          <w:rFonts w:hint="eastAsia" w:ascii="仿宋" w:hAnsi="仿宋" w:eastAsia="仿宋" w:cs="仿宋"/>
          <w:color w:val="000000"/>
          <w:kern w:val="2"/>
          <w:sz w:val="32"/>
          <w:szCs w:val="32"/>
        </w:rPr>
        <w:t>万元，2022年度审计业务收入：</w:t>
      </w:r>
      <w:bookmarkStart w:id="2" w:name="_Hlk140580170"/>
      <w:r>
        <w:rPr>
          <w:rFonts w:hint="eastAsia" w:ascii="仿宋" w:hAnsi="仿宋" w:eastAsia="仿宋" w:cs="仿宋"/>
          <w:color w:val="000000"/>
          <w:kern w:val="2"/>
          <w:sz w:val="32"/>
          <w:szCs w:val="32"/>
        </w:rPr>
        <w:t>307,355.10</w:t>
      </w:r>
      <w:bookmarkEnd w:id="2"/>
      <w:r>
        <w:rPr>
          <w:rFonts w:hint="eastAsia" w:ascii="仿宋" w:hAnsi="仿宋" w:eastAsia="仿宋" w:cs="仿宋"/>
          <w:color w:val="000000"/>
          <w:kern w:val="2"/>
          <w:sz w:val="32"/>
          <w:szCs w:val="32"/>
        </w:rPr>
        <w:t>万元，2022年度证券业务收入：</w:t>
      </w:r>
      <w:bookmarkStart w:id="3" w:name="_Hlk140580186"/>
      <w:r>
        <w:rPr>
          <w:rFonts w:hint="eastAsia" w:ascii="仿宋" w:hAnsi="仿宋" w:eastAsia="仿宋" w:cs="仿宋"/>
          <w:color w:val="000000"/>
          <w:kern w:val="2"/>
          <w:sz w:val="32"/>
          <w:szCs w:val="32"/>
        </w:rPr>
        <w:t>138,862.04</w:t>
      </w:r>
      <w:bookmarkEnd w:id="3"/>
      <w:r>
        <w:rPr>
          <w:rFonts w:hint="eastAsia" w:ascii="仿宋" w:hAnsi="仿宋" w:eastAsia="仿宋" w:cs="仿宋"/>
          <w:color w:val="000000"/>
          <w:kern w:val="2"/>
          <w:sz w:val="32"/>
          <w:szCs w:val="32"/>
        </w:rPr>
        <w:t>万元，2022年度上市公司审计客户家数：4</w:t>
      </w:r>
      <w:bookmarkEnd w:id="0"/>
      <w:r>
        <w:rPr>
          <w:rFonts w:hint="eastAsia" w:ascii="仿宋" w:hAnsi="仿宋" w:eastAsia="仿宋" w:cs="仿宋"/>
          <w:color w:val="000000"/>
          <w:kern w:val="2"/>
          <w:sz w:val="32"/>
          <w:szCs w:val="32"/>
        </w:rPr>
        <w:t>88；主要承接制造业、信息传输软件和信息技术服务业、批发和零售业、房地产业、建筑业相关行业审计业务公司。</w:t>
      </w:r>
    </w:p>
    <w:p>
      <w:pPr>
        <w:pStyle w:val="2"/>
        <w:spacing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大华会所在望变电气同行业上市公司的审计客户家数为24家。</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二、执业记录</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1、基本信息</w:t>
      </w:r>
    </w:p>
    <w:p>
      <w:pPr>
        <w:pStyle w:val="2"/>
        <w:spacing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项目合伙人及拟签字注册会计师1：王庆莲，2005年1月成为注册会计师，2000年4月开始从事上市公司审计，2019年9月开始在大华会所执业，2021年1月开始为本公司提供审计服务；近三年为12家上市公司签署审计报告。</w:t>
      </w:r>
    </w:p>
    <w:p>
      <w:pPr>
        <w:pStyle w:val="2"/>
        <w:spacing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签字注册会计师2：邱尔杰，2009年9月成为注册会计师，2011年12月开始从事上市公司审计，2019年12月开始在大华会所执业，2022年1月开始为本公司提供审计服务；近三年为3家上市公司签署审计报告。</w:t>
      </w:r>
    </w:p>
    <w:p>
      <w:pPr>
        <w:pStyle w:val="2"/>
        <w:spacing w:line="56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项目质量控制复核人：王春媛，2003年7月成为注册会计师，2001年12月开始从事上市公司和挂牌公司审计工作，2012年2月开始在大华会所执业，2010年8月开始从事复核工作，近三年复核上市公司和挂牌公司审计报告超过50家次。</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2、独立性与诚信记录情况</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项目合伙人、签字注册会计师、项目质量控制复核人不存在违反《中国注册会计师职业道德守则》对独立性要求的情形。</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项目合伙人、签字注册会计师、项目质量控制复核人近三年未因执业行为受到刑事处罚，受到证监会及其派出机构、行业主管部门等的行政处罚、监督管理措施，受到证券交易所、行业协会等自律组织的自律监管措施、纪律处分。</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三、质量管理水平</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1、项目咨询</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2023年年度审计过程中，大华会所就公司重大会计审计事项与专业技术部及时咨询，为公司提供有效的咨询帮助及可行的解决方案。</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2、意见分歧解决</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大华会所制定了明确的专业意见分歧解决机制。当项目组成员、项目质量复核人或专业技术部成员之间存在未解决的专业意见分歧时，需要咨询专业技术部负责人。在专业意见分歧解决之前不得出具报告。2023年度审计过程中，大华会所就公司的所有重大会计审计事项达成一致意见，无不能解决的意见分歧。</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3、项目质量复核与检查</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审计过程中，大华会所实施完善的项目质量复核程序，主要包括审计项目组内部复核、独立项目质量复核以及专业技术复核。审计项目组内部复核主要包括对所有工作底稿执行详细复核，以及由经验丰富的审计小组成员执行第二层次复核。进而确保所开展审计工作的充分性、财务报表的公允列报以及审计报告的适当性。大华会所设有质量管理团队，主要聚焦于应对质量风险，优化质量目标，承担事务所和项目层面的质量管理事项。包括事务所层面的质量管理体系建设实施相关工作，以及项目层面的质量复核和督导，识别质量问题及风险，执行根源分析，实现优化和改进。确保项目组在报告签署之前已经按照项目质量管理要求充分、恰当地执行审计程序。</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4、质量管理缺陷识别与整改</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大华会所根据注册会计师职业道德规范和审计准则的有关规定，制定相应的内部管理制度和政策，这些制度和政策构成大华会所完整、全面的质量管理体系。2023年度审计过程中，大华会所勤勉尽责，质量管理的各项措施得到了有效执行。</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四、工作方案</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2023年度审计过程中，大华会所根据公司的服务需求以及被审计单位的实际情况，制定全面、合理、可操作性强的审计工作方案。审计工作围绕被审计单位的审计重点展开。同时大华会所制定了详细的审计计划与时间安排，包括预审工作、盘点、年报审计工作等，与公司独立董事、审计委员会委员沟通确认后，根据计划安排按时推进审计并提交工作成果，充分满足了公司报告披露时间要求。</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五、人力及其他资源配备</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大华会所配备了专属审计工作团队，核心团队成员均具备多年上市公司、制造行业审计经验，并拥有中国注册会计师等专业资质。项目负责人由资深审计服务合伙人担任。专业配置合理，人数、执业水平和经验等满足项目要求。</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六、信息安全管理</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大华会所在业务开始前，与客户就业务约定条款达成一致意见，签订业务约定书，以避免双方对业务的理解产生分歧。大华会所所制定了涵盖档案管理、保密制度、突发事件处理等系统性的信息安全控制制度，在制定审计方案和实施审计工作的过程中，也考虑了对敏感信息、保密信息的检查、处理、脱敏和归档管理，并能够有效执行。</w:t>
      </w:r>
    </w:p>
    <w:p>
      <w:pPr>
        <w:ind w:firstLine="643" w:firstLineChars="200"/>
        <w:jc w:val="left"/>
        <w:rPr>
          <w:rFonts w:ascii="仿宋" w:hAnsi="仿宋" w:eastAsia="仿宋" w:cs="仿宋"/>
          <w:b/>
          <w:bCs/>
          <w:color w:val="000000"/>
          <w:sz w:val="32"/>
          <w:szCs w:val="32"/>
        </w:rPr>
      </w:pPr>
      <w:r>
        <w:rPr>
          <w:rFonts w:hint="eastAsia" w:ascii="仿宋" w:hAnsi="仿宋" w:eastAsia="仿宋" w:cs="仿宋"/>
          <w:b/>
          <w:bCs/>
          <w:color w:val="000000"/>
          <w:sz w:val="32"/>
          <w:szCs w:val="32"/>
        </w:rPr>
        <w:t>七、风险承担能力水平</w:t>
      </w:r>
    </w:p>
    <w:p>
      <w:pPr>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大华会所具有良好的投资者保护能力。截至2023年末，已按照有关法律法规要求投保职业保险，已计提的职业风险基金和已购买的职业保险累计赔偿限额之和超过人民币7亿元，相关职业保险能够覆盖因审计失败导致的民事赔偿责任。职业风险基金计提及职业保险购买符合财政部关于《会计师事务所职业风险基金管理办法》等文件的相关规定。</w:t>
      </w:r>
    </w:p>
    <w:p>
      <w:pPr>
        <w:pStyle w:val="2"/>
        <w:rPr>
          <w:rFonts w:ascii="仿宋" w:hAnsi="仿宋" w:eastAsia="仿宋" w:cs="仿宋"/>
          <w:sz w:val="32"/>
          <w:szCs w:val="32"/>
        </w:rPr>
      </w:pPr>
    </w:p>
    <w:p>
      <w:pPr>
        <w:ind w:firstLine="640" w:firstLineChars="200"/>
        <w:jc w:val="left"/>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特此报告。</w:t>
      </w:r>
    </w:p>
    <w:p>
      <w:pPr>
        <w:ind w:firstLine="960" w:firstLineChars="300"/>
        <w:jc w:val="left"/>
        <w:rPr>
          <w:rFonts w:ascii="仿宋" w:hAnsi="仿宋" w:eastAsia="仿宋" w:cs="仿宋"/>
          <w:color w:val="000000"/>
          <w:sz w:val="32"/>
          <w:szCs w:val="32"/>
        </w:rPr>
      </w:pPr>
    </w:p>
    <w:p>
      <w:pPr>
        <w:ind w:firstLine="960" w:firstLineChars="3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重庆望变电气（集团）股份有限公司</w:t>
      </w:r>
    </w:p>
    <w:p>
      <w:pPr>
        <w:ind w:firstLine="640" w:firstLineChars="200"/>
        <w:jc w:val="righ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董事会</w:t>
      </w:r>
    </w:p>
    <w:p>
      <w:pPr>
        <w:ind w:firstLine="640" w:firstLineChars="200"/>
        <w:jc w:val="right"/>
        <w:rPr>
          <w:rFonts w:ascii="仿宋" w:hAnsi="仿宋" w:eastAsia="仿宋" w:cs="仿宋"/>
          <w:color w:val="000000"/>
          <w:sz w:val="32"/>
          <w:szCs w:val="32"/>
        </w:rPr>
      </w:pPr>
      <w:r>
        <w:rPr>
          <w:rFonts w:hint="eastAsia" w:ascii="仿宋" w:hAnsi="仿宋" w:eastAsia="仿宋" w:cs="仿宋"/>
          <w:color w:val="000000"/>
          <w:sz w:val="32"/>
          <w:szCs w:val="32"/>
        </w:rPr>
        <w:t xml:space="preserve">                2024年4月24日</w:t>
      </w:r>
    </w:p>
    <w:p>
      <w:pPr>
        <w:ind w:firstLine="640" w:firstLineChars="200"/>
        <w:jc w:val="right"/>
        <w:rPr>
          <w:rFonts w:ascii="仿宋" w:hAnsi="仿宋" w:eastAsia="仿宋" w:cs="仿宋"/>
          <w:color w:val="000000"/>
          <w:sz w:val="32"/>
          <w:szCs w:val="32"/>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ind w:firstLine="360"/>
      <w:jc w:val="both"/>
    </w:pPr>
    <w:r>
      <w:rPr>
        <w:rFonts w:hint="eastAsia" w:ascii="方正仿宋_GBK" w:hAnsi="方正仿宋_GBK" w:eastAsia="方正仿宋_GBK" w:cs="方正仿宋_GBK"/>
      </w:rPr>
      <w:t xml:space="preserve"> </w:t>
    </w:r>
    <w:r>
      <w:rPr>
        <w:rFonts w:hint="eastAsia" w:ascii="方正仿宋_GBK" w:hAnsi="方正仿宋_GBK" w:eastAsia="方正仿宋_GBK" w:cs="方正仿宋_GBK"/>
      </w:rPr>
      <w:drawing>
        <wp:inline distT="0" distB="0" distL="114300" distR="114300">
          <wp:extent cx="285750" cy="285750"/>
          <wp:effectExtent l="0" t="0" r="3810" b="3810"/>
          <wp:docPr id="2"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方正仿宋_GBK" w:hAnsi="方正仿宋_GBK" w:eastAsia="方正仿宋_GBK" w:cs="方正仿宋_GBK"/>
      </w:rPr>
      <w:t xml:space="preserve">                                                        </w:t>
    </w:r>
    <w:r>
      <w:rPr>
        <w:rFonts w:hint="eastAsia" w:ascii="方正仿宋_GBK" w:hAnsi="方正仿宋_GBK" w:eastAsia="方正仿宋_GBK" w:cs="方正仿宋_GBK"/>
        <w:lang w:val="en-US" w:eastAsia="zh-CN"/>
      </w:rPr>
      <w:t xml:space="preserve">      </w:t>
    </w:r>
    <w:r>
      <w:rPr>
        <w:rFonts w:hint="eastAsia" w:ascii="仿宋" w:hAnsi="仿宋" w:eastAsia="仿宋" w:cs="仿宋"/>
      </w:rPr>
      <w:t>第四届董事会第</w:t>
    </w:r>
    <w:r>
      <w:rPr>
        <w:rFonts w:hint="eastAsia" w:ascii="仿宋" w:hAnsi="仿宋" w:eastAsia="仿宋" w:cs="仿宋"/>
        <w:lang w:val="en-US" w:eastAsia="zh-CN"/>
      </w:rPr>
      <w:t>五</w:t>
    </w:r>
    <w:r>
      <w:rPr>
        <w:rFonts w:hint="eastAsia" w:ascii="仿宋" w:hAnsi="仿宋" w:eastAsia="仿宋" w:cs="仿宋"/>
      </w:rPr>
      <w:t>次会议资料</w:t>
    </w:r>
    <w:r>
      <w:rPr>
        <w:rFonts w:hint="eastAsia" w:ascii="方正仿宋_GBK" w:hAnsi="方正仿宋_GBK" w:eastAsia="方正仿宋_GBK" w:cs="方正仿宋_GBK"/>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mRmZDMxMjkwMDE2NTk0ZWQ1ZWYwMzRmYjVhNmUifQ=="/>
  </w:docVars>
  <w:rsids>
    <w:rsidRoot w:val="00172A27"/>
    <w:rsid w:val="00035A82"/>
    <w:rsid w:val="0004248A"/>
    <w:rsid w:val="00064BC1"/>
    <w:rsid w:val="000A771F"/>
    <w:rsid w:val="000C307F"/>
    <w:rsid w:val="00113C96"/>
    <w:rsid w:val="00133FA6"/>
    <w:rsid w:val="00150DF9"/>
    <w:rsid w:val="00172A27"/>
    <w:rsid w:val="00194AAD"/>
    <w:rsid w:val="00194F48"/>
    <w:rsid w:val="001C5A2C"/>
    <w:rsid w:val="002E2B10"/>
    <w:rsid w:val="0038254A"/>
    <w:rsid w:val="003B3724"/>
    <w:rsid w:val="003E3249"/>
    <w:rsid w:val="00413400"/>
    <w:rsid w:val="00432C59"/>
    <w:rsid w:val="0043318A"/>
    <w:rsid w:val="004479B3"/>
    <w:rsid w:val="00457AE6"/>
    <w:rsid w:val="004E7CB0"/>
    <w:rsid w:val="004F39F5"/>
    <w:rsid w:val="0050262F"/>
    <w:rsid w:val="00502931"/>
    <w:rsid w:val="00511EEB"/>
    <w:rsid w:val="00526B9E"/>
    <w:rsid w:val="00537692"/>
    <w:rsid w:val="00540774"/>
    <w:rsid w:val="00587B09"/>
    <w:rsid w:val="005944D1"/>
    <w:rsid w:val="005E31B0"/>
    <w:rsid w:val="00613F41"/>
    <w:rsid w:val="00647553"/>
    <w:rsid w:val="00667F5C"/>
    <w:rsid w:val="006D50D1"/>
    <w:rsid w:val="007029FB"/>
    <w:rsid w:val="00707624"/>
    <w:rsid w:val="0076412B"/>
    <w:rsid w:val="00767171"/>
    <w:rsid w:val="007A3BCD"/>
    <w:rsid w:val="007B723F"/>
    <w:rsid w:val="007C0099"/>
    <w:rsid w:val="008051A0"/>
    <w:rsid w:val="00843C5F"/>
    <w:rsid w:val="00874E6F"/>
    <w:rsid w:val="00885B75"/>
    <w:rsid w:val="009278BC"/>
    <w:rsid w:val="0097432A"/>
    <w:rsid w:val="00994623"/>
    <w:rsid w:val="009C1A76"/>
    <w:rsid w:val="00A26A06"/>
    <w:rsid w:val="00A82133"/>
    <w:rsid w:val="00AC6055"/>
    <w:rsid w:val="00AF3BA5"/>
    <w:rsid w:val="00BB2970"/>
    <w:rsid w:val="00BD3776"/>
    <w:rsid w:val="00C03671"/>
    <w:rsid w:val="00C32CB5"/>
    <w:rsid w:val="00C44FDD"/>
    <w:rsid w:val="00CF4F2E"/>
    <w:rsid w:val="00D759D4"/>
    <w:rsid w:val="00D91FAB"/>
    <w:rsid w:val="00EB4ECB"/>
    <w:rsid w:val="00EC30DB"/>
    <w:rsid w:val="00F526BA"/>
    <w:rsid w:val="00F52EB6"/>
    <w:rsid w:val="00F62BA2"/>
    <w:rsid w:val="01DE1773"/>
    <w:rsid w:val="02FD131E"/>
    <w:rsid w:val="0569768E"/>
    <w:rsid w:val="056E11EE"/>
    <w:rsid w:val="06BE3C9E"/>
    <w:rsid w:val="0EE54274"/>
    <w:rsid w:val="12CC06D1"/>
    <w:rsid w:val="160F5D4C"/>
    <w:rsid w:val="16215988"/>
    <w:rsid w:val="18C91A0D"/>
    <w:rsid w:val="1A8D2927"/>
    <w:rsid w:val="1ADD50F0"/>
    <w:rsid w:val="1F2974D5"/>
    <w:rsid w:val="20CC02F9"/>
    <w:rsid w:val="247A08AF"/>
    <w:rsid w:val="276D3412"/>
    <w:rsid w:val="28E92912"/>
    <w:rsid w:val="29F8444B"/>
    <w:rsid w:val="2BF654F3"/>
    <w:rsid w:val="2D2061F1"/>
    <w:rsid w:val="31121E7B"/>
    <w:rsid w:val="345D4CD9"/>
    <w:rsid w:val="34DD208B"/>
    <w:rsid w:val="350F368E"/>
    <w:rsid w:val="35643762"/>
    <w:rsid w:val="35CE14CA"/>
    <w:rsid w:val="37B80907"/>
    <w:rsid w:val="38762153"/>
    <w:rsid w:val="3B650E1E"/>
    <w:rsid w:val="40E37C31"/>
    <w:rsid w:val="410F6076"/>
    <w:rsid w:val="44F17878"/>
    <w:rsid w:val="4514559D"/>
    <w:rsid w:val="460D33DD"/>
    <w:rsid w:val="46483B71"/>
    <w:rsid w:val="4AA14BF0"/>
    <w:rsid w:val="4B712B0C"/>
    <w:rsid w:val="509D749F"/>
    <w:rsid w:val="529F1549"/>
    <w:rsid w:val="580544D9"/>
    <w:rsid w:val="5A0539D4"/>
    <w:rsid w:val="5E886ABC"/>
    <w:rsid w:val="61D60C85"/>
    <w:rsid w:val="621506E0"/>
    <w:rsid w:val="62456545"/>
    <w:rsid w:val="63212E97"/>
    <w:rsid w:val="647D1359"/>
    <w:rsid w:val="6481138B"/>
    <w:rsid w:val="64ED007C"/>
    <w:rsid w:val="67567318"/>
    <w:rsid w:val="676F6005"/>
    <w:rsid w:val="6AAA5BF2"/>
    <w:rsid w:val="6B8533DE"/>
    <w:rsid w:val="6C782B79"/>
    <w:rsid w:val="6D2302F0"/>
    <w:rsid w:val="6F103FEE"/>
    <w:rsid w:val="7149564C"/>
    <w:rsid w:val="72E72EE7"/>
    <w:rsid w:val="76267AB7"/>
    <w:rsid w:val="78D93FDA"/>
    <w:rsid w:val="78F2500A"/>
    <w:rsid w:val="7A540090"/>
    <w:rsid w:val="7A5F6BF3"/>
    <w:rsid w:val="7B676FF8"/>
    <w:rsid w:val="7D423956"/>
    <w:rsid w:val="7F531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9"/>
    <w:autoRedefine/>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4">
    <w:name w:val="annotation text"/>
    <w:basedOn w:val="1"/>
    <w:link w:val="17"/>
    <w:autoRedefine/>
    <w:semiHidden/>
    <w:unhideWhenUsed/>
    <w:qFormat/>
    <w:uiPriority w:val="99"/>
    <w:pPr>
      <w:jc w:val="left"/>
    </w:pPr>
  </w:style>
  <w:style w:type="paragraph" w:styleId="5">
    <w:name w:val="Balloon Text"/>
    <w:basedOn w:val="1"/>
    <w:link w:val="1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after="100"/>
      <w:jc w:val="left"/>
    </w:pPr>
    <w:rPr>
      <w:rFonts w:ascii="宋体" w:hAnsi="宋体" w:cs="宋体"/>
      <w:kern w:val="0"/>
      <w:sz w:val="24"/>
      <w:szCs w:val="20"/>
    </w:rPr>
  </w:style>
  <w:style w:type="paragraph" w:styleId="9">
    <w:name w:val="annotation subject"/>
    <w:basedOn w:val="4"/>
    <w:next w:val="4"/>
    <w:link w:val="18"/>
    <w:autoRedefine/>
    <w:semiHidden/>
    <w:unhideWhenUsed/>
    <w:qFormat/>
    <w:uiPriority w:val="99"/>
    <w:rPr>
      <w:b/>
      <w:bCs/>
    </w:rPr>
  </w:style>
  <w:style w:type="character" w:styleId="12">
    <w:name w:val="annotation reference"/>
    <w:basedOn w:val="11"/>
    <w:autoRedefine/>
    <w:semiHidden/>
    <w:unhideWhenUsed/>
    <w:qFormat/>
    <w:uiPriority w:val="99"/>
    <w:rPr>
      <w:sz w:val="21"/>
      <w:szCs w:val="21"/>
    </w:rPr>
  </w:style>
  <w:style w:type="character" w:customStyle="1" w:styleId="13">
    <w:name w:val="页眉 字符"/>
    <w:basedOn w:val="11"/>
    <w:link w:val="7"/>
    <w:autoRedefine/>
    <w:qFormat/>
    <w:uiPriority w:val="99"/>
    <w:rPr>
      <w:rFonts w:ascii="Times New Roman" w:hAnsi="Times New Roman" w:eastAsia="宋体" w:cs="Times New Roman"/>
      <w:sz w:val="18"/>
      <w:szCs w:val="18"/>
    </w:rPr>
  </w:style>
  <w:style w:type="character" w:customStyle="1" w:styleId="14">
    <w:name w:val="页脚 字符"/>
    <w:basedOn w:val="11"/>
    <w:link w:val="6"/>
    <w:autoRedefine/>
    <w:qFormat/>
    <w:uiPriority w:val="99"/>
    <w:rPr>
      <w:rFonts w:ascii="Times New Roman" w:hAnsi="Times New Roman" w:eastAsia="宋体" w:cs="Times New Roman"/>
      <w:sz w:val="18"/>
      <w:szCs w:val="18"/>
    </w:rPr>
  </w:style>
  <w:style w:type="character" w:customStyle="1" w:styleId="15">
    <w:name w:val="批注框文本 字符"/>
    <w:basedOn w:val="11"/>
    <w:link w:val="5"/>
    <w:autoRedefine/>
    <w:semiHidden/>
    <w:qFormat/>
    <w:uiPriority w:val="99"/>
    <w:rPr>
      <w:rFonts w:ascii="Times New Roman" w:hAnsi="Times New Roman" w:eastAsia="宋体" w:cs="Times New Roman"/>
      <w:sz w:val="18"/>
      <w:szCs w:val="18"/>
    </w:rPr>
  </w:style>
  <w:style w:type="paragraph" w:customStyle="1" w:styleId="16">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文字 字符"/>
    <w:basedOn w:val="11"/>
    <w:link w:val="4"/>
    <w:autoRedefine/>
    <w:semiHidden/>
    <w:qFormat/>
    <w:uiPriority w:val="99"/>
    <w:rPr>
      <w:rFonts w:ascii="Times New Roman" w:hAnsi="Times New Roman" w:eastAsia="宋体" w:cs="Times New Roman"/>
      <w:kern w:val="2"/>
      <w:sz w:val="21"/>
      <w:szCs w:val="24"/>
    </w:rPr>
  </w:style>
  <w:style w:type="character" w:customStyle="1" w:styleId="18">
    <w:name w:val="批注主题 字符"/>
    <w:basedOn w:val="17"/>
    <w:link w:val="9"/>
    <w:autoRedefine/>
    <w:semiHidden/>
    <w:qFormat/>
    <w:uiPriority w:val="99"/>
    <w:rPr>
      <w:rFonts w:ascii="Times New Roman" w:hAnsi="Times New Roman" w:eastAsia="宋体" w:cs="Times New Roman"/>
      <w:b/>
      <w:bCs/>
      <w:kern w:val="2"/>
      <w:sz w:val="21"/>
      <w:szCs w:val="24"/>
    </w:rPr>
  </w:style>
  <w:style w:type="character" w:customStyle="1" w:styleId="19">
    <w:name w:val="标题 2 字符"/>
    <w:basedOn w:val="11"/>
    <w:link w:val="3"/>
    <w:autoRedefine/>
    <w:qFormat/>
    <w:uiPriority w:val="9"/>
    <w:rPr>
      <w:rFonts w:ascii="宋体" w:hAnsi="宋体" w:eastAsia="宋体" w:cs="宋体"/>
      <w:b/>
      <w:bCs/>
      <w:sz w:val="36"/>
      <w:szCs w:val="36"/>
    </w:rPr>
  </w:style>
  <w:style w:type="paragraph" w:customStyle="1" w:styleId="2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372</Words>
  <Characters>2125</Characters>
  <Lines>17</Lines>
  <Paragraphs>4</Paragraphs>
  <TotalTime>2</TotalTime>
  <ScaleCrop>false</ScaleCrop>
  <LinksUpToDate>false</LinksUpToDate>
  <CharactersWithSpaces>2493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2016-03-09T01:35:00Z</dcterms:created>
  <dc:creator>Administrator</dc:creator>
  <cp:lastModifiedBy>Y.    Miss</cp:lastModifiedBy>
  <dcterms:modified xsi:type="dcterms:W3CDTF">2024-04-24T10:45:01Z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DB12EBE3A0F2411FA6CE8F899E9FF6CC_13</vt:lpwstr>
  </property>
</Properties>
</file>