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44"/>
          <w:szCs w:val="44"/>
        </w:rPr>
      </w:pPr>
      <w:r>
        <w:rPr>
          <w:rFonts w:hint="eastAsia" w:ascii="仿宋" w:hAnsi="仿宋" w:eastAsia="仿宋" w:cs="仿宋"/>
          <w:b/>
          <w:bCs/>
          <w:sz w:val="44"/>
          <w:szCs w:val="44"/>
        </w:rPr>
        <w:t>重庆望变电气（集团）股份有限公司</w:t>
      </w:r>
    </w:p>
    <w:p>
      <w:pPr>
        <w:jc w:val="center"/>
        <w:rPr>
          <w:rFonts w:ascii="仿宋" w:hAnsi="仿宋" w:eastAsia="仿宋" w:cs="仿宋"/>
          <w:b/>
          <w:bCs/>
          <w:sz w:val="44"/>
          <w:szCs w:val="44"/>
        </w:rPr>
      </w:pPr>
      <w:r>
        <w:rPr>
          <w:rFonts w:hint="eastAsia" w:ascii="仿宋" w:hAnsi="仿宋" w:eastAsia="仿宋" w:cs="仿宋"/>
          <w:b/>
          <w:bCs/>
          <w:sz w:val="44"/>
          <w:szCs w:val="44"/>
        </w:rPr>
        <w:t>2023年度董事会工作报告</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重庆望变电气（集团）股份有限公司（以下简称“公司”）董事会严格遵守《中华人民共和国公司法》（以下简称“《公司法》”）《中华人民共和国证券法》（以下简称“《证券法》”）《上海证券交易所股票上市规则》（以下简称“《上市规则》）”及《重庆望变电气（集团）股份有限公司章程》（以下简称“《公司章程》”）等有关规定，本着对公司和全体股东负责的态度，切实履行《公司章程》赋予的各项职责，严格执行股东大会各项决议，认真推进会议各项决议的有效实施，促进公司规范运作，保障公司科学决策，推动各项业务顺利有序开展，使公司保持良好的发展态势，现将2023年度董事会工作汇报如下：</w:t>
      </w:r>
    </w:p>
    <w:p>
      <w:pPr>
        <w:jc w:val="center"/>
        <w:rPr>
          <w:rFonts w:ascii="仿宋" w:hAnsi="仿宋" w:eastAsia="仿宋" w:cs="仿宋"/>
          <w:b/>
          <w:bCs/>
          <w:sz w:val="32"/>
          <w:szCs w:val="32"/>
        </w:rPr>
      </w:pPr>
      <w:r>
        <w:rPr>
          <w:rFonts w:hint="eastAsia" w:ascii="仿宋" w:hAnsi="仿宋" w:eastAsia="仿宋" w:cs="仿宋"/>
          <w:b/>
          <w:bCs/>
          <w:sz w:val="32"/>
          <w:szCs w:val="32"/>
        </w:rPr>
        <w:t>第一部分 2023年工作情况回顾</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一、公司主要经营业绩</w:t>
      </w:r>
    </w:p>
    <w:p>
      <w:pPr>
        <w:ind w:firstLine="640" w:firstLineChars="200"/>
        <w:rPr>
          <w:rFonts w:hint="eastAsia" w:ascii="仿宋" w:hAnsi="仿宋" w:eastAsia="仿宋" w:cs="仿宋"/>
          <w:b/>
          <w:bCs/>
          <w:sz w:val="32"/>
          <w:szCs w:val="32"/>
        </w:rPr>
      </w:pPr>
      <w:r>
        <w:rPr>
          <w:rFonts w:hint="eastAsia" w:ascii="仿宋" w:hAnsi="仿宋" w:eastAsia="仿宋" w:cs="仿宋"/>
          <w:sz w:val="32"/>
          <w:szCs w:val="32"/>
        </w:rPr>
        <w:t>2023年，公司抓住全球能源转型的有利时机，公司两大主营业务产销量仍得到一定提升，特别是抓住了输配电及其控制设备的行业景气时机，实现营业收入27.18亿元，同比增长7.57%。2023年受取向硅钢市场价格整体下调的影响，公司实现归属于母公司的净利润2.3</w:t>
      </w:r>
      <w:r>
        <w:rPr>
          <w:rFonts w:hint="eastAsia" w:ascii="仿宋" w:hAnsi="仿宋" w:eastAsia="仿宋" w:cs="仿宋"/>
          <w:sz w:val="32"/>
          <w:szCs w:val="32"/>
          <w:lang w:val="en-US" w:eastAsia="zh-CN"/>
        </w:rPr>
        <w:t>5</w:t>
      </w:r>
      <w:r>
        <w:rPr>
          <w:rFonts w:hint="eastAsia" w:ascii="仿宋" w:hAnsi="仿宋" w:eastAsia="仿宋" w:cs="仿宋"/>
          <w:sz w:val="32"/>
          <w:szCs w:val="32"/>
        </w:rPr>
        <w:t>亿元，同比减少</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1.31</w:t>
      </w:r>
      <w:r>
        <w:rPr>
          <w:rFonts w:hint="eastAsia" w:ascii="仿宋" w:hAnsi="仿宋" w:eastAsia="仿宋" w:cs="仿宋"/>
          <w:sz w:val="32"/>
          <w:szCs w:val="32"/>
        </w:rPr>
        <w:t>%。2023年公司资产总额为48.</w:t>
      </w:r>
      <w:r>
        <w:rPr>
          <w:rFonts w:hint="eastAsia" w:ascii="仿宋" w:hAnsi="仿宋" w:eastAsia="仿宋" w:cs="仿宋"/>
          <w:sz w:val="32"/>
          <w:szCs w:val="32"/>
          <w:lang w:val="en-US" w:eastAsia="zh-CN"/>
        </w:rPr>
        <w:t>75</w:t>
      </w:r>
      <w:r>
        <w:rPr>
          <w:rFonts w:hint="eastAsia" w:ascii="仿宋" w:hAnsi="仿宋" w:eastAsia="仿宋" w:cs="仿宋"/>
          <w:sz w:val="32"/>
          <w:szCs w:val="32"/>
        </w:rPr>
        <w:t>亿元，同比增长</w:t>
      </w:r>
      <w:r>
        <w:rPr>
          <w:rFonts w:hint="eastAsia" w:ascii="仿宋" w:hAnsi="仿宋" w:eastAsia="仿宋" w:cs="仿宋"/>
          <w:sz w:val="32"/>
          <w:szCs w:val="32"/>
          <w:highlight w:val="none"/>
        </w:rPr>
        <w:t>39.</w:t>
      </w:r>
      <w:r>
        <w:rPr>
          <w:rFonts w:hint="eastAsia" w:ascii="仿宋" w:hAnsi="仿宋" w:eastAsia="仿宋" w:cs="仿宋"/>
          <w:sz w:val="32"/>
          <w:szCs w:val="32"/>
          <w:highlight w:val="none"/>
          <w:lang w:val="en-US" w:eastAsia="zh-CN"/>
        </w:rPr>
        <w:t>03</w:t>
      </w:r>
      <w:r>
        <w:rPr>
          <w:rFonts w:hint="eastAsia" w:ascii="仿宋" w:hAnsi="仿宋" w:eastAsia="仿宋" w:cs="仿宋"/>
          <w:sz w:val="32"/>
          <w:szCs w:val="32"/>
        </w:rPr>
        <w:t>%；归母净资产为23.9</w:t>
      </w:r>
      <w:r>
        <w:rPr>
          <w:rFonts w:hint="eastAsia" w:ascii="仿宋" w:hAnsi="仿宋" w:eastAsia="仿宋" w:cs="仿宋"/>
          <w:sz w:val="32"/>
          <w:szCs w:val="32"/>
          <w:lang w:val="en-US" w:eastAsia="zh-CN"/>
        </w:rPr>
        <w:t>1</w:t>
      </w:r>
      <w:r>
        <w:rPr>
          <w:rFonts w:hint="eastAsia" w:ascii="仿宋" w:hAnsi="仿宋" w:eastAsia="仿宋" w:cs="仿宋"/>
          <w:sz w:val="32"/>
          <w:szCs w:val="32"/>
        </w:rPr>
        <w:t>亿元，同比增长</w:t>
      </w:r>
      <w:r>
        <w:rPr>
          <w:rFonts w:hint="eastAsia" w:ascii="仿宋" w:hAnsi="仿宋" w:eastAsia="仿宋" w:cs="仿宋"/>
          <w:sz w:val="32"/>
          <w:szCs w:val="32"/>
          <w:highlight w:val="none"/>
        </w:rPr>
        <w:t>5.</w:t>
      </w:r>
      <w:r>
        <w:rPr>
          <w:rFonts w:hint="eastAsia" w:ascii="仿宋" w:hAnsi="仿宋" w:eastAsia="仿宋" w:cs="仿宋"/>
          <w:sz w:val="32"/>
          <w:szCs w:val="32"/>
          <w:highlight w:val="none"/>
          <w:lang w:val="en-US" w:eastAsia="zh-CN"/>
        </w:rPr>
        <w:t>48</w:t>
      </w:r>
      <w:r>
        <w:rPr>
          <w:rFonts w:hint="eastAsia" w:ascii="仿宋" w:hAnsi="仿宋" w:eastAsia="仿宋" w:cs="仿宋"/>
          <w:sz w:val="32"/>
          <w:szCs w:val="32"/>
          <w:highlight w:val="none"/>
        </w:rPr>
        <w:t>%</w:t>
      </w:r>
      <w:r>
        <w:rPr>
          <w:rFonts w:hint="eastAsia" w:ascii="仿宋" w:hAnsi="仿宋" w:eastAsia="仿宋" w:cs="仿宋"/>
          <w:sz w:val="32"/>
          <w:szCs w:val="32"/>
        </w:rPr>
        <w:t>。</w:t>
      </w:r>
    </w:p>
    <w:p>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二、经营层管理层分析</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抓住全球能源转型的有利时机，紧紧围绕公司的年度生产经营目标开展各项工作，通过全体望变人的共同努力，以“稳生产、拓市场、保基建、促增长”为工作方针；以“强基固本抓生产、项目建设平且顺、开源拓新扩市场、智能智造注新质、科研引领促创新、能力建设助发展”为工作主线；全面完成年初制定的各项生产经营及项目建设目标。</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同时，公司通过积极赋予在建八万吨高端磁性新材料项目、低铁损高磁感硅钢铁心智能制造项目以及110kV及以下节能型变压器智能化工厂等相关项目产线智能化、智慧化“双智”功能，创新性配置各项生产要素，加速激活新质生产力，驱动公司创新发展；通过自建“综合零碳示范样板区”，用实际行动谱写了望变电气“绿色”“低碳”高质量发展的新篇章。</w:t>
      </w:r>
    </w:p>
    <w:p>
      <w:pPr>
        <w:pStyle w:val="20"/>
        <w:ind w:firstLine="420"/>
        <w:outlineLvl w:val="2"/>
        <w:rPr>
          <w:rFonts w:hint="eastAsia" w:ascii="仿宋" w:hAnsi="仿宋" w:eastAsia="仿宋" w:cs="仿宋"/>
          <w:sz w:val="32"/>
          <w:szCs w:val="32"/>
          <w:highlight w:val="none"/>
        </w:rPr>
      </w:pPr>
      <w:r>
        <w:rPr>
          <w:rFonts w:hint="eastAsia" w:ascii="仿宋" w:hAnsi="仿宋" w:eastAsia="仿宋" w:cs="仿宋"/>
          <w:sz w:val="32"/>
          <w:szCs w:val="32"/>
          <w:highlight w:val="none"/>
        </w:rPr>
        <w:t>（一）强基固本抓生产，齐头并进创佳绩</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公司主营业务中的电力变压器、箱式变电站、其他成套设备属于输配电及控制设备业务；高磁感取向硅钢、一般取向硅钢产品属于取向硅钢业务。</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1、两大主业均坚持生产、基建两手抓两手都要硬的工作基调，确保公司基本盘稳定</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经营管理层紧紧围绕年度生产经营目标，坚持强化现有生产装置“安、稳、长、满、优”的持续稳定运行，确保公司基本盘稳定；两大产业齐头并进，两大产业均坚持一手抓现有装置生产一手抓在建项目建设两手都要硬的总体工作部署，两大产业产量均创历史新高，是公司全面完成2023年生产经营任务的定心丸和稳定剂。在抓好生产经营的同时，公司有力推进了八万吨高端磁性新材料项目、110kV及以下节能型变压器智能化工厂技改项目等项目建设；实现了现有装置生产与新建项目建设两手抓两手都要硬的“双赢”局面。</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2、两大主业协同发挥优势，产业链优势进一步发挥，公司抗风险能力持续提升</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在国内取向硅钢大量产能投放市场、销售价格持续下跌的激烈市场竞争环境下，仍然实现了两大业务产销量双双增长，尤其抓住了输配电行业持续景气的有利时机，全年实现营业总收入27.18亿元，同比增长7.57%。其中，输配电及其控制设备业务实现营业收入13.53亿元，同比增长38.52%；取向硅钢业务现在产量增加1.47万吨、销量增加0.87万吨的情况下，由于销售价格下降导致取向硅钢业务营业总收入同比下降13.14%。公司两大主营业务在面对激烈市场竞争的情况下所表现的增长态势，凸显了两大产业相互补充和依存的战略定位精准及产业链协同优势——公司主营业务不仅呈现出较强的行业竞争力，同时还具有较强的稳定性及抗风险能力。</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3、全年产销情况</w:t>
      </w:r>
    </w:p>
    <w:p>
      <w:pPr>
        <w:pStyle w:val="20"/>
        <w:ind w:firstLine="420"/>
        <w:outlineLvl w:val="4"/>
        <w:rPr>
          <w:rFonts w:hint="eastAsia" w:ascii="仿宋" w:hAnsi="仿宋" w:eastAsia="仿宋" w:cs="仿宋"/>
          <w:sz w:val="32"/>
          <w:szCs w:val="32"/>
          <w:highlight w:val="none"/>
        </w:rPr>
      </w:pPr>
      <w:r>
        <w:rPr>
          <w:rFonts w:hint="eastAsia" w:ascii="仿宋" w:hAnsi="仿宋" w:eastAsia="仿宋" w:cs="仿宋"/>
          <w:sz w:val="32"/>
          <w:szCs w:val="32"/>
          <w:highlight w:val="none"/>
        </w:rPr>
        <w:t>（1）输配电及控制设备</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生产电力变压器1,133.25万kVA，较去年增加280.55万kVA，同比增长32.90%；全年生产箱式变电站1,557台，较去年增加419台，同比增长36.82%；全年生产成套电气设备10,101台/套，较去年增加610台/套，同比增长6.43%。</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2023年，输配电及控制设备实现营业收入13.53亿元，同比增长38.52%。</w:t>
      </w:r>
    </w:p>
    <w:p>
      <w:pPr>
        <w:pStyle w:val="20"/>
        <w:ind w:firstLine="420"/>
        <w:outlineLvl w:val="4"/>
        <w:rPr>
          <w:rFonts w:hint="eastAsia" w:ascii="仿宋" w:hAnsi="仿宋" w:eastAsia="仿宋" w:cs="仿宋"/>
          <w:sz w:val="32"/>
          <w:szCs w:val="32"/>
          <w:highlight w:val="none"/>
        </w:rPr>
      </w:pPr>
      <w:r>
        <w:rPr>
          <w:rFonts w:hint="eastAsia" w:ascii="仿宋" w:hAnsi="仿宋" w:eastAsia="仿宋" w:cs="仿宋"/>
          <w:sz w:val="32"/>
          <w:szCs w:val="32"/>
          <w:highlight w:val="none"/>
        </w:rPr>
        <w:t>（2）取向硅钢</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2023年，公司全年生产取向硅钢12.59万吨，较去年增加1.47万吨, 同比增长13.25%；全年实现营业收入12.93亿元，由于取向硅钢价格下降，在销售总量增加0.87万吨的同时营业收入同比下降13.14%。</w:t>
      </w:r>
    </w:p>
    <w:p>
      <w:pPr>
        <w:pStyle w:val="20"/>
        <w:ind w:firstLine="420"/>
        <w:outlineLvl w:val="2"/>
        <w:rPr>
          <w:rFonts w:hint="eastAsia" w:ascii="仿宋" w:hAnsi="仿宋" w:eastAsia="仿宋" w:cs="仿宋"/>
          <w:sz w:val="32"/>
          <w:szCs w:val="32"/>
          <w:highlight w:val="none"/>
        </w:rPr>
      </w:pPr>
      <w:r>
        <w:rPr>
          <w:rFonts w:hint="eastAsia" w:ascii="仿宋" w:hAnsi="仿宋" w:eastAsia="仿宋" w:cs="仿宋"/>
          <w:sz w:val="32"/>
          <w:szCs w:val="32"/>
          <w:highlight w:val="none"/>
        </w:rPr>
        <w:t>（二）项目建设平且顺，助力公司再奋进</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2023年，公司多个建设项目平稳顺利按计划推进，新项目、新产能的陆续投产，为公司未来经营业绩不断开拓奋进打下了坚实的硬件基础。</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1、八万吨高端磁性新材料项目建设情况</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八万吨高端磁性新材料项目于2022年7月份开工，截止2023年12月31日，三期产线除关键国外进口设备（例如激光刻痕、退火炉）外已全面投产；截止本报告披露日，德国进口激光刻痕设备已完成联动试车、已正常投入并线运行；德国进口退火炉设备已完成联动试车，现在处于调试工艺阶段，首批取向硅钢成品卷预计2024年4月底下线；至此，本项目进入全线调试阶段。</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随着该项目的全面建成，公司高磁感取向硅钢的高牌号产品将大幅度提升，与同行龙头企业的差距正在逐步缩小，在取向硅钢行业的核心竞争力将进一步提升。</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2、低铁损高磁感硅钢铁心智能制造项目建设情况</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低铁损高磁感硅钢铁心智能制造项目已于2023年投入生产，该项目是我国西南地区首个智能化硅钢剪配中心，已成为重庆市、区两级数字化工厂“新范本”，该项目的全面建成投产，进一步延展了公司的产业链优势和智能智造优势，为持续提升公司产品市场竞争力提供了有力的支持。</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3、110kV及以下节能型变压器智能化工厂技改项目建设情况</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110kV及以下节能型变压器智能化工厂技改项目已于2023年8月开工建设；截止2023年12月31日，建筑工程已完成90%工程进度，设备定制合同全面完成，2024年1季度将进入设备交付安装高峰期，预计2024年4月底完成交付投入试生产。 </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随着公司各在建项目的不断推进，公司产业链日趋完整，高磁感取向硅钢生产、低铁损高磁感硅钢铁心加工制造、更高电压等级电力变压器生产资质取得等延链补链项目顺利实施，为公司持续努力奋进提供了强有力的支撑。</w:t>
      </w:r>
    </w:p>
    <w:p>
      <w:pPr>
        <w:pStyle w:val="20"/>
        <w:ind w:firstLine="420"/>
        <w:outlineLvl w:val="2"/>
        <w:rPr>
          <w:rFonts w:hint="eastAsia" w:ascii="仿宋" w:hAnsi="仿宋" w:eastAsia="仿宋" w:cs="仿宋"/>
          <w:sz w:val="32"/>
          <w:szCs w:val="32"/>
          <w:highlight w:val="none"/>
        </w:rPr>
      </w:pPr>
      <w:r>
        <w:rPr>
          <w:rFonts w:hint="eastAsia" w:ascii="仿宋" w:hAnsi="仿宋" w:eastAsia="仿宋" w:cs="仿宋"/>
          <w:sz w:val="32"/>
          <w:szCs w:val="32"/>
          <w:highlight w:val="none"/>
        </w:rPr>
        <w:t>（三）开源拓新扩市场，营销永远在冲刺</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取向硅钢产品终端使用国家从2022年的10个国家和地区进一步扩大到2023年的15个国家和地区；销售大单获单能力进一步增强，两大产业大客户营业收入占比持续提升，为公司长期持续稳定发展奠定了坚实的客户基础。</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1、公司销售以“立足北京、辐射全国、走向世界”的战略指引为指导开展各项工作，营销战略转型初见成效</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公司取向硅钢产品客户已经覆盖印度、土耳其、墨西哥、韩国、巴西、沙特等15个国家和地区，并与之建立了良好的合作关系，取向硅钢产品在国际上已经树立了“宝武、首、望”的良好品牌形象；2023年，公司取向硅钢出口实现营业收入2.74亿元，占取向硅钢营业收入的比例为21.18%。公司前述国家和地区的取向硅钢客户储备，为2024年八万吨高端磁性新材料项目全面投产打下了良好的市场基础。</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2、输配电及控制设备大单获单能力进一步提升，大客户占比持续提升</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公司持续拓展输配电及控制设备的大型央企、国企及上市公司客户，2023年前十客户营业收入占比达到44.90%，较去年增加6.04个百分点，公司输配电业务客户转型成效显著。</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3、公司积极拓展输配电及控制设备产品在太阳能、风能、储能、人工智能、汽车充电桩和5G基站建设等新能源新基建领域的运用，2023年前述领域客户营业收入占比为24.85%，较去年增加3.36个百分点。</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综上，望变电气的营销队伍永远是一支勇于担当、冲锋在前的排头兵，公司经营业绩，特别是输配电及控制设备业务营业收入能长期维持26.49%的快速复合增长，与公司有一支能打胜仗的营销队伍密不可分。</w:t>
      </w:r>
    </w:p>
    <w:p>
      <w:pPr>
        <w:pStyle w:val="20"/>
        <w:ind w:firstLine="420"/>
        <w:outlineLvl w:val="2"/>
        <w:rPr>
          <w:rFonts w:hint="eastAsia" w:ascii="仿宋" w:hAnsi="仿宋" w:eastAsia="仿宋" w:cs="仿宋"/>
          <w:sz w:val="32"/>
          <w:szCs w:val="32"/>
          <w:highlight w:val="none"/>
        </w:rPr>
      </w:pPr>
      <w:r>
        <w:rPr>
          <w:rFonts w:hint="eastAsia" w:ascii="仿宋" w:hAnsi="仿宋" w:eastAsia="仿宋" w:cs="仿宋"/>
          <w:sz w:val="32"/>
          <w:szCs w:val="32"/>
          <w:highlight w:val="none"/>
        </w:rPr>
        <w:t>（四）智能智造注新质，持续发展添活力</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习近平总书记在党的二十大报告中强调，“高质量发展是全面建设社会主义现代化国家的首要任务”；原国家发展改革委主任何立峰在学习《高质量发展是全面建设社会主义现代化国家的首要任务（认真学习宣传贯彻党的二十大精神）》的心得中提到“</w:t>
      </w:r>
      <w:r>
        <w:rPr>
          <w:rFonts w:hint="eastAsia" w:ascii="仿宋" w:hAnsi="仿宋" w:eastAsia="仿宋" w:cs="仿宋"/>
          <w:color w:val="333333"/>
          <w:sz w:val="32"/>
          <w:szCs w:val="32"/>
          <w:highlight w:val="none"/>
          <w:shd w:val="clear" w:color="auto" w:fill="FFFFFF"/>
        </w:rPr>
        <w:t>把增强产业链韧性和竞争力放在更加重要的位置，着力打造自主可控、安全可靠的产业链供应链。深入实施质量强国建设和产业基础再造工程，加快发展先进制造业集群，壮大智能制造、生命健康、新材料等战略性新兴产业，做大做强做优数字经济，深入推进传统产业数字化转型和数字产业创新发展。”</w:t>
      </w:r>
      <w:r>
        <w:rPr>
          <w:rFonts w:hint="eastAsia" w:ascii="仿宋" w:hAnsi="仿宋" w:eastAsia="仿宋" w:cs="仿宋"/>
          <w:sz w:val="32"/>
          <w:szCs w:val="32"/>
          <w:highlight w:val="none"/>
        </w:rPr>
        <w:t>是实现高质量发展的具体工作措施之一。</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习总书记关于加快培育和发展新质生产力的论述，是新时代全面把握新一轮科技革命突破方向，推动生产力高质量发展，全面推进中国式现代化建设的理论指导和行动指南；新质生产力是新质态的先进生产力，其构成要素具有新质态，核心要素是创新，包括理念创新、科技创新、产业创新、管理创新、文化创新、制度创新等。</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望变电气在新建改建相关项目建设过程中，大力推进现代化产业体系建设，新建产线在设计之初就全面统筹机器、产业工人、生产过程管控、物流信息、上下游供应商和客户、市场等相关大数据采集、人工智能运用等技术的深度融合，实现了数字经济和实体经济融合发展；实现了科技创新和产业创新，有效注入并激活各项新质生产力。充分发挥公司创新主导作用，以科技创新推动产业创新，加快推进新型工业化建设，提高全要素生产率，不断塑造发展新动能、新优势，促进公司新质生产力向更高水平跃升。</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高磁感取向硅钢智能工厂、低铁损高磁感硅钢铁心智能工厂陆续建成，正在建设的110kV及以下节能型变压器智能化工厂和智控设备及金属制品智能工厂等各智能化工厂正在通过引进先进工艺装备、搭载智能智造系统加速推进公司智能化和信息化建设，不断注入新质生产力，为公司持续发展添活力。</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1、高磁感取向硅钢智能工厂（一期）已初步建成投入试运行</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高磁感取向硅钢智能工厂（一期）工业互联网平台系统部署已经完成，可以提供数字化、网络化、智能化的需求服务；其中已建成的工业应用管理平台、数据资产管理平台、系统集成服务平台、智能IOT物联网数采平台等平台体系，向下能够对接海量工业设备，将数据汇聚到平台，向上能够提供模块化组件，支撑工业智能化应用的快速开发和部署；正在建设的取向硅钢MES平台在工业互联网平台的基础上，拥有计划排程、质量管理、工艺管理、成本能源介质管理、设备管理、仓储管理、安环管理、生产精益管理等智能化生产应用，同时实现数据及应用的统一管理及横向扩展。</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2、低铁损高磁感硅钢铁心工厂智能化和信息化平台已全面建成投入运用</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6月，公司建成低铁损高磁感硅钢铁心工厂智能化产线MES和WMS系统，创新性实现铁心原料溯源、技术设计配料、生产计划排产、排刀计划、发运安排、客户追踪等全流程数据采集信息化、人工操作智能化、设备运行自动化功能，充分发挥公司自主创新主导作用，以科技创新推动产业创新，加快推进新型工业化建设，提高全要素生产率，不断塑造发展新动能、新优势，促进公司新质生产力向更高水平跃升。</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3、“低碳”“绿色”打造零碳样板示范区，带动公司产品及服务向低碳化发展、绿色化转型、循环化利用、智慧化管理转型升级</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公司深刻践行国家“双碳”战略、实施节能减排，在项目建设中落实“零碳”“绿色”双标准；将数字化、智慧化理念贯穿在零碳园区的规划、建设、运营管理的全过程；通过产业低碳化发展、能源绿色化转型、资源循环化利用、碳素智慧化管理等方法，实现碳排放与吸收的循环平衡，最终实现“零碳”目标。</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公司通过自主研发的光伏箱变、充气柜等输配电及控制设备，利用无人机智慧运维系统、综合智慧能源管控平台、光储一体化智能配电系统、分布式并网电站、智慧路灯、智慧座椅、光伏车棚等智能产品和系统配套储能设施和充电桩，打造了涵盖光电、储能、智慧能源的“零碳”样板示范区，实现生产、生态、生活深度融合；通过样板示范区的示范效应，可以持续带动公司产品及服务向低碳化发展、绿色化转型、循环化利用、智慧化管理转型升级。</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2023年，公司建成投运长寿区首个集光伏电站、充电站、储能电站为一体的综合零碳样板区。</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荣获工信部评定的“国家绿色工厂”认证，未来公司将按照“1楼+1厂+1园区”的思路，着力打造零碳产业园。以建设重庆市数字工厂典范为契机，以零碳智慧综合示范园区建设为抓手，牵头打造并丰富应用场景，抢抓能源变革新机遇和绿色低碳发展窗口期；强化自身建设，自建绿色低碳样板，从绿色能源专业设备制造企业，延伸拓展技术咨询、工程总承包、设备运维、升级改造等全周期性服务，向低（零）碳绿色能源设备服务商转型；持续增加服务要素在投入和产出中的比重，结合自身优势，逐步掌握关键核心技术和自主创新能力，积极发展清洁能源。在全球能源转型和能源革命催生行业需求持续旺盛的市场大背景下，公司定当继续围绕新能源材料及装备产业，不断提升研发、制造及解决方案构建能力，主动作为、不辱使命、迎难而上，力争在全球能源转型和能源革命浪潮中发挥更大作用，展现更大作为！</w:t>
      </w:r>
    </w:p>
    <w:p>
      <w:pPr>
        <w:pStyle w:val="20"/>
        <w:ind w:firstLine="420"/>
        <w:outlineLvl w:val="2"/>
        <w:rPr>
          <w:rFonts w:hint="eastAsia" w:ascii="仿宋" w:hAnsi="仿宋" w:eastAsia="仿宋" w:cs="仿宋"/>
          <w:sz w:val="32"/>
          <w:szCs w:val="32"/>
          <w:highlight w:val="none"/>
        </w:rPr>
      </w:pPr>
      <w:r>
        <w:rPr>
          <w:rFonts w:hint="eastAsia" w:ascii="仿宋" w:hAnsi="仿宋" w:eastAsia="仿宋" w:cs="仿宋"/>
          <w:sz w:val="32"/>
          <w:szCs w:val="32"/>
          <w:highlight w:val="none"/>
        </w:rPr>
        <w:t>（五）科研引领促创新，后续发展可期待</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持续加大研发投入，全年研发投入1.70亿元，同比增长70%；随着研发项目的陆续完成，以23QH085/23QH090牌号为代表的高端取向硅钢产品已研发成功并陆续实现销售，电力变压器二级能效产品、新型智能多功能低压开关设备、新能源箱变等输配电产品的迭代产品在国家电网和南方电网以及其他市场逐步推广使用，取向硅钢废钢制备先进电子软磁材料技术开发已经完成小试和中试。</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同时，重庆市工业和信息化重点实验室、重庆总部研发基地等筑巢引凤的研发软硬件设施、设备已经投入使用，科研引领促创新，后续发展可期待。</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持续加大创新合作力度，公司与中国钢铁研究总院、华菱钢铁、首钢股份、马钢股份、重庆大学、重庆理工大学、武汉科技大学、天通控股和汪卫华院士团队等科研院所、企业建立了良好的合作关系。2023年，公司新增申请专利44项，其中发明专利22项；获得专利授权12项，其中发明专利6项；获评“国家绿色工厂”“国家知识产权示范企业”“2023变压器十大创新标杆企业”“重庆市民营制造业100强”及“重庆市民营企业科技创新指数100强”等荣誉。</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1、高性能取向电工钢制备技术及工艺研究开发项目</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2035”强国战略目标已明确“低铁损高磁感取向硅钢”为国家重点发展新材料之一，对国家实施节能减排及变压器的升级换代具有重要的经济和社会效益。公司持续研究低铁损高磁感的高端取向硅钢产品，不断提升产品质量同时降低生产成本。</w:t>
      </w:r>
    </w:p>
    <w:p>
      <w:pPr>
        <w:pStyle w:val="20"/>
        <w:ind w:firstLine="420"/>
        <w:outlineLvl w:val="4"/>
        <w:rPr>
          <w:rFonts w:hint="eastAsia" w:ascii="仿宋" w:hAnsi="仿宋" w:eastAsia="仿宋" w:cs="仿宋"/>
          <w:sz w:val="32"/>
          <w:szCs w:val="32"/>
          <w:highlight w:val="none"/>
        </w:rPr>
      </w:pPr>
      <w:r>
        <w:rPr>
          <w:rFonts w:hint="eastAsia" w:ascii="仿宋" w:hAnsi="仿宋" w:eastAsia="仿宋" w:cs="仿宋"/>
          <w:sz w:val="32"/>
          <w:szCs w:val="32"/>
          <w:highlight w:val="none"/>
        </w:rPr>
        <w:t>（1）取向硅钢高牌号技术研究项目</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为满足国家节能降耗的需求，公司加大低损耗高性能取向硅钢技术和工艺研发力度，基于取向硅钢现有10万吨产线，全年共投入13批次的低温HiB钢的批量试制工作，实现0.20mm、0.23mm和0.27mm厚度规格产品稳定生产，突破了23QH080牌号的技术瓶颈，在取向硅钢高牌号研究项目上取得了重大突破，极大的提升了公司在电力变压器行业高端原材料的供应能力。随着该项目的持续研发，公司将进一步提升和优化取向硅钢产品的牌号结构。</w:t>
      </w:r>
    </w:p>
    <w:p>
      <w:pPr>
        <w:pStyle w:val="20"/>
        <w:ind w:firstLine="420"/>
        <w:outlineLvl w:val="4"/>
        <w:rPr>
          <w:rFonts w:hint="eastAsia" w:ascii="仿宋" w:hAnsi="仿宋" w:eastAsia="仿宋" w:cs="仿宋"/>
          <w:sz w:val="32"/>
          <w:szCs w:val="32"/>
          <w:highlight w:val="none"/>
        </w:rPr>
      </w:pPr>
      <w:r>
        <w:rPr>
          <w:rFonts w:hint="eastAsia" w:ascii="仿宋" w:hAnsi="仿宋" w:eastAsia="仿宋" w:cs="仿宋"/>
          <w:sz w:val="32"/>
          <w:szCs w:val="32"/>
          <w:highlight w:val="none"/>
        </w:rPr>
        <w:t>（2）取向硅钢工艺技术研究项目</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实施了一次冷轧板引带焊接工艺、氧化镁含水率控制工艺、燃气式高温罩式退火炉工艺等相关工艺技术的研究，取向硅钢工艺技术得到不断改进和提升，为公司取向硅钢产品质量持续提升和成本不断优化提供了强力支持。</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其中，一次冷轧板引带焊接工艺经过反复研究和探索，实现了HiB钢头尾焊接引带并满足轧制工艺的要求，该项目将取向硅钢的成材率提升0.5%以上。</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氧化镁含水率控制工艺研究是基于与设备厂家共同合作开发的首台套国产化红外干燥炉成功投用，实现氧化镁含水率的精准控制，降低取向硅钢表面缺陷的发生率，降低表面让步率5%以上，确保公司持续为客户提供优质产品。</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燃气式高温罩式退火炉工艺研究是基于现有的电加热高温罩式炉工艺，与设备供应商合作研发了国产首台套燃气式高温罩式炉，已实现一拖三式取向硅钢卷的高温退火生产，提高热能的利用率和生产效率。</w:t>
      </w:r>
    </w:p>
    <w:p>
      <w:pPr>
        <w:pStyle w:val="20"/>
        <w:ind w:firstLine="420"/>
        <w:outlineLvl w:val="3"/>
        <w:rPr>
          <w:rFonts w:hint="eastAsia" w:ascii="仿宋" w:hAnsi="仿宋" w:eastAsia="仿宋" w:cs="仿宋"/>
          <w:sz w:val="32"/>
          <w:szCs w:val="32"/>
          <w:highlight w:val="none"/>
        </w:rPr>
      </w:pPr>
      <w:bookmarkStart w:id="0" w:name="_Hlk163750610"/>
      <w:r>
        <w:rPr>
          <w:rFonts w:hint="eastAsia" w:ascii="仿宋" w:hAnsi="仿宋" w:eastAsia="仿宋" w:cs="仿宋"/>
          <w:sz w:val="32"/>
          <w:szCs w:val="32"/>
          <w:highlight w:val="none"/>
        </w:rPr>
        <w:t>2、取向硅钢废钢制备先进电子软磁材料技术开发项目</w:t>
      </w:r>
    </w:p>
    <w:bookmarkEnd w:id="0"/>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公司取向硅钢在酸洗、冷轧、脱碳退火等工艺过程中会产生部分废料。为了提高原材料的综合利用效率，公司拟通过取向硅钢废钢制备先进电子软磁材料技术开发对取向硅钢余料进行二次开发利用，通过取向硅钢废钢制备先进电子软磁材料，打造新的利润增长点，拓宽取向硅钢产品的应用领域，实现节能减排绿色可持续发展。</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度，公司已全面打通从废料到磁性粉末的全部生产工艺路线；完成一条250KG级真空气雾化制粉装置的建设；已成功实现FeSi,FeSiAl和FeSiCr三种粉末的中试生产；已经通过用户的小批量试验认证；形成了特有的取向硅钢废料底层去除技术，属全球首创技术；为后续的产线建设奠定基础，为废钢循环经济利用开辟新的渠道。</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上述项目的重大突破，为公司后续产业规划及发展奠定了坚实的技术基础。</w:t>
      </w:r>
    </w:p>
    <w:p>
      <w:pPr>
        <w:pStyle w:val="20"/>
        <w:ind w:firstLine="420"/>
        <w:outlineLvl w:val="2"/>
        <w:rPr>
          <w:rFonts w:hint="eastAsia" w:ascii="仿宋" w:hAnsi="仿宋" w:eastAsia="仿宋" w:cs="仿宋"/>
          <w:sz w:val="32"/>
          <w:szCs w:val="32"/>
          <w:highlight w:val="none"/>
        </w:rPr>
      </w:pPr>
      <w:r>
        <w:rPr>
          <w:rFonts w:hint="eastAsia" w:ascii="仿宋" w:hAnsi="仿宋" w:eastAsia="仿宋" w:cs="仿宋"/>
          <w:sz w:val="32"/>
          <w:szCs w:val="32"/>
          <w:highlight w:val="none"/>
        </w:rPr>
        <w:t>（六）能力建设助发展，自我革新创伟业</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随着公司的高速发展，公司对现代化管理体系的需求日益增长。2023年，公司初步完成战略转型后的组织架构和体系建设框架，为公司稳定可持续发展提供了保障。</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1、积极宣传望变电气核心价值观和企业文化，公司文化建设卓有成效</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公司通过微信公众号、企业新闻、各项组织培训等多渠道宣传望变电气核心价值观和企业文化，统一集团员工的思想意识和行为规范，以此加强望变电气不断发展过程中各型人才对望变电气文化的认同和归属，通过文化认同打造一支强有力的战斗队伍。</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2、适应公司发展需求，自我革新组织体系，深入推进组织机构建设和各项能力建设</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2023年，公司以建立垂直的管理体系为导向，以机构改革为切入点，深入推进组织机构建设和各项能力建设，不断完善现代企业制度要求的组织体系和管理体系。</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2023年，公司建立了以集团分管副职为主要责任人的垂直管理事业部和一级机构的垂直管理体系，全面撤并集团部分二级机构，减少基层组织汇报层级，快速提升公司各职能部门的反应速度。</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3、完善了与企业发展速度及规模相匹配的绩效考核体系和员工职业发展通道体系，公司运营管理能力持续提升</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修正和完善了员工职业发展通道体系及与企业发展速度及规模相匹配的绩效考核体系，为职工提供了从入职到退休的全职业周期的成长空间，持续跟踪和对标市场薪酬水平，民主确定岗位价值，真正实现定薪有标准、涨薪有依据、调薪有规则、激励考核有标准、晋升有通道的体系建设。</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公司持续完善制度和流程体系，做到办事有依据、考核有标准、执行有效率，持续提升预算精细化与业务的融合度，完善目标管理体系，优化评价标准。</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4、重塑供应链体系管理，与合作伙伴共创共建望变电气品牌，共享望变电气发展成果的理念得到广泛认可，供应商的管理能力进一步提升</w:t>
      </w:r>
    </w:p>
    <w:p>
      <w:pPr>
        <w:pStyle w:val="20"/>
        <w:ind w:firstLine="420"/>
        <w:rPr>
          <w:rFonts w:hint="eastAsia" w:ascii="仿宋" w:hAnsi="仿宋" w:eastAsia="仿宋" w:cs="仿宋"/>
          <w:sz w:val="32"/>
          <w:szCs w:val="32"/>
          <w:highlight w:val="none"/>
        </w:rPr>
      </w:pPr>
      <w:r>
        <w:rPr>
          <w:rFonts w:hint="eastAsia" w:ascii="仿宋" w:hAnsi="仿宋" w:eastAsia="仿宋" w:cs="仿宋"/>
          <w:sz w:val="32"/>
          <w:szCs w:val="32"/>
          <w:highlight w:val="none"/>
        </w:rPr>
        <w:t>2023年，公司优化了集团供应商统筹机制，定期或不定期开展供应商履约能力评估；完成550余家供应商路线图优化，淘汰约80家供应商，引进重点供应商40余家；通过供应商合作伙伴的不断优化，各方建立价值认同和战略合作的关系，与合作伙伴共同分享望变电气发展成果的理念得到广泛认可，供应商的管理能力进一步提升。</w:t>
      </w:r>
    </w:p>
    <w:p>
      <w:pPr>
        <w:pStyle w:val="20"/>
        <w:ind w:firstLine="420"/>
        <w:outlineLvl w:val="3"/>
        <w:rPr>
          <w:rFonts w:hint="eastAsia" w:ascii="仿宋" w:hAnsi="仿宋" w:eastAsia="仿宋" w:cs="仿宋"/>
          <w:sz w:val="32"/>
          <w:szCs w:val="32"/>
          <w:highlight w:val="none"/>
        </w:rPr>
      </w:pPr>
      <w:r>
        <w:rPr>
          <w:rFonts w:hint="eastAsia" w:ascii="仿宋" w:hAnsi="仿宋" w:eastAsia="仿宋" w:cs="仿宋"/>
          <w:sz w:val="32"/>
          <w:szCs w:val="32"/>
          <w:highlight w:val="none"/>
        </w:rPr>
        <w:t>5、稳健匹配财务资源，在确保公司发展需求的同时不出现财务风险</w:t>
      </w:r>
    </w:p>
    <w:p>
      <w:pPr>
        <w:pStyle w:val="20"/>
        <w:ind w:firstLine="420"/>
      </w:pPr>
      <w:r>
        <w:rPr>
          <w:rFonts w:hint="eastAsia" w:ascii="仿宋" w:hAnsi="仿宋" w:eastAsia="仿宋" w:cs="仿宋"/>
          <w:sz w:val="32"/>
          <w:szCs w:val="32"/>
          <w:highlight w:val="none"/>
        </w:rPr>
        <w:t>公司2023年末资产总额为48.75亿元，较2022年末增长39.03%；2023年末资产负债率为50.96%，处于较合理水平；同时，公司2023年度银行授信额度与已使用授信额度比例为2.33，银行授信充裕。公司在快速发展的同时，</w:t>
      </w:r>
      <w:bookmarkStart w:id="1" w:name="_GoBack"/>
      <w:bookmarkEnd w:id="1"/>
      <w:r>
        <w:rPr>
          <w:rFonts w:hint="eastAsia" w:ascii="仿宋" w:hAnsi="仿宋" w:eastAsia="仿宋" w:cs="仿宋"/>
          <w:sz w:val="32"/>
          <w:szCs w:val="32"/>
          <w:highlight w:val="none"/>
        </w:rPr>
        <w:t>采用稳健的财务政策，确保公司在正常经营情况下不出现财务风险和危机。</w:t>
      </w: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董事会工作开展情况</w:t>
      </w:r>
    </w:p>
    <w:p>
      <w:pPr>
        <w:ind w:firstLine="640" w:firstLineChars="200"/>
        <w:rPr>
          <w:rFonts w:ascii="仿宋" w:hAnsi="仿宋" w:eastAsia="仿宋" w:cs="仿宋"/>
          <w:sz w:val="32"/>
          <w:szCs w:val="32"/>
        </w:rPr>
      </w:pPr>
      <w:r>
        <w:rPr>
          <w:rFonts w:hint="eastAsia" w:ascii="仿宋" w:hAnsi="仿宋" w:eastAsia="仿宋" w:cs="仿宋"/>
          <w:sz w:val="32"/>
          <w:szCs w:val="32"/>
        </w:rPr>
        <w:t>2023年公司董事会顺利完成换届并聘任了新一届高级管理人员，管理团队更加年轻化专业化。</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（一）董事会会议召开情况</w:t>
      </w:r>
    </w:p>
    <w:p>
      <w:pPr>
        <w:autoSpaceDE w:val="0"/>
        <w:autoSpaceDN w:val="0"/>
        <w:adjustRightInd w:val="0"/>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2023年董事会按照公司《董事会议事规则》认真履行相关责任，组织召开了5次董事会，共审议40个事项。报告期内董事会组织召开的董事会会议情况如下：</w:t>
      </w:r>
    </w:p>
    <w:tbl>
      <w:tblPr>
        <w:tblStyle w:val="8"/>
        <w:tblW w:w="8820" w:type="dxa"/>
        <w:tblInd w:w="96" w:type="dxa"/>
        <w:tblLayout w:type="autofit"/>
        <w:tblCellMar>
          <w:top w:w="0" w:type="dxa"/>
          <w:left w:w="108" w:type="dxa"/>
          <w:bottom w:w="0" w:type="dxa"/>
          <w:right w:w="108" w:type="dxa"/>
        </w:tblCellMar>
      </w:tblPr>
      <w:tblGrid>
        <w:gridCol w:w="704"/>
        <w:gridCol w:w="1266"/>
        <w:gridCol w:w="1610"/>
        <w:gridCol w:w="5240"/>
      </w:tblGrid>
      <w:tr>
        <w:tblPrEx>
          <w:tblCellMar>
            <w:top w:w="0" w:type="dxa"/>
            <w:left w:w="108" w:type="dxa"/>
            <w:bottom w:w="0" w:type="dxa"/>
            <w:right w:w="108" w:type="dxa"/>
          </w:tblCellMar>
        </w:tblPrEx>
        <w:trPr>
          <w:trHeight w:val="94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color w:val="000000"/>
                <w:szCs w:val="21"/>
              </w:rPr>
            </w:pPr>
            <w:r>
              <w:rPr>
                <w:rFonts w:hint="eastAsia" w:ascii="仿宋" w:hAnsi="仿宋" w:eastAsia="仿宋" w:cs="仿宋"/>
                <w:b/>
                <w:bCs/>
                <w:color w:val="000000"/>
                <w:kern w:val="0"/>
                <w:szCs w:val="21"/>
                <w:lang w:bidi="ar"/>
              </w:rPr>
              <w:t>2023年董事会召开情况表</w:t>
            </w:r>
          </w:p>
        </w:tc>
      </w:tr>
      <w:tr>
        <w:tblPrEx>
          <w:tblCellMar>
            <w:top w:w="0" w:type="dxa"/>
            <w:left w:w="108" w:type="dxa"/>
            <w:bottom w:w="0" w:type="dxa"/>
            <w:right w:w="108" w:type="dxa"/>
          </w:tblCellMar>
        </w:tblPrEx>
        <w:trPr>
          <w:trHeight w:val="31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897"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center"/>
              <w:textAlignment w:val="top"/>
              <w:rPr>
                <w:rFonts w:hint="default" w:ascii="仿宋" w:hAnsi="仿宋" w:eastAsia="仿宋" w:cs="仿宋"/>
                <w:b/>
                <w:bCs/>
                <w:color w:val="000000"/>
                <w:szCs w:val="21"/>
              </w:rPr>
            </w:pPr>
            <w:r>
              <w:rPr>
                <w:rFonts w:hint="eastAsia" w:ascii="仿宋" w:hAnsi="仿宋" w:eastAsia="仿宋" w:cs="仿宋"/>
                <w:b/>
                <w:bCs/>
                <w:color w:val="000000"/>
                <w:kern w:val="0"/>
                <w:szCs w:val="21"/>
                <w:lang w:bidi="ar"/>
              </w:rPr>
              <w:t>会议时间</w:t>
            </w:r>
          </w:p>
        </w:tc>
        <w:tc>
          <w:tcPr>
            <w:tcW w:w="161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center"/>
              <w:textAlignment w:val="top"/>
              <w:rPr>
                <w:rFonts w:hint="default" w:ascii="仿宋" w:hAnsi="仿宋" w:eastAsia="仿宋" w:cs="仿宋"/>
                <w:b/>
                <w:bCs/>
                <w:color w:val="000000"/>
                <w:szCs w:val="21"/>
              </w:rPr>
            </w:pPr>
            <w:r>
              <w:rPr>
                <w:rFonts w:hint="eastAsia" w:ascii="仿宋" w:hAnsi="仿宋" w:eastAsia="仿宋" w:cs="仿宋"/>
                <w:b/>
                <w:bCs/>
                <w:color w:val="000000"/>
                <w:kern w:val="0"/>
                <w:szCs w:val="21"/>
                <w:lang w:bidi="ar"/>
              </w:rPr>
              <w:t>会议届次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color w:val="000000"/>
                <w:szCs w:val="21"/>
              </w:rPr>
            </w:pPr>
            <w:r>
              <w:rPr>
                <w:rFonts w:hint="eastAsia" w:ascii="仿宋" w:hAnsi="仿宋" w:eastAsia="仿宋" w:cs="仿宋"/>
                <w:b/>
                <w:bCs/>
                <w:color w:val="000000"/>
                <w:kern w:val="0"/>
                <w:szCs w:val="21"/>
                <w:lang w:bidi="ar"/>
              </w:rPr>
              <w:t>议案名称</w:t>
            </w:r>
          </w:p>
        </w:tc>
      </w:tr>
      <w:tr>
        <w:tblPrEx>
          <w:tblCellMar>
            <w:top w:w="0" w:type="dxa"/>
            <w:left w:w="108" w:type="dxa"/>
            <w:bottom w:w="0" w:type="dxa"/>
            <w:right w:w="108" w:type="dxa"/>
          </w:tblCellMar>
        </w:tblPrEx>
        <w:trPr>
          <w:trHeight w:val="58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2023.03.27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第三届第十五次会议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000000"/>
                <w:szCs w:val="21"/>
              </w:rPr>
            </w:pPr>
            <w:r>
              <w:rPr>
                <w:rStyle w:val="14"/>
                <w:rFonts w:hint="eastAsia" w:ascii="仿宋" w:hAnsi="仿宋" w:eastAsia="仿宋" w:cs="仿宋"/>
                <w:sz w:val="21"/>
                <w:szCs w:val="21"/>
                <w:lang w:bidi="ar"/>
              </w:rPr>
              <w:t>1.</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2022</w:t>
            </w:r>
            <w:r>
              <w:rPr>
                <w:rStyle w:val="15"/>
                <w:rFonts w:hint="default" w:ascii="仿宋" w:hAnsi="仿宋" w:eastAsia="仿宋" w:cs="仿宋"/>
                <w:sz w:val="21"/>
                <w:szCs w:val="21"/>
                <w:lang w:bidi="ar"/>
              </w:rPr>
              <w:t>年度总经理工作报告的议案》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2.</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2022</w:t>
            </w:r>
            <w:r>
              <w:rPr>
                <w:rStyle w:val="15"/>
                <w:rFonts w:hint="default" w:ascii="仿宋" w:hAnsi="仿宋" w:eastAsia="仿宋" w:cs="仿宋"/>
                <w:sz w:val="21"/>
                <w:szCs w:val="21"/>
                <w:lang w:bidi="ar"/>
              </w:rPr>
              <w:t>年度董事会工作报告的议案》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3.</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2022</w:t>
            </w:r>
            <w:r>
              <w:rPr>
                <w:rStyle w:val="15"/>
                <w:rFonts w:hint="default" w:ascii="仿宋" w:hAnsi="仿宋" w:eastAsia="仿宋" w:cs="仿宋"/>
                <w:sz w:val="21"/>
                <w:szCs w:val="21"/>
                <w:lang w:bidi="ar"/>
              </w:rPr>
              <w:t>年度审计委员会履职报告的议案》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4.</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2022</w:t>
            </w:r>
            <w:r>
              <w:rPr>
                <w:rStyle w:val="15"/>
                <w:rFonts w:hint="default" w:ascii="仿宋" w:hAnsi="仿宋" w:eastAsia="仿宋" w:cs="仿宋"/>
                <w:sz w:val="21"/>
                <w:szCs w:val="21"/>
                <w:lang w:bidi="ar"/>
              </w:rPr>
              <w:t>年度财务决算报告的议案》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5.</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2023</w:t>
            </w:r>
            <w:r>
              <w:rPr>
                <w:rStyle w:val="15"/>
                <w:rFonts w:hint="default" w:ascii="仿宋" w:hAnsi="仿宋" w:eastAsia="仿宋" w:cs="仿宋"/>
                <w:sz w:val="21"/>
                <w:szCs w:val="21"/>
                <w:lang w:bidi="ar"/>
              </w:rPr>
              <w:t>年度财务预算报告的议案》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6.</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2022</w:t>
            </w:r>
            <w:r>
              <w:rPr>
                <w:rStyle w:val="15"/>
                <w:rFonts w:hint="default" w:ascii="仿宋" w:hAnsi="仿宋" w:eastAsia="仿宋" w:cs="仿宋"/>
                <w:sz w:val="21"/>
                <w:szCs w:val="21"/>
                <w:lang w:bidi="ar"/>
              </w:rPr>
              <w:t>年度利润分配方案的议案》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7.</w:t>
            </w:r>
            <w:r>
              <w:rPr>
                <w:rStyle w:val="15"/>
                <w:rFonts w:hint="default" w:ascii="仿宋" w:hAnsi="仿宋" w:eastAsia="仿宋" w:cs="仿宋"/>
                <w:sz w:val="21"/>
                <w:szCs w:val="21"/>
                <w:lang w:bidi="ar"/>
              </w:rPr>
              <w:t>《关于续聘会计师事务所的议案》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8.</w:t>
            </w:r>
            <w:r>
              <w:rPr>
                <w:rStyle w:val="15"/>
                <w:rFonts w:hint="default" w:ascii="仿宋" w:hAnsi="仿宋" w:eastAsia="仿宋" w:cs="仿宋"/>
                <w:sz w:val="21"/>
                <w:szCs w:val="21"/>
                <w:lang w:bidi="ar"/>
              </w:rPr>
              <w:t>《关于审议高级管理人员薪酬的议案》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9.</w:t>
            </w:r>
            <w:r>
              <w:rPr>
                <w:rStyle w:val="15"/>
                <w:rFonts w:hint="default" w:ascii="仿宋" w:hAnsi="仿宋" w:eastAsia="仿宋" w:cs="仿宋"/>
                <w:sz w:val="21"/>
                <w:szCs w:val="21"/>
                <w:lang w:bidi="ar"/>
              </w:rPr>
              <w:t>《关于审议董事薪酬的议案》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10.</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2022</w:t>
            </w:r>
            <w:r>
              <w:rPr>
                <w:rStyle w:val="15"/>
                <w:rFonts w:hint="default" w:ascii="仿宋" w:hAnsi="仿宋" w:eastAsia="仿宋" w:cs="仿宋"/>
                <w:sz w:val="21"/>
                <w:szCs w:val="21"/>
                <w:lang w:bidi="ar"/>
              </w:rPr>
              <w:t>年年度报告全文及其摘要的议案》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11.</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2022</w:t>
            </w:r>
            <w:r>
              <w:rPr>
                <w:rStyle w:val="15"/>
                <w:rFonts w:hint="default" w:ascii="仿宋" w:hAnsi="仿宋" w:eastAsia="仿宋" w:cs="仿宋"/>
                <w:sz w:val="21"/>
                <w:szCs w:val="21"/>
                <w:lang w:bidi="ar"/>
              </w:rPr>
              <w:t>年度内部控制自我评价报告的议案》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12.</w:t>
            </w:r>
            <w:r>
              <w:rPr>
                <w:rStyle w:val="15"/>
                <w:rFonts w:hint="default" w:ascii="仿宋" w:hAnsi="仿宋" w:eastAsia="仿宋" w:cs="仿宋"/>
                <w:sz w:val="21"/>
                <w:szCs w:val="21"/>
                <w:lang w:bidi="ar"/>
              </w:rPr>
              <w:t>《关于预计公司</w:t>
            </w:r>
            <w:r>
              <w:rPr>
                <w:rStyle w:val="14"/>
                <w:rFonts w:hint="eastAsia" w:ascii="仿宋" w:hAnsi="仿宋" w:eastAsia="仿宋" w:cs="仿宋"/>
                <w:sz w:val="21"/>
                <w:szCs w:val="21"/>
                <w:lang w:bidi="ar"/>
              </w:rPr>
              <w:t>2023</w:t>
            </w:r>
            <w:r>
              <w:rPr>
                <w:rStyle w:val="15"/>
                <w:rFonts w:hint="default" w:ascii="仿宋" w:hAnsi="仿宋" w:eastAsia="仿宋" w:cs="仿宋"/>
                <w:sz w:val="21"/>
                <w:szCs w:val="21"/>
                <w:lang w:bidi="ar"/>
              </w:rPr>
              <w:t>年度日常关联交易的议案》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13.</w:t>
            </w:r>
            <w:r>
              <w:rPr>
                <w:rStyle w:val="15"/>
                <w:rFonts w:hint="default" w:ascii="仿宋" w:hAnsi="仿宋" w:eastAsia="仿宋" w:cs="仿宋"/>
                <w:sz w:val="21"/>
                <w:szCs w:val="21"/>
                <w:lang w:bidi="ar"/>
              </w:rPr>
              <w:t>《关于</w:t>
            </w:r>
            <w:r>
              <w:rPr>
                <w:rStyle w:val="14"/>
                <w:rFonts w:hint="eastAsia" w:ascii="仿宋" w:hAnsi="仿宋" w:eastAsia="仿宋" w:cs="仿宋"/>
                <w:sz w:val="21"/>
                <w:szCs w:val="21"/>
                <w:lang w:bidi="ar"/>
              </w:rPr>
              <w:t>2023</w:t>
            </w:r>
            <w:r>
              <w:rPr>
                <w:rStyle w:val="15"/>
                <w:rFonts w:hint="default" w:ascii="仿宋" w:hAnsi="仿宋" w:eastAsia="仿宋" w:cs="仿宋"/>
                <w:sz w:val="21"/>
                <w:szCs w:val="21"/>
                <w:lang w:bidi="ar"/>
              </w:rPr>
              <w:t>年度向银行等金融机构申请综合授信额度及为子公司提供融资担保额度的议案》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14.</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2022</w:t>
            </w:r>
            <w:r>
              <w:rPr>
                <w:rStyle w:val="15"/>
                <w:rFonts w:hint="default" w:ascii="仿宋" w:hAnsi="仿宋" w:eastAsia="仿宋" w:cs="仿宋"/>
                <w:sz w:val="21"/>
                <w:szCs w:val="21"/>
                <w:lang w:bidi="ar"/>
              </w:rPr>
              <w:t>年度独立董事述职报告的议案》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15.</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2022</w:t>
            </w:r>
            <w:r>
              <w:rPr>
                <w:rStyle w:val="15"/>
                <w:rFonts w:hint="default" w:ascii="仿宋" w:hAnsi="仿宋" w:eastAsia="仿宋" w:cs="仿宋"/>
                <w:sz w:val="21"/>
                <w:szCs w:val="21"/>
                <w:lang w:bidi="ar"/>
              </w:rPr>
              <w:t>年度募集资金存放与使用情况的专项报告的议案》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16.</w:t>
            </w:r>
            <w:r>
              <w:rPr>
                <w:rStyle w:val="15"/>
                <w:rFonts w:hint="default" w:ascii="仿宋" w:hAnsi="仿宋" w:eastAsia="仿宋" w:cs="仿宋"/>
                <w:sz w:val="21"/>
                <w:szCs w:val="21"/>
                <w:lang w:bidi="ar"/>
              </w:rPr>
              <w:t>《关于会计政策变更的议案》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17.</w:t>
            </w:r>
            <w:r>
              <w:rPr>
                <w:rStyle w:val="15"/>
                <w:rFonts w:hint="default" w:ascii="仿宋" w:hAnsi="仿宋" w:eastAsia="仿宋" w:cs="仿宋"/>
                <w:sz w:val="21"/>
                <w:szCs w:val="21"/>
                <w:lang w:bidi="ar"/>
              </w:rPr>
              <w:t>《关于部分募集资金投资项目延期的议案》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18.</w:t>
            </w:r>
            <w:r>
              <w:rPr>
                <w:rStyle w:val="15"/>
                <w:rFonts w:hint="default" w:ascii="仿宋" w:hAnsi="仿宋" w:eastAsia="仿宋" w:cs="仿宋"/>
                <w:sz w:val="21"/>
                <w:szCs w:val="21"/>
                <w:lang w:bidi="ar"/>
              </w:rPr>
              <w:t>《关于提请召开</w:t>
            </w:r>
            <w:r>
              <w:rPr>
                <w:rStyle w:val="14"/>
                <w:rFonts w:hint="eastAsia" w:ascii="仿宋" w:hAnsi="仿宋" w:eastAsia="仿宋" w:cs="仿宋"/>
                <w:sz w:val="21"/>
                <w:szCs w:val="21"/>
                <w:lang w:bidi="ar"/>
              </w:rPr>
              <w:t>2022</w:t>
            </w:r>
            <w:r>
              <w:rPr>
                <w:rStyle w:val="15"/>
                <w:rFonts w:hint="default" w:ascii="仿宋" w:hAnsi="仿宋" w:eastAsia="仿宋" w:cs="仿宋"/>
                <w:sz w:val="21"/>
                <w:szCs w:val="21"/>
                <w:lang w:bidi="ar"/>
              </w:rPr>
              <w:t>年年度股东大会的议案》</w:t>
            </w:r>
          </w:p>
        </w:tc>
      </w:tr>
      <w:tr>
        <w:tblPrEx>
          <w:tblCellMar>
            <w:top w:w="0" w:type="dxa"/>
            <w:left w:w="108" w:type="dxa"/>
            <w:bottom w:w="0" w:type="dxa"/>
            <w:right w:w="108" w:type="dxa"/>
          </w:tblCellMar>
        </w:tblPrEx>
        <w:trPr>
          <w:trHeight w:val="18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2023.04.25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第三届第十六次会议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000000"/>
                <w:szCs w:val="21"/>
              </w:rPr>
            </w:pPr>
            <w:r>
              <w:rPr>
                <w:rStyle w:val="14"/>
                <w:rFonts w:hint="eastAsia" w:ascii="仿宋" w:hAnsi="仿宋" w:eastAsia="仿宋" w:cs="仿宋"/>
                <w:sz w:val="21"/>
                <w:szCs w:val="21"/>
                <w:lang w:bidi="ar"/>
              </w:rPr>
              <w:t>1.</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2023</w:t>
            </w:r>
            <w:r>
              <w:rPr>
                <w:rStyle w:val="15"/>
                <w:rFonts w:hint="default" w:ascii="仿宋" w:hAnsi="仿宋" w:eastAsia="仿宋" w:cs="仿宋"/>
                <w:sz w:val="21"/>
                <w:szCs w:val="21"/>
                <w:lang w:bidi="ar"/>
              </w:rPr>
              <w:t>年第一季度报告的议案》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2.</w:t>
            </w:r>
            <w:r>
              <w:rPr>
                <w:rStyle w:val="15"/>
                <w:rFonts w:hint="default" w:ascii="仿宋" w:hAnsi="仿宋" w:eastAsia="仿宋" w:cs="仿宋"/>
                <w:sz w:val="21"/>
                <w:szCs w:val="21"/>
                <w:lang w:bidi="ar"/>
              </w:rPr>
              <w:t>《关于使用暂时闲置募集资金进行现金管理的议案》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3.</w:t>
            </w:r>
            <w:r>
              <w:rPr>
                <w:rStyle w:val="15"/>
                <w:rFonts w:hint="default" w:ascii="仿宋" w:hAnsi="仿宋" w:eastAsia="仿宋" w:cs="仿宋"/>
                <w:sz w:val="21"/>
                <w:szCs w:val="21"/>
                <w:lang w:bidi="ar"/>
              </w:rPr>
              <w:t>《关于修改远期结售汇业务内部控制制度的议案》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4.</w:t>
            </w:r>
            <w:r>
              <w:rPr>
                <w:rStyle w:val="15"/>
                <w:rFonts w:hint="default" w:ascii="仿宋" w:hAnsi="仿宋" w:eastAsia="仿宋" w:cs="仿宋"/>
                <w:sz w:val="21"/>
                <w:szCs w:val="21"/>
                <w:lang w:bidi="ar"/>
              </w:rPr>
              <w:t>《关于开展外汇套期保值业务的议案》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5.</w:t>
            </w:r>
            <w:r>
              <w:rPr>
                <w:rStyle w:val="15"/>
                <w:rFonts w:hint="default" w:ascii="仿宋" w:hAnsi="仿宋" w:eastAsia="仿宋" w:cs="仿宋"/>
                <w:sz w:val="21"/>
                <w:szCs w:val="21"/>
                <w:lang w:bidi="ar"/>
              </w:rPr>
              <w:t>《关于变更经营范围及修订</w:t>
            </w:r>
            <w:r>
              <w:rPr>
                <w:rStyle w:val="14"/>
                <w:rFonts w:hint="eastAsia" w:ascii="仿宋" w:hAnsi="仿宋" w:eastAsia="仿宋" w:cs="仿宋"/>
                <w:sz w:val="21"/>
                <w:szCs w:val="21"/>
                <w:lang w:bidi="ar"/>
              </w:rPr>
              <w:t>&lt;</w:t>
            </w:r>
            <w:r>
              <w:rPr>
                <w:rStyle w:val="15"/>
                <w:rFonts w:hint="default" w:ascii="仿宋" w:hAnsi="仿宋" w:eastAsia="仿宋" w:cs="仿宋"/>
                <w:sz w:val="21"/>
                <w:szCs w:val="21"/>
                <w:lang w:bidi="ar"/>
              </w:rPr>
              <w:t>公司章程</w:t>
            </w:r>
            <w:r>
              <w:rPr>
                <w:rStyle w:val="14"/>
                <w:rFonts w:hint="eastAsia" w:ascii="仿宋" w:hAnsi="仿宋" w:eastAsia="仿宋" w:cs="仿宋"/>
                <w:sz w:val="21"/>
                <w:szCs w:val="21"/>
                <w:lang w:bidi="ar"/>
              </w:rPr>
              <w:t>&gt;</w:t>
            </w:r>
            <w:r>
              <w:rPr>
                <w:rStyle w:val="15"/>
                <w:rFonts w:hint="default" w:ascii="仿宋" w:hAnsi="仿宋" w:eastAsia="仿宋" w:cs="仿宋"/>
                <w:sz w:val="21"/>
                <w:szCs w:val="21"/>
                <w:lang w:bidi="ar"/>
              </w:rPr>
              <w:t>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6.</w:t>
            </w:r>
            <w:r>
              <w:rPr>
                <w:rStyle w:val="15"/>
                <w:rFonts w:hint="default" w:ascii="仿宋" w:hAnsi="仿宋" w:eastAsia="仿宋" w:cs="仿宋"/>
                <w:sz w:val="21"/>
                <w:szCs w:val="21"/>
                <w:lang w:bidi="ar"/>
              </w:rPr>
              <w:t>《关于提请召开</w:t>
            </w:r>
            <w:r>
              <w:rPr>
                <w:rStyle w:val="14"/>
                <w:rFonts w:hint="eastAsia" w:ascii="仿宋" w:hAnsi="仿宋" w:eastAsia="仿宋" w:cs="仿宋"/>
                <w:sz w:val="21"/>
                <w:szCs w:val="21"/>
                <w:lang w:bidi="ar"/>
              </w:rPr>
              <w:t>2023</w:t>
            </w:r>
            <w:r>
              <w:rPr>
                <w:rStyle w:val="15"/>
                <w:rFonts w:hint="default" w:ascii="仿宋" w:hAnsi="仿宋" w:eastAsia="仿宋" w:cs="仿宋"/>
                <w:sz w:val="21"/>
                <w:szCs w:val="21"/>
                <w:lang w:bidi="ar"/>
              </w:rPr>
              <w:t>年第一次临时股东大会的议案》</w:t>
            </w:r>
          </w:p>
        </w:tc>
      </w:tr>
      <w:tr>
        <w:tblPrEx>
          <w:tblCellMar>
            <w:top w:w="0" w:type="dxa"/>
            <w:left w:w="108" w:type="dxa"/>
            <w:bottom w:w="0" w:type="dxa"/>
            <w:right w:w="108" w:type="dxa"/>
          </w:tblCellMar>
        </w:tblPrEx>
        <w:trPr>
          <w:trHeight w:val="92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2023.8.21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第三届第十七次会议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000000"/>
                <w:szCs w:val="21"/>
              </w:rPr>
            </w:pPr>
            <w:r>
              <w:rPr>
                <w:rStyle w:val="14"/>
                <w:rFonts w:hint="eastAsia" w:ascii="仿宋" w:hAnsi="仿宋" w:eastAsia="仿宋" w:cs="仿宋"/>
                <w:sz w:val="21"/>
                <w:szCs w:val="21"/>
                <w:lang w:bidi="ar"/>
              </w:rPr>
              <w:t>1.</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2023</w:t>
            </w:r>
            <w:r>
              <w:rPr>
                <w:rStyle w:val="15"/>
                <w:rFonts w:hint="default" w:ascii="仿宋" w:hAnsi="仿宋" w:eastAsia="仿宋" w:cs="仿宋"/>
                <w:sz w:val="21"/>
                <w:szCs w:val="21"/>
                <w:lang w:bidi="ar"/>
              </w:rPr>
              <w:t>年半年度报告全文及报告摘要的议案》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2.</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2023</w:t>
            </w:r>
            <w:r>
              <w:rPr>
                <w:rStyle w:val="15"/>
                <w:rFonts w:hint="default" w:ascii="仿宋" w:hAnsi="仿宋" w:eastAsia="仿宋" w:cs="仿宋"/>
                <w:sz w:val="21"/>
                <w:szCs w:val="21"/>
                <w:lang w:bidi="ar"/>
              </w:rPr>
              <w:t>年半年度募集资金存放与使用情况的专项报告的议案》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3.</w:t>
            </w:r>
            <w:r>
              <w:rPr>
                <w:rStyle w:val="15"/>
                <w:rFonts w:hint="default" w:ascii="仿宋" w:hAnsi="仿宋" w:eastAsia="仿宋" w:cs="仿宋"/>
                <w:sz w:val="21"/>
                <w:szCs w:val="21"/>
                <w:lang w:bidi="ar"/>
              </w:rPr>
              <w:t>《关于收购子公司股权暨关联交易的议案》</w:t>
            </w:r>
          </w:p>
        </w:tc>
      </w:tr>
      <w:tr>
        <w:tblPrEx>
          <w:tblCellMar>
            <w:top w:w="0" w:type="dxa"/>
            <w:left w:w="108" w:type="dxa"/>
            <w:bottom w:w="0" w:type="dxa"/>
            <w:right w:w="108" w:type="dxa"/>
          </w:tblCellMar>
        </w:tblPrEx>
        <w:trPr>
          <w:trHeight w:val="275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2023.10.25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第三届第十八次会议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000000"/>
                <w:szCs w:val="21"/>
              </w:rPr>
            </w:pPr>
            <w:r>
              <w:rPr>
                <w:rStyle w:val="14"/>
                <w:rFonts w:hint="eastAsia" w:ascii="仿宋" w:hAnsi="仿宋" w:eastAsia="仿宋" w:cs="仿宋"/>
                <w:sz w:val="21"/>
                <w:szCs w:val="21"/>
                <w:lang w:bidi="ar"/>
              </w:rPr>
              <w:t>1.</w:t>
            </w:r>
            <w:r>
              <w:rPr>
                <w:rStyle w:val="15"/>
                <w:rFonts w:hint="default" w:ascii="仿宋" w:hAnsi="仿宋" w:eastAsia="仿宋" w:cs="仿宋"/>
                <w:sz w:val="21"/>
                <w:szCs w:val="21"/>
                <w:lang w:bidi="ar"/>
              </w:rPr>
              <w:t>《关于公司</w:t>
            </w:r>
            <w:r>
              <w:rPr>
                <w:rStyle w:val="14"/>
                <w:rFonts w:hint="eastAsia" w:ascii="仿宋" w:hAnsi="仿宋" w:eastAsia="仿宋" w:cs="仿宋"/>
                <w:sz w:val="21"/>
                <w:szCs w:val="21"/>
                <w:lang w:bidi="ar"/>
              </w:rPr>
              <w:t>&lt;2023</w:t>
            </w:r>
            <w:r>
              <w:rPr>
                <w:rStyle w:val="15"/>
                <w:rFonts w:hint="default" w:ascii="仿宋" w:hAnsi="仿宋" w:eastAsia="仿宋" w:cs="仿宋"/>
                <w:sz w:val="21"/>
                <w:szCs w:val="21"/>
                <w:lang w:bidi="ar"/>
              </w:rPr>
              <w:t>年度第三季度报告</w:t>
            </w:r>
            <w:r>
              <w:rPr>
                <w:rStyle w:val="14"/>
                <w:rFonts w:hint="eastAsia" w:ascii="仿宋" w:hAnsi="仿宋" w:eastAsia="仿宋" w:cs="仿宋"/>
                <w:sz w:val="21"/>
                <w:szCs w:val="21"/>
                <w:lang w:bidi="ar"/>
              </w:rPr>
              <w:t>&gt;</w:t>
            </w:r>
            <w:r>
              <w:rPr>
                <w:rStyle w:val="15"/>
                <w:rFonts w:hint="default" w:ascii="仿宋" w:hAnsi="仿宋" w:eastAsia="仿宋" w:cs="仿宋"/>
                <w:sz w:val="21"/>
                <w:szCs w:val="21"/>
                <w:lang w:bidi="ar"/>
              </w:rPr>
              <w:t>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2.</w:t>
            </w:r>
            <w:r>
              <w:rPr>
                <w:rStyle w:val="15"/>
                <w:rFonts w:hint="default" w:ascii="仿宋" w:hAnsi="仿宋" w:eastAsia="仿宋" w:cs="仿宋"/>
                <w:sz w:val="21"/>
                <w:szCs w:val="21"/>
                <w:lang w:bidi="ar"/>
              </w:rPr>
              <w:t>《关于使用自有资金增加部分募投项目投资额的议案》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3.</w:t>
            </w:r>
            <w:r>
              <w:rPr>
                <w:rStyle w:val="15"/>
                <w:rFonts w:hint="default" w:ascii="仿宋" w:hAnsi="仿宋" w:eastAsia="仿宋" w:cs="仿宋"/>
                <w:sz w:val="21"/>
                <w:szCs w:val="21"/>
                <w:lang w:bidi="ar"/>
              </w:rPr>
              <w:t>《关于变更部分募集资金用途并实施新募投项目的议案》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4.</w:t>
            </w:r>
            <w:r>
              <w:rPr>
                <w:rStyle w:val="15"/>
                <w:rFonts w:hint="default" w:ascii="仿宋" w:hAnsi="仿宋" w:eastAsia="仿宋" w:cs="仿宋"/>
                <w:sz w:val="21"/>
                <w:szCs w:val="21"/>
                <w:lang w:bidi="ar"/>
              </w:rPr>
              <w:t>《关于董事会换届选举暨提名第四届董事会非独立董事候选人的议案》</w:t>
            </w:r>
            <w:r>
              <w:rPr>
                <w:rStyle w:val="14"/>
                <w:rFonts w:hint="eastAsia" w:ascii="仿宋" w:hAnsi="仿宋" w:eastAsia="仿宋" w:cs="仿宋"/>
                <w:sz w:val="21"/>
                <w:szCs w:val="21"/>
                <w:lang w:bidi="ar"/>
              </w:rPr>
              <w:t xml:space="preserve">                                                  5.</w:t>
            </w:r>
            <w:r>
              <w:rPr>
                <w:rStyle w:val="15"/>
                <w:rFonts w:hint="default" w:ascii="仿宋" w:hAnsi="仿宋" w:eastAsia="仿宋" w:cs="仿宋"/>
                <w:sz w:val="21"/>
                <w:szCs w:val="21"/>
                <w:lang w:bidi="ar"/>
              </w:rPr>
              <w:t>《关于董事会换届选举暨提名第四届董事会独立董事候选人的议案》</w:t>
            </w:r>
            <w:r>
              <w:rPr>
                <w:rStyle w:val="14"/>
                <w:rFonts w:hint="eastAsia" w:ascii="仿宋" w:hAnsi="仿宋" w:eastAsia="仿宋" w:cs="仿宋"/>
                <w:sz w:val="21"/>
                <w:szCs w:val="21"/>
                <w:lang w:bidi="ar"/>
              </w:rPr>
              <w:t xml:space="preserve">                                                           6.</w:t>
            </w:r>
            <w:r>
              <w:rPr>
                <w:rStyle w:val="15"/>
                <w:rFonts w:hint="default" w:ascii="仿宋" w:hAnsi="仿宋" w:eastAsia="仿宋" w:cs="仿宋"/>
                <w:sz w:val="21"/>
                <w:szCs w:val="21"/>
                <w:lang w:bidi="ar"/>
              </w:rPr>
              <w:t>《关于修订</w:t>
            </w:r>
            <w:r>
              <w:rPr>
                <w:rStyle w:val="14"/>
                <w:rFonts w:hint="eastAsia" w:ascii="仿宋" w:hAnsi="仿宋" w:eastAsia="仿宋" w:cs="仿宋"/>
                <w:sz w:val="21"/>
                <w:szCs w:val="21"/>
                <w:lang w:bidi="ar"/>
              </w:rPr>
              <w:t>&lt;</w:t>
            </w:r>
            <w:r>
              <w:rPr>
                <w:rStyle w:val="15"/>
                <w:rFonts w:hint="default" w:ascii="仿宋" w:hAnsi="仿宋" w:eastAsia="仿宋" w:cs="仿宋"/>
                <w:sz w:val="21"/>
                <w:szCs w:val="21"/>
                <w:lang w:bidi="ar"/>
              </w:rPr>
              <w:t>公司章程</w:t>
            </w:r>
            <w:r>
              <w:rPr>
                <w:rStyle w:val="14"/>
                <w:rFonts w:hint="eastAsia" w:ascii="仿宋" w:hAnsi="仿宋" w:eastAsia="仿宋" w:cs="仿宋"/>
                <w:sz w:val="21"/>
                <w:szCs w:val="21"/>
                <w:lang w:bidi="ar"/>
              </w:rPr>
              <w:t>&gt;</w:t>
            </w:r>
            <w:r>
              <w:rPr>
                <w:rStyle w:val="15"/>
                <w:rFonts w:hint="default" w:ascii="仿宋" w:hAnsi="仿宋" w:eastAsia="仿宋" w:cs="仿宋"/>
                <w:sz w:val="21"/>
                <w:szCs w:val="21"/>
                <w:lang w:bidi="ar"/>
              </w:rPr>
              <w:t>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7.</w:t>
            </w:r>
            <w:r>
              <w:rPr>
                <w:rStyle w:val="15"/>
                <w:rFonts w:hint="default" w:ascii="仿宋" w:hAnsi="仿宋" w:eastAsia="仿宋" w:cs="仿宋"/>
                <w:sz w:val="21"/>
                <w:szCs w:val="21"/>
                <w:lang w:bidi="ar"/>
              </w:rPr>
              <w:t>《关于修订公司内部管理制度的议案》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8.</w:t>
            </w:r>
            <w:r>
              <w:rPr>
                <w:rStyle w:val="15"/>
                <w:rFonts w:hint="default" w:ascii="仿宋" w:hAnsi="仿宋" w:eastAsia="仿宋" w:cs="仿宋"/>
                <w:sz w:val="21"/>
                <w:szCs w:val="21"/>
                <w:lang w:bidi="ar"/>
              </w:rPr>
              <w:t>《关于以集中竞价方式回购公司股份方案的议案》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9.</w:t>
            </w:r>
            <w:r>
              <w:rPr>
                <w:rStyle w:val="15"/>
                <w:rFonts w:hint="default" w:ascii="仿宋" w:hAnsi="仿宋" w:eastAsia="仿宋" w:cs="仿宋"/>
                <w:sz w:val="21"/>
                <w:szCs w:val="21"/>
                <w:lang w:bidi="ar"/>
              </w:rPr>
              <w:t>《关于提请召开公司</w:t>
            </w:r>
            <w:r>
              <w:rPr>
                <w:rStyle w:val="14"/>
                <w:rFonts w:hint="eastAsia" w:ascii="仿宋" w:hAnsi="仿宋" w:eastAsia="仿宋" w:cs="仿宋"/>
                <w:sz w:val="21"/>
                <w:szCs w:val="21"/>
                <w:lang w:bidi="ar"/>
              </w:rPr>
              <w:t>2023</w:t>
            </w:r>
            <w:r>
              <w:rPr>
                <w:rStyle w:val="15"/>
                <w:rFonts w:hint="default" w:ascii="仿宋" w:hAnsi="仿宋" w:eastAsia="仿宋" w:cs="仿宋"/>
                <w:sz w:val="21"/>
                <w:szCs w:val="21"/>
                <w:lang w:bidi="ar"/>
              </w:rPr>
              <w:t>年第二次临时股东大会的议案》</w:t>
            </w:r>
          </w:p>
        </w:tc>
      </w:tr>
      <w:tr>
        <w:tblPrEx>
          <w:tblCellMar>
            <w:top w:w="0" w:type="dxa"/>
            <w:left w:w="108" w:type="dxa"/>
            <w:bottom w:w="0" w:type="dxa"/>
            <w:right w:w="108" w:type="dxa"/>
          </w:tblCellMar>
        </w:tblPrEx>
        <w:trPr>
          <w:trHeight w:val="12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2023.11.13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szCs w:val="21"/>
              </w:rPr>
            </w:pPr>
            <w:r>
              <w:rPr>
                <w:rFonts w:hint="eastAsia" w:ascii="仿宋" w:hAnsi="仿宋" w:eastAsia="仿宋" w:cs="仿宋"/>
                <w:color w:val="000000"/>
                <w:kern w:val="0"/>
                <w:szCs w:val="21"/>
                <w:lang w:bidi="ar"/>
              </w:rPr>
              <w:t>第四届第一次会议</w:t>
            </w:r>
          </w:p>
        </w:tc>
        <w:tc>
          <w:tcPr>
            <w:tcW w:w="5609"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000000"/>
                <w:szCs w:val="21"/>
              </w:rPr>
            </w:pPr>
            <w:r>
              <w:rPr>
                <w:rStyle w:val="14"/>
                <w:rFonts w:hint="eastAsia" w:ascii="仿宋" w:hAnsi="仿宋" w:eastAsia="仿宋" w:cs="仿宋"/>
                <w:sz w:val="21"/>
                <w:szCs w:val="21"/>
                <w:lang w:bidi="ar"/>
              </w:rPr>
              <w:t>1.</w:t>
            </w:r>
            <w:r>
              <w:rPr>
                <w:rStyle w:val="15"/>
                <w:rFonts w:hint="default" w:ascii="仿宋" w:hAnsi="仿宋" w:eastAsia="仿宋" w:cs="仿宋"/>
                <w:sz w:val="21"/>
                <w:szCs w:val="21"/>
                <w:lang w:bidi="ar"/>
              </w:rPr>
              <w:t>《关于选举第四届董事会董事长的议案》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2.</w:t>
            </w:r>
            <w:r>
              <w:rPr>
                <w:rStyle w:val="15"/>
                <w:rFonts w:hint="default" w:ascii="仿宋" w:hAnsi="仿宋" w:eastAsia="仿宋" w:cs="仿宋"/>
                <w:sz w:val="21"/>
                <w:szCs w:val="21"/>
                <w:lang w:bidi="ar"/>
              </w:rPr>
              <w:t>《关于选举第四届董事会专门委员会的议案》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3.</w:t>
            </w:r>
            <w:r>
              <w:rPr>
                <w:rStyle w:val="15"/>
                <w:rFonts w:hint="default" w:ascii="仿宋" w:hAnsi="仿宋" w:eastAsia="仿宋" w:cs="仿宋"/>
                <w:sz w:val="21"/>
                <w:szCs w:val="21"/>
                <w:lang w:bidi="ar"/>
              </w:rPr>
              <w:t>《关于聘任公司高级管理人员的议案》</w:t>
            </w:r>
            <w:r>
              <w:rPr>
                <w:rStyle w:val="14"/>
                <w:rFonts w:hint="eastAsia" w:ascii="仿宋" w:hAnsi="仿宋" w:eastAsia="仿宋" w:cs="仿宋"/>
                <w:sz w:val="21"/>
                <w:szCs w:val="21"/>
                <w:lang w:bidi="ar"/>
              </w:rPr>
              <w:br w:type="textWrapping"/>
            </w:r>
            <w:r>
              <w:rPr>
                <w:rStyle w:val="14"/>
                <w:rFonts w:hint="eastAsia" w:ascii="仿宋" w:hAnsi="仿宋" w:eastAsia="仿宋" w:cs="仿宋"/>
                <w:sz w:val="21"/>
                <w:szCs w:val="21"/>
                <w:lang w:bidi="ar"/>
              </w:rPr>
              <w:t>4.</w:t>
            </w:r>
            <w:r>
              <w:rPr>
                <w:rStyle w:val="15"/>
                <w:rFonts w:hint="default" w:ascii="仿宋" w:hAnsi="仿宋" w:eastAsia="仿宋" w:cs="仿宋"/>
                <w:sz w:val="21"/>
                <w:szCs w:val="21"/>
                <w:lang w:bidi="ar"/>
              </w:rPr>
              <w:t>《关于聘任公司证券事务代表的议案》</w:t>
            </w:r>
          </w:p>
        </w:tc>
      </w:tr>
    </w:tbl>
    <w:p>
      <w:pPr>
        <w:rPr>
          <w:rFonts w:ascii="仿宋" w:hAnsi="仿宋" w:eastAsia="仿宋" w:cs="仿宋"/>
          <w:b/>
          <w:bCs/>
          <w:sz w:val="32"/>
          <w:szCs w:val="32"/>
        </w:rPr>
      </w:pP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（二）董事会对股东大会决议执行的情况</w:t>
      </w:r>
    </w:p>
    <w:p>
      <w:pPr>
        <w:ind w:firstLine="640" w:firstLineChars="200"/>
        <w:rPr>
          <w:rFonts w:ascii="仿宋" w:hAnsi="仿宋" w:eastAsia="仿宋" w:cs="仿宋"/>
          <w:b/>
          <w:bCs/>
          <w:sz w:val="32"/>
          <w:szCs w:val="32"/>
        </w:rPr>
      </w:pPr>
      <w:r>
        <w:rPr>
          <w:rFonts w:hint="eastAsia" w:ascii="仿宋" w:hAnsi="仿宋" w:eastAsia="仿宋" w:cs="仿宋"/>
          <w:sz w:val="32"/>
          <w:szCs w:val="32"/>
        </w:rPr>
        <w:t>报告期内，公司召开了2022年年度股东大会、2023年第一次临时股东大会和2023年第二次临时股东大会。董事会严格按照《公司法》《公司章程》和《董事会议事规则》等相关法律法规及公司规章制度的规定和要求，本着对全体股东负责的态度，认真履行职责并全面有效、积极稳妥地执行了公司股东大会决议的相关事项。</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（三）独立董事履职情况</w:t>
      </w:r>
    </w:p>
    <w:p>
      <w:pPr>
        <w:ind w:firstLine="640" w:firstLineChars="200"/>
        <w:rPr>
          <w:rFonts w:ascii="仿宋" w:hAnsi="仿宋" w:eastAsia="仿宋" w:cs="仿宋"/>
          <w:sz w:val="32"/>
          <w:szCs w:val="32"/>
        </w:rPr>
      </w:pPr>
      <w:r>
        <w:rPr>
          <w:rFonts w:hint="eastAsia" w:ascii="仿宋" w:hAnsi="仿宋" w:eastAsia="仿宋" w:cs="仿宋"/>
          <w:sz w:val="32"/>
          <w:szCs w:val="32"/>
        </w:rPr>
        <w:t>根据《公司法》《证券法》《上市规则》《公司章程》和公司《独立董事工作制度》等相关法律法规和规章制度的规定和要求，独立董事认真行使法规所赋予的权利，恪尽职守、勤勉尽责，通过与公司持续沟通,收集有关资料,积极主动了解公司的生产经营和运行情况，对公司的重大决策等事项发表独立意见,维护公司的整体利益，维护全体股东尤其是中小股东的合法权益，为健全和完善上市公司法人治理结构和提高董事会科学决策、依法运作做了一些工作，并能积极地为公司稳健和长远发展建言献策,提出自己的意见和建议。</w:t>
      </w:r>
    </w:p>
    <w:p>
      <w:pPr>
        <w:ind w:firstLine="640" w:firstLineChars="200"/>
        <w:rPr>
          <w:rFonts w:ascii="仿宋" w:hAnsi="仿宋" w:eastAsia="仿宋" w:cs="仿宋"/>
          <w:b/>
          <w:bCs/>
          <w:color w:val="auto"/>
          <w:sz w:val="32"/>
          <w:szCs w:val="32"/>
        </w:rPr>
      </w:pPr>
      <w:r>
        <w:rPr>
          <w:rFonts w:hint="eastAsia" w:ascii="仿宋" w:hAnsi="仿宋" w:eastAsia="仿宋" w:cs="仿宋"/>
          <w:sz w:val="32"/>
          <w:szCs w:val="32"/>
        </w:rPr>
        <w:t>报告期内，独立董事对历次董事会会议审议的议案及公司其他事项均未提出异议，报告期内独立董事独立性</w:t>
      </w:r>
      <w:r>
        <w:rPr>
          <w:rFonts w:hint="eastAsia" w:ascii="仿宋" w:hAnsi="仿宋" w:eastAsia="仿宋" w:cs="仿宋"/>
          <w:color w:val="auto"/>
          <w:sz w:val="32"/>
          <w:szCs w:val="32"/>
        </w:rPr>
        <w:t>详见《董事会关于独立董事独立性自查情况的专项报告》。</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（四）董事会专门委员履职情况</w:t>
      </w:r>
    </w:p>
    <w:p>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报告期内，董事会加强了下设委员会的履职意识，报告期内严格按照《董事会战略发展委员会工作细则》《董事会审计委员会工作细则》《董事会提名委员会工作细则》和《董事会薪酬与考核委员会工作细则》共召开了5次审计委员会、2次提名委员会和1次薪酬与考核委员会会议。</w:t>
      </w:r>
    </w:p>
    <w:p>
      <w:pPr>
        <w:ind w:firstLine="640" w:firstLineChars="200"/>
        <w:rPr>
          <w:rFonts w:ascii="仿宋" w:hAnsi="仿宋" w:eastAsia="仿宋" w:cs="仿宋"/>
          <w:sz w:val="32"/>
          <w:szCs w:val="32"/>
        </w:rPr>
      </w:pPr>
      <w:r>
        <w:rPr>
          <w:rFonts w:hint="eastAsia" w:ascii="仿宋" w:hAnsi="仿宋" w:eastAsia="仿宋" w:cs="仿宋"/>
          <w:kern w:val="0"/>
          <w:sz w:val="32"/>
          <w:szCs w:val="32"/>
        </w:rPr>
        <w:t>报告期内</w:t>
      </w:r>
      <w:r>
        <w:rPr>
          <w:rFonts w:hint="eastAsia" w:ascii="仿宋" w:hAnsi="仿宋" w:eastAsia="仿宋" w:cs="仿宋"/>
          <w:sz w:val="32"/>
          <w:szCs w:val="32"/>
        </w:rPr>
        <w:t>专门委员会均认真履行职责，就定期报告、利润分配、内部控制评价报告、关联交易、战略发展、薪酬制度等事项进行了审查，提出意见和建议，为董事会的科学决策提供参考和重要意见。</w:t>
      </w:r>
    </w:p>
    <w:p>
      <w:pPr>
        <w:ind w:firstLine="640" w:firstLineChars="200"/>
        <w:rPr>
          <w:rFonts w:ascii="仿宋" w:hAnsi="仿宋" w:eastAsia="仿宋" w:cs="仿宋"/>
          <w:sz w:val="32"/>
          <w:szCs w:val="32"/>
        </w:rPr>
      </w:pPr>
      <w:r>
        <w:rPr>
          <w:rFonts w:hint="eastAsia" w:ascii="仿宋" w:hAnsi="仿宋" w:eastAsia="仿宋" w:cs="仿宋"/>
          <w:sz w:val="32"/>
          <w:szCs w:val="32"/>
        </w:rPr>
        <w:t>报告期内，董事会专门委员会在报告期内履行职责时均无异议事项。</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（五）公司治理情况</w:t>
      </w:r>
    </w:p>
    <w:p>
      <w:pPr>
        <w:ind w:firstLine="640" w:firstLineChars="200"/>
        <w:rPr>
          <w:rFonts w:ascii="仿宋" w:hAnsi="仿宋" w:eastAsia="仿宋" w:cs="仿宋"/>
          <w:sz w:val="32"/>
          <w:szCs w:val="32"/>
        </w:rPr>
      </w:pPr>
      <w:r>
        <w:rPr>
          <w:rFonts w:hint="eastAsia" w:ascii="仿宋" w:hAnsi="仿宋" w:eastAsia="仿宋" w:cs="仿宋"/>
          <w:sz w:val="32"/>
          <w:szCs w:val="32"/>
        </w:rPr>
        <w:t>公司根据《公司法》《证券法》《上海证券交易所股票上市规则》等相关法律法规及规范性文件的要求，公司建立由股东大会、董事会、监事会、经营管理层组成的公司治理架构，在董事会下设战略发展、提名、审计、薪酬与考核专门委员会，并制定了《董事会战略发展委员会工作细则》《董事会提名委员会工作细则》《董事会审计委员会工作细则》及《董事会薪酬与考核委员会工作细则》。通过对上述制度的制定和落实，公司已逐步建立和完善了符合上市公司要求的法人治理结构。公司股东大会、董事会、监事会能够按照《公司法》《证券法》等有关法律法规及《公司章程》、公司内部制度的规定规范运作，依法履行各自的权利和义务。</w:t>
      </w:r>
    </w:p>
    <w:p>
      <w:pPr>
        <w:ind w:firstLine="640" w:firstLineChars="200"/>
        <w:rPr>
          <w:rFonts w:ascii="仿宋" w:hAnsi="仿宋" w:eastAsia="仿宋" w:cs="仿宋"/>
          <w:sz w:val="32"/>
          <w:szCs w:val="32"/>
        </w:rPr>
      </w:pPr>
      <w:r>
        <w:rPr>
          <w:rFonts w:hint="eastAsia" w:ascii="仿宋" w:hAnsi="仿宋" w:eastAsia="仿宋" w:cs="仿宋"/>
          <w:sz w:val="32"/>
          <w:szCs w:val="32"/>
        </w:rPr>
        <w:t>报告期内，公司董事会组织的各项会议的召集、召开、议案审议符合相关法律、法规、规范性文件及公司章程的规定，未有违法违规情况的发生。</w:t>
      </w:r>
    </w:p>
    <w:p>
      <w:pPr>
        <w:ind w:firstLine="640" w:firstLineChars="200"/>
        <w:rPr>
          <w:rFonts w:ascii="仿宋" w:hAnsi="仿宋" w:eastAsia="仿宋" w:cs="仿宋"/>
          <w:sz w:val="32"/>
          <w:szCs w:val="32"/>
        </w:rPr>
      </w:pPr>
      <w:r>
        <w:rPr>
          <w:rFonts w:hint="eastAsia" w:ascii="仿宋" w:hAnsi="仿宋" w:eastAsia="仿宋" w:cs="仿宋"/>
          <w:sz w:val="32"/>
          <w:szCs w:val="32"/>
        </w:rPr>
        <w:t>报告期内，公司持续完善公司治理体系，进一步提升独立董事工作的科学性，加强投资者关系管理，重视募集资金管理等。公司结合相关法律法规，修订了《重庆望变电气（集团）股份有限公司章程》《独立董事工作制度》《董事会战略发展委员会工作细则》《董事会审计委员会工作细则》《董事会提名委员会工作细则》《董事会薪酬与考核委员会工作细则》等治理制度，进一步提升了公司的治理规范水平。</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（六）信息披露和内幕消息管理</w:t>
      </w:r>
    </w:p>
    <w:p>
      <w:pPr>
        <w:ind w:firstLine="640" w:firstLineChars="200"/>
        <w:rPr>
          <w:rFonts w:ascii="仿宋" w:hAnsi="仿宋" w:eastAsia="仿宋" w:cs="仿宋"/>
          <w:sz w:val="32"/>
          <w:szCs w:val="32"/>
        </w:rPr>
      </w:pPr>
      <w:r>
        <w:rPr>
          <w:rFonts w:hint="eastAsia" w:ascii="仿宋" w:hAnsi="仿宋" w:eastAsia="仿宋" w:cs="仿宋"/>
          <w:sz w:val="32"/>
          <w:szCs w:val="32"/>
        </w:rPr>
        <w:t>报告期内，公司严格按照《公司法》《上市公司治理准则》《上市规则》和《上市公司信息披露管理办法》以及已制定的内部制度等相关规定，真实、准确、完整、及时、公平地披露了各项应披露的事项和信息。</w:t>
      </w:r>
    </w:p>
    <w:p>
      <w:pPr>
        <w:ind w:firstLine="640" w:firstLineChars="200"/>
        <w:rPr>
          <w:rFonts w:ascii="仿宋" w:hAnsi="仿宋" w:eastAsia="仿宋" w:cs="仿宋"/>
          <w:sz w:val="32"/>
          <w:szCs w:val="32"/>
        </w:rPr>
      </w:pPr>
      <w:r>
        <w:rPr>
          <w:rFonts w:hint="eastAsia" w:ascii="仿宋" w:hAnsi="仿宋" w:eastAsia="仿宋" w:cs="仿宋"/>
          <w:sz w:val="32"/>
          <w:szCs w:val="32"/>
        </w:rPr>
        <w:t>同时，公司根据《上海证券交易所上市公司自律监管指引》等法律法规，认真执行内幕信息知情人登记和重大信息内部报告，对涉及公司定期报告发布、重大事项筹划和审议期间的相关内幕知情人进行登记，如实、完整地记录内幕信息在公开前各环节所有内幕信息知情人名单，建立了内幕信息知情人档案，维护公司信息披露公开、公平和公正。</w:t>
      </w:r>
    </w:p>
    <w:p>
      <w:pPr>
        <w:ind w:firstLine="640" w:firstLineChars="200"/>
        <w:rPr>
          <w:rFonts w:ascii="仿宋" w:hAnsi="仿宋" w:eastAsia="仿宋" w:cs="仿宋"/>
          <w:b/>
          <w:bCs/>
          <w:sz w:val="32"/>
          <w:szCs w:val="32"/>
        </w:rPr>
      </w:pPr>
      <w:r>
        <w:rPr>
          <w:rFonts w:hint="eastAsia" w:ascii="仿宋" w:hAnsi="仿宋" w:eastAsia="仿宋" w:cs="仿宋"/>
          <w:sz w:val="32"/>
          <w:szCs w:val="32"/>
        </w:rPr>
        <w:t>2023年公司共计披露文件134个，其中公告类63个、定期报告及摘要6份、投资者交流活动记录表13份及其他文件 52份积极详细披露了公司相关重大事项的进展情况，保证信息披露的公开、透明。</w:t>
      </w:r>
    </w:p>
    <w:p>
      <w:pPr>
        <w:jc w:val="center"/>
        <w:rPr>
          <w:rFonts w:ascii="仿宋" w:hAnsi="仿宋" w:eastAsia="仿宋" w:cs="仿宋"/>
          <w:b/>
          <w:bCs/>
          <w:sz w:val="32"/>
          <w:szCs w:val="32"/>
        </w:rPr>
      </w:pPr>
      <w:r>
        <w:rPr>
          <w:rFonts w:hint="eastAsia" w:ascii="仿宋" w:hAnsi="仿宋" w:eastAsia="仿宋" w:cs="仿宋"/>
          <w:b/>
          <w:bCs/>
          <w:sz w:val="32"/>
          <w:szCs w:val="32"/>
        </w:rPr>
        <w:t>第二部分 2024公司工作展望</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的一年公司以成功收购“云变电气”契机，积极拓展输配电及控制设备在中高压电压等级的运用领域市场，坚持强化现生产装置“安、稳、长、满、优”的持续稳定运行，确保在建项目按计划全面完成建设任务，我们将把“目标”刻在心上，把“执行”视为铁律、把“担当”作为自觉，铁肩担责、奋发竞进，拿出逢山开路的拼劲和闯劲，聚焦聚神聚力把各项工作抓实、抓好，奋斗新征程、抢抓新机遇、展现新作为，以更加优异的成绩回报股东。主要从以下几方面开展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一、公司将抓市场开拓，打造发展引擎</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公司将抓市场开拓，打造发展引擎，围绕公司发展战略，优存量抓增量，持续优化业务结构，抓好存量市场挖潜接单，确保全年完成订单45亿元，营业收入35亿元。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二、公司将全力抓在建项目建设，确保在建项目按期投产，为公司持续发展提供强有力保障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三、公司将抓好“云变电气”和“望变电气”融合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公司将抓好“云变电气”和“望变电气”融合，特别是积极发挥云变电气在500kV以下电压等级的技术优势、在铁路牵引变的市占率优势、在铁路用户领域的品牌优势结合望变电气的销售优势和奋斗者文化，确保收购云变电气协同效应实现1+1大于2的战略目标。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四、公司将持续抓研发创新，增强内生动力</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将持续抓研发创新，增强内生动力，持续推进薄规格CGO、HiB钢、高电压等级电力变压器、新能源电力变压器、大干变、新能源箱变、预制舱、充气柜等产品的研发，为公司持续稳定发展提供源源不断的产品储备和技术储备。</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五、公司将持续加大各项能力建设，确保公司发展需要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公司将持续加大各项能力建设，确保公司发展需要，坚定不移推进员工持股计划，通过共建共享激励机制，确保公司发展所需人力保障。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六、公司将持续推进公司全球化战略，确保各项目标按期实现</w:t>
      </w:r>
    </w:p>
    <w:p>
      <w:pPr>
        <w:ind w:firstLine="640" w:firstLineChars="200"/>
        <w:rPr>
          <w:rFonts w:hint="eastAsia" w:ascii="仿宋" w:hAnsi="仿宋" w:eastAsia="仿宋" w:cs="仿宋"/>
          <w:sz w:val="32"/>
          <w:szCs w:val="32"/>
        </w:rPr>
      </w:pPr>
    </w:p>
    <w:p>
      <w:pPr>
        <w:ind w:firstLine="640" w:firstLineChars="200"/>
        <w:rPr>
          <w:rFonts w:ascii="仿宋" w:hAnsi="仿宋" w:eastAsia="仿宋" w:cs="仿宋"/>
          <w:b/>
          <w:bCs/>
          <w:color w:val="auto"/>
          <w:sz w:val="32"/>
          <w:szCs w:val="32"/>
        </w:rPr>
      </w:pPr>
      <w:r>
        <w:rPr>
          <w:rFonts w:hint="eastAsia" w:ascii="仿宋" w:hAnsi="仿宋" w:eastAsia="仿宋" w:cs="仿宋"/>
          <w:color w:val="auto"/>
          <w:sz w:val="32"/>
          <w:szCs w:val="32"/>
          <w:lang w:val="en-US" w:eastAsia="zh-CN"/>
        </w:rPr>
        <w:t>附：</w:t>
      </w:r>
      <w:r>
        <w:rPr>
          <w:rFonts w:hint="eastAsia" w:ascii="仿宋" w:hAnsi="仿宋" w:eastAsia="仿宋" w:cs="仿宋"/>
          <w:color w:val="auto"/>
          <w:sz w:val="32"/>
          <w:szCs w:val="32"/>
        </w:rPr>
        <w:t>《董事会关于独立董事独立性自查情况的专项报告》</w:t>
      </w:r>
    </w:p>
    <w:p>
      <w:pPr>
        <w:ind w:firstLine="640" w:firstLineChars="200"/>
        <w:rPr>
          <w:rFonts w:ascii="仿宋" w:hAnsi="仿宋" w:eastAsia="仿宋" w:cs="仿宋"/>
          <w:sz w:val="32"/>
          <w:szCs w:val="32"/>
        </w:rPr>
      </w:pPr>
    </w:p>
    <w:p>
      <w:pPr>
        <w:jc w:val="right"/>
        <w:rPr>
          <w:rFonts w:ascii="仿宋" w:hAnsi="仿宋" w:eastAsia="仿宋" w:cs="仿宋"/>
          <w:sz w:val="32"/>
          <w:szCs w:val="32"/>
        </w:rPr>
      </w:pPr>
      <w:r>
        <w:rPr>
          <w:rFonts w:hint="eastAsia" w:ascii="仿宋" w:hAnsi="仿宋" w:eastAsia="仿宋" w:cs="仿宋"/>
          <w:sz w:val="32"/>
          <w:szCs w:val="32"/>
        </w:rPr>
        <w:t>重庆望变电气（集团）股份有限公司</w:t>
      </w:r>
    </w:p>
    <w:p>
      <w:pPr>
        <w:jc w:val="right"/>
        <w:rPr>
          <w:rFonts w:ascii="仿宋" w:hAnsi="仿宋" w:eastAsia="仿宋" w:cs="仿宋"/>
          <w:sz w:val="32"/>
          <w:szCs w:val="32"/>
        </w:rPr>
      </w:pPr>
      <w:r>
        <w:rPr>
          <w:rFonts w:hint="eastAsia" w:ascii="仿宋" w:hAnsi="仿宋" w:eastAsia="仿宋" w:cs="仿宋"/>
          <w:sz w:val="32"/>
          <w:szCs w:val="32"/>
        </w:rPr>
        <w:t>董事会</w:t>
      </w:r>
    </w:p>
    <w:p>
      <w:pPr>
        <w:jc w:val="right"/>
        <w:rPr>
          <w:rFonts w:ascii="仿宋" w:hAnsi="仿宋" w:eastAsia="仿宋" w:cs="仿宋"/>
          <w:sz w:val="32"/>
          <w:szCs w:val="32"/>
        </w:rPr>
      </w:pPr>
      <w:r>
        <w:rPr>
          <w:rFonts w:hint="eastAsia" w:ascii="仿宋" w:hAnsi="仿宋" w:eastAsia="仿宋" w:cs="仿宋"/>
          <w:sz w:val="32"/>
          <w:szCs w:val="32"/>
        </w:rPr>
        <w:t>2024年4月24日</w:t>
      </w:r>
    </w:p>
    <w:p>
      <w:pPr>
        <w:rPr>
          <w:rFonts w:ascii="仿宋" w:hAnsi="仿宋" w:eastAsia="仿宋" w:cs="仿宋"/>
          <w:b/>
          <w:bCs/>
          <w:sz w:val="32"/>
          <w:szCs w:val="32"/>
        </w:rPr>
      </w:pPr>
    </w:p>
    <w:p>
      <w:pPr>
        <w:rPr>
          <w:rFonts w:ascii="仿宋" w:hAnsi="仿宋" w:eastAsia="仿宋" w:cs="仿宋"/>
          <w:b/>
          <w:bCs/>
          <w:sz w:val="32"/>
          <w:szCs w:val="32"/>
        </w:rPr>
      </w:pPr>
    </w:p>
    <w:p>
      <w:pPr>
        <w:rPr>
          <w:rFonts w:ascii="仿宋" w:hAnsi="仿宋" w:eastAsia="仿宋" w:cs="仿宋"/>
          <w:b/>
          <w:bCs/>
          <w:sz w:val="32"/>
          <w:szCs w:val="32"/>
        </w:rPr>
      </w:pP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ascii="仿宋" w:hAnsi="仿宋" w:eastAsia="仿宋" w:cs="仿宋"/>
      </w:rPr>
      <w:drawing>
        <wp:inline distT="0" distB="0" distL="114300" distR="114300">
          <wp:extent cx="285750" cy="285750"/>
          <wp:effectExtent l="0" t="0" r="0" b="0"/>
          <wp:docPr id="1"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仿宋" w:hAnsi="仿宋" w:eastAsia="仿宋" w:cs="仿宋"/>
      </w:rPr>
      <w:t xml:space="preserve">                                                                 第四届董事会第五次会议资料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E4D16"/>
    <w:multiLevelType w:val="singleLevel"/>
    <w:tmpl w:val="C62E4D1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5CB5459A"/>
    <w:rsid w:val="000D7E08"/>
    <w:rsid w:val="00144D1E"/>
    <w:rsid w:val="00164CA3"/>
    <w:rsid w:val="001E720F"/>
    <w:rsid w:val="002062FD"/>
    <w:rsid w:val="002573B7"/>
    <w:rsid w:val="00270475"/>
    <w:rsid w:val="002B4A51"/>
    <w:rsid w:val="002C0952"/>
    <w:rsid w:val="00335AAA"/>
    <w:rsid w:val="00353351"/>
    <w:rsid w:val="003F2502"/>
    <w:rsid w:val="00485189"/>
    <w:rsid w:val="0049732A"/>
    <w:rsid w:val="004A573E"/>
    <w:rsid w:val="005A222F"/>
    <w:rsid w:val="006C6E2E"/>
    <w:rsid w:val="00720D19"/>
    <w:rsid w:val="00731501"/>
    <w:rsid w:val="00756DB7"/>
    <w:rsid w:val="007A39FD"/>
    <w:rsid w:val="00804588"/>
    <w:rsid w:val="00840A64"/>
    <w:rsid w:val="008D28BA"/>
    <w:rsid w:val="00960482"/>
    <w:rsid w:val="009B27B5"/>
    <w:rsid w:val="009B5176"/>
    <w:rsid w:val="009D7980"/>
    <w:rsid w:val="00A148D0"/>
    <w:rsid w:val="00A71269"/>
    <w:rsid w:val="00A72548"/>
    <w:rsid w:val="00B668B7"/>
    <w:rsid w:val="00BD4330"/>
    <w:rsid w:val="00BD7A24"/>
    <w:rsid w:val="00BF7D60"/>
    <w:rsid w:val="00CA4199"/>
    <w:rsid w:val="00CC42E7"/>
    <w:rsid w:val="00CE6C62"/>
    <w:rsid w:val="00D02F6B"/>
    <w:rsid w:val="00D65553"/>
    <w:rsid w:val="00D96C5A"/>
    <w:rsid w:val="00E51E6C"/>
    <w:rsid w:val="00E55AF0"/>
    <w:rsid w:val="00E83D05"/>
    <w:rsid w:val="00EE4143"/>
    <w:rsid w:val="00EF10EF"/>
    <w:rsid w:val="00F13815"/>
    <w:rsid w:val="00F67200"/>
    <w:rsid w:val="00FF5CFB"/>
    <w:rsid w:val="01640B24"/>
    <w:rsid w:val="020E0784"/>
    <w:rsid w:val="04F45A89"/>
    <w:rsid w:val="065206DF"/>
    <w:rsid w:val="06976DA4"/>
    <w:rsid w:val="078B10B1"/>
    <w:rsid w:val="08277DF6"/>
    <w:rsid w:val="08AA2278"/>
    <w:rsid w:val="09844DA3"/>
    <w:rsid w:val="0B1338B8"/>
    <w:rsid w:val="0F167A26"/>
    <w:rsid w:val="0F416944"/>
    <w:rsid w:val="0F615C10"/>
    <w:rsid w:val="10A81709"/>
    <w:rsid w:val="12C80001"/>
    <w:rsid w:val="13DC5767"/>
    <w:rsid w:val="14A55D11"/>
    <w:rsid w:val="15091ACE"/>
    <w:rsid w:val="17F8386D"/>
    <w:rsid w:val="1AFE5F5A"/>
    <w:rsid w:val="1CC01391"/>
    <w:rsid w:val="1D785D1E"/>
    <w:rsid w:val="1E225983"/>
    <w:rsid w:val="1EFE4ED3"/>
    <w:rsid w:val="1F80612D"/>
    <w:rsid w:val="201A439F"/>
    <w:rsid w:val="203A0415"/>
    <w:rsid w:val="28CE6BCC"/>
    <w:rsid w:val="29583AEA"/>
    <w:rsid w:val="2A1B3D70"/>
    <w:rsid w:val="2A797033"/>
    <w:rsid w:val="2C677972"/>
    <w:rsid w:val="2FEA4702"/>
    <w:rsid w:val="315B12A6"/>
    <w:rsid w:val="358F5533"/>
    <w:rsid w:val="364F6605"/>
    <w:rsid w:val="36FE44B8"/>
    <w:rsid w:val="37182651"/>
    <w:rsid w:val="37D7420B"/>
    <w:rsid w:val="38E94FD4"/>
    <w:rsid w:val="3948064F"/>
    <w:rsid w:val="3A0B3126"/>
    <w:rsid w:val="3A8A1112"/>
    <w:rsid w:val="3C64316E"/>
    <w:rsid w:val="40217FC5"/>
    <w:rsid w:val="41093A95"/>
    <w:rsid w:val="41B60510"/>
    <w:rsid w:val="438E5C99"/>
    <w:rsid w:val="4399728B"/>
    <w:rsid w:val="45976E3F"/>
    <w:rsid w:val="4B047121"/>
    <w:rsid w:val="4C696563"/>
    <w:rsid w:val="4CFBA0E4"/>
    <w:rsid w:val="4ED07693"/>
    <w:rsid w:val="4F6B3541"/>
    <w:rsid w:val="505B4DA3"/>
    <w:rsid w:val="542D76E9"/>
    <w:rsid w:val="55CF4E5A"/>
    <w:rsid w:val="56761EF3"/>
    <w:rsid w:val="57BE17E1"/>
    <w:rsid w:val="57FE7446"/>
    <w:rsid w:val="583F163E"/>
    <w:rsid w:val="59F20B72"/>
    <w:rsid w:val="59F23B76"/>
    <w:rsid w:val="59FB7AB9"/>
    <w:rsid w:val="5B911787"/>
    <w:rsid w:val="5BB80F02"/>
    <w:rsid w:val="5CB5459A"/>
    <w:rsid w:val="5EC67C89"/>
    <w:rsid w:val="5FA0150E"/>
    <w:rsid w:val="60DF77A9"/>
    <w:rsid w:val="62410B76"/>
    <w:rsid w:val="62B77813"/>
    <w:rsid w:val="63794D2C"/>
    <w:rsid w:val="645C5690"/>
    <w:rsid w:val="654A2859"/>
    <w:rsid w:val="668545C7"/>
    <w:rsid w:val="67254250"/>
    <w:rsid w:val="6865349E"/>
    <w:rsid w:val="6C4E0FBD"/>
    <w:rsid w:val="6C976AC8"/>
    <w:rsid w:val="6DD91C91"/>
    <w:rsid w:val="6E8E28DA"/>
    <w:rsid w:val="6F846876"/>
    <w:rsid w:val="73017694"/>
    <w:rsid w:val="75122447"/>
    <w:rsid w:val="756078B8"/>
    <w:rsid w:val="75EE0170"/>
    <w:rsid w:val="76BB3ECD"/>
    <w:rsid w:val="77263645"/>
    <w:rsid w:val="7944618E"/>
    <w:rsid w:val="79933715"/>
    <w:rsid w:val="7C03097E"/>
    <w:rsid w:val="7C31250E"/>
    <w:rsid w:val="7D32344C"/>
    <w:rsid w:val="7DA40E98"/>
    <w:rsid w:val="7E3836B1"/>
    <w:rsid w:val="7E7B37BA"/>
    <w:rsid w:val="7F092FA3"/>
    <w:rsid w:val="7FAD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keepNext/>
      <w:keepLines/>
      <w:spacing w:before="260" w:after="260" w:line="413" w:lineRule="auto"/>
      <w:outlineLvl w:val="2"/>
    </w:pPr>
    <w:rPr>
      <w:b/>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link w:val="17"/>
    <w:autoRedefine/>
    <w:semiHidden/>
    <w:unhideWhenUsed/>
    <w:qFormat/>
    <w:uiPriority w:val="99"/>
    <w:pPr>
      <w:jc w:val="left"/>
    </w:p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rPr>
      <w:sz w:val="24"/>
    </w:rPr>
  </w:style>
  <w:style w:type="paragraph" w:styleId="7">
    <w:name w:val="annotation subject"/>
    <w:basedOn w:val="3"/>
    <w:next w:val="3"/>
    <w:link w:val="18"/>
    <w:autoRedefine/>
    <w:qFormat/>
    <w:uiPriority w:val="0"/>
    <w:rPr>
      <w:b/>
      <w:bCs/>
    </w:rPr>
  </w:style>
  <w:style w:type="character" w:styleId="10">
    <w:name w:val="annotation reference"/>
    <w:basedOn w:val="9"/>
    <w:autoRedefine/>
    <w:semiHidden/>
    <w:unhideWhenUsed/>
    <w:qFormat/>
    <w:uiPriority w:val="99"/>
    <w:rPr>
      <w:sz w:val="21"/>
      <w:szCs w:val="21"/>
    </w:rPr>
  </w:style>
  <w:style w:type="paragraph" w:customStyle="1" w:styleId="1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字符"/>
    <w:basedOn w:val="9"/>
    <w:link w:val="4"/>
    <w:autoRedefine/>
    <w:qFormat/>
    <w:uiPriority w:val="0"/>
    <w:rPr>
      <w:rFonts w:asciiTheme="minorHAnsi" w:hAnsiTheme="minorHAnsi" w:eastAsiaTheme="minorEastAsia" w:cstheme="minorBidi"/>
      <w:kern w:val="2"/>
      <w:sz w:val="18"/>
      <w:szCs w:val="18"/>
    </w:rPr>
  </w:style>
  <w:style w:type="character" w:customStyle="1" w:styleId="14">
    <w:name w:val="font41"/>
    <w:basedOn w:val="9"/>
    <w:autoRedefine/>
    <w:qFormat/>
    <w:uiPriority w:val="0"/>
    <w:rPr>
      <w:rFonts w:hint="default" w:ascii="Times New Roman" w:hAnsi="Times New Roman" w:cs="Times New Roman"/>
      <w:color w:val="000000"/>
      <w:sz w:val="20"/>
      <w:szCs w:val="20"/>
      <w:u w:val="none"/>
    </w:rPr>
  </w:style>
  <w:style w:type="character" w:customStyle="1" w:styleId="15">
    <w:name w:val="font51"/>
    <w:basedOn w:val="9"/>
    <w:autoRedefine/>
    <w:qFormat/>
    <w:uiPriority w:val="0"/>
    <w:rPr>
      <w:rFonts w:hint="eastAsia" w:ascii="宋体" w:hAnsi="宋体" w:eastAsia="宋体" w:cs="宋体"/>
      <w:color w:val="000000"/>
      <w:sz w:val="20"/>
      <w:szCs w:val="20"/>
      <w:u w:val="none"/>
    </w:rPr>
  </w:style>
  <w:style w:type="paragraph" w:customStyle="1" w:styleId="16">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9"/>
    <w:link w:val="3"/>
    <w:autoRedefine/>
    <w:semiHidden/>
    <w:qFormat/>
    <w:uiPriority w:val="99"/>
    <w:rPr>
      <w:rFonts w:asciiTheme="minorHAnsi" w:hAnsiTheme="minorHAnsi" w:eastAsiaTheme="minorEastAsia" w:cstheme="minorBidi"/>
      <w:kern w:val="2"/>
      <w:sz w:val="21"/>
      <w:szCs w:val="24"/>
    </w:rPr>
  </w:style>
  <w:style w:type="character" w:customStyle="1" w:styleId="18">
    <w:name w:val="批注主题 字符"/>
    <w:basedOn w:val="17"/>
    <w:link w:val="7"/>
    <w:autoRedefine/>
    <w:qFormat/>
    <w:uiPriority w:val="0"/>
    <w:rPr>
      <w:rFonts w:asciiTheme="minorHAnsi" w:hAnsiTheme="minorHAnsi" w:eastAsiaTheme="minorEastAsia" w:cstheme="minorBidi"/>
      <w:b/>
      <w:bCs/>
      <w:kern w:val="2"/>
      <w:sz w:val="21"/>
      <w:szCs w:val="24"/>
    </w:rPr>
  </w:style>
  <w:style w:type="paragraph" w:customStyle="1" w:styleId="19">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0">
    <w:name w:val="年报正文"/>
    <w:basedOn w:val="1"/>
    <w:link w:val="21"/>
    <w:autoRedefine/>
    <w:qFormat/>
    <w:uiPriority w:val="0"/>
    <w:pPr>
      <w:keepNext w:val="0"/>
      <w:keepLines w:val="0"/>
      <w:widowControl w:val="0"/>
      <w:suppressLineNumbers w:val="0"/>
      <w:spacing w:before="120" w:beforeLines="50" w:beforeAutospacing="0" w:after="0" w:afterAutospacing="0" w:line="360" w:lineRule="auto"/>
      <w:ind w:left="0" w:right="0" w:firstLine="480" w:firstLineChars="200"/>
      <w:jc w:val="both"/>
    </w:pPr>
    <w:rPr>
      <w:rFonts w:hint="eastAsia" w:ascii="宋体" w:hAnsi="宋体" w:eastAsia="宋体" w:cs="宋体"/>
      <w:kern w:val="0"/>
      <w:sz w:val="24"/>
      <w:szCs w:val="24"/>
      <w:lang w:val="en-US" w:eastAsia="zh-CN" w:bidi="ar"/>
    </w:rPr>
  </w:style>
  <w:style w:type="character" w:customStyle="1" w:styleId="21">
    <w:name w:val="年报正文 字符"/>
    <w:basedOn w:val="9"/>
    <w:link w:val="20"/>
    <w:autoRedefine/>
    <w:qFormat/>
    <w:uiPriority w:val="0"/>
    <w:rPr>
      <w:rFonts w:hint="eastAsia"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25</Pages>
  <Words>1075</Words>
  <Characters>6131</Characters>
  <Lines>51</Lines>
  <Paragraphs>14</Paragraphs>
  <TotalTime>3</TotalTime>
  <ScaleCrop>false</ScaleCrop>
  <LinksUpToDate>false</LinksUpToDate>
  <CharactersWithSpaces>7192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2023-03-16T15:35:00Z</dcterms:created>
  <dc:creator>Administrator</dc:creator>
  <cp:lastModifiedBy>Y.    Miss</cp:lastModifiedBy>
  <dcterms:modified xsi:type="dcterms:W3CDTF">2024-04-25T04:48:07Z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2FC000D8CC014392A1C9D0049E1EA1A6_13</vt:lpwstr>
  </property>
</Properties>
</file>