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line="360" w:lineRule="auto"/>
        <w:ind w:firstLine="602" w:firstLineChars="200"/>
        <w:jc w:val="center"/>
        <w:rPr>
          <w:rFonts w:ascii="宋体" w:hAnsi="宋体" w:cs="宋体"/>
          <w:b/>
          <w:kern w:val="0"/>
          <w:sz w:val="30"/>
          <w:szCs w:val="30"/>
        </w:rPr>
      </w:pPr>
      <w:r>
        <w:rPr>
          <w:rFonts w:hint="eastAsia" w:ascii="宋体" w:hAnsi="宋体" w:cs="宋体"/>
          <w:b/>
          <w:kern w:val="0"/>
          <w:sz w:val="30"/>
          <w:szCs w:val="30"/>
        </w:rPr>
        <w:t>重庆望变电气（集团）股份有限公司</w:t>
      </w:r>
    </w:p>
    <w:p>
      <w:pPr>
        <w:widowControl/>
        <w:spacing w:after="240" w:afterLines="100" w:line="360" w:lineRule="auto"/>
        <w:ind w:firstLine="602" w:firstLineChars="200"/>
        <w:jc w:val="center"/>
        <w:rPr>
          <w:rFonts w:ascii="宋体" w:hAnsi="宋体" w:cs="宋体"/>
          <w:b/>
          <w:kern w:val="0"/>
          <w:sz w:val="30"/>
          <w:szCs w:val="30"/>
        </w:rPr>
      </w:pPr>
      <w:r>
        <w:rPr>
          <w:rFonts w:ascii="宋体" w:hAnsi="宋体" w:cs="宋体"/>
          <w:b/>
          <w:kern w:val="0"/>
          <w:sz w:val="30"/>
          <w:szCs w:val="30"/>
        </w:rPr>
        <w:t>2023年</w:t>
      </w:r>
      <w:r>
        <w:rPr>
          <w:rFonts w:hint="eastAsia" w:ascii="宋体" w:hAnsi="宋体" w:cs="宋体"/>
          <w:b/>
          <w:kern w:val="0"/>
          <w:sz w:val="30"/>
          <w:szCs w:val="30"/>
        </w:rPr>
        <w:t>度募集资金存放与实际使用情况的专项报告</w:t>
      </w:r>
    </w:p>
    <w:p>
      <w:pPr>
        <w:widowControl/>
        <w:spacing w:before="240" w:beforeLines="100" w:line="360" w:lineRule="auto"/>
        <w:ind w:firstLine="422" w:firstLineChars="200"/>
        <w:outlineLvl w:val="1"/>
        <w:rPr>
          <w:rFonts w:ascii="宋体" w:hAnsi="宋体" w:cs="宋体"/>
          <w:b/>
          <w:kern w:val="0"/>
          <w:szCs w:val="21"/>
        </w:rPr>
      </w:pPr>
      <w:r>
        <w:rPr>
          <w:rFonts w:ascii="宋体" w:hAnsi="宋体"/>
          <w:b/>
          <w:kern w:val="0"/>
          <w:szCs w:val="21"/>
        </w:rPr>
        <w:t>一、</w:t>
      </w:r>
      <w:r>
        <w:rPr>
          <w:rFonts w:ascii="宋体" w:hAnsi="宋体"/>
          <w:b/>
          <w:kern w:val="0"/>
          <w:szCs w:val="21"/>
        </w:rPr>
        <w:tab/>
      </w:r>
      <w:r>
        <w:rPr>
          <w:rFonts w:hint="eastAsia" w:ascii="宋体" w:hAnsi="宋体" w:cs="宋体"/>
          <w:b/>
          <w:kern w:val="0"/>
          <w:szCs w:val="21"/>
        </w:rPr>
        <w:t>募集资金基本情况</w:t>
      </w:r>
    </w:p>
    <w:p>
      <w:pPr>
        <w:widowControl/>
        <w:spacing w:line="360" w:lineRule="auto"/>
        <w:ind w:firstLine="420" w:firstLineChars="200"/>
        <w:rPr>
          <w:rFonts w:ascii="宋体" w:hAnsi="宋体"/>
          <w:kern w:val="0"/>
          <w:szCs w:val="21"/>
        </w:rPr>
      </w:pPr>
      <w:r>
        <w:rPr>
          <w:rFonts w:hint="eastAsia" w:ascii="宋体" w:hAnsi="宋体"/>
          <w:kern w:val="0"/>
          <w:szCs w:val="21"/>
        </w:rPr>
        <w:t>经中国证券监督管理委员会证监许可[2022]490号文核准，并经上海证券交易所同意，本公司由主承销商中信证券股份有限公司于2022年4月18日向社会公众公开发行普通股（A 股）股票83,291,852股，每股面值1元，每股发行价人民币11.86元。截至2022年4月22日止，本公司共募集资金人民币987,841,364.72元，扣除发行费用合计133,279,564.72元，募集资金净额人民币854,561,800.00元。</w:t>
      </w:r>
    </w:p>
    <w:p>
      <w:pPr>
        <w:widowControl/>
        <w:spacing w:line="360" w:lineRule="auto"/>
        <w:ind w:firstLine="420" w:firstLineChars="200"/>
        <w:rPr>
          <w:rFonts w:ascii="宋体" w:hAnsi="宋体"/>
          <w:kern w:val="0"/>
          <w:szCs w:val="21"/>
        </w:rPr>
      </w:pPr>
      <w:r>
        <w:rPr>
          <w:rFonts w:hint="eastAsia" w:ascii="宋体" w:hAnsi="宋体"/>
          <w:kern w:val="0"/>
          <w:szCs w:val="21"/>
        </w:rPr>
        <w:t>截止2022年4月22日，本公司上述发行募集的资金已全部到位，业经大华会计师事务所（特殊普通合伙）以“大华验字[2022]000143号”验资报告验证确认。</w:t>
      </w:r>
    </w:p>
    <w:p>
      <w:pPr>
        <w:widowControl/>
        <w:spacing w:line="360" w:lineRule="auto"/>
        <w:ind w:firstLine="420" w:firstLineChars="200"/>
        <w:rPr>
          <w:rFonts w:ascii="宋体" w:hAnsi="宋体"/>
          <w:kern w:val="0"/>
          <w:szCs w:val="21"/>
        </w:rPr>
      </w:pPr>
      <w:r>
        <w:rPr>
          <w:rFonts w:hint="eastAsia" w:ascii="宋体" w:hAnsi="宋体"/>
          <w:kern w:val="0"/>
          <w:szCs w:val="21"/>
        </w:rPr>
        <w:t>截止2023年12月31日，公司对募集资金项目累计投入</w:t>
      </w:r>
      <w:r>
        <w:rPr>
          <w:rFonts w:ascii="宋体" w:hAnsi="宋体"/>
          <w:kern w:val="0"/>
          <w:szCs w:val="21"/>
        </w:rPr>
        <w:t>644,010,545.61</w:t>
      </w:r>
      <w:r>
        <w:rPr>
          <w:rFonts w:hint="eastAsia" w:ascii="宋体" w:hAnsi="宋体"/>
          <w:kern w:val="0"/>
          <w:szCs w:val="21"/>
        </w:rPr>
        <w:t>元，其中：使用募集资金累计投入</w:t>
      </w:r>
      <w:r>
        <w:rPr>
          <w:rFonts w:ascii="宋体" w:hAnsi="宋体"/>
          <w:kern w:val="0"/>
          <w:szCs w:val="21"/>
        </w:rPr>
        <w:t>581</w:t>
      </w:r>
      <w:r>
        <w:rPr>
          <w:rFonts w:hint="eastAsia" w:ascii="宋体" w:hAnsi="宋体"/>
          <w:kern w:val="0"/>
          <w:szCs w:val="21"/>
        </w:rPr>
        <w:t>,</w:t>
      </w:r>
      <w:r>
        <w:rPr>
          <w:rFonts w:ascii="宋体" w:hAnsi="宋体"/>
          <w:kern w:val="0"/>
          <w:szCs w:val="21"/>
        </w:rPr>
        <w:t>050</w:t>
      </w:r>
      <w:r>
        <w:rPr>
          <w:rFonts w:hint="eastAsia" w:ascii="宋体" w:hAnsi="宋体"/>
          <w:kern w:val="0"/>
          <w:szCs w:val="21"/>
        </w:rPr>
        <w:t>,</w:t>
      </w:r>
      <w:r>
        <w:rPr>
          <w:rFonts w:ascii="宋体" w:hAnsi="宋体"/>
          <w:kern w:val="0"/>
          <w:szCs w:val="21"/>
        </w:rPr>
        <w:t>895.17</w:t>
      </w:r>
      <w:r>
        <w:rPr>
          <w:rFonts w:hint="eastAsia" w:ascii="宋体" w:hAnsi="宋体"/>
          <w:kern w:val="0"/>
          <w:szCs w:val="21"/>
        </w:rPr>
        <w:t>元（含公司于募集资金到位之前利用自有资金先期投入募集资金项目62,987,300.00元）, 使用银行承兑汇票累计投入</w:t>
      </w:r>
      <w:r>
        <w:rPr>
          <w:rFonts w:ascii="宋体" w:hAnsi="宋体"/>
          <w:kern w:val="0"/>
          <w:szCs w:val="21"/>
        </w:rPr>
        <w:t>62,959,650.44</w:t>
      </w:r>
      <w:r>
        <w:rPr>
          <w:rFonts w:hint="eastAsia" w:ascii="宋体" w:hAnsi="宋体"/>
          <w:kern w:val="0"/>
          <w:szCs w:val="21"/>
        </w:rPr>
        <w:t>元（未置换部分）。</w:t>
      </w:r>
    </w:p>
    <w:p>
      <w:pPr>
        <w:widowControl/>
        <w:spacing w:line="360" w:lineRule="auto"/>
        <w:ind w:firstLine="420" w:firstLineChars="200"/>
        <w:rPr>
          <w:rFonts w:ascii="宋体" w:hAnsi="宋体"/>
          <w:kern w:val="0"/>
          <w:szCs w:val="21"/>
        </w:rPr>
      </w:pPr>
      <w:r>
        <w:rPr>
          <w:rFonts w:hint="eastAsia" w:ascii="宋体" w:hAnsi="宋体"/>
          <w:kern w:val="0"/>
          <w:szCs w:val="21"/>
        </w:rPr>
        <w:t>本年度公司对募集资金项目投入</w:t>
      </w:r>
      <w:r>
        <w:rPr>
          <w:rFonts w:ascii="宋体" w:hAnsi="宋体"/>
          <w:kern w:val="0"/>
          <w:szCs w:val="21"/>
        </w:rPr>
        <w:t>232,287,781.36</w:t>
      </w:r>
      <w:r>
        <w:rPr>
          <w:rFonts w:hint="eastAsia" w:ascii="宋体" w:hAnsi="宋体"/>
          <w:kern w:val="0"/>
          <w:szCs w:val="21"/>
        </w:rPr>
        <w:t>元，其中：本年度使用募集资金</w:t>
      </w:r>
      <w:r>
        <w:rPr>
          <w:rFonts w:ascii="宋体" w:hAnsi="宋体"/>
          <w:kern w:val="0"/>
          <w:szCs w:val="21"/>
        </w:rPr>
        <w:t>194,534,939.11</w:t>
      </w:r>
      <w:r>
        <w:rPr>
          <w:rFonts w:hint="eastAsia" w:ascii="宋体" w:hAnsi="宋体"/>
          <w:kern w:val="0"/>
          <w:szCs w:val="21"/>
        </w:rPr>
        <w:t>元,使用银行承兑汇票</w:t>
      </w:r>
      <w:r>
        <w:rPr>
          <w:rFonts w:ascii="宋体" w:hAnsi="宋体"/>
          <w:kern w:val="0"/>
          <w:szCs w:val="21"/>
        </w:rPr>
        <w:t>62,959,650.44</w:t>
      </w:r>
      <w:r>
        <w:rPr>
          <w:rFonts w:hint="eastAsia" w:ascii="宋体" w:hAnsi="宋体"/>
          <w:kern w:val="0"/>
          <w:szCs w:val="21"/>
        </w:rPr>
        <w:t>元（未置换部分）。</w:t>
      </w:r>
    </w:p>
    <w:p>
      <w:pPr>
        <w:widowControl/>
        <w:spacing w:line="360" w:lineRule="auto"/>
        <w:ind w:firstLine="420" w:firstLineChars="200"/>
        <w:rPr>
          <w:rFonts w:ascii="宋体" w:hAnsi="宋体"/>
          <w:kern w:val="0"/>
          <w:szCs w:val="21"/>
        </w:rPr>
      </w:pPr>
      <w:r>
        <w:rPr>
          <w:rFonts w:hint="eastAsia" w:ascii="宋体" w:hAnsi="宋体"/>
          <w:kern w:val="0"/>
          <w:szCs w:val="21"/>
        </w:rPr>
        <w:t>截止2023年12月31日，公司募集资金余额为</w:t>
      </w:r>
      <w:r>
        <w:rPr>
          <w:rFonts w:ascii="宋体" w:hAnsi="宋体"/>
          <w:kern w:val="0"/>
          <w:szCs w:val="21"/>
        </w:rPr>
        <w:t>294,679,967.55</w:t>
      </w:r>
      <w:r>
        <w:rPr>
          <w:rFonts w:hint="eastAsia" w:ascii="宋体" w:hAnsi="宋体"/>
          <w:kern w:val="0"/>
          <w:szCs w:val="21"/>
        </w:rPr>
        <w:t>元。</w:t>
      </w:r>
    </w:p>
    <w:p>
      <w:pPr>
        <w:widowControl/>
        <w:spacing w:line="360" w:lineRule="auto"/>
        <w:ind w:firstLine="420" w:firstLineChars="200"/>
        <w:rPr>
          <w:rFonts w:ascii="宋体" w:hAnsi="宋体"/>
          <w:kern w:val="0"/>
          <w:szCs w:val="21"/>
        </w:rPr>
      </w:pPr>
      <w:r>
        <w:rPr>
          <w:rFonts w:hint="eastAsia" w:ascii="宋体" w:hAnsi="宋体"/>
          <w:kern w:val="0"/>
          <w:szCs w:val="21"/>
        </w:rPr>
        <w:t>募集资金项目使用明细情况如下：</w:t>
      </w:r>
    </w:p>
    <w:p>
      <w:pPr>
        <w:widowControl/>
        <w:spacing w:line="360" w:lineRule="auto"/>
        <w:ind w:firstLine="420" w:firstLineChars="200"/>
        <w:jc w:val="right"/>
        <w:rPr>
          <w:rFonts w:ascii="宋体" w:hAnsi="宋体"/>
          <w:kern w:val="0"/>
          <w:szCs w:val="21"/>
        </w:rPr>
      </w:pPr>
      <w:r>
        <w:rPr>
          <w:rFonts w:hint="eastAsia" w:ascii="宋体" w:hAnsi="宋体"/>
          <w:kern w:val="0"/>
          <w:szCs w:val="21"/>
        </w:rPr>
        <w:t>单位：元</w:t>
      </w:r>
    </w:p>
    <w:tbl>
      <w:tblPr>
        <w:tblStyle w:val="12"/>
        <w:tblW w:w="0" w:type="auto"/>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45" w:type="dxa"/>
          <w:bottom w:w="0" w:type="dxa"/>
          <w:right w:w="45" w:type="dxa"/>
        </w:tblCellMar>
      </w:tblPr>
      <w:tblGrid>
        <w:gridCol w:w="2127"/>
        <w:gridCol w:w="992"/>
        <w:gridCol w:w="1276"/>
        <w:gridCol w:w="1275"/>
        <w:gridCol w:w="1395"/>
        <w:gridCol w:w="124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340" w:hRule="atLeast"/>
          <w:tblHeader/>
        </w:trPr>
        <w:tc>
          <w:tcPr>
            <w:tcW w:w="2127" w:type="dxa"/>
            <w:shd w:val="clear" w:color="auto" w:fill="auto"/>
            <w:vAlign w:val="center"/>
          </w:tcPr>
          <w:p>
            <w:pPr>
              <w:widowControl/>
              <w:adjustRightInd w:val="0"/>
              <w:snapToGrid w:val="0"/>
              <w:spacing w:line="240" w:lineRule="exact"/>
              <w:jc w:val="center"/>
              <w:rPr>
                <w:rFonts w:ascii="宋体" w:hAnsi="宋体" w:cs="宋体"/>
                <w:snapToGrid w:val="0"/>
                <w:kern w:val="0"/>
                <w:sz w:val="18"/>
                <w:szCs w:val="18"/>
              </w:rPr>
            </w:pPr>
            <w:r>
              <w:rPr>
                <w:rFonts w:hint="eastAsia" w:ascii="宋体" w:hAnsi="宋体" w:cs="宋体"/>
                <w:snapToGrid w:val="0"/>
                <w:kern w:val="0"/>
                <w:sz w:val="18"/>
                <w:szCs w:val="18"/>
              </w:rPr>
              <w:t>项目名称</w:t>
            </w:r>
          </w:p>
        </w:tc>
        <w:tc>
          <w:tcPr>
            <w:tcW w:w="992" w:type="dxa"/>
            <w:shd w:val="clear" w:color="auto" w:fill="auto"/>
            <w:vAlign w:val="center"/>
          </w:tcPr>
          <w:p>
            <w:pPr>
              <w:widowControl/>
              <w:adjustRightInd w:val="0"/>
              <w:snapToGrid w:val="0"/>
              <w:spacing w:line="240" w:lineRule="exact"/>
              <w:jc w:val="center"/>
              <w:rPr>
                <w:rFonts w:ascii="宋体" w:hAnsi="宋体" w:cs="宋体"/>
                <w:snapToGrid w:val="0"/>
                <w:kern w:val="0"/>
                <w:sz w:val="18"/>
                <w:szCs w:val="18"/>
              </w:rPr>
            </w:pPr>
            <w:r>
              <w:rPr>
                <w:rFonts w:hint="eastAsia" w:ascii="宋体" w:hAnsi="宋体" w:cs="宋体"/>
                <w:snapToGrid w:val="0"/>
                <w:kern w:val="0"/>
                <w:sz w:val="18"/>
                <w:szCs w:val="18"/>
              </w:rPr>
              <w:t>序号</w:t>
            </w:r>
          </w:p>
        </w:tc>
        <w:tc>
          <w:tcPr>
            <w:tcW w:w="1276" w:type="dxa"/>
            <w:shd w:val="clear" w:color="auto" w:fill="auto"/>
            <w:vAlign w:val="center"/>
          </w:tcPr>
          <w:p>
            <w:pPr>
              <w:widowControl/>
              <w:adjustRightInd w:val="0"/>
              <w:snapToGrid w:val="0"/>
              <w:spacing w:line="240" w:lineRule="exact"/>
              <w:jc w:val="center"/>
              <w:rPr>
                <w:rFonts w:ascii="宋体" w:hAnsi="宋体" w:cs="宋体"/>
                <w:snapToGrid w:val="0"/>
                <w:kern w:val="0"/>
                <w:sz w:val="18"/>
                <w:szCs w:val="18"/>
              </w:rPr>
            </w:pPr>
            <w:r>
              <w:rPr>
                <w:rFonts w:hint="eastAsia" w:ascii="宋体" w:hAnsi="宋体" w:cs="宋体"/>
                <w:snapToGrid w:val="0"/>
                <w:kern w:val="0"/>
                <w:sz w:val="18"/>
                <w:szCs w:val="18"/>
              </w:rPr>
              <w:t>累计使用募集金额</w:t>
            </w:r>
          </w:p>
        </w:tc>
        <w:tc>
          <w:tcPr>
            <w:tcW w:w="1275" w:type="dxa"/>
            <w:shd w:val="clear" w:color="auto" w:fill="auto"/>
            <w:vAlign w:val="center"/>
          </w:tcPr>
          <w:p>
            <w:pPr>
              <w:widowControl/>
              <w:adjustRightInd w:val="0"/>
              <w:snapToGrid w:val="0"/>
              <w:spacing w:line="240" w:lineRule="exact"/>
              <w:jc w:val="center"/>
              <w:rPr>
                <w:rFonts w:ascii="宋体" w:hAnsi="宋体" w:cs="宋体"/>
                <w:snapToGrid w:val="0"/>
                <w:kern w:val="0"/>
                <w:sz w:val="18"/>
                <w:szCs w:val="18"/>
              </w:rPr>
            </w:pPr>
            <w:r>
              <w:rPr>
                <w:rFonts w:hint="eastAsia" w:ascii="宋体" w:hAnsi="宋体" w:cs="宋体"/>
                <w:snapToGrid w:val="0"/>
                <w:kern w:val="0"/>
                <w:sz w:val="18"/>
                <w:szCs w:val="18"/>
              </w:rPr>
              <w:t>其中：本年度使用募集资金</w:t>
            </w:r>
          </w:p>
        </w:tc>
        <w:tc>
          <w:tcPr>
            <w:tcW w:w="1395" w:type="dxa"/>
            <w:shd w:val="clear" w:color="auto" w:fill="auto"/>
            <w:vAlign w:val="center"/>
          </w:tcPr>
          <w:p>
            <w:pPr>
              <w:widowControl/>
              <w:adjustRightInd w:val="0"/>
              <w:snapToGrid w:val="0"/>
              <w:spacing w:line="240" w:lineRule="exact"/>
              <w:jc w:val="center"/>
              <w:rPr>
                <w:rFonts w:ascii="宋体" w:hAnsi="宋体" w:cs="宋体"/>
                <w:snapToGrid w:val="0"/>
                <w:kern w:val="0"/>
                <w:sz w:val="18"/>
                <w:szCs w:val="18"/>
              </w:rPr>
            </w:pPr>
            <w:r>
              <w:rPr>
                <w:rFonts w:hint="eastAsia" w:ascii="宋体" w:hAnsi="宋体" w:cs="宋体"/>
                <w:snapToGrid w:val="0"/>
                <w:kern w:val="0"/>
                <w:sz w:val="18"/>
                <w:szCs w:val="18"/>
              </w:rPr>
              <w:t>累计使用承兑汇票金额</w:t>
            </w:r>
          </w:p>
          <w:p>
            <w:pPr>
              <w:widowControl/>
              <w:adjustRightInd w:val="0"/>
              <w:snapToGrid w:val="0"/>
              <w:spacing w:line="240" w:lineRule="exact"/>
              <w:jc w:val="center"/>
              <w:rPr>
                <w:rFonts w:ascii="宋体" w:hAnsi="宋体" w:cs="宋体"/>
                <w:snapToGrid w:val="0"/>
                <w:kern w:val="0"/>
                <w:sz w:val="18"/>
                <w:szCs w:val="18"/>
              </w:rPr>
            </w:pPr>
            <w:r>
              <w:rPr>
                <w:rFonts w:hint="eastAsia" w:ascii="宋体" w:hAnsi="宋体" w:cs="宋体"/>
                <w:snapToGrid w:val="0"/>
                <w:kern w:val="0"/>
                <w:sz w:val="18"/>
                <w:szCs w:val="18"/>
              </w:rPr>
              <w:t>（未置换部分）</w:t>
            </w:r>
          </w:p>
        </w:tc>
        <w:tc>
          <w:tcPr>
            <w:tcW w:w="1247" w:type="dxa"/>
            <w:shd w:val="clear" w:color="auto" w:fill="auto"/>
            <w:vAlign w:val="center"/>
          </w:tcPr>
          <w:p>
            <w:pPr>
              <w:widowControl/>
              <w:adjustRightInd w:val="0"/>
              <w:snapToGrid w:val="0"/>
              <w:spacing w:line="240" w:lineRule="exact"/>
              <w:jc w:val="center"/>
              <w:rPr>
                <w:rFonts w:ascii="宋体" w:hAnsi="宋体" w:cs="宋体"/>
                <w:snapToGrid w:val="0"/>
                <w:kern w:val="0"/>
                <w:sz w:val="18"/>
                <w:szCs w:val="18"/>
              </w:rPr>
            </w:pPr>
            <w:r>
              <w:rPr>
                <w:rFonts w:hint="eastAsia" w:ascii="宋体" w:hAnsi="宋体" w:cs="宋体"/>
                <w:snapToGrid w:val="0"/>
                <w:kern w:val="0"/>
                <w:sz w:val="18"/>
                <w:szCs w:val="18"/>
              </w:rPr>
              <w:t>累计投入募集资金项目金额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募集资金初始金额</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1=2+3+4+5+6+7</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ascii="Arial Narrow" w:hAnsi="Arial Narrow" w:cs="宋体"/>
                <w:snapToGrid w:val="0"/>
                <w:kern w:val="0"/>
                <w:sz w:val="18"/>
                <w:szCs w:val="16"/>
              </w:rPr>
              <w:t>854,561,800.00</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（一）智能成套电气设备产业基地建设项目</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2</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ascii="Arial Narrow" w:hAnsi="Arial Narrow" w:cs="宋体"/>
                <w:snapToGrid w:val="0"/>
                <w:kern w:val="0"/>
                <w:sz w:val="18"/>
                <w:szCs w:val="16"/>
              </w:rPr>
              <w:t>242,684,700.00</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（二）</w:t>
            </w:r>
            <w:r>
              <w:rPr>
                <w:rFonts w:ascii="Arial Narrow" w:hAnsi="Arial Narrow" w:cs="宋体"/>
                <w:snapToGrid w:val="0"/>
                <w:kern w:val="0"/>
                <w:sz w:val="18"/>
                <w:szCs w:val="18"/>
              </w:rPr>
              <w:t>110kV及以下节能型变压器智能化工厂技改项目</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3</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73,305,900.00</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（三）低铁损高磁感硅钢铁心智能制造项目</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4</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128,326,800.00</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（四）研发中心及信息化建设项目</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5</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62,500,000.00</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（五）智控设备及金属制品智能工厂建设项目（一期）</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6</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147,744,400.00</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（六）补充流动资金</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7</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200,000,000.00</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累计实际使用募集资金金额</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8=9+10+11+12+13+14</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581,050,895.17</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194,534,939.11</w:t>
            </w: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ascii="Arial Narrow" w:hAnsi="Arial Narrow" w:cs="宋体"/>
                <w:snapToGrid w:val="0"/>
                <w:kern w:val="0"/>
                <w:sz w:val="18"/>
                <w:szCs w:val="16"/>
              </w:rPr>
              <w:t>62,959,650.44</w:t>
            </w: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ascii="Arial Narrow" w:hAnsi="Arial Narrow" w:cs="宋体"/>
                <w:snapToGrid w:val="0"/>
                <w:kern w:val="0"/>
                <w:sz w:val="18"/>
                <w:szCs w:val="16"/>
              </w:rPr>
              <w:t>644,010,545.61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（一）智能成套电气设备产业基地建设项目</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9</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188,065,811.91</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92,249,535.60</w:t>
            </w: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10,287,189.00</w:t>
            </w: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198,353,000.91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（二）</w:t>
            </w:r>
            <w:r>
              <w:rPr>
                <w:rFonts w:ascii="Arial Narrow" w:hAnsi="Arial Narrow" w:cs="宋体"/>
                <w:snapToGrid w:val="0"/>
                <w:kern w:val="0"/>
                <w:sz w:val="18"/>
                <w:szCs w:val="18"/>
              </w:rPr>
              <w:t>110kV及以下节能型变压器智能化工厂技改项目</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10</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32,369,283.40</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29,072,987.40</w:t>
            </w: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ascii="Arial Narrow" w:hAnsi="Arial Narrow" w:cs="宋体"/>
                <w:snapToGrid w:val="0"/>
                <w:kern w:val="0"/>
                <w:sz w:val="18"/>
                <w:szCs w:val="16"/>
              </w:rPr>
              <w:t>3,672,800.00</w:t>
            </w: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ascii="Arial Narrow" w:hAnsi="Arial Narrow" w:cs="宋体"/>
                <w:snapToGrid w:val="0"/>
                <w:kern w:val="0"/>
                <w:sz w:val="18"/>
                <w:szCs w:val="16"/>
              </w:rPr>
              <w:t>36,042,083.40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（三）低铁损高磁感硅钢铁心智能制造项目</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11</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130,078,692.00</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57,088,951.32</w:t>
            </w: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130,078,692.00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（四）研发中心及信息化建设项目</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12</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29,123,812.34</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14,710,169.27</w:t>
            </w: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ascii="Arial Narrow" w:hAnsi="Arial Narrow" w:cs="宋体"/>
                <w:snapToGrid w:val="0"/>
                <w:kern w:val="0"/>
                <w:sz w:val="18"/>
                <w:szCs w:val="16"/>
              </w:rPr>
              <w:t>29,123,812.34</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（五）智控设备及金属制品智能工厂建设项目（一期）</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13</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1,413,276.50</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1,413,276.50</w:t>
            </w: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48,999,661.44</w:t>
            </w: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50,412,937.94</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（六）补充流动资金</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14</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200,000,019.02</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19.02</w:t>
            </w: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200,000,019.02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累计募集资金专户现金管理收益</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15</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1,218,949.32</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累计募集资金专户利息收入</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16</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19,951,261.47</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累计募集资金专户手续费</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17</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1,148.07</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累计暂时闲置资金投资未收回金额</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18</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ascii="Arial Narrow" w:hAnsi="Arial Narrow" w:cs="宋体"/>
                <w:snapToGrid w:val="0"/>
                <w:kern w:val="0"/>
                <w:sz w:val="18"/>
                <w:szCs w:val="18"/>
              </w:rPr>
              <w:t>2023年12月31日募集资金专户余额</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19=1-8+15+16-17-18</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294,679,967.55</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2127" w:type="dxa"/>
            <w:shd w:val="clear" w:color="auto" w:fill="auto"/>
            <w:vAlign w:val="center"/>
          </w:tcPr>
          <w:p>
            <w:pPr>
              <w:widowControl/>
              <w:adjustRightInd w:val="0"/>
              <w:snapToGrid w:val="0"/>
              <w:spacing w:line="240" w:lineRule="exact"/>
              <w:jc w:val="left"/>
              <w:rPr>
                <w:rFonts w:ascii="Arial Narrow" w:hAnsi="Arial Narrow" w:cs="宋体"/>
                <w:snapToGrid w:val="0"/>
                <w:kern w:val="0"/>
                <w:sz w:val="18"/>
                <w:szCs w:val="18"/>
              </w:rPr>
            </w:pPr>
            <w:r>
              <w:rPr>
                <w:rFonts w:hint="eastAsia" w:ascii="Arial Narrow" w:hAnsi="Arial Narrow" w:cs="宋体"/>
                <w:snapToGrid w:val="0"/>
                <w:kern w:val="0"/>
                <w:sz w:val="18"/>
                <w:szCs w:val="18"/>
              </w:rPr>
              <w:t>截止</w:t>
            </w:r>
            <w:r>
              <w:rPr>
                <w:rFonts w:ascii="Arial Narrow" w:hAnsi="Arial Narrow" w:cs="宋体"/>
                <w:snapToGrid w:val="0"/>
                <w:kern w:val="0"/>
                <w:sz w:val="18"/>
                <w:szCs w:val="18"/>
              </w:rPr>
              <w:t>2023年12月31日累计投入募集资金总额</w:t>
            </w:r>
          </w:p>
        </w:tc>
        <w:tc>
          <w:tcPr>
            <w:tcW w:w="992" w:type="dxa"/>
            <w:shd w:val="clear" w:color="auto" w:fill="auto"/>
            <w:vAlign w:val="center"/>
          </w:tcPr>
          <w:p>
            <w:pPr>
              <w:widowControl/>
              <w:adjustRightInd w:val="0"/>
              <w:snapToGrid w:val="0"/>
              <w:spacing w:line="240" w:lineRule="exact"/>
              <w:jc w:val="center"/>
              <w:rPr>
                <w:rFonts w:ascii="Arial Narrow" w:hAnsi="Arial Narrow" w:cs="宋体"/>
                <w:snapToGrid w:val="0"/>
                <w:kern w:val="0"/>
                <w:sz w:val="18"/>
                <w:szCs w:val="18"/>
              </w:rPr>
            </w:pPr>
            <w:r>
              <w:rPr>
                <w:rFonts w:hint="eastAsia" w:ascii="Arial Narrow" w:hAnsi="Arial Narrow" w:cs="宋体"/>
                <w:snapToGrid w:val="0"/>
                <w:kern w:val="0"/>
                <w:sz w:val="18"/>
                <w:szCs w:val="18"/>
              </w:rPr>
              <w:t>20=8</w:t>
            </w:r>
          </w:p>
        </w:tc>
        <w:tc>
          <w:tcPr>
            <w:tcW w:w="1276"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r>
              <w:rPr>
                <w:rFonts w:hint="eastAsia" w:ascii="Arial Narrow" w:hAnsi="Arial Narrow" w:cs="宋体"/>
                <w:snapToGrid w:val="0"/>
                <w:kern w:val="0"/>
                <w:sz w:val="18"/>
                <w:szCs w:val="16"/>
              </w:rPr>
              <w:t>581,050,895.17</w:t>
            </w:r>
          </w:p>
        </w:tc>
        <w:tc>
          <w:tcPr>
            <w:tcW w:w="127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395"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c>
          <w:tcPr>
            <w:tcW w:w="1247" w:type="dxa"/>
            <w:shd w:val="clear" w:color="auto" w:fill="auto"/>
            <w:vAlign w:val="center"/>
          </w:tcPr>
          <w:p>
            <w:pPr>
              <w:widowControl/>
              <w:adjustRightInd w:val="0"/>
              <w:snapToGrid w:val="0"/>
              <w:spacing w:line="240" w:lineRule="exact"/>
              <w:jc w:val="right"/>
              <w:rPr>
                <w:rFonts w:ascii="Arial Narrow" w:hAnsi="Arial Narrow" w:cs="宋体"/>
                <w:snapToGrid w:val="0"/>
                <w:kern w:val="0"/>
                <w:sz w:val="18"/>
                <w:szCs w:val="16"/>
              </w:rPr>
            </w:pPr>
          </w:p>
        </w:tc>
      </w:tr>
    </w:tbl>
    <w:p>
      <w:pPr>
        <w:widowControl/>
        <w:spacing w:before="240" w:beforeLines="100" w:line="360" w:lineRule="auto"/>
        <w:ind w:firstLine="422" w:firstLineChars="200"/>
        <w:outlineLvl w:val="1"/>
        <w:rPr>
          <w:rFonts w:ascii="宋体" w:hAnsi="宋体" w:cs="宋体"/>
          <w:b/>
          <w:kern w:val="0"/>
          <w:szCs w:val="21"/>
        </w:rPr>
      </w:pPr>
      <w:r>
        <w:rPr>
          <w:rFonts w:ascii="宋体" w:hAnsi="宋体"/>
          <w:b/>
          <w:kern w:val="0"/>
          <w:szCs w:val="21"/>
        </w:rPr>
        <w:t>二、</w:t>
      </w:r>
      <w:r>
        <w:rPr>
          <w:rFonts w:ascii="宋体" w:hAnsi="宋体"/>
          <w:b/>
          <w:kern w:val="0"/>
          <w:szCs w:val="21"/>
        </w:rPr>
        <w:tab/>
      </w:r>
      <w:r>
        <w:rPr>
          <w:rFonts w:hint="eastAsia" w:ascii="宋体" w:hAnsi="宋体" w:cs="宋体"/>
          <w:b/>
          <w:kern w:val="0"/>
          <w:szCs w:val="21"/>
        </w:rPr>
        <w:t>募集资金的管理情况</w:t>
      </w:r>
    </w:p>
    <w:p>
      <w:pPr>
        <w:widowControl/>
        <w:spacing w:line="360" w:lineRule="auto"/>
        <w:ind w:firstLine="420" w:firstLineChars="200"/>
        <w:rPr>
          <w:rFonts w:ascii="宋体" w:hAnsi="宋体"/>
          <w:kern w:val="0"/>
          <w:szCs w:val="21"/>
        </w:rPr>
      </w:pPr>
      <w:r>
        <w:rPr>
          <w:rFonts w:hint="eastAsia" w:ascii="宋体" w:hAnsi="宋体"/>
          <w:kern w:val="0"/>
          <w:szCs w:val="21"/>
        </w:rPr>
        <w:t>为了规范募集资金的管理和使用，保护投资者权益，本公司依照《中</w:t>
      </w:r>
      <w:r>
        <w:rPr>
          <w:rFonts w:ascii="宋体" w:hAnsi="宋体"/>
          <w:kern w:val="0"/>
          <w:szCs w:val="21"/>
        </w:rPr>
        <w:t>华人民共和国</w:t>
      </w:r>
      <w:r>
        <w:rPr>
          <w:rFonts w:hint="eastAsia" w:ascii="宋体" w:hAnsi="宋体"/>
          <w:kern w:val="0"/>
          <w:szCs w:val="21"/>
        </w:rPr>
        <w:t>公司法》、《中</w:t>
      </w:r>
      <w:r>
        <w:rPr>
          <w:rFonts w:ascii="宋体" w:hAnsi="宋体"/>
          <w:kern w:val="0"/>
          <w:szCs w:val="21"/>
        </w:rPr>
        <w:t>华人民共和国</w:t>
      </w:r>
      <w:r>
        <w:rPr>
          <w:rFonts w:hint="eastAsia" w:ascii="宋体" w:hAnsi="宋体"/>
          <w:kern w:val="0"/>
          <w:szCs w:val="21"/>
        </w:rPr>
        <w:t>证券法》、《上海证券交易所股票上市规则》、《上海证券交易所上市公司自律监管指引第1号——规范运作》等法律法规，结合公司实际情况，制定了《重庆望变电气（集团）股份有限公司募集资金管理制度》（以下简称“管理制度”），该《管理制度》经本公司</w:t>
      </w:r>
      <w:r>
        <w:rPr>
          <w:rFonts w:ascii="宋体" w:hAnsi="宋体"/>
          <w:kern w:val="0"/>
          <w:szCs w:val="21"/>
        </w:rPr>
        <w:t>2022</w:t>
      </w:r>
      <w:r>
        <w:rPr>
          <w:rFonts w:hint="eastAsia" w:ascii="宋体" w:hAnsi="宋体"/>
          <w:kern w:val="0"/>
          <w:szCs w:val="21"/>
        </w:rPr>
        <w:t>年第三届第十一次董事会审议通过，并业经本公司</w:t>
      </w:r>
      <w:r>
        <w:rPr>
          <w:rFonts w:ascii="宋体" w:hAnsi="宋体"/>
          <w:kern w:val="0"/>
          <w:szCs w:val="21"/>
        </w:rPr>
        <w:t>2022</w:t>
      </w:r>
      <w:r>
        <w:rPr>
          <w:rFonts w:hint="eastAsia" w:ascii="宋体" w:hAnsi="宋体"/>
          <w:kern w:val="0"/>
          <w:szCs w:val="21"/>
        </w:rPr>
        <w:t>年第一次临时股东大会表决通过。</w:t>
      </w:r>
    </w:p>
    <w:p>
      <w:pPr>
        <w:widowControl/>
        <w:spacing w:line="360" w:lineRule="auto"/>
        <w:ind w:firstLine="420" w:firstLineChars="200"/>
        <w:rPr>
          <w:rFonts w:ascii="宋体" w:hAnsi="宋体"/>
          <w:kern w:val="0"/>
          <w:szCs w:val="21"/>
        </w:rPr>
      </w:pPr>
      <w:r>
        <w:rPr>
          <w:rFonts w:hint="eastAsia" w:ascii="宋体" w:hAnsi="宋体"/>
          <w:kern w:val="0"/>
          <w:szCs w:val="21"/>
        </w:rPr>
        <w:t>根据《管理制度》的要求，并结合公司经营需要，本公司分别在招商银行股份有限公司重庆长寿支行（该专户已于2022年6月22日注销）、重庆三峡银行股份有限公司长寿支行、上海浦东发展银行股份有限公司重庆分行、中信银行重庆分行营业部（该专户已于2023年10月13日注销）、中国农业银行股份有限公司重庆长寿支行（该专户已于2023年6月26日注销）、哈尔滨银行股份有限公司重庆分行</w:t>
      </w:r>
      <w:r>
        <w:rPr>
          <w:rFonts w:ascii="宋体" w:hAnsi="宋体"/>
          <w:kern w:val="0"/>
          <w:szCs w:val="21"/>
        </w:rPr>
        <w:t>开设</w:t>
      </w:r>
      <w:r>
        <w:rPr>
          <w:rFonts w:hint="eastAsia" w:ascii="宋体" w:hAnsi="宋体"/>
          <w:kern w:val="0"/>
          <w:szCs w:val="21"/>
        </w:rPr>
        <w:t>募集</w:t>
      </w:r>
      <w:r>
        <w:rPr>
          <w:rFonts w:ascii="宋体" w:hAnsi="宋体"/>
          <w:kern w:val="0"/>
          <w:szCs w:val="21"/>
        </w:rPr>
        <w:t>资金</w:t>
      </w:r>
      <w:r>
        <w:rPr>
          <w:rFonts w:hint="eastAsia" w:ascii="宋体" w:hAnsi="宋体"/>
          <w:kern w:val="0"/>
          <w:szCs w:val="21"/>
        </w:rPr>
        <w:t>专</w:t>
      </w:r>
      <w:r>
        <w:rPr>
          <w:rFonts w:ascii="宋体" w:hAnsi="宋体"/>
          <w:kern w:val="0"/>
          <w:szCs w:val="21"/>
        </w:rPr>
        <w:t>项账户</w:t>
      </w:r>
      <w:r>
        <w:rPr>
          <w:rFonts w:hint="eastAsia" w:ascii="宋体" w:hAnsi="宋体"/>
          <w:kern w:val="0"/>
          <w:szCs w:val="21"/>
        </w:rPr>
        <w:t>，</w:t>
      </w:r>
      <w:r>
        <w:rPr>
          <w:rFonts w:ascii="宋体" w:hAnsi="宋体"/>
          <w:kern w:val="0"/>
          <w:szCs w:val="21"/>
        </w:rPr>
        <w:t>并</w:t>
      </w:r>
      <w:r>
        <w:rPr>
          <w:rFonts w:hint="eastAsia" w:ascii="宋体" w:hAnsi="宋体"/>
          <w:kern w:val="0"/>
          <w:szCs w:val="21"/>
        </w:rPr>
        <w:t>于</w:t>
      </w:r>
      <w:r>
        <w:rPr>
          <w:rFonts w:ascii="宋体" w:hAnsi="宋体"/>
          <w:kern w:val="0"/>
          <w:szCs w:val="21"/>
        </w:rPr>
        <w:t>2022</w:t>
      </w:r>
      <w:r>
        <w:rPr>
          <w:rFonts w:hint="eastAsia" w:ascii="宋体" w:hAnsi="宋体"/>
          <w:kern w:val="0"/>
          <w:szCs w:val="21"/>
        </w:rPr>
        <w:t>年4月1</w:t>
      </w:r>
      <w:r>
        <w:rPr>
          <w:rFonts w:ascii="宋体" w:hAnsi="宋体"/>
          <w:kern w:val="0"/>
          <w:szCs w:val="21"/>
        </w:rPr>
        <w:t>8</w:t>
      </w:r>
      <w:r>
        <w:rPr>
          <w:rFonts w:hint="eastAsia" w:ascii="宋体" w:hAnsi="宋体"/>
          <w:kern w:val="0"/>
          <w:szCs w:val="21"/>
        </w:rPr>
        <w:t>日、2</w:t>
      </w:r>
      <w:r>
        <w:rPr>
          <w:rFonts w:ascii="宋体" w:hAnsi="宋体"/>
          <w:kern w:val="0"/>
          <w:szCs w:val="21"/>
        </w:rPr>
        <w:t>022</w:t>
      </w:r>
      <w:r>
        <w:rPr>
          <w:rFonts w:hint="eastAsia" w:ascii="宋体" w:hAnsi="宋体"/>
          <w:kern w:val="0"/>
          <w:szCs w:val="21"/>
        </w:rPr>
        <w:t>年</w:t>
      </w:r>
      <w:r>
        <w:rPr>
          <w:rFonts w:ascii="宋体" w:hAnsi="宋体"/>
          <w:kern w:val="0"/>
          <w:szCs w:val="21"/>
        </w:rPr>
        <w:t>7</w:t>
      </w:r>
      <w:r>
        <w:rPr>
          <w:rFonts w:hint="eastAsia" w:ascii="宋体" w:hAnsi="宋体"/>
          <w:kern w:val="0"/>
          <w:szCs w:val="21"/>
        </w:rPr>
        <w:t>月</w:t>
      </w:r>
      <w:r>
        <w:rPr>
          <w:rFonts w:ascii="宋体" w:hAnsi="宋体"/>
          <w:kern w:val="0"/>
          <w:szCs w:val="21"/>
        </w:rPr>
        <w:t>3</w:t>
      </w:r>
      <w:r>
        <w:rPr>
          <w:rFonts w:hint="eastAsia" w:ascii="宋体" w:hAnsi="宋体"/>
          <w:kern w:val="0"/>
          <w:szCs w:val="21"/>
        </w:rPr>
        <w:t>日</w:t>
      </w:r>
      <w:r>
        <w:rPr>
          <w:rFonts w:ascii="宋体" w:hAnsi="宋体"/>
          <w:kern w:val="0"/>
          <w:szCs w:val="21"/>
        </w:rPr>
        <w:t>与</w:t>
      </w:r>
      <w:r>
        <w:rPr>
          <w:rFonts w:hint="eastAsia" w:ascii="宋体" w:hAnsi="宋体"/>
          <w:kern w:val="0"/>
          <w:szCs w:val="21"/>
        </w:rPr>
        <w:t>中信证</w:t>
      </w:r>
      <w:r>
        <w:rPr>
          <w:rFonts w:ascii="宋体" w:hAnsi="宋体"/>
          <w:kern w:val="0"/>
          <w:szCs w:val="21"/>
        </w:rPr>
        <w:t>券</w:t>
      </w:r>
      <w:r>
        <w:rPr>
          <w:rFonts w:hint="eastAsia" w:ascii="宋体" w:hAnsi="宋体"/>
          <w:kern w:val="0"/>
          <w:szCs w:val="21"/>
        </w:rPr>
        <w:t>股</w:t>
      </w:r>
      <w:r>
        <w:rPr>
          <w:rFonts w:ascii="宋体" w:hAnsi="宋体"/>
          <w:kern w:val="0"/>
          <w:szCs w:val="21"/>
        </w:rPr>
        <w:t>份有限公司、</w:t>
      </w:r>
      <w:r>
        <w:rPr>
          <w:rFonts w:hint="eastAsia" w:ascii="宋体" w:hAnsi="宋体"/>
          <w:kern w:val="0"/>
          <w:szCs w:val="21"/>
        </w:rPr>
        <w:t>招商银行股份有限公司重庆长寿支行（该专户已于2022年6月22日注销）、重庆三峡银行股份有限公司长寿支行、上海浦东发展银行股份有限公司重庆分行、中信银行重庆分行营业部（该专户已于2023年10月13日注销）、中国农业银行股份有限公司重庆长寿支行（该专户已于2023年6月26日注销）、哈尔滨银行股份有限公司重庆分行</w:t>
      </w:r>
      <w:r>
        <w:rPr>
          <w:rFonts w:ascii="宋体" w:hAnsi="宋体"/>
          <w:kern w:val="0"/>
          <w:szCs w:val="21"/>
        </w:rPr>
        <w:t>签署了</w:t>
      </w:r>
      <w:r>
        <w:rPr>
          <w:rFonts w:hint="eastAsia" w:ascii="宋体" w:hAnsi="宋体"/>
          <w:kern w:val="0"/>
          <w:szCs w:val="21"/>
        </w:rPr>
        <w:t>《募集</w:t>
      </w:r>
      <w:r>
        <w:rPr>
          <w:rFonts w:ascii="宋体" w:hAnsi="宋体"/>
          <w:kern w:val="0"/>
          <w:szCs w:val="21"/>
        </w:rPr>
        <w:t>资金专户存储三方监管协议》</w:t>
      </w:r>
      <w:r>
        <w:rPr>
          <w:rFonts w:hint="eastAsia" w:ascii="宋体" w:hAnsi="宋体"/>
          <w:kern w:val="0"/>
          <w:szCs w:val="21"/>
        </w:rPr>
        <w:t>，并对募集资金的使用实行严格的审批手续，以保证专款专用；授权保荐代表人可以随时到开设募集资金专户的银行查询募集资金专户资料，并要求保荐人每半年对募集资金管理和使用情况至少进行现场调查一次。</w:t>
      </w:r>
    </w:p>
    <w:p>
      <w:pPr>
        <w:widowControl/>
        <w:spacing w:line="360" w:lineRule="auto"/>
        <w:ind w:firstLine="420" w:firstLineChars="200"/>
        <w:rPr>
          <w:rFonts w:ascii="宋体" w:hAnsi="宋体"/>
          <w:kern w:val="0"/>
          <w:szCs w:val="21"/>
        </w:rPr>
      </w:pPr>
      <w:r>
        <w:rPr>
          <w:rFonts w:hint="eastAsia" w:ascii="宋体" w:hAnsi="宋体"/>
          <w:kern w:val="0"/>
          <w:szCs w:val="21"/>
        </w:rPr>
        <w:t>协议相关签署时间请见下表：</w:t>
      </w:r>
    </w:p>
    <w:tbl>
      <w:tblPr>
        <w:tblStyle w:val="12"/>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2149"/>
        <w:gridCol w:w="1758"/>
        <w:gridCol w:w="1858"/>
        <w:gridCol w:w="1560"/>
        <w:gridCol w:w="107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340" w:hRule="atLeast"/>
          <w:tblHeader/>
        </w:trPr>
        <w:tc>
          <w:tcPr>
            <w:tcW w:w="1279"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项目名称</w:t>
            </w:r>
          </w:p>
        </w:tc>
        <w:tc>
          <w:tcPr>
            <w:tcW w:w="1046"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银行名称</w:t>
            </w:r>
          </w:p>
        </w:tc>
        <w:tc>
          <w:tcPr>
            <w:tcW w:w="1105"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账号</w:t>
            </w:r>
          </w:p>
        </w:tc>
        <w:tc>
          <w:tcPr>
            <w:tcW w:w="928"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协议签署日期</w:t>
            </w:r>
          </w:p>
        </w:tc>
        <w:tc>
          <w:tcPr>
            <w:tcW w:w="641"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协议有效期</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279"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智能成套电气设备产业基地建设项目</w:t>
            </w:r>
          </w:p>
        </w:tc>
        <w:tc>
          <w:tcPr>
            <w:tcW w:w="1046"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招商银行重庆分行长寿支行</w:t>
            </w:r>
          </w:p>
        </w:tc>
        <w:tc>
          <w:tcPr>
            <w:tcW w:w="1105"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r>
              <w:rPr>
                <w:rFonts w:ascii="Arial Narrow" w:hAnsi="Arial Narrow"/>
                <w:snapToGrid w:val="0"/>
                <w:kern w:val="0"/>
                <w:sz w:val="18"/>
                <w:szCs w:val="18"/>
              </w:rPr>
              <w:t>123905910610303</w:t>
            </w:r>
          </w:p>
        </w:tc>
        <w:tc>
          <w:tcPr>
            <w:tcW w:w="928" w:type="pct"/>
            <w:shd w:val="clear" w:color="auto" w:fill="auto"/>
            <w:vAlign w:val="center"/>
          </w:tcPr>
          <w:p>
            <w:pPr>
              <w:widowControl/>
              <w:adjustRightInd w:val="0"/>
              <w:snapToGrid w:val="0"/>
              <w:spacing w:line="240" w:lineRule="exact"/>
              <w:ind w:right="105"/>
              <w:jc w:val="center"/>
              <w:rPr>
                <w:rFonts w:ascii="Arial Narrow" w:hAnsi="Arial Narrow"/>
                <w:snapToGrid w:val="0"/>
                <w:kern w:val="0"/>
                <w:sz w:val="18"/>
                <w:szCs w:val="18"/>
              </w:rPr>
            </w:pPr>
            <w:r>
              <w:rPr>
                <w:rFonts w:ascii="Arial Narrow" w:hAnsi="Arial Narrow"/>
                <w:snapToGrid w:val="0"/>
                <w:kern w:val="0"/>
                <w:sz w:val="18"/>
                <w:szCs w:val="18"/>
              </w:rPr>
              <w:t>2022</w:t>
            </w:r>
            <w:r>
              <w:rPr>
                <w:rFonts w:hint="eastAsia" w:ascii="Arial Narrow" w:hAnsi="Arial Narrow"/>
                <w:snapToGrid w:val="0"/>
                <w:kern w:val="0"/>
                <w:sz w:val="18"/>
                <w:szCs w:val="18"/>
              </w:rPr>
              <w:t>年4月1</w:t>
            </w:r>
            <w:r>
              <w:rPr>
                <w:rFonts w:ascii="Arial Narrow" w:hAnsi="Arial Narrow"/>
                <w:snapToGrid w:val="0"/>
                <w:kern w:val="0"/>
                <w:sz w:val="18"/>
                <w:szCs w:val="18"/>
              </w:rPr>
              <w:t>8</w:t>
            </w:r>
            <w:r>
              <w:rPr>
                <w:rFonts w:hint="eastAsia" w:ascii="Arial Narrow" w:hAnsi="Arial Narrow"/>
                <w:snapToGrid w:val="0"/>
                <w:kern w:val="0"/>
                <w:sz w:val="18"/>
                <w:szCs w:val="18"/>
              </w:rPr>
              <w:t>日</w:t>
            </w:r>
          </w:p>
        </w:tc>
        <w:tc>
          <w:tcPr>
            <w:tcW w:w="641"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hint="eastAsia" w:ascii="Arial Narrow" w:hAnsi="Arial Narrow"/>
                <w:snapToGrid w:val="0"/>
                <w:kern w:val="0"/>
                <w:sz w:val="18"/>
                <w:szCs w:val="18"/>
              </w:rPr>
              <w:t>账户已注销</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279"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低铁损高磁感硅钢铁心智能制造项目</w:t>
            </w:r>
          </w:p>
        </w:tc>
        <w:tc>
          <w:tcPr>
            <w:tcW w:w="1046"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中信银行重庆分行营业部</w:t>
            </w:r>
          </w:p>
        </w:tc>
        <w:tc>
          <w:tcPr>
            <w:tcW w:w="1105"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r>
              <w:rPr>
                <w:rFonts w:ascii="Arial Narrow" w:hAnsi="Arial Narrow"/>
                <w:snapToGrid w:val="0"/>
                <w:kern w:val="0"/>
                <w:sz w:val="18"/>
                <w:szCs w:val="18"/>
              </w:rPr>
              <w:t>8111201012200530541</w:t>
            </w:r>
          </w:p>
        </w:tc>
        <w:tc>
          <w:tcPr>
            <w:tcW w:w="928" w:type="pct"/>
            <w:shd w:val="clear" w:color="auto" w:fill="auto"/>
            <w:vAlign w:val="center"/>
          </w:tcPr>
          <w:p>
            <w:pPr>
              <w:widowControl/>
              <w:adjustRightInd w:val="0"/>
              <w:snapToGrid w:val="0"/>
              <w:spacing w:line="240" w:lineRule="exact"/>
              <w:ind w:right="105"/>
              <w:jc w:val="center"/>
              <w:rPr>
                <w:rFonts w:ascii="Arial Narrow" w:hAnsi="Arial Narrow"/>
                <w:snapToGrid w:val="0"/>
                <w:kern w:val="0"/>
                <w:sz w:val="18"/>
                <w:szCs w:val="18"/>
              </w:rPr>
            </w:pPr>
            <w:r>
              <w:rPr>
                <w:rFonts w:ascii="Arial Narrow" w:hAnsi="Arial Narrow"/>
                <w:snapToGrid w:val="0"/>
                <w:kern w:val="0"/>
                <w:sz w:val="18"/>
                <w:szCs w:val="18"/>
              </w:rPr>
              <w:t>2022</w:t>
            </w:r>
            <w:r>
              <w:rPr>
                <w:rFonts w:hint="eastAsia" w:ascii="Arial Narrow" w:hAnsi="Arial Narrow"/>
                <w:snapToGrid w:val="0"/>
                <w:kern w:val="0"/>
                <w:sz w:val="18"/>
                <w:szCs w:val="18"/>
              </w:rPr>
              <w:t>年4月1</w:t>
            </w:r>
            <w:r>
              <w:rPr>
                <w:rFonts w:ascii="Arial Narrow" w:hAnsi="Arial Narrow"/>
                <w:snapToGrid w:val="0"/>
                <w:kern w:val="0"/>
                <w:sz w:val="18"/>
                <w:szCs w:val="18"/>
              </w:rPr>
              <w:t>8</w:t>
            </w:r>
            <w:r>
              <w:rPr>
                <w:rFonts w:hint="eastAsia" w:ascii="Arial Narrow" w:hAnsi="Arial Narrow"/>
                <w:snapToGrid w:val="0"/>
                <w:kern w:val="0"/>
                <w:sz w:val="18"/>
                <w:szCs w:val="18"/>
              </w:rPr>
              <w:t>日</w:t>
            </w:r>
          </w:p>
        </w:tc>
        <w:tc>
          <w:tcPr>
            <w:tcW w:w="641"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hint="eastAsia" w:ascii="Arial Narrow" w:hAnsi="Arial Narrow"/>
                <w:snapToGrid w:val="0"/>
                <w:kern w:val="0"/>
                <w:sz w:val="18"/>
                <w:szCs w:val="18"/>
              </w:rPr>
              <w:t>账户已注销</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279"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110kV及以下节能型变压器智能化工厂技改项目</w:t>
            </w:r>
          </w:p>
        </w:tc>
        <w:tc>
          <w:tcPr>
            <w:tcW w:w="1046"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重庆三峡银行股份有限公司长寿支行</w:t>
            </w:r>
          </w:p>
        </w:tc>
        <w:tc>
          <w:tcPr>
            <w:tcW w:w="1105"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r>
              <w:rPr>
                <w:rFonts w:ascii="Arial Narrow" w:hAnsi="Arial Narrow"/>
                <w:snapToGrid w:val="0"/>
                <w:kern w:val="0"/>
                <w:sz w:val="18"/>
                <w:szCs w:val="18"/>
              </w:rPr>
              <w:t>0153016820000020</w:t>
            </w:r>
          </w:p>
        </w:tc>
        <w:tc>
          <w:tcPr>
            <w:tcW w:w="928" w:type="pct"/>
            <w:shd w:val="clear" w:color="auto" w:fill="auto"/>
            <w:vAlign w:val="center"/>
          </w:tcPr>
          <w:p>
            <w:pPr>
              <w:widowControl/>
              <w:adjustRightInd w:val="0"/>
              <w:snapToGrid w:val="0"/>
              <w:spacing w:line="240" w:lineRule="exact"/>
              <w:ind w:right="105"/>
              <w:jc w:val="center"/>
              <w:rPr>
                <w:rFonts w:ascii="Arial Narrow" w:hAnsi="Arial Narrow"/>
                <w:snapToGrid w:val="0"/>
                <w:kern w:val="0"/>
                <w:sz w:val="18"/>
                <w:szCs w:val="18"/>
              </w:rPr>
            </w:pPr>
            <w:r>
              <w:rPr>
                <w:rFonts w:ascii="Arial Narrow" w:hAnsi="Arial Narrow"/>
                <w:snapToGrid w:val="0"/>
                <w:kern w:val="0"/>
                <w:sz w:val="18"/>
                <w:szCs w:val="18"/>
              </w:rPr>
              <w:t>2022</w:t>
            </w:r>
            <w:r>
              <w:rPr>
                <w:rFonts w:hint="eastAsia" w:ascii="Arial Narrow" w:hAnsi="Arial Narrow"/>
                <w:snapToGrid w:val="0"/>
                <w:kern w:val="0"/>
                <w:sz w:val="18"/>
                <w:szCs w:val="18"/>
              </w:rPr>
              <w:t>年4月1</w:t>
            </w:r>
            <w:r>
              <w:rPr>
                <w:rFonts w:ascii="Arial Narrow" w:hAnsi="Arial Narrow"/>
                <w:snapToGrid w:val="0"/>
                <w:kern w:val="0"/>
                <w:sz w:val="18"/>
                <w:szCs w:val="18"/>
              </w:rPr>
              <w:t>8</w:t>
            </w:r>
            <w:r>
              <w:rPr>
                <w:rFonts w:hint="eastAsia" w:ascii="Arial Narrow" w:hAnsi="Arial Narrow"/>
                <w:snapToGrid w:val="0"/>
                <w:kern w:val="0"/>
                <w:sz w:val="18"/>
                <w:szCs w:val="18"/>
              </w:rPr>
              <w:t>日</w:t>
            </w:r>
          </w:p>
        </w:tc>
        <w:tc>
          <w:tcPr>
            <w:tcW w:w="641"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hint="eastAsia" w:ascii="Arial Narrow" w:hAnsi="Arial Narrow"/>
                <w:snapToGrid w:val="0"/>
                <w:kern w:val="0"/>
                <w:sz w:val="18"/>
                <w:szCs w:val="18"/>
              </w:rPr>
              <w:t>现存有效</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279"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研发中心及信息化建设项目</w:t>
            </w:r>
          </w:p>
        </w:tc>
        <w:tc>
          <w:tcPr>
            <w:tcW w:w="1046"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浦发银行重庆长寿支行</w:t>
            </w:r>
          </w:p>
        </w:tc>
        <w:tc>
          <w:tcPr>
            <w:tcW w:w="1105"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r>
              <w:rPr>
                <w:rFonts w:ascii="Arial Narrow" w:hAnsi="Arial Narrow"/>
                <w:snapToGrid w:val="0"/>
                <w:kern w:val="0"/>
                <w:sz w:val="18"/>
                <w:szCs w:val="18"/>
              </w:rPr>
              <w:t>83260078801700000608</w:t>
            </w:r>
          </w:p>
        </w:tc>
        <w:tc>
          <w:tcPr>
            <w:tcW w:w="928" w:type="pct"/>
            <w:shd w:val="clear" w:color="auto" w:fill="auto"/>
            <w:vAlign w:val="center"/>
          </w:tcPr>
          <w:p>
            <w:pPr>
              <w:widowControl/>
              <w:adjustRightInd w:val="0"/>
              <w:snapToGrid w:val="0"/>
              <w:spacing w:line="240" w:lineRule="exact"/>
              <w:ind w:right="105"/>
              <w:jc w:val="center"/>
              <w:rPr>
                <w:rFonts w:ascii="Arial Narrow" w:hAnsi="Arial Narrow"/>
                <w:snapToGrid w:val="0"/>
                <w:kern w:val="0"/>
                <w:sz w:val="18"/>
                <w:szCs w:val="18"/>
              </w:rPr>
            </w:pPr>
            <w:r>
              <w:rPr>
                <w:rFonts w:ascii="Arial Narrow" w:hAnsi="Arial Narrow"/>
                <w:snapToGrid w:val="0"/>
                <w:kern w:val="0"/>
                <w:sz w:val="18"/>
                <w:szCs w:val="18"/>
              </w:rPr>
              <w:t>2022</w:t>
            </w:r>
            <w:r>
              <w:rPr>
                <w:rFonts w:hint="eastAsia" w:ascii="Arial Narrow" w:hAnsi="Arial Narrow"/>
                <w:snapToGrid w:val="0"/>
                <w:kern w:val="0"/>
                <w:sz w:val="18"/>
                <w:szCs w:val="18"/>
              </w:rPr>
              <w:t>年4月1</w:t>
            </w:r>
            <w:r>
              <w:rPr>
                <w:rFonts w:ascii="Arial Narrow" w:hAnsi="Arial Narrow"/>
                <w:snapToGrid w:val="0"/>
                <w:kern w:val="0"/>
                <w:sz w:val="18"/>
                <w:szCs w:val="18"/>
              </w:rPr>
              <w:t>8</w:t>
            </w:r>
            <w:r>
              <w:rPr>
                <w:rFonts w:hint="eastAsia" w:ascii="Arial Narrow" w:hAnsi="Arial Narrow"/>
                <w:snapToGrid w:val="0"/>
                <w:kern w:val="0"/>
                <w:sz w:val="18"/>
                <w:szCs w:val="18"/>
              </w:rPr>
              <w:t>日</w:t>
            </w:r>
          </w:p>
        </w:tc>
        <w:tc>
          <w:tcPr>
            <w:tcW w:w="641"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hint="eastAsia" w:ascii="Arial Narrow" w:hAnsi="Arial Narrow"/>
                <w:snapToGrid w:val="0"/>
                <w:kern w:val="0"/>
                <w:sz w:val="18"/>
                <w:szCs w:val="18"/>
              </w:rPr>
              <w:t>现存有效</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279"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补充流动资金</w:t>
            </w:r>
          </w:p>
        </w:tc>
        <w:tc>
          <w:tcPr>
            <w:tcW w:w="1046"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中国农业银行股份有限公司重庆长寿支行</w:t>
            </w:r>
          </w:p>
        </w:tc>
        <w:tc>
          <w:tcPr>
            <w:tcW w:w="1105"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r>
              <w:rPr>
                <w:rFonts w:ascii="Arial Narrow" w:hAnsi="Arial Narrow"/>
                <w:snapToGrid w:val="0"/>
                <w:kern w:val="0"/>
                <w:sz w:val="18"/>
                <w:szCs w:val="18"/>
              </w:rPr>
              <w:t>31130101040017435</w:t>
            </w:r>
          </w:p>
        </w:tc>
        <w:tc>
          <w:tcPr>
            <w:tcW w:w="928" w:type="pct"/>
            <w:shd w:val="clear" w:color="auto" w:fill="auto"/>
            <w:vAlign w:val="center"/>
          </w:tcPr>
          <w:p>
            <w:pPr>
              <w:widowControl/>
              <w:adjustRightInd w:val="0"/>
              <w:snapToGrid w:val="0"/>
              <w:spacing w:line="240" w:lineRule="exact"/>
              <w:ind w:right="105"/>
              <w:jc w:val="center"/>
              <w:rPr>
                <w:rFonts w:ascii="Arial Narrow" w:hAnsi="Arial Narrow"/>
                <w:snapToGrid w:val="0"/>
                <w:kern w:val="0"/>
                <w:sz w:val="18"/>
                <w:szCs w:val="18"/>
              </w:rPr>
            </w:pPr>
            <w:r>
              <w:rPr>
                <w:rFonts w:ascii="Arial Narrow" w:hAnsi="Arial Narrow"/>
                <w:snapToGrid w:val="0"/>
                <w:kern w:val="0"/>
                <w:sz w:val="18"/>
                <w:szCs w:val="18"/>
              </w:rPr>
              <w:t>2022</w:t>
            </w:r>
            <w:r>
              <w:rPr>
                <w:rFonts w:hint="eastAsia" w:ascii="Arial Narrow" w:hAnsi="Arial Narrow"/>
                <w:snapToGrid w:val="0"/>
                <w:kern w:val="0"/>
                <w:sz w:val="18"/>
                <w:szCs w:val="18"/>
              </w:rPr>
              <w:t>年4月1</w:t>
            </w:r>
            <w:r>
              <w:rPr>
                <w:rFonts w:ascii="Arial Narrow" w:hAnsi="Arial Narrow"/>
                <w:snapToGrid w:val="0"/>
                <w:kern w:val="0"/>
                <w:sz w:val="18"/>
                <w:szCs w:val="18"/>
              </w:rPr>
              <w:t>8</w:t>
            </w:r>
            <w:r>
              <w:rPr>
                <w:rFonts w:hint="eastAsia" w:ascii="Arial Narrow" w:hAnsi="Arial Narrow"/>
                <w:snapToGrid w:val="0"/>
                <w:kern w:val="0"/>
                <w:sz w:val="18"/>
                <w:szCs w:val="18"/>
              </w:rPr>
              <w:t>日</w:t>
            </w:r>
          </w:p>
        </w:tc>
        <w:tc>
          <w:tcPr>
            <w:tcW w:w="641"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hint="eastAsia" w:ascii="Arial Narrow" w:hAnsi="Arial Narrow"/>
                <w:snapToGrid w:val="0"/>
                <w:kern w:val="0"/>
                <w:sz w:val="18"/>
                <w:szCs w:val="18"/>
              </w:rPr>
              <w:t>账户已注销</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279"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智能成套电气设备产业基地建设项目/智控设备及金属制品智能工厂建设项目（一期）</w:t>
            </w:r>
          </w:p>
        </w:tc>
        <w:tc>
          <w:tcPr>
            <w:tcW w:w="1046"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哈尔滨银行股份有限公司重庆分行</w:t>
            </w:r>
          </w:p>
        </w:tc>
        <w:tc>
          <w:tcPr>
            <w:tcW w:w="1105"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r>
              <w:rPr>
                <w:rFonts w:ascii="Arial Narrow" w:hAnsi="Arial Narrow"/>
                <w:snapToGrid w:val="0"/>
                <w:kern w:val="0"/>
                <w:sz w:val="18"/>
                <w:szCs w:val="18"/>
              </w:rPr>
              <w:t>18010000001689409</w:t>
            </w:r>
          </w:p>
        </w:tc>
        <w:tc>
          <w:tcPr>
            <w:tcW w:w="928" w:type="pct"/>
            <w:shd w:val="clear" w:color="auto" w:fill="auto"/>
            <w:vAlign w:val="center"/>
          </w:tcPr>
          <w:p>
            <w:pPr>
              <w:widowControl/>
              <w:adjustRightInd w:val="0"/>
              <w:snapToGrid w:val="0"/>
              <w:spacing w:line="240" w:lineRule="exact"/>
              <w:ind w:right="105"/>
              <w:jc w:val="center"/>
              <w:rPr>
                <w:rFonts w:ascii="Arial Narrow" w:hAnsi="Arial Narrow"/>
                <w:snapToGrid w:val="0"/>
                <w:kern w:val="0"/>
                <w:sz w:val="18"/>
                <w:szCs w:val="18"/>
              </w:rPr>
            </w:pPr>
            <w:r>
              <w:rPr>
                <w:rFonts w:ascii="Arial Narrow" w:hAnsi="Arial Narrow"/>
                <w:snapToGrid w:val="0"/>
                <w:kern w:val="0"/>
                <w:sz w:val="18"/>
                <w:szCs w:val="18"/>
              </w:rPr>
              <w:t>2022</w:t>
            </w:r>
            <w:r>
              <w:rPr>
                <w:rFonts w:hint="eastAsia" w:ascii="Arial Narrow" w:hAnsi="Arial Narrow"/>
                <w:snapToGrid w:val="0"/>
                <w:kern w:val="0"/>
                <w:sz w:val="18"/>
                <w:szCs w:val="18"/>
              </w:rPr>
              <w:t>年</w:t>
            </w:r>
            <w:r>
              <w:rPr>
                <w:rFonts w:ascii="Arial Narrow" w:hAnsi="Arial Narrow"/>
                <w:snapToGrid w:val="0"/>
                <w:kern w:val="0"/>
                <w:sz w:val="18"/>
                <w:szCs w:val="18"/>
              </w:rPr>
              <w:t>7</w:t>
            </w:r>
            <w:r>
              <w:rPr>
                <w:rFonts w:hint="eastAsia" w:ascii="Arial Narrow" w:hAnsi="Arial Narrow"/>
                <w:snapToGrid w:val="0"/>
                <w:kern w:val="0"/>
                <w:sz w:val="18"/>
                <w:szCs w:val="18"/>
              </w:rPr>
              <w:t>月</w:t>
            </w:r>
            <w:r>
              <w:rPr>
                <w:rFonts w:ascii="Arial Narrow" w:hAnsi="Arial Narrow"/>
                <w:snapToGrid w:val="0"/>
                <w:kern w:val="0"/>
                <w:sz w:val="18"/>
                <w:szCs w:val="18"/>
              </w:rPr>
              <w:t>3</w:t>
            </w:r>
            <w:r>
              <w:rPr>
                <w:rFonts w:hint="eastAsia" w:ascii="Arial Narrow" w:hAnsi="Arial Narrow"/>
                <w:snapToGrid w:val="0"/>
                <w:kern w:val="0"/>
                <w:sz w:val="18"/>
                <w:szCs w:val="18"/>
              </w:rPr>
              <w:t>日</w:t>
            </w:r>
          </w:p>
        </w:tc>
        <w:tc>
          <w:tcPr>
            <w:tcW w:w="641"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hint="eastAsia" w:ascii="Arial Narrow" w:hAnsi="Arial Narrow"/>
                <w:snapToGrid w:val="0"/>
                <w:kern w:val="0"/>
                <w:sz w:val="18"/>
                <w:szCs w:val="18"/>
              </w:rPr>
              <w:t>现存有效</w:t>
            </w:r>
          </w:p>
        </w:tc>
      </w:tr>
    </w:tbl>
    <w:p>
      <w:pPr>
        <w:widowControl/>
        <w:spacing w:before="120" w:beforeLines="50" w:line="360" w:lineRule="auto"/>
        <w:ind w:firstLine="420" w:firstLineChars="200"/>
        <w:outlineLvl w:val="1"/>
        <w:rPr>
          <w:rFonts w:ascii="宋体" w:hAnsi="宋体"/>
          <w:kern w:val="0"/>
          <w:szCs w:val="21"/>
        </w:rPr>
      </w:pPr>
      <w:r>
        <w:rPr>
          <w:rFonts w:hint="eastAsia" w:ascii="宋体" w:hAnsi="宋体"/>
          <w:kern w:val="0"/>
          <w:szCs w:val="21"/>
        </w:rPr>
        <w:t>公司为进一步提高募集资金使用效率，公司于2022年6月22日对在招商银行股份有限公司重庆长寿支行开立的募集资金专用账户予以注销，并在哈尔滨银行股份有限公司重庆分行开设了新的募集资金专用账户，该事项于2022年6月15日召开的第三届董事会第十二次会议和第三届监事会第十次会议中分别审议予以通过。</w:t>
      </w:r>
    </w:p>
    <w:p>
      <w:pPr>
        <w:widowControl/>
        <w:spacing w:line="360" w:lineRule="auto"/>
        <w:ind w:firstLine="420" w:firstLineChars="200"/>
        <w:rPr>
          <w:rFonts w:ascii="宋体" w:hAnsi="宋体"/>
          <w:kern w:val="0"/>
          <w:szCs w:val="21"/>
        </w:rPr>
      </w:pPr>
      <w:r>
        <w:rPr>
          <w:rFonts w:hint="eastAsia" w:ascii="宋体" w:hAnsi="宋体"/>
          <w:kern w:val="0"/>
          <w:szCs w:val="21"/>
        </w:rPr>
        <w:t>变更详情见下表：</w:t>
      </w:r>
    </w:p>
    <w:tbl>
      <w:tblPr>
        <w:tblStyle w:val="12"/>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2007"/>
        <w:gridCol w:w="3242"/>
        <w:gridCol w:w="315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340" w:hRule="atLeast"/>
          <w:tblHeader/>
        </w:trPr>
        <w:tc>
          <w:tcPr>
            <w:tcW w:w="1194"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hint="eastAsia" w:ascii="Arial Narrow" w:hAnsi="Arial Narrow"/>
                <w:snapToGrid w:val="0"/>
                <w:kern w:val="0"/>
                <w:sz w:val="18"/>
                <w:szCs w:val="18"/>
              </w:rPr>
              <w:t>项目名称</w:t>
            </w:r>
          </w:p>
        </w:tc>
        <w:tc>
          <w:tcPr>
            <w:tcW w:w="1929"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hint="eastAsia" w:ascii="Arial Narrow" w:hAnsi="Arial Narrow"/>
                <w:snapToGrid w:val="0"/>
                <w:kern w:val="0"/>
                <w:sz w:val="18"/>
                <w:szCs w:val="18"/>
              </w:rPr>
              <w:t>变更前</w:t>
            </w:r>
          </w:p>
        </w:tc>
        <w:tc>
          <w:tcPr>
            <w:tcW w:w="1877"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hint="eastAsia" w:ascii="Arial Narrow" w:hAnsi="Arial Narrow"/>
                <w:snapToGrid w:val="0"/>
                <w:kern w:val="0"/>
                <w:sz w:val="18"/>
                <w:szCs w:val="18"/>
              </w:rPr>
              <w:t>变更后</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194" w:type="pct"/>
            <w:vMerge w:val="restar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智能成套电气设备产业基地建设项目</w:t>
            </w:r>
          </w:p>
        </w:tc>
        <w:tc>
          <w:tcPr>
            <w:tcW w:w="1929"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r>
              <w:rPr>
                <w:rFonts w:hint="eastAsia" w:ascii="Arial Narrow" w:hAnsi="Arial Narrow"/>
                <w:snapToGrid w:val="0"/>
                <w:kern w:val="0"/>
                <w:sz w:val="18"/>
                <w:szCs w:val="18"/>
              </w:rPr>
              <w:t>招商银行股份有限公司重庆长寿支行</w:t>
            </w:r>
          </w:p>
        </w:tc>
        <w:tc>
          <w:tcPr>
            <w:tcW w:w="1877"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哈尔滨银行股份有限公司重庆分行</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194" w:type="pct"/>
            <w:vMerge w:val="continue"/>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p>
        </w:tc>
        <w:tc>
          <w:tcPr>
            <w:tcW w:w="1929"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r>
              <w:rPr>
                <w:rFonts w:ascii="Arial Narrow" w:hAnsi="Arial Narrow"/>
                <w:snapToGrid w:val="0"/>
                <w:kern w:val="0"/>
                <w:sz w:val="18"/>
                <w:szCs w:val="18"/>
              </w:rPr>
              <w:t>123905910610303</w:t>
            </w:r>
          </w:p>
        </w:tc>
        <w:tc>
          <w:tcPr>
            <w:tcW w:w="1877"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ascii="Arial Narrow" w:hAnsi="Arial Narrow"/>
                <w:snapToGrid w:val="0"/>
                <w:kern w:val="0"/>
                <w:sz w:val="18"/>
                <w:szCs w:val="18"/>
              </w:rPr>
              <w:t>18010000001689409</w:t>
            </w:r>
          </w:p>
        </w:tc>
      </w:tr>
    </w:tbl>
    <w:p>
      <w:pPr>
        <w:widowControl/>
        <w:spacing w:line="360" w:lineRule="auto"/>
        <w:ind w:firstLine="420" w:firstLineChars="200"/>
        <w:rPr>
          <w:rFonts w:ascii="宋体" w:hAnsi="宋体"/>
          <w:kern w:val="0"/>
          <w:szCs w:val="21"/>
        </w:rPr>
      </w:pPr>
      <w:r>
        <w:rPr>
          <w:rFonts w:hint="eastAsia" w:ascii="宋体" w:hAnsi="宋体"/>
          <w:kern w:val="0"/>
          <w:szCs w:val="21"/>
        </w:rPr>
        <w:t>根据本公司与中信证券股份有限公司签订的《保荐协议》，公司1次或1</w:t>
      </w:r>
      <w:r>
        <w:rPr>
          <w:rFonts w:ascii="宋体" w:hAnsi="宋体"/>
          <w:kern w:val="0"/>
          <w:szCs w:val="21"/>
        </w:rPr>
        <w:t>2</w:t>
      </w:r>
      <w:r>
        <w:rPr>
          <w:rFonts w:hint="eastAsia" w:ascii="宋体" w:hAnsi="宋体"/>
          <w:kern w:val="0"/>
          <w:szCs w:val="21"/>
        </w:rPr>
        <w:t>个月以内累计从募集资金专户中支取的金额超过</w:t>
      </w:r>
      <w:r>
        <w:rPr>
          <w:rFonts w:ascii="宋体" w:hAnsi="宋体"/>
          <w:kern w:val="0"/>
          <w:szCs w:val="21"/>
        </w:rPr>
        <w:t>5,000</w:t>
      </w:r>
      <w:r>
        <w:rPr>
          <w:rFonts w:hint="eastAsia" w:ascii="宋体" w:hAnsi="宋体"/>
          <w:kern w:val="0"/>
          <w:szCs w:val="21"/>
        </w:rPr>
        <w:t>万元且达到发行募集资金总额扣除发行费用后的净额的2</w:t>
      </w:r>
      <w:r>
        <w:rPr>
          <w:rFonts w:ascii="宋体" w:hAnsi="宋体"/>
          <w:kern w:val="0"/>
          <w:szCs w:val="21"/>
        </w:rPr>
        <w:t>0%</w:t>
      </w:r>
      <w:r>
        <w:rPr>
          <w:rFonts w:hint="eastAsia" w:ascii="宋体" w:hAnsi="宋体"/>
          <w:kern w:val="0"/>
          <w:szCs w:val="21"/>
        </w:rPr>
        <w:t>的，公司应当以书面形式知会保荐代表人。</w:t>
      </w:r>
    </w:p>
    <w:p>
      <w:pPr>
        <w:widowControl/>
        <w:spacing w:line="360" w:lineRule="auto"/>
        <w:ind w:firstLine="420" w:firstLineChars="200"/>
        <w:rPr>
          <w:rFonts w:ascii="宋体" w:hAnsi="宋体"/>
          <w:kern w:val="0"/>
          <w:szCs w:val="21"/>
        </w:rPr>
      </w:pPr>
      <w:r>
        <w:rPr>
          <w:rFonts w:hint="eastAsia" w:ascii="宋体" w:hAnsi="宋体"/>
          <w:kern w:val="0"/>
          <w:szCs w:val="21"/>
        </w:rPr>
        <w:t>截至2023年12月31日止，募集资金的存储情况列示如下：</w:t>
      </w:r>
    </w:p>
    <w:p>
      <w:pPr>
        <w:widowControl/>
        <w:spacing w:line="360" w:lineRule="auto"/>
        <w:ind w:firstLine="420" w:firstLineChars="200"/>
        <w:jc w:val="right"/>
        <w:rPr>
          <w:rFonts w:ascii="宋体" w:hAnsi="宋体"/>
          <w:kern w:val="0"/>
          <w:szCs w:val="21"/>
        </w:rPr>
      </w:pPr>
      <w:r>
        <w:rPr>
          <w:rFonts w:hint="eastAsia" w:ascii="宋体" w:hAnsi="宋体"/>
          <w:kern w:val="0"/>
          <w:szCs w:val="21"/>
        </w:rPr>
        <w:t>金额单位：人民币元</w:t>
      </w:r>
    </w:p>
    <w:tbl>
      <w:tblPr>
        <w:tblStyle w:val="12"/>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2292"/>
        <w:gridCol w:w="1778"/>
        <w:gridCol w:w="1529"/>
        <w:gridCol w:w="1529"/>
        <w:gridCol w:w="127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340" w:hRule="atLeast"/>
          <w:tblHeader/>
        </w:trPr>
        <w:tc>
          <w:tcPr>
            <w:tcW w:w="1364"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银行名称</w:t>
            </w:r>
          </w:p>
        </w:tc>
        <w:tc>
          <w:tcPr>
            <w:tcW w:w="1058"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账号</w:t>
            </w:r>
          </w:p>
        </w:tc>
        <w:tc>
          <w:tcPr>
            <w:tcW w:w="910"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初时存放金额</w:t>
            </w:r>
          </w:p>
        </w:tc>
        <w:tc>
          <w:tcPr>
            <w:tcW w:w="910"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期末余额</w:t>
            </w:r>
          </w:p>
        </w:tc>
        <w:tc>
          <w:tcPr>
            <w:tcW w:w="758"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存储方式</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364"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招商银行重庆分行长寿支行</w:t>
            </w:r>
          </w:p>
        </w:tc>
        <w:tc>
          <w:tcPr>
            <w:tcW w:w="10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ascii="Arial Narrow" w:hAnsi="Arial Narrow"/>
                <w:snapToGrid w:val="0"/>
                <w:kern w:val="0"/>
                <w:sz w:val="18"/>
                <w:szCs w:val="18"/>
              </w:rPr>
              <w:t>123905910610303</w:t>
            </w:r>
          </w:p>
        </w:tc>
        <w:tc>
          <w:tcPr>
            <w:tcW w:w="910"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8"/>
              </w:rPr>
            </w:pPr>
            <w:r>
              <w:rPr>
                <w:rFonts w:ascii="Arial Narrow" w:hAnsi="Arial Narrow"/>
                <w:snapToGrid w:val="0"/>
                <w:kern w:val="0"/>
                <w:sz w:val="18"/>
                <w:szCs w:val="18"/>
              </w:rPr>
              <w:t>390,429,100.00</w:t>
            </w:r>
          </w:p>
        </w:tc>
        <w:tc>
          <w:tcPr>
            <w:tcW w:w="910"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p>
        </w:tc>
        <w:tc>
          <w:tcPr>
            <w:tcW w:w="7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账户已注销</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364"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中信银行重庆分行营业部</w:t>
            </w:r>
          </w:p>
        </w:tc>
        <w:tc>
          <w:tcPr>
            <w:tcW w:w="10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ascii="Arial Narrow" w:hAnsi="Arial Narrow"/>
                <w:snapToGrid w:val="0"/>
                <w:kern w:val="0"/>
                <w:sz w:val="18"/>
                <w:szCs w:val="18"/>
              </w:rPr>
              <w:t>8111201012200530541</w:t>
            </w:r>
          </w:p>
        </w:tc>
        <w:tc>
          <w:tcPr>
            <w:tcW w:w="910"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8"/>
              </w:rPr>
            </w:pPr>
            <w:r>
              <w:rPr>
                <w:rFonts w:ascii="Arial Narrow" w:hAnsi="Arial Narrow"/>
                <w:snapToGrid w:val="0"/>
                <w:kern w:val="0"/>
                <w:sz w:val="18"/>
                <w:szCs w:val="18"/>
              </w:rPr>
              <w:t>128,326</w:t>
            </w:r>
            <w:r>
              <w:rPr>
                <w:rFonts w:hint="eastAsia" w:ascii="Arial Narrow" w:hAnsi="Arial Narrow"/>
                <w:snapToGrid w:val="0"/>
                <w:kern w:val="0"/>
                <w:sz w:val="18"/>
                <w:szCs w:val="18"/>
              </w:rPr>
              <w:t>,</w:t>
            </w:r>
            <w:r>
              <w:rPr>
                <w:rFonts w:ascii="Arial Narrow" w:hAnsi="Arial Narrow"/>
                <w:snapToGrid w:val="0"/>
                <w:kern w:val="0"/>
                <w:sz w:val="18"/>
                <w:szCs w:val="18"/>
              </w:rPr>
              <w:t>800.00</w:t>
            </w:r>
          </w:p>
        </w:tc>
        <w:tc>
          <w:tcPr>
            <w:tcW w:w="910"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p>
        </w:tc>
        <w:tc>
          <w:tcPr>
            <w:tcW w:w="7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账户已注销</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364"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重庆三峡银行股份有限公司长寿支行</w:t>
            </w:r>
          </w:p>
        </w:tc>
        <w:tc>
          <w:tcPr>
            <w:tcW w:w="10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ascii="Arial Narrow" w:hAnsi="Arial Narrow"/>
                <w:snapToGrid w:val="0"/>
                <w:kern w:val="0"/>
                <w:sz w:val="18"/>
                <w:szCs w:val="18"/>
              </w:rPr>
              <w:t>0153016820000020</w:t>
            </w:r>
          </w:p>
        </w:tc>
        <w:tc>
          <w:tcPr>
            <w:tcW w:w="910"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8"/>
              </w:rPr>
            </w:pPr>
            <w:r>
              <w:rPr>
                <w:rFonts w:ascii="Arial Narrow" w:hAnsi="Arial Narrow"/>
                <w:snapToGrid w:val="0"/>
                <w:kern w:val="0"/>
                <w:sz w:val="18"/>
                <w:szCs w:val="18"/>
              </w:rPr>
              <w:t>73,305,900.00</w:t>
            </w:r>
          </w:p>
        </w:tc>
        <w:tc>
          <w:tcPr>
            <w:tcW w:w="910"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8"/>
              </w:rPr>
            </w:pPr>
            <w:r>
              <w:rPr>
                <w:rFonts w:ascii="Arial Narrow" w:hAnsi="Arial Narrow"/>
                <w:snapToGrid w:val="0"/>
                <w:kern w:val="0"/>
                <w:sz w:val="18"/>
                <w:szCs w:val="18"/>
              </w:rPr>
              <w:t>42,888,555.15</w:t>
            </w:r>
          </w:p>
        </w:tc>
        <w:tc>
          <w:tcPr>
            <w:tcW w:w="7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活期存款/活期协议存款</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364"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浦发银行重庆长寿支行</w:t>
            </w:r>
          </w:p>
        </w:tc>
        <w:tc>
          <w:tcPr>
            <w:tcW w:w="10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ascii="Arial Narrow" w:hAnsi="Arial Narrow"/>
                <w:snapToGrid w:val="0"/>
                <w:kern w:val="0"/>
                <w:sz w:val="18"/>
                <w:szCs w:val="18"/>
              </w:rPr>
              <w:t>83260078801700000608</w:t>
            </w:r>
          </w:p>
        </w:tc>
        <w:tc>
          <w:tcPr>
            <w:tcW w:w="910"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8"/>
              </w:rPr>
            </w:pPr>
            <w:r>
              <w:rPr>
                <w:rFonts w:ascii="Arial Narrow" w:hAnsi="Arial Narrow"/>
                <w:snapToGrid w:val="0"/>
                <w:kern w:val="0"/>
                <w:sz w:val="18"/>
                <w:szCs w:val="18"/>
              </w:rPr>
              <w:t>62,500,000.00</w:t>
            </w:r>
          </w:p>
        </w:tc>
        <w:tc>
          <w:tcPr>
            <w:tcW w:w="910"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8"/>
              </w:rPr>
            </w:pPr>
            <w:r>
              <w:rPr>
                <w:rFonts w:ascii="Arial Narrow" w:hAnsi="Arial Narrow"/>
                <w:snapToGrid w:val="0"/>
                <w:kern w:val="0"/>
                <w:sz w:val="18"/>
                <w:szCs w:val="18"/>
              </w:rPr>
              <w:t>35,253,303.32</w:t>
            </w:r>
          </w:p>
        </w:tc>
        <w:tc>
          <w:tcPr>
            <w:tcW w:w="7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活期存款/活期协议存款</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364"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中国农业银行股份有限公司重庆长寿支行</w:t>
            </w:r>
          </w:p>
        </w:tc>
        <w:tc>
          <w:tcPr>
            <w:tcW w:w="10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ascii="Arial Narrow" w:hAnsi="Arial Narrow"/>
                <w:snapToGrid w:val="0"/>
                <w:kern w:val="0"/>
                <w:sz w:val="18"/>
                <w:szCs w:val="18"/>
              </w:rPr>
              <w:t>31130101040017435</w:t>
            </w:r>
          </w:p>
        </w:tc>
        <w:tc>
          <w:tcPr>
            <w:tcW w:w="910"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8"/>
              </w:rPr>
            </w:pPr>
            <w:r>
              <w:rPr>
                <w:rFonts w:ascii="Arial Narrow" w:hAnsi="Arial Narrow"/>
                <w:snapToGrid w:val="0"/>
                <w:kern w:val="0"/>
                <w:sz w:val="18"/>
                <w:szCs w:val="18"/>
              </w:rPr>
              <w:t>229,864,470.38</w:t>
            </w:r>
          </w:p>
        </w:tc>
        <w:tc>
          <w:tcPr>
            <w:tcW w:w="910"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p>
        </w:tc>
        <w:tc>
          <w:tcPr>
            <w:tcW w:w="7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账户已注销</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364"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哈尔滨银行股份有限公司重庆分行</w:t>
            </w:r>
          </w:p>
        </w:tc>
        <w:tc>
          <w:tcPr>
            <w:tcW w:w="10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ascii="Arial Narrow" w:hAnsi="Arial Narrow"/>
                <w:snapToGrid w:val="0"/>
                <w:kern w:val="0"/>
                <w:sz w:val="18"/>
                <w:szCs w:val="18"/>
              </w:rPr>
              <w:t>18010000001689409</w:t>
            </w:r>
          </w:p>
        </w:tc>
        <w:tc>
          <w:tcPr>
            <w:tcW w:w="910"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8"/>
              </w:rPr>
            </w:pPr>
          </w:p>
        </w:tc>
        <w:tc>
          <w:tcPr>
            <w:tcW w:w="910"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8"/>
              </w:rPr>
            </w:pPr>
            <w:r>
              <w:rPr>
                <w:rFonts w:ascii="Arial Narrow" w:hAnsi="Arial Narrow"/>
                <w:snapToGrid w:val="0"/>
                <w:kern w:val="0"/>
                <w:sz w:val="18"/>
                <w:szCs w:val="18"/>
              </w:rPr>
              <w:t>216,538,109.08</w:t>
            </w:r>
          </w:p>
        </w:tc>
        <w:tc>
          <w:tcPr>
            <w:tcW w:w="7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活期协议存款</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364"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hint="eastAsia" w:ascii="Arial Narrow" w:hAnsi="Arial Narrow"/>
                <w:snapToGrid w:val="0"/>
                <w:kern w:val="0"/>
                <w:sz w:val="18"/>
                <w:szCs w:val="18"/>
              </w:rPr>
              <w:t>合 计</w:t>
            </w:r>
          </w:p>
        </w:tc>
        <w:tc>
          <w:tcPr>
            <w:tcW w:w="1058"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p>
        </w:tc>
        <w:tc>
          <w:tcPr>
            <w:tcW w:w="910"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8"/>
              </w:rPr>
            </w:pPr>
            <w:r>
              <w:rPr>
                <w:rFonts w:ascii="Arial Narrow" w:hAnsi="Arial Narrow"/>
                <w:snapToGrid w:val="0"/>
                <w:kern w:val="0"/>
                <w:sz w:val="18"/>
                <w:szCs w:val="18"/>
              </w:rPr>
              <w:t>884,426,270.38</w:t>
            </w:r>
          </w:p>
        </w:tc>
        <w:tc>
          <w:tcPr>
            <w:tcW w:w="910"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8"/>
              </w:rPr>
            </w:pPr>
            <w:r>
              <w:rPr>
                <w:rFonts w:ascii="Arial Narrow" w:hAnsi="Arial Narrow"/>
                <w:snapToGrid w:val="0"/>
                <w:kern w:val="0"/>
                <w:sz w:val="18"/>
                <w:szCs w:val="18"/>
              </w:rPr>
              <w:t>294,679,967.55</w:t>
            </w:r>
          </w:p>
        </w:tc>
        <w:tc>
          <w:tcPr>
            <w:tcW w:w="758"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p>
        </w:tc>
      </w:tr>
    </w:tbl>
    <w:p>
      <w:pPr>
        <w:widowControl/>
        <w:spacing w:before="120" w:beforeLines="50" w:line="360" w:lineRule="auto"/>
        <w:ind w:firstLine="420" w:firstLineChars="200"/>
        <w:rPr>
          <w:rFonts w:ascii="宋体" w:hAnsi="宋体"/>
          <w:kern w:val="0"/>
          <w:szCs w:val="21"/>
        </w:rPr>
      </w:pPr>
      <w:r>
        <w:rPr>
          <w:rFonts w:hint="eastAsia" w:ascii="宋体" w:hAnsi="宋体"/>
          <w:kern w:val="0"/>
          <w:szCs w:val="21"/>
        </w:rPr>
        <w:t>注</w:t>
      </w:r>
      <w:r>
        <w:rPr>
          <w:rFonts w:ascii="宋体" w:hAnsi="宋体"/>
          <w:kern w:val="0"/>
          <w:szCs w:val="21"/>
        </w:rPr>
        <w:t>：</w:t>
      </w:r>
      <w:r>
        <w:rPr>
          <w:rFonts w:hint="eastAsia" w:ascii="宋体" w:hAnsi="宋体"/>
          <w:kern w:val="0"/>
          <w:szCs w:val="21"/>
        </w:rPr>
        <w:t>上表中期初存放金额为884,426,270.38元，公司募集资金净额为854,561,800.00元，期初存放金额与募集资金净额差异为</w:t>
      </w:r>
      <w:r>
        <w:rPr>
          <w:rFonts w:ascii="宋体" w:hAnsi="宋体"/>
          <w:kern w:val="0"/>
          <w:szCs w:val="21"/>
        </w:rPr>
        <w:t>29</w:t>
      </w:r>
      <w:r>
        <w:rPr>
          <w:rFonts w:hint="eastAsia" w:ascii="宋体" w:hAnsi="宋体"/>
          <w:kern w:val="0"/>
          <w:szCs w:val="21"/>
        </w:rPr>
        <w:t>,</w:t>
      </w:r>
      <w:r>
        <w:rPr>
          <w:rFonts w:ascii="宋体" w:hAnsi="宋体"/>
          <w:kern w:val="0"/>
          <w:szCs w:val="21"/>
        </w:rPr>
        <w:t>864</w:t>
      </w:r>
      <w:r>
        <w:rPr>
          <w:rFonts w:hint="eastAsia" w:ascii="宋体" w:hAnsi="宋体"/>
          <w:kern w:val="0"/>
          <w:szCs w:val="21"/>
        </w:rPr>
        <w:t>,</w:t>
      </w:r>
      <w:r>
        <w:rPr>
          <w:rFonts w:ascii="宋体" w:hAnsi="宋体"/>
          <w:kern w:val="0"/>
          <w:szCs w:val="21"/>
        </w:rPr>
        <w:t>470.38</w:t>
      </w:r>
      <w:r>
        <w:rPr>
          <w:rFonts w:hint="eastAsia" w:ascii="宋体" w:hAnsi="宋体"/>
          <w:kern w:val="0"/>
          <w:szCs w:val="21"/>
        </w:rPr>
        <w:t>元，该差额系相关发行费用，已于2022年6月30日前从募集资金专户划转至公司一般户（开户行：中国农业银行股份有限公司长寿支行，账号：31-130101040005554）。</w:t>
      </w:r>
    </w:p>
    <w:p>
      <w:pPr>
        <w:widowControl/>
        <w:spacing w:before="240" w:beforeLines="100" w:line="360" w:lineRule="auto"/>
        <w:ind w:firstLine="422" w:firstLineChars="200"/>
        <w:outlineLvl w:val="1"/>
        <w:rPr>
          <w:rFonts w:ascii="宋体" w:hAnsi="宋体" w:cs="宋体"/>
          <w:b/>
          <w:kern w:val="0"/>
          <w:szCs w:val="21"/>
        </w:rPr>
      </w:pPr>
      <w:r>
        <w:rPr>
          <w:rFonts w:ascii="宋体" w:hAnsi="宋体"/>
          <w:b/>
          <w:kern w:val="0"/>
          <w:szCs w:val="21"/>
        </w:rPr>
        <w:t>三、</w:t>
      </w:r>
      <w:r>
        <w:rPr>
          <w:rFonts w:ascii="宋体" w:hAnsi="宋体"/>
          <w:b/>
          <w:kern w:val="0"/>
          <w:szCs w:val="21"/>
        </w:rPr>
        <w:tab/>
      </w:r>
      <w:r>
        <w:rPr>
          <w:rFonts w:hint="eastAsia" w:ascii="宋体" w:hAnsi="宋体" w:cs="宋体"/>
          <w:b/>
          <w:kern w:val="0"/>
          <w:szCs w:val="21"/>
        </w:rPr>
        <w:t>对闲置募集资金进行现金管理，投资相关产品情况</w:t>
      </w:r>
    </w:p>
    <w:p>
      <w:pPr>
        <w:widowControl/>
        <w:spacing w:line="360" w:lineRule="auto"/>
        <w:ind w:firstLine="420" w:firstLineChars="200"/>
        <w:rPr>
          <w:rFonts w:ascii="宋体" w:hAnsi="宋体"/>
          <w:kern w:val="0"/>
          <w:szCs w:val="21"/>
        </w:rPr>
      </w:pPr>
      <w:r>
        <w:rPr>
          <w:rFonts w:hint="eastAsia" w:ascii="宋体" w:hAnsi="宋体"/>
          <w:kern w:val="0"/>
          <w:szCs w:val="21"/>
        </w:rPr>
        <w:t>截止2023年12月31日，公司进行现金管理余额为</w:t>
      </w:r>
      <w:r>
        <w:rPr>
          <w:rFonts w:ascii="宋体" w:hAnsi="宋体"/>
          <w:kern w:val="0"/>
          <w:szCs w:val="21"/>
        </w:rPr>
        <w:t>294,679,967.55</w:t>
      </w:r>
      <w:r>
        <w:rPr>
          <w:rFonts w:hint="eastAsia" w:ascii="宋体" w:hAnsi="宋体"/>
          <w:kern w:val="0"/>
          <w:szCs w:val="21"/>
        </w:rPr>
        <w:t>元，其中：结构性存款0.00元，在募集资金专户中存储的活期协议存款为</w:t>
      </w:r>
      <w:r>
        <w:rPr>
          <w:rFonts w:ascii="宋体" w:hAnsi="宋体"/>
          <w:kern w:val="0"/>
          <w:szCs w:val="21"/>
        </w:rPr>
        <w:t>294,679,967.55</w:t>
      </w:r>
      <w:r>
        <w:rPr>
          <w:rFonts w:hint="eastAsia" w:ascii="宋体" w:hAnsi="宋体"/>
          <w:kern w:val="0"/>
          <w:szCs w:val="21"/>
        </w:rPr>
        <w:t>元。</w:t>
      </w:r>
    </w:p>
    <w:p>
      <w:pPr>
        <w:widowControl/>
        <w:spacing w:before="120" w:beforeLines="50" w:line="360" w:lineRule="auto"/>
        <w:ind w:firstLine="422" w:firstLineChars="200"/>
        <w:outlineLvl w:val="2"/>
        <w:rPr>
          <w:rFonts w:ascii="宋体" w:hAnsi="宋体" w:cs="宋体"/>
          <w:b/>
          <w:kern w:val="0"/>
          <w:szCs w:val="21"/>
        </w:rPr>
      </w:pPr>
      <w:r>
        <w:rPr>
          <w:rFonts w:hint="eastAsia" w:ascii="宋体" w:hAnsi="宋体" w:cs="宋体"/>
          <w:b/>
          <w:kern w:val="0"/>
          <w:szCs w:val="21"/>
        </w:rPr>
        <w:t>（一）结构性存款明细如下：</w:t>
      </w:r>
    </w:p>
    <w:tbl>
      <w:tblPr>
        <w:tblStyle w:val="12"/>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630"/>
        <w:gridCol w:w="400"/>
        <w:gridCol w:w="612"/>
        <w:gridCol w:w="768"/>
        <w:gridCol w:w="901"/>
        <w:gridCol w:w="877"/>
        <w:gridCol w:w="901"/>
        <w:gridCol w:w="637"/>
        <w:gridCol w:w="637"/>
        <w:gridCol w:w="768"/>
        <w:gridCol w:w="637"/>
        <w:gridCol w:w="6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340" w:hRule="atLeast"/>
          <w:tblHeader/>
        </w:trPr>
        <w:tc>
          <w:tcPr>
            <w:tcW w:w="387"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受托机构</w:t>
            </w:r>
          </w:p>
        </w:tc>
        <w:tc>
          <w:tcPr>
            <w:tcW w:w="250"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产品类型</w:t>
            </w:r>
          </w:p>
        </w:tc>
        <w:tc>
          <w:tcPr>
            <w:tcW w:w="376"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产品名称</w:t>
            </w:r>
          </w:p>
        </w:tc>
        <w:tc>
          <w:tcPr>
            <w:tcW w:w="469"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期数</w:t>
            </w:r>
          </w:p>
        </w:tc>
        <w:tc>
          <w:tcPr>
            <w:tcW w:w="548"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金额</w:t>
            </w:r>
          </w:p>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（万元）</w:t>
            </w:r>
          </w:p>
        </w:tc>
        <w:tc>
          <w:tcPr>
            <w:tcW w:w="391"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产品编码</w:t>
            </w:r>
          </w:p>
        </w:tc>
        <w:tc>
          <w:tcPr>
            <w:tcW w:w="548"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预计年化收益率（%）</w:t>
            </w:r>
          </w:p>
        </w:tc>
        <w:tc>
          <w:tcPr>
            <w:tcW w:w="391"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产品期限</w:t>
            </w:r>
          </w:p>
        </w:tc>
        <w:tc>
          <w:tcPr>
            <w:tcW w:w="391"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收益类型</w:t>
            </w:r>
          </w:p>
        </w:tc>
        <w:tc>
          <w:tcPr>
            <w:tcW w:w="469"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是否构成关联关系</w:t>
            </w:r>
          </w:p>
        </w:tc>
        <w:tc>
          <w:tcPr>
            <w:tcW w:w="391"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状态</w:t>
            </w:r>
          </w:p>
        </w:tc>
        <w:tc>
          <w:tcPr>
            <w:tcW w:w="391"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387" w:type="pct"/>
            <w:vMerge w:val="restart"/>
            <w:shd w:val="clear" w:color="auto" w:fill="auto"/>
            <w:vAlign w:val="center"/>
          </w:tcPr>
          <w:p>
            <w:pPr>
              <w:widowControl/>
              <w:adjustRightInd w:val="0"/>
              <w:snapToGrid w:val="0"/>
              <w:jc w:val="left"/>
              <w:rPr>
                <w:rFonts w:ascii="Arial Narrow" w:hAnsi="Arial Narrow"/>
                <w:snapToGrid w:val="0"/>
                <w:spacing w:val="-2"/>
                <w:kern w:val="0"/>
                <w:sz w:val="18"/>
                <w:szCs w:val="18"/>
              </w:rPr>
            </w:pPr>
            <w:r>
              <w:rPr>
                <w:rFonts w:hint="eastAsia" w:ascii="Arial Narrow" w:hAnsi="Arial Narrow"/>
                <w:snapToGrid w:val="0"/>
                <w:spacing w:val="-2"/>
                <w:kern w:val="0"/>
                <w:sz w:val="18"/>
                <w:szCs w:val="18"/>
              </w:rPr>
              <w:t>中信银行股份有限公司</w:t>
            </w:r>
          </w:p>
        </w:tc>
        <w:tc>
          <w:tcPr>
            <w:tcW w:w="250" w:type="pct"/>
            <w:vMerge w:val="restart"/>
            <w:shd w:val="clear" w:color="auto" w:fill="auto"/>
            <w:vAlign w:val="center"/>
          </w:tcPr>
          <w:p>
            <w:pPr>
              <w:widowControl/>
              <w:adjustRightInd w:val="0"/>
              <w:snapToGrid w:val="0"/>
              <w:jc w:val="left"/>
              <w:rPr>
                <w:rFonts w:ascii="Arial Narrow" w:hAnsi="Arial Narrow"/>
                <w:snapToGrid w:val="0"/>
                <w:spacing w:val="-2"/>
                <w:kern w:val="0"/>
                <w:sz w:val="18"/>
                <w:szCs w:val="18"/>
              </w:rPr>
            </w:pPr>
            <w:r>
              <w:rPr>
                <w:rFonts w:hint="eastAsia" w:ascii="Arial Narrow" w:hAnsi="Arial Narrow"/>
                <w:snapToGrid w:val="0"/>
                <w:spacing w:val="-2"/>
                <w:kern w:val="0"/>
                <w:sz w:val="18"/>
                <w:szCs w:val="18"/>
              </w:rPr>
              <w:t>结构性存款</w:t>
            </w:r>
          </w:p>
        </w:tc>
        <w:tc>
          <w:tcPr>
            <w:tcW w:w="376" w:type="pct"/>
            <w:vMerge w:val="restart"/>
            <w:shd w:val="clear" w:color="auto" w:fill="auto"/>
            <w:vAlign w:val="center"/>
          </w:tcPr>
          <w:p>
            <w:pPr>
              <w:widowControl/>
              <w:adjustRightInd w:val="0"/>
              <w:snapToGrid w:val="0"/>
              <w:ind w:right="105" w:rightChars="50"/>
              <w:jc w:val="left"/>
              <w:rPr>
                <w:rFonts w:ascii="Arial Narrow" w:hAnsi="Arial Narrow"/>
                <w:snapToGrid w:val="0"/>
                <w:spacing w:val="-2"/>
                <w:kern w:val="0"/>
                <w:sz w:val="18"/>
                <w:szCs w:val="18"/>
              </w:rPr>
            </w:pPr>
            <w:r>
              <w:rPr>
                <w:rFonts w:hint="eastAsia" w:ascii="Arial Narrow" w:hAnsi="Arial Narrow"/>
                <w:snapToGrid w:val="0"/>
                <w:spacing w:val="-2"/>
                <w:kern w:val="0"/>
                <w:sz w:val="18"/>
                <w:szCs w:val="18"/>
              </w:rPr>
              <w:t>共赢智信汇率挂钩人民币结构性存款</w:t>
            </w:r>
          </w:p>
        </w:tc>
        <w:tc>
          <w:tcPr>
            <w:tcW w:w="469" w:type="pct"/>
            <w:shd w:val="clear" w:color="auto" w:fill="auto"/>
            <w:vAlign w:val="center"/>
          </w:tcPr>
          <w:p>
            <w:pPr>
              <w:widowControl/>
              <w:adjustRightInd w:val="0"/>
              <w:snapToGrid w:val="0"/>
              <w:ind w:right="105" w:rightChars="50"/>
              <w:jc w:val="right"/>
              <w:rPr>
                <w:rFonts w:ascii="Arial Narrow" w:hAnsi="Arial Narrow"/>
                <w:snapToGrid w:val="0"/>
                <w:spacing w:val="-2"/>
                <w:kern w:val="0"/>
                <w:sz w:val="18"/>
                <w:szCs w:val="18"/>
              </w:rPr>
            </w:pPr>
            <w:r>
              <w:rPr>
                <w:rFonts w:hint="eastAsia" w:ascii="Arial Narrow" w:hAnsi="Arial Narrow"/>
                <w:snapToGrid w:val="0"/>
                <w:spacing w:val="-2"/>
                <w:kern w:val="0"/>
                <w:sz w:val="18"/>
                <w:szCs w:val="18"/>
              </w:rPr>
              <w:t>13314</w:t>
            </w:r>
          </w:p>
        </w:tc>
        <w:tc>
          <w:tcPr>
            <w:tcW w:w="548" w:type="pct"/>
            <w:shd w:val="clear" w:color="auto" w:fill="auto"/>
            <w:vAlign w:val="center"/>
          </w:tcPr>
          <w:p>
            <w:pPr>
              <w:widowControl/>
              <w:adjustRightInd w:val="0"/>
              <w:snapToGrid w:val="0"/>
              <w:ind w:right="105" w:rightChars="50"/>
              <w:jc w:val="right"/>
              <w:rPr>
                <w:rFonts w:ascii="Arial Narrow" w:hAnsi="Arial Narrow"/>
                <w:snapToGrid w:val="0"/>
                <w:spacing w:val="-2"/>
                <w:kern w:val="0"/>
                <w:sz w:val="18"/>
                <w:szCs w:val="18"/>
              </w:rPr>
            </w:pPr>
            <w:r>
              <w:rPr>
                <w:rFonts w:hint="eastAsia" w:ascii="Arial Narrow" w:hAnsi="Arial Narrow"/>
                <w:snapToGrid w:val="0"/>
                <w:spacing w:val="-2"/>
                <w:kern w:val="0"/>
                <w:sz w:val="18"/>
                <w:szCs w:val="18"/>
              </w:rPr>
              <w:t>4,000.00</w:t>
            </w:r>
          </w:p>
        </w:tc>
        <w:tc>
          <w:tcPr>
            <w:tcW w:w="391" w:type="pct"/>
            <w:shd w:val="clear" w:color="auto" w:fill="auto"/>
            <w:vAlign w:val="center"/>
          </w:tcPr>
          <w:p>
            <w:pPr>
              <w:widowControl/>
              <w:adjustRightInd w:val="0"/>
              <w:snapToGrid w:val="0"/>
              <w:jc w:val="right"/>
              <w:rPr>
                <w:rFonts w:ascii="Arial Narrow" w:hAnsi="Arial Narrow"/>
                <w:snapToGrid w:val="0"/>
                <w:spacing w:val="-2"/>
                <w:kern w:val="0"/>
                <w:sz w:val="18"/>
                <w:szCs w:val="18"/>
              </w:rPr>
            </w:pPr>
            <w:r>
              <w:rPr>
                <w:rFonts w:ascii="Arial Narrow" w:hAnsi="Arial Narrow"/>
                <w:snapToGrid w:val="0"/>
                <w:spacing w:val="-2"/>
                <w:kern w:val="0"/>
                <w:sz w:val="18"/>
                <w:szCs w:val="18"/>
              </w:rPr>
              <w:t>C23YB0104</w:t>
            </w:r>
          </w:p>
        </w:tc>
        <w:tc>
          <w:tcPr>
            <w:tcW w:w="548" w:type="pct"/>
            <w:shd w:val="clear" w:color="auto" w:fill="auto"/>
            <w:vAlign w:val="center"/>
          </w:tcPr>
          <w:p>
            <w:pPr>
              <w:widowControl/>
              <w:adjustRightInd w:val="0"/>
              <w:snapToGrid w:val="0"/>
              <w:jc w:val="right"/>
              <w:rPr>
                <w:rFonts w:ascii="Arial Narrow" w:hAnsi="Arial Narrow"/>
                <w:snapToGrid w:val="0"/>
                <w:spacing w:val="-2"/>
                <w:kern w:val="0"/>
                <w:sz w:val="18"/>
                <w:szCs w:val="18"/>
              </w:rPr>
            </w:pPr>
            <w:r>
              <w:rPr>
                <w:rFonts w:hint="eastAsia" w:ascii="Arial Narrow" w:hAnsi="Arial Narrow"/>
                <w:snapToGrid w:val="0"/>
                <w:spacing w:val="-2"/>
                <w:kern w:val="0"/>
                <w:sz w:val="18"/>
                <w:szCs w:val="18"/>
              </w:rPr>
              <w:t>1.3/2.4/2.8</w:t>
            </w:r>
          </w:p>
        </w:tc>
        <w:tc>
          <w:tcPr>
            <w:tcW w:w="391" w:type="pct"/>
            <w:shd w:val="clear" w:color="auto" w:fill="auto"/>
            <w:vAlign w:val="center"/>
          </w:tcPr>
          <w:p>
            <w:pPr>
              <w:widowControl/>
              <w:adjustRightInd w:val="0"/>
              <w:snapToGrid w:val="0"/>
              <w:jc w:val="right"/>
              <w:rPr>
                <w:rFonts w:ascii="Arial Narrow" w:hAnsi="Arial Narrow"/>
                <w:snapToGrid w:val="0"/>
                <w:spacing w:val="-2"/>
                <w:kern w:val="0"/>
                <w:sz w:val="18"/>
                <w:szCs w:val="18"/>
              </w:rPr>
            </w:pPr>
            <w:r>
              <w:rPr>
                <w:rFonts w:hint="eastAsia" w:ascii="Arial Narrow" w:hAnsi="Arial Narrow"/>
                <w:snapToGrid w:val="0"/>
                <w:spacing w:val="-2"/>
                <w:kern w:val="0"/>
                <w:sz w:val="18"/>
                <w:szCs w:val="18"/>
              </w:rPr>
              <w:t>14天</w:t>
            </w:r>
          </w:p>
        </w:tc>
        <w:tc>
          <w:tcPr>
            <w:tcW w:w="391" w:type="pct"/>
            <w:vMerge w:val="restar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保本浮动收益、封闭式</w:t>
            </w:r>
          </w:p>
        </w:tc>
        <w:tc>
          <w:tcPr>
            <w:tcW w:w="469"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否</w:t>
            </w:r>
          </w:p>
        </w:tc>
        <w:tc>
          <w:tcPr>
            <w:tcW w:w="391"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赎回</w:t>
            </w:r>
          </w:p>
        </w:tc>
        <w:tc>
          <w:tcPr>
            <w:tcW w:w="391" w:type="pct"/>
            <w:vMerge w:val="restar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收益计算天数受提前终止条款约束</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387" w:type="pct"/>
            <w:vMerge w:val="continue"/>
            <w:shd w:val="clear" w:color="auto" w:fill="auto"/>
            <w:vAlign w:val="center"/>
          </w:tcPr>
          <w:p>
            <w:pPr>
              <w:widowControl/>
              <w:adjustRightInd w:val="0"/>
              <w:snapToGrid w:val="0"/>
              <w:jc w:val="center"/>
              <w:rPr>
                <w:rFonts w:ascii="Arial Narrow" w:hAnsi="Arial Narrow"/>
                <w:snapToGrid w:val="0"/>
                <w:spacing w:val="-2"/>
                <w:kern w:val="0"/>
                <w:sz w:val="18"/>
                <w:szCs w:val="18"/>
              </w:rPr>
            </w:pPr>
          </w:p>
        </w:tc>
        <w:tc>
          <w:tcPr>
            <w:tcW w:w="250" w:type="pct"/>
            <w:vMerge w:val="continue"/>
            <w:shd w:val="clear" w:color="auto" w:fill="auto"/>
            <w:vAlign w:val="center"/>
          </w:tcPr>
          <w:p>
            <w:pPr>
              <w:widowControl/>
              <w:adjustRightInd w:val="0"/>
              <w:snapToGrid w:val="0"/>
              <w:jc w:val="center"/>
              <w:rPr>
                <w:rFonts w:ascii="Arial Narrow" w:hAnsi="Arial Narrow"/>
                <w:snapToGrid w:val="0"/>
                <w:spacing w:val="-2"/>
                <w:kern w:val="0"/>
                <w:sz w:val="18"/>
                <w:szCs w:val="18"/>
              </w:rPr>
            </w:pPr>
          </w:p>
        </w:tc>
        <w:tc>
          <w:tcPr>
            <w:tcW w:w="376" w:type="pct"/>
            <w:vMerge w:val="continue"/>
            <w:shd w:val="clear" w:color="auto" w:fill="auto"/>
            <w:vAlign w:val="center"/>
          </w:tcPr>
          <w:p>
            <w:pPr>
              <w:widowControl/>
              <w:adjustRightInd w:val="0"/>
              <w:snapToGrid w:val="0"/>
              <w:ind w:right="105" w:rightChars="50"/>
              <w:jc w:val="center"/>
              <w:rPr>
                <w:rFonts w:ascii="Arial Narrow" w:hAnsi="Arial Narrow"/>
                <w:snapToGrid w:val="0"/>
                <w:spacing w:val="-2"/>
                <w:kern w:val="0"/>
                <w:sz w:val="18"/>
                <w:szCs w:val="18"/>
              </w:rPr>
            </w:pPr>
          </w:p>
        </w:tc>
        <w:tc>
          <w:tcPr>
            <w:tcW w:w="469" w:type="pct"/>
            <w:shd w:val="clear" w:color="auto" w:fill="auto"/>
            <w:vAlign w:val="center"/>
          </w:tcPr>
          <w:p>
            <w:pPr>
              <w:widowControl/>
              <w:adjustRightInd w:val="0"/>
              <w:snapToGrid w:val="0"/>
              <w:ind w:right="105" w:rightChars="50"/>
              <w:jc w:val="right"/>
              <w:rPr>
                <w:rFonts w:ascii="Arial Narrow" w:hAnsi="Arial Narrow"/>
                <w:snapToGrid w:val="0"/>
                <w:spacing w:val="-2"/>
                <w:kern w:val="0"/>
                <w:sz w:val="18"/>
                <w:szCs w:val="18"/>
              </w:rPr>
            </w:pPr>
            <w:r>
              <w:rPr>
                <w:rFonts w:ascii="Arial Narrow" w:hAnsi="Arial Narrow"/>
                <w:snapToGrid w:val="0"/>
                <w:spacing w:val="-2"/>
                <w:kern w:val="0"/>
                <w:sz w:val="18"/>
                <w:szCs w:val="18"/>
              </w:rPr>
              <w:t>12721</w:t>
            </w:r>
          </w:p>
        </w:tc>
        <w:tc>
          <w:tcPr>
            <w:tcW w:w="548" w:type="pct"/>
            <w:shd w:val="clear" w:color="auto" w:fill="auto"/>
            <w:vAlign w:val="center"/>
          </w:tcPr>
          <w:p>
            <w:pPr>
              <w:widowControl/>
              <w:adjustRightInd w:val="0"/>
              <w:snapToGrid w:val="0"/>
              <w:ind w:right="105" w:rightChars="50"/>
              <w:jc w:val="right"/>
              <w:rPr>
                <w:rFonts w:ascii="Arial Narrow" w:hAnsi="Arial Narrow"/>
                <w:snapToGrid w:val="0"/>
                <w:spacing w:val="-2"/>
                <w:kern w:val="0"/>
                <w:sz w:val="18"/>
                <w:szCs w:val="18"/>
              </w:rPr>
            </w:pPr>
            <w:r>
              <w:rPr>
                <w:rFonts w:hint="eastAsia" w:ascii="Arial Narrow" w:hAnsi="Arial Narrow"/>
                <w:snapToGrid w:val="0"/>
                <w:spacing w:val="-2"/>
                <w:kern w:val="0"/>
                <w:sz w:val="18"/>
                <w:szCs w:val="18"/>
              </w:rPr>
              <w:t>3,</w:t>
            </w:r>
            <w:r>
              <w:rPr>
                <w:rFonts w:ascii="Arial Narrow" w:hAnsi="Arial Narrow"/>
                <w:snapToGrid w:val="0"/>
                <w:spacing w:val="-2"/>
                <w:kern w:val="0"/>
                <w:sz w:val="18"/>
                <w:szCs w:val="18"/>
              </w:rPr>
              <w:t>000.00</w:t>
            </w:r>
          </w:p>
        </w:tc>
        <w:tc>
          <w:tcPr>
            <w:tcW w:w="391" w:type="pct"/>
            <w:shd w:val="clear" w:color="auto" w:fill="auto"/>
            <w:vAlign w:val="center"/>
          </w:tcPr>
          <w:p>
            <w:pPr>
              <w:widowControl/>
              <w:adjustRightInd w:val="0"/>
              <w:snapToGrid w:val="0"/>
              <w:jc w:val="right"/>
              <w:rPr>
                <w:rFonts w:ascii="Arial Narrow" w:hAnsi="Arial Narrow"/>
                <w:snapToGrid w:val="0"/>
                <w:spacing w:val="-2"/>
                <w:kern w:val="0"/>
                <w:sz w:val="18"/>
                <w:szCs w:val="18"/>
              </w:rPr>
            </w:pPr>
            <w:r>
              <w:rPr>
                <w:rFonts w:hint="eastAsia" w:ascii="Arial Narrow" w:hAnsi="Arial Narrow"/>
                <w:snapToGrid w:val="0"/>
                <w:spacing w:val="-2"/>
                <w:kern w:val="0"/>
                <w:sz w:val="18"/>
                <w:szCs w:val="18"/>
              </w:rPr>
              <w:t>C</w:t>
            </w:r>
            <w:r>
              <w:rPr>
                <w:rFonts w:ascii="Arial Narrow" w:hAnsi="Arial Narrow"/>
                <w:snapToGrid w:val="0"/>
                <w:spacing w:val="-2"/>
                <w:kern w:val="0"/>
                <w:sz w:val="18"/>
                <w:szCs w:val="18"/>
              </w:rPr>
              <w:t>22M40120</w:t>
            </w:r>
          </w:p>
        </w:tc>
        <w:tc>
          <w:tcPr>
            <w:tcW w:w="548" w:type="pct"/>
            <w:shd w:val="clear" w:color="auto" w:fill="auto"/>
            <w:vAlign w:val="center"/>
          </w:tcPr>
          <w:p>
            <w:pPr>
              <w:widowControl/>
              <w:adjustRightInd w:val="0"/>
              <w:snapToGrid w:val="0"/>
              <w:jc w:val="right"/>
              <w:rPr>
                <w:rFonts w:ascii="Arial Narrow" w:hAnsi="Arial Narrow"/>
                <w:snapToGrid w:val="0"/>
                <w:spacing w:val="-2"/>
                <w:kern w:val="0"/>
                <w:sz w:val="18"/>
                <w:szCs w:val="18"/>
              </w:rPr>
            </w:pPr>
            <w:r>
              <w:rPr>
                <w:rFonts w:hint="eastAsia" w:ascii="Arial Narrow" w:hAnsi="Arial Narrow"/>
                <w:snapToGrid w:val="0"/>
                <w:spacing w:val="-2"/>
                <w:kern w:val="0"/>
                <w:sz w:val="18"/>
                <w:szCs w:val="18"/>
              </w:rPr>
              <w:t>1</w:t>
            </w:r>
            <w:r>
              <w:rPr>
                <w:rFonts w:ascii="Arial Narrow" w:hAnsi="Arial Narrow"/>
                <w:snapToGrid w:val="0"/>
                <w:spacing w:val="-2"/>
                <w:kern w:val="0"/>
                <w:sz w:val="18"/>
                <w:szCs w:val="18"/>
              </w:rPr>
              <w:t>.3/2.7/3.1</w:t>
            </w:r>
          </w:p>
        </w:tc>
        <w:tc>
          <w:tcPr>
            <w:tcW w:w="391" w:type="pct"/>
            <w:shd w:val="clear" w:color="auto" w:fill="auto"/>
            <w:vAlign w:val="center"/>
          </w:tcPr>
          <w:p>
            <w:pPr>
              <w:widowControl/>
              <w:adjustRightInd w:val="0"/>
              <w:snapToGrid w:val="0"/>
              <w:jc w:val="right"/>
              <w:rPr>
                <w:rFonts w:ascii="Arial Narrow" w:hAnsi="Arial Narrow"/>
                <w:snapToGrid w:val="0"/>
                <w:spacing w:val="-2"/>
                <w:kern w:val="0"/>
                <w:sz w:val="18"/>
                <w:szCs w:val="18"/>
              </w:rPr>
            </w:pPr>
            <w:r>
              <w:rPr>
                <w:rFonts w:hint="eastAsia" w:ascii="Arial Narrow" w:hAnsi="Arial Narrow"/>
                <w:snapToGrid w:val="0"/>
                <w:spacing w:val="-2"/>
                <w:kern w:val="0"/>
                <w:sz w:val="18"/>
                <w:szCs w:val="18"/>
              </w:rPr>
              <w:t>3</w:t>
            </w:r>
            <w:r>
              <w:rPr>
                <w:rFonts w:ascii="Arial Narrow" w:hAnsi="Arial Narrow"/>
                <w:snapToGrid w:val="0"/>
                <w:spacing w:val="-2"/>
                <w:kern w:val="0"/>
                <w:sz w:val="18"/>
                <w:szCs w:val="18"/>
              </w:rPr>
              <w:t>2</w:t>
            </w:r>
            <w:r>
              <w:rPr>
                <w:rFonts w:hint="eastAsia" w:ascii="Arial Narrow" w:hAnsi="Arial Narrow"/>
                <w:snapToGrid w:val="0"/>
                <w:spacing w:val="-2"/>
                <w:kern w:val="0"/>
                <w:sz w:val="18"/>
                <w:szCs w:val="18"/>
              </w:rPr>
              <w:t>天</w:t>
            </w:r>
          </w:p>
        </w:tc>
        <w:tc>
          <w:tcPr>
            <w:tcW w:w="391" w:type="pct"/>
            <w:vMerge w:val="continue"/>
            <w:shd w:val="clear" w:color="auto" w:fill="auto"/>
            <w:vAlign w:val="center"/>
          </w:tcPr>
          <w:p>
            <w:pPr>
              <w:widowControl/>
              <w:adjustRightInd w:val="0"/>
              <w:snapToGrid w:val="0"/>
              <w:jc w:val="center"/>
              <w:rPr>
                <w:rFonts w:ascii="Arial Narrow" w:hAnsi="Arial Narrow"/>
                <w:snapToGrid w:val="0"/>
                <w:spacing w:val="-2"/>
                <w:kern w:val="0"/>
                <w:sz w:val="18"/>
                <w:szCs w:val="18"/>
              </w:rPr>
            </w:pPr>
          </w:p>
        </w:tc>
        <w:tc>
          <w:tcPr>
            <w:tcW w:w="469"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否</w:t>
            </w:r>
          </w:p>
        </w:tc>
        <w:tc>
          <w:tcPr>
            <w:tcW w:w="391" w:type="pct"/>
            <w:shd w:val="clear" w:color="auto" w:fill="auto"/>
            <w:vAlign w:val="center"/>
          </w:tcPr>
          <w:p>
            <w:pPr>
              <w:widowControl/>
              <w:adjustRightInd w:val="0"/>
              <w:snapToGrid w:val="0"/>
              <w:jc w:val="center"/>
              <w:rPr>
                <w:rFonts w:ascii="Arial Narrow" w:hAnsi="Arial Narrow"/>
                <w:snapToGrid w:val="0"/>
                <w:spacing w:val="-2"/>
                <w:kern w:val="0"/>
                <w:sz w:val="18"/>
                <w:szCs w:val="18"/>
              </w:rPr>
            </w:pPr>
            <w:r>
              <w:rPr>
                <w:rFonts w:hint="eastAsia" w:ascii="Arial Narrow" w:hAnsi="Arial Narrow"/>
                <w:snapToGrid w:val="0"/>
                <w:spacing w:val="-2"/>
                <w:kern w:val="0"/>
                <w:sz w:val="18"/>
                <w:szCs w:val="18"/>
              </w:rPr>
              <w:t>赎回</w:t>
            </w:r>
          </w:p>
        </w:tc>
        <w:tc>
          <w:tcPr>
            <w:tcW w:w="391" w:type="pct"/>
            <w:vMerge w:val="continue"/>
            <w:shd w:val="clear" w:color="auto" w:fill="auto"/>
            <w:vAlign w:val="center"/>
          </w:tcPr>
          <w:p>
            <w:pPr>
              <w:widowControl/>
              <w:adjustRightInd w:val="0"/>
              <w:snapToGrid w:val="0"/>
              <w:jc w:val="center"/>
              <w:rPr>
                <w:rFonts w:ascii="Arial Narrow" w:hAnsi="Arial Narrow"/>
                <w:snapToGrid w:val="0"/>
                <w:spacing w:val="-2"/>
                <w:kern w:val="0"/>
                <w:sz w:val="18"/>
                <w:szCs w:val="18"/>
              </w:rPr>
            </w:pPr>
          </w:p>
        </w:tc>
      </w:tr>
    </w:tbl>
    <w:p>
      <w:pPr>
        <w:widowControl/>
        <w:spacing w:before="120" w:beforeLines="50" w:line="360" w:lineRule="auto"/>
        <w:ind w:firstLine="420" w:firstLineChars="200"/>
        <w:outlineLvl w:val="1"/>
        <w:rPr>
          <w:rFonts w:ascii="宋体" w:hAnsi="宋体"/>
          <w:kern w:val="0"/>
          <w:szCs w:val="21"/>
        </w:rPr>
      </w:pPr>
      <w:r>
        <w:rPr>
          <w:rFonts w:hint="eastAsia" w:ascii="宋体" w:hAnsi="宋体"/>
          <w:kern w:val="0"/>
          <w:szCs w:val="21"/>
        </w:rPr>
        <w:t>注</w:t>
      </w:r>
      <w:r>
        <w:rPr>
          <w:rFonts w:ascii="宋体" w:hAnsi="宋体"/>
          <w:kern w:val="0"/>
          <w:szCs w:val="21"/>
        </w:rPr>
        <w:t>：</w:t>
      </w:r>
      <w:r>
        <w:rPr>
          <w:rFonts w:hint="eastAsia" w:ascii="宋体" w:hAnsi="宋体"/>
          <w:kern w:val="0"/>
          <w:szCs w:val="21"/>
        </w:rPr>
        <w:t>结构性存款赎回累计收益合计</w:t>
      </w:r>
      <w:r>
        <w:rPr>
          <w:rFonts w:ascii="宋体" w:hAnsi="宋体"/>
          <w:kern w:val="0"/>
          <w:szCs w:val="21"/>
        </w:rPr>
        <w:t>1,218,949.32</w:t>
      </w:r>
      <w:r>
        <w:rPr>
          <w:rFonts w:hint="eastAsia" w:ascii="宋体" w:hAnsi="宋体"/>
          <w:kern w:val="0"/>
          <w:szCs w:val="21"/>
        </w:rPr>
        <w:t>元，本期截止期末结构性存款赎回收益合计</w:t>
      </w:r>
      <w:r>
        <w:rPr>
          <w:rFonts w:ascii="宋体" w:hAnsi="宋体"/>
          <w:kern w:val="0"/>
          <w:szCs w:val="21"/>
        </w:rPr>
        <w:t>107,835.62</w:t>
      </w:r>
      <w:r>
        <w:rPr>
          <w:rFonts w:hint="eastAsia" w:ascii="宋体" w:hAnsi="宋体"/>
          <w:kern w:val="0"/>
          <w:szCs w:val="21"/>
        </w:rPr>
        <w:t>元。</w:t>
      </w:r>
    </w:p>
    <w:p>
      <w:pPr>
        <w:widowControl/>
        <w:spacing w:before="120" w:beforeLines="50" w:line="360" w:lineRule="auto"/>
        <w:ind w:firstLine="422" w:firstLineChars="200"/>
        <w:outlineLvl w:val="2"/>
        <w:rPr>
          <w:rFonts w:ascii="宋体" w:hAnsi="宋体" w:cs="宋体"/>
          <w:b/>
          <w:kern w:val="0"/>
          <w:szCs w:val="21"/>
        </w:rPr>
      </w:pPr>
      <w:r>
        <w:rPr>
          <w:rFonts w:hint="eastAsia" w:ascii="宋体" w:hAnsi="宋体" w:cs="宋体"/>
          <w:b/>
          <w:kern w:val="0"/>
          <w:szCs w:val="21"/>
        </w:rPr>
        <w:t>（二）活期协议存款明细如下：</w:t>
      </w:r>
    </w:p>
    <w:tbl>
      <w:tblPr>
        <w:tblStyle w:val="12"/>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3020"/>
        <w:gridCol w:w="1770"/>
        <w:gridCol w:w="1652"/>
        <w:gridCol w:w="196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340" w:hRule="atLeast"/>
          <w:tblHeader/>
        </w:trPr>
        <w:tc>
          <w:tcPr>
            <w:tcW w:w="1797"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开户银行</w:t>
            </w:r>
          </w:p>
        </w:tc>
        <w:tc>
          <w:tcPr>
            <w:tcW w:w="1053"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账号</w:t>
            </w:r>
          </w:p>
        </w:tc>
        <w:tc>
          <w:tcPr>
            <w:tcW w:w="983"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购买日</w:t>
            </w:r>
          </w:p>
        </w:tc>
        <w:tc>
          <w:tcPr>
            <w:tcW w:w="1167"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期末活期协议存款余额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797"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6"/>
              </w:rPr>
            </w:pPr>
            <w:r>
              <w:rPr>
                <w:rFonts w:hint="eastAsia" w:ascii="Arial Narrow" w:hAnsi="Arial Narrow"/>
                <w:snapToGrid w:val="0"/>
                <w:kern w:val="0"/>
                <w:sz w:val="18"/>
                <w:szCs w:val="16"/>
              </w:rPr>
              <w:t>哈尔滨银行股份有限公司重庆分行</w:t>
            </w:r>
          </w:p>
        </w:tc>
        <w:tc>
          <w:tcPr>
            <w:tcW w:w="1053" w:type="pct"/>
            <w:shd w:val="clear" w:color="auto" w:fill="auto"/>
            <w:vAlign w:val="center"/>
          </w:tcPr>
          <w:p>
            <w:pPr>
              <w:widowControl/>
              <w:adjustRightInd w:val="0"/>
              <w:snapToGrid w:val="0"/>
              <w:spacing w:line="240" w:lineRule="exact"/>
              <w:jc w:val="right"/>
              <w:rPr>
                <w:rFonts w:ascii="Arial Narrow" w:hAnsi="Arial Narrow"/>
                <w:snapToGrid w:val="0"/>
                <w:kern w:val="0"/>
                <w:sz w:val="18"/>
                <w:szCs w:val="16"/>
              </w:rPr>
            </w:pPr>
            <w:r>
              <w:rPr>
                <w:rFonts w:ascii="Arial Narrow" w:hAnsi="Arial Narrow"/>
                <w:snapToGrid w:val="0"/>
                <w:kern w:val="0"/>
                <w:sz w:val="18"/>
                <w:szCs w:val="16"/>
              </w:rPr>
              <w:t>18010000001689409</w:t>
            </w:r>
          </w:p>
        </w:tc>
        <w:tc>
          <w:tcPr>
            <w:tcW w:w="983" w:type="pct"/>
            <w:shd w:val="clear" w:color="auto" w:fill="auto"/>
            <w:vAlign w:val="center"/>
          </w:tcPr>
          <w:p>
            <w:pPr>
              <w:widowControl/>
              <w:adjustRightInd w:val="0"/>
              <w:snapToGrid w:val="0"/>
              <w:spacing w:line="240" w:lineRule="exact"/>
              <w:ind w:right="105"/>
              <w:jc w:val="center"/>
              <w:rPr>
                <w:rFonts w:ascii="Arial Narrow" w:hAnsi="Arial Narrow"/>
                <w:snapToGrid w:val="0"/>
                <w:kern w:val="0"/>
                <w:sz w:val="18"/>
                <w:szCs w:val="16"/>
              </w:rPr>
            </w:pPr>
            <w:r>
              <w:rPr>
                <w:rFonts w:ascii="Arial Narrow" w:hAnsi="Arial Narrow"/>
                <w:snapToGrid w:val="0"/>
                <w:kern w:val="0"/>
                <w:sz w:val="18"/>
                <w:szCs w:val="16"/>
              </w:rPr>
              <w:t>202</w:t>
            </w:r>
            <w:r>
              <w:rPr>
                <w:rFonts w:hint="eastAsia" w:ascii="Arial Narrow" w:hAnsi="Arial Narrow"/>
                <w:snapToGrid w:val="0"/>
                <w:kern w:val="0"/>
                <w:sz w:val="18"/>
                <w:szCs w:val="16"/>
              </w:rPr>
              <w:t>3</w:t>
            </w:r>
            <w:r>
              <w:rPr>
                <w:rFonts w:ascii="Arial Narrow" w:hAnsi="Arial Narrow"/>
                <w:snapToGrid w:val="0"/>
                <w:kern w:val="0"/>
                <w:sz w:val="18"/>
                <w:szCs w:val="16"/>
              </w:rPr>
              <w:t>/</w:t>
            </w:r>
            <w:r>
              <w:rPr>
                <w:rFonts w:hint="eastAsia" w:ascii="Arial Narrow" w:hAnsi="Arial Narrow"/>
                <w:snapToGrid w:val="0"/>
                <w:kern w:val="0"/>
                <w:sz w:val="18"/>
                <w:szCs w:val="16"/>
              </w:rPr>
              <w:t>5/11</w:t>
            </w:r>
          </w:p>
        </w:tc>
        <w:tc>
          <w:tcPr>
            <w:tcW w:w="1167"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6"/>
              </w:rPr>
            </w:pPr>
            <w:r>
              <w:rPr>
                <w:rFonts w:ascii="Arial Narrow" w:hAnsi="Arial Narrow"/>
                <w:snapToGrid w:val="0"/>
                <w:kern w:val="0"/>
                <w:sz w:val="18"/>
                <w:szCs w:val="16"/>
              </w:rPr>
              <w:t>216,538,109.08</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797"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6"/>
              </w:rPr>
            </w:pPr>
            <w:r>
              <w:rPr>
                <w:rFonts w:hint="eastAsia" w:ascii="Arial Narrow" w:hAnsi="Arial Narrow"/>
                <w:snapToGrid w:val="0"/>
                <w:kern w:val="0"/>
                <w:sz w:val="18"/>
                <w:szCs w:val="16"/>
              </w:rPr>
              <w:t>重庆三峡银行股份有限公司长寿支行</w:t>
            </w:r>
          </w:p>
        </w:tc>
        <w:tc>
          <w:tcPr>
            <w:tcW w:w="1053" w:type="pct"/>
            <w:shd w:val="clear" w:color="auto" w:fill="auto"/>
            <w:vAlign w:val="center"/>
          </w:tcPr>
          <w:p>
            <w:pPr>
              <w:widowControl/>
              <w:adjustRightInd w:val="0"/>
              <w:snapToGrid w:val="0"/>
              <w:spacing w:line="240" w:lineRule="exact"/>
              <w:jc w:val="right"/>
              <w:rPr>
                <w:rFonts w:ascii="Arial Narrow" w:hAnsi="Arial Narrow"/>
                <w:snapToGrid w:val="0"/>
                <w:kern w:val="0"/>
                <w:sz w:val="18"/>
                <w:szCs w:val="16"/>
              </w:rPr>
            </w:pPr>
            <w:r>
              <w:rPr>
                <w:rFonts w:ascii="Arial Narrow" w:hAnsi="Arial Narrow"/>
                <w:snapToGrid w:val="0"/>
                <w:kern w:val="0"/>
                <w:sz w:val="18"/>
                <w:szCs w:val="16"/>
              </w:rPr>
              <w:t>0153016820000020</w:t>
            </w:r>
          </w:p>
        </w:tc>
        <w:tc>
          <w:tcPr>
            <w:tcW w:w="983" w:type="pct"/>
            <w:shd w:val="clear" w:color="auto" w:fill="auto"/>
            <w:vAlign w:val="center"/>
          </w:tcPr>
          <w:p>
            <w:pPr>
              <w:widowControl/>
              <w:adjustRightInd w:val="0"/>
              <w:snapToGrid w:val="0"/>
              <w:spacing w:line="240" w:lineRule="exact"/>
              <w:ind w:right="105"/>
              <w:jc w:val="center"/>
              <w:rPr>
                <w:rFonts w:ascii="Arial Narrow" w:hAnsi="Arial Narrow"/>
                <w:snapToGrid w:val="0"/>
                <w:kern w:val="0"/>
                <w:sz w:val="18"/>
                <w:szCs w:val="16"/>
              </w:rPr>
            </w:pPr>
            <w:r>
              <w:rPr>
                <w:rFonts w:ascii="Arial Narrow" w:hAnsi="Arial Narrow"/>
                <w:snapToGrid w:val="0"/>
                <w:kern w:val="0"/>
                <w:sz w:val="18"/>
                <w:szCs w:val="16"/>
              </w:rPr>
              <w:t>202</w:t>
            </w:r>
            <w:r>
              <w:rPr>
                <w:rFonts w:hint="eastAsia" w:ascii="Arial Narrow" w:hAnsi="Arial Narrow"/>
                <w:snapToGrid w:val="0"/>
                <w:kern w:val="0"/>
                <w:sz w:val="18"/>
                <w:szCs w:val="16"/>
              </w:rPr>
              <w:t>3</w:t>
            </w:r>
            <w:r>
              <w:rPr>
                <w:rFonts w:ascii="Arial Narrow" w:hAnsi="Arial Narrow"/>
                <w:snapToGrid w:val="0"/>
                <w:kern w:val="0"/>
                <w:sz w:val="18"/>
                <w:szCs w:val="16"/>
              </w:rPr>
              <w:t>/</w:t>
            </w:r>
            <w:r>
              <w:rPr>
                <w:rFonts w:hint="eastAsia" w:ascii="Arial Narrow" w:hAnsi="Arial Narrow"/>
                <w:snapToGrid w:val="0"/>
                <w:kern w:val="0"/>
                <w:sz w:val="18"/>
                <w:szCs w:val="16"/>
              </w:rPr>
              <w:t>4/25</w:t>
            </w:r>
          </w:p>
        </w:tc>
        <w:tc>
          <w:tcPr>
            <w:tcW w:w="1167"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6"/>
              </w:rPr>
            </w:pPr>
            <w:r>
              <w:rPr>
                <w:rFonts w:ascii="Arial Narrow" w:hAnsi="Arial Narrow"/>
                <w:snapToGrid w:val="0"/>
                <w:kern w:val="0"/>
                <w:sz w:val="18"/>
                <w:szCs w:val="16"/>
              </w:rPr>
              <w:t>42,888,555.15</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797"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6"/>
              </w:rPr>
            </w:pPr>
            <w:r>
              <w:rPr>
                <w:rFonts w:hint="eastAsia" w:ascii="Arial Narrow" w:hAnsi="Arial Narrow"/>
                <w:snapToGrid w:val="0"/>
                <w:kern w:val="0"/>
                <w:sz w:val="18"/>
                <w:szCs w:val="16"/>
              </w:rPr>
              <w:t>上海浦东发展银行股份有限公司重庆分行</w:t>
            </w:r>
          </w:p>
        </w:tc>
        <w:tc>
          <w:tcPr>
            <w:tcW w:w="1053" w:type="pct"/>
            <w:shd w:val="clear" w:color="auto" w:fill="auto"/>
            <w:vAlign w:val="center"/>
          </w:tcPr>
          <w:p>
            <w:pPr>
              <w:widowControl/>
              <w:adjustRightInd w:val="0"/>
              <w:snapToGrid w:val="0"/>
              <w:spacing w:line="240" w:lineRule="exact"/>
              <w:jc w:val="right"/>
              <w:rPr>
                <w:rFonts w:ascii="Arial Narrow" w:hAnsi="Arial Narrow"/>
                <w:snapToGrid w:val="0"/>
                <w:kern w:val="0"/>
                <w:sz w:val="18"/>
                <w:szCs w:val="16"/>
              </w:rPr>
            </w:pPr>
            <w:r>
              <w:rPr>
                <w:rFonts w:ascii="Arial Narrow" w:hAnsi="Arial Narrow"/>
                <w:snapToGrid w:val="0"/>
                <w:kern w:val="0"/>
                <w:sz w:val="18"/>
                <w:szCs w:val="16"/>
              </w:rPr>
              <w:t>83260078801700000608</w:t>
            </w:r>
          </w:p>
        </w:tc>
        <w:tc>
          <w:tcPr>
            <w:tcW w:w="983" w:type="pct"/>
            <w:shd w:val="clear" w:color="auto" w:fill="auto"/>
            <w:vAlign w:val="center"/>
          </w:tcPr>
          <w:p>
            <w:pPr>
              <w:widowControl/>
              <w:adjustRightInd w:val="0"/>
              <w:snapToGrid w:val="0"/>
              <w:spacing w:line="240" w:lineRule="exact"/>
              <w:ind w:right="105"/>
              <w:jc w:val="center"/>
              <w:rPr>
                <w:rFonts w:ascii="Arial Narrow" w:hAnsi="Arial Narrow"/>
                <w:snapToGrid w:val="0"/>
                <w:kern w:val="0"/>
                <w:sz w:val="18"/>
                <w:szCs w:val="16"/>
              </w:rPr>
            </w:pPr>
            <w:r>
              <w:rPr>
                <w:rFonts w:hint="eastAsia" w:ascii="Arial Narrow" w:hAnsi="Arial Narrow"/>
                <w:snapToGrid w:val="0"/>
                <w:kern w:val="0"/>
                <w:sz w:val="18"/>
                <w:szCs w:val="16"/>
              </w:rPr>
              <w:t>2023/5/24</w:t>
            </w:r>
          </w:p>
        </w:tc>
        <w:tc>
          <w:tcPr>
            <w:tcW w:w="1167"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6"/>
              </w:rPr>
            </w:pPr>
            <w:r>
              <w:rPr>
                <w:rFonts w:ascii="Arial Narrow" w:hAnsi="Arial Narrow"/>
                <w:snapToGrid w:val="0"/>
                <w:kern w:val="0"/>
                <w:sz w:val="18"/>
                <w:szCs w:val="16"/>
              </w:rPr>
              <w:t>35,253,303.32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1797"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hint="eastAsia" w:ascii="Arial Narrow" w:hAnsi="Arial Narrow"/>
                <w:snapToGrid w:val="0"/>
                <w:kern w:val="0"/>
                <w:sz w:val="18"/>
                <w:szCs w:val="18"/>
              </w:rPr>
              <w:t>合计</w:t>
            </w:r>
          </w:p>
        </w:tc>
        <w:tc>
          <w:tcPr>
            <w:tcW w:w="1053" w:type="pct"/>
            <w:shd w:val="clear" w:color="auto" w:fill="auto"/>
            <w:vAlign w:val="center"/>
          </w:tcPr>
          <w:p>
            <w:pPr>
              <w:widowControl/>
              <w:adjustRightInd w:val="0"/>
              <w:snapToGrid w:val="0"/>
              <w:spacing w:line="240" w:lineRule="exact"/>
              <w:jc w:val="right"/>
              <w:rPr>
                <w:rFonts w:ascii="Arial Narrow" w:hAnsi="Arial Narrow"/>
                <w:snapToGrid w:val="0"/>
                <w:kern w:val="0"/>
                <w:sz w:val="18"/>
                <w:szCs w:val="16"/>
              </w:rPr>
            </w:pPr>
          </w:p>
        </w:tc>
        <w:tc>
          <w:tcPr>
            <w:tcW w:w="983" w:type="pct"/>
            <w:shd w:val="clear" w:color="auto" w:fill="auto"/>
            <w:vAlign w:val="center"/>
          </w:tcPr>
          <w:p>
            <w:pPr>
              <w:widowControl/>
              <w:adjustRightInd w:val="0"/>
              <w:snapToGrid w:val="0"/>
              <w:spacing w:line="240" w:lineRule="exact"/>
              <w:ind w:right="105"/>
              <w:jc w:val="center"/>
              <w:rPr>
                <w:rFonts w:ascii="Arial Narrow" w:hAnsi="Arial Narrow"/>
                <w:snapToGrid w:val="0"/>
                <w:kern w:val="0"/>
                <w:sz w:val="18"/>
                <w:szCs w:val="16"/>
              </w:rPr>
            </w:pPr>
          </w:p>
        </w:tc>
        <w:tc>
          <w:tcPr>
            <w:tcW w:w="1167" w:type="pct"/>
            <w:shd w:val="clear" w:color="auto" w:fill="auto"/>
            <w:vAlign w:val="center"/>
          </w:tcPr>
          <w:p>
            <w:pPr>
              <w:widowControl/>
              <w:adjustRightInd w:val="0"/>
              <w:snapToGrid w:val="0"/>
              <w:spacing w:line="240" w:lineRule="exact"/>
              <w:ind w:right="105"/>
              <w:jc w:val="right"/>
              <w:rPr>
                <w:rFonts w:ascii="Arial Narrow" w:hAnsi="Arial Narrow"/>
                <w:snapToGrid w:val="0"/>
                <w:kern w:val="0"/>
                <w:sz w:val="18"/>
                <w:szCs w:val="16"/>
              </w:rPr>
            </w:pPr>
            <w:r>
              <w:rPr>
                <w:rFonts w:ascii="Arial Narrow" w:hAnsi="Arial Narrow"/>
                <w:snapToGrid w:val="0"/>
                <w:kern w:val="0"/>
                <w:sz w:val="18"/>
                <w:szCs w:val="16"/>
              </w:rPr>
              <w:t>294,679,967.55</w:t>
            </w:r>
          </w:p>
        </w:tc>
      </w:tr>
    </w:tbl>
    <w:p>
      <w:pPr>
        <w:widowControl/>
        <w:spacing w:before="240" w:beforeLines="100" w:line="360" w:lineRule="auto"/>
        <w:ind w:firstLine="422" w:firstLineChars="200"/>
        <w:outlineLvl w:val="1"/>
        <w:rPr>
          <w:rFonts w:ascii="宋体" w:hAnsi="宋体" w:cs="宋体"/>
          <w:b/>
          <w:kern w:val="0"/>
          <w:szCs w:val="21"/>
        </w:rPr>
      </w:pPr>
      <w:r>
        <w:rPr>
          <w:rFonts w:ascii="宋体" w:hAnsi="宋体"/>
          <w:b/>
          <w:kern w:val="0"/>
          <w:szCs w:val="21"/>
        </w:rPr>
        <w:t>四、</w:t>
      </w:r>
      <w:r>
        <w:rPr>
          <w:rFonts w:ascii="宋体" w:hAnsi="宋体"/>
          <w:b/>
          <w:kern w:val="0"/>
          <w:szCs w:val="21"/>
        </w:rPr>
        <w:tab/>
      </w:r>
      <w:r>
        <w:rPr>
          <w:rFonts w:hint="eastAsia" w:ascii="宋体" w:hAnsi="宋体" w:cs="宋体"/>
          <w:b/>
          <w:kern w:val="0"/>
          <w:szCs w:val="21"/>
        </w:rPr>
        <w:tab/>
      </w:r>
      <w:r>
        <w:rPr>
          <w:rFonts w:hint="eastAsia" w:ascii="宋体" w:hAnsi="宋体" w:cs="宋体"/>
          <w:b/>
          <w:kern w:val="0"/>
          <w:szCs w:val="21"/>
        </w:rPr>
        <w:t>2023年度募集资金的使用情况</w:t>
      </w:r>
    </w:p>
    <w:p>
      <w:pPr>
        <w:widowControl/>
        <w:spacing w:line="360" w:lineRule="auto"/>
        <w:ind w:firstLine="420" w:firstLineChars="200"/>
        <w:rPr>
          <w:rFonts w:ascii="宋体" w:hAnsi="宋体" w:cs="宋体"/>
          <w:bCs/>
          <w:kern w:val="0"/>
          <w:szCs w:val="21"/>
        </w:rPr>
      </w:pPr>
      <w:r>
        <w:rPr>
          <w:rFonts w:hint="eastAsia" w:ascii="宋体" w:hAnsi="宋体" w:cs="宋体"/>
          <w:bCs/>
          <w:kern w:val="0"/>
          <w:szCs w:val="21"/>
        </w:rPr>
        <w:t>详见附表一《募集资金使用情况表》。</w:t>
      </w:r>
    </w:p>
    <w:p>
      <w:pPr>
        <w:widowControl/>
        <w:spacing w:before="240" w:beforeLines="100" w:line="360" w:lineRule="auto"/>
        <w:ind w:firstLine="422" w:firstLineChars="200"/>
        <w:outlineLvl w:val="1"/>
        <w:rPr>
          <w:rFonts w:ascii="宋体" w:hAnsi="宋体" w:cs="宋体"/>
          <w:b/>
          <w:kern w:val="0"/>
          <w:szCs w:val="21"/>
        </w:rPr>
      </w:pPr>
      <w:r>
        <w:rPr>
          <w:rFonts w:ascii="宋体" w:hAnsi="宋体"/>
          <w:b/>
          <w:kern w:val="0"/>
          <w:szCs w:val="21"/>
        </w:rPr>
        <w:t>五、</w:t>
      </w:r>
      <w:r>
        <w:rPr>
          <w:rFonts w:ascii="宋体" w:hAnsi="宋体"/>
          <w:b/>
          <w:kern w:val="0"/>
          <w:szCs w:val="21"/>
        </w:rPr>
        <w:tab/>
      </w:r>
      <w:r>
        <w:rPr>
          <w:rFonts w:hint="eastAsia" w:ascii="宋体" w:hAnsi="宋体" w:cs="宋体"/>
          <w:b/>
          <w:kern w:val="0"/>
          <w:szCs w:val="21"/>
        </w:rPr>
        <w:t>变更募集资金投资项目的资金使用情况</w:t>
      </w:r>
    </w:p>
    <w:p>
      <w:pPr>
        <w:widowControl/>
        <w:spacing w:line="360" w:lineRule="auto"/>
        <w:ind w:firstLine="420" w:firstLineChars="200"/>
        <w:rPr>
          <w:rFonts w:ascii="宋体" w:hAnsi="宋体"/>
          <w:kern w:val="0"/>
          <w:szCs w:val="21"/>
        </w:rPr>
      </w:pPr>
      <w:r>
        <w:rPr>
          <w:rFonts w:hint="eastAsia" w:ascii="宋体" w:hAnsi="宋体"/>
          <w:kern w:val="0"/>
          <w:szCs w:val="21"/>
        </w:rPr>
        <w:t>公司于2022年6月15日召开第三届董事会第十二次会议和第三届监事会第十次会议，审议通过了《关于变更部分募投项目实施地点的议案》，同意公司将募集资金投资项目“研发中心及信息化建设项目”的实施地点进行变更。独立董事对此发表了同意的独立意见，保荐机构对该事项无异议。相关公告请见公司于上海证券交易所官方网站（www.sse.com.cn）披露的《望变电气关于变更部分募投项目实施地点的公告》（公告编号：2022-019）。本次募投项目实施地点的变更未改变募集资金的用途、投资金额、实施主体以及实施方式等，不会对募集资金投资项目的实施造成实质性影响，不存在变相改变募集资金用途和损害股东利益的情形。</w:t>
      </w:r>
    </w:p>
    <w:p>
      <w:pPr>
        <w:widowControl/>
        <w:spacing w:line="360" w:lineRule="auto"/>
        <w:ind w:firstLine="420" w:firstLineChars="200"/>
        <w:rPr>
          <w:rFonts w:ascii="宋体" w:hAnsi="宋体"/>
          <w:kern w:val="0"/>
          <w:szCs w:val="21"/>
        </w:rPr>
      </w:pPr>
      <w:r>
        <w:rPr>
          <w:rFonts w:hint="eastAsia" w:ascii="宋体" w:hAnsi="宋体"/>
          <w:kern w:val="0"/>
          <w:szCs w:val="21"/>
        </w:rPr>
        <w:t>变更详情见下表：</w:t>
      </w:r>
    </w:p>
    <w:tbl>
      <w:tblPr>
        <w:tblStyle w:val="12"/>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571"/>
        <w:gridCol w:w="1292"/>
        <w:gridCol w:w="3151"/>
        <w:gridCol w:w="338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340" w:hRule="atLeast"/>
          <w:tblHeader/>
        </w:trPr>
        <w:tc>
          <w:tcPr>
            <w:tcW w:w="340"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序号</w:t>
            </w:r>
          </w:p>
        </w:tc>
        <w:tc>
          <w:tcPr>
            <w:tcW w:w="769"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项目名称</w:t>
            </w:r>
          </w:p>
        </w:tc>
        <w:tc>
          <w:tcPr>
            <w:tcW w:w="1875"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变更前实施地点</w:t>
            </w:r>
          </w:p>
        </w:tc>
        <w:tc>
          <w:tcPr>
            <w:tcW w:w="2016" w:type="pct"/>
            <w:shd w:val="clear" w:color="auto" w:fill="auto"/>
            <w:vAlign w:val="center"/>
          </w:tcPr>
          <w:p>
            <w:pPr>
              <w:widowControl/>
              <w:adjustRightInd w:val="0"/>
              <w:snapToGrid w:val="0"/>
              <w:spacing w:line="240" w:lineRule="exact"/>
              <w:jc w:val="center"/>
              <w:rPr>
                <w:rFonts w:ascii="宋体" w:hAnsi="宋体"/>
                <w:snapToGrid w:val="0"/>
                <w:kern w:val="0"/>
                <w:sz w:val="18"/>
                <w:szCs w:val="18"/>
              </w:rPr>
            </w:pPr>
            <w:r>
              <w:rPr>
                <w:rFonts w:hint="eastAsia" w:ascii="宋体" w:hAnsi="宋体"/>
                <w:snapToGrid w:val="0"/>
                <w:kern w:val="0"/>
                <w:sz w:val="18"/>
                <w:szCs w:val="18"/>
              </w:rPr>
              <w:t>变更后实施地点</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340" w:hRule="atLeast"/>
        </w:trPr>
        <w:tc>
          <w:tcPr>
            <w:tcW w:w="340" w:type="pct"/>
            <w:shd w:val="clear" w:color="auto" w:fill="auto"/>
            <w:vAlign w:val="center"/>
          </w:tcPr>
          <w:p>
            <w:pPr>
              <w:widowControl/>
              <w:adjustRightInd w:val="0"/>
              <w:snapToGrid w:val="0"/>
              <w:spacing w:line="240" w:lineRule="exact"/>
              <w:jc w:val="center"/>
              <w:rPr>
                <w:rFonts w:ascii="Arial Narrow" w:hAnsi="Arial Narrow"/>
                <w:snapToGrid w:val="0"/>
                <w:kern w:val="0"/>
                <w:sz w:val="18"/>
                <w:szCs w:val="18"/>
              </w:rPr>
            </w:pPr>
            <w:r>
              <w:rPr>
                <w:rFonts w:ascii="Arial Narrow" w:hAnsi="Arial Narrow"/>
                <w:snapToGrid w:val="0"/>
                <w:kern w:val="0"/>
                <w:sz w:val="18"/>
                <w:szCs w:val="18"/>
              </w:rPr>
              <w:t>1</w:t>
            </w:r>
          </w:p>
        </w:tc>
        <w:tc>
          <w:tcPr>
            <w:tcW w:w="769" w:type="pct"/>
            <w:shd w:val="clear" w:color="auto" w:fill="auto"/>
            <w:vAlign w:val="center"/>
          </w:tcPr>
          <w:p>
            <w:pPr>
              <w:widowControl/>
              <w:adjustRightInd w:val="0"/>
              <w:snapToGrid w:val="0"/>
              <w:spacing w:line="240" w:lineRule="exact"/>
              <w:jc w:val="left"/>
              <w:rPr>
                <w:rFonts w:ascii="Arial Narrow" w:hAnsi="Arial Narrow"/>
                <w:snapToGrid w:val="0"/>
                <w:kern w:val="0"/>
                <w:sz w:val="18"/>
                <w:szCs w:val="18"/>
              </w:rPr>
            </w:pPr>
            <w:r>
              <w:rPr>
                <w:rFonts w:hint="eastAsia" w:ascii="Arial Narrow" w:hAnsi="Arial Narrow"/>
                <w:snapToGrid w:val="0"/>
                <w:kern w:val="0"/>
                <w:sz w:val="18"/>
                <w:szCs w:val="18"/>
              </w:rPr>
              <w:t>研发中心及信息化建设项目</w:t>
            </w:r>
          </w:p>
        </w:tc>
        <w:tc>
          <w:tcPr>
            <w:tcW w:w="1875"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r>
              <w:rPr>
                <w:rFonts w:hint="eastAsia" w:ascii="Arial Narrow" w:hAnsi="Arial Narrow"/>
                <w:snapToGrid w:val="0"/>
                <w:kern w:val="0"/>
                <w:sz w:val="18"/>
                <w:szCs w:val="18"/>
              </w:rPr>
              <w:t>重庆市长寿区化北路18号（对应土地证号：渝（2022）长寿区不动产权第000112594号、渝（2019）长寿区不动产权第000759653号）</w:t>
            </w:r>
          </w:p>
        </w:tc>
        <w:tc>
          <w:tcPr>
            <w:tcW w:w="2016" w:type="pct"/>
            <w:shd w:val="clear" w:color="auto" w:fill="auto"/>
            <w:vAlign w:val="center"/>
          </w:tcPr>
          <w:p>
            <w:pPr>
              <w:widowControl/>
              <w:adjustRightInd w:val="0"/>
              <w:snapToGrid w:val="0"/>
              <w:spacing w:line="240" w:lineRule="exact"/>
              <w:ind w:right="105"/>
              <w:jc w:val="left"/>
              <w:rPr>
                <w:rFonts w:ascii="Arial Narrow" w:hAnsi="Arial Narrow"/>
                <w:snapToGrid w:val="0"/>
                <w:kern w:val="0"/>
                <w:sz w:val="18"/>
                <w:szCs w:val="18"/>
              </w:rPr>
            </w:pPr>
            <w:r>
              <w:rPr>
                <w:rFonts w:hint="eastAsia" w:ascii="Arial Narrow" w:hAnsi="Arial Narrow"/>
                <w:snapToGrid w:val="0"/>
                <w:kern w:val="0"/>
                <w:sz w:val="18"/>
                <w:szCs w:val="18"/>
              </w:rPr>
              <w:t>重庆市长寿区化北路18号、重庆市长寿区化北路9号、重庆市长寿区齐心东路5号、重庆市长寿区齐心东路10号</w:t>
            </w:r>
          </w:p>
        </w:tc>
      </w:tr>
    </w:tbl>
    <w:p>
      <w:pPr>
        <w:pStyle w:val="4"/>
        <w:widowControl/>
        <w:spacing w:before="120" w:beforeLines="50"/>
        <w:ind w:firstLineChars="200"/>
        <w:outlineLvl w:val="1"/>
        <w:rPr>
          <w:rFonts w:ascii="宋体" w:hAnsi="宋体"/>
          <w:kern w:val="0"/>
          <w:szCs w:val="21"/>
        </w:rPr>
      </w:pPr>
      <w:r>
        <w:rPr>
          <w:rFonts w:hint="eastAsia" w:ascii="宋体" w:hAnsi="宋体"/>
          <w:kern w:val="0"/>
          <w:szCs w:val="21"/>
        </w:rPr>
        <w:t>公司于2022年8月23日召开第三届董事会第十三次会议和第三届监事会第十一次会议，审议通过了《关于使用银行承兑汇票、信用证方式支付募投项目资金并以募集资金等额置换的议案》，同意公司使用银行承兑汇票、信用证等方式支付募投项目资金并以募集资金等额置换事项。独立董事对此发表了同意的独立意见，保荐机构对该事项无异议。相关公告请见公司于上海证券交易所官方网站（www.sse.com.cn）披露的《关于使用银行承兑汇票、信用证方式支付募投项目资金并以募集资金等额置换的公告》（公告编号：2022-0</w:t>
      </w:r>
      <w:r>
        <w:rPr>
          <w:rFonts w:ascii="宋体" w:hAnsi="宋体"/>
          <w:kern w:val="0"/>
          <w:szCs w:val="21"/>
        </w:rPr>
        <w:t>28</w:t>
      </w:r>
      <w:r>
        <w:rPr>
          <w:rFonts w:hint="eastAsia" w:ascii="宋体" w:hAnsi="宋体"/>
          <w:kern w:val="0"/>
          <w:szCs w:val="21"/>
        </w:rPr>
        <w:t>）。本次募集资金置换有利于提高资金使用效率和运营管理效率，符合公司和股东的利益，不会影响募投项目的正常实施，也不存在改变或变相改变募集资金投向和损害公司、股东利益的情形。</w:t>
      </w:r>
    </w:p>
    <w:p>
      <w:pPr>
        <w:pStyle w:val="4"/>
        <w:widowControl/>
        <w:ind w:firstLineChars="200"/>
        <w:rPr>
          <w:rFonts w:ascii="宋体" w:hAnsi="宋体" w:cs="宋体"/>
          <w:bCs/>
          <w:kern w:val="0"/>
          <w:szCs w:val="21"/>
        </w:rPr>
      </w:pPr>
      <w:r>
        <w:rPr>
          <w:rFonts w:hint="eastAsia" w:ascii="宋体" w:hAnsi="宋体" w:cs="宋体"/>
          <w:bCs/>
          <w:kern w:val="0"/>
          <w:szCs w:val="21"/>
        </w:rPr>
        <w:t>公司于2023年3月27日召开第三届董事会第十五次会议、第三届监事会第十三次会议，审议通过了《关于部分募集资金投资项目延期的议案》，在募投项目实施主体、实施方式、募集资金投资用途及投资规模不发生变更的前提下，将首次公开发行股票募投项目中“智能成套电气设备产业基地项目”“110kV及以下节能型变压器智能化工厂技改项目”“低铁损高磁感硅钢铁心智能制造项目”“研发中心及信息化建设项目”的预定可使用状态日期进行延期。相关公告请见公司于上海证券交易所官方网站（www.sse.com.cn）披露的《关于部分募投项目延期的公告》（公告编号：2023-012）。</w:t>
      </w:r>
    </w:p>
    <w:p>
      <w:pPr>
        <w:pStyle w:val="4"/>
        <w:widowControl/>
        <w:ind w:firstLineChars="200"/>
        <w:rPr>
          <w:rFonts w:ascii="宋体" w:hAnsi="宋体"/>
          <w:kern w:val="0"/>
          <w:szCs w:val="21"/>
        </w:rPr>
      </w:pPr>
      <w:r>
        <w:rPr>
          <w:rFonts w:hint="eastAsia" w:ascii="宋体" w:hAnsi="宋体" w:cs="宋体"/>
          <w:bCs/>
          <w:kern w:val="0"/>
          <w:szCs w:val="21"/>
        </w:rPr>
        <w:t>公司于2023年10月25日召开的第三届董事会第十八次会议及第三届监事会第十六次会议审议通过了《关于变更部分募集资金用途并实施新募投项目的的议案》，公司独立董事发表了明确同意的独立意见，本事项不构成关联交易，尚需提交股东大会审议。</w:t>
      </w:r>
      <w:r>
        <w:rPr>
          <w:rFonts w:hint="eastAsia" w:ascii="宋体" w:hAnsi="宋体"/>
          <w:kern w:val="0"/>
          <w:szCs w:val="21"/>
        </w:rPr>
        <w:t>相关公告请见公司于上海证券交易所官方网站（www.sse.com.cn）披露的《关于变更部分募集资金用途并实施新募投项目的公告》（公告编号：2023-045）</w:t>
      </w:r>
      <w:r>
        <w:rPr>
          <w:rFonts w:hint="eastAsia" w:ascii="宋体" w:hAnsi="宋体" w:cs="宋体"/>
          <w:bCs/>
          <w:kern w:val="0"/>
          <w:szCs w:val="21"/>
        </w:rPr>
        <w:t>。本事项经2023年第二次临时股东大会决议通过。</w:t>
      </w:r>
      <w:r>
        <w:rPr>
          <w:rFonts w:hint="eastAsia" w:ascii="宋体" w:hAnsi="宋体"/>
          <w:kern w:val="0"/>
          <w:szCs w:val="21"/>
        </w:rPr>
        <w:t>相关公告请见公司于上海证券交易所官方网站（www.sse.com.cn）披露的《2023年第二次临时股东大会决议公告》（公告编号：2023-054）</w:t>
      </w:r>
      <w:r>
        <w:rPr>
          <w:rFonts w:hint="eastAsia" w:ascii="宋体" w:hAnsi="宋体" w:cs="宋体"/>
          <w:bCs/>
          <w:kern w:val="0"/>
          <w:szCs w:val="21"/>
        </w:rPr>
        <w:t>。变更情况详见附表二《变更募集资金投资项目情况表》。</w:t>
      </w:r>
    </w:p>
    <w:p>
      <w:pPr>
        <w:widowControl/>
        <w:spacing w:before="240" w:beforeLines="100" w:line="360" w:lineRule="auto"/>
        <w:ind w:firstLine="422" w:firstLineChars="200"/>
        <w:outlineLvl w:val="1"/>
        <w:rPr>
          <w:rFonts w:ascii="宋体" w:hAnsi="宋体" w:cs="宋体"/>
          <w:b/>
          <w:kern w:val="0"/>
          <w:szCs w:val="21"/>
        </w:rPr>
      </w:pPr>
      <w:r>
        <w:rPr>
          <w:rFonts w:ascii="宋体" w:hAnsi="宋体"/>
          <w:b/>
          <w:kern w:val="0"/>
          <w:szCs w:val="21"/>
        </w:rPr>
        <w:t>六、</w:t>
      </w:r>
      <w:r>
        <w:rPr>
          <w:rFonts w:ascii="宋体" w:hAnsi="宋体"/>
          <w:b/>
          <w:kern w:val="0"/>
          <w:szCs w:val="21"/>
        </w:rPr>
        <w:tab/>
      </w:r>
      <w:r>
        <w:rPr>
          <w:rFonts w:hint="eastAsia" w:ascii="宋体" w:hAnsi="宋体" w:cs="宋体"/>
          <w:b/>
          <w:kern w:val="0"/>
          <w:szCs w:val="21"/>
        </w:rPr>
        <w:t>募集资金使用及披露中存在的问题</w:t>
      </w:r>
    </w:p>
    <w:p>
      <w:pPr>
        <w:widowControl/>
        <w:spacing w:line="360" w:lineRule="auto"/>
        <w:ind w:firstLine="420" w:firstLineChars="200"/>
        <w:rPr>
          <w:rFonts w:ascii="宋体" w:hAnsi="宋体"/>
          <w:kern w:val="0"/>
          <w:szCs w:val="21"/>
        </w:rPr>
      </w:pPr>
      <w:r>
        <w:rPr>
          <w:rFonts w:ascii="宋体" w:hAnsi="宋体"/>
          <w:kern w:val="0"/>
          <w:szCs w:val="21"/>
        </w:rPr>
        <w:t>本公司已披</w:t>
      </w:r>
      <w:r>
        <w:rPr>
          <w:rFonts w:hint="eastAsia" w:ascii="宋体" w:hAnsi="宋体"/>
          <w:kern w:val="0"/>
          <w:szCs w:val="21"/>
        </w:rPr>
        <w:t>露</w:t>
      </w:r>
      <w:r>
        <w:rPr>
          <w:rFonts w:ascii="宋体" w:hAnsi="宋体"/>
          <w:kern w:val="0"/>
          <w:szCs w:val="21"/>
        </w:rPr>
        <w:t>的</w:t>
      </w:r>
      <w:r>
        <w:rPr>
          <w:rFonts w:hint="eastAsia" w:ascii="宋体" w:hAnsi="宋体"/>
          <w:kern w:val="0"/>
          <w:szCs w:val="21"/>
        </w:rPr>
        <w:t>关</w:t>
      </w:r>
      <w:r>
        <w:rPr>
          <w:rFonts w:ascii="宋体" w:hAnsi="宋体"/>
          <w:kern w:val="0"/>
          <w:szCs w:val="21"/>
        </w:rPr>
        <w:t>于募集资金使用</w:t>
      </w:r>
      <w:r>
        <w:rPr>
          <w:rFonts w:hint="eastAsia" w:ascii="宋体" w:hAnsi="宋体"/>
          <w:kern w:val="0"/>
          <w:szCs w:val="21"/>
        </w:rPr>
        <w:t>相</w:t>
      </w:r>
      <w:r>
        <w:rPr>
          <w:rFonts w:ascii="宋体" w:hAnsi="宋体"/>
          <w:kern w:val="0"/>
          <w:szCs w:val="21"/>
        </w:rPr>
        <w:t>关信息及时、真实、准确、完整</w:t>
      </w:r>
      <w:r>
        <w:rPr>
          <w:rFonts w:hint="eastAsia" w:ascii="宋体" w:hAnsi="宋体"/>
          <w:kern w:val="0"/>
          <w:szCs w:val="21"/>
        </w:rPr>
        <w:t>，</w:t>
      </w:r>
      <w:r>
        <w:rPr>
          <w:rFonts w:ascii="宋体" w:hAnsi="宋体"/>
          <w:kern w:val="0"/>
          <w:szCs w:val="21"/>
        </w:rPr>
        <w:t>募集资金</w:t>
      </w:r>
      <w:r>
        <w:rPr>
          <w:rFonts w:hint="eastAsia" w:ascii="宋体" w:hAnsi="宋体"/>
          <w:kern w:val="0"/>
          <w:szCs w:val="21"/>
        </w:rPr>
        <w:t>的使用</w:t>
      </w:r>
      <w:r>
        <w:rPr>
          <w:rFonts w:ascii="宋体" w:hAnsi="宋体"/>
          <w:kern w:val="0"/>
          <w:szCs w:val="21"/>
        </w:rPr>
        <w:t>和管理</w:t>
      </w:r>
      <w:r>
        <w:rPr>
          <w:rFonts w:hint="eastAsia" w:ascii="宋体" w:hAnsi="宋体"/>
          <w:kern w:val="0"/>
          <w:szCs w:val="21"/>
        </w:rPr>
        <w:t>不</w:t>
      </w:r>
      <w:r>
        <w:rPr>
          <w:rFonts w:ascii="宋体" w:hAnsi="宋体"/>
          <w:kern w:val="0"/>
          <w:szCs w:val="21"/>
        </w:rPr>
        <w:t>存在违规情况。</w:t>
      </w:r>
    </w:p>
    <w:p>
      <w:pPr>
        <w:widowControl/>
        <w:spacing w:line="360" w:lineRule="auto"/>
        <w:ind w:firstLine="420" w:firstLineChars="200"/>
        <w:rPr>
          <w:rFonts w:ascii="宋体" w:hAnsi="宋体"/>
          <w:kern w:val="0"/>
          <w:szCs w:val="21"/>
        </w:rPr>
      </w:pPr>
    </w:p>
    <w:p>
      <w:pPr>
        <w:widowControl/>
        <w:spacing w:line="360" w:lineRule="auto"/>
        <w:ind w:firstLine="420" w:firstLineChars="200"/>
        <w:rPr>
          <w:rFonts w:ascii="宋体" w:hAnsi="宋体"/>
          <w:kern w:val="0"/>
          <w:szCs w:val="21"/>
        </w:rPr>
      </w:pPr>
    </w:p>
    <w:p>
      <w:pPr>
        <w:widowControl/>
        <w:spacing w:line="360" w:lineRule="auto"/>
        <w:ind w:firstLine="420" w:firstLineChars="200"/>
        <w:rPr>
          <w:rFonts w:ascii="宋体" w:hAnsi="宋体"/>
          <w:kern w:val="0"/>
          <w:szCs w:val="21"/>
        </w:rPr>
      </w:pPr>
    </w:p>
    <w:p>
      <w:pPr>
        <w:widowControl/>
        <w:spacing w:line="360" w:lineRule="auto"/>
        <w:ind w:firstLine="422" w:firstLineChars="200"/>
        <w:jc w:val="right"/>
        <w:rPr>
          <w:rFonts w:ascii="宋体" w:hAnsi="宋体"/>
          <w:b/>
          <w:bCs/>
          <w:kern w:val="0"/>
          <w:szCs w:val="21"/>
        </w:rPr>
      </w:pPr>
      <w:r>
        <w:rPr>
          <w:rFonts w:hint="eastAsia" w:ascii="宋体" w:hAnsi="宋体" w:cs="Arial"/>
          <w:b/>
          <w:bCs/>
          <w:kern w:val="0"/>
        </w:rPr>
        <w:t>重庆望变电气（集团）股份有限公司</w:t>
      </w:r>
    </w:p>
    <w:p>
      <w:pPr>
        <w:widowControl/>
        <w:spacing w:line="360" w:lineRule="auto"/>
        <w:ind w:right="422" w:firstLine="422" w:firstLineChars="200"/>
        <w:jc w:val="right"/>
        <w:rPr>
          <w:rFonts w:ascii="宋体" w:hAnsi="宋体"/>
          <w:b/>
          <w:bCs/>
          <w:kern w:val="0"/>
        </w:rPr>
      </w:pPr>
      <w:bookmarkStart w:id="0" w:name="_GoBack"/>
      <w:bookmarkEnd w:id="0"/>
      <w:r>
        <w:rPr>
          <w:rFonts w:hint="eastAsia" w:ascii="宋体" w:hAnsi="宋体"/>
          <w:b/>
          <w:bCs/>
          <w:kern w:val="0"/>
          <w:szCs w:val="21"/>
        </w:rPr>
        <w:t>二〇二四年四月二十四日</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sectPr>
          <w:headerReference r:id="rId4" w:type="first"/>
          <w:footerReference r:id="rId6" w:type="first"/>
          <w:headerReference r:id="rId3" w:type="default"/>
          <w:footerReference r:id="rId5" w:type="default"/>
          <w:pgSz w:w="11907" w:h="16840"/>
          <w:pgMar w:top="2155" w:right="1797" w:bottom="1440" w:left="1797" w:header="851" w:footer="992" w:gutter="0"/>
          <w:pgNumType w:start="1"/>
          <w:cols w:space="425" w:num="1"/>
          <w:docGrid w:linePitch="435" w:charSpace="0"/>
        </w:sectPr>
      </w:pPr>
    </w:p>
    <w:p>
      <w:pPr>
        <w:snapToGrid w:val="0"/>
        <w:spacing w:line="360" w:lineRule="auto"/>
        <w:rPr>
          <w:rFonts w:ascii="宋体" w:hAnsi="宋体"/>
          <w:b/>
          <w:sz w:val="30"/>
          <w:szCs w:val="30"/>
        </w:rPr>
      </w:pPr>
      <w:r>
        <w:rPr>
          <w:rFonts w:hint="eastAsia" w:ascii="宋体" w:hAnsi="宋体"/>
          <w:b/>
          <w:sz w:val="30"/>
          <w:szCs w:val="30"/>
        </w:rPr>
        <w:t>附表一</w:t>
      </w:r>
    </w:p>
    <w:p>
      <w:pPr>
        <w:snapToGrid w:val="0"/>
        <w:spacing w:line="360" w:lineRule="auto"/>
        <w:jc w:val="center"/>
        <w:rPr>
          <w:rFonts w:ascii="宋体" w:hAnsi="宋体"/>
          <w:b/>
          <w:sz w:val="30"/>
          <w:szCs w:val="30"/>
        </w:rPr>
      </w:pPr>
      <w:r>
        <w:rPr>
          <w:rFonts w:hint="eastAsia" w:ascii="宋体" w:hAnsi="宋体"/>
          <w:b/>
          <w:sz w:val="30"/>
          <w:szCs w:val="30"/>
        </w:rPr>
        <w:t>募集资金使用情况表</w:t>
      </w:r>
    </w:p>
    <w:p>
      <w:pPr>
        <w:snapToGrid w:val="0"/>
        <w:spacing w:before="120" w:beforeLines="50" w:line="360" w:lineRule="auto"/>
        <w:jc w:val="left"/>
        <w:rPr>
          <w:rFonts w:ascii="宋体"/>
          <w:b/>
          <w:sz w:val="30"/>
          <w:szCs w:val="30"/>
        </w:rPr>
      </w:pPr>
      <w:r>
        <w:rPr>
          <w:rFonts w:hint="eastAsia" w:ascii="宋体" w:hAnsi="宋体"/>
          <w:szCs w:val="21"/>
        </w:rPr>
        <w:t>编制单位：</w:t>
      </w:r>
      <w:r>
        <w:rPr>
          <w:rFonts w:hint="eastAsia" w:ascii="Arial Narrow" w:hAnsi="Arial Narrow" w:cs="Arial"/>
          <w:kern w:val="0"/>
        </w:rPr>
        <w:t>重庆望变电气（集团）股份有限公司</w:t>
      </w:r>
      <w:r>
        <w:rPr>
          <w:rFonts w:hint="eastAsia" w:ascii="宋体"/>
          <w:b/>
          <w:sz w:val="30"/>
          <w:szCs w:val="30"/>
        </w:rPr>
        <w:t xml:space="preserve">                                                   </w:t>
      </w:r>
      <w:r>
        <w:rPr>
          <w:rFonts w:hint="eastAsia" w:ascii="宋体" w:hAnsi="宋体"/>
          <w:szCs w:val="21"/>
        </w:rPr>
        <w:t>金额单位：人民币元</w:t>
      </w:r>
    </w:p>
    <w:tbl>
      <w:tblPr>
        <w:tblStyle w:val="11"/>
        <w:tblW w:w="1417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1418"/>
        <w:gridCol w:w="1134"/>
        <w:gridCol w:w="1134"/>
        <w:gridCol w:w="1417"/>
        <w:gridCol w:w="1276"/>
        <w:gridCol w:w="1276"/>
        <w:gridCol w:w="1276"/>
        <w:gridCol w:w="1275"/>
        <w:gridCol w:w="709"/>
        <w:gridCol w:w="992"/>
        <w:gridCol w:w="993"/>
        <w:gridCol w:w="708"/>
        <w:gridCol w:w="5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552" w:type="dxa"/>
            <w:gridSpan w:val="2"/>
            <w:vAlign w:val="center"/>
          </w:tcPr>
          <w:p>
            <w:pPr>
              <w:snapToGrid w:val="0"/>
              <w:jc w:val="left"/>
              <w:rPr>
                <w:rFonts w:ascii="宋体"/>
                <w:sz w:val="18"/>
                <w:szCs w:val="18"/>
              </w:rPr>
            </w:pPr>
            <w:r>
              <w:rPr>
                <w:rFonts w:hint="eastAsia" w:ascii="宋体" w:hAnsi="宋体" w:cs="宋体"/>
                <w:sz w:val="18"/>
                <w:szCs w:val="18"/>
              </w:rPr>
              <w:t>募集资金总额</w:t>
            </w:r>
          </w:p>
        </w:tc>
        <w:tc>
          <w:tcPr>
            <w:tcW w:w="5103" w:type="dxa"/>
            <w:gridSpan w:val="4"/>
            <w:tcBorders>
              <w:top w:val="single" w:color="auto" w:sz="12" w:space="0"/>
              <w:bottom w:val="dotted" w:color="auto" w:sz="4" w:space="0"/>
            </w:tcBorders>
            <w:vAlign w:val="center"/>
          </w:tcPr>
          <w:p>
            <w:pPr>
              <w:snapToGrid w:val="0"/>
              <w:jc w:val="right"/>
              <w:rPr>
                <w:rFonts w:ascii="Arial Narrow" w:hAnsi="Arial Narrow"/>
                <w:sz w:val="18"/>
                <w:szCs w:val="18"/>
              </w:rPr>
            </w:pPr>
            <w:r>
              <w:rPr>
                <w:rFonts w:ascii="Arial Narrow" w:hAnsi="Arial Narrow"/>
                <w:sz w:val="18"/>
                <w:szCs w:val="18"/>
              </w:rPr>
              <w:t>854,561,800.00</w:t>
            </w:r>
          </w:p>
        </w:tc>
        <w:tc>
          <w:tcPr>
            <w:tcW w:w="3260" w:type="dxa"/>
            <w:gridSpan w:val="3"/>
            <w:vAlign w:val="center"/>
          </w:tcPr>
          <w:p>
            <w:pPr>
              <w:snapToGrid w:val="0"/>
              <w:jc w:val="left"/>
              <w:rPr>
                <w:rFonts w:ascii="宋体"/>
                <w:sz w:val="18"/>
                <w:szCs w:val="18"/>
              </w:rPr>
            </w:pPr>
            <w:r>
              <w:rPr>
                <w:rFonts w:hint="eastAsia" w:ascii="宋体" w:hAnsi="宋体" w:cs="宋体"/>
                <w:sz w:val="18"/>
                <w:szCs w:val="18"/>
              </w:rPr>
              <w:t>本年度投入募集资金总额</w:t>
            </w:r>
          </w:p>
        </w:tc>
        <w:tc>
          <w:tcPr>
            <w:tcW w:w="3260" w:type="dxa"/>
            <w:gridSpan w:val="4"/>
            <w:tcBorders>
              <w:top w:val="single" w:color="auto" w:sz="12" w:space="0"/>
              <w:bottom w:val="dotted" w:color="auto" w:sz="4" w:space="0"/>
            </w:tcBorders>
            <w:vAlign w:val="center"/>
          </w:tcPr>
          <w:p>
            <w:pPr>
              <w:snapToGrid w:val="0"/>
              <w:jc w:val="right"/>
              <w:rPr>
                <w:rFonts w:ascii="Arial Narrow" w:hAnsi="Arial Narrow"/>
                <w:sz w:val="18"/>
                <w:szCs w:val="18"/>
              </w:rPr>
            </w:pPr>
            <w:r>
              <w:rPr>
                <w:rFonts w:ascii="Arial Narrow" w:hAnsi="Arial Narrow"/>
                <w:kern w:val="0"/>
                <w:sz w:val="18"/>
                <w:szCs w:val="18"/>
              </w:rPr>
              <w:t>232,287,781.36</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552" w:type="dxa"/>
            <w:gridSpan w:val="2"/>
            <w:vAlign w:val="center"/>
          </w:tcPr>
          <w:p>
            <w:pPr>
              <w:snapToGrid w:val="0"/>
              <w:jc w:val="left"/>
              <w:rPr>
                <w:rFonts w:ascii="宋体"/>
                <w:sz w:val="18"/>
                <w:szCs w:val="18"/>
              </w:rPr>
            </w:pPr>
            <w:r>
              <w:rPr>
                <w:rFonts w:hint="eastAsia" w:ascii="宋体" w:hAnsi="宋体" w:cs="宋体"/>
                <w:sz w:val="18"/>
                <w:szCs w:val="18"/>
              </w:rPr>
              <w:t>变更用途的募集资金总额</w:t>
            </w:r>
          </w:p>
        </w:tc>
        <w:tc>
          <w:tcPr>
            <w:tcW w:w="5103" w:type="dxa"/>
            <w:gridSpan w:val="4"/>
            <w:tcBorders>
              <w:top w:val="dotted" w:color="auto" w:sz="4" w:space="0"/>
              <w:bottom w:val="dotted" w:color="auto" w:sz="4" w:space="0"/>
            </w:tcBorders>
            <w:vAlign w:val="center"/>
          </w:tcPr>
          <w:p>
            <w:pPr>
              <w:snapToGrid w:val="0"/>
              <w:jc w:val="right"/>
              <w:rPr>
                <w:rFonts w:ascii="Arial Narrow" w:hAnsi="Arial Narrow"/>
                <w:sz w:val="18"/>
                <w:szCs w:val="18"/>
              </w:rPr>
            </w:pPr>
            <w:r>
              <w:rPr>
                <w:rFonts w:ascii="Arial Narrow" w:hAnsi="Arial Narrow"/>
                <w:sz w:val="18"/>
                <w:szCs w:val="18"/>
              </w:rPr>
              <w:t>147,744,400.00</w:t>
            </w:r>
          </w:p>
        </w:tc>
        <w:tc>
          <w:tcPr>
            <w:tcW w:w="3260" w:type="dxa"/>
            <w:gridSpan w:val="3"/>
            <w:vMerge w:val="restart"/>
            <w:vAlign w:val="center"/>
          </w:tcPr>
          <w:p>
            <w:pPr>
              <w:snapToGrid w:val="0"/>
              <w:jc w:val="left"/>
              <w:rPr>
                <w:rFonts w:ascii="宋体"/>
                <w:sz w:val="18"/>
                <w:szCs w:val="18"/>
              </w:rPr>
            </w:pPr>
            <w:r>
              <w:rPr>
                <w:rFonts w:hint="eastAsia" w:ascii="宋体" w:hAnsi="宋体" w:cs="宋体"/>
                <w:sz w:val="18"/>
                <w:szCs w:val="18"/>
              </w:rPr>
              <w:t>已累计投入募集资金总额</w:t>
            </w:r>
          </w:p>
        </w:tc>
        <w:tc>
          <w:tcPr>
            <w:tcW w:w="3260" w:type="dxa"/>
            <w:gridSpan w:val="4"/>
            <w:vMerge w:val="restart"/>
            <w:tcBorders>
              <w:top w:val="dotted" w:color="auto" w:sz="4" w:space="0"/>
            </w:tcBorders>
            <w:vAlign w:val="center"/>
          </w:tcPr>
          <w:p>
            <w:pPr>
              <w:snapToGrid w:val="0"/>
              <w:jc w:val="right"/>
              <w:rPr>
                <w:rFonts w:ascii="Arial Narrow" w:hAnsi="Arial Narrow"/>
                <w:sz w:val="18"/>
                <w:szCs w:val="18"/>
              </w:rPr>
            </w:pPr>
            <w:r>
              <w:rPr>
                <w:rFonts w:ascii="Arial Narrow" w:hAnsi="Arial Narrow"/>
                <w:kern w:val="0"/>
                <w:sz w:val="18"/>
                <w:szCs w:val="18"/>
              </w:rPr>
              <w:t>644,010,545.61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552" w:type="dxa"/>
            <w:gridSpan w:val="2"/>
            <w:vAlign w:val="center"/>
          </w:tcPr>
          <w:p>
            <w:pPr>
              <w:snapToGrid w:val="0"/>
              <w:jc w:val="left"/>
              <w:rPr>
                <w:rFonts w:ascii="宋体"/>
                <w:sz w:val="18"/>
                <w:szCs w:val="18"/>
              </w:rPr>
            </w:pPr>
            <w:r>
              <w:rPr>
                <w:rFonts w:hint="eastAsia" w:ascii="宋体" w:hAnsi="宋体" w:cs="宋体"/>
                <w:sz w:val="18"/>
                <w:szCs w:val="18"/>
              </w:rPr>
              <w:t>变更用途的募集资金总额比例</w:t>
            </w:r>
          </w:p>
        </w:tc>
        <w:tc>
          <w:tcPr>
            <w:tcW w:w="5103" w:type="dxa"/>
            <w:gridSpan w:val="4"/>
            <w:tcBorders>
              <w:top w:val="dotted" w:color="auto" w:sz="4" w:space="0"/>
              <w:bottom w:val="dotted" w:color="auto" w:sz="4" w:space="0"/>
            </w:tcBorders>
            <w:vAlign w:val="center"/>
          </w:tcPr>
          <w:p>
            <w:pPr>
              <w:snapToGrid w:val="0"/>
              <w:jc w:val="right"/>
              <w:rPr>
                <w:rFonts w:ascii="Arial Narrow" w:hAnsi="Arial Narrow"/>
                <w:sz w:val="18"/>
                <w:szCs w:val="18"/>
              </w:rPr>
            </w:pPr>
            <w:r>
              <w:rPr>
                <w:rFonts w:ascii="Arial Narrow" w:hAnsi="Arial Narrow"/>
                <w:sz w:val="18"/>
                <w:szCs w:val="18"/>
              </w:rPr>
              <w:t>17.29%</w:t>
            </w:r>
          </w:p>
        </w:tc>
        <w:tc>
          <w:tcPr>
            <w:tcW w:w="3260" w:type="dxa"/>
            <w:gridSpan w:val="3"/>
            <w:vMerge w:val="continue"/>
            <w:vAlign w:val="center"/>
          </w:tcPr>
          <w:p>
            <w:pPr>
              <w:widowControl/>
              <w:snapToGrid w:val="0"/>
              <w:jc w:val="left"/>
              <w:rPr>
                <w:rFonts w:ascii="宋体"/>
                <w:sz w:val="18"/>
                <w:szCs w:val="18"/>
              </w:rPr>
            </w:pPr>
          </w:p>
        </w:tc>
        <w:tc>
          <w:tcPr>
            <w:tcW w:w="3260" w:type="dxa"/>
            <w:gridSpan w:val="4"/>
            <w:vMerge w:val="continue"/>
            <w:tcBorders>
              <w:bottom w:val="dotted" w:color="auto" w:sz="4" w:space="0"/>
            </w:tcBorders>
            <w:vAlign w:val="center"/>
          </w:tcPr>
          <w:p>
            <w:pPr>
              <w:widowControl/>
              <w:snapToGrid w:val="0"/>
              <w:jc w:val="left"/>
              <w:rPr>
                <w:rFonts w:ascii="宋体"/>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1418" w:type="dxa"/>
            <w:vAlign w:val="center"/>
          </w:tcPr>
          <w:p>
            <w:pPr>
              <w:snapToGrid w:val="0"/>
              <w:jc w:val="center"/>
              <w:rPr>
                <w:rFonts w:ascii="宋体"/>
                <w:spacing w:val="-6"/>
                <w:sz w:val="16"/>
                <w:szCs w:val="16"/>
              </w:rPr>
            </w:pPr>
            <w:r>
              <w:rPr>
                <w:rFonts w:hint="eastAsia" w:ascii="宋体" w:hAnsi="宋体" w:cs="宋体"/>
                <w:spacing w:val="-6"/>
                <w:sz w:val="16"/>
                <w:szCs w:val="16"/>
              </w:rPr>
              <w:t>承诺投资项目</w:t>
            </w:r>
          </w:p>
        </w:tc>
        <w:tc>
          <w:tcPr>
            <w:tcW w:w="1134" w:type="dxa"/>
            <w:vAlign w:val="center"/>
          </w:tcPr>
          <w:p>
            <w:pPr>
              <w:snapToGrid w:val="0"/>
              <w:jc w:val="center"/>
              <w:rPr>
                <w:rFonts w:ascii="宋体"/>
                <w:spacing w:val="-4"/>
                <w:sz w:val="16"/>
                <w:szCs w:val="16"/>
              </w:rPr>
            </w:pPr>
            <w:r>
              <w:rPr>
                <w:rFonts w:hint="eastAsia" w:ascii="宋体" w:hAnsi="宋体" w:cs="宋体"/>
                <w:spacing w:val="-4"/>
                <w:sz w:val="16"/>
                <w:szCs w:val="16"/>
              </w:rPr>
              <w:t>已变更项目，含部分变更（如有）</w:t>
            </w:r>
          </w:p>
        </w:tc>
        <w:tc>
          <w:tcPr>
            <w:tcW w:w="1134" w:type="dxa"/>
            <w:tcBorders>
              <w:top w:val="dotted" w:color="auto" w:sz="4" w:space="0"/>
            </w:tcBorders>
            <w:vAlign w:val="center"/>
          </w:tcPr>
          <w:p>
            <w:pPr>
              <w:snapToGrid w:val="0"/>
              <w:jc w:val="center"/>
              <w:rPr>
                <w:rFonts w:ascii="宋体"/>
                <w:spacing w:val="-6"/>
                <w:sz w:val="16"/>
                <w:szCs w:val="16"/>
              </w:rPr>
            </w:pPr>
            <w:r>
              <w:rPr>
                <w:rFonts w:hint="eastAsia" w:ascii="宋体" w:hAnsi="宋体" w:cs="宋体"/>
                <w:spacing w:val="-6"/>
                <w:sz w:val="16"/>
                <w:szCs w:val="16"/>
              </w:rPr>
              <w:t>募集资金承诺投资总额</w:t>
            </w:r>
          </w:p>
        </w:tc>
        <w:tc>
          <w:tcPr>
            <w:tcW w:w="1417" w:type="dxa"/>
            <w:tcBorders>
              <w:top w:val="dotted" w:color="auto" w:sz="4" w:space="0"/>
            </w:tcBorders>
            <w:vAlign w:val="center"/>
          </w:tcPr>
          <w:p>
            <w:pPr>
              <w:snapToGrid w:val="0"/>
              <w:ind w:left="-13" w:leftChars="-6" w:right="-27" w:rightChars="-13"/>
              <w:jc w:val="center"/>
              <w:rPr>
                <w:rFonts w:ascii="宋体"/>
                <w:spacing w:val="-6"/>
                <w:sz w:val="16"/>
                <w:szCs w:val="16"/>
              </w:rPr>
            </w:pPr>
            <w:r>
              <w:rPr>
                <w:rFonts w:hint="eastAsia" w:ascii="宋体" w:hAnsi="宋体" w:cs="宋体"/>
                <w:spacing w:val="-6"/>
                <w:sz w:val="16"/>
                <w:szCs w:val="16"/>
              </w:rPr>
              <w:t>调整后投资总额</w:t>
            </w:r>
          </w:p>
        </w:tc>
        <w:tc>
          <w:tcPr>
            <w:tcW w:w="1276" w:type="dxa"/>
            <w:tcBorders>
              <w:top w:val="dotted" w:color="auto" w:sz="4" w:space="0"/>
            </w:tcBorders>
            <w:vAlign w:val="center"/>
          </w:tcPr>
          <w:p>
            <w:pPr>
              <w:snapToGrid w:val="0"/>
              <w:jc w:val="center"/>
              <w:rPr>
                <w:rFonts w:ascii="宋体" w:hAnsi="宋体"/>
                <w:spacing w:val="-6"/>
                <w:sz w:val="16"/>
                <w:szCs w:val="16"/>
              </w:rPr>
            </w:pPr>
            <w:r>
              <w:rPr>
                <w:rFonts w:hint="eastAsia" w:ascii="宋体" w:hAnsi="宋体" w:cs="宋体"/>
                <w:spacing w:val="-6"/>
                <w:sz w:val="16"/>
                <w:szCs w:val="16"/>
              </w:rPr>
              <w:t>截至期末承诺投入金额</w:t>
            </w:r>
            <w:r>
              <w:rPr>
                <w:rFonts w:ascii="宋体" w:hAnsi="宋体"/>
                <w:spacing w:val="-6"/>
                <w:sz w:val="16"/>
                <w:szCs w:val="16"/>
              </w:rPr>
              <w:t>(1)</w:t>
            </w:r>
          </w:p>
        </w:tc>
        <w:tc>
          <w:tcPr>
            <w:tcW w:w="1276" w:type="dxa"/>
            <w:tcBorders>
              <w:top w:val="dotted" w:color="auto" w:sz="4" w:space="0"/>
            </w:tcBorders>
            <w:vAlign w:val="center"/>
          </w:tcPr>
          <w:p>
            <w:pPr>
              <w:snapToGrid w:val="0"/>
              <w:jc w:val="center"/>
              <w:rPr>
                <w:rFonts w:ascii="宋体"/>
                <w:spacing w:val="-6"/>
                <w:sz w:val="16"/>
                <w:szCs w:val="16"/>
              </w:rPr>
            </w:pPr>
            <w:r>
              <w:rPr>
                <w:rFonts w:hint="eastAsia" w:ascii="宋体" w:hAnsi="宋体" w:cs="宋体"/>
                <w:spacing w:val="-6"/>
                <w:sz w:val="16"/>
                <w:szCs w:val="16"/>
              </w:rPr>
              <w:t>本年度投入金额</w:t>
            </w:r>
          </w:p>
        </w:tc>
        <w:tc>
          <w:tcPr>
            <w:tcW w:w="1276" w:type="dxa"/>
            <w:vAlign w:val="center"/>
          </w:tcPr>
          <w:p>
            <w:pPr>
              <w:snapToGrid w:val="0"/>
              <w:jc w:val="center"/>
              <w:rPr>
                <w:rFonts w:ascii="宋体" w:hAnsi="宋体"/>
                <w:spacing w:val="-6"/>
                <w:sz w:val="16"/>
                <w:szCs w:val="16"/>
              </w:rPr>
            </w:pPr>
            <w:r>
              <w:rPr>
                <w:rFonts w:hint="eastAsia" w:ascii="宋体" w:hAnsi="宋体" w:cs="宋体"/>
                <w:spacing w:val="-6"/>
                <w:sz w:val="16"/>
                <w:szCs w:val="16"/>
              </w:rPr>
              <w:t>截至期末累计投入金额</w:t>
            </w:r>
            <w:r>
              <w:rPr>
                <w:rFonts w:ascii="宋体" w:hAnsi="宋体"/>
                <w:spacing w:val="-6"/>
                <w:sz w:val="16"/>
                <w:szCs w:val="16"/>
              </w:rPr>
              <w:t>(2)</w:t>
            </w:r>
          </w:p>
        </w:tc>
        <w:tc>
          <w:tcPr>
            <w:tcW w:w="1275" w:type="dxa"/>
            <w:vAlign w:val="center"/>
          </w:tcPr>
          <w:p>
            <w:pPr>
              <w:snapToGrid w:val="0"/>
              <w:jc w:val="center"/>
              <w:rPr>
                <w:rFonts w:ascii="宋体" w:cs="宋体"/>
                <w:spacing w:val="-6"/>
                <w:sz w:val="16"/>
                <w:szCs w:val="16"/>
              </w:rPr>
            </w:pPr>
            <w:r>
              <w:rPr>
                <w:rFonts w:hint="eastAsia" w:ascii="宋体" w:hAnsi="宋体" w:cs="宋体"/>
                <w:spacing w:val="-6"/>
                <w:sz w:val="16"/>
                <w:szCs w:val="16"/>
              </w:rPr>
              <w:t>截至期末累计投入金额与承诺投入金额的差额</w:t>
            </w:r>
          </w:p>
          <w:p>
            <w:pPr>
              <w:snapToGrid w:val="0"/>
              <w:jc w:val="center"/>
              <w:rPr>
                <w:rFonts w:ascii="宋体" w:hAnsi="宋体"/>
                <w:spacing w:val="-6"/>
                <w:sz w:val="16"/>
                <w:szCs w:val="16"/>
              </w:rPr>
            </w:pPr>
            <w:r>
              <w:rPr>
                <w:rFonts w:ascii="宋体" w:hAnsi="宋体"/>
                <w:spacing w:val="-6"/>
                <w:sz w:val="16"/>
                <w:szCs w:val="16"/>
              </w:rPr>
              <w:t>(3)</w:t>
            </w:r>
            <w:r>
              <w:rPr>
                <w:rFonts w:hint="eastAsia" w:ascii="宋体" w:hAnsi="宋体" w:cs="宋体"/>
                <w:spacing w:val="-6"/>
                <w:sz w:val="16"/>
                <w:szCs w:val="16"/>
              </w:rPr>
              <w:t>＝</w:t>
            </w:r>
            <w:r>
              <w:rPr>
                <w:rFonts w:ascii="宋体" w:hAnsi="宋体"/>
                <w:spacing w:val="-6"/>
                <w:sz w:val="16"/>
                <w:szCs w:val="16"/>
              </w:rPr>
              <w:t>(2)-(1)</w:t>
            </w:r>
          </w:p>
        </w:tc>
        <w:tc>
          <w:tcPr>
            <w:tcW w:w="709" w:type="dxa"/>
            <w:vAlign w:val="center"/>
          </w:tcPr>
          <w:p>
            <w:pPr>
              <w:snapToGrid w:val="0"/>
              <w:jc w:val="center"/>
              <w:rPr>
                <w:rFonts w:ascii="宋体" w:hAnsi="宋体"/>
                <w:spacing w:val="-6"/>
                <w:sz w:val="16"/>
                <w:szCs w:val="16"/>
              </w:rPr>
            </w:pPr>
            <w:r>
              <w:rPr>
                <w:rFonts w:hint="eastAsia" w:ascii="宋体" w:hAnsi="宋体" w:cs="宋体"/>
                <w:spacing w:val="-6"/>
                <w:sz w:val="16"/>
                <w:szCs w:val="16"/>
              </w:rPr>
              <w:t>截至期末投入进度（</w:t>
            </w:r>
            <w:r>
              <w:rPr>
                <w:rFonts w:ascii="宋体" w:hAnsi="宋体"/>
                <w:spacing w:val="-6"/>
                <w:sz w:val="16"/>
                <w:szCs w:val="16"/>
              </w:rPr>
              <w:t>%</w:t>
            </w:r>
            <w:r>
              <w:rPr>
                <w:rFonts w:hint="eastAsia" w:ascii="宋体" w:hAnsi="宋体" w:cs="宋体"/>
                <w:spacing w:val="-6"/>
                <w:sz w:val="16"/>
                <w:szCs w:val="16"/>
              </w:rPr>
              <w:t>）</w:t>
            </w:r>
            <w:r>
              <w:rPr>
                <w:rFonts w:ascii="宋体" w:hAnsi="宋体"/>
                <w:spacing w:val="-6"/>
                <w:sz w:val="16"/>
                <w:szCs w:val="16"/>
              </w:rPr>
              <w:t>(4)</w:t>
            </w:r>
            <w:r>
              <w:rPr>
                <w:rFonts w:hint="eastAsia" w:ascii="宋体" w:hAnsi="宋体" w:cs="宋体"/>
                <w:spacing w:val="-6"/>
                <w:sz w:val="16"/>
                <w:szCs w:val="16"/>
              </w:rPr>
              <w:t>＝</w:t>
            </w:r>
            <w:r>
              <w:rPr>
                <w:rFonts w:ascii="宋体" w:hAnsi="宋体"/>
                <w:spacing w:val="-6"/>
                <w:sz w:val="16"/>
                <w:szCs w:val="16"/>
              </w:rPr>
              <w:t>(2)/(1)</w:t>
            </w:r>
          </w:p>
        </w:tc>
        <w:tc>
          <w:tcPr>
            <w:tcW w:w="992" w:type="dxa"/>
            <w:tcBorders>
              <w:top w:val="dotted" w:color="auto" w:sz="4" w:space="0"/>
              <w:bottom w:val="dotted" w:color="auto" w:sz="4" w:space="0"/>
            </w:tcBorders>
            <w:vAlign w:val="center"/>
          </w:tcPr>
          <w:p>
            <w:pPr>
              <w:snapToGrid w:val="0"/>
              <w:jc w:val="center"/>
              <w:rPr>
                <w:rFonts w:ascii="宋体"/>
                <w:spacing w:val="-6"/>
                <w:sz w:val="16"/>
                <w:szCs w:val="16"/>
              </w:rPr>
            </w:pPr>
            <w:r>
              <w:rPr>
                <w:rFonts w:hint="eastAsia" w:ascii="宋体" w:hAnsi="宋体" w:cs="宋体"/>
                <w:spacing w:val="-6"/>
                <w:sz w:val="16"/>
                <w:szCs w:val="16"/>
              </w:rPr>
              <w:t>项目达到预定可使用状态日期</w:t>
            </w:r>
          </w:p>
        </w:tc>
        <w:tc>
          <w:tcPr>
            <w:tcW w:w="993" w:type="dxa"/>
            <w:tcBorders>
              <w:top w:val="dotted" w:color="auto" w:sz="4" w:space="0"/>
            </w:tcBorders>
            <w:vAlign w:val="center"/>
          </w:tcPr>
          <w:p>
            <w:pPr>
              <w:snapToGrid w:val="0"/>
              <w:jc w:val="center"/>
              <w:rPr>
                <w:rFonts w:ascii="宋体"/>
                <w:spacing w:val="-6"/>
                <w:sz w:val="16"/>
                <w:szCs w:val="16"/>
              </w:rPr>
            </w:pPr>
            <w:r>
              <w:rPr>
                <w:rFonts w:hint="eastAsia" w:ascii="宋体" w:hAnsi="宋体" w:cs="宋体"/>
                <w:spacing w:val="-6"/>
                <w:sz w:val="16"/>
                <w:szCs w:val="16"/>
              </w:rPr>
              <w:t>本年度实现的效益</w:t>
            </w:r>
          </w:p>
        </w:tc>
        <w:tc>
          <w:tcPr>
            <w:tcW w:w="708" w:type="dxa"/>
            <w:tcBorders>
              <w:top w:val="dotted" w:color="auto" w:sz="4" w:space="0"/>
            </w:tcBorders>
            <w:vAlign w:val="center"/>
          </w:tcPr>
          <w:p>
            <w:pPr>
              <w:snapToGrid w:val="0"/>
              <w:jc w:val="center"/>
              <w:rPr>
                <w:rFonts w:ascii="宋体"/>
                <w:spacing w:val="-6"/>
                <w:sz w:val="16"/>
                <w:szCs w:val="16"/>
              </w:rPr>
            </w:pPr>
            <w:r>
              <w:rPr>
                <w:rFonts w:hint="eastAsia" w:ascii="宋体" w:hAnsi="宋体" w:cs="宋体"/>
                <w:spacing w:val="-6"/>
                <w:sz w:val="16"/>
                <w:szCs w:val="16"/>
              </w:rPr>
              <w:t>是否达到预计效益</w:t>
            </w:r>
          </w:p>
        </w:tc>
        <w:tc>
          <w:tcPr>
            <w:tcW w:w="567" w:type="dxa"/>
            <w:tcBorders>
              <w:top w:val="dotted" w:color="auto" w:sz="4" w:space="0"/>
            </w:tcBorders>
            <w:vAlign w:val="center"/>
          </w:tcPr>
          <w:p>
            <w:pPr>
              <w:snapToGrid w:val="0"/>
              <w:ind w:left="-21" w:leftChars="-10" w:right="-21" w:rightChars="-10"/>
              <w:jc w:val="center"/>
              <w:rPr>
                <w:rFonts w:ascii="宋体"/>
                <w:spacing w:val="-6"/>
                <w:sz w:val="16"/>
                <w:szCs w:val="16"/>
              </w:rPr>
            </w:pPr>
            <w:r>
              <w:rPr>
                <w:rFonts w:hint="eastAsia" w:ascii="宋体" w:hAnsi="宋体" w:cs="宋体"/>
                <w:spacing w:val="-6"/>
                <w:sz w:val="16"/>
                <w:szCs w:val="16"/>
              </w:rPr>
              <w:t>项目可行性是否发生重大变化</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1418" w:type="dxa"/>
            <w:vAlign w:val="center"/>
          </w:tcPr>
          <w:p>
            <w:pPr>
              <w:snapToGrid w:val="0"/>
              <w:jc w:val="left"/>
              <w:rPr>
                <w:rFonts w:ascii="宋体"/>
                <w:sz w:val="18"/>
                <w:szCs w:val="18"/>
              </w:rPr>
            </w:pPr>
            <w:r>
              <w:rPr>
                <w:rFonts w:hint="eastAsia" w:ascii="宋体"/>
                <w:sz w:val="18"/>
                <w:szCs w:val="18"/>
              </w:rPr>
              <w:t>智能成套电气设备产业基地项目</w:t>
            </w:r>
          </w:p>
        </w:tc>
        <w:tc>
          <w:tcPr>
            <w:tcW w:w="1134" w:type="dxa"/>
            <w:vAlign w:val="center"/>
          </w:tcPr>
          <w:p>
            <w:pPr>
              <w:snapToGrid w:val="0"/>
              <w:jc w:val="center"/>
              <w:rPr>
                <w:rFonts w:ascii="宋体"/>
                <w:sz w:val="18"/>
                <w:szCs w:val="18"/>
              </w:rPr>
            </w:pPr>
            <w:r>
              <w:rPr>
                <w:rFonts w:hint="eastAsia" w:ascii="宋体"/>
                <w:sz w:val="18"/>
                <w:szCs w:val="18"/>
              </w:rPr>
              <w:t>部分变更</w:t>
            </w:r>
          </w:p>
        </w:tc>
        <w:tc>
          <w:tcPr>
            <w:tcW w:w="1134" w:type="dxa"/>
            <w:vAlign w:val="center"/>
          </w:tcPr>
          <w:p>
            <w:pPr>
              <w:snapToGrid w:val="0"/>
              <w:jc w:val="right"/>
              <w:rPr>
                <w:rFonts w:ascii="Arial Narrow" w:hAnsi="Arial Narrow"/>
                <w:kern w:val="0"/>
                <w:sz w:val="18"/>
                <w:szCs w:val="18"/>
              </w:rPr>
            </w:pPr>
            <w:r>
              <w:rPr>
                <w:rFonts w:ascii="Arial Narrow" w:hAnsi="Arial Narrow"/>
                <w:kern w:val="0"/>
                <w:sz w:val="18"/>
                <w:szCs w:val="18"/>
              </w:rPr>
              <w:t>390,429,100.00</w:t>
            </w:r>
          </w:p>
        </w:tc>
        <w:tc>
          <w:tcPr>
            <w:tcW w:w="1417" w:type="dxa"/>
            <w:vAlign w:val="center"/>
          </w:tcPr>
          <w:p>
            <w:pPr>
              <w:snapToGrid w:val="0"/>
              <w:jc w:val="right"/>
              <w:rPr>
                <w:rFonts w:ascii="Arial Narrow" w:hAnsi="Arial Narrow"/>
                <w:kern w:val="0"/>
                <w:sz w:val="18"/>
                <w:szCs w:val="18"/>
              </w:rPr>
            </w:pPr>
            <w:r>
              <w:rPr>
                <w:rFonts w:ascii="Arial Narrow" w:hAnsi="Arial Narrow"/>
                <w:kern w:val="0"/>
                <w:sz w:val="18"/>
                <w:szCs w:val="18"/>
              </w:rPr>
              <w:t>242,684,700.00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242,684,700.00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100,462,407.68</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198,353,000.91</w:t>
            </w:r>
          </w:p>
        </w:tc>
        <w:tc>
          <w:tcPr>
            <w:tcW w:w="1275" w:type="dxa"/>
            <w:vAlign w:val="center"/>
          </w:tcPr>
          <w:p>
            <w:pPr>
              <w:snapToGrid w:val="0"/>
              <w:jc w:val="right"/>
              <w:rPr>
                <w:rFonts w:ascii="Arial Narrow" w:hAnsi="Arial Narrow"/>
                <w:kern w:val="0"/>
                <w:sz w:val="18"/>
                <w:szCs w:val="18"/>
              </w:rPr>
            </w:pPr>
            <w:r>
              <w:rPr>
                <w:rFonts w:ascii="Arial Narrow" w:hAnsi="Arial Narrow"/>
                <w:kern w:val="0"/>
                <w:sz w:val="18"/>
                <w:szCs w:val="18"/>
              </w:rPr>
              <w:t>44,331,699.09</w:t>
            </w:r>
          </w:p>
        </w:tc>
        <w:tc>
          <w:tcPr>
            <w:tcW w:w="709" w:type="dxa"/>
            <w:vAlign w:val="center"/>
          </w:tcPr>
          <w:p>
            <w:pPr>
              <w:snapToGrid w:val="0"/>
              <w:jc w:val="right"/>
              <w:rPr>
                <w:rFonts w:ascii="Arial Narrow" w:hAnsi="Arial Narrow"/>
                <w:kern w:val="0"/>
                <w:sz w:val="18"/>
                <w:szCs w:val="18"/>
              </w:rPr>
            </w:pPr>
            <w:r>
              <w:rPr>
                <w:rFonts w:ascii="Arial Narrow" w:hAnsi="Arial Narrow"/>
                <w:kern w:val="0"/>
                <w:sz w:val="18"/>
                <w:szCs w:val="18"/>
              </w:rPr>
              <w:t>81.73%</w:t>
            </w:r>
          </w:p>
        </w:tc>
        <w:tc>
          <w:tcPr>
            <w:tcW w:w="992" w:type="dxa"/>
            <w:tcBorders>
              <w:top w:val="dotted" w:color="auto" w:sz="4" w:space="0"/>
            </w:tcBorders>
            <w:vAlign w:val="center"/>
          </w:tcPr>
          <w:p>
            <w:pPr>
              <w:snapToGrid w:val="0"/>
              <w:jc w:val="center"/>
              <w:rPr>
                <w:rFonts w:ascii="Arial Narrow" w:hAnsi="Arial Narrow"/>
                <w:kern w:val="0"/>
                <w:sz w:val="18"/>
                <w:szCs w:val="18"/>
              </w:rPr>
            </w:pPr>
            <w:r>
              <w:rPr>
                <w:rFonts w:ascii="Arial Narrow" w:hAnsi="Arial Narrow"/>
                <w:kern w:val="0"/>
                <w:sz w:val="18"/>
                <w:szCs w:val="18"/>
              </w:rPr>
              <w:t>2024年4月</w:t>
            </w:r>
          </w:p>
        </w:tc>
        <w:tc>
          <w:tcPr>
            <w:tcW w:w="993" w:type="dxa"/>
            <w:vAlign w:val="center"/>
          </w:tcPr>
          <w:p>
            <w:pPr>
              <w:snapToGrid w:val="0"/>
              <w:jc w:val="center"/>
              <w:rPr>
                <w:rFonts w:ascii="Arial Narrow" w:hAnsi="Arial Narrow"/>
                <w:sz w:val="18"/>
                <w:szCs w:val="18"/>
              </w:rPr>
            </w:pPr>
            <w:r>
              <w:rPr>
                <w:rFonts w:ascii="Arial Narrow" w:hAnsi="Arial Narrow"/>
                <w:sz w:val="18"/>
                <w:szCs w:val="18"/>
              </w:rPr>
              <w:t>-</w:t>
            </w:r>
          </w:p>
        </w:tc>
        <w:tc>
          <w:tcPr>
            <w:tcW w:w="708" w:type="dxa"/>
            <w:vAlign w:val="center"/>
          </w:tcPr>
          <w:p>
            <w:pPr>
              <w:snapToGrid w:val="0"/>
              <w:jc w:val="center"/>
              <w:rPr>
                <w:rFonts w:ascii="宋体"/>
                <w:sz w:val="18"/>
                <w:szCs w:val="18"/>
              </w:rPr>
            </w:pPr>
            <w:r>
              <w:rPr>
                <w:rFonts w:hint="eastAsia" w:ascii="宋体"/>
                <w:sz w:val="18"/>
                <w:szCs w:val="18"/>
              </w:rPr>
              <w:t>项目尚在建设中</w:t>
            </w:r>
          </w:p>
        </w:tc>
        <w:tc>
          <w:tcPr>
            <w:tcW w:w="567" w:type="dxa"/>
            <w:vAlign w:val="center"/>
          </w:tcPr>
          <w:p>
            <w:pPr>
              <w:snapToGrid w:val="0"/>
              <w:jc w:val="center"/>
              <w:rPr>
                <w:rFonts w:ascii="宋体"/>
                <w:sz w:val="18"/>
                <w:szCs w:val="18"/>
              </w:rPr>
            </w:pPr>
            <w:r>
              <w:rPr>
                <w:rFonts w:hint="eastAsia" w:ascii="宋体"/>
                <w:sz w:val="18"/>
                <w:szCs w:val="18"/>
              </w:rPr>
              <w:t>否</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1418" w:type="dxa"/>
            <w:vAlign w:val="center"/>
          </w:tcPr>
          <w:p>
            <w:pPr>
              <w:snapToGrid w:val="0"/>
              <w:jc w:val="left"/>
              <w:rPr>
                <w:rFonts w:ascii="宋体"/>
                <w:sz w:val="18"/>
                <w:szCs w:val="18"/>
              </w:rPr>
            </w:pPr>
            <w:r>
              <w:rPr>
                <w:rFonts w:hint="eastAsia" w:ascii="宋体"/>
                <w:sz w:val="18"/>
                <w:szCs w:val="18"/>
              </w:rPr>
              <w:t>110kV及以下节能型变压器智能化工厂技改项目</w:t>
            </w:r>
          </w:p>
        </w:tc>
        <w:tc>
          <w:tcPr>
            <w:tcW w:w="1134" w:type="dxa"/>
            <w:vAlign w:val="center"/>
          </w:tcPr>
          <w:p>
            <w:pPr>
              <w:snapToGrid w:val="0"/>
              <w:jc w:val="center"/>
              <w:rPr>
                <w:rFonts w:ascii="宋体"/>
                <w:sz w:val="18"/>
                <w:szCs w:val="18"/>
              </w:rPr>
            </w:pPr>
          </w:p>
        </w:tc>
        <w:tc>
          <w:tcPr>
            <w:tcW w:w="1134" w:type="dxa"/>
            <w:vAlign w:val="center"/>
          </w:tcPr>
          <w:p>
            <w:pPr>
              <w:snapToGrid w:val="0"/>
              <w:jc w:val="right"/>
              <w:rPr>
                <w:rFonts w:ascii="Arial Narrow" w:hAnsi="Arial Narrow"/>
                <w:kern w:val="0"/>
                <w:sz w:val="18"/>
                <w:szCs w:val="18"/>
              </w:rPr>
            </w:pPr>
            <w:r>
              <w:rPr>
                <w:rFonts w:ascii="Arial Narrow" w:hAnsi="Arial Narrow"/>
                <w:kern w:val="0"/>
                <w:sz w:val="18"/>
                <w:szCs w:val="18"/>
              </w:rPr>
              <w:t>73,305,900.00</w:t>
            </w:r>
          </w:p>
        </w:tc>
        <w:tc>
          <w:tcPr>
            <w:tcW w:w="1417" w:type="dxa"/>
            <w:vAlign w:val="center"/>
          </w:tcPr>
          <w:p>
            <w:pPr>
              <w:snapToGrid w:val="0"/>
              <w:jc w:val="right"/>
              <w:rPr>
                <w:rFonts w:ascii="Arial Narrow" w:hAnsi="Arial Narrow"/>
                <w:kern w:val="0"/>
                <w:sz w:val="18"/>
                <w:szCs w:val="18"/>
              </w:rPr>
            </w:pPr>
            <w:r>
              <w:rPr>
                <w:rFonts w:ascii="Arial Narrow" w:hAnsi="Arial Narrow"/>
                <w:kern w:val="0"/>
                <w:sz w:val="18"/>
                <w:szCs w:val="18"/>
              </w:rPr>
              <w:t>73,305,900.00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73,305,900.00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32,745,787.40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36,042,083.40</w:t>
            </w:r>
          </w:p>
        </w:tc>
        <w:tc>
          <w:tcPr>
            <w:tcW w:w="1275" w:type="dxa"/>
            <w:vAlign w:val="center"/>
          </w:tcPr>
          <w:p>
            <w:pPr>
              <w:snapToGrid w:val="0"/>
              <w:jc w:val="right"/>
              <w:rPr>
                <w:rFonts w:ascii="Arial Narrow" w:hAnsi="Arial Narrow"/>
                <w:kern w:val="0"/>
                <w:sz w:val="18"/>
                <w:szCs w:val="18"/>
              </w:rPr>
            </w:pPr>
            <w:r>
              <w:rPr>
                <w:rFonts w:ascii="Arial Narrow" w:hAnsi="Arial Narrow"/>
                <w:kern w:val="0"/>
                <w:sz w:val="18"/>
                <w:szCs w:val="18"/>
              </w:rPr>
              <w:t>37,263,816.60</w:t>
            </w:r>
          </w:p>
        </w:tc>
        <w:tc>
          <w:tcPr>
            <w:tcW w:w="709" w:type="dxa"/>
            <w:vAlign w:val="center"/>
          </w:tcPr>
          <w:p>
            <w:pPr>
              <w:snapToGrid w:val="0"/>
              <w:jc w:val="right"/>
              <w:rPr>
                <w:rFonts w:ascii="Arial Narrow" w:hAnsi="Arial Narrow"/>
                <w:kern w:val="0"/>
                <w:sz w:val="18"/>
                <w:szCs w:val="18"/>
              </w:rPr>
            </w:pPr>
            <w:r>
              <w:rPr>
                <w:rFonts w:ascii="Arial Narrow" w:hAnsi="Arial Narrow"/>
                <w:kern w:val="0"/>
                <w:sz w:val="18"/>
                <w:szCs w:val="18"/>
              </w:rPr>
              <w:t>49.17%</w:t>
            </w:r>
          </w:p>
        </w:tc>
        <w:tc>
          <w:tcPr>
            <w:tcW w:w="992" w:type="dxa"/>
            <w:vAlign w:val="center"/>
          </w:tcPr>
          <w:p>
            <w:pPr>
              <w:snapToGrid w:val="0"/>
              <w:jc w:val="center"/>
              <w:rPr>
                <w:rFonts w:ascii="Arial Narrow" w:hAnsi="Arial Narrow"/>
                <w:kern w:val="0"/>
                <w:sz w:val="18"/>
                <w:szCs w:val="18"/>
              </w:rPr>
            </w:pPr>
            <w:r>
              <w:rPr>
                <w:rFonts w:ascii="Arial Narrow" w:hAnsi="Arial Narrow"/>
                <w:kern w:val="0"/>
                <w:sz w:val="18"/>
                <w:szCs w:val="18"/>
              </w:rPr>
              <w:t>2024年4月</w:t>
            </w:r>
          </w:p>
        </w:tc>
        <w:tc>
          <w:tcPr>
            <w:tcW w:w="993" w:type="dxa"/>
            <w:vAlign w:val="center"/>
          </w:tcPr>
          <w:p>
            <w:pPr>
              <w:snapToGrid w:val="0"/>
              <w:jc w:val="center"/>
              <w:rPr>
                <w:rFonts w:ascii="Arial Narrow" w:hAnsi="Arial Narrow"/>
                <w:sz w:val="18"/>
                <w:szCs w:val="18"/>
              </w:rPr>
            </w:pPr>
            <w:r>
              <w:rPr>
                <w:rFonts w:ascii="Arial Narrow" w:hAnsi="Arial Narrow"/>
                <w:sz w:val="18"/>
                <w:szCs w:val="18"/>
              </w:rPr>
              <w:t>-</w:t>
            </w:r>
          </w:p>
        </w:tc>
        <w:tc>
          <w:tcPr>
            <w:tcW w:w="708" w:type="dxa"/>
            <w:vAlign w:val="center"/>
          </w:tcPr>
          <w:p>
            <w:pPr>
              <w:snapToGrid w:val="0"/>
              <w:jc w:val="center"/>
              <w:rPr>
                <w:rFonts w:ascii="宋体"/>
                <w:sz w:val="18"/>
                <w:szCs w:val="18"/>
              </w:rPr>
            </w:pPr>
            <w:r>
              <w:rPr>
                <w:rFonts w:hint="eastAsia" w:ascii="宋体"/>
                <w:sz w:val="18"/>
                <w:szCs w:val="18"/>
              </w:rPr>
              <w:t>项目尚在建设中</w:t>
            </w:r>
          </w:p>
        </w:tc>
        <w:tc>
          <w:tcPr>
            <w:tcW w:w="567" w:type="dxa"/>
            <w:vAlign w:val="center"/>
          </w:tcPr>
          <w:p>
            <w:pPr>
              <w:snapToGrid w:val="0"/>
              <w:jc w:val="center"/>
              <w:rPr>
                <w:rFonts w:ascii="宋体"/>
                <w:sz w:val="18"/>
                <w:szCs w:val="18"/>
              </w:rPr>
            </w:pPr>
            <w:r>
              <w:rPr>
                <w:rFonts w:hint="eastAsia" w:ascii="宋体"/>
                <w:sz w:val="18"/>
                <w:szCs w:val="18"/>
              </w:rPr>
              <w:t>否</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1418" w:type="dxa"/>
            <w:vAlign w:val="center"/>
          </w:tcPr>
          <w:p>
            <w:pPr>
              <w:snapToGrid w:val="0"/>
              <w:jc w:val="left"/>
              <w:rPr>
                <w:rFonts w:ascii="宋体"/>
                <w:sz w:val="18"/>
                <w:szCs w:val="18"/>
              </w:rPr>
            </w:pPr>
            <w:r>
              <w:rPr>
                <w:rFonts w:hint="eastAsia" w:ascii="宋体"/>
                <w:sz w:val="18"/>
                <w:szCs w:val="18"/>
              </w:rPr>
              <w:t>低铁损高磁感硅钢铁心智能制造项目</w:t>
            </w:r>
            <w:r>
              <w:rPr>
                <w:rFonts w:hint="eastAsia" w:ascii="宋体" w:cs="宋体"/>
                <w:kern w:val="0"/>
                <w:sz w:val="18"/>
                <w:szCs w:val="18"/>
              </w:rPr>
              <w:t>（注1）</w:t>
            </w:r>
          </w:p>
        </w:tc>
        <w:tc>
          <w:tcPr>
            <w:tcW w:w="1134" w:type="dxa"/>
            <w:vAlign w:val="center"/>
          </w:tcPr>
          <w:p>
            <w:pPr>
              <w:snapToGrid w:val="0"/>
              <w:jc w:val="center"/>
              <w:rPr>
                <w:rFonts w:ascii="宋体"/>
                <w:sz w:val="18"/>
                <w:szCs w:val="18"/>
              </w:rPr>
            </w:pPr>
          </w:p>
        </w:tc>
        <w:tc>
          <w:tcPr>
            <w:tcW w:w="1134" w:type="dxa"/>
            <w:vAlign w:val="center"/>
          </w:tcPr>
          <w:p>
            <w:pPr>
              <w:snapToGrid w:val="0"/>
              <w:jc w:val="right"/>
              <w:rPr>
                <w:rFonts w:ascii="Arial Narrow" w:hAnsi="Arial Narrow"/>
                <w:kern w:val="0"/>
                <w:sz w:val="18"/>
                <w:szCs w:val="18"/>
              </w:rPr>
            </w:pPr>
            <w:r>
              <w:rPr>
                <w:rFonts w:ascii="Arial Narrow" w:hAnsi="Arial Narrow"/>
                <w:kern w:val="0"/>
                <w:sz w:val="18"/>
                <w:szCs w:val="18"/>
              </w:rPr>
              <w:t>128,326,800.00</w:t>
            </w:r>
          </w:p>
        </w:tc>
        <w:tc>
          <w:tcPr>
            <w:tcW w:w="1417" w:type="dxa"/>
            <w:vAlign w:val="center"/>
          </w:tcPr>
          <w:p>
            <w:pPr>
              <w:snapToGrid w:val="0"/>
              <w:jc w:val="right"/>
              <w:rPr>
                <w:rFonts w:ascii="Arial Narrow" w:hAnsi="Arial Narrow"/>
                <w:kern w:val="0"/>
                <w:sz w:val="18"/>
                <w:szCs w:val="18"/>
              </w:rPr>
            </w:pPr>
            <w:r>
              <w:rPr>
                <w:rFonts w:ascii="Arial Narrow" w:hAnsi="Arial Narrow"/>
                <w:kern w:val="0"/>
                <w:sz w:val="18"/>
                <w:szCs w:val="18"/>
              </w:rPr>
              <w:t>128,326,800.00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128,326,800.00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39,657,239.92</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130,078,692.00</w:t>
            </w:r>
          </w:p>
        </w:tc>
        <w:tc>
          <w:tcPr>
            <w:tcW w:w="1275" w:type="dxa"/>
            <w:vAlign w:val="center"/>
          </w:tcPr>
          <w:p>
            <w:pPr>
              <w:snapToGrid w:val="0"/>
              <w:jc w:val="right"/>
              <w:rPr>
                <w:rFonts w:ascii="Arial Narrow" w:hAnsi="Arial Narrow"/>
                <w:kern w:val="0"/>
                <w:sz w:val="18"/>
                <w:szCs w:val="18"/>
              </w:rPr>
            </w:pPr>
            <w:r>
              <w:rPr>
                <w:rFonts w:ascii="Arial Narrow" w:hAnsi="Arial Narrow"/>
                <w:kern w:val="0"/>
                <w:sz w:val="18"/>
                <w:szCs w:val="18"/>
              </w:rPr>
              <w:t>-1,751,892.00</w:t>
            </w:r>
          </w:p>
        </w:tc>
        <w:tc>
          <w:tcPr>
            <w:tcW w:w="709" w:type="dxa"/>
            <w:vAlign w:val="center"/>
          </w:tcPr>
          <w:p>
            <w:pPr>
              <w:snapToGrid w:val="0"/>
              <w:jc w:val="right"/>
              <w:rPr>
                <w:rFonts w:ascii="Arial Narrow" w:hAnsi="Arial Narrow"/>
                <w:kern w:val="0"/>
                <w:sz w:val="18"/>
                <w:szCs w:val="18"/>
              </w:rPr>
            </w:pPr>
            <w:r>
              <w:rPr>
                <w:rFonts w:ascii="Arial Narrow" w:hAnsi="Arial Narrow"/>
                <w:kern w:val="0"/>
                <w:sz w:val="18"/>
                <w:szCs w:val="18"/>
              </w:rPr>
              <w:t>101.37%</w:t>
            </w:r>
          </w:p>
        </w:tc>
        <w:tc>
          <w:tcPr>
            <w:tcW w:w="992" w:type="dxa"/>
            <w:vAlign w:val="center"/>
          </w:tcPr>
          <w:p>
            <w:pPr>
              <w:snapToGrid w:val="0"/>
              <w:jc w:val="center"/>
              <w:rPr>
                <w:rFonts w:ascii="Arial Narrow" w:hAnsi="Arial Narrow"/>
                <w:kern w:val="0"/>
                <w:sz w:val="18"/>
                <w:szCs w:val="18"/>
              </w:rPr>
            </w:pPr>
            <w:r>
              <w:rPr>
                <w:rFonts w:ascii="Arial Narrow" w:hAnsi="Arial Narrow"/>
                <w:kern w:val="0"/>
                <w:sz w:val="18"/>
                <w:szCs w:val="18"/>
              </w:rPr>
              <w:t>2023年6月</w:t>
            </w:r>
          </w:p>
        </w:tc>
        <w:tc>
          <w:tcPr>
            <w:tcW w:w="993" w:type="dxa"/>
            <w:vAlign w:val="center"/>
          </w:tcPr>
          <w:p>
            <w:pPr>
              <w:snapToGrid w:val="0"/>
              <w:jc w:val="right"/>
              <w:rPr>
                <w:rFonts w:ascii="Arial Narrow" w:hAnsi="Arial Narrow"/>
                <w:sz w:val="18"/>
                <w:szCs w:val="18"/>
              </w:rPr>
            </w:pPr>
            <w:r>
              <w:rPr>
                <w:rFonts w:ascii="Arial Narrow" w:hAnsi="Arial Narrow"/>
                <w:sz w:val="18"/>
                <w:szCs w:val="18"/>
              </w:rPr>
              <w:t>8,813,557.52</w:t>
            </w:r>
          </w:p>
        </w:tc>
        <w:tc>
          <w:tcPr>
            <w:tcW w:w="708" w:type="dxa"/>
            <w:vAlign w:val="center"/>
          </w:tcPr>
          <w:p>
            <w:pPr>
              <w:snapToGrid w:val="0"/>
              <w:jc w:val="center"/>
              <w:rPr>
                <w:rFonts w:ascii="宋体"/>
                <w:sz w:val="18"/>
                <w:szCs w:val="18"/>
              </w:rPr>
            </w:pPr>
            <w:r>
              <w:rPr>
                <w:rFonts w:hint="eastAsia" w:ascii="宋体"/>
                <w:sz w:val="18"/>
                <w:szCs w:val="18"/>
              </w:rPr>
              <w:t>是</w:t>
            </w:r>
          </w:p>
        </w:tc>
        <w:tc>
          <w:tcPr>
            <w:tcW w:w="567" w:type="dxa"/>
            <w:vAlign w:val="center"/>
          </w:tcPr>
          <w:p>
            <w:pPr>
              <w:snapToGrid w:val="0"/>
              <w:jc w:val="center"/>
              <w:rPr>
                <w:rFonts w:ascii="宋体"/>
                <w:sz w:val="18"/>
                <w:szCs w:val="18"/>
              </w:rPr>
            </w:pPr>
            <w:r>
              <w:rPr>
                <w:rFonts w:hint="eastAsia" w:ascii="宋体"/>
                <w:sz w:val="18"/>
                <w:szCs w:val="18"/>
              </w:rPr>
              <w:t>否</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1418" w:type="dxa"/>
            <w:vAlign w:val="center"/>
          </w:tcPr>
          <w:p>
            <w:pPr>
              <w:snapToGrid w:val="0"/>
              <w:jc w:val="left"/>
              <w:rPr>
                <w:rFonts w:ascii="宋体"/>
                <w:sz w:val="18"/>
                <w:szCs w:val="18"/>
              </w:rPr>
            </w:pPr>
            <w:r>
              <w:rPr>
                <w:rFonts w:hint="eastAsia" w:ascii="宋体"/>
                <w:sz w:val="18"/>
                <w:szCs w:val="18"/>
              </w:rPr>
              <w:t>研发中心及信息化建设项目</w:t>
            </w:r>
          </w:p>
        </w:tc>
        <w:tc>
          <w:tcPr>
            <w:tcW w:w="1134" w:type="dxa"/>
            <w:vAlign w:val="center"/>
          </w:tcPr>
          <w:p>
            <w:pPr>
              <w:snapToGrid w:val="0"/>
              <w:jc w:val="center"/>
              <w:rPr>
                <w:rFonts w:ascii="宋体"/>
                <w:sz w:val="18"/>
                <w:szCs w:val="18"/>
              </w:rPr>
            </w:pPr>
          </w:p>
        </w:tc>
        <w:tc>
          <w:tcPr>
            <w:tcW w:w="1134" w:type="dxa"/>
            <w:vAlign w:val="center"/>
          </w:tcPr>
          <w:p>
            <w:pPr>
              <w:snapToGrid w:val="0"/>
              <w:jc w:val="right"/>
              <w:rPr>
                <w:rFonts w:ascii="Arial Narrow" w:hAnsi="Arial Narrow"/>
                <w:kern w:val="0"/>
                <w:sz w:val="18"/>
                <w:szCs w:val="18"/>
              </w:rPr>
            </w:pPr>
            <w:r>
              <w:rPr>
                <w:rFonts w:ascii="Arial Narrow" w:hAnsi="Arial Narrow"/>
                <w:kern w:val="0"/>
                <w:sz w:val="18"/>
                <w:szCs w:val="18"/>
              </w:rPr>
              <w:t>62,500,000.00</w:t>
            </w:r>
          </w:p>
        </w:tc>
        <w:tc>
          <w:tcPr>
            <w:tcW w:w="1417" w:type="dxa"/>
            <w:vAlign w:val="center"/>
          </w:tcPr>
          <w:p>
            <w:pPr>
              <w:snapToGrid w:val="0"/>
              <w:jc w:val="right"/>
              <w:rPr>
                <w:rFonts w:ascii="Arial Narrow" w:hAnsi="Arial Narrow"/>
                <w:kern w:val="0"/>
                <w:sz w:val="18"/>
                <w:szCs w:val="18"/>
              </w:rPr>
            </w:pPr>
            <w:r>
              <w:rPr>
                <w:rFonts w:ascii="Arial Narrow" w:hAnsi="Arial Narrow"/>
                <w:kern w:val="0"/>
                <w:sz w:val="18"/>
                <w:szCs w:val="18"/>
              </w:rPr>
              <w:t>62,500,000.00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62,500,000.00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9,009,389.40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29,123,812.34</w:t>
            </w:r>
          </w:p>
        </w:tc>
        <w:tc>
          <w:tcPr>
            <w:tcW w:w="1275" w:type="dxa"/>
            <w:vAlign w:val="center"/>
          </w:tcPr>
          <w:p>
            <w:pPr>
              <w:snapToGrid w:val="0"/>
              <w:jc w:val="right"/>
              <w:rPr>
                <w:rFonts w:ascii="Arial Narrow" w:hAnsi="Arial Narrow"/>
                <w:kern w:val="0"/>
                <w:sz w:val="18"/>
                <w:szCs w:val="18"/>
              </w:rPr>
            </w:pPr>
            <w:r>
              <w:rPr>
                <w:rFonts w:ascii="Arial Narrow" w:hAnsi="Arial Narrow"/>
                <w:kern w:val="0"/>
                <w:sz w:val="18"/>
                <w:szCs w:val="18"/>
              </w:rPr>
              <w:t>33,376,187.66</w:t>
            </w:r>
          </w:p>
        </w:tc>
        <w:tc>
          <w:tcPr>
            <w:tcW w:w="709" w:type="dxa"/>
            <w:vAlign w:val="center"/>
          </w:tcPr>
          <w:p>
            <w:pPr>
              <w:snapToGrid w:val="0"/>
              <w:jc w:val="right"/>
              <w:rPr>
                <w:rFonts w:ascii="Arial Narrow" w:hAnsi="Arial Narrow"/>
                <w:kern w:val="0"/>
                <w:sz w:val="18"/>
                <w:szCs w:val="18"/>
              </w:rPr>
            </w:pPr>
            <w:r>
              <w:rPr>
                <w:rFonts w:ascii="Arial Narrow" w:hAnsi="Arial Narrow"/>
                <w:kern w:val="0"/>
                <w:sz w:val="18"/>
                <w:szCs w:val="18"/>
              </w:rPr>
              <w:t>46.60%</w:t>
            </w:r>
          </w:p>
        </w:tc>
        <w:tc>
          <w:tcPr>
            <w:tcW w:w="992" w:type="dxa"/>
            <w:vAlign w:val="center"/>
          </w:tcPr>
          <w:p>
            <w:pPr>
              <w:snapToGrid w:val="0"/>
              <w:jc w:val="center"/>
              <w:rPr>
                <w:rFonts w:ascii="Arial Narrow" w:hAnsi="Arial Narrow"/>
                <w:kern w:val="0"/>
                <w:sz w:val="18"/>
                <w:szCs w:val="18"/>
              </w:rPr>
            </w:pPr>
            <w:r>
              <w:rPr>
                <w:rFonts w:ascii="Arial Narrow" w:hAnsi="Arial Narrow"/>
                <w:kern w:val="0"/>
                <w:sz w:val="18"/>
                <w:szCs w:val="18"/>
              </w:rPr>
              <w:t>2024年4月</w:t>
            </w:r>
          </w:p>
        </w:tc>
        <w:tc>
          <w:tcPr>
            <w:tcW w:w="993" w:type="dxa"/>
            <w:vAlign w:val="center"/>
          </w:tcPr>
          <w:p>
            <w:pPr>
              <w:snapToGrid w:val="0"/>
              <w:jc w:val="center"/>
              <w:rPr>
                <w:rFonts w:ascii="Arial Narrow" w:hAnsi="Arial Narrow"/>
                <w:sz w:val="18"/>
                <w:szCs w:val="18"/>
              </w:rPr>
            </w:pPr>
            <w:r>
              <w:rPr>
                <w:rFonts w:ascii="Arial Narrow" w:hAnsi="Arial Narrow"/>
                <w:sz w:val="18"/>
                <w:szCs w:val="18"/>
              </w:rPr>
              <w:t>-</w:t>
            </w:r>
          </w:p>
        </w:tc>
        <w:tc>
          <w:tcPr>
            <w:tcW w:w="708" w:type="dxa"/>
            <w:vAlign w:val="center"/>
          </w:tcPr>
          <w:p>
            <w:pPr>
              <w:snapToGrid w:val="0"/>
              <w:jc w:val="center"/>
              <w:rPr>
                <w:rFonts w:ascii="宋体"/>
                <w:sz w:val="18"/>
                <w:szCs w:val="18"/>
              </w:rPr>
            </w:pPr>
            <w:r>
              <w:rPr>
                <w:rFonts w:hint="eastAsia" w:ascii="宋体"/>
                <w:sz w:val="18"/>
                <w:szCs w:val="18"/>
              </w:rPr>
              <w:t>不适用</w:t>
            </w:r>
          </w:p>
        </w:tc>
        <w:tc>
          <w:tcPr>
            <w:tcW w:w="567" w:type="dxa"/>
            <w:vAlign w:val="center"/>
          </w:tcPr>
          <w:p>
            <w:pPr>
              <w:snapToGrid w:val="0"/>
              <w:jc w:val="center"/>
              <w:rPr>
                <w:rFonts w:ascii="宋体"/>
                <w:sz w:val="18"/>
                <w:szCs w:val="18"/>
              </w:rPr>
            </w:pPr>
            <w:r>
              <w:rPr>
                <w:rFonts w:hint="eastAsia" w:ascii="宋体"/>
                <w:sz w:val="18"/>
                <w:szCs w:val="18"/>
              </w:rPr>
              <w:t>否</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1418" w:type="dxa"/>
            <w:vAlign w:val="center"/>
          </w:tcPr>
          <w:p>
            <w:pPr>
              <w:snapToGrid w:val="0"/>
              <w:jc w:val="left"/>
              <w:rPr>
                <w:rFonts w:ascii="宋体"/>
                <w:sz w:val="18"/>
                <w:szCs w:val="18"/>
              </w:rPr>
            </w:pPr>
            <w:r>
              <w:rPr>
                <w:rFonts w:hint="eastAsia" w:ascii="宋体"/>
                <w:sz w:val="18"/>
                <w:szCs w:val="18"/>
              </w:rPr>
              <w:t>智控设备及金属制品智能工厂建设项目</w:t>
            </w:r>
            <w:r>
              <w:rPr>
                <w:rFonts w:hint="eastAsia" w:ascii="宋体" w:cs="宋体"/>
                <w:kern w:val="0"/>
                <w:sz w:val="18"/>
                <w:szCs w:val="18"/>
              </w:rPr>
              <w:t>（一期）</w:t>
            </w:r>
          </w:p>
        </w:tc>
        <w:tc>
          <w:tcPr>
            <w:tcW w:w="1134" w:type="dxa"/>
            <w:vAlign w:val="center"/>
          </w:tcPr>
          <w:p>
            <w:pPr>
              <w:snapToGrid w:val="0"/>
              <w:jc w:val="center"/>
              <w:rPr>
                <w:rFonts w:ascii="宋体"/>
                <w:sz w:val="18"/>
                <w:szCs w:val="18"/>
              </w:rPr>
            </w:pPr>
            <w:r>
              <w:rPr>
                <w:rFonts w:hint="eastAsia" w:ascii="宋体"/>
                <w:sz w:val="18"/>
                <w:szCs w:val="18"/>
              </w:rPr>
              <w:t>新增</w:t>
            </w:r>
          </w:p>
        </w:tc>
        <w:tc>
          <w:tcPr>
            <w:tcW w:w="1134" w:type="dxa"/>
            <w:vAlign w:val="center"/>
          </w:tcPr>
          <w:p>
            <w:pPr>
              <w:snapToGrid w:val="0"/>
              <w:jc w:val="right"/>
              <w:rPr>
                <w:rFonts w:ascii="Arial Narrow" w:hAnsi="Arial Narrow"/>
                <w:kern w:val="0"/>
                <w:sz w:val="18"/>
                <w:szCs w:val="18"/>
              </w:rPr>
            </w:pPr>
          </w:p>
        </w:tc>
        <w:tc>
          <w:tcPr>
            <w:tcW w:w="1417" w:type="dxa"/>
            <w:vAlign w:val="center"/>
          </w:tcPr>
          <w:p>
            <w:pPr>
              <w:snapToGrid w:val="0"/>
              <w:jc w:val="right"/>
              <w:rPr>
                <w:rFonts w:ascii="Arial Narrow" w:hAnsi="Arial Narrow"/>
                <w:kern w:val="0"/>
                <w:sz w:val="18"/>
                <w:szCs w:val="18"/>
              </w:rPr>
            </w:pPr>
            <w:r>
              <w:rPr>
                <w:rFonts w:ascii="Arial Narrow" w:hAnsi="Arial Narrow"/>
                <w:kern w:val="0"/>
                <w:sz w:val="18"/>
                <w:szCs w:val="18"/>
              </w:rPr>
              <w:t>147,744,400.00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147,744,400.00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50,412,937.94</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50,412,937.94</w:t>
            </w:r>
          </w:p>
        </w:tc>
        <w:tc>
          <w:tcPr>
            <w:tcW w:w="1275" w:type="dxa"/>
            <w:vAlign w:val="center"/>
          </w:tcPr>
          <w:p>
            <w:pPr>
              <w:snapToGrid w:val="0"/>
              <w:jc w:val="right"/>
              <w:rPr>
                <w:rFonts w:ascii="Arial Narrow" w:hAnsi="Arial Narrow"/>
                <w:kern w:val="0"/>
                <w:sz w:val="18"/>
                <w:szCs w:val="18"/>
              </w:rPr>
            </w:pPr>
            <w:r>
              <w:rPr>
                <w:rFonts w:ascii="Arial Narrow" w:hAnsi="Arial Narrow"/>
                <w:kern w:val="0"/>
                <w:sz w:val="18"/>
                <w:szCs w:val="18"/>
              </w:rPr>
              <w:t>97,331,462.06</w:t>
            </w:r>
          </w:p>
        </w:tc>
        <w:tc>
          <w:tcPr>
            <w:tcW w:w="709" w:type="dxa"/>
            <w:vAlign w:val="center"/>
          </w:tcPr>
          <w:p>
            <w:pPr>
              <w:snapToGrid w:val="0"/>
              <w:jc w:val="right"/>
              <w:rPr>
                <w:rFonts w:ascii="Arial Narrow" w:hAnsi="Arial Narrow"/>
                <w:kern w:val="0"/>
                <w:sz w:val="18"/>
                <w:szCs w:val="18"/>
              </w:rPr>
            </w:pPr>
            <w:r>
              <w:rPr>
                <w:rFonts w:ascii="Arial Narrow" w:hAnsi="Arial Narrow"/>
                <w:kern w:val="0"/>
                <w:sz w:val="18"/>
                <w:szCs w:val="18"/>
              </w:rPr>
              <w:t>34.12%</w:t>
            </w:r>
          </w:p>
        </w:tc>
        <w:tc>
          <w:tcPr>
            <w:tcW w:w="992" w:type="dxa"/>
            <w:vAlign w:val="center"/>
          </w:tcPr>
          <w:p>
            <w:pPr>
              <w:snapToGrid w:val="0"/>
              <w:jc w:val="center"/>
              <w:rPr>
                <w:rFonts w:ascii="Arial Narrow" w:hAnsi="Arial Narrow"/>
                <w:kern w:val="0"/>
                <w:sz w:val="18"/>
                <w:szCs w:val="18"/>
              </w:rPr>
            </w:pPr>
            <w:r>
              <w:rPr>
                <w:rFonts w:ascii="Arial Narrow" w:hAnsi="Arial Narrow"/>
                <w:kern w:val="0"/>
                <w:sz w:val="18"/>
                <w:szCs w:val="18"/>
              </w:rPr>
              <w:t>2025年6月</w:t>
            </w:r>
          </w:p>
        </w:tc>
        <w:tc>
          <w:tcPr>
            <w:tcW w:w="993" w:type="dxa"/>
            <w:vAlign w:val="center"/>
          </w:tcPr>
          <w:p>
            <w:pPr>
              <w:snapToGrid w:val="0"/>
              <w:jc w:val="center"/>
              <w:rPr>
                <w:rFonts w:ascii="Arial Narrow" w:hAnsi="Arial Narrow"/>
                <w:sz w:val="18"/>
                <w:szCs w:val="18"/>
              </w:rPr>
            </w:pPr>
            <w:r>
              <w:rPr>
                <w:rFonts w:ascii="Arial Narrow" w:hAnsi="Arial Narrow"/>
                <w:sz w:val="18"/>
                <w:szCs w:val="18"/>
              </w:rPr>
              <w:t>-</w:t>
            </w:r>
          </w:p>
        </w:tc>
        <w:tc>
          <w:tcPr>
            <w:tcW w:w="708" w:type="dxa"/>
            <w:vAlign w:val="center"/>
          </w:tcPr>
          <w:p>
            <w:pPr>
              <w:snapToGrid w:val="0"/>
              <w:jc w:val="center"/>
              <w:rPr>
                <w:rFonts w:ascii="宋体"/>
                <w:sz w:val="18"/>
                <w:szCs w:val="18"/>
              </w:rPr>
            </w:pPr>
            <w:r>
              <w:rPr>
                <w:rFonts w:hint="eastAsia" w:ascii="宋体"/>
                <w:sz w:val="18"/>
                <w:szCs w:val="18"/>
              </w:rPr>
              <w:t>项目尚在建设中</w:t>
            </w:r>
          </w:p>
        </w:tc>
        <w:tc>
          <w:tcPr>
            <w:tcW w:w="567" w:type="dxa"/>
            <w:vAlign w:val="center"/>
          </w:tcPr>
          <w:p>
            <w:pPr>
              <w:snapToGrid w:val="0"/>
              <w:jc w:val="center"/>
              <w:rPr>
                <w:rFonts w:ascii="宋体"/>
                <w:sz w:val="18"/>
                <w:szCs w:val="18"/>
              </w:rPr>
            </w:pPr>
            <w:r>
              <w:rPr>
                <w:rFonts w:hint="eastAsia" w:ascii="宋体"/>
                <w:sz w:val="18"/>
                <w:szCs w:val="18"/>
              </w:rPr>
              <w:t>否</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1418" w:type="dxa"/>
            <w:vAlign w:val="center"/>
          </w:tcPr>
          <w:p>
            <w:pPr>
              <w:snapToGrid w:val="0"/>
              <w:jc w:val="left"/>
              <w:rPr>
                <w:rFonts w:ascii="宋体"/>
                <w:sz w:val="18"/>
                <w:szCs w:val="18"/>
              </w:rPr>
            </w:pPr>
            <w:r>
              <w:rPr>
                <w:rFonts w:hint="eastAsia" w:ascii="宋体"/>
                <w:sz w:val="18"/>
                <w:szCs w:val="18"/>
              </w:rPr>
              <w:t>补充流动资金</w:t>
            </w:r>
          </w:p>
          <w:p>
            <w:pPr>
              <w:snapToGrid w:val="0"/>
              <w:jc w:val="left"/>
              <w:rPr>
                <w:rFonts w:ascii="宋体"/>
                <w:sz w:val="18"/>
                <w:szCs w:val="18"/>
              </w:rPr>
            </w:pPr>
            <w:r>
              <w:rPr>
                <w:rFonts w:hint="eastAsia" w:ascii="宋体" w:cs="宋体"/>
                <w:kern w:val="0"/>
                <w:sz w:val="18"/>
                <w:szCs w:val="18"/>
              </w:rPr>
              <w:t>（注2）</w:t>
            </w:r>
          </w:p>
        </w:tc>
        <w:tc>
          <w:tcPr>
            <w:tcW w:w="1134" w:type="dxa"/>
            <w:vAlign w:val="center"/>
          </w:tcPr>
          <w:p>
            <w:pPr>
              <w:snapToGrid w:val="0"/>
              <w:jc w:val="center"/>
              <w:rPr>
                <w:rFonts w:ascii="宋体"/>
                <w:sz w:val="18"/>
                <w:szCs w:val="18"/>
              </w:rPr>
            </w:pPr>
          </w:p>
        </w:tc>
        <w:tc>
          <w:tcPr>
            <w:tcW w:w="1134" w:type="dxa"/>
            <w:vAlign w:val="center"/>
          </w:tcPr>
          <w:p>
            <w:pPr>
              <w:snapToGrid w:val="0"/>
              <w:jc w:val="right"/>
              <w:rPr>
                <w:rFonts w:ascii="Arial Narrow" w:hAnsi="Arial Narrow"/>
                <w:kern w:val="0"/>
                <w:sz w:val="18"/>
                <w:szCs w:val="18"/>
              </w:rPr>
            </w:pPr>
            <w:r>
              <w:rPr>
                <w:rFonts w:ascii="Arial Narrow" w:hAnsi="Arial Narrow"/>
                <w:kern w:val="0"/>
                <w:sz w:val="18"/>
                <w:szCs w:val="18"/>
              </w:rPr>
              <w:t>200,000,000.00</w:t>
            </w:r>
          </w:p>
        </w:tc>
        <w:tc>
          <w:tcPr>
            <w:tcW w:w="1417" w:type="dxa"/>
            <w:vAlign w:val="center"/>
          </w:tcPr>
          <w:p>
            <w:pPr>
              <w:snapToGrid w:val="0"/>
              <w:jc w:val="right"/>
              <w:rPr>
                <w:rFonts w:ascii="Arial Narrow" w:hAnsi="Arial Narrow"/>
                <w:kern w:val="0"/>
                <w:sz w:val="18"/>
                <w:szCs w:val="18"/>
              </w:rPr>
            </w:pPr>
            <w:r>
              <w:rPr>
                <w:rFonts w:ascii="Arial Narrow" w:hAnsi="Arial Narrow"/>
                <w:kern w:val="0"/>
                <w:sz w:val="18"/>
                <w:szCs w:val="18"/>
              </w:rPr>
              <w:t>200,000,000.00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200,000,000.00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19.02</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200,000,019.02</w:t>
            </w:r>
          </w:p>
        </w:tc>
        <w:tc>
          <w:tcPr>
            <w:tcW w:w="1275" w:type="dxa"/>
            <w:vAlign w:val="center"/>
          </w:tcPr>
          <w:p>
            <w:pPr>
              <w:snapToGrid w:val="0"/>
              <w:jc w:val="right"/>
              <w:rPr>
                <w:rFonts w:ascii="Arial Narrow" w:hAnsi="Arial Narrow"/>
                <w:kern w:val="0"/>
                <w:sz w:val="18"/>
                <w:szCs w:val="18"/>
              </w:rPr>
            </w:pPr>
            <w:r>
              <w:rPr>
                <w:rFonts w:ascii="Arial Narrow" w:hAnsi="Arial Narrow"/>
                <w:kern w:val="0"/>
                <w:sz w:val="18"/>
                <w:szCs w:val="18"/>
              </w:rPr>
              <w:t>-19.02</w:t>
            </w:r>
          </w:p>
        </w:tc>
        <w:tc>
          <w:tcPr>
            <w:tcW w:w="709" w:type="dxa"/>
            <w:vAlign w:val="center"/>
          </w:tcPr>
          <w:p>
            <w:pPr>
              <w:snapToGrid w:val="0"/>
              <w:jc w:val="right"/>
              <w:rPr>
                <w:rFonts w:ascii="Arial Narrow" w:hAnsi="Arial Narrow"/>
                <w:kern w:val="0"/>
                <w:sz w:val="18"/>
                <w:szCs w:val="18"/>
              </w:rPr>
            </w:pPr>
            <w:r>
              <w:rPr>
                <w:rFonts w:ascii="Arial Narrow" w:hAnsi="Arial Narrow"/>
                <w:kern w:val="0"/>
                <w:sz w:val="18"/>
                <w:szCs w:val="18"/>
              </w:rPr>
              <w:t>100.00%</w:t>
            </w:r>
          </w:p>
        </w:tc>
        <w:tc>
          <w:tcPr>
            <w:tcW w:w="992" w:type="dxa"/>
            <w:vAlign w:val="center"/>
          </w:tcPr>
          <w:p>
            <w:pPr>
              <w:snapToGrid w:val="0"/>
              <w:jc w:val="center"/>
              <w:rPr>
                <w:rFonts w:ascii="Arial Narrow" w:hAnsi="Arial Narrow"/>
                <w:sz w:val="18"/>
                <w:szCs w:val="18"/>
              </w:rPr>
            </w:pPr>
          </w:p>
        </w:tc>
        <w:tc>
          <w:tcPr>
            <w:tcW w:w="993" w:type="dxa"/>
            <w:vAlign w:val="center"/>
          </w:tcPr>
          <w:p>
            <w:pPr>
              <w:snapToGrid w:val="0"/>
              <w:jc w:val="center"/>
              <w:rPr>
                <w:rFonts w:ascii="Arial Narrow" w:hAnsi="Arial Narrow"/>
                <w:sz w:val="18"/>
                <w:szCs w:val="18"/>
              </w:rPr>
            </w:pPr>
            <w:r>
              <w:rPr>
                <w:rFonts w:ascii="Arial Narrow" w:hAnsi="Arial Narrow"/>
                <w:sz w:val="18"/>
                <w:szCs w:val="18"/>
              </w:rPr>
              <w:t>-</w:t>
            </w:r>
          </w:p>
        </w:tc>
        <w:tc>
          <w:tcPr>
            <w:tcW w:w="708" w:type="dxa"/>
            <w:vAlign w:val="center"/>
          </w:tcPr>
          <w:p>
            <w:pPr>
              <w:snapToGrid w:val="0"/>
              <w:jc w:val="center"/>
              <w:rPr>
                <w:rFonts w:ascii="宋体"/>
                <w:sz w:val="18"/>
                <w:szCs w:val="18"/>
              </w:rPr>
            </w:pPr>
            <w:r>
              <w:rPr>
                <w:rFonts w:hint="eastAsia" w:ascii="宋体"/>
                <w:sz w:val="18"/>
                <w:szCs w:val="18"/>
              </w:rPr>
              <w:t>不适用</w:t>
            </w:r>
          </w:p>
        </w:tc>
        <w:tc>
          <w:tcPr>
            <w:tcW w:w="567" w:type="dxa"/>
            <w:vAlign w:val="center"/>
          </w:tcPr>
          <w:p>
            <w:pPr>
              <w:snapToGrid w:val="0"/>
              <w:jc w:val="center"/>
              <w:rPr>
                <w:rFonts w:ascii="宋体"/>
                <w:sz w:val="18"/>
                <w:szCs w:val="18"/>
              </w:rPr>
            </w:pPr>
            <w:r>
              <w:rPr>
                <w:rFonts w:hint="eastAsia" w:ascii="宋体"/>
                <w:sz w:val="18"/>
                <w:szCs w:val="18"/>
              </w:rPr>
              <w:t>不适用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1418" w:type="dxa"/>
            <w:vAlign w:val="center"/>
          </w:tcPr>
          <w:p>
            <w:pPr>
              <w:snapToGrid w:val="0"/>
              <w:jc w:val="center"/>
              <w:rPr>
                <w:rFonts w:ascii="宋体"/>
                <w:sz w:val="18"/>
                <w:szCs w:val="18"/>
              </w:rPr>
            </w:pPr>
            <w:r>
              <w:rPr>
                <w:rFonts w:hint="eastAsia" w:ascii="宋体" w:hAnsi="宋体" w:cs="宋体"/>
                <w:sz w:val="18"/>
                <w:szCs w:val="18"/>
              </w:rPr>
              <w:t>合计</w:t>
            </w:r>
          </w:p>
        </w:tc>
        <w:tc>
          <w:tcPr>
            <w:tcW w:w="1134" w:type="dxa"/>
            <w:vAlign w:val="center"/>
          </w:tcPr>
          <w:p>
            <w:pPr>
              <w:snapToGrid w:val="0"/>
              <w:jc w:val="center"/>
              <w:rPr>
                <w:rFonts w:ascii="宋体" w:hAnsi="宋体"/>
                <w:sz w:val="18"/>
                <w:szCs w:val="18"/>
              </w:rPr>
            </w:pPr>
            <w:r>
              <w:rPr>
                <w:rFonts w:ascii="宋体" w:hAnsi="宋体"/>
                <w:sz w:val="18"/>
                <w:szCs w:val="18"/>
              </w:rPr>
              <w:t>—</w:t>
            </w:r>
          </w:p>
        </w:tc>
        <w:tc>
          <w:tcPr>
            <w:tcW w:w="1134" w:type="dxa"/>
            <w:vAlign w:val="center"/>
          </w:tcPr>
          <w:p>
            <w:pPr>
              <w:snapToGrid w:val="0"/>
              <w:jc w:val="right"/>
              <w:rPr>
                <w:rFonts w:ascii="Arial Narrow" w:hAnsi="Arial Narrow"/>
                <w:kern w:val="0"/>
                <w:sz w:val="18"/>
                <w:szCs w:val="18"/>
              </w:rPr>
            </w:pPr>
            <w:r>
              <w:rPr>
                <w:rFonts w:ascii="Arial Narrow" w:hAnsi="Arial Narrow"/>
                <w:kern w:val="0"/>
                <w:sz w:val="18"/>
                <w:szCs w:val="18"/>
              </w:rPr>
              <w:t>854,561,800.00</w:t>
            </w:r>
          </w:p>
        </w:tc>
        <w:tc>
          <w:tcPr>
            <w:tcW w:w="1417" w:type="dxa"/>
            <w:vAlign w:val="center"/>
          </w:tcPr>
          <w:p>
            <w:pPr>
              <w:snapToGrid w:val="0"/>
              <w:jc w:val="right"/>
              <w:rPr>
                <w:rFonts w:ascii="Arial Narrow" w:hAnsi="Arial Narrow"/>
                <w:kern w:val="0"/>
                <w:sz w:val="18"/>
                <w:szCs w:val="18"/>
              </w:rPr>
            </w:pPr>
            <w:r>
              <w:rPr>
                <w:rFonts w:ascii="Arial Narrow" w:hAnsi="Arial Narrow"/>
                <w:kern w:val="0"/>
                <w:sz w:val="18"/>
                <w:szCs w:val="18"/>
              </w:rPr>
              <w:t>854,561,800.00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854,561,800.00</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232,287,781.36</w:t>
            </w:r>
          </w:p>
        </w:tc>
        <w:tc>
          <w:tcPr>
            <w:tcW w:w="1276" w:type="dxa"/>
            <w:vAlign w:val="center"/>
          </w:tcPr>
          <w:p>
            <w:pPr>
              <w:snapToGrid w:val="0"/>
              <w:jc w:val="right"/>
              <w:rPr>
                <w:rFonts w:ascii="Arial Narrow" w:hAnsi="Arial Narrow"/>
                <w:kern w:val="0"/>
                <w:sz w:val="18"/>
                <w:szCs w:val="18"/>
              </w:rPr>
            </w:pPr>
            <w:r>
              <w:rPr>
                <w:rFonts w:ascii="Arial Narrow" w:hAnsi="Arial Narrow"/>
                <w:kern w:val="0"/>
                <w:sz w:val="18"/>
                <w:szCs w:val="18"/>
              </w:rPr>
              <w:t>644,010,545.61</w:t>
            </w:r>
          </w:p>
        </w:tc>
        <w:tc>
          <w:tcPr>
            <w:tcW w:w="1275" w:type="dxa"/>
            <w:vAlign w:val="center"/>
          </w:tcPr>
          <w:p>
            <w:pPr>
              <w:snapToGrid w:val="0"/>
              <w:jc w:val="right"/>
              <w:rPr>
                <w:rFonts w:ascii="Arial Narrow" w:hAnsi="Arial Narrow"/>
                <w:kern w:val="0"/>
                <w:sz w:val="18"/>
                <w:szCs w:val="18"/>
              </w:rPr>
            </w:pPr>
            <w:r>
              <w:rPr>
                <w:rFonts w:ascii="Arial Narrow" w:hAnsi="Arial Narrow"/>
                <w:kern w:val="0"/>
                <w:sz w:val="18"/>
                <w:szCs w:val="18"/>
              </w:rPr>
              <w:t>210,551,254.39</w:t>
            </w:r>
          </w:p>
        </w:tc>
        <w:tc>
          <w:tcPr>
            <w:tcW w:w="709" w:type="dxa"/>
            <w:vAlign w:val="center"/>
          </w:tcPr>
          <w:p>
            <w:pPr>
              <w:snapToGrid w:val="0"/>
              <w:jc w:val="right"/>
              <w:rPr>
                <w:rFonts w:ascii="Arial Narrow" w:hAnsi="Arial Narrow"/>
                <w:kern w:val="0"/>
                <w:sz w:val="18"/>
                <w:szCs w:val="18"/>
              </w:rPr>
            </w:pPr>
            <w:r>
              <w:rPr>
                <w:rFonts w:ascii="Arial Narrow" w:hAnsi="Arial Narrow"/>
                <w:kern w:val="0"/>
                <w:sz w:val="18"/>
                <w:szCs w:val="18"/>
              </w:rPr>
              <w:t>75.36%</w:t>
            </w:r>
          </w:p>
        </w:tc>
        <w:tc>
          <w:tcPr>
            <w:tcW w:w="992" w:type="dxa"/>
            <w:vAlign w:val="center"/>
          </w:tcPr>
          <w:p>
            <w:pPr>
              <w:snapToGrid w:val="0"/>
              <w:jc w:val="center"/>
              <w:rPr>
                <w:rFonts w:ascii="Arial Narrow" w:hAnsi="Arial Narrow"/>
                <w:sz w:val="18"/>
                <w:szCs w:val="18"/>
              </w:rPr>
            </w:pPr>
            <w:r>
              <w:rPr>
                <w:rFonts w:ascii="Arial Narrow" w:hAnsi="Arial Narrow"/>
                <w:sz w:val="18"/>
                <w:szCs w:val="18"/>
              </w:rPr>
              <w:t>—</w:t>
            </w:r>
          </w:p>
        </w:tc>
        <w:tc>
          <w:tcPr>
            <w:tcW w:w="993" w:type="dxa"/>
            <w:vAlign w:val="center"/>
          </w:tcPr>
          <w:p>
            <w:pPr>
              <w:snapToGrid w:val="0"/>
              <w:jc w:val="center"/>
              <w:rPr>
                <w:rFonts w:ascii="Arial Narrow" w:hAnsi="Arial Narrow"/>
                <w:sz w:val="18"/>
                <w:szCs w:val="18"/>
              </w:rPr>
            </w:pPr>
            <w:r>
              <w:rPr>
                <w:rFonts w:ascii="Arial Narrow" w:hAnsi="Arial Narrow"/>
                <w:sz w:val="18"/>
                <w:szCs w:val="18"/>
              </w:rPr>
              <w:t>8,813,557.52</w:t>
            </w:r>
          </w:p>
        </w:tc>
        <w:tc>
          <w:tcPr>
            <w:tcW w:w="708" w:type="dxa"/>
            <w:vAlign w:val="center"/>
          </w:tcPr>
          <w:p>
            <w:pPr>
              <w:snapToGrid w:val="0"/>
              <w:jc w:val="center"/>
              <w:rPr>
                <w:rFonts w:ascii="宋体" w:hAnsi="宋体"/>
                <w:sz w:val="18"/>
                <w:szCs w:val="18"/>
              </w:rPr>
            </w:pPr>
            <w:r>
              <w:rPr>
                <w:rFonts w:ascii="宋体" w:hAnsi="宋体"/>
                <w:sz w:val="18"/>
                <w:szCs w:val="18"/>
              </w:rPr>
              <w:t>—</w:t>
            </w:r>
          </w:p>
        </w:tc>
        <w:tc>
          <w:tcPr>
            <w:tcW w:w="567" w:type="dxa"/>
            <w:vAlign w:val="center"/>
          </w:tcPr>
          <w:p>
            <w:pPr>
              <w:snapToGrid w:val="0"/>
              <w:jc w:val="center"/>
              <w:rPr>
                <w:rFonts w:ascii="宋体" w:hAnsi="宋体"/>
                <w:sz w:val="18"/>
                <w:szCs w:val="18"/>
              </w:rPr>
            </w:pPr>
            <w:r>
              <w:rPr>
                <w:rFonts w:ascii="宋体" w:hAnsi="宋体"/>
                <w:sz w:val="18"/>
                <w:szCs w:val="18"/>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737" w:hRule="atLeast"/>
          <w:jc w:val="center"/>
        </w:trPr>
        <w:tc>
          <w:tcPr>
            <w:tcW w:w="2552" w:type="dxa"/>
            <w:gridSpan w:val="2"/>
            <w:vAlign w:val="center"/>
          </w:tcPr>
          <w:p>
            <w:pPr>
              <w:widowControl/>
              <w:snapToGrid w:val="0"/>
              <w:rPr>
                <w:rFonts w:ascii="宋体"/>
                <w:sz w:val="18"/>
                <w:szCs w:val="18"/>
              </w:rPr>
            </w:pPr>
            <w:r>
              <w:rPr>
                <w:rFonts w:hint="eastAsia" w:ascii="宋体" w:hAnsi="宋体"/>
                <w:kern w:val="0"/>
                <w:sz w:val="18"/>
                <w:szCs w:val="18"/>
              </w:rPr>
              <w:t>未达到计划进度原因（分具体募投项目）</w:t>
            </w:r>
          </w:p>
        </w:tc>
        <w:tc>
          <w:tcPr>
            <w:tcW w:w="11623" w:type="dxa"/>
            <w:gridSpan w:val="11"/>
            <w:vAlign w:val="center"/>
          </w:tcPr>
          <w:p>
            <w:pPr>
              <w:snapToGrid w:val="0"/>
              <w:jc w:val="left"/>
              <w:rPr>
                <w:rFonts w:ascii="宋体"/>
                <w:sz w:val="18"/>
                <w:szCs w:val="18"/>
              </w:rPr>
            </w:pPr>
            <w:r>
              <w:rPr>
                <w:rFonts w:hint="eastAsia" w:ascii="宋体"/>
                <w:sz w:val="18"/>
                <w:szCs w:val="18"/>
              </w:rPr>
              <w:t>不适用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737" w:hRule="atLeast"/>
          <w:jc w:val="center"/>
        </w:trPr>
        <w:tc>
          <w:tcPr>
            <w:tcW w:w="2552" w:type="dxa"/>
            <w:gridSpan w:val="2"/>
            <w:vAlign w:val="center"/>
          </w:tcPr>
          <w:p>
            <w:pPr>
              <w:snapToGrid w:val="0"/>
              <w:jc w:val="left"/>
              <w:rPr>
                <w:rFonts w:ascii="宋体"/>
                <w:sz w:val="18"/>
                <w:szCs w:val="18"/>
              </w:rPr>
            </w:pPr>
            <w:r>
              <w:rPr>
                <w:rFonts w:hint="eastAsia" w:ascii="宋体" w:hAnsi="宋体"/>
                <w:kern w:val="0"/>
                <w:sz w:val="18"/>
                <w:szCs w:val="18"/>
              </w:rPr>
              <w:t>项目可行性发生重大变化的情况说明</w:t>
            </w:r>
          </w:p>
        </w:tc>
        <w:tc>
          <w:tcPr>
            <w:tcW w:w="11623" w:type="dxa"/>
            <w:gridSpan w:val="11"/>
            <w:vAlign w:val="center"/>
          </w:tcPr>
          <w:p>
            <w:pPr>
              <w:snapToGrid w:val="0"/>
              <w:jc w:val="left"/>
              <w:rPr>
                <w:rFonts w:ascii="宋体"/>
                <w:sz w:val="18"/>
                <w:szCs w:val="18"/>
              </w:rPr>
            </w:pPr>
            <w:r>
              <w:rPr>
                <w:rFonts w:hint="eastAsia" w:ascii="宋体"/>
                <w:sz w:val="18"/>
                <w:szCs w:val="18"/>
              </w:rPr>
              <w:t>不适用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737" w:hRule="atLeast"/>
          <w:jc w:val="center"/>
        </w:trPr>
        <w:tc>
          <w:tcPr>
            <w:tcW w:w="2552" w:type="dxa"/>
            <w:gridSpan w:val="2"/>
            <w:vAlign w:val="center"/>
          </w:tcPr>
          <w:p>
            <w:pPr>
              <w:widowControl/>
              <w:snapToGrid w:val="0"/>
              <w:rPr>
                <w:rFonts w:ascii="宋体"/>
                <w:sz w:val="18"/>
                <w:szCs w:val="18"/>
              </w:rPr>
            </w:pPr>
            <w:r>
              <w:rPr>
                <w:rFonts w:hint="eastAsia" w:ascii="宋体" w:hAnsi="宋体"/>
                <w:kern w:val="0"/>
                <w:sz w:val="18"/>
                <w:szCs w:val="18"/>
              </w:rPr>
              <w:t>募集资金投资项目先期投入及置换情况</w:t>
            </w:r>
          </w:p>
        </w:tc>
        <w:tc>
          <w:tcPr>
            <w:tcW w:w="11623" w:type="dxa"/>
            <w:gridSpan w:val="11"/>
            <w:vAlign w:val="center"/>
          </w:tcPr>
          <w:p>
            <w:pPr>
              <w:snapToGrid w:val="0"/>
              <w:spacing w:line="360" w:lineRule="auto"/>
              <w:jc w:val="left"/>
              <w:rPr>
                <w:rFonts w:ascii="宋体"/>
                <w:sz w:val="18"/>
                <w:szCs w:val="18"/>
              </w:rPr>
            </w:pPr>
            <w:r>
              <w:rPr>
                <w:rFonts w:hint="eastAsia" w:ascii="宋体"/>
                <w:sz w:val="18"/>
                <w:szCs w:val="18"/>
              </w:rPr>
              <w:t>截止2022年6月30日，公司以自筹资金预先投入募投资项目的总金额为63,054,300.00元，其中已置换62,987,300.00元，尚余67,000.00元系募集资金到账后一个月至《重庆望变电气（集团）股份有限公司以自筹资金预先投入募集资金投资项目的鉴证报告》（大华验字[2022]009532号）截止日募投项目支出，公司对该差额不进行置换。预先投入金额已于2022年6月15日经第三届董事会第十二次会议、第三届监事会第十次会议审议通过，公司可以募集资金63,054,300.00元置换预先投入募集资金投资项目的自筹资金。大华会计师事务所（特殊普通合伙）对置换事宜进行了鉴证，并出具了大华核字[2022]009532号专项鉴证报告。</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737" w:hRule="atLeast"/>
          <w:jc w:val="center"/>
        </w:trPr>
        <w:tc>
          <w:tcPr>
            <w:tcW w:w="2552" w:type="dxa"/>
            <w:gridSpan w:val="2"/>
            <w:vAlign w:val="center"/>
          </w:tcPr>
          <w:p>
            <w:pPr>
              <w:snapToGrid w:val="0"/>
              <w:jc w:val="left"/>
              <w:rPr>
                <w:rFonts w:ascii="宋体"/>
                <w:sz w:val="18"/>
                <w:szCs w:val="18"/>
              </w:rPr>
            </w:pPr>
            <w:r>
              <w:rPr>
                <w:rFonts w:hint="eastAsia" w:ascii="宋体" w:hAnsi="宋体"/>
                <w:kern w:val="0"/>
                <w:sz w:val="18"/>
                <w:szCs w:val="18"/>
              </w:rPr>
              <w:t>用闲置募集资金暂时补充流动资金情况</w:t>
            </w:r>
          </w:p>
        </w:tc>
        <w:tc>
          <w:tcPr>
            <w:tcW w:w="11623" w:type="dxa"/>
            <w:gridSpan w:val="11"/>
            <w:vAlign w:val="center"/>
          </w:tcPr>
          <w:p>
            <w:pPr>
              <w:snapToGrid w:val="0"/>
              <w:jc w:val="left"/>
              <w:rPr>
                <w:rFonts w:ascii="宋体"/>
                <w:sz w:val="18"/>
                <w:szCs w:val="18"/>
              </w:rPr>
            </w:pPr>
            <w:r>
              <w:rPr>
                <w:rFonts w:hint="eastAsia" w:ascii="宋体"/>
                <w:sz w:val="18"/>
                <w:szCs w:val="18"/>
              </w:rPr>
              <w:t>不适用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737" w:hRule="atLeast"/>
          <w:jc w:val="center"/>
        </w:trPr>
        <w:tc>
          <w:tcPr>
            <w:tcW w:w="2552" w:type="dxa"/>
            <w:gridSpan w:val="2"/>
            <w:vAlign w:val="center"/>
          </w:tcPr>
          <w:p>
            <w:pPr>
              <w:snapToGrid w:val="0"/>
              <w:jc w:val="left"/>
              <w:rPr>
                <w:rFonts w:ascii="宋体" w:hAnsi="宋体"/>
                <w:kern w:val="0"/>
                <w:sz w:val="18"/>
                <w:szCs w:val="18"/>
              </w:rPr>
            </w:pPr>
            <w:r>
              <w:rPr>
                <w:rFonts w:hint="eastAsia" w:ascii="宋体" w:hAnsi="宋体"/>
                <w:kern w:val="0"/>
                <w:sz w:val="18"/>
                <w:szCs w:val="18"/>
              </w:rPr>
              <w:t>对闲置募集资金进行现金管理，投资相关产品情况</w:t>
            </w:r>
          </w:p>
        </w:tc>
        <w:tc>
          <w:tcPr>
            <w:tcW w:w="11623" w:type="dxa"/>
            <w:gridSpan w:val="11"/>
            <w:vAlign w:val="center"/>
          </w:tcPr>
          <w:p>
            <w:pPr>
              <w:snapToGrid w:val="0"/>
              <w:spacing w:line="360" w:lineRule="auto"/>
              <w:jc w:val="left"/>
              <w:rPr>
                <w:rFonts w:ascii="宋体"/>
                <w:sz w:val="18"/>
                <w:szCs w:val="18"/>
              </w:rPr>
            </w:pPr>
            <w:r>
              <w:rPr>
                <w:rFonts w:hint="eastAsia" w:ascii="宋体"/>
                <w:sz w:val="18"/>
                <w:szCs w:val="18"/>
              </w:rPr>
              <w:t>公司于2023年4月25日召开了第三届董事会第十六次会议和第三届监事会第十四次会议，审议通过了《关于使用暂时闲置募集资金进行现金管理的议案》，同意公司使用不超过47,000万元的暂时闲置募集资金进行现金管理，使用期限为自董事会审议通过之日起不超过12个月。在上述额度及有效期限内，公司可循环滚动使用。（详见三）</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737" w:hRule="atLeast"/>
          <w:jc w:val="center"/>
        </w:trPr>
        <w:tc>
          <w:tcPr>
            <w:tcW w:w="2552" w:type="dxa"/>
            <w:gridSpan w:val="2"/>
            <w:vAlign w:val="center"/>
          </w:tcPr>
          <w:p>
            <w:pPr>
              <w:snapToGrid w:val="0"/>
              <w:jc w:val="left"/>
              <w:rPr>
                <w:rFonts w:ascii="宋体" w:hAnsi="宋体"/>
                <w:kern w:val="0"/>
                <w:sz w:val="18"/>
                <w:szCs w:val="18"/>
              </w:rPr>
            </w:pPr>
            <w:r>
              <w:rPr>
                <w:rFonts w:hint="eastAsia" w:ascii="宋体" w:hAnsi="宋体"/>
                <w:kern w:val="0"/>
                <w:sz w:val="18"/>
                <w:szCs w:val="18"/>
              </w:rPr>
              <w:t>用超募资金永久补充流动资金</w:t>
            </w:r>
          </w:p>
          <w:p>
            <w:pPr>
              <w:snapToGrid w:val="0"/>
              <w:jc w:val="left"/>
              <w:rPr>
                <w:rFonts w:ascii="宋体" w:hAnsi="宋体"/>
                <w:kern w:val="0"/>
                <w:sz w:val="18"/>
                <w:szCs w:val="18"/>
              </w:rPr>
            </w:pPr>
            <w:r>
              <w:rPr>
                <w:rFonts w:hint="eastAsia" w:ascii="宋体" w:hAnsi="宋体"/>
                <w:kern w:val="0"/>
                <w:sz w:val="18"/>
                <w:szCs w:val="18"/>
              </w:rPr>
              <w:t>或归还银行贷款情况</w:t>
            </w:r>
          </w:p>
        </w:tc>
        <w:tc>
          <w:tcPr>
            <w:tcW w:w="11623" w:type="dxa"/>
            <w:gridSpan w:val="11"/>
            <w:vAlign w:val="center"/>
          </w:tcPr>
          <w:p>
            <w:pPr>
              <w:snapToGrid w:val="0"/>
              <w:jc w:val="left"/>
              <w:rPr>
                <w:rFonts w:ascii="宋体"/>
                <w:sz w:val="18"/>
                <w:szCs w:val="18"/>
              </w:rPr>
            </w:pPr>
            <w:r>
              <w:rPr>
                <w:rFonts w:hint="eastAsia" w:ascii="宋体"/>
                <w:sz w:val="18"/>
                <w:szCs w:val="18"/>
              </w:rPr>
              <w:t>不适用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737" w:hRule="atLeast"/>
          <w:jc w:val="center"/>
        </w:trPr>
        <w:tc>
          <w:tcPr>
            <w:tcW w:w="2552" w:type="dxa"/>
            <w:gridSpan w:val="2"/>
            <w:vAlign w:val="center"/>
          </w:tcPr>
          <w:p>
            <w:pPr>
              <w:snapToGrid w:val="0"/>
              <w:jc w:val="left"/>
              <w:rPr>
                <w:rFonts w:ascii="宋体"/>
                <w:sz w:val="18"/>
                <w:szCs w:val="18"/>
              </w:rPr>
            </w:pPr>
            <w:r>
              <w:rPr>
                <w:rFonts w:hint="eastAsia" w:ascii="宋体" w:hAnsi="宋体"/>
                <w:kern w:val="0"/>
                <w:sz w:val="18"/>
                <w:szCs w:val="18"/>
              </w:rPr>
              <w:t>募集资金结余的金额及形成原因</w:t>
            </w:r>
          </w:p>
        </w:tc>
        <w:tc>
          <w:tcPr>
            <w:tcW w:w="11623" w:type="dxa"/>
            <w:gridSpan w:val="11"/>
            <w:vAlign w:val="center"/>
          </w:tcPr>
          <w:p>
            <w:pPr>
              <w:snapToGrid w:val="0"/>
              <w:jc w:val="left"/>
              <w:rPr>
                <w:rFonts w:ascii="宋体"/>
                <w:sz w:val="18"/>
                <w:szCs w:val="18"/>
              </w:rPr>
            </w:pPr>
            <w:r>
              <w:rPr>
                <w:rFonts w:hint="eastAsia" w:ascii="宋体"/>
                <w:sz w:val="18"/>
                <w:szCs w:val="18"/>
              </w:rPr>
              <w:t>不适用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737" w:hRule="atLeast"/>
          <w:jc w:val="center"/>
        </w:trPr>
        <w:tc>
          <w:tcPr>
            <w:tcW w:w="2552" w:type="dxa"/>
            <w:gridSpan w:val="2"/>
            <w:vAlign w:val="center"/>
          </w:tcPr>
          <w:p>
            <w:pPr>
              <w:snapToGrid w:val="0"/>
              <w:jc w:val="left"/>
              <w:rPr>
                <w:rFonts w:ascii="宋体"/>
                <w:sz w:val="18"/>
                <w:szCs w:val="18"/>
              </w:rPr>
            </w:pPr>
            <w:r>
              <w:rPr>
                <w:rFonts w:hint="eastAsia" w:ascii="宋体" w:hAnsi="宋体"/>
                <w:kern w:val="0"/>
                <w:sz w:val="18"/>
                <w:szCs w:val="18"/>
              </w:rPr>
              <w:t>募集资金其他使用情况</w:t>
            </w:r>
          </w:p>
        </w:tc>
        <w:tc>
          <w:tcPr>
            <w:tcW w:w="11623" w:type="dxa"/>
            <w:gridSpan w:val="11"/>
            <w:vAlign w:val="center"/>
          </w:tcPr>
          <w:p>
            <w:pPr>
              <w:snapToGrid w:val="0"/>
              <w:jc w:val="left"/>
              <w:rPr>
                <w:rFonts w:ascii="宋体"/>
                <w:sz w:val="18"/>
                <w:szCs w:val="18"/>
              </w:rPr>
            </w:pPr>
            <w:r>
              <w:rPr>
                <w:rFonts w:hint="eastAsia" w:ascii="宋体"/>
                <w:sz w:val="18"/>
                <w:szCs w:val="18"/>
              </w:rPr>
              <w:t>不适用</w:t>
            </w:r>
          </w:p>
        </w:tc>
      </w:tr>
    </w:tbl>
    <w:p>
      <w:pPr>
        <w:pStyle w:val="4"/>
        <w:snapToGrid w:val="0"/>
        <w:spacing w:before="120" w:beforeLines="50"/>
        <w:rPr>
          <w:rFonts w:ascii="宋体"/>
          <w:szCs w:val="21"/>
        </w:rPr>
      </w:pPr>
      <w:r>
        <w:rPr>
          <w:rFonts w:hint="eastAsia" w:ascii="宋体"/>
          <w:szCs w:val="21"/>
        </w:rPr>
        <w:t>注1：截止2023年12月31日，低铁损高磁感硅钢铁心智能制造项目累计投入金额大于募集资金承诺投资金额系该项目募集资金专户产生的利息及现金管理收益。</w:t>
      </w:r>
    </w:p>
    <w:p>
      <w:pPr>
        <w:pStyle w:val="4"/>
        <w:snapToGrid w:val="0"/>
        <w:rPr>
          <w:rFonts w:ascii="宋体"/>
          <w:szCs w:val="21"/>
        </w:rPr>
      </w:pPr>
      <w:r>
        <w:rPr>
          <w:rFonts w:hint="eastAsia" w:ascii="宋体"/>
          <w:szCs w:val="21"/>
        </w:rPr>
        <w:t>注2：补充流动资金项目累计投入金额大于募集资金承诺投资金额系该项目募集资金专户（该专户已于2023年6月26日注销）产生的利息。</w:t>
      </w:r>
    </w:p>
    <w:p>
      <w:pPr>
        <w:pStyle w:val="4"/>
        <w:snapToGrid w:val="0"/>
        <w:rPr>
          <w:rFonts w:ascii="宋体"/>
          <w:szCs w:val="21"/>
        </w:rPr>
        <w:sectPr>
          <w:pgSz w:w="16840" w:h="11907" w:orient="landscape"/>
          <w:pgMar w:top="1797" w:right="1418" w:bottom="1418" w:left="1418" w:header="851" w:footer="992" w:gutter="0"/>
          <w:cols w:space="425" w:num="1"/>
          <w:docGrid w:linePitch="435" w:charSpace="0"/>
        </w:sectPr>
      </w:pPr>
    </w:p>
    <w:p>
      <w:pPr>
        <w:pStyle w:val="4"/>
        <w:snapToGrid w:val="0"/>
        <w:ind w:firstLine="0"/>
        <w:rPr>
          <w:rFonts w:ascii="宋体"/>
          <w:b/>
          <w:sz w:val="30"/>
          <w:szCs w:val="30"/>
        </w:rPr>
      </w:pPr>
      <w:r>
        <w:rPr>
          <w:rFonts w:hint="eastAsia" w:ascii="宋体"/>
          <w:b/>
          <w:sz w:val="30"/>
          <w:szCs w:val="30"/>
        </w:rPr>
        <w:t>附表二</w:t>
      </w:r>
    </w:p>
    <w:p>
      <w:pPr>
        <w:snapToGrid w:val="0"/>
        <w:spacing w:line="360" w:lineRule="auto"/>
        <w:jc w:val="center"/>
        <w:rPr>
          <w:rFonts w:ascii="宋体" w:hAnsi="宋体"/>
          <w:b/>
          <w:sz w:val="30"/>
          <w:szCs w:val="30"/>
        </w:rPr>
      </w:pPr>
      <w:r>
        <w:rPr>
          <w:rFonts w:hint="eastAsia" w:ascii="宋体" w:hAnsi="宋体"/>
          <w:b/>
          <w:sz w:val="30"/>
          <w:szCs w:val="30"/>
        </w:rPr>
        <w:t>变更募集资金投资项目情况表</w:t>
      </w:r>
    </w:p>
    <w:p>
      <w:pPr>
        <w:snapToGrid w:val="0"/>
        <w:spacing w:before="120" w:beforeLines="50" w:line="360" w:lineRule="auto"/>
        <w:ind w:right="238"/>
        <w:jc w:val="left"/>
        <w:rPr>
          <w:rFonts w:ascii="宋体" w:hAnsi="宋体"/>
          <w:szCs w:val="21"/>
        </w:rPr>
      </w:pPr>
      <w:r>
        <w:rPr>
          <w:rFonts w:hint="eastAsia" w:ascii="宋体" w:hAnsi="宋体"/>
          <w:szCs w:val="21"/>
        </w:rPr>
        <w:t>编制单位：</w:t>
      </w:r>
      <w:r>
        <w:rPr>
          <w:rFonts w:hint="eastAsia" w:ascii="Arial Narrow" w:hAnsi="Arial Narrow" w:cs="Arial"/>
          <w:kern w:val="0"/>
        </w:rPr>
        <w:t xml:space="preserve">重庆望变电气（集团）股份有限公司                                                               </w:t>
      </w:r>
      <w:r>
        <w:rPr>
          <w:rFonts w:hint="eastAsia" w:ascii="宋体" w:hAnsi="宋体"/>
          <w:szCs w:val="21"/>
        </w:rPr>
        <w:t>金额单位：人民币元</w:t>
      </w:r>
    </w:p>
    <w:tbl>
      <w:tblPr>
        <w:tblStyle w:val="11"/>
        <w:tblW w:w="1318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18"/>
        <w:gridCol w:w="1417"/>
        <w:gridCol w:w="1560"/>
        <w:gridCol w:w="1417"/>
        <w:gridCol w:w="1276"/>
        <w:gridCol w:w="1276"/>
        <w:gridCol w:w="992"/>
        <w:gridCol w:w="1276"/>
        <w:gridCol w:w="708"/>
        <w:gridCol w:w="709"/>
        <w:gridCol w:w="113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1418"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变更后的项目</w:t>
            </w:r>
          </w:p>
        </w:tc>
        <w:tc>
          <w:tcPr>
            <w:tcW w:w="1417"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对应的原承诺项目</w:t>
            </w:r>
          </w:p>
        </w:tc>
        <w:tc>
          <w:tcPr>
            <w:tcW w:w="1560"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变更后项目拟投入募集资金总额</w:t>
            </w:r>
          </w:p>
        </w:tc>
        <w:tc>
          <w:tcPr>
            <w:tcW w:w="1417"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截至期末计划累计投资金额</w:t>
            </w:r>
            <w:r>
              <w:rPr>
                <w:rFonts w:ascii="宋体" w:hAnsi="宋体" w:cs="宋体"/>
                <w:kern w:val="0"/>
                <w:sz w:val="18"/>
                <w:szCs w:val="18"/>
              </w:rPr>
              <w:t>(1)</w:t>
            </w:r>
          </w:p>
        </w:tc>
        <w:tc>
          <w:tcPr>
            <w:tcW w:w="1276"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本年度实际投入金额</w:t>
            </w:r>
          </w:p>
        </w:tc>
        <w:tc>
          <w:tcPr>
            <w:tcW w:w="1276"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实际累计投入金额</w:t>
            </w:r>
            <w:r>
              <w:rPr>
                <w:rFonts w:ascii="宋体" w:hAnsi="宋体" w:cs="宋体"/>
                <w:kern w:val="0"/>
                <w:sz w:val="18"/>
                <w:szCs w:val="18"/>
              </w:rPr>
              <w:t>(2)</w:t>
            </w:r>
          </w:p>
        </w:tc>
        <w:tc>
          <w:tcPr>
            <w:tcW w:w="992"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投资进度（</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(3)=(2)/(1)</w:t>
            </w:r>
          </w:p>
        </w:tc>
        <w:tc>
          <w:tcPr>
            <w:tcW w:w="1276"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项目达到预定可使用状态日期</w:t>
            </w:r>
          </w:p>
        </w:tc>
        <w:tc>
          <w:tcPr>
            <w:tcW w:w="708"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本年度实现的效益</w:t>
            </w:r>
          </w:p>
        </w:tc>
        <w:tc>
          <w:tcPr>
            <w:tcW w:w="709"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是否达到预计效益</w:t>
            </w:r>
          </w:p>
        </w:tc>
        <w:tc>
          <w:tcPr>
            <w:tcW w:w="1134" w:type="dxa"/>
            <w:vAlign w:val="center"/>
          </w:tcPr>
          <w:p>
            <w:pPr>
              <w:widowControl/>
              <w:snapToGrid w:val="0"/>
              <w:ind w:left="-42" w:leftChars="-20" w:right="-63" w:rightChars="-30"/>
              <w:jc w:val="center"/>
              <w:rPr>
                <w:rFonts w:ascii="宋体" w:hAnsi="宋体" w:cs="宋体"/>
                <w:kern w:val="0"/>
                <w:sz w:val="18"/>
                <w:szCs w:val="18"/>
              </w:rPr>
            </w:pPr>
            <w:r>
              <w:rPr>
                <w:rFonts w:hint="eastAsia" w:ascii="宋体" w:hAnsi="宋体" w:cs="宋体"/>
                <w:kern w:val="0"/>
                <w:sz w:val="18"/>
                <w:szCs w:val="18"/>
              </w:rPr>
              <w:t>变更后的项目可行性是否发生重大变化</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1418" w:type="dxa"/>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智控设备及金属制品智能工厂建设项目（一期）（新增）</w:t>
            </w:r>
          </w:p>
        </w:tc>
        <w:tc>
          <w:tcPr>
            <w:tcW w:w="1417" w:type="dxa"/>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智能成套电气设备产业基地项目（部分变更）</w:t>
            </w:r>
          </w:p>
        </w:tc>
        <w:tc>
          <w:tcPr>
            <w:tcW w:w="1560" w:type="dxa"/>
            <w:vAlign w:val="center"/>
          </w:tcPr>
          <w:p>
            <w:pPr>
              <w:widowControl/>
              <w:snapToGrid w:val="0"/>
              <w:jc w:val="right"/>
              <w:rPr>
                <w:rFonts w:ascii="Arial Narrow" w:hAnsi="Arial Narrow" w:cs="宋体"/>
                <w:kern w:val="0"/>
                <w:sz w:val="18"/>
                <w:szCs w:val="18"/>
              </w:rPr>
            </w:pPr>
            <w:r>
              <w:rPr>
                <w:rFonts w:ascii="Arial Narrow" w:hAnsi="Arial Narrow" w:cs="宋体"/>
                <w:kern w:val="0"/>
                <w:sz w:val="18"/>
                <w:szCs w:val="18"/>
              </w:rPr>
              <w:t>147,744,400.00</w:t>
            </w:r>
          </w:p>
        </w:tc>
        <w:tc>
          <w:tcPr>
            <w:tcW w:w="1417" w:type="dxa"/>
            <w:vAlign w:val="center"/>
          </w:tcPr>
          <w:p>
            <w:pPr>
              <w:widowControl/>
              <w:snapToGrid w:val="0"/>
              <w:jc w:val="right"/>
              <w:rPr>
                <w:rFonts w:ascii="Arial Narrow" w:hAnsi="Arial Narrow" w:cs="宋体"/>
                <w:kern w:val="0"/>
                <w:sz w:val="18"/>
                <w:szCs w:val="18"/>
              </w:rPr>
            </w:pPr>
            <w:r>
              <w:rPr>
                <w:rFonts w:ascii="Arial Narrow" w:hAnsi="Arial Narrow" w:cs="宋体"/>
                <w:kern w:val="0"/>
                <w:sz w:val="18"/>
                <w:szCs w:val="18"/>
              </w:rPr>
              <w:t>147,744,400.00</w:t>
            </w:r>
          </w:p>
        </w:tc>
        <w:tc>
          <w:tcPr>
            <w:tcW w:w="1276" w:type="dxa"/>
            <w:vAlign w:val="center"/>
          </w:tcPr>
          <w:p>
            <w:pPr>
              <w:widowControl/>
              <w:snapToGrid w:val="0"/>
              <w:jc w:val="right"/>
              <w:rPr>
                <w:rFonts w:ascii="Arial Narrow" w:hAnsi="Arial Narrow" w:cs="宋体"/>
                <w:kern w:val="0"/>
                <w:sz w:val="18"/>
                <w:szCs w:val="18"/>
              </w:rPr>
            </w:pPr>
            <w:r>
              <w:rPr>
                <w:rFonts w:ascii="Arial Narrow" w:hAnsi="Arial Narrow" w:cs="宋体"/>
                <w:kern w:val="0"/>
                <w:sz w:val="18"/>
                <w:szCs w:val="18"/>
              </w:rPr>
              <w:t>50,412,937.94</w:t>
            </w:r>
          </w:p>
        </w:tc>
        <w:tc>
          <w:tcPr>
            <w:tcW w:w="1276" w:type="dxa"/>
            <w:vAlign w:val="center"/>
          </w:tcPr>
          <w:p>
            <w:pPr>
              <w:widowControl/>
              <w:snapToGrid w:val="0"/>
              <w:jc w:val="right"/>
              <w:rPr>
                <w:rFonts w:ascii="Arial Narrow" w:hAnsi="Arial Narrow" w:cs="宋体"/>
                <w:kern w:val="0"/>
                <w:sz w:val="18"/>
                <w:szCs w:val="18"/>
              </w:rPr>
            </w:pPr>
            <w:r>
              <w:rPr>
                <w:rFonts w:ascii="Arial Narrow" w:hAnsi="Arial Narrow" w:cs="宋体"/>
                <w:kern w:val="0"/>
                <w:sz w:val="18"/>
                <w:szCs w:val="18"/>
              </w:rPr>
              <w:t>50,412,937.94</w:t>
            </w:r>
          </w:p>
        </w:tc>
        <w:tc>
          <w:tcPr>
            <w:tcW w:w="992" w:type="dxa"/>
            <w:vAlign w:val="center"/>
          </w:tcPr>
          <w:p>
            <w:pPr>
              <w:snapToGrid w:val="0"/>
              <w:jc w:val="right"/>
              <w:rPr>
                <w:rFonts w:ascii="Arial Narrow" w:hAnsi="Arial Narrow" w:cs="宋体"/>
                <w:kern w:val="0"/>
                <w:sz w:val="18"/>
                <w:szCs w:val="18"/>
              </w:rPr>
            </w:pPr>
            <w:r>
              <w:rPr>
                <w:rFonts w:ascii="Arial Narrow" w:hAnsi="Arial Narrow"/>
                <w:kern w:val="0"/>
                <w:sz w:val="18"/>
                <w:szCs w:val="18"/>
              </w:rPr>
              <w:t>34.12%</w:t>
            </w:r>
          </w:p>
        </w:tc>
        <w:tc>
          <w:tcPr>
            <w:tcW w:w="1276" w:type="dxa"/>
            <w:vAlign w:val="center"/>
          </w:tcPr>
          <w:p>
            <w:pPr>
              <w:widowControl/>
              <w:snapToGrid w:val="0"/>
              <w:jc w:val="center"/>
              <w:rPr>
                <w:rFonts w:ascii="Arial Narrow" w:hAnsi="Arial Narrow" w:cs="宋体"/>
                <w:kern w:val="0"/>
                <w:sz w:val="18"/>
                <w:szCs w:val="18"/>
              </w:rPr>
            </w:pPr>
            <w:r>
              <w:rPr>
                <w:rFonts w:ascii="Arial Narrow" w:hAnsi="Arial Narrow" w:cs="宋体"/>
                <w:kern w:val="0"/>
                <w:sz w:val="18"/>
                <w:szCs w:val="18"/>
              </w:rPr>
              <w:t>2025年6月</w:t>
            </w:r>
          </w:p>
        </w:tc>
        <w:tc>
          <w:tcPr>
            <w:tcW w:w="708" w:type="dxa"/>
            <w:vAlign w:val="center"/>
          </w:tcPr>
          <w:p>
            <w:pPr>
              <w:widowControl/>
              <w:snapToGrid w:val="0"/>
              <w:jc w:val="right"/>
              <w:rPr>
                <w:rFonts w:ascii="宋体" w:hAnsi="宋体" w:cs="宋体"/>
                <w:kern w:val="0"/>
                <w:sz w:val="18"/>
                <w:szCs w:val="18"/>
              </w:rPr>
            </w:pPr>
            <w:r>
              <w:rPr>
                <w:rFonts w:hint="eastAsia" w:ascii="宋体" w:hAnsi="宋体" w:cs="宋体"/>
                <w:kern w:val="0"/>
                <w:sz w:val="18"/>
                <w:szCs w:val="18"/>
              </w:rPr>
              <w:t>-</w:t>
            </w:r>
          </w:p>
        </w:tc>
        <w:tc>
          <w:tcPr>
            <w:tcW w:w="709"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项目尚在建设中</w:t>
            </w:r>
          </w:p>
        </w:tc>
        <w:tc>
          <w:tcPr>
            <w:tcW w:w="1134"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否</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1418" w:type="dxa"/>
            <w:vAlign w:val="center"/>
          </w:tcPr>
          <w:p>
            <w:pPr>
              <w:widowControl/>
              <w:snapToGrid w:val="0"/>
              <w:jc w:val="center"/>
              <w:rPr>
                <w:rFonts w:ascii="宋体" w:hAnsi="宋体" w:cs="宋体"/>
                <w:kern w:val="0"/>
                <w:sz w:val="18"/>
                <w:szCs w:val="18"/>
              </w:rPr>
            </w:pPr>
            <w:r>
              <w:rPr>
                <w:rFonts w:hint="eastAsia" w:ascii="宋体" w:hAnsi="宋体" w:cs="宋体"/>
                <w:kern w:val="0"/>
                <w:sz w:val="18"/>
                <w:szCs w:val="18"/>
              </w:rPr>
              <w:t>合计</w:t>
            </w:r>
          </w:p>
        </w:tc>
        <w:tc>
          <w:tcPr>
            <w:tcW w:w="1417" w:type="dxa"/>
            <w:vAlign w:val="center"/>
          </w:tcPr>
          <w:p>
            <w:pPr>
              <w:widowControl/>
              <w:snapToGrid w:val="0"/>
              <w:jc w:val="center"/>
              <w:rPr>
                <w:rFonts w:ascii="宋体" w:hAnsi="宋体" w:cs="宋体"/>
                <w:kern w:val="0"/>
                <w:sz w:val="18"/>
                <w:szCs w:val="18"/>
              </w:rPr>
            </w:pPr>
            <w:r>
              <w:rPr>
                <w:rFonts w:ascii="宋体" w:hAnsi="宋体" w:cs="宋体"/>
                <w:kern w:val="0"/>
                <w:sz w:val="18"/>
                <w:szCs w:val="18"/>
              </w:rPr>
              <w:t>—</w:t>
            </w:r>
          </w:p>
        </w:tc>
        <w:tc>
          <w:tcPr>
            <w:tcW w:w="1560" w:type="dxa"/>
            <w:vAlign w:val="center"/>
          </w:tcPr>
          <w:p>
            <w:pPr>
              <w:widowControl/>
              <w:snapToGrid w:val="0"/>
              <w:jc w:val="right"/>
              <w:rPr>
                <w:rFonts w:ascii="Arial Narrow" w:hAnsi="Arial Narrow" w:cs="宋体"/>
                <w:kern w:val="0"/>
                <w:sz w:val="18"/>
                <w:szCs w:val="18"/>
              </w:rPr>
            </w:pPr>
            <w:r>
              <w:rPr>
                <w:rFonts w:ascii="Arial Narrow" w:hAnsi="Arial Narrow" w:cs="宋体"/>
                <w:kern w:val="0"/>
                <w:sz w:val="18"/>
                <w:szCs w:val="18"/>
              </w:rPr>
              <w:t>147,744,400.00</w:t>
            </w:r>
          </w:p>
        </w:tc>
        <w:tc>
          <w:tcPr>
            <w:tcW w:w="1417" w:type="dxa"/>
            <w:vAlign w:val="center"/>
          </w:tcPr>
          <w:p>
            <w:pPr>
              <w:widowControl/>
              <w:snapToGrid w:val="0"/>
              <w:jc w:val="right"/>
              <w:rPr>
                <w:rFonts w:ascii="Arial Narrow" w:hAnsi="Arial Narrow" w:cs="宋体"/>
                <w:kern w:val="0"/>
                <w:sz w:val="18"/>
                <w:szCs w:val="18"/>
              </w:rPr>
            </w:pPr>
            <w:r>
              <w:rPr>
                <w:rFonts w:ascii="Arial Narrow" w:hAnsi="Arial Narrow" w:cs="宋体"/>
                <w:kern w:val="0"/>
                <w:sz w:val="18"/>
                <w:szCs w:val="18"/>
              </w:rPr>
              <w:t>147,744,400.00</w:t>
            </w:r>
          </w:p>
        </w:tc>
        <w:tc>
          <w:tcPr>
            <w:tcW w:w="1276" w:type="dxa"/>
            <w:vAlign w:val="center"/>
          </w:tcPr>
          <w:p>
            <w:pPr>
              <w:widowControl/>
              <w:snapToGrid w:val="0"/>
              <w:jc w:val="right"/>
              <w:rPr>
                <w:rFonts w:ascii="Arial Narrow" w:hAnsi="Arial Narrow" w:cs="宋体"/>
                <w:kern w:val="0"/>
                <w:sz w:val="18"/>
                <w:szCs w:val="18"/>
              </w:rPr>
            </w:pPr>
            <w:r>
              <w:rPr>
                <w:rFonts w:ascii="Arial Narrow" w:hAnsi="Arial Narrow" w:cs="宋体"/>
                <w:kern w:val="0"/>
                <w:sz w:val="18"/>
                <w:szCs w:val="18"/>
              </w:rPr>
              <w:t>50,412,937.94</w:t>
            </w:r>
          </w:p>
        </w:tc>
        <w:tc>
          <w:tcPr>
            <w:tcW w:w="1276" w:type="dxa"/>
            <w:vAlign w:val="center"/>
          </w:tcPr>
          <w:p>
            <w:pPr>
              <w:widowControl/>
              <w:snapToGrid w:val="0"/>
              <w:jc w:val="right"/>
              <w:rPr>
                <w:rFonts w:ascii="Arial Narrow" w:hAnsi="Arial Narrow" w:cs="宋体"/>
                <w:kern w:val="0"/>
                <w:sz w:val="18"/>
                <w:szCs w:val="18"/>
              </w:rPr>
            </w:pPr>
            <w:r>
              <w:rPr>
                <w:rFonts w:ascii="Arial Narrow" w:hAnsi="Arial Narrow" w:cs="宋体"/>
                <w:kern w:val="0"/>
                <w:sz w:val="18"/>
                <w:szCs w:val="18"/>
              </w:rPr>
              <w:t>50,412,937.94</w:t>
            </w:r>
          </w:p>
        </w:tc>
        <w:tc>
          <w:tcPr>
            <w:tcW w:w="992" w:type="dxa"/>
            <w:vAlign w:val="center"/>
          </w:tcPr>
          <w:p>
            <w:pPr>
              <w:widowControl/>
              <w:snapToGrid w:val="0"/>
              <w:jc w:val="center"/>
              <w:rPr>
                <w:rFonts w:ascii="Arial Narrow" w:hAnsi="Arial Narrow" w:cs="宋体"/>
                <w:kern w:val="0"/>
                <w:sz w:val="18"/>
                <w:szCs w:val="18"/>
              </w:rPr>
            </w:pPr>
            <w:r>
              <w:rPr>
                <w:rFonts w:ascii="Arial Narrow" w:hAnsi="Arial Narrow" w:cs="宋体"/>
                <w:kern w:val="0"/>
                <w:sz w:val="18"/>
                <w:szCs w:val="18"/>
              </w:rPr>
              <w:t>—</w:t>
            </w:r>
          </w:p>
        </w:tc>
        <w:tc>
          <w:tcPr>
            <w:tcW w:w="1276" w:type="dxa"/>
            <w:vAlign w:val="center"/>
          </w:tcPr>
          <w:p>
            <w:pPr>
              <w:widowControl/>
              <w:snapToGrid w:val="0"/>
              <w:jc w:val="center"/>
              <w:rPr>
                <w:rFonts w:ascii="Arial Narrow" w:hAnsi="Arial Narrow" w:cs="宋体"/>
                <w:kern w:val="0"/>
                <w:sz w:val="18"/>
                <w:szCs w:val="18"/>
              </w:rPr>
            </w:pPr>
            <w:r>
              <w:rPr>
                <w:rFonts w:ascii="Arial Narrow" w:hAnsi="Arial Narrow" w:cs="宋体"/>
                <w:kern w:val="0"/>
                <w:sz w:val="18"/>
                <w:szCs w:val="18"/>
              </w:rPr>
              <w:t>—</w:t>
            </w:r>
          </w:p>
        </w:tc>
        <w:tc>
          <w:tcPr>
            <w:tcW w:w="708" w:type="dxa"/>
            <w:vAlign w:val="center"/>
          </w:tcPr>
          <w:p>
            <w:pPr>
              <w:widowControl/>
              <w:snapToGrid w:val="0"/>
              <w:jc w:val="right"/>
              <w:rPr>
                <w:rFonts w:ascii="宋体" w:hAnsi="宋体" w:cs="宋体"/>
                <w:kern w:val="0"/>
                <w:sz w:val="18"/>
                <w:szCs w:val="18"/>
              </w:rPr>
            </w:pPr>
          </w:p>
        </w:tc>
        <w:tc>
          <w:tcPr>
            <w:tcW w:w="709" w:type="dxa"/>
            <w:vAlign w:val="center"/>
          </w:tcPr>
          <w:p>
            <w:pPr>
              <w:widowControl/>
              <w:snapToGrid w:val="0"/>
              <w:jc w:val="center"/>
              <w:rPr>
                <w:rFonts w:ascii="宋体" w:hAnsi="宋体" w:cs="宋体"/>
                <w:kern w:val="0"/>
                <w:sz w:val="18"/>
                <w:szCs w:val="18"/>
              </w:rPr>
            </w:pPr>
            <w:r>
              <w:rPr>
                <w:rFonts w:ascii="宋体" w:hAnsi="宋体" w:cs="宋体"/>
                <w:kern w:val="0"/>
                <w:sz w:val="18"/>
                <w:szCs w:val="18"/>
              </w:rPr>
              <w:t>—</w:t>
            </w:r>
          </w:p>
        </w:tc>
        <w:tc>
          <w:tcPr>
            <w:tcW w:w="1134" w:type="dxa"/>
            <w:vAlign w:val="center"/>
          </w:tcPr>
          <w:p>
            <w:pPr>
              <w:widowControl/>
              <w:snapToGrid w:val="0"/>
              <w:jc w:val="center"/>
              <w:rPr>
                <w:rFonts w:ascii="宋体" w:hAnsi="宋体" w:cs="宋体"/>
                <w:kern w:val="0"/>
                <w:sz w:val="18"/>
                <w:szCs w:val="18"/>
              </w:rPr>
            </w:pPr>
            <w:r>
              <w:rPr>
                <w:rFonts w:ascii="宋体" w:hAnsi="宋体" w:cs="宋体"/>
                <w:kern w:val="0"/>
                <w:sz w:val="18"/>
                <w:szCs w:val="18"/>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2835" w:type="dxa"/>
            <w:gridSpan w:val="2"/>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变更原因、决策程序及信息披露情况说明（分具体募投项目）</w:t>
            </w:r>
          </w:p>
        </w:tc>
        <w:tc>
          <w:tcPr>
            <w:tcW w:w="10348" w:type="dxa"/>
            <w:gridSpan w:val="9"/>
            <w:vAlign w:val="center"/>
          </w:tcPr>
          <w:p>
            <w:pPr>
              <w:widowControl/>
              <w:snapToGrid w:val="0"/>
              <w:spacing w:before="120" w:beforeLines="50" w:line="360" w:lineRule="auto"/>
              <w:ind w:firstLine="361" w:firstLineChars="200"/>
              <w:jc w:val="left"/>
              <w:rPr>
                <w:rFonts w:ascii="宋体" w:hAnsi="宋体" w:cs="宋体"/>
                <w:b/>
                <w:bCs/>
                <w:kern w:val="0"/>
                <w:sz w:val="18"/>
                <w:szCs w:val="18"/>
              </w:rPr>
            </w:pPr>
            <w:r>
              <w:rPr>
                <w:rFonts w:hint="eastAsia" w:ascii="宋体" w:hAnsi="宋体" w:cs="宋体"/>
                <w:b/>
                <w:bCs/>
                <w:kern w:val="0"/>
                <w:sz w:val="18"/>
                <w:szCs w:val="18"/>
              </w:rPr>
              <w:t>变更原因：</w:t>
            </w:r>
          </w:p>
          <w:p>
            <w:pPr>
              <w:widowControl/>
              <w:snapToGrid w:val="0"/>
              <w:spacing w:before="50" w:line="360" w:lineRule="auto"/>
              <w:ind w:firstLine="360" w:firstLineChars="200"/>
              <w:jc w:val="left"/>
              <w:rPr>
                <w:rFonts w:ascii="宋体" w:hAnsi="宋体" w:cs="宋体"/>
                <w:kern w:val="0"/>
                <w:sz w:val="18"/>
                <w:szCs w:val="18"/>
              </w:rPr>
            </w:pPr>
            <w:r>
              <w:rPr>
                <w:rFonts w:ascii="宋体" w:hAnsi="宋体" w:cs="宋体"/>
                <w:kern w:val="0"/>
                <w:sz w:val="18"/>
                <w:szCs w:val="18"/>
              </w:rPr>
              <w:t>公司经过持续的技术升级与布局优化，原募投项目规划的2#厂房在满足项目需求的基础上仍有部分场地可用于其他用途，因此本次对用于场地投资的募集资金根据实际投资进行了调减；</w:t>
            </w:r>
          </w:p>
          <w:p>
            <w:pPr>
              <w:widowControl/>
              <w:snapToGrid w:val="0"/>
              <w:spacing w:before="50" w:line="360" w:lineRule="auto"/>
              <w:ind w:firstLine="360" w:firstLineChars="200"/>
              <w:jc w:val="left"/>
              <w:rPr>
                <w:rFonts w:ascii="宋体" w:hAnsi="宋体" w:cs="宋体"/>
                <w:kern w:val="0"/>
                <w:sz w:val="18"/>
                <w:szCs w:val="18"/>
              </w:rPr>
            </w:pPr>
            <w:r>
              <w:rPr>
                <w:rFonts w:ascii="宋体" w:hAnsi="宋体" w:cs="宋体"/>
                <w:kern w:val="0"/>
                <w:sz w:val="18"/>
                <w:szCs w:val="18"/>
              </w:rPr>
              <w:t>原募投项目规划设备投资方案内包含板件加工、铜排加工以及自动喷涂生产线等内容，近年来伴随公司业绩持续向好发展，成套电气设备业务规模持续扩大，原规划加工能力已不能满足未来业务发展需求，且设备选型也已不具备领先优势，因此公司拟对项目内金属加工相关内容进行调整。目前公司已购置土地，并规划建设新项目即“智控设备及金属制品智能工厂建设项目（一期）”，拟将金属制品进行统筹制造，在新地块建设钣金加工和自动喷涂线，同时增加变压器油箱加工和夹件加工能力，提升变压器产能配套能力，项目一方面有利于提升公司金属制品加工能力和加工效率，另一方面规模化生产也有利于降低成本，增强公司产品市场竞争力。</w:t>
            </w:r>
          </w:p>
          <w:p>
            <w:pPr>
              <w:widowControl/>
              <w:snapToGrid w:val="0"/>
              <w:spacing w:before="50" w:line="360" w:lineRule="auto"/>
              <w:ind w:firstLine="360" w:firstLineChars="200"/>
              <w:jc w:val="left"/>
              <w:rPr>
                <w:rFonts w:ascii="宋体" w:hAnsi="宋体" w:cs="宋体"/>
                <w:kern w:val="0"/>
                <w:sz w:val="18"/>
                <w:szCs w:val="18"/>
              </w:rPr>
            </w:pPr>
            <w:r>
              <w:rPr>
                <w:rFonts w:ascii="宋体" w:hAnsi="宋体" w:cs="宋体"/>
                <w:kern w:val="0"/>
                <w:sz w:val="18"/>
                <w:szCs w:val="18"/>
              </w:rPr>
              <w:t>鉴于以上情况，经公司审慎评估，为更科学、有效地使用募集资金，提升公司盈利能力，维护公司及全体股东的利益，对原募投项目“智能成套电气设备产业基地建设项目”募集资金投资金额进行调减，并将资金用于投入“智控设备及金属制品智能工厂建设项目（一期）”</w:t>
            </w:r>
          </w:p>
          <w:p>
            <w:pPr>
              <w:widowControl/>
              <w:snapToGrid w:val="0"/>
              <w:spacing w:before="50" w:line="360" w:lineRule="auto"/>
              <w:ind w:firstLine="361" w:firstLineChars="200"/>
              <w:jc w:val="left"/>
              <w:rPr>
                <w:rFonts w:ascii="宋体" w:hAnsi="宋体" w:cs="宋体"/>
                <w:b/>
                <w:bCs/>
                <w:kern w:val="0"/>
                <w:sz w:val="18"/>
                <w:szCs w:val="18"/>
              </w:rPr>
            </w:pPr>
            <w:r>
              <w:rPr>
                <w:rFonts w:hint="eastAsia" w:ascii="宋体" w:hAnsi="宋体" w:cs="宋体"/>
                <w:b/>
                <w:bCs/>
                <w:kern w:val="0"/>
                <w:sz w:val="18"/>
                <w:szCs w:val="18"/>
              </w:rPr>
              <w:t>决策程序：</w:t>
            </w:r>
          </w:p>
          <w:p>
            <w:pPr>
              <w:widowControl/>
              <w:snapToGrid w:val="0"/>
              <w:spacing w:before="50" w:line="360" w:lineRule="auto"/>
              <w:ind w:firstLine="360" w:firstLineChars="200"/>
              <w:jc w:val="left"/>
              <w:rPr>
                <w:rFonts w:ascii="宋体" w:hAnsi="宋体" w:cs="宋体"/>
                <w:kern w:val="0"/>
                <w:sz w:val="18"/>
                <w:szCs w:val="18"/>
              </w:rPr>
            </w:pPr>
            <w:r>
              <w:rPr>
                <w:rFonts w:hint="eastAsia" w:ascii="宋体" w:hAnsi="宋体" w:cs="宋体"/>
                <w:kern w:val="0"/>
                <w:sz w:val="18"/>
                <w:szCs w:val="18"/>
              </w:rPr>
              <w:t>本次变更部分募集资金用途并实施新募投项目事宜已经公司2023年10月25日召开的第三届董事会第十八次会议及第三届监事会第十六次会议审议通过，并已经2023年11月13日召开的2023年第二次临时股东大会决议通过。</w:t>
            </w:r>
          </w:p>
          <w:p>
            <w:pPr>
              <w:widowControl/>
              <w:snapToGrid w:val="0"/>
              <w:spacing w:before="50" w:line="360" w:lineRule="auto"/>
              <w:ind w:firstLine="361" w:firstLineChars="200"/>
              <w:jc w:val="left"/>
              <w:rPr>
                <w:rFonts w:ascii="宋体" w:hAnsi="宋体" w:cs="宋体"/>
                <w:b/>
                <w:bCs/>
                <w:kern w:val="0"/>
                <w:sz w:val="18"/>
                <w:szCs w:val="18"/>
              </w:rPr>
            </w:pPr>
            <w:r>
              <w:rPr>
                <w:rFonts w:hint="eastAsia" w:ascii="宋体" w:hAnsi="宋体" w:cs="宋体"/>
                <w:b/>
                <w:bCs/>
                <w:kern w:val="0"/>
                <w:sz w:val="18"/>
                <w:szCs w:val="18"/>
              </w:rPr>
              <w:t>信息披露情况：</w:t>
            </w:r>
          </w:p>
          <w:p>
            <w:pPr>
              <w:widowControl/>
              <w:snapToGrid w:val="0"/>
              <w:spacing w:before="50" w:line="360" w:lineRule="auto"/>
              <w:ind w:firstLine="360" w:firstLineChars="200"/>
              <w:jc w:val="left"/>
              <w:rPr>
                <w:rFonts w:ascii="宋体" w:hAnsi="宋体" w:cs="宋体"/>
                <w:kern w:val="0"/>
                <w:sz w:val="18"/>
                <w:szCs w:val="18"/>
              </w:rPr>
            </w:pPr>
            <w:r>
              <w:rPr>
                <w:rFonts w:hint="eastAsia" w:ascii="宋体" w:hAnsi="宋体" w:cs="宋体"/>
                <w:kern w:val="0"/>
                <w:sz w:val="18"/>
                <w:szCs w:val="18"/>
              </w:rPr>
              <w:t>2023年10月27日已对本次变更部分募集资金用途并实施新募投项目事宜进行公告；</w:t>
            </w:r>
          </w:p>
          <w:p>
            <w:pPr>
              <w:widowControl/>
              <w:snapToGrid w:val="0"/>
              <w:spacing w:before="50" w:line="360" w:lineRule="auto"/>
              <w:ind w:firstLine="360" w:firstLineChars="200"/>
              <w:jc w:val="left"/>
              <w:rPr>
                <w:rFonts w:ascii="宋体" w:hAnsi="宋体" w:cs="宋体"/>
                <w:kern w:val="0"/>
                <w:sz w:val="18"/>
                <w:szCs w:val="18"/>
              </w:rPr>
            </w:pPr>
            <w:r>
              <w:rPr>
                <w:rFonts w:hint="eastAsia" w:ascii="宋体" w:hAnsi="宋体" w:cs="宋体"/>
                <w:kern w:val="0"/>
                <w:sz w:val="18"/>
                <w:szCs w:val="18"/>
              </w:rPr>
              <w:t>2023年10月27日已对中信证券股份有限公司关于望变电气关于变更部分募集资金用途投入新项目的核查意见进行公告；</w:t>
            </w:r>
          </w:p>
          <w:p>
            <w:pPr>
              <w:widowControl/>
              <w:snapToGrid w:val="0"/>
              <w:spacing w:before="50" w:line="360" w:lineRule="auto"/>
              <w:ind w:firstLine="360" w:firstLineChars="200"/>
              <w:jc w:val="left"/>
              <w:rPr>
                <w:rFonts w:ascii="宋体" w:hAnsi="宋体" w:cs="宋体"/>
                <w:kern w:val="0"/>
                <w:sz w:val="18"/>
                <w:szCs w:val="18"/>
              </w:rPr>
            </w:pPr>
            <w:r>
              <w:rPr>
                <w:rFonts w:hint="eastAsia" w:ascii="宋体" w:hAnsi="宋体" w:cs="宋体"/>
                <w:kern w:val="0"/>
                <w:sz w:val="18"/>
                <w:szCs w:val="18"/>
              </w:rPr>
              <w:t>2023年11月02日已对中信证券股份有限公司关于望变电气关于</w:t>
            </w:r>
            <w:r>
              <w:rPr>
                <w:rFonts w:ascii="宋体" w:hAnsi="宋体" w:cs="宋体"/>
                <w:kern w:val="0"/>
                <w:sz w:val="18"/>
                <w:szCs w:val="18"/>
              </w:rPr>
              <w:t>变更</w:t>
            </w:r>
            <w:r>
              <w:rPr>
                <w:rFonts w:hint="eastAsia" w:ascii="宋体" w:hAnsi="宋体" w:cs="宋体"/>
                <w:kern w:val="0"/>
                <w:sz w:val="18"/>
                <w:szCs w:val="18"/>
              </w:rPr>
              <w:t>部分募集资金用途投入新项目的核查意见（更新后）进行公告。</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5812" w:type="dxa"/>
            <w:gridSpan w:val="4"/>
            <w:vAlign w:val="center"/>
          </w:tcPr>
          <w:p>
            <w:pPr>
              <w:widowControl/>
              <w:snapToGrid w:val="0"/>
              <w:rPr>
                <w:rFonts w:ascii="宋体" w:hAnsi="宋体" w:cs="宋体"/>
                <w:kern w:val="0"/>
                <w:sz w:val="18"/>
                <w:szCs w:val="18"/>
              </w:rPr>
            </w:pPr>
            <w:r>
              <w:rPr>
                <w:rFonts w:hint="eastAsia" w:ascii="宋体" w:hAnsi="宋体" w:cs="宋体"/>
                <w:kern w:val="0"/>
                <w:sz w:val="18"/>
                <w:szCs w:val="18"/>
              </w:rPr>
              <w:t>未达到计划进度的情况和原因（分具体募投项目）</w:t>
            </w:r>
          </w:p>
        </w:tc>
        <w:tc>
          <w:tcPr>
            <w:tcW w:w="7371" w:type="dxa"/>
            <w:gridSpan w:val="7"/>
            <w:vAlign w:val="center"/>
          </w:tcPr>
          <w:p>
            <w:pPr>
              <w:widowControl/>
              <w:snapToGrid w:val="0"/>
              <w:jc w:val="left"/>
              <w:rPr>
                <w:rFonts w:ascii="宋体" w:hAnsi="宋体" w:cs="宋体"/>
                <w:kern w:val="0"/>
                <w:sz w:val="18"/>
                <w:szCs w:val="18"/>
              </w:rPr>
            </w:pPr>
            <w:r>
              <w:rPr>
                <w:rFonts w:hint="eastAsia" w:ascii="宋体" w:hAnsi="宋体" w:cs="宋体"/>
                <w:kern w:val="0"/>
                <w:sz w:val="18"/>
                <w:szCs w:val="18"/>
              </w:rPr>
              <w:t>不适用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5812" w:type="dxa"/>
            <w:gridSpan w:val="4"/>
            <w:vAlign w:val="center"/>
          </w:tcPr>
          <w:p>
            <w:pPr>
              <w:widowControl/>
              <w:snapToGrid w:val="0"/>
              <w:rPr>
                <w:rFonts w:ascii="宋体" w:hAnsi="宋体" w:cs="宋体"/>
                <w:kern w:val="0"/>
                <w:sz w:val="18"/>
                <w:szCs w:val="18"/>
              </w:rPr>
            </w:pPr>
            <w:r>
              <w:rPr>
                <w:rFonts w:hint="eastAsia" w:ascii="宋体" w:hAnsi="宋体" w:cs="宋体"/>
                <w:kern w:val="0"/>
                <w:sz w:val="18"/>
                <w:szCs w:val="18"/>
              </w:rPr>
              <w:t>变更后的项目可行性发生重大变化的情况说明</w:t>
            </w:r>
          </w:p>
        </w:tc>
        <w:tc>
          <w:tcPr>
            <w:tcW w:w="7371" w:type="dxa"/>
            <w:gridSpan w:val="7"/>
            <w:vAlign w:val="center"/>
          </w:tcPr>
          <w:p>
            <w:pPr>
              <w:widowControl/>
              <w:snapToGrid w:val="0"/>
              <w:jc w:val="left"/>
              <w:rPr>
                <w:rFonts w:ascii="宋体" w:hAnsi="宋体"/>
                <w:kern w:val="0"/>
                <w:sz w:val="18"/>
                <w:szCs w:val="18"/>
              </w:rPr>
            </w:pPr>
            <w:r>
              <w:rPr>
                <w:rFonts w:hint="eastAsia" w:ascii="宋体" w:hAnsi="宋体"/>
                <w:kern w:val="0"/>
                <w:sz w:val="18"/>
                <w:szCs w:val="18"/>
              </w:rPr>
              <w:t>不适用</w:t>
            </w:r>
          </w:p>
        </w:tc>
      </w:tr>
    </w:tbl>
    <w:p>
      <w:pPr>
        <w:pStyle w:val="4"/>
        <w:snapToGrid w:val="0"/>
        <w:ind w:firstLine="0"/>
        <w:rPr>
          <w:rFonts w:ascii="宋体" w:hAnsi="宋体"/>
          <w:szCs w:val="21"/>
        </w:rPr>
      </w:pPr>
    </w:p>
    <w:sectPr>
      <w:pgSz w:w="16840" w:h="11907" w:orient="landscape"/>
      <w:pgMar w:top="1797" w:right="2155" w:bottom="1797" w:left="1440"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rFonts w:hint="eastAsia" w:ascii="宋体" w:hAnsi="宋体"/>
      </w:rPr>
      <w:t>专项报告 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10</w:t>
    </w:r>
    <w:r>
      <w:rPr>
        <w:rFonts w:ascii="宋体" w:hAnsi="宋体"/>
      </w:rPr>
      <w:fldChar w:fldCharType="end"/>
    </w:r>
    <w:r>
      <w:rPr>
        <w:rFonts w:hint="eastAsia" w:ascii="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专项报告 第</w:t>
    </w:r>
    <w:r>
      <w:fldChar w:fldCharType="begin"/>
    </w:r>
    <w:r>
      <w:instrText xml:space="preserve"> PAGE   \* MERGEFORMAT </w:instrText>
    </w:r>
    <w:r>
      <w:fldChar w:fldCharType="separate"/>
    </w:r>
    <w:r>
      <w:rPr>
        <w:lang w:val="zh-CN"/>
      </w:rPr>
      <w:t>1</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宋体" w:hAnsi="宋体"/>
      </w:rPr>
    </w:pPr>
    <w:r>
      <w:rPr>
        <w:rFonts w:hint="eastAsia" w:ascii="宋体" w:hAnsi="宋体"/>
      </w:rPr>
      <w:t>重庆望变电气（集团）股份有限公司</w:t>
    </w:r>
  </w:p>
  <w:p>
    <w:pPr>
      <w:pStyle w:val="8"/>
      <w:jc w:val="left"/>
      <w:rPr>
        <w:rFonts w:ascii="宋体" w:hAnsi="宋体"/>
      </w:rPr>
    </w:pPr>
    <w:r>
      <w:rPr>
        <w:rFonts w:hint="eastAsia" w:ascii="宋体" w:hAnsi="宋体"/>
      </w:rPr>
      <w:t>2023年度</w:t>
    </w:r>
  </w:p>
  <w:p>
    <w:pPr>
      <w:pStyle w:val="8"/>
      <w:jc w:val="left"/>
      <w:rPr>
        <w:rFonts w:ascii="宋体" w:hAnsi="宋体"/>
      </w:rPr>
    </w:pPr>
    <w:r>
      <w:rPr>
        <w:rFonts w:hint="eastAsia" w:ascii="宋体" w:hAnsi="宋体"/>
      </w:rPr>
      <w:t>募集资金存放与使用情况专项报告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color w:val="FF0000"/>
      </w:rPr>
    </w:pPr>
    <w:r>
      <w:rPr>
        <w:rFonts w:hint="eastAsia"/>
        <w:color w:val="FF0000"/>
      </w:rPr>
      <w:t>xxxx股份有限公司</w:t>
    </w:r>
  </w:p>
  <w:p>
    <w:pPr>
      <w:pStyle w:val="8"/>
      <w:jc w:val="left"/>
      <w:rPr>
        <w:color w:val="FF0000"/>
      </w:rPr>
    </w:pPr>
    <w:r>
      <w:rPr>
        <w:rFonts w:hint="eastAsia"/>
        <w:color w:val="FF0000"/>
      </w:rPr>
      <w:t>20xx年度</w:t>
    </w:r>
  </w:p>
  <w:p>
    <w:pPr>
      <w:pStyle w:val="8"/>
      <w:jc w:val="left"/>
    </w:pPr>
    <w:r>
      <w:rPr>
        <w:rFonts w:hint="eastAsia"/>
      </w:rPr>
      <w:t>募集资金存放与使用情况专项报告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3416DC"/>
    <w:rsid w:val="000021E5"/>
    <w:rsid w:val="00002705"/>
    <w:rsid w:val="00003133"/>
    <w:rsid w:val="00011569"/>
    <w:rsid w:val="0001789D"/>
    <w:rsid w:val="0002170E"/>
    <w:rsid w:val="00021840"/>
    <w:rsid w:val="000223E3"/>
    <w:rsid w:val="0002529C"/>
    <w:rsid w:val="00026C0D"/>
    <w:rsid w:val="00036685"/>
    <w:rsid w:val="000369A8"/>
    <w:rsid w:val="00037087"/>
    <w:rsid w:val="00040E94"/>
    <w:rsid w:val="00044684"/>
    <w:rsid w:val="00046FC8"/>
    <w:rsid w:val="00051AC0"/>
    <w:rsid w:val="00055348"/>
    <w:rsid w:val="00055A16"/>
    <w:rsid w:val="00056327"/>
    <w:rsid w:val="00060B11"/>
    <w:rsid w:val="0006471A"/>
    <w:rsid w:val="00064F6D"/>
    <w:rsid w:val="00070C9A"/>
    <w:rsid w:val="000739FD"/>
    <w:rsid w:val="00074B21"/>
    <w:rsid w:val="00074E05"/>
    <w:rsid w:val="000756C2"/>
    <w:rsid w:val="00082BA3"/>
    <w:rsid w:val="00084926"/>
    <w:rsid w:val="000854B5"/>
    <w:rsid w:val="00091968"/>
    <w:rsid w:val="00092358"/>
    <w:rsid w:val="00092F0E"/>
    <w:rsid w:val="000943CF"/>
    <w:rsid w:val="0009451B"/>
    <w:rsid w:val="00096E5E"/>
    <w:rsid w:val="000A1FE0"/>
    <w:rsid w:val="000A40B2"/>
    <w:rsid w:val="000A5CF3"/>
    <w:rsid w:val="000A672B"/>
    <w:rsid w:val="000A775F"/>
    <w:rsid w:val="000B0173"/>
    <w:rsid w:val="000B1842"/>
    <w:rsid w:val="000B246A"/>
    <w:rsid w:val="000B2879"/>
    <w:rsid w:val="000B3232"/>
    <w:rsid w:val="000B5CED"/>
    <w:rsid w:val="000B61D1"/>
    <w:rsid w:val="000B6760"/>
    <w:rsid w:val="000B6A02"/>
    <w:rsid w:val="000C24F0"/>
    <w:rsid w:val="000D280C"/>
    <w:rsid w:val="000D34ED"/>
    <w:rsid w:val="000D52D5"/>
    <w:rsid w:val="000D75BB"/>
    <w:rsid w:val="000E106D"/>
    <w:rsid w:val="000E345E"/>
    <w:rsid w:val="000E6E62"/>
    <w:rsid w:val="000F002D"/>
    <w:rsid w:val="000F0384"/>
    <w:rsid w:val="000F3D31"/>
    <w:rsid w:val="000F5330"/>
    <w:rsid w:val="000F55E2"/>
    <w:rsid w:val="000F5B6C"/>
    <w:rsid w:val="000F70CC"/>
    <w:rsid w:val="000F76D8"/>
    <w:rsid w:val="000F7A70"/>
    <w:rsid w:val="001024A6"/>
    <w:rsid w:val="00102FCB"/>
    <w:rsid w:val="00103346"/>
    <w:rsid w:val="00104FA8"/>
    <w:rsid w:val="00111541"/>
    <w:rsid w:val="00113A5E"/>
    <w:rsid w:val="00113C7E"/>
    <w:rsid w:val="001150C2"/>
    <w:rsid w:val="00115711"/>
    <w:rsid w:val="00116C90"/>
    <w:rsid w:val="00117CBD"/>
    <w:rsid w:val="00121DE0"/>
    <w:rsid w:val="001247CF"/>
    <w:rsid w:val="00124EC8"/>
    <w:rsid w:val="00126CAD"/>
    <w:rsid w:val="001313B1"/>
    <w:rsid w:val="001316CA"/>
    <w:rsid w:val="0013222E"/>
    <w:rsid w:val="0013245E"/>
    <w:rsid w:val="001365F3"/>
    <w:rsid w:val="00136BC9"/>
    <w:rsid w:val="00141CEC"/>
    <w:rsid w:val="00142D38"/>
    <w:rsid w:val="00144084"/>
    <w:rsid w:val="00150728"/>
    <w:rsid w:val="00150913"/>
    <w:rsid w:val="00151B96"/>
    <w:rsid w:val="00152C12"/>
    <w:rsid w:val="00153503"/>
    <w:rsid w:val="001548AD"/>
    <w:rsid w:val="001556A8"/>
    <w:rsid w:val="00157CCF"/>
    <w:rsid w:val="001604B0"/>
    <w:rsid w:val="00162364"/>
    <w:rsid w:val="00164339"/>
    <w:rsid w:val="00164C99"/>
    <w:rsid w:val="00165D64"/>
    <w:rsid w:val="00166DB7"/>
    <w:rsid w:val="00166DDA"/>
    <w:rsid w:val="00170E0A"/>
    <w:rsid w:val="00174005"/>
    <w:rsid w:val="00177909"/>
    <w:rsid w:val="00177F82"/>
    <w:rsid w:val="00180D86"/>
    <w:rsid w:val="001837F2"/>
    <w:rsid w:val="00186000"/>
    <w:rsid w:val="00186BB5"/>
    <w:rsid w:val="00191086"/>
    <w:rsid w:val="0019269D"/>
    <w:rsid w:val="00196C45"/>
    <w:rsid w:val="00197886"/>
    <w:rsid w:val="001A2F1B"/>
    <w:rsid w:val="001A3AAD"/>
    <w:rsid w:val="001A4DE9"/>
    <w:rsid w:val="001A5DD3"/>
    <w:rsid w:val="001A6EDC"/>
    <w:rsid w:val="001A7706"/>
    <w:rsid w:val="001B0ECA"/>
    <w:rsid w:val="001B174D"/>
    <w:rsid w:val="001B181F"/>
    <w:rsid w:val="001B2373"/>
    <w:rsid w:val="001B4980"/>
    <w:rsid w:val="001C05AE"/>
    <w:rsid w:val="001C1B53"/>
    <w:rsid w:val="001C1C18"/>
    <w:rsid w:val="001C4557"/>
    <w:rsid w:val="001C4FCC"/>
    <w:rsid w:val="001C5999"/>
    <w:rsid w:val="001C64A6"/>
    <w:rsid w:val="001D26D4"/>
    <w:rsid w:val="001D31CB"/>
    <w:rsid w:val="001D3C98"/>
    <w:rsid w:val="001D4964"/>
    <w:rsid w:val="001D4C4A"/>
    <w:rsid w:val="001D4D11"/>
    <w:rsid w:val="001E0993"/>
    <w:rsid w:val="001E3BDD"/>
    <w:rsid w:val="001E65F9"/>
    <w:rsid w:val="001F30E4"/>
    <w:rsid w:val="001F3DC7"/>
    <w:rsid w:val="001F54EB"/>
    <w:rsid w:val="0020181B"/>
    <w:rsid w:val="002079E7"/>
    <w:rsid w:val="00212BD2"/>
    <w:rsid w:val="00213353"/>
    <w:rsid w:val="0021438D"/>
    <w:rsid w:val="002171FB"/>
    <w:rsid w:val="0021796B"/>
    <w:rsid w:val="00220E83"/>
    <w:rsid w:val="00224F34"/>
    <w:rsid w:val="00227BF5"/>
    <w:rsid w:val="00230A38"/>
    <w:rsid w:val="00232335"/>
    <w:rsid w:val="00233359"/>
    <w:rsid w:val="00233F7B"/>
    <w:rsid w:val="00235424"/>
    <w:rsid w:val="00244520"/>
    <w:rsid w:val="00246703"/>
    <w:rsid w:val="00246AA6"/>
    <w:rsid w:val="0025744B"/>
    <w:rsid w:val="00257FBF"/>
    <w:rsid w:val="00260C77"/>
    <w:rsid w:val="00261C96"/>
    <w:rsid w:val="00264165"/>
    <w:rsid w:val="002652AC"/>
    <w:rsid w:val="00270966"/>
    <w:rsid w:val="002730A1"/>
    <w:rsid w:val="00273CF6"/>
    <w:rsid w:val="00274969"/>
    <w:rsid w:val="00277388"/>
    <w:rsid w:val="00277F3E"/>
    <w:rsid w:val="0028012F"/>
    <w:rsid w:val="00280517"/>
    <w:rsid w:val="00281F49"/>
    <w:rsid w:val="00282AE2"/>
    <w:rsid w:val="002840D5"/>
    <w:rsid w:val="00287F19"/>
    <w:rsid w:val="00290009"/>
    <w:rsid w:val="00291C79"/>
    <w:rsid w:val="002A4E3B"/>
    <w:rsid w:val="002A7B2D"/>
    <w:rsid w:val="002B20FE"/>
    <w:rsid w:val="002B59DD"/>
    <w:rsid w:val="002B74AF"/>
    <w:rsid w:val="002C013D"/>
    <w:rsid w:val="002C03AB"/>
    <w:rsid w:val="002C47CA"/>
    <w:rsid w:val="002C4FE3"/>
    <w:rsid w:val="002E1C27"/>
    <w:rsid w:val="002E2921"/>
    <w:rsid w:val="002E2A45"/>
    <w:rsid w:val="002E35E7"/>
    <w:rsid w:val="002E7694"/>
    <w:rsid w:val="002F1377"/>
    <w:rsid w:val="002F3977"/>
    <w:rsid w:val="002F47AE"/>
    <w:rsid w:val="002F6A38"/>
    <w:rsid w:val="00300FB7"/>
    <w:rsid w:val="00301FA3"/>
    <w:rsid w:val="00302423"/>
    <w:rsid w:val="003033FC"/>
    <w:rsid w:val="00303427"/>
    <w:rsid w:val="00311C47"/>
    <w:rsid w:val="00314C6A"/>
    <w:rsid w:val="00315251"/>
    <w:rsid w:val="00320BF9"/>
    <w:rsid w:val="0032443A"/>
    <w:rsid w:val="00325AA1"/>
    <w:rsid w:val="00326DB2"/>
    <w:rsid w:val="0032788B"/>
    <w:rsid w:val="00327932"/>
    <w:rsid w:val="003279F0"/>
    <w:rsid w:val="00330BF3"/>
    <w:rsid w:val="00333B29"/>
    <w:rsid w:val="00335DD4"/>
    <w:rsid w:val="003377D7"/>
    <w:rsid w:val="003416DC"/>
    <w:rsid w:val="003419DE"/>
    <w:rsid w:val="0034763B"/>
    <w:rsid w:val="00347CA9"/>
    <w:rsid w:val="00352A35"/>
    <w:rsid w:val="00352A6C"/>
    <w:rsid w:val="003551CE"/>
    <w:rsid w:val="0035544B"/>
    <w:rsid w:val="0035697C"/>
    <w:rsid w:val="003579A2"/>
    <w:rsid w:val="0036064D"/>
    <w:rsid w:val="003617E1"/>
    <w:rsid w:val="00364E51"/>
    <w:rsid w:val="00371243"/>
    <w:rsid w:val="00377216"/>
    <w:rsid w:val="00380A0C"/>
    <w:rsid w:val="003828A9"/>
    <w:rsid w:val="00383B1C"/>
    <w:rsid w:val="00384B5D"/>
    <w:rsid w:val="003853CD"/>
    <w:rsid w:val="00386FA9"/>
    <w:rsid w:val="0039095C"/>
    <w:rsid w:val="00393B73"/>
    <w:rsid w:val="00393BD8"/>
    <w:rsid w:val="00396742"/>
    <w:rsid w:val="00396DF5"/>
    <w:rsid w:val="00397077"/>
    <w:rsid w:val="003A5669"/>
    <w:rsid w:val="003A7619"/>
    <w:rsid w:val="003B2DD2"/>
    <w:rsid w:val="003B4034"/>
    <w:rsid w:val="003B4F85"/>
    <w:rsid w:val="003B573A"/>
    <w:rsid w:val="003B6615"/>
    <w:rsid w:val="003B7741"/>
    <w:rsid w:val="003C177C"/>
    <w:rsid w:val="003C4236"/>
    <w:rsid w:val="003C4303"/>
    <w:rsid w:val="003C48B8"/>
    <w:rsid w:val="003C578A"/>
    <w:rsid w:val="003C66D9"/>
    <w:rsid w:val="003D289A"/>
    <w:rsid w:val="003D2C37"/>
    <w:rsid w:val="003D6109"/>
    <w:rsid w:val="003D6D56"/>
    <w:rsid w:val="003E0B39"/>
    <w:rsid w:val="003E697E"/>
    <w:rsid w:val="003E6ABC"/>
    <w:rsid w:val="003E6D72"/>
    <w:rsid w:val="003F1E99"/>
    <w:rsid w:val="003F28B6"/>
    <w:rsid w:val="003F7DCD"/>
    <w:rsid w:val="0040113C"/>
    <w:rsid w:val="004026E3"/>
    <w:rsid w:val="004027E8"/>
    <w:rsid w:val="004067DC"/>
    <w:rsid w:val="00406B70"/>
    <w:rsid w:val="004104D3"/>
    <w:rsid w:val="004113F9"/>
    <w:rsid w:val="00413FA4"/>
    <w:rsid w:val="004152B5"/>
    <w:rsid w:val="004154FC"/>
    <w:rsid w:val="00416EC4"/>
    <w:rsid w:val="00417589"/>
    <w:rsid w:val="004201CA"/>
    <w:rsid w:val="00424C46"/>
    <w:rsid w:val="0042555F"/>
    <w:rsid w:val="00425A4A"/>
    <w:rsid w:val="004273DD"/>
    <w:rsid w:val="00430471"/>
    <w:rsid w:val="00430576"/>
    <w:rsid w:val="00431DD7"/>
    <w:rsid w:val="004321DE"/>
    <w:rsid w:val="00434A79"/>
    <w:rsid w:val="00435E26"/>
    <w:rsid w:val="00446655"/>
    <w:rsid w:val="00450135"/>
    <w:rsid w:val="004506B5"/>
    <w:rsid w:val="00450C23"/>
    <w:rsid w:val="00450D37"/>
    <w:rsid w:val="0045180F"/>
    <w:rsid w:val="004534F5"/>
    <w:rsid w:val="00453D55"/>
    <w:rsid w:val="004567F5"/>
    <w:rsid w:val="00462212"/>
    <w:rsid w:val="0046225A"/>
    <w:rsid w:val="00462878"/>
    <w:rsid w:val="00462EC4"/>
    <w:rsid w:val="0046705F"/>
    <w:rsid w:val="00471659"/>
    <w:rsid w:val="00472857"/>
    <w:rsid w:val="00474297"/>
    <w:rsid w:val="004753B6"/>
    <w:rsid w:val="00481B24"/>
    <w:rsid w:val="0048228C"/>
    <w:rsid w:val="00482841"/>
    <w:rsid w:val="00482E44"/>
    <w:rsid w:val="004862FA"/>
    <w:rsid w:val="00487F67"/>
    <w:rsid w:val="00491C86"/>
    <w:rsid w:val="00494B25"/>
    <w:rsid w:val="004977D9"/>
    <w:rsid w:val="004A23C6"/>
    <w:rsid w:val="004A2F81"/>
    <w:rsid w:val="004A4B62"/>
    <w:rsid w:val="004A5A90"/>
    <w:rsid w:val="004A5C03"/>
    <w:rsid w:val="004A63C6"/>
    <w:rsid w:val="004A68BA"/>
    <w:rsid w:val="004B2E9F"/>
    <w:rsid w:val="004B6299"/>
    <w:rsid w:val="004C13D3"/>
    <w:rsid w:val="004C1808"/>
    <w:rsid w:val="004C34F2"/>
    <w:rsid w:val="004C3DF2"/>
    <w:rsid w:val="004C57B3"/>
    <w:rsid w:val="004C76E2"/>
    <w:rsid w:val="004D0C82"/>
    <w:rsid w:val="004D2F06"/>
    <w:rsid w:val="004D42D8"/>
    <w:rsid w:val="004D5B1C"/>
    <w:rsid w:val="004D6C41"/>
    <w:rsid w:val="004E0057"/>
    <w:rsid w:val="004E0D20"/>
    <w:rsid w:val="004E18FB"/>
    <w:rsid w:val="004E42BD"/>
    <w:rsid w:val="004E69B0"/>
    <w:rsid w:val="004E7616"/>
    <w:rsid w:val="004F51F6"/>
    <w:rsid w:val="004F7670"/>
    <w:rsid w:val="00504518"/>
    <w:rsid w:val="0050734C"/>
    <w:rsid w:val="0051087A"/>
    <w:rsid w:val="00511D7C"/>
    <w:rsid w:val="00512311"/>
    <w:rsid w:val="00513856"/>
    <w:rsid w:val="00516EF6"/>
    <w:rsid w:val="00517AE6"/>
    <w:rsid w:val="005205F0"/>
    <w:rsid w:val="005207F4"/>
    <w:rsid w:val="00524A64"/>
    <w:rsid w:val="00526A34"/>
    <w:rsid w:val="00527482"/>
    <w:rsid w:val="00527581"/>
    <w:rsid w:val="00527797"/>
    <w:rsid w:val="00531096"/>
    <w:rsid w:val="00532901"/>
    <w:rsid w:val="00542418"/>
    <w:rsid w:val="0054405E"/>
    <w:rsid w:val="00545941"/>
    <w:rsid w:val="00546363"/>
    <w:rsid w:val="00550C44"/>
    <w:rsid w:val="00552D43"/>
    <w:rsid w:val="00554546"/>
    <w:rsid w:val="00555034"/>
    <w:rsid w:val="00555C90"/>
    <w:rsid w:val="00557386"/>
    <w:rsid w:val="00557639"/>
    <w:rsid w:val="00562F88"/>
    <w:rsid w:val="00564888"/>
    <w:rsid w:val="005728E8"/>
    <w:rsid w:val="005733D4"/>
    <w:rsid w:val="005756F1"/>
    <w:rsid w:val="00580F28"/>
    <w:rsid w:val="00582F78"/>
    <w:rsid w:val="00583BE7"/>
    <w:rsid w:val="00587178"/>
    <w:rsid w:val="00593FBF"/>
    <w:rsid w:val="00594268"/>
    <w:rsid w:val="005A2E9A"/>
    <w:rsid w:val="005A67BE"/>
    <w:rsid w:val="005A6B0E"/>
    <w:rsid w:val="005A76B4"/>
    <w:rsid w:val="005B3869"/>
    <w:rsid w:val="005B3B6E"/>
    <w:rsid w:val="005B4BDD"/>
    <w:rsid w:val="005C175E"/>
    <w:rsid w:val="005C7BC4"/>
    <w:rsid w:val="005D08A1"/>
    <w:rsid w:val="005D3127"/>
    <w:rsid w:val="005D3F57"/>
    <w:rsid w:val="005D4785"/>
    <w:rsid w:val="005D5AC2"/>
    <w:rsid w:val="005D74F0"/>
    <w:rsid w:val="005E077A"/>
    <w:rsid w:val="005E1E26"/>
    <w:rsid w:val="005E26F4"/>
    <w:rsid w:val="005E390F"/>
    <w:rsid w:val="005E3F64"/>
    <w:rsid w:val="005E5C35"/>
    <w:rsid w:val="00601D3D"/>
    <w:rsid w:val="006037B1"/>
    <w:rsid w:val="00603AA5"/>
    <w:rsid w:val="006050CF"/>
    <w:rsid w:val="00607594"/>
    <w:rsid w:val="006077E2"/>
    <w:rsid w:val="006101D8"/>
    <w:rsid w:val="006116A8"/>
    <w:rsid w:val="006154E4"/>
    <w:rsid w:val="00622F73"/>
    <w:rsid w:val="006235BE"/>
    <w:rsid w:val="0062455C"/>
    <w:rsid w:val="00625FB5"/>
    <w:rsid w:val="006273B6"/>
    <w:rsid w:val="00627886"/>
    <w:rsid w:val="00630278"/>
    <w:rsid w:val="006317BE"/>
    <w:rsid w:val="006330C6"/>
    <w:rsid w:val="006337B1"/>
    <w:rsid w:val="00634599"/>
    <w:rsid w:val="00635E6A"/>
    <w:rsid w:val="006364CF"/>
    <w:rsid w:val="0063650E"/>
    <w:rsid w:val="00637022"/>
    <w:rsid w:val="00640E69"/>
    <w:rsid w:val="00641BA3"/>
    <w:rsid w:val="00643375"/>
    <w:rsid w:val="00645F5C"/>
    <w:rsid w:val="00651764"/>
    <w:rsid w:val="006537E0"/>
    <w:rsid w:val="00655A39"/>
    <w:rsid w:val="00656DAF"/>
    <w:rsid w:val="00657F70"/>
    <w:rsid w:val="00660227"/>
    <w:rsid w:val="0066581B"/>
    <w:rsid w:val="00665F82"/>
    <w:rsid w:val="00666762"/>
    <w:rsid w:val="006667A6"/>
    <w:rsid w:val="006745D6"/>
    <w:rsid w:val="006755C7"/>
    <w:rsid w:val="00675F67"/>
    <w:rsid w:val="00676E56"/>
    <w:rsid w:val="0067730C"/>
    <w:rsid w:val="00680277"/>
    <w:rsid w:val="00684585"/>
    <w:rsid w:val="0069057F"/>
    <w:rsid w:val="00692D1E"/>
    <w:rsid w:val="00694FFC"/>
    <w:rsid w:val="006A1E76"/>
    <w:rsid w:val="006A3B1F"/>
    <w:rsid w:val="006A62E7"/>
    <w:rsid w:val="006A6914"/>
    <w:rsid w:val="006B0366"/>
    <w:rsid w:val="006B07E2"/>
    <w:rsid w:val="006B0F8B"/>
    <w:rsid w:val="006B1D7A"/>
    <w:rsid w:val="006B3ECE"/>
    <w:rsid w:val="006B424B"/>
    <w:rsid w:val="006C130B"/>
    <w:rsid w:val="006C5322"/>
    <w:rsid w:val="006C69DF"/>
    <w:rsid w:val="006C75FB"/>
    <w:rsid w:val="006D0316"/>
    <w:rsid w:val="006D0717"/>
    <w:rsid w:val="006D09DD"/>
    <w:rsid w:val="006D17F4"/>
    <w:rsid w:val="006D44B6"/>
    <w:rsid w:val="006D45CA"/>
    <w:rsid w:val="006D52BF"/>
    <w:rsid w:val="006D7692"/>
    <w:rsid w:val="006E06D4"/>
    <w:rsid w:val="006E607F"/>
    <w:rsid w:val="006F04B9"/>
    <w:rsid w:val="006F5116"/>
    <w:rsid w:val="006F5F47"/>
    <w:rsid w:val="006F78A3"/>
    <w:rsid w:val="00702640"/>
    <w:rsid w:val="00702FF1"/>
    <w:rsid w:val="0070342A"/>
    <w:rsid w:val="00705298"/>
    <w:rsid w:val="00707595"/>
    <w:rsid w:val="00711C8B"/>
    <w:rsid w:val="00711EAD"/>
    <w:rsid w:val="00714C58"/>
    <w:rsid w:val="00715C36"/>
    <w:rsid w:val="00721055"/>
    <w:rsid w:val="007218F2"/>
    <w:rsid w:val="00721F1B"/>
    <w:rsid w:val="00723F05"/>
    <w:rsid w:val="00723F6E"/>
    <w:rsid w:val="007240B3"/>
    <w:rsid w:val="00725B6A"/>
    <w:rsid w:val="00725ED8"/>
    <w:rsid w:val="007273A2"/>
    <w:rsid w:val="00731BC3"/>
    <w:rsid w:val="007328AF"/>
    <w:rsid w:val="00732BDE"/>
    <w:rsid w:val="00732D27"/>
    <w:rsid w:val="0073548E"/>
    <w:rsid w:val="0073733F"/>
    <w:rsid w:val="00740D3D"/>
    <w:rsid w:val="00741813"/>
    <w:rsid w:val="0074452E"/>
    <w:rsid w:val="00746A33"/>
    <w:rsid w:val="00746D9A"/>
    <w:rsid w:val="0074781B"/>
    <w:rsid w:val="00751AC4"/>
    <w:rsid w:val="0075282A"/>
    <w:rsid w:val="0075348F"/>
    <w:rsid w:val="00753E9D"/>
    <w:rsid w:val="007616B0"/>
    <w:rsid w:val="00762250"/>
    <w:rsid w:val="0076432C"/>
    <w:rsid w:val="00764A1D"/>
    <w:rsid w:val="00765659"/>
    <w:rsid w:val="007741E3"/>
    <w:rsid w:val="007836F4"/>
    <w:rsid w:val="007861A4"/>
    <w:rsid w:val="00786CFE"/>
    <w:rsid w:val="0078735A"/>
    <w:rsid w:val="00787629"/>
    <w:rsid w:val="00787FEE"/>
    <w:rsid w:val="007A020C"/>
    <w:rsid w:val="007A3E05"/>
    <w:rsid w:val="007A41F2"/>
    <w:rsid w:val="007A6A21"/>
    <w:rsid w:val="007A6F25"/>
    <w:rsid w:val="007B0BC2"/>
    <w:rsid w:val="007B1FC2"/>
    <w:rsid w:val="007B4288"/>
    <w:rsid w:val="007B4459"/>
    <w:rsid w:val="007B5789"/>
    <w:rsid w:val="007C189F"/>
    <w:rsid w:val="007C3C4F"/>
    <w:rsid w:val="007C6181"/>
    <w:rsid w:val="007C784C"/>
    <w:rsid w:val="007E1CF6"/>
    <w:rsid w:val="007E38B5"/>
    <w:rsid w:val="007F4E5D"/>
    <w:rsid w:val="007F5B78"/>
    <w:rsid w:val="007F6B76"/>
    <w:rsid w:val="00802119"/>
    <w:rsid w:val="00802514"/>
    <w:rsid w:val="008040FE"/>
    <w:rsid w:val="0080442A"/>
    <w:rsid w:val="00811838"/>
    <w:rsid w:val="00812FBB"/>
    <w:rsid w:val="008172AB"/>
    <w:rsid w:val="00817804"/>
    <w:rsid w:val="008226F9"/>
    <w:rsid w:val="00822D72"/>
    <w:rsid w:val="008267C1"/>
    <w:rsid w:val="00827A05"/>
    <w:rsid w:val="0083004F"/>
    <w:rsid w:val="0083139C"/>
    <w:rsid w:val="00831F71"/>
    <w:rsid w:val="0083308D"/>
    <w:rsid w:val="00834B78"/>
    <w:rsid w:val="00835565"/>
    <w:rsid w:val="00836D70"/>
    <w:rsid w:val="008431AB"/>
    <w:rsid w:val="00844F25"/>
    <w:rsid w:val="00844FFF"/>
    <w:rsid w:val="008464CF"/>
    <w:rsid w:val="00853D7C"/>
    <w:rsid w:val="00856F43"/>
    <w:rsid w:val="00857B67"/>
    <w:rsid w:val="008614F9"/>
    <w:rsid w:val="00866F6C"/>
    <w:rsid w:val="00871B4A"/>
    <w:rsid w:val="00872591"/>
    <w:rsid w:val="008747D6"/>
    <w:rsid w:val="008750CC"/>
    <w:rsid w:val="00875E77"/>
    <w:rsid w:val="00876342"/>
    <w:rsid w:val="00876606"/>
    <w:rsid w:val="0087749C"/>
    <w:rsid w:val="00880153"/>
    <w:rsid w:val="00881F7E"/>
    <w:rsid w:val="00884670"/>
    <w:rsid w:val="0088520C"/>
    <w:rsid w:val="008862DC"/>
    <w:rsid w:val="008872B3"/>
    <w:rsid w:val="00890C9A"/>
    <w:rsid w:val="008971FD"/>
    <w:rsid w:val="008A458F"/>
    <w:rsid w:val="008A4C3B"/>
    <w:rsid w:val="008A7F38"/>
    <w:rsid w:val="008B06DF"/>
    <w:rsid w:val="008B1907"/>
    <w:rsid w:val="008B28AD"/>
    <w:rsid w:val="008B52B6"/>
    <w:rsid w:val="008B5758"/>
    <w:rsid w:val="008B5C6C"/>
    <w:rsid w:val="008B76DC"/>
    <w:rsid w:val="008B7BAF"/>
    <w:rsid w:val="008C1908"/>
    <w:rsid w:val="008C3927"/>
    <w:rsid w:val="008C4169"/>
    <w:rsid w:val="008C51BE"/>
    <w:rsid w:val="008C674E"/>
    <w:rsid w:val="008C7530"/>
    <w:rsid w:val="008D2409"/>
    <w:rsid w:val="008D4EF5"/>
    <w:rsid w:val="008D62C0"/>
    <w:rsid w:val="008E0667"/>
    <w:rsid w:val="008E161B"/>
    <w:rsid w:val="008E2D0C"/>
    <w:rsid w:val="008E5A6A"/>
    <w:rsid w:val="008E5C6F"/>
    <w:rsid w:val="008E62A5"/>
    <w:rsid w:val="008E72E4"/>
    <w:rsid w:val="008F4654"/>
    <w:rsid w:val="008F5355"/>
    <w:rsid w:val="008F6BB3"/>
    <w:rsid w:val="008F7E52"/>
    <w:rsid w:val="0090013D"/>
    <w:rsid w:val="00902DB8"/>
    <w:rsid w:val="00906058"/>
    <w:rsid w:val="00906914"/>
    <w:rsid w:val="009073E6"/>
    <w:rsid w:val="00911A32"/>
    <w:rsid w:val="00912EEE"/>
    <w:rsid w:val="0091452D"/>
    <w:rsid w:val="0091651D"/>
    <w:rsid w:val="00917203"/>
    <w:rsid w:val="00917B49"/>
    <w:rsid w:val="009250CA"/>
    <w:rsid w:val="00927951"/>
    <w:rsid w:val="00930C8F"/>
    <w:rsid w:val="00934259"/>
    <w:rsid w:val="0093763B"/>
    <w:rsid w:val="009416C0"/>
    <w:rsid w:val="0094216E"/>
    <w:rsid w:val="009428D5"/>
    <w:rsid w:val="00943E4B"/>
    <w:rsid w:val="00944891"/>
    <w:rsid w:val="009453AE"/>
    <w:rsid w:val="009500D2"/>
    <w:rsid w:val="009516A1"/>
    <w:rsid w:val="00961E1C"/>
    <w:rsid w:val="0096226D"/>
    <w:rsid w:val="00962309"/>
    <w:rsid w:val="00965307"/>
    <w:rsid w:val="00967565"/>
    <w:rsid w:val="00970188"/>
    <w:rsid w:val="009731B5"/>
    <w:rsid w:val="009756FE"/>
    <w:rsid w:val="0097629B"/>
    <w:rsid w:val="00990120"/>
    <w:rsid w:val="009946F5"/>
    <w:rsid w:val="00995C08"/>
    <w:rsid w:val="00995FC1"/>
    <w:rsid w:val="0099754D"/>
    <w:rsid w:val="009A1F94"/>
    <w:rsid w:val="009A24F7"/>
    <w:rsid w:val="009A3444"/>
    <w:rsid w:val="009A4D9A"/>
    <w:rsid w:val="009A572B"/>
    <w:rsid w:val="009A6B2D"/>
    <w:rsid w:val="009A7A91"/>
    <w:rsid w:val="009B04B1"/>
    <w:rsid w:val="009B2F46"/>
    <w:rsid w:val="009B2FAE"/>
    <w:rsid w:val="009B4569"/>
    <w:rsid w:val="009B6E8F"/>
    <w:rsid w:val="009C3F52"/>
    <w:rsid w:val="009C7BBF"/>
    <w:rsid w:val="009D19CE"/>
    <w:rsid w:val="009D2ED5"/>
    <w:rsid w:val="009D6E15"/>
    <w:rsid w:val="009D7095"/>
    <w:rsid w:val="009E378F"/>
    <w:rsid w:val="009E3ABD"/>
    <w:rsid w:val="009E48B0"/>
    <w:rsid w:val="009E78B2"/>
    <w:rsid w:val="009F2AC4"/>
    <w:rsid w:val="009F5478"/>
    <w:rsid w:val="00A10316"/>
    <w:rsid w:val="00A10C1E"/>
    <w:rsid w:val="00A11CA6"/>
    <w:rsid w:val="00A121C9"/>
    <w:rsid w:val="00A144FC"/>
    <w:rsid w:val="00A159C2"/>
    <w:rsid w:val="00A15F1E"/>
    <w:rsid w:val="00A16DEB"/>
    <w:rsid w:val="00A2375D"/>
    <w:rsid w:val="00A25486"/>
    <w:rsid w:val="00A25B38"/>
    <w:rsid w:val="00A25F1B"/>
    <w:rsid w:val="00A2618B"/>
    <w:rsid w:val="00A26486"/>
    <w:rsid w:val="00A26C4A"/>
    <w:rsid w:val="00A32179"/>
    <w:rsid w:val="00A360AC"/>
    <w:rsid w:val="00A3705C"/>
    <w:rsid w:val="00A37253"/>
    <w:rsid w:val="00A3744B"/>
    <w:rsid w:val="00A47EBA"/>
    <w:rsid w:val="00A50C56"/>
    <w:rsid w:val="00A53134"/>
    <w:rsid w:val="00A558D0"/>
    <w:rsid w:val="00A56B6F"/>
    <w:rsid w:val="00A56F54"/>
    <w:rsid w:val="00A579DA"/>
    <w:rsid w:val="00A61D90"/>
    <w:rsid w:val="00A61F88"/>
    <w:rsid w:val="00A663F0"/>
    <w:rsid w:val="00A66D20"/>
    <w:rsid w:val="00A67D51"/>
    <w:rsid w:val="00A71C83"/>
    <w:rsid w:val="00A72570"/>
    <w:rsid w:val="00A730F0"/>
    <w:rsid w:val="00A74348"/>
    <w:rsid w:val="00A749B0"/>
    <w:rsid w:val="00A76294"/>
    <w:rsid w:val="00A76A81"/>
    <w:rsid w:val="00A76F46"/>
    <w:rsid w:val="00A77E34"/>
    <w:rsid w:val="00A8091D"/>
    <w:rsid w:val="00A81DC0"/>
    <w:rsid w:val="00A83B16"/>
    <w:rsid w:val="00A84E9D"/>
    <w:rsid w:val="00A85CB5"/>
    <w:rsid w:val="00A938AD"/>
    <w:rsid w:val="00A94785"/>
    <w:rsid w:val="00AA1929"/>
    <w:rsid w:val="00AA360F"/>
    <w:rsid w:val="00AA5C8A"/>
    <w:rsid w:val="00AB4B83"/>
    <w:rsid w:val="00AB5B91"/>
    <w:rsid w:val="00AC2221"/>
    <w:rsid w:val="00AC4A6D"/>
    <w:rsid w:val="00AC5D76"/>
    <w:rsid w:val="00AC632E"/>
    <w:rsid w:val="00AC642F"/>
    <w:rsid w:val="00AD2168"/>
    <w:rsid w:val="00AD271D"/>
    <w:rsid w:val="00AD5900"/>
    <w:rsid w:val="00AE05E1"/>
    <w:rsid w:val="00AE382D"/>
    <w:rsid w:val="00AE4B29"/>
    <w:rsid w:val="00AE5C31"/>
    <w:rsid w:val="00AE6315"/>
    <w:rsid w:val="00AF03DC"/>
    <w:rsid w:val="00AF2295"/>
    <w:rsid w:val="00AF35D2"/>
    <w:rsid w:val="00AF35DA"/>
    <w:rsid w:val="00AF3773"/>
    <w:rsid w:val="00AF5341"/>
    <w:rsid w:val="00B048FB"/>
    <w:rsid w:val="00B06A58"/>
    <w:rsid w:val="00B106C5"/>
    <w:rsid w:val="00B109EA"/>
    <w:rsid w:val="00B1331C"/>
    <w:rsid w:val="00B136AB"/>
    <w:rsid w:val="00B15431"/>
    <w:rsid w:val="00B1638C"/>
    <w:rsid w:val="00B17535"/>
    <w:rsid w:val="00B21D11"/>
    <w:rsid w:val="00B227AF"/>
    <w:rsid w:val="00B24DA1"/>
    <w:rsid w:val="00B27018"/>
    <w:rsid w:val="00B32405"/>
    <w:rsid w:val="00B3291A"/>
    <w:rsid w:val="00B33A18"/>
    <w:rsid w:val="00B33AD2"/>
    <w:rsid w:val="00B3584D"/>
    <w:rsid w:val="00B37520"/>
    <w:rsid w:val="00B415E2"/>
    <w:rsid w:val="00B45526"/>
    <w:rsid w:val="00B45ECB"/>
    <w:rsid w:val="00B47B68"/>
    <w:rsid w:val="00B531D6"/>
    <w:rsid w:val="00B5516B"/>
    <w:rsid w:val="00B55300"/>
    <w:rsid w:val="00B603A2"/>
    <w:rsid w:val="00B60BDA"/>
    <w:rsid w:val="00B63553"/>
    <w:rsid w:val="00B63583"/>
    <w:rsid w:val="00B7295F"/>
    <w:rsid w:val="00B7533B"/>
    <w:rsid w:val="00B7683A"/>
    <w:rsid w:val="00B76BB9"/>
    <w:rsid w:val="00B80504"/>
    <w:rsid w:val="00B818DB"/>
    <w:rsid w:val="00B822E0"/>
    <w:rsid w:val="00B82E88"/>
    <w:rsid w:val="00B83F06"/>
    <w:rsid w:val="00B8425E"/>
    <w:rsid w:val="00B9139C"/>
    <w:rsid w:val="00B9140D"/>
    <w:rsid w:val="00B937A7"/>
    <w:rsid w:val="00B93B75"/>
    <w:rsid w:val="00B95EA0"/>
    <w:rsid w:val="00B96B4C"/>
    <w:rsid w:val="00BA298D"/>
    <w:rsid w:val="00BA37D3"/>
    <w:rsid w:val="00BA57F8"/>
    <w:rsid w:val="00BB1FDD"/>
    <w:rsid w:val="00BB3C6B"/>
    <w:rsid w:val="00BB3CCF"/>
    <w:rsid w:val="00BB5BF6"/>
    <w:rsid w:val="00BC0AC7"/>
    <w:rsid w:val="00BC3E64"/>
    <w:rsid w:val="00BC503D"/>
    <w:rsid w:val="00BC5AE2"/>
    <w:rsid w:val="00BC5FD1"/>
    <w:rsid w:val="00BC6BE7"/>
    <w:rsid w:val="00BC74F4"/>
    <w:rsid w:val="00BD1714"/>
    <w:rsid w:val="00BD51BE"/>
    <w:rsid w:val="00BE1EDD"/>
    <w:rsid w:val="00BE333A"/>
    <w:rsid w:val="00BE43A4"/>
    <w:rsid w:val="00BF4CD0"/>
    <w:rsid w:val="00BF4F63"/>
    <w:rsid w:val="00BF73E0"/>
    <w:rsid w:val="00C00087"/>
    <w:rsid w:val="00C011C1"/>
    <w:rsid w:val="00C02F57"/>
    <w:rsid w:val="00C03AC2"/>
    <w:rsid w:val="00C06B54"/>
    <w:rsid w:val="00C10D23"/>
    <w:rsid w:val="00C12AF1"/>
    <w:rsid w:val="00C1388B"/>
    <w:rsid w:val="00C14D97"/>
    <w:rsid w:val="00C169AB"/>
    <w:rsid w:val="00C16D45"/>
    <w:rsid w:val="00C17DEA"/>
    <w:rsid w:val="00C20C14"/>
    <w:rsid w:val="00C221EF"/>
    <w:rsid w:val="00C23042"/>
    <w:rsid w:val="00C234DE"/>
    <w:rsid w:val="00C26E25"/>
    <w:rsid w:val="00C30C04"/>
    <w:rsid w:val="00C31DFC"/>
    <w:rsid w:val="00C33FAB"/>
    <w:rsid w:val="00C36056"/>
    <w:rsid w:val="00C36233"/>
    <w:rsid w:val="00C378B2"/>
    <w:rsid w:val="00C43FDD"/>
    <w:rsid w:val="00C441CC"/>
    <w:rsid w:val="00C50D6A"/>
    <w:rsid w:val="00C518D0"/>
    <w:rsid w:val="00C51DE4"/>
    <w:rsid w:val="00C539A6"/>
    <w:rsid w:val="00C60B4D"/>
    <w:rsid w:val="00C61401"/>
    <w:rsid w:val="00C616A1"/>
    <w:rsid w:val="00C61732"/>
    <w:rsid w:val="00C63D1A"/>
    <w:rsid w:val="00C67192"/>
    <w:rsid w:val="00C71D92"/>
    <w:rsid w:val="00C721BA"/>
    <w:rsid w:val="00C73E22"/>
    <w:rsid w:val="00C84A28"/>
    <w:rsid w:val="00C85D2E"/>
    <w:rsid w:val="00C879AC"/>
    <w:rsid w:val="00C87B6A"/>
    <w:rsid w:val="00C92C0E"/>
    <w:rsid w:val="00C95DFA"/>
    <w:rsid w:val="00C97BCD"/>
    <w:rsid w:val="00CA31D7"/>
    <w:rsid w:val="00CA3351"/>
    <w:rsid w:val="00CA4582"/>
    <w:rsid w:val="00CA6AC4"/>
    <w:rsid w:val="00CB0109"/>
    <w:rsid w:val="00CB10D5"/>
    <w:rsid w:val="00CB1450"/>
    <w:rsid w:val="00CB247D"/>
    <w:rsid w:val="00CB3485"/>
    <w:rsid w:val="00CB3A6F"/>
    <w:rsid w:val="00CB557F"/>
    <w:rsid w:val="00CB5AA6"/>
    <w:rsid w:val="00CC0077"/>
    <w:rsid w:val="00CC0A55"/>
    <w:rsid w:val="00CC3DC2"/>
    <w:rsid w:val="00CC6A49"/>
    <w:rsid w:val="00CC6F91"/>
    <w:rsid w:val="00CC759C"/>
    <w:rsid w:val="00CD082B"/>
    <w:rsid w:val="00CD4254"/>
    <w:rsid w:val="00CD6EAD"/>
    <w:rsid w:val="00CE0378"/>
    <w:rsid w:val="00CE1135"/>
    <w:rsid w:val="00CE4C9C"/>
    <w:rsid w:val="00CE5613"/>
    <w:rsid w:val="00CE6129"/>
    <w:rsid w:val="00CE77F4"/>
    <w:rsid w:val="00CF261C"/>
    <w:rsid w:val="00CF6160"/>
    <w:rsid w:val="00CF7F02"/>
    <w:rsid w:val="00D002D1"/>
    <w:rsid w:val="00D03EA7"/>
    <w:rsid w:val="00D051DF"/>
    <w:rsid w:val="00D07CD9"/>
    <w:rsid w:val="00D13F2E"/>
    <w:rsid w:val="00D2180E"/>
    <w:rsid w:val="00D24A8C"/>
    <w:rsid w:val="00D24D2B"/>
    <w:rsid w:val="00D254B8"/>
    <w:rsid w:val="00D306A1"/>
    <w:rsid w:val="00D32866"/>
    <w:rsid w:val="00D33D1A"/>
    <w:rsid w:val="00D351AC"/>
    <w:rsid w:val="00D35506"/>
    <w:rsid w:val="00D35557"/>
    <w:rsid w:val="00D401A8"/>
    <w:rsid w:val="00D426C5"/>
    <w:rsid w:val="00D43780"/>
    <w:rsid w:val="00D44AF9"/>
    <w:rsid w:val="00D45517"/>
    <w:rsid w:val="00D51BBD"/>
    <w:rsid w:val="00D54696"/>
    <w:rsid w:val="00D600EA"/>
    <w:rsid w:val="00D61CC4"/>
    <w:rsid w:val="00D63370"/>
    <w:rsid w:val="00D649EC"/>
    <w:rsid w:val="00D6512E"/>
    <w:rsid w:val="00D65475"/>
    <w:rsid w:val="00D70706"/>
    <w:rsid w:val="00D71BA4"/>
    <w:rsid w:val="00D723B6"/>
    <w:rsid w:val="00D802C1"/>
    <w:rsid w:val="00D80363"/>
    <w:rsid w:val="00D839E8"/>
    <w:rsid w:val="00D84EE7"/>
    <w:rsid w:val="00D86A50"/>
    <w:rsid w:val="00D96295"/>
    <w:rsid w:val="00D9762A"/>
    <w:rsid w:val="00DA057A"/>
    <w:rsid w:val="00DA449A"/>
    <w:rsid w:val="00DA7781"/>
    <w:rsid w:val="00DB076C"/>
    <w:rsid w:val="00DB0B4C"/>
    <w:rsid w:val="00DB1B8D"/>
    <w:rsid w:val="00DC1447"/>
    <w:rsid w:val="00DC3635"/>
    <w:rsid w:val="00DC46ED"/>
    <w:rsid w:val="00DC6DF1"/>
    <w:rsid w:val="00DD1F14"/>
    <w:rsid w:val="00DD34FE"/>
    <w:rsid w:val="00DE192D"/>
    <w:rsid w:val="00DE4528"/>
    <w:rsid w:val="00DE60E4"/>
    <w:rsid w:val="00DE66D0"/>
    <w:rsid w:val="00DF04CC"/>
    <w:rsid w:val="00DF0B85"/>
    <w:rsid w:val="00DF278D"/>
    <w:rsid w:val="00DF33C6"/>
    <w:rsid w:val="00DF3C1E"/>
    <w:rsid w:val="00DF77C1"/>
    <w:rsid w:val="00DF7BCA"/>
    <w:rsid w:val="00E05705"/>
    <w:rsid w:val="00E058A6"/>
    <w:rsid w:val="00E06939"/>
    <w:rsid w:val="00E07104"/>
    <w:rsid w:val="00E076AC"/>
    <w:rsid w:val="00E07B4B"/>
    <w:rsid w:val="00E12536"/>
    <w:rsid w:val="00E1557F"/>
    <w:rsid w:val="00E21072"/>
    <w:rsid w:val="00E21404"/>
    <w:rsid w:val="00E230F3"/>
    <w:rsid w:val="00E33733"/>
    <w:rsid w:val="00E348AE"/>
    <w:rsid w:val="00E34BE9"/>
    <w:rsid w:val="00E34FE1"/>
    <w:rsid w:val="00E358D0"/>
    <w:rsid w:val="00E37EF5"/>
    <w:rsid w:val="00E4001A"/>
    <w:rsid w:val="00E407AB"/>
    <w:rsid w:val="00E4109F"/>
    <w:rsid w:val="00E4266A"/>
    <w:rsid w:val="00E44A08"/>
    <w:rsid w:val="00E46A99"/>
    <w:rsid w:val="00E51A17"/>
    <w:rsid w:val="00E53DDC"/>
    <w:rsid w:val="00E563D9"/>
    <w:rsid w:val="00E57271"/>
    <w:rsid w:val="00E57585"/>
    <w:rsid w:val="00E60358"/>
    <w:rsid w:val="00E611E9"/>
    <w:rsid w:val="00E61C07"/>
    <w:rsid w:val="00E6200E"/>
    <w:rsid w:val="00E6209F"/>
    <w:rsid w:val="00E62AA2"/>
    <w:rsid w:val="00E62C75"/>
    <w:rsid w:val="00E62FE1"/>
    <w:rsid w:val="00E65A27"/>
    <w:rsid w:val="00E65D6E"/>
    <w:rsid w:val="00E67F05"/>
    <w:rsid w:val="00E72EAD"/>
    <w:rsid w:val="00E74338"/>
    <w:rsid w:val="00E815F9"/>
    <w:rsid w:val="00E85BDC"/>
    <w:rsid w:val="00E85FBE"/>
    <w:rsid w:val="00E864A1"/>
    <w:rsid w:val="00E8739B"/>
    <w:rsid w:val="00E90791"/>
    <w:rsid w:val="00E92C3E"/>
    <w:rsid w:val="00E937F3"/>
    <w:rsid w:val="00EA0CCB"/>
    <w:rsid w:val="00EA198C"/>
    <w:rsid w:val="00EA3010"/>
    <w:rsid w:val="00EB09A0"/>
    <w:rsid w:val="00EB1F5F"/>
    <w:rsid w:val="00EB4CCB"/>
    <w:rsid w:val="00EB661F"/>
    <w:rsid w:val="00EB6698"/>
    <w:rsid w:val="00EB7485"/>
    <w:rsid w:val="00EC3AFC"/>
    <w:rsid w:val="00EC4029"/>
    <w:rsid w:val="00EC4C7A"/>
    <w:rsid w:val="00EC6BF6"/>
    <w:rsid w:val="00ED0505"/>
    <w:rsid w:val="00ED10C5"/>
    <w:rsid w:val="00ED42BA"/>
    <w:rsid w:val="00ED4568"/>
    <w:rsid w:val="00ED4EFE"/>
    <w:rsid w:val="00ED566E"/>
    <w:rsid w:val="00ED6BE1"/>
    <w:rsid w:val="00EE1B92"/>
    <w:rsid w:val="00EE2A36"/>
    <w:rsid w:val="00EE3F30"/>
    <w:rsid w:val="00EE4E6E"/>
    <w:rsid w:val="00EE50AD"/>
    <w:rsid w:val="00EE6F03"/>
    <w:rsid w:val="00EE79FF"/>
    <w:rsid w:val="00EF262D"/>
    <w:rsid w:val="00EF2BC9"/>
    <w:rsid w:val="00EF3896"/>
    <w:rsid w:val="00EF3E8B"/>
    <w:rsid w:val="00EF4114"/>
    <w:rsid w:val="00EF4F52"/>
    <w:rsid w:val="00EF51E7"/>
    <w:rsid w:val="00EF644B"/>
    <w:rsid w:val="00F00195"/>
    <w:rsid w:val="00F05430"/>
    <w:rsid w:val="00F05ACA"/>
    <w:rsid w:val="00F06E9F"/>
    <w:rsid w:val="00F119D7"/>
    <w:rsid w:val="00F11AEC"/>
    <w:rsid w:val="00F146E6"/>
    <w:rsid w:val="00F15BA4"/>
    <w:rsid w:val="00F20FD9"/>
    <w:rsid w:val="00F212EF"/>
    <w:rsid w:val="00F21F9C"/>
    <w:rsid w:val="00F2549B"/>
    <w:rsid w:val="00F25F90"/>
    <w:rsid w:val="00F30964"/>
    <w:rsid w:val="00F31FD9"/>
    <w:rsid w:val="00F32414"/>
    <w:rsid w:val="00F353A6"/>
    <w:rsid w:val="00F42B52"/>
    <w:rsid w:val="00F43D49"/>
    <w:rsid w:val="00F46098"/>
    <w:rsid w:val="00F47DE7"/>
    <w:rsid w:val="00F5194A"/>
    <w:rsid w:val="00F51C27"/>
    <w:rsid w:val="00F55134"/>
    <w:rsid w:val="00F607C7"/>
    <w:rsid w:val="00F61CAA"/>
    <w:rsid w:val="00F648DE"/>
    <w:rsid w:val="00F66C1D"/>
    <w:rsid w:val="00F70CB0"/>
    <w:rsid w:val="00F70D93"/>
    <w:rsid w:val="00F73B0A"/>
    <w:rsid w:val="00F73CC8"/>
    <w:rsid w:val="00F74179"/>
    <w:rsid w:val="00F7458A"/>
    <w:rsid w:val="00F74FFC"/>
    <w:rsid w:val="00F77BA9"/>
    <w:rsid w:val="00F828D9"/>
    <w:rsid w:val="00F83DAA"/>
    <w:rsid w:val="00F83F08"/>
    <w:rsid w:val="00F84C65"/>
    <w:rsid w:val="00F862F1"/>
    <w:rsid w:val="00F86BCC"/>
    <w:rsid w:val="00F87965"/>
    <w:rsid w:val="00F91954"/>
    <w:rsid w:val="00F91C8B"/>
    <w:rsid w:val="00F948FB"/>
    <w:rsid w:val="00F94DB9"/>
    <w:rsid w:val="00FA0111"/>
    <w:rsid w:val="00FA66D6"/>
    <w:rsid w:val="00FA67AC"/>
    <w:rsid w:val="00FB3DD0"/>
    <w:rsid w:val="00FB5573"/>
    <w:rsid w:val="00FB69B3"/>
    <w:rsid w:val="00FB70F1"/>
    <w:rsid w:val="00FB7E11"/>
    <w:rsid w:val="00FC3718"/>
    <w:rsid w:val="00FC3C52"/>
    <w:rsid w:val="00FC3DB4"/>
    <w:rsid w:val="00FC4ED6"/>
    <w:rsid w:val="00FD00D3"/>
    <w:rsid w:val="00FD1C98"/>
    <w:rsid w:val="00FD2D26"/>
    <w:rsid w:val="00FD3E19"/>
    <w:rsid w:val="00FD562F"/>
    <w:rsid w:val="00FD6238"/>
    <w:rsid w:val="00FD7CFA"/>
    <w:rsid w:val="00FE0DD5"/>
    <w:rsid w:val="00FE2942"/>
    <w:rsid w:val="00FE3508"/>
    <w:rsid w:val="00FE4652"/>
    <w:rsid w:val="00FE726F"/>
    <w:rsid w:val="00FF1E8F"/>
    <w:rsid w:val="00FF2A7B"/>
    <w:rsid w:val="00FF51F1"/>
    <w:rsid w:val="00FF5553"/>
    <w:rsid w:val="00FF58FC"/>
    <w:rsid w:val="00FF6824"/>
    <w:rsid w:val="00FF71CD"/>
    <w:rsid w:val="07357B74"/>
    <w:rsid w:val="1E417357"/>
    <w:rsid w:val="429E5056"/>
    <w:rsid w:val="48941B4A"/>
    <w:rsid w:val="613E24C6"/>
    <w:rsid w:val="6E0C230F"/>
    <w:rsid w:val="78AF39C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0" w:name="Hyperlink"/>
    <w:lsdException w:uiPriority="99" w:name="FollowedHyperlink"/>
    <w:lsdException w:qFormat="1" w:unhideWhenUsed="0" w:uiPriority="0" w:semiHidden="0" w:name="Strong" w:locked="1"/>
    <w:lsdException w:qFormat="1" w:unhideWhenUsed="0" w:uiPriority="20" w:semiHidden="0" w:name="Emphasis" w:locked="1"/>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27"/>
    <w:autoRedefine/>
    <w:unhideWhenUsed/>
    <w:qFormat/>
    <w:uiPriority w:val="99"/>
    <w:rPr>
      <w:rFonts w:ascii="宋体"/>
      <w:sz w:val="18"/>
      <w:szCs w:val="18"/>
    </w:rPr>
  </w:style>
  <w:style w:type="paragraph" w:styleId="3">
    <w:name w:val="annotation text"/>
    <w:basedOn w:val="1"/>
    <w:link w:val="24"/>
    <w:autoRedefine/>
    <w:unhideWhenUsed/>
    <w:qFormat/>
    <w:uiPriority w:val="99"/>
    <w:pPr>
      <w:jc w:val="left"/>
    </w:pPr>
  </w:style>
  <w:style w:type="paragraph" w:styleId="4">
    <w:name w:val="Body Text Indent"/>
    <w:basedOn w:val="1"/>
    <w:link w:val="18"/>
    <w:autoRedefine/>
    <w:qFormat/>
    <w:uiPriority w:val="99"/>
    <w:pPr>
      <w:spacing w:line="360" w:lineRule="auto"/>
      <w:ind w:firstLine="420"/>
    </w:pPr>
  </w:style>
  <w:style w:type="paragraph" w:styleId="5">
    <w:name w:val="Plain Text"/>
    <w:basedOn w:val="1"/>
    <w:link w:val="22"/>
    <w:autoRedefine/>
    <w:qFormat/>
    <w:uiPriority w:val="0"/>
    <w:pPr>
      <w:widowControl/>
      <w:jc w:val="left"/>
    </w:pPr>
    <w:rPr>
      <w:rFonts w:ascii="宋体" w:hAnsi="Courier New"/>
      <w:kern w:val="0"/>
      <w:sz w:val="24"/>
      <w:szCs w:val="24"/>
    </w:rPr>
  </w:style>
  <w:style w:type="paragraph" w:styleId="6">
    <w:name w:val="Balloon Text"/>
    <w:basedOn w:val="1"/>
    <w:link w:val="23"/>
    <w:autoRedefine/>
    <w:unhideWhenUsed/>
    <w:qFormat/>
    <w:uiPriority w:val="99"/>
    <w:rPr>
      <w:sz w:val="18"/>
      <w:szCs w:val="18"/>
    </w:rPr>
  </w:style>
  <w:style w:type="paragraph" w:styleId="7">
    <w:name w:val="footer"/>
    <w:basedOn w:val="1"/>
    <w:link w:val="20"/>
    <w:autoRedefine/>
    <w:qFormat/>
    <w:uiPriority w:val="99"/>
    <w:pPr>
      <w:tabs>
        <w:tab w:val="center" w:pos="4153"/>
        <w:tab w:val="right" w:pos="8306"/>
      </w:tabs>
      <w:snapToGrid w:val="0"/>
      <w:jc w:val="left"/>
    </w:pPr>
    <w:rPr>
      <w:sz w:val="18"/>
      <w:szCs w:val="18"/>
    </w:rPr>
  </w:style>
  <w:style w:type="paragraph" w:styleId="8">
    <w:name w:val="header"/>
    <w:basedOn w:val="1"/>
    <w:link w:val="21"/>
    <w:semiHidden/>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19"/>
    <w:autoRedefine/>
    <w:qFormat/>
    <w:uiPriority w:val="99"/>
    <w:pPr>
      <w:spacing w:after="120"/>
      <w:ind w:left="420" w:leftChars="200"/>
    </w:pPr>
    <w:rPr>
      <w:sz w:val="16"/>
      <w:szCs w:val="16"/>
    </w:rPr>
  </w:style>
  <w:style w:type="paragraph" w:styleId="10">
    <w:name w:val="annotation subject"/>
    <w:basedOn w:val="3"/>
    <w:next w:val="3"/>
    <w:link w:val="25"/>
    <w:autoRedefine/>
    <w:unhideWhenUsed/>
    <w:qFormat/>
    <w:uiPriority w:val="99"/>
    <w:rPr>
      <w:b/>
      <w:bCs/>
    </w:rPr>
  </w:style>
  <w:style w:type="table" w:styleId="12">
    <w:name w:val="Table Grid"/>
    <w:basedOn w:val="11"/>
    <w:autoRedefine/>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autoRedefine/>
    <w:qFormat/>
    <w:uiPriority w:val="99"/>
    <w:rPr>
      <w:rFonts w:cs="Times New Roman"/>
    </w:rPr>
  </w:style>
  <w:style w:type="character" w:styleId="15">
    <w:name w:val="Emphasis"/>
    <w:basedOn w:val="13"/>
    <w:autoRedefine/>
    <w:qFormat/>
    <w:locked/>
    <w:uiPriority w:val="20"/>
    <w:rPr>
      <w:i/>
      <w:iCs/>
    </w:rPr>
  </w:style>
  <w:style w:type="character" w:styleId="16">
    <w:name w:val="Hyperlink"/>
    <w:autoRedefine/>
    <w:semiHidden/>
    <w:unhideWhenUsed/>
    <w:qFormat/>
    <w:uiPriority w:val="0"/>
    <w:rPr>
      <w:color w:val="0563C1"/>
      <w:u w:val="single"/>
    </w:rPr>
  </w:style>
  <w:style w:type="character" w:styleId="17">
    <w:name w:val="annotation reference"/>
    <w:autoRedefine/>
    <w:unhideWhenUsed/>
    <w:qFormat/>
    <w:uiPriority w:val="99"/>
    <w:rPr>
      <w:sz w:val="21"/>
      <w:szCs w:val="21"/>
    </w:rPr>
  </w:style>
  <w:style w:type="character" w:customStyle="1" w:styleId="18">
    <w:name w:val="正文文本缩进 字符"/>
    <w:link w:val="4"/>
    <w:autoRedefine/>
    <w:qFormat/>
    <w:locked/>
    <w:uiPriority w:val="99"/>
    <w:rPr>
      <w:rFonts w:ascii="Times New Roman" w:hAnsi="Times New Roman" w:eastAsia="宋体" w:cs="Times New Roman"/>
      <w:sz w:val="20"/>
      <w:szCs w:val="20"/>
    </w:rPr>
  </w:style>
  <w:style w:type="character" w:customStyle="1" w:styleId="19">
    <w:name w:val="正文文本缩进 3 字符"/>
    <w:link w:val="9"/>
    <w:autoRedefine/>
    <w:qFormat/>
    <w:locked/>
    <w:uiPriority w:val="99"/>
    <w:rPr>
      <w:rFonts w:ascii="Times New Roman" w:hAnsi="Times New Roman" w:eastAsia="宋体" w:cs="Times New Roman"/>
      <w:sz w:val="16"/>
      <w:szCs w:val="16"/>
    </w:rPr>
  </w:style>
  <w:style w:type="character" w:customStyle="1" w:styleId="20">
    <w:name w:val="页脚 字符"/>
    <w:link w:val="7"/>
    <w:autoRedefine/>
    <w:qFormat/>
    <w:locked/>
    <w:uiPriority w:val="99"/>
    <w:rPr>
      <w:rFonts w:ascii="Times New Roman" w:hAnsi="Times New Roman" w:eastAsia="宋体" w:cs="Times New Roman"/>
      <w:sz w:val="18"/>
      <w:szCs w:val="18"/>
    </w:rPr>
  </w:style>
  <w:style w:type="character" w:customStyle="1" w:styleId="21">
    <w:name w:val="页眉 字符"/>
    <w:link w:val="8"/>
    <w:autoRedefine/>
    <w:semiHidden/>
    <w:qFormat/>
    <w:locked/>
    <w:uiPriority w:val="0"/>
    <w:rPr>
      <w:rFonts w:ascii="Times New Roman" w:hAnsi="Times New Roman" w:eastAsia="宋体" w:cs="Times New Roman"/>
      <w:sz w:val="18"/>
      <w:szCs w:val="18"/>
    </w:rPr>
  </w:style>
  <w:style w:type="character" w:customStyle="1" w:styleId="22">
    <w:name w:val="纯文本 字符"/>
    <w:link w:val="5"/>
    <w:autoRedefine/>
    <w:qFormat/>
    <w:uiPriority w:val="0"/>
    <w:rPr>
      <w:rFonts w:ascii="宋体" w:hAnsi="Courier New"/>
      <w:sz w:val="24"/>
      <w:szCs w:val="24"/>
    </w:rPr>
  </w:style>
  <w:style w:type="character" w:customStyle="1" w:styleId="23">
    <w:name w:val="批注框文本 字符"/>
    <w:link w:val="6"/>
    <w:autoRedefine/>
    <w:semiHidden/>
    <w:qFormat/>
    <w:uiPriority w:val="99"/>
    <w:rPr>
      <w:rFonts w:ascii="Times New Roman" w:hAnsi="Times New Roman"/>
      <w:kern w:val="2"/>
      <w:sz w:val="18"/>
      <w:szCs w:val="18"/>
    </w:rPr>
  </w:style>
  <w:style w:type="character" w:customStyle="1" w:styleId="24">
    <w:name w:val="批注文字 字符"/>
    <w:link w:val="3"/>
    <w:autoRedefine/>
    <w:semiHidden/>
    <w:qFormat/>
    <w:uiPriority w:val="99"/>
    <w:rPr>
      <w:rFonts w:ascii="Times New Roman" w:hAnsi="Times New Roman"/>
      <w:kern w:val="2"/>
      <w:sz w:val="21"/>
    </w:rPr>
  </w:style>
  <w:style w:type="character" w:customStyle="1" w:styleId="25">
    <w:name w:val="批注主题 字符"/>
    <w:link w:val="10"/>
    <w:autoRedefine/>
    <w:semiHidden/>
    <w:qFormat/>
    <w:uiPriority w:val="99"/>
    <w:rPr>
      <w:rFonts w:ascii="Times New Roman" w:hAnsi="Times New Roman"/>
      <w:b/>
      <w:bCs/>
      <w:kern w:val="2"/>
      <w:sz w:val="21"/>
    </w:rPr>
  </w:style>
  <w:style w:type="paragraph" w:customStyle="1" w:styleId="26">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27">
    <w:name w:val="文档结构图 字符"/>
    <w:basedOn w:val="13"/>
    <w:link w:val="2"/>
    <w:autoRedefine/>
    <w:semiHidden/>
    <w:qFormat/>
    <w:uiPriority w:val="99"/>
    <w:rPr>
      <w:rFonts w:ascii="宋体" w:hAnsi="Times New Roman"/>
      <w:kern w:val="2"/>
      <w:sz w:val="18"/>
      <w:szCs w:val="18"/>
    </w:rPr>
  </w:style>
  <w:style w:type="paragraph" w:styleId="28">
    <w:name w:val="List Paragraph"/>
    <w:basedOn w:val="1"/>
    <w:autoRedefine/>
    <w:qFormat/>
    <w:uiPriority w:val="99"/>
    <w:pPr>
      <w:ind w:firstLine="420" w:firstLineChars="200"/>
    </w:pPr>
  </w:style>
  <w:style w:type="character" w:customStyle="1" w:styleId="29">
    <w:name w:val="r-title"/>
    <w:basedOn w:val="13"/>
    <w:autoRedefine/>
    <w:qFormat/>
    <w:uiPriority w:val="0"/>
  </w:style>
  <w:style w:type="paragraph" w:customStyle="1" w:styleId="30">
    <w:name w:val="Revision"/>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67E2D-C850-4E3B-8B02-F6C07AA517A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1606</Words>
  <Characters>9156</Characters>
  <Lines>76</Lines>
  <Paragraphs>21</Paragraphs>
  <TotalTime>2</TotalTime>
  <ScaleCrop>false</ScaleCrop>
  <LinksUpToDate>false</LinksUpToDate>
  <CharactersWithSpaces>10741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2024-04-19T02:22:00Z</dcterms:created>
  <dc:creator>李建伟</dc:creator>
  <cp:lastModifiedBy>Y.    Miss</cp:lastModifiedBy>
  <dcterms:modified xsi:type="dcterms:W3CDTF">2024-04-25T09:26:15Z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95A10D38326442739DDBEC7C6E927EDB_13</vt:lpwstr>
  </property>
</Properties>
</file>