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8" w:line="218" w:lineRule="auto"/>
        <w:ind w:left="22"/>
        <w:rPr>
          <w:lang w:eastAsia="zh-CN"/>
        </w:rPr>
      </w:pPr>
      <w:r>
        <w:rPr>
          <w:spacing w:val="-12"/>
          <w:lang w:eastAsia="zh-CN"/>
        </w:rPr>
        <w:t>证券代码</w:t>
      </w:r>
      <w:r>
        <w:rPr>
          <w:rFonts w:hint="eastAsia"/>
          <w:spacing w:val="-12"/>
          <w:lang w:eastAsia="zh-CN"/>
        </w:rPr>
        <w:t>：</w:t>
      </w:r>
      <w:r>
        <w:rPr>
          <w:spacing w:val="-12"/>
          <w:lang w:eastAsia="zh-CN"/>
        </w:rPr>
        <w:t>603191</w:t>
      </w:r>
      <w:r>
        <w:rPr>
          <w:spacing w:val="1"/>
          <w:lang w:eastAsia="zh-CN"/>
        </w:rPr>
        <w:t xml:space="preserve">          </w:t>
      </w:r>
      <w:r>
        <w:rPr>
          <w:spacing w:val="-12"/>
          <w:lang w:eastAsia="zh-CN"/>
        </w:rPr>
        <w:t>证券简称：</w:t>
      </w:r>
      <w:r>
        <w:rPr>
          <w:rFonts w:hint="eastAsia"/>
          <w:spacing w:val="-12"/>
          <w:lang w:eastAsia="zh-CN"/>
        </w:rPr>
        <w:t>望变电气</w:t>
      </w:r>
      <w:r>
        <w:rPr>
          <w:spacing w:val="-44"/>
          <w:lang w:eastAsia="zh-CN"/>
        </w:rPr>
        <w:t xml:space="preserve"> </w:t>
      </w:r>
      <w:r>
        <w:rPr>
          <w:spacing w:val="1"/>
          <w:lang w:eastAsia="zh-CN"/>
        </w:rPr>
        <w:t xml:space="preserve">         </w:t>
      </w:r>
      <w:r>
        <w:rPr>
          <w:spacing w:val="-12"/>
          <w:lang w:eastAsia="zh-CN"/>
        </w:rPr>
        <w:t>公告编号</w:t>
      </w:r>
      <w:r>
        <w:rPr>
          <w:spacing w:val="-13"/>
          <w:lang w:eastAsia="zh-CN"/>
        </w:rPr>
        <w:t>：202</w:t>
      </w:r>
      <w:r>
        <w:rPr>
          <w:rFonts w:hint="eastAsia"/>
          <w:spacing w:val="-13"/>
          <w:lang w:eastAsia="zh-CN"/>
        </w:rPr>
        <w:t>4</w:t>
      </w:r>
      <w:r>
        <w:rPr>
          <w:spacing w:val="-13"/>
          <w:lang w:eastAsia="zh-CN"/>
        </w:rPr>
        <w:t>-0</w:t>
      </w:r>
      <w:r>
        <w:rPr>
          <w:rFonts w:hint="eastAsia"/>
          <w:spacing w:val="-13"/>
          <w:lang w:eastAsia="zh-CN"/>
        </w:rPr>
        <w:t>30</w:t>
      </w: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before="91"/>
        <w:jc w:val="center"/>
        <w:textAlignment w:val="auto"/>
        <w:rPr>
          <w:rFonts w:ascii="宋体" w:hAnsi="宋体" w:eastAsia="宋体" w:cs="Times New Roman"/>
          <w:b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bCs/>
          <w:snapToGrid/>
          <w:color w:val="FF0000"/>
          <w:spacing w:val="-1"/>
          <w:kern w:val="2"/>
          <w:sz w:val="36"/>
          <w:szCs w:val="36"/>
          <w:lang w:eastAsia="zh-CN"/>
        </w:rPr>
        <w:t>重庆望变电气（集团）股份有限公</w:t>
      </w:r>
      <w:r>
        <w:rPr>
          <w:rFonts w:hint="eastAsia" w:ascii="宋体" w:hAnsi="宋体" w:eastAsia="宋体" w:cs="Times New Roman"/>
          <w:b/>
          <w:bCs/>
          <w:snapToGrid/>
          <w:color w:val="FF0000"/>
          <w:kern w:val="2"/>
          <w:sz w:val="36"/>
          <w:szCs w:val="36"/>
          <w:lang w:eastAsia="zh-CN"/>
        </w:rPr>
        <w:t>司</w:t>
      </w:r>
    </w:p>
    <w:p>
      <w:pPr>
        <w:widowControl w:val="0"/>
        <w:kinsoku/>
        <w:autoSpaceDE/>
        <w:autoSpaceDN/>
        <w:adjustRightInd/>
        <w:snapToGrid/>
        <w:spacing w:before="91"/>
        <w:jc w:val="center"/>
        <w:textAlignment w:val="auto"/>
        <w:rPr>
          <w:rFonts w:ascii="宋体" w:hAnsi="宋体" w:eastAsia="宋体" w:cs="Times New Roman"/>
          <w:b/>
          <w:bCs/>
          <w:snapToGrid/>
          <w:color w:val="FF0000"/>
          <w:spacing w:val="-1"/>
          <w:kern w:val="2"/>
          <w:sz w:val="36"/>
          <w:szCs w:val="36"/>
          <w:lang w:eastAsia="zh-CN"/>
        </w:rPr>
      </w:pPr>
      <w:r>
        <w:rPr>
          <w:rFonts w:ascii="宋体" w:hAnsi="宋体" w:eastAsia="宋体" w:cs="Times New Roman"/>
          <w:b/>
          <w:bCs/>
          <w:snapToGrid/>
          <w:color w:val="FF0000"/>
          <w:spacing w:val="-1"/>
          <w:kern w:val="2"/>
          <w:sz w:val="36"/>
          <w:szCs w:val="36"/>
          <w:lang w:eastAsia="zh-CN"/>
        </w:rPr>
        <w:t>关于实际控制人增持公司股份计划</w:t>
      </w:r>
      <w:r>
        <w:rPr>
          <w:rFonts w:hint="eastAsia" w:ascii="宋体" w:hAnsi="宋体" w:eastAsia="宋体" w:cs="Times New Roman"/>
          <w:b/>
          <w:bCs/>
          <w:snapToGrid/>
          <w:color w:val="FF0000"/>
          <w:spacing w:val="-1"/>
          <w:kern w:val="2"/>
          <w:sz w:val="36"/>
          <w:szCs w:val="36"/>
          <w:lang w:eastAsia="zh-CN"/>
        </w:rPr>
        <w:t>实施完毕</w:t>
      </w:r>
    </w:p>
    <w:p>
      <w:pPr>
        <w:widowControl w:val="0"/>
        <w:kinsoku/>
        <w:autoSpaceDE/>
        <w:autoSpaceDN/>
        <w:adjustRightInd/>
        <w:snapToGrid/>
        <w:spacing w:before="91"/>
        <w:jc w:val="center"/>
        <w:textAlignment w:val="auto"/>
        <w:rPr>
          <w:rFonts w:cs="Times New Roman"/>
          <w:b/>
          <w:bCs/>
          <w:snapToGrid/>
          <w:color w:val="FF0000"/>
          <w:spacing w:val="-1"/>
          <w:kern w:val="2"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bCs/>
          <w:snapToGrid/>
          <w:color w:val="FF0000"/>
          <w:spacing w:val="-1"/>
          <w:kern w:val="2"/>
          <w:sz w:val="36"/>
          <w:szCs w:val="36"/>
          <w:lang w:eastAsia="zh-CN"/>
        </w:rPr>
        <w:t>暨增持结果的</w:t>
      </w:r>
      <w:r>
        <w:rPr>
          <w:rFonts w:ascii="宋体" w:hAnsi="宋体" w:eastAsia="宋体" w:cs="Times New Roman"/>
          <w:b/>
          <w:bCs/>
          <w:snapToGrid/>
          <w:color w:val="FF0000"/>
          <w:spacing w:val="-1"/>
          <w:kern w:val="2"/>
          <w:sz w:val="36"/>
          <w:szCs w:val="36"/>
          <w:lang w:eastAsia="zh-CN"/>
        </w:rPr>
        <w:t>公告</w:t>
      </w: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Calibri" w:hAnsi="Calibri" w:eastAsia="宋体" w:cs="Times New Roman"/>
          <w:snapToGrid/>
          <w:color w:val="auto"/>
          <w:kern w:val="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Calibri" w:hAnsi="Calibri" w:eastAsia="宋体" w:cs="Times New Roman"/>
          <w:snapToGrid/>
          <w:color w:val="auto"/>
          <w:kern w:val="2"/>
          <w:lang w:eastAsia="zh-CN"/>
        </w:rPr>
      </w:pPr>
      <w:r>
        <w:rPr>
          <w:rFonts w:ascii="Calibri" w:hAnsi="Calibri" w:eastAsia="宋体" w:cs="Times New Roman"/>
          <w:snapToGrid/>
          <w:color w:val="auto"/>
          <w:kern w:val="2"/>
          <w:lang w:eastAsia="zh-CN"/>
        </w:rPr>
        <w:t xml:space="preserve"> </w:t>
      </w:r>
    </w:p>
    <w:p>
      <w:pPr>
        <w:widowControl w:val="0"/>
        <w:kinsoku/>
        <w:autoSpaceDE/>
        <w:autoSpaceDN/>
        <w:adjustRightInd/>
        <w:snapToGrid/>
        <w:spacing w:line="197" w:lineRule="exact"/>
        <w:jc w:val="both"/>
        <w:textAlignment w:val="auto"/>
        <w:rPr>
          <w:rFonts w:ascii="Calibri" w:hAnsi="Calibri" w:eastAsia="宋体" w:cs="Times New Roman"/>
          <w:snapToGrid/>
          <w:color w:val="auto"/>
          <w:kern w:val="2"/>
          <w:lang w:eastAsia="zh-CN"/>
        </w:rPr>
      </w:pPr>
      <w:r>
        <w:rPr>
          <w:rFonts w:ascii="Calibri" w:hAnsi="Calibri" w:eastAsia="宋体" w:cs="Times New Roman"/>
          <w:snapToGrid/>
          <w:color w:val="auto"/>
          <w:kern w:val="2"/>
          <w:lang w:eastAsia="zh-CN"/>
        </w:rPr>
        <w:t xml:space="preserve"> </w:t>
      </w:r>
    </w:p>
    <w:tbl>
      <w:tblPr>
        <w:tblStyle w:val="12"/>
        <w:tblW w:w="8538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266" w:line="562" w:lineRule="exact"/>
              <w:ind w:left="602"/>
              <w:jc w:val="both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spacing w:val="-6"/>
                <w:kern w:val="2"/>
                <w:position w:val="2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spacing w:val="-5"/>
                <w:kern w:val="2"/>
                <w:position w:val="24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spacing w:val="-3"/>
                <w:kern w:val="2"/>
                <w:position w:val="24"/>
                <w:sz w:val="24"/>
                <w:szCs w:val="24"/>
                <w:lang w:eastAsia="zh-CN"/>
              </w:rPr>
              <w:t>司董事会及全体董事保证本公告内容不存在任何虚假记载、误导性陈述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ind w:left="124"/>
              <w:jc w:val="both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spacing w:val="-2"/>
                <w:kern w:val="2"/>
                <w:sz w:val="24"/>
                <w:szCs w:val="24"/>
                <w:lang w:eastAsia="zh-CN"/>
              </w:rPr>
              <w:t>或者重大遗漏，并对其内容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spacing w:val="-1"/>
                <w:kern w:val="2"/>
                <w:sz w:val="24"/>
                <w:szCs w:val="24"/>
                <w:lang w:eastAsia="zh-CN"/>
              </w:rPr>
              <w:t>的真实性、准确性和完整性承担个别及连带责任。</w:t>
            </w:r>
          </w:p>
        </w:tc>
      </w:tr>
    </w:tbl>
    <w:p>
      <w:pPr>
        <w:spacing w:line="271" w:lineRule="auto"/>
        <w:rPr>
          <w:lang w:eastAsia="zh-CN"/>
        </w:rPr>
      </w:pPr>
    </w:p>
    <w:p>
      <w:pPr>
        <w:spacing w:line="560" w:lineRule="exact"/>
        <w:ind w:firstLine="602" w:firstLineChars="200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重要内容提示：</w:t>
      </w:r>
    </w:p>
    <w:p>
      <w:pPr>
        <w:numPr>
          <w:ilvl w:val="0"/>
          <w:numId w:val="1"/>
        </w:numPr>
        <w:spacing w:before="120" w:beforeLines="50" w:line="360" w:lineRule="auto"/>
        <w:ind w:left="220" w:firstLine="480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增持计划基本情况：重庆望变电气（集团）股份有限公司（以下简称“公司”）于2023年10月18日披露了《关于实际控制人增持公司股份计划的公告》（公告编号：2023-040），公司实际控制人杨泽民先生、秦惠兰女士、杨秦女士和杨耀先生中的一名或多名（以下简称“增持主体”）拟自该公告披露之日起6个月内，以其自有资金通过上海证券交易所交易系统（包括但不限于集中竞价和大宗交易）增持公司股份，增持主体合计累计增持金额不少于人民币1,000万元，不超过人民币2,000万元。</w:t>
      </w:r>
    </w:p>
    <w:p>
      <w:pPr>
        <w:numPr>
          <w:ilvl w:val="0"/>
          <w:numId w:val="1"/>
        </w:numPr>
        <w:spacing w:before="120" w:beforeLines="50" w:line="360" w:lineRule="auto"/>
        <w:ind w:left="220" w:firstLine="480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首次增持情况：2023年10月24日，实际控制人杨秦首次通过集中竞价方式增持公司股份1.5万股，占公司总股本的0.0045%。</w:t>
      </w:r>
    </w:p>
    <w:p>
      <w:pPr>
        <w:numPr>
          <w:ilvl w:val="0"/>
          <w:numId w:val="1"/>
        </w:numPr>
        <w:spacing w:before="120" w:beforeLines="50" w:line="360" w:lineRule="auto"/>
        <w:ind w:left="220" w:firstLine="480" w:firstLineChars="200"/>
        <w:jc w:val="both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增持计划实施结果：截至2024年4月18日，实际控制人秦惠兰女士以集中竞价交易方式累计增持公司股份669,600股，占公司总股本比例为0.2010%，支付资金金额为1011.49万元（不含交易费用）;杨秦女士以集中竞价交易方式累计增持公司股份15,000股，占公司总股本比例为0.0045%，支付资金金额为22.34万元（不含交易费用）；杨泽民先生与杨耀先生未增持公司股份。上述增持主体合计累计增持公司股份684,600股，占公司总股本比例为0.2055%，合计增持金额为1033.82万元（不含交易费用），已达到本次增持计划下限金额1,000万元，本次增持计划实施完毕。</w:t>
      </w:r>
    </w:p>
    <w:p>
      <w:pPr>
        <w:pStyle w:val="3"/>
        <w:spacing w:before="120" w:beforeLines="50" w:line="360" w:lineRule="auto"/>
        <w:ind w:right="498" w:firstLine="458" w:firstLineChars="200"/>
        <w:jc w:val="both"/>
        <w:rPr>
          <w:b/>
          <w:spacing w:val="-6"/>
          <w:lang w:eastAsia="zh-CN"/>
        </w:rPr>
      </w:pPr>
      <w:r>
        <w:rPr>
          <w:b/>
          <w:spacing w:val="-6"/>
          <w:lang w:eastAsia="zh-CN"/>
        </w:rPr>
        <w:t>一、增持主体的基本情况</w:t>
      </w:r>
    </w:p>
    <w:p>
      <w:pPr>
        <w:pStyle w:val="3"/>
        <w:spacing w:before="120" w:beforeLines="50" w:line="360" w:lineRule="auto"/>
        <w:ind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（一）</w:t>
      </w:r>
      <w:r>
        <w:rPr>
          <w:spacing w:val="-6"/>
          <w:lang w:eastAsia="zh-CN"/>
        </w:rPr>
        <w:t>增持主体</w:t>
      </w:r>
    </w:p>
    <w:p>
      <w:pPr>
        <w:pStyle w:val="3"/>
        <w:spacing w:before="120" w:beforeLines="50" w:line="360" w:lineRule="auto"/>
        <w:ind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公司实际控制人杨泽民先生、秦惠兰女士、杨秦女士和杨耀先生中的一名或多名。</w:t>
      </w:r>
    </w:p>
    <w:p>
      <w:pPr>
        <w:pStyle w:val="3"/>
        <w:spacing w:before="120" w:beforeLines="50" w:line="360" w:lineRule="auto"/>
        <w:ind w:left="43" w:right="12"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（二）本次增持前持有本公司股份的数量及占比情况</w:t>
      </w:r>
    </w:p>
    <w:p>
      <w:pPr>
        <w:pStyle w:val="3"/>
        <w:spacing w:before="120" w:beforeLines="50" w:line="360" w:lineRule="auto"/>
        <w:ind w:left="43" w:right="12"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本次增持计划实施前，杨泽民</w:t>
      </w:r>
      <w:r>
        <w:rPr>
          <w:spacing w:val="-6"/>
          <w:lang w:eastAsia="zh-CN"/>
        </w:rPr>
        <w:t>先生持有公司股份52,618,391股，占公司总股本的15.79%</w:t>
      </w:r>
      <w:r>
        <w:rPr>
          <w:rFonts w:hint="eastAsia"/>
          <w:spacing w:val="-6"/>
          <w:lang w:eastAsia="zh-CN"/>
        </w:rPr>
        <w:t>；秦惠兰</w:t>
      </w:r>
      <w:r>
        <w:rPr>
          <w:spacing w:val="-6"/>
          <w:lang w:eastAsia="zh-CN"/>
        </w:rPr>
        <w:t>先生持有公司股份40,172,100股</w:t>
      </w:r>
      <w:r>
        <w:rPr>
          <w:rFonts w:hint="eastAsia"/>
          <w:spacing w:val="-6"/>
          <w:lang w:eastAsia="zh-CN"/>
        </w:rPr>
        <w:t>，</w:t>
      </w:r>
      <w:r>
        <w:rPr>
          <w:spacing w:val="-6"/>
          <w:lang w:eastAsia="zh-CN"/>
        </w:rPr>
        <w:t>占公司总股本的12.06%</w:t>
      </w:r>
      <w:r>
        <w:rPr>
          <w:rFonts w:hint="eastAsia"/>
          <w:spacing w:val="-6"/>
          <w:lang w:eastAsia="zh-CN"/>
        </w:rPr>
        <w:t>；杨秦女士</w:t>
      </w:r>
      <w:r>
        <w:rPr>
          <w:spacing w:val="-6"/>
          <w:lang w:eastAsia="zh-CN"/>
        </w:rPr>
        <w:t>持有公司股份18,000,0</w:t>
      </w:r>
      <w:r>
        <w:rPr>
          <w:rFonts w:hint="eastAsia"/>
          <w:spacing w:val="-6"/>
          <w:lang w:eastAsia="zh-CN"/>
        </w:rPr>
        <w:t>00</w:t>
      </w:r>
      <w:r>
        <w:rPr>
          <w:spacing w:val="-6"/>
          <w:lang w:eastAsia="zh-CN"/>
        </w:rPr>
        <w:t>股，占公司总股本的5.40%</w:t>
      </w:r>
      <w:r>
        <w:rPr>
          <w:rFonts w:hint="eastAsia"/>
          <w:spacing w:val="-6"/>
          <w:lang w:eastAsia="zh-CN"/>
        </w:rPr>
        <w:t>；杨耀先生持有公司股份</w:t>
      </w:r>
      <w:r>
        <w:rPr>
          <w:spacing w:val="-6"/>
          <w:lang w:eastAsia="zh-CN"/>
        </w:rPr>
        <w:t>18,000</w:t>
      </w:r>
      <w:r>
        <w:rPr>
          <w:rFonts w:hint="eastAsia"/>
          <w:spacing w:val="-6"/>
          <w:lang w:eastAsia="zh-CN"/>
        </w:rPr>
        <w:t>,</w:t>
      </w:r>
      <w:r>
        <w:rPr>
          <w:spacing w:val="-6"/>
          <w:lang w:eastAsia="zh-CN"/>
        </w:rPr>
        <w:t>0</w:t>
      </w:r>
      <w:r>
        <w:rPr>
          <w:rFonts w:hint="eastAsia"/>
          <w:spacing w:val="-6"/>
          <w:lang w:eastAsia="zh-CN"/>
        </w:rPr>
        <w:t>50股，</w:t>
      </w:r>
      <w:r>
        <w:rPr>
          <w:spacing w:val="-6"/>
          <w:lang w:eastAsia="zh-CN"/>
        </w:rPr>
        <w:t>占公司总股本的5.40%</w:t>
      </w:r>
      <w:r>
        <w:rPr>
          <w:rFonts w:hint="eastAsia"/>
          <w:spacing w:val="-6"/>
          <w:lang w:eastAsia="zh-CN"/>
        </w:rPr>
        <w:t>。增持主体在本次增持计划实施前合计持有公司股份128,790,541股，占公司总股本的38.66%。</w:t>
      </w:r>
    </w:p>
    <w:p>
      <w:pPr>
        <w:pStyle w:val="3"/>
        <w:spacing w:before="120" w:beforeLines="50" w:line="360" w:lineRule="auto"/>
        <w:ind w:right="498"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（三）增持计划公告前十二个月内增持主体的增持情况</w:t>
      </w:r>
    </w:p>
    <w:p>
      <w:pPr>
        <w:pStyle w:val="3"/>
        <w:spacing w:before="120" w:beforeLines="50" w:line="360" w:lineRule="auto"/>
        <w:ind w:right="498"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杨泽民先生、秦惠兰女士、杨秦女士和杨耀先生</w:t>
      </w:r>
      <w:r>
        <w:rPr>
          <w:spacing w:val="-6"/>
          <w:lang w:eastAsia="zh-CN"/>
        </w:rPr>
        <w:t>在本次</w:t>
      </w:r>
      <w:r>
        <w:rPr>
          <w:rFonts w:hint="eastAsia"/>
          <w:spacing w:val="-6"/>
          <w:lang w:eastAsia="zh-CN"/>
        </w:rPr>
        <w:t>增持</w:t>
      </w:r>
      <w:r>
        <w:rPr>
          <w:spacing w:val="-6"/>
          <w:lang w:eastAsia="zh-CN"/>
        </w:rPr>
        <w:t>公告之前十二个月内未增</w:t>
      </w:r>
      <w:r>
        <w:rPr>
          <w:rFonts w:hint="eastAsia"/>
          <w:spacing w:val="-6"/>
          <w:lang w:eastAsia="zh-CN"/>
        </w:rPr>
        <w:t>持</w:t>
      </w:r>
      <w:r>
        <w:rPr>
          <w:spacing w:val="-6"/>
          <w:lang w:eastAsia="zh-CN"/>
        </w:rPr>
        <w:t>公司股份</w:t>
      </w:r>
      <w:r>
        <w:rPr>
          <w:rFonts w:hint="eastAsia"/>
          <w:spacing w:val="-6"/>
          <w:lang w:eastAsia="zh-CN"/>
        </w:rPr>
        <w:t>。</w:t>
      </w:r>
    </w:p>
    <w:p>
      <w:pPr>
        <w:pStyle w:val="3"/>
        <w:spacing w:before="120" w:beforeLines="50" w:line="360" w:lineRule="auto"/>
        <w:ind w:right="498" w:firstLine="458" w:firstLineChars="200"/>
        <w:jc w:val="both"/>
        <w:rPr>
          <w:b/>
          <w:spacing w:val="-6"/>
          <w:lang w:eastAsia="zh-CN"/>
        </w:rPr>
      </w:pPr>
      <w:r>
        <w:rPr>
          <w:rFonts w:hint="eastAsia"/>
          <w:b/>
          <w:spacing w:val="-6"/>
          <w:lang w:eastAsia="zh-CN"/>
        </w:rPr>
        <w:t>二、增持计划的主要内容</w:t>
      </w:r>
    </w:p>
    <w:p>
      <w:pPr>
        <w:pStyle w:val="3"/>
        <w:spacing w:before="120" w:beforeLines="50" w:line="360" w:lineRule="auto"/>
        <w:ind w:right="499"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1、本次拟增持股份的目的：基于对公司长期投资价值的认可、公司未来持续稳定发展的信心，以及对目前公司股票价值的合理判断，同时，为了提升投资者信心，切实维护公司中小投资者的利益和资本市场稳定，以更好地支持公司未来持续、稳定、健康的发展。</w:t>
      </w:r>
    </w:p>
    <w:p>
      <w:pPr>
        <w:pStyle w:val="3"/>
        <w:spacing w:before="120" w:beforeLines="50" w:line="360" w:lineRule="auto"/>
        <w:ind w:right="498"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2、本次拟增持股份的种类：无限售流通A股。</w:t>
      </w:r>
    </w:p>
    <w:p>
      <w:pPr>
        <w:pStyle w:val="3"/>
        <w:spacing w:before="120" w:beforeLines="50" w:line="360" w:lineRule="auto"/>
        <w:ind w:right="498"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3、本次拟增持股份的数量或金额：增持主体合计累计增持金额不少于人民币</w:t>
      </w:r>
      <w:r>
        <w:rPr>
          <w:spacing w:val="-6"/>
          <w:lang w:eastAsia="zh-CN"/>
        </w:rPr>
        <w:t>1,</w:t>
      </w:r>
      <w:r>
        <w:rPr>
          <w:rFonts w:hint="eastAsia"/>
          <w:spacing w:val="-6"/>
          <w:lang w:eastAsia="zh-CN"/>
        </w:rPr>
        <w:t>000万元，不超过人民币</w:t>
      </w:r>
      <w:r>
        <w:rPr>
          <w:spacing w:val="-6"/>
          <w:lang w:eastAsia="zh-CN"/>
        </w:rPr>
        <w:t>2,</w:t>
      </w:r>
      <w:r>
        <w:rPr>
          <w:rFonts w:hint="eastAsia"/>
          <w:spacing w:val="-6"/>
          <w:lang w:eastAsia="zh-CN"/>
        </w:rPr>
        <w:t>000万元。</w:t>
      </w:r>
    </w:p>
    <w:p>
      <w:pPr>
        <w:pStyle w:val="3"/>
        <w:spacing w:before="120" w:beforeLines="50" w:line="360" w:lineRule="auto"/>
        <w:ind w:right="498"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4、本次拟增持股份的价格:本次增持价格不超过</w:t>
      </w:r>
      <w:r>
        <w:rPr>
          <w:spacing w:val="-6"/>
          <w:lang w:eastAsia="zh-CN"/>
        </w:rPr>
        <w:t>25</w:t>
      </w:r>
      <w:r>
        <w:rPr>
          <w:rFonts w:hint="eastAsia"/>
          <w:spacing w:val="-6"/>
          <w:lang w:eastAsia="zh-CN"/>
        </w:rPr>
        <w:t>元</w:t>
      </w:r>
      <w:r>
        <w:rPr>
          <w:spacing w:val="-6"/>
          <w:lang w:eastAsia="zh-CN"/>
        </w:rPr>
        <w:t>/</w:t>
      </w:r>
      <w:r>
        <w:rPr>
          <w:rFonts w:hint="eastAsia"/>
          <w:spacing w:val="-6"/>
          <w:lang w:eastAsia="zh-CN"/>
        </w:rPr>
        <w:t>股，具体价格将根据公司股票价格波动情况逐步实施增持计划。</w:t>
      </w:r>
    </w:p>
    <w:p>
      <w:pPr>
        <w:pStyle w:val="3"/>
        <w:spacing w:before="120" w:beforeLines="50" w:line="360" w:lineRule="auto"/>
        <w:ind w:right="498"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5、本次增持股份计划的实施期限：自本次增持计划公告披露之日起6个月内。增持计划实施期间，若公司股票因筹划重大事项连续停牌10个交易日以上，增持计划将在股票复牌后顺延实施并及时披露。</w:t>
      </w:r>
    </w:p>
    <w:p>
      <w:pPr>
        <w:pStyle w:val="3"/>
        <w:spacing w:before="120" w:beforeLines="50" w:line="360" w:lineRule="auto"/>
        <w:ind w:right="498" w:firstLine="456" w:firstLineChars="200"/>
        <w:jc w:val="both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6、本次拟增持股份的方式：增持主体拟通过上海证券交易所系统允许的方式（包括但不限于集中竞价、大宗交易等）增持公司股份。</w:t>
      </w:r>
    </w:p>
    <w:p>
      <w:pPr>
        <w:pStyle w:val="3"/>
        <w:spacing w:before="120" w:beforeLines="50" w:line="360" w:lineRule="auto"/>
        <w:ind w:right="498" w:firstLine="456" w:firstLineChars="200"/>
        <w:jc w:val="both"/>
        <w:rPr>
          <w:spacing w:val="-6"/>
          <w:lang w:eastAsia="zh-CN"/>
        </w:rPr>
      </w:pPr>
      <w:r>
        <w:rPr>
          <w:spacing w:val="-6"/>
          <w:lang w:eastAsia="zh-CN"/>
        </w:rPr>
        <w:t>7</w:t>
      </w:r>
      <w:r>
        <w:rPr>
          <w:rFonts w:hint="eastAsia"/>
          <w:spacing w:val="-6"/>
          <w:lang w:eastAsia="zh-CN"/>
        </w:rPr>
        <w:t>、本次拟增持股份的资金安排：增持主体自筹或自有资金。</w:t>
      </w:r>
    </w:p>
    <w:p>
      <w:pPr>
        <w:pStyle w:val="3"/>
        <w:numPr>
          <w:ilvl w:val="0"/>
          <w:numId w:val="2"/>
        </w:numPr>
        <w:spacing w:before="120" w:beforeLines="50" w:line="360" w:lineRule="auto"/>
        <w:ind w:left="31" w:right="108" w:firstLine="458" w:firstLineChars="200"/>
        <w:jc w:val="both"/>
        <w:rPr>
          <w:b/>
          <w:spacing w:val="-6"/>
          <w:lang w:eastAsia="zh-CN"/>
        </w:rPr>
      </w:pPr>
      <w:r>
        <w:rPr>
          <w:rFonts w:hint="eastAsia"/>
          <w:b/>
          <w:spacing w:val="-6"/>
          <w:lang w:eastAsia="zh-CN"/>
        </w:rPr>
        <w:t>增持计划的实施结果</w:t>
      </w:r>
    </w:p>
    <w:p>
      <w:pPr>
        <w:spacing w:before="120" w:beforeLines="50" w:line="360" w:lineRule="auto"/>
        <w:ind w:firstLine="480" w:firstLineChars="200"/>
        <w:jc w:val="both"/>
        <w:rPr>
          <w:b/>
          <w:spacing w:val="-6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截至2024年4月18日，实际控制人秦惠兰女士以集中竞价交易方式累计增持公司股份669,600股，占公司总股本比例为0.2010%，支付资金金额为1011.49万元（不含交易费用）;杨秦女士以集中竞价交易方式累计增持公司股份15,000股，占公司总股本比例为0.0045%，支付资金金额为22.34万元（不含交易费用）；杨泽民先生与杨耀先生未增持公司股份。上述增持主体合计累计增持公司股份684,600股，占公司总股本比例为0.2055%，合计增持金额为1033.82万元（不含交易费用），已达到本次增持计划下限金额1,000万元，本次增持计划实施完毕。</w:t>
      </w:r>
    </w:p>
    <w:p>
      <w:pPr>
        <w:pStyle w:val="3"/>
        <w:spacing w:before="120" w:beforeLines="50" w:line="360" w:lineRule="auto"/>
        <w:ind w:right="498" w:firstLine="458" w:firstLineChars="200"/>
        <w:jc w:val="both"/>
        <w:rPr>
          <w:b/>
          <w:spacing w:val="-6"/>
          <w:lang w:eastAsia="zh-CN"/>
        </w:rPr>
      </w:pPr>
      <w:r>
        <w:rPr>
          <w:b/>
          <w:spacing w:val="-6"/>
          <w:lang w:eastAsia="zh-CN"/>
        </w:rPr>
        <w:t>四、</w:t>
      </w:r>
      <w:r>
        <w:rPr>
          <w:rFonts w:hint="eastAsia"/>
          <w:b/>
          <w:spacing w:val="-6"/>
          <w:lang w:eastAsia="zh-CN"/>
        </w:rPr>
        <w:t>律师专项核查意见</w:t>
      </w:r>
    </w:p>
    <w:p>
      <w:pPr>
        <w:spacing w:before="120" w:beforeLines="50"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北京市嘉源律师事务所认为：</w:t>
      </w:r>
    </w:p>
    <w:p>
      <w:pPr>
        <w:spacing w:before="120" w:beforeLines="50"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1、增持人具备实施本次增持的主体资格；</w:t>
      </w:r>
    </w:p>
    <w:p>
      <w:pPr>
        <w:spacing w:before="120" w:beforeLines="50"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2、本次增持行为符合《中华人民共和国证券法》《上市公司收购管理办法》等法律、法规和规范性文件的有关规定；</w:t>
      </w:r>
    </w:p>
    <w:p>
      <w:pPr>
        <w:spacing w:before="120" w:beforeLines="50"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3、截至本法律意见书出具日，公司已就本次增持履行了现阶段所需的信息披露义务，符合相关信息披露要求；</w:t>
      </w:r>
    </w:p>
    <w:p>
      <w:pPr>
        <w:spacing w:before="120" w:beforeLines="50"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4、本次增持符合《上市公司收购管理办法》规定的免于发出要约的情形。</w:t>
      </w:r>
    </w:p>
    <w:p>
      <w:pPr>
        <w:pStyle w:val="3"/>
        <w:spacing w:before="120" w:beforeLines="50" w:line="360" w:lineRule="auto"/>
        <w:ind w:right="498" w:firstLine="458" w:firstLineChars="200"/>
        <w:jc w:val="both"/>
        <w:rPr>
          <w:b/>
          <w:spacing w:val="-6"/>
          <w:lang w:eastAsia="zh-CN"/>
        </w:rPr>
      </w:pPr>
      <w:r>
        <w:rPr>
          <w:rFonts w:hint="eastAsia"/>
          <w:b/>
          <w:spacing w:val="-6"/>
          <w:lang w:eastAsia="zh-CN"/>
        </w:rPr>
        <w:t>五</w:t>
      </w:r>
      <w:r>
        <w:rPr>
          <w:b/>
          <w:spacing w:val="-6"/>
          <w:lang w:eastAsia="zh-CN"/>
        </w:rPr>
        <w:t>、</w:t>
      </w:r>
      <w:r>
        <w:rPr>
          <w:rFonts w:hint="eastAsia"/>
          <w:b/>
          <w:spacing w:val="-6"/>
          <w:lang w:eastAsia="zh-CN"/>
        </w:rPr>
        <w:t>其他事项说明</w:t>
      </w:r>
    </w:p>
    <w:p>
      <w:pPr>
        <w:spacing w:before="120" w:beforeLines="50"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1、本次增持行为符合《中华人民共和国公司法》《中华人民共和国证券法》等法律法规、部门规章及上海证券交易所业务规则等有关规定。</w:t>
      </w:r>
    </w:p>
    <w:p>
      <w:pPr>
        <w:spacing w:before="120" w:beforeLines="50"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2、本次增持行为不会导致公司股份分布不具备上市条件，不会导致公司控股股东及实际控制人发生变化，不会对公司治理结构及持续经营产生影响。</w:t>
      </w:r>
    </w:p>
    <w:p>
      <w:pPr>
        <w:pStyle w:val="3"/>
        <w:spacing w:before="120" w:beforeLines="50" w:line="360" w:lineRule="auto"/>
        <w:ind w:left="23" w:firstLine="468" w:firstLineChars="200"/>
        <w:jc w:val="both"/>
        <w:rPr>
          <w:spacing w:val="-3"/>
          <w:lang w:eastAsia="zh-CN"/>
        </w:rPr>
      </w:pPr>
    </w:p>
    <w:p>
      <w:pPr>
        <w:pStyle w:val="3"/>
        <w:spacing w:before="120" w:beforeLines="50" w:line="360" w:lineRule="auto"/>
        <w:ind w:left="23" w:firstLine="468" w:firstLineChars="200"/>
        <w:jc w:val="both"/>
        <w:rPr>
          <w:spacing w:val="-3"/>
          <w:lang w:eastAsia="zh-CN"/>
        </w:rPr>
      </w:pPr>
      <w:r>
        <w:rPr>
          <w:rFonts w:hint="eastAsia"/>
          <w:spacing w:val="-3"/>
          <w:lang w:eastAsia="zh-CN"/>
        </w:rPr>
        <w:t>特此公告。</w:t>
      </w:r>
    </w:p>
    <w:p>
      <w:pPr>
        <w:pStyle w:val="3"/>
        <w:spacing w:before="183" w:line="360" w:lineRule="auto"/>
        <w:ind w:left="23" w:firstLine="478"/>
        <w:jc w:val="both"/>
        <w:rPr>
          <w:spacing w:val="-3"/>
          <w:lang w:eastAsia="zh-CN"/>
        </w:rPr>
      </w:pPr>
    </w:p>
    <w:p>
      <w:pPr>
        <w:pStyle w:val="3"/>
        <w:spacing w:before="183" w:line="360" w:lineRule="auto"/>
        <w:ind w:left="23" w:firstLine="478"/>
        <w:jc w:val="both"/>
        <w:rPr>
          <w:spacing w:val="-3"/>
          <w:lang w:eastAsia="zh-CN"/>
        </w:rPr>
      </w:pPr>
    </w:p>
    <w:p>
      <w:pPr>
        <w:pStyle w:val="3"/>
        <w:spacing w:before="183" w:line="360" w:lineRule="auto"/>
        <w:ind w:left="23" w:firstLine="478"/>
        <w:jc w:val="both"/>
        <w:rPr>
          <w:spacing w:val="-3"/>
          <w:lang w:eastAsia="zh-CN"/>
        </w:rPr>
      </w:pPr>
    </w:p>
    <w:p>
      <w:pPr>
        <w:pStyle w:val="3"/>
        <w:spacing w:before="183" w:line="360" w:lineRule="auto"/>
        <w:ind w:left="23" w:firstLine="478"/>
        <w:jc w:val="both"/>
        <w:rPr>
          <w:spacing w:val="-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before="78" w:line="367" w:lineRule="auto"/>
        <w:ind w:right="112"/>
        <w:jc w:val="both"/>
        <w:textAlignment w:val="auto"/>
        <w:rPr>
          <w:rFonts w:ascii="宋体" w:hAnsi="宋体" w:eastAsia="宋体" w:cs="Times New Roman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/>
          <w:color w:val="auto"/>
          <w:spacing w:val="-1"/>
          <w:kern w:val="2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Times New Roman"/>
          <w:snapToGrid/>
          <w:color w:val="auto"/>
          <w:spacing w:val="-1"/>
          <w:kern w:val="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Times New Roman"/>
          <w:snapToGrid/>
          <w:color w:val="auto"/>
          <w:spacing w:val="-1"/>
          <w:kern w:val="2"/>
          <w:sz w:val="24"/>
          <w:szCs w:val="24"/>
          <w:lang w:eastAsia="zh-CN"/>
        </w:rPr>
        <w:t xml:space="preserve">                           </w:t>
      </w:r>
      <w:r>
        <w:rPr>
          <w:rFonts w:ascii="宋体" w:hAnsi="宋体" w:eastAsia="宋体" w:cs="Times New Roman"/>
          <w:snapToGrid/>
          <w:color w:val="auto"/>
          <w:spacing w:val="-1"/>
          <w:kern w:val="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Times New Roman"/>
          <w:snapToGrid/>
          <w:color w:val="auto"/>
          <w:spacing w:val="-1"/>
          <w:kern w:val="2"/>
          <w:sz w:val="24"/>
          <w:szCs w:val="24"/>
          <w:lang w:eastAsia="zh-CN"/>
        </w:rPr>
        <w:t>重庆望变电气（集团）股份有限公司</w:t>
      </w:r>
      <w:r>
        <w:rPr>
          <w:rFonts w:hint="eastAsia" w:ascii="宋体" w:hAnsi="宋体" w:eastAsia="宋体" w:cs="Times New Roman"/>
          <w:snapToGrid/>
          <w:color w:val="auto"/>
          <w:kern w:val="2"/>
          <w:sz w:val="24"/>
          <w:szCs w:val="24"/>
          <w:lang w:eastAsia="zh-CN"/>
        </w:rPr>
        <w:t>董事会</w:t>
      </w:r>
    </w:p>
    <w:p>
      <w:pPr>
        <w:widowControl w:val="0"/>
        <w:kinsoku/>
        <w:autoSpaceDE/>
        <w:autoSpaceDN/>
        <w:adjustRightInd/>
        <w:snapToGrid/>
        <w:ind w:firstLine="0" w:firstLineChars="0"/>
        <w:jc w:val="right"/>
        <w:textAlignment w:val="auto"/>
        <w:rPr>
          <w:lang w:eastAsia="zh-CN"/>
        </w:rPr>
      </w:pPr>
      <w:r>
        <w:rPr>
          <w:rFonts w:hint="eastAsia" w:ascii="宋体" w:hAnsi="宋体" w:eastAsia="宋体" w:cs="Times New Roman"/>
          <w:snapToGrid/>
          <w:color w:val="auto"/>
          <w:spacing w:val="-26"/>
          <w:kern w:val="2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Times New Roman"/>
          <w:snapToGrid/>
          <w:color w:val="auto"/>
          <w:spacing w:val="-22"/>
          <w:kern w:val="2"/>
          <w:sz w:val="24"/>
          <w:szCs w:val="24"/>
          <w:lang w:eastAsia="zh-CN"/>
        </w:rPr>
        <w:t>024年4月</w:t>
      </w:r>
      <w:r>
        <w:rPr>
          <w:rFonts w:hint="eastAsia" w:ascii="宋体" w:hAnsi="宋体" w:eastAsia="宋体" w:cs="Times New Roman"/>
          <w:snapToGrid/>
          <w:color w:val="auto"/>
          <w:spacing w:val="-22"/>
          <w:kern w:val="2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Times New Roman"/>
          <w:snapToGrid/>
          <w:color w:val="auto"/>
          <w:spacing w:val="-22"/>
          <w:kern w:val="2"/>
          <w:sz w:val="24"/>
          <w:szCs w:val="24"/>
          <w:lang w:eastAsia="zh-CN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D9D14"/>
    <w:multiLevelType w:val="singleLevel"/>
    <w:tmpl w:val="B95D9D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293B7B"/>
    <w:multiLevelType w:val="multilevel"/>
    <w:tmpl w:val="5D293B7B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bordersDoNotSurroundHeader w:val="1"/>
  <w:bordersDoNotSurroundFooter w:val="1"/>
  <w:hideSpellingErrors/>
  <w:hideGrammaticalErrors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</w:docVars>
  <w:rsids>
    <w:rsidRoot w:val="00885FF6"/>
    <w:rsid w:val="00056A13"/>
    <w:rsid w:val="00084361"/>
    <w:rsid w:val="00164B0C"/>
    <w:rsid w:val="00263257"/>
    <w:rsid w:val="002B78FB"/>
    <w:rsid w:val="003E26B4"/>
    <w:rsid w:val="00411159"/>
    <w:rsid w:val="0042093B"/>
    <w:rsid w:val="004452EF"/>
    <w:rsid w:val="004C7EED"/>
    <w:rsid w:val="004F5ABF"/>
    <w:rsid w:val="00511B12"/>
    <w:rsid w:val="0055726F"/>
    <w:rsid w:val="005E5813"/>
    <w:rsid w:val="006B06FC"/>
    <w:rsid w:val="006E4EC2"/>
    <w:rsid w:val="0075113A"/>
    <w:rsid w:val="00885FF6"/>
    <w:rsid w:val="009A6B0A"/>
    <w:rsid w:val="009F098D"/>
    <w:rsid w:val="009F0FC7"/>
    <w:rsid w:val="00A02F8E"/>
    <w:rsid w:val="00AE67BF"/>
    <w:rsid w:val="00B20072"/>
    <w:rsid w:val="00B7167F"/>
    <w:rsid w:val="00B9759E"/>
    <w:rsid w:val="00BD6B81"/>
    <w:rsid w:val="00C86B84"/>
    <w:rsid w:val="00C931C2"/>
    <w:rsid w:val="00D35B51"/>
    <w:rsid w:val="00DE780F"/>
    <w:rsid w:val="00E216F2"/>
    <w:rsid w:val="00E5343A"/>
    <w:rsid w:val="00EA1430"/>
    <w:rsid w:val="0B7E3506"/>
    <w:rsid w:val="11102308"/>
    <w:rsid w:val="16F41558"/>
    <w:rsid w:val="20AC0CFF"/>
    <w:rsid w:val="43BD04BE"/>
    <w:rsid w:val="4B660793"/>
    <w:rsid w:val="4EC56377"/>
    <w:rsid w:val="729B6917"/>
    <w:rsid w:val="7EF8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1"/>
    <w:basedOn w:val="8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3">
    <w:name w:val="批注文字 字符"/>
    <w:basedOn w:val="9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7"/>
    <w:autoRedefine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6">
    <w:name w:val="修订1"/>
    <w:autoRedefine/>
    <w:hidden/>
    <w:semiHidden/>
    <w:qFormat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customStyle="1" w:styleId="17">
    <w:name w:val="Revision"/>
    <w:autoRedefine/>
    <w:hidden/>
    <w:unhideWhenUsed/>
    <w:qFormat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customStyle="1" w:styleId="18">
    <w:name w:val="页眉 字符"/>
    <w:basedOn w:val="9"/>
    <w:link w:val="6"/>
    <w:autoRedefine/>
    <w:qFormat/>
    <w:uiPriority w:val="99"/>
    <w:rPr>
      <w:rFonts w:ascii="Arial" w:hAnsi="Arial" w:cs="Arial" w:eastAsiaTheme="minorEastAsia"/>
      <w:snapToGrid w:val="0"/>
      <w:color w:val="000000"/>
      <w:sz w:val="18"/>
      <w:szCs w:val="18"/>
      <w:lang w:eastAsia="en-US"/>
    </w:rPr>
  </w:style>
  <w:style w:type="character" w:customStyle="1" w:styleId="19">
    <w:name w:val="页脚 字符"/>
    <w:basedOn w:val="9"/>
    <w:link w:val="5"/>
    <w:autoRedefine/>
    <w:qFormat/>
    <w:uiPriority w:val="99"/>
    <w:rPr>
      <w:rFonts w:ascii="Arial" w:hAnsi="Arial" w:cs="Arial" w:eastAsiaTheme="minorEastAsia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335</Words>
  <Characters>1912</Characters>
  <Lines>15</Lines>
  <Paragraphs>4</Paragraphs>
  <TotalTime>25</TotalTime>
  <ScaleCrop>false</ScaleCrop>
  <LinksUpToDate>false</LinksUpToDate>
  <CharactersWithSpaces>2243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2024-04-17T03:38:00Z</dcterms:created>
  <dc:creator>Tian</dc:creator>
  <cp:lastModifiedBy>Y.    Miss</cp:lastModifiedBy>
  <dcterms:modified xsi:type="dcterms:W3CDTF">2024-04-18T08:25:08Z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2023-10-17T23:00:04Z</vt:filetime>
  </property>
  <property fmtid="{D5CDD505-2E9C-101B-9397-08002B2CF9AE}" pid="4" name="KSOProductBuildVer">
    <vt:lpwstr>2052-12.1.0.16729</vt:lpwstr>
  </property>
  <property fmtid="{D5CDD505-2E9C-101B-9397-08002B2CF9AE}" pid="5" name="ICV">
    <vt:lpwstr>E59B7BEA04CD4A61BF637A7A853580E3_13</vt:lpwstr>
  </property>
</Properties>
</file>