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宋体" w:hAnsi="宋体" w:eastAsia="宋体"/>
          <w:b/>
          <w:sz w:val="24"/>
          <w:szCs w:val="24"/>
        </w:rPr>
      </w:pPr>
      <w:r>
        <w:rPr>
          <w:rFonts w:hint="eastAsia" w:ascii="宋体" w:hAnsi="宋体" w:eastAsia="宋体"/>
          <w:b/>
          <w:sz w:val="24"/>
          <w:szCs w:val="24"/>
        </w:rPr>
        <w:t>证券代码：</w:t>
      </w:r>
      <w:r>
        <w:rPr>
          <w:rFonts w:ascii="宋体" w:hAnsi="宋体" w:eastAsia="宋体"/>
          <w:b/>
          <w:sz w:val="24"/>
          <w:szCs w:val="24"/>
        </w:rPr>
        <w:t xml:space="preserve">603191       </w:t>
      </w:r>
      <w:r>
        <w:rPr>
          <w:rFonts w:hint="eastAsia" w:ascii="宋体" w:hAnsi="宋体" w:eastAsia="宋体"/>
          <w:b/>
          <w:sz w:val="24"/>
          <w:szCs w:val="24"/>
        </w:rPr>
        <w:t xml:space="preserve">证券简称：望变电气 </w:t>
      </w:r>
      <w:r>
        <w:rPr>
          <w:rFonts w:ascii="宋体" w:hAnsi="宋体" w:eastAsia="宋体"/>
          <w:b/>
          <w:sz w:val="24"/>
          <w:szCs w:val="24"/>
        </w:rPr>
        <w:t xml:space="preserve">        </w:t>
      </w:r>
      <w:r>
        <w:rPr>
          <w:rFonts w:hint="eastAsia" w:ascii="宋体" w:hAnsi="宋体" w:eastAsia="宋体"/>
          <w:b/>
          <w:sz w:val="24"/>
          <w:szCs w:val="24"/>
        </w:rPr>
        <w:t>公告编号：2</w:t>
      </w:r>
      <w:r>
        <w:rPr>
          <w:rFonts w:ascii="宋体" w:hAnsi="宋体" w:eastAsia="宋体"/>
          <w:b/>
          <w:sz w:val="24"/>
          <w:szCs w:val="24"/>
        </w:rPr>
        <w:t>024-0</w:t>
      </w:r>
      <w:r>
        <w:rPr>
          <w:rFonts w:hint="eastAsia" w:ascii="宋体" w:hAnsi="宋体" w:eastAsia="宋体"/>
          <w:b/>
          <w:sz w:val="24"/>
          <w:szCs w:val="24"/>
        </w:rPr>
        <w:t>35</w:t>
      </w:r>
    </w:p>
    <w:p>
      <w:pPr>
        <w:adjustRightInd w:val="0"/>
        <w:snapToGrid w:val="0"/>
        <w:spacing w:line="560" w:lineRule="exact"/>
        <w:jc w:val="left"/>
        <w:rPr>
          <w:rFonts w:ascii="仿宋" w:hAnsi="仿宋" w:eastAsia="仿宋_GB2312"/>
          <w:sz w:val="30"/>
          <w:szCs w:val="30"/>
        </w:rPr>
      </w:pPr>
    </w:p>
    <w:p>
      <w:pPr>
        <w:adjustRightInd w:val="0"/>
        <w:snapToGrid w:val="0"/>
        <w:spacing w:before="156" w:beforeLines="50" w:line="560" w:lineRule="exact"/>
        <w:jc w:val="center"/>
        <w:outlineLvl w:val="0"/>
        <w:rPr>
          <w:rFonts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pPr>
        <w:adjustRightInd w:val="0"/>
        <w:snapToGrid w:val="0"/>
        <w:spacing w:before="156" w:beforeLines="50" w:line="560" w:lineRule="exact"/>
        <w:jc w:val="center"/>
        <w:outlineLvl w:val="0"/>
        <w:rPr>
          <w:rFonts w:ascii="宋体" w:hAnsi="宋体" w:eastAsia="宋体" w:cs="仿宋_GB2312"/>
          <w:b/>
          <w:bCs/>
          <w:color w:val="FF0000"/>
          <w:sz w:val="36"/>
          <w:szCs w:val="36"/>
        </w:rPr>
      </w:pPr>
      <w:r>
        <w:rPr>
          <w:rFonts w:hint="eastAsia" w:ascii="宋体" w:hAnsi="宋体" w:eastAsia="宋体" w:cs="仿宋_GB2312"/>
          <w:b/>
          <w:bCs/>
          <w:color w:val="FF0000"/>
          <w:sz w:val="36"/>
          <w:szCs w:val="36"/>
        </w:rPr>
        <w:t>关于使用暂时闲置募集资金进行现金管理的公告</w:t>
      </w:r>
    </w:p>
    <w:p>
      <w:pPr>
        <w:adjustRightInd w:val="0"/>
        <w:snapToGrid w:val="0"/>
        <w:spacing w:before="156" w:beforeLines="50" w:line="560" w:lineRule="exact"/>
        <w:jc w:val="center"/>
        <w:rPr>
          <w:rFonts w:ascii="仿宋_GB2312" w:hAnsi="仿宋_GB2312" w:eastAsia="仿宋_GB2312" w:cs="仿宋_GB2312"/>
          <w:b/>
          <w:bCs/>
          <w:color w:val="FF0000"/>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本公司董事会及全体董事保证本公告内容不存在任何虚假记载、误导性陈述或者重大遗漏，并对其内容的真实性、准确性和完整性承担法律责任。</w:t>
      </w:r>
    </w:p>
    <w:p>
      <w:pPr>
        <w:autoSpaceDE w:val="0"/>
        <w:autoSpaceDN w:val="0"/>
        <w:adjustRightInd w:val="0"/>
        <w:snapToGrid w:val="0"/>
        <w:spacing w:line="560" w:lineRule="exact"/>
        <w:rPr>
          <w:rFonts w:ascii="宋体" w:hAnsi="宋体" w:eastAsia="宋体"/>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rPr>
        <w:t>重庆望变电气（集团）股份有限公司（以下简称“公司”）于202</w:t>
      </w:r>
      <w:r>
        <w:rPr>
          <w:rFonts w:ascii="宋体" w:hAnsi="宋体" w:eastAsia="宋体"/>
          <w:color w:val="000000"/>
          <w:sz w:val="24"/>
          <w:szCs w:val="24"/>
        </w:rPr>
        <w:t>4</w:t>
      </w:r>
      <w:r>
        <w:rPr>
          <w:rFonts w:hint="eastAsia" w:ascii="宋体" w:hAnsi="宋体" w:eastAsia="宋体"/>
          <w:color w:val="000000"/>
          <w:sz w:val="24"/>
          <w:szCs w:val="24"/>
        </w:rPr>
        <w:t>年4月2</w:t>
      </w:r>
      <w:r>
        <w:rPr>
          <w:rFonts w:ascii="宋体" w:hAnsi="宋体" w:eastAsia="宋体"/>
          <w:color w:val="000000"/>
          <w:sz w:val="24"/>
          <w:szCs w:val="24"/>
        </w:rPr>
        <w:t>4</w:t>
      </w:r>
      <w:r>
        <w:rPr>
          <w:rFonts w:hint="eastAsia" w:ascii="宋体" w:hAnsi="宋体" w:eastAsia="宋体"/>
          <w:color w:val="000000"/>
          <w:sz w:val="24"/>
          <w:szCs w:val="24"/>
        </w:rPr>
        <w:t>日召开了第四届董事会第五次会议和第四届监事会第四次会议，审议通过了《关于使用暂时闲置募集资金进行现金管理的议案》，同意公司使用不超过</w:t>
      </w:r>
      <w:r>
        <w:rPr>
          <w:rFonts w:ascii="宋体" w:hAnsi="宋体" w:eastAsia="宋体"/>
          <w:color w:val="000000"/>
          <w:sz w:val="24"/>
          <w:szCs w:val="24"/>
        </w:rPr>
        <w:t>29</w:t>
      </w:r>
      <w:r>
        <w:rPr>
          <w:rFonts w:hint="eastAsia" w:ascii="宋体" w:hAnsi="宋体" w:eastAsia="宋体"/>
          <w:color w:val="000000"/>
          <w:sz w:val="24"/>
          <w:szCs w:val="24"/>
        </w:rPr>
        <w:t>,000万元的暂时闲置募集资金进行现金管理，该额度的有效期自董事会审议通过之日至2024年12月31日止，在上述额度及有效期限内，公司可循环滚动使用，公司董事会授权总经理行使投资决策并签署相关合同文件。</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outlineLvl w:val="0"/>
        <w:rPr>
          <w:rFonts w:ascii="宋体" w:hAnsi="宋体" w:eastAsia="宋体"/>
          <w:b/>
          <w:bCs/>
          <w:sz w:val="24"/>
          <w:szCs w:val="24"/>
        </w:rPr>
      </w:pPr>
      <w:r>
        <w:rPr>
          <w:rFonts w:hint="eastAsia" w:ascii="宋体" w:hAnsi="宋体" w:eastAsia="宋体"/>
          <w:b/>
          <w:bCs/>
          <w:sz w:val="24"/>
          <w:szCs w:val="24"/>
        </w:rPr>
        <w:t>一、募集资金基本情况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sz w:val="24"/>
          <w:szCs w:val="24"/>
        </w:rPr>
      </w:pPr>
      <w:r>
        <w:rPr>
          <w:rFonts w:hint="eastAsia" w:ascii="宋体" w:hAnsi="宋体" w:eastAsia="宋体"/>
          <w:sz w:val="24"/>
          <w:szCs w:val="24"/>
        </w:rPr>
        <w:t>经中国证券监督管理委员会证监许可[2022]490号文核准，并经上海证券交易所同意，本公司由主承销商中信证券股份有限公司于2022年4月18日向社会公众公开发行普通股（A股）股票83,291,852股，每股面值1元，每股发行价人民币11.86元。截至2022年4月22日止，本公司共募集资金人民币987,841,364.72元，扣除发行费用合计133,279,564.72元，募集资金净额人民币854,561,800.00元。</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sz w:val="24"/>
          <w:szCs w:val="24"/>
        </w:rPr>
      </w:pPr>
      <w:r>
        <w:rPr>
          <w:rFonts w:hint="eastAsia" w:ascii="宋体" w:hAnsi="宋体" w:eastAsia="宋体"/>
          <w:sz w:val="24"/>
          <w:szCs w:val="24"/>
        </w:rPr>
        <w:t>截止2022年4月22日，本公司上述发行募集的资金已全部到位，业经大华会计师事务所（特殊普通合伙）以“大华验字[2022]000143号”验资报告验证确认。</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outlineLvl w:val="0"/>
        <w:rPr>
          <w:rFonts w:ascii="宋体" w:hAnsi="宋体" w:eastAsia="宋体"/>
          <w:b/>
          <w:bCs/>
          <w:sz w:val="24"/>
          <w:szCs w:val="24"/>
        </w:rPr>
      </w:pPr>
      <w:r>
        <w:rPr>
          <w:rFonts w:hint="eastAsia" w:ascii="宋体" w:hAnsi="宋体" w:eastAsia="宋体"/>
          <w:b/>
          <w:bCs/>
          <w:sz w:val="24"/>
          <w:szCs w:val="24"/>
        </w:rPr>
        <w:t>二、募集资金的管理情况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sz w:val="24"/>
          <w:szCs w:val="24"/>
        </w:rPr>
      </w:pPr>
      <w:r>
        <w:rPr>
          <w:rFonts w:hint="eastAsia" w:ascii="宋体" w:hAnsi="宋体" w:eastAsia="宋体"/>
          <w:sz w:val="24"/>
          <w:szCs w:val="24"/>
        </w:rPr>
        <w:t>为了规范募集资金的管理和使用，保护投资者权益，本公司依照《中华人民共和国公司法》《中华人民共和国证券法》《上海证券交易所股票上市规则》《上海证券交易所上市公司自律监管指引第1号——规范运作》等法律法规，结合公司实际情况，制定了《重庆望变电气（集团）股份有限公司募集资金管理制度》（以下简称“《管理制度》”），该《管理制度》经本公司2022年第三届第十一次董事会审议通过，并业经本公司2022年第一次临时股东大会表决通过。</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sz w:val="24"/>
          <w:szCs w:val="24"/>
        </w:rPr>
      </w:pPr>
      <w:r>
        <w:rPr>
          <w:rFonts w:hint="eastAsia" w:ascii="宋体" w:hAnsi="宋体" w:eastAsia="宋体"/>
          <w:sz w:val="24"/>
          <w:szCs w:val="24"/>
        </w:rPr>
        <w:t>根据《管理制度》的要求，并结合公司经营需要，本公司分别在招商银行股份有限公司重庆长寿支行（该专户已于2022年6月22日注销）、重庆三峡银行股份有限公司长寿支行、上海浦东发展银行股份有限公司重庆分行、中信银行重庆分行营业部（该专户已于2023年10月13日注销）、中国农业银行股份有限公司重庆长寿支行（该专户已于2023年6月26日注销）、哈尔滨银行股份有限公司重庆分行开设募集资金专项账户。公司与各开户银行、保荐机构签署了募集资金三方监管协议，对公开发行股票募集资金的存放和使用情况进行监督。</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textAlignment w:val="auto"/>
        <w:outlineLvl w:val="0"/>
        <w:rPr>
          <w:rFonts w:ascii="宋体" w:hAnsi="宋体" w:eastAsia="宋体"/>
          <w:b/>
          <w:bCs/>
          <w:sz w:val="24"/>
          <w:szCs w:val="24"/>
        </w:rPr>
      </w:pPr>
      <w:r>
        <w:rPr>
          <w:rFonts w:hint="eastAsia" w:ascii="宋体" w:hAnsi="宋体" w:eastAsia="宋体"/>
          <w:b/>
          <w:bCs/>
          <w:sz w:val="24"/>
          <w:szCs w:val="24"/>
        </w:rPr>
        <w:t>三、募集资金结存情况</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ascii="宋体" w:hAnsi="宋体" w:eastAsia="宋体"/>
          <w:sz w:val="24"/>
          <w:szCs w:val="24"/>
        </w:rPr>
      </w:pPr>
      <w:r>
        <w:rPr>
          <w:rFonts w:hint="eastAsia" w:ascii="宋体" w:hAnsi="宋体" w:eastAsia="宋体"/>
          <w:sz w:val="24"/>
          <w:szCs w:val="24"/>
          <w:lang w:val="en-US" w:eastAsia="zh-CN"/>
        </w:rPr>
        <w:t>截至2023年12月31日，</w:t>
      </w:r>
      <w:r>
        <w:rPr>
          <w:rFonts w:hint="eastAsia" w:ascii="宋体" w:hAnsi="宋体" w:eastAsia="宋体"/>
          <w:sz w:val="24"/>
          <w:szCs w:val="24"/>
        </w:rPr>
        <w:t>公司首次公开发行股票募集资金结存情况如下：</w:t>
      </w:r>
    </w:p>
    <w:p>
      <w:pPr>
        <w:adjustRightInd w:val="0"/>
        <w:snapToGrid w:val="0"/>
        <w:spacing w:line="360" w:lineRule="auto"/>
        <w:ind w:firstLine="420" w:firstLineChars="200"/>
        <w:jc w:val="right"/>
        <w:rPr>
          <w:rFonts w:ascii="宋体" w:hAnsi="宋体" w:eastAsia="宋体"/>
          <w:szCs w:val="21"/>
        </w:rPr>
      </w:pPr>
      <w:r>
        <w:rPr>
          <w:rFonts w:hint="eastAsia" w:ascii="宋体" w:hAnsi="宋体" w:eastAsia="宋体"/>
          <w:szCs w:val="21"/>
        </w:rPr>
        <w:t>单位：万元</w:t>
      </w:r>
    </w:p>
    <w:tbl>
      <w:tblPr>
        <w:tblStyle w:val="9"/>
        <w:tblW w:w="90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2119"/>
        <w:gridCol w:w="1547"/>
        <w:gridCol w:w="1495"/>
        <w:gridCol w:w="13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tblHeader/>
          <w:jc w:val="center"/>
        </w:trPr>
        <w:tc>
          <w:tcPr>
            <w:tcW w:w="2519" w:type="dxa"/>
            <w:vAlign w:val="center"/>
          </w:tcPr>
          <w:p>
            <w:pPr>
              <w:widowControl w:val="0"/>
              <w:snapToGrid w:val="0"/>
              <w:spacing w:after="0" w:line="240" w:lineRule="auto"/>
              <w:ind w:left="0" w:right="0" w:firstLine="0"/>
              <w:jc w:val="center"/>
              <w:rPr>
                <w:rFonts w:ascii="Times New Roman" w:hAnsi="Times New Roman" w:cs="Times New Roman"/>
                <w:b/>
                <w:bCs/>
                <w:color w:val="auto"/>
                <w:kern w:val="0"/>
                <w:sz w:val="20"/>
                <w:szCs w:val="20"/>
              </w:rPr>
            </w:pPr>
            <w:r>
              <w:rPr>
                <w:rFonts w:ascii="Times New Roman" w:hAnsi="Times New Roman" w:cs="Times New Roman"/>
                <w:b/>
                <w:bCs/>
                <w:color w:val="auto"/>
                <w:kern w:val="0"/>
                <w:sz w:val="20"/>
                <w:szCs w:val="20"/>
              </w:rPr>
              <w:t>银行名称</w:t>
            </w:r>
          </w:p>
        </w:tc>
        <w:tc>
          <w:tcPr>
            <w:tcW w:w="2119" w:type="dxa"/>
            <w:vAlign w:val="center"/>
          </w:tcPr>
          <w:p>
            <w:pPr>
              <w:widowControl w:val="0"/>
              <w:snapToGrid w:val="0"/>
              <w:spacing w:after="0" w:line="240" w:lineRule="auto"/>
              <w:ind w:left="0" w:right="0" w:firstLine="0"/>
              <w:jc w:val="center"/>
              <w:rPr>
                <w:rFonts w:ascii="Times New Roman" w:hAnsi="Times New Roman" w:cs="Times New Roman"/>
                <w:b/>
                <w:bCs/>
                <w:color w:val="auto"/>
                <w:kern w:val="0"/>
                <w:sz w:val="20"/>
                <w:szCs w:val="20"/>
              </w:rPr>
            </w:pPr>
            <w:r>
              <w:rPr>
                <w:rFonts w:ascii="Times New Roman" w:hAnsi="Times New Roman" w:cs="Times New Roman"/>
                <w:b/>
                <w:bCs/>
                <w:color w:val="auto"/>
                <w:kern w:val="0"/>
                <w:sz w:val="20"/>
                <w:szCs w:val="20"/>
              </w:rPr>
              <w:t>账号</w:t>
            </w:r>
          </w:p>
        </w:tc>
        <w:tc>
          <w:tcPr>
            <w:tcW w:w="1547" w:type="dxa"/>
            <w:vAlign w:val="center"/>
          </w:tcPr>
          <w:p>
            <w:pPr>
              <w:widowControl w:val="0"/>
              <w:snapToGrid w:val="0"/>
              <w:spacing w:after="0" w:line="240" w:lineRule="auto"/>
              <w:ind w:left="0" w:right="0" w:firstLine="0"/>
              <w:jc w:val="center"/>
              <w:rPr>
                <w:rFonts w:ascii="Times New Roman" w:hAnsi="Times New Roman" w:cs="Times New Roman"/>
                <w:b/>
                <w:bCs/>
                <w:color w:val="auto"/>
                <w:kern w:val="0"/>
                <w:sz w:val="20"/>
                <w:szCs w:val="20"/>
              </w:rPr>
            </w:pPr>
            <w:r>
              <w:rPr>
                <w:rFonts w:hint="eastAsia" w:ascii="Times New Roman" w:hAnsi="Times New Roman" w:cs="Times New Roman"/>
                <w:b/>
                <w:bCs/>
                <w:color w:val="auto"/>
                <w:kern w:val="0"/>
                <w:sz w:val="20"/>
                <w:szCs w:val="20"/>
                <w:lang w:eastAsia="zh-CN"/>
              </w:rPr>
              <w:t>初始</w:t>
            </w:r>
            <w:r>
              <w:rPr>
                <w:rFonts w:ascii="Times New Roman" w:hAnsi="Times New Roman" w:cs="Times New Roman"/>
                <w:b/>
                <w:bCs/>
                <w:color w:val="auto"/>
                <w:kern w:val="0"/>
                <w:sz w:val="20"/>
                <w:szCs w:val="20"/>
              </w:rPr>
              <w:t>存放金额</w:t>
            </w:r>
          </w:p>
        </w:tc>
        <w:tc>
          <w:tcPr>
            <w:tcW w:w="1495" w:type="dxa"/>
            <w:vAlign w:val="center"/>
          </w:tcPr>
          <w:p>
            <w:pPr>
              <w:widowControl w:val="0"/>
              <w:snapToGrid w:val="0"/>
              <w:spacing w:after="0" w:line="240" w:lineRule="auto"/>
              <w:ind w:left="0" w:right="0" w:firstLine="0"/>
              <w:jc w:val="center"/>
              <w:rPr>
                <w:rFonts w:ascii="Times New Roman" w:hAnsi="Times New Roman" w:cs="Times New Roman"/>
                <w:b/>
                <w:bCs/>
                <w:color w:val="auto"/>
                <w:kern w:val="0"/>
                <w:sz w:val="20"/>
                <w:szCs w:val="20"/>
              </w:rPr>
            </w:pPr>
            <w:r>
              <w:rPr>
                <w:rFonts w:ascii="Times New Roman" w:hAnsi="Times New Roman" w:cs="Times New Roman"/>
                <w:b/>
                <w:bCs/>
                <w:color w:val="auto"/>
                <w:kern w:val="0"/>
                <w:sz w:val="20"/>
                <w:szCs w:val="20"/>
              </w:rPr>
              <w:t>截止日余额</w:t>
            </w:r>
          </w:p>
        </w:tc>
        <w:tc>
          <w:tcPr>
            <w:tcW w:w="1379" w:type="dxa"/>
            <w:vAlign w:val="center"/>
          </w:tcPr>
          <w:p>
            <w:pPr>
              <w:widowControl w:val="0"/>
              <w:snapToGrid w:val="0"/>
              <w:spacing w:after="0" w:line="240" w:lineRule="auto"/>
              <w:ind w:left="0" w:right="0" w:firstLine="0"/>
              <w:jc w:val="center"/>
              <w:rPr>
                <w:rFonts w:ascii="Times New Roman" w:hAnsi="Times New Roman" w:cs="Times New Roman"/>
                <w:b/>
                <w:bCs/>
                <w:color w:val="auto"/>
                <w:kern w:val="0"/>
                <w:sz w:val="20"/>
                <w:szCs w:val="20"/>
              </w:rPr>
            </w:pPr>
            <w:r>
              <w:rPr>
                <w:rFonts w:ascii="Times New Roman" w:hAnsi="Times New Roman" w:cs="Times New Roman"/>
                <w:b/>
                <w:bCs/>
                <w:color w:val="auto"/>
                <w:kern w:val="0"/>
                <w:sz w:val="20"/>
                <w:szCs w:val="20"/>
              </w:rPr>
              <w:t>存储方式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519" w:type="dxa"/>
            <w:vAlign w:val="center"/>
          </w:tcPr>
          <w:p>
            <w:pPr>
              <w:widowControl w:val="0"/>
              <w:snapToGrid w:val="0"/>
              <w:spacing w:after="0" w:line="240" w:lineRule="auto"/>
              <w:ind w:left="0" w:right="0" w:firstLine="0"/>
              <w:jc w:val="both"/>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highlight w:val="none"/>
              </w:rPr>
              <w:t>招商银行股份有限公司</w:t>
            </w:r>
            <w:r>
              <w:rPr>
                <w:rFonts w:hint="eastAsia" w:ascii="Times New Roman" w:hAnsi="Times New Roman" w:cs="Times New Roman"/>
                <w:color w:val="auto"/>
                <w:kern w:val="0"/>
                <w:sz w:val="20"/>
                <w:szCs w:val="20"/>
              </w:rPr>
              <w:t>重庆分行长寿支行</w:t>
            </w:r>
          </w:p>
        </w:tc>
        <w:tc>
          <w:tcPr>
            <w:tcW w:w="2119" w:type="dxa"/>
            <w:vAlign w:val="center"/>
          </w:tcPr>
          <w:p>
            <w:pPr>
              <w:widowControl w:val="0"/>
              <w:snapToGrid w:val="0"/>
              <w:spacing w:after="0" w:line="240" w:lineRule="auto"/>
              <w:ind w:left="0" w:right="0" w:firstLine="0"/>
              <w:jc w:val="both"/>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123905910610303</w:t>
            </w:r>
          </w:p>
        </w:tc>
        <w:tc>
          <w:tcPr>
            <w:tcW w:w="1547" w:type="dxa"/>
            <w:vAlign w:val="center"/>
          </w:tcPr>
          <w:p>
            <w:pPr>
              <w:widowControl w:val="0"/>
              <w:snapToGrid w:val="0"/>
              <w:spacing w:after="0" w:line="240" w:lineRule="auto"/>
              <w:ind w:left="0" w:right="0" w:firstLine="0"/>
              <w:jc w:val="righ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390,429,100.00</w:t>
            </w:r>
          </w:p>
        </w:tc>
        <w:tc>
          <w:tcPr>
            <w:tcW w:w="1495" w:type="dxa"/>
            <w:vAlign w:val="center"/>
          </w:tcPr>
          <w:p>
            <w:pPr>
              <w:widowControl w:val="0"/>
              <w:snapToGrid w:val="0"/>
              <w:spacing w:after="0" w:line="240" w:lineRule="auto"/>
              <w:ind w:left="0" w:right="0" w:firstLine="0"/>
              <w:jc w:val="righ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w:t>
            </w:r>
          </w:p>
        </w:tc>
        <w:tc>
          <w:tcPr>
            <w:tcW w:w="1379" w:type="dxa"/>
            <w:vAlign w:val="center"/>
          </w:tcPr>
          <w:p>
            <w:pPr>
              <w:widowControl w:val="0"/>
              <w:snapToGrid w:val="0"/>
              <w:spacing w:after="0" w:line="240" w:lineRule="auto"/>
              <w:ind w:left="0" w:right="0" w:firstLine="0"/>
              <w:jc w:val="both"/>
              <w:rPr>
                <w:rFonts w:ascii="Times New Roman" w:hAnsi="Times New Roman" w:cs="Times New Roman"/>
                <w:color w:val="auto"/>
                <w:kern w:val="0"/>
                <w:sz w:val="20"/>
                <w:szCs w:val="20"/>
                <w:highlight w:val="none"/>
              </w:rPr>
            </w:pPr>
            <w:r>
              <w:rPr>
                <w:rFonts w:hint="eastAsia" w:ascii="Times New Roman" w:hAnsi="Times New Roman" w:cs="Times New Roman"/>
                <w:color w:val="auto"/>
                <w:kern w:val="0"/>
                <w:sz w:val="20"/>
                <w:szCs w:val="20"/>
                <w:highlight w:val="none"/>
              </w:rPr>
              <w:t>账户已注销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519" w:type="dxa"/>
            <w:vAlign w:val="center"/>
          </w:tcPr>
          <w:p>
            <w:pPr>
              <w:widowControl w:val="0"/>
              <w:snapToGrid w:val="0"/>
              <w:spacing w:after="0" w:line="240" w:lineRule="auto"/>
              <w:ind w:left="0" w:right="0" w:firstLine="0"/>
              <w:jc w:val="both"/>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highlight w:val="none"/>
              </w:rPr>
              <w:t>中信银行股份有限公司重庆分行营业部</w:t>
            </w:r>
          </w:p>
        </w:tc>
        <w:tc>
          <w:tcPr>
            <w:tcW w:w="2119" w:type="dxa"/>
            <w:vAlign w:val="center"/>
          </w:tcPr>
          <w:p>
            <w:pPr>
              <w:widowControl w:val="0"/>
              <w:snapToGrid w:val="0"/>
              <w:spacing w:after="0" w:line="240" w:lineRule="auto"/>
              <w:ind w:left="0" w:right="0" w:firstLine="0"/>
              <w:jc w:val="both"/>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8111201012200530541</w:t>
            </w:r>
          </w:p>
        </w:tc>
        <w:tc>
          <w:tcPr>
            <w:tcW w:w="1547" w:type="dxa"/>
            <w:vAlign w:val="center"/>
          </w:tcPr>
          <w:p>
            <w:pPr>
              <w:widowControl w:val="0"/>
              <w:snapToGrid w:val="0"/>
              <w:spacing w:after="0" w:line="240" w:lineRule="auto"/>
              <w:ind w:left="0" w:right="0" w:firstLine="0"/>
              <w:jc w:val="righ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128,326,800.00</w:t>
            </w:r>
          </w:p>
        </w:tc>
        <w:tc>
          <w:tcPr>
            <w:tcW w:w="1495" w:type="dxa"/>
            <w:vAlign w:val="center"/>
          </w:tcPr>
          <w:p>
            <w:pPr>
              <w:widowControl w:val="0"/>
              <w:snapToGrid w:val="0"/>
              <w:spacing w:after="0" w:line="240" w:lineRule="auto"/>
              <w:ind w:left="0" w:right="0" w:firstLine="0"/>
              <w:jc w:val="righ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w:t>
            </w:r>
          </w:p>
        </w:tc>
        <w:tc>
          <w:tcPr>
            <w:tcW w:w="1379" w:type="dxa"/>
            <w:vAlign w:val="center"/>
          </w:tcPr>
          <w:p>
            <w:pPr>
              <w:widowControl w:val="0"/>
              <w:snapToGrid w:val="0"/>
              <w:spacing w:after="0" w:line="240" w:lineRule="auto"/>
              <w:ind w:left="0" w:right="0" w:firstLine="0"/>
              <w:jc w:val="both"/>
              <w:rPr>
                <w:rFonts w:ascii="Times New Roman" w:hAnsi="Times New Roman" w:cs="Times New Roman"/>
                <w:color w:val="auto"/>
                <w:kern w:val="0"/>
                <w:sz w:val="20"/>
                <w:szCs w:val="20"/>
                <w:highlight w:val="none"/>
              </w:rPr>
            </w:pPr>
            <w:r>
              <w:rPr>
                <w:rFonts w:hint="eastAsia" w:ascii="Times New Roman" w:hAnsi="Times New Roman" w:cs="Times New Roman"/>
                <w:color w:val="auto"/>
                <w:kern w:val="0"/>
                <w:sz w:val="20"/>
                <w:szCs w:val="20"/>
                <w:highlight w:val="none"/>
              </w:rPr>
              <w:t>账户已注销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519" w:type="dxa"/>
            <w:vAlign w:val="center"/>
          </w:tcPr>
          <w:p>
            <w:pPr>
              <w:widowControl w:val="0"/>
              <w:snapToGrid w:val="0"/>
              <w:spacing w:after="0" w:line="240" w:lineRule="auto"/>
              <w:ind w:left="0" w:right="0" w:firstLine="0"/>
              <w:jc w:val="both"/>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重庆三峡银行股份有限公司长寿支行</w:t>
            </w:r>
          </w:p>
        </w:tc>
        <w:tc>
          <w:tcPr>
            <w:tcW w:w="2119" w:type="dxa"/>
            <w:vAlign w:val="center"/>
          </w:tcPr>
          <w:p>
            <w:pPr>
              <w:widowControl w:val="0"/>
              <w:snapToGrid w:val="0"/>
              <w:spacing w:after="0" w:line="240" w:lineRule="auto"/>
              <w:ind w:left="0" w:right="0" w:firstLine="0"/>
              <w:jc w:val="both"/>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0153016820000020</w:t>
            </w:r>
          </w:p>
        </w:tc>
        <w:tc>
          <w:tcPr>
            <w:tcW w:w="1547" w:type="dxa"/>
            <w:vAlign w:val="center"/>
          </w:tcPr>
          <w:p>
            <w:pPr>
              <w:widowControl w:val="0"/>
              <w:snapToGrid w:val="0"/>
              <w:spacing w:after="0" w:line="240" w:lineRule="auto"/>
              <w:ind w:left="0" w:right="0" w:firstLine="0"/>
              <w:jc w:val="righ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73,305,900.00</w:t>
            </w:r>
          </w:p>
        </w:tc>
        <w:tc>
          <w:tcPr>
            <w:tcW w:w="1495" w:type="dxa"/>
            <w:vAlign w:val="center"/>
          </w:tcPr>
          <w:p>
            <w:pPr>
              <w:widowControl w:val="0"/>
              <w:snapToGrid w:val="0"/>
              <w:spacing w:after="0" w:line="240" w:lineRule="auto"/>
              <w:ind w:left="0" w:right="0" w:firstLine="0"/>
              <w:jc w:val="righ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42,888,555.15</w:t>
            </w:r>
          </w:p>
        </w:tc>
        <w:tc>
          <w:tcPr>
            <w:tcW w:w="1379" w:type="dxa"/>
            <w:vAlign w:val="center"/>
          </w:tcPr>
          <w:p>
            <w:pPr>
              <w:widowControl w:val="0"/>
              <w:snapToGrid w:val="0"/>
              <w:spacing w:after="0" w:line="240" w:lineRule="auto"/>
              <w:ind w:left="0" w:right="0" w:firstLine="0"/>
              <w:jc w:val="both"/>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活期存款/活期协议存款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519" w:type="dxa"/>
            <w:vAlign w:val="center"/>
          </w:tcPr>
          <w:p>
            <w:pPr>
              <w:widowControl w:val="0"/>
              <w:snapToGrid w:val="0"/>
              <w:spacing w:after="0" w:line="240" w:lineRule="auto"/>
              <w:ind w:left="0" w:right="0" w:firstLine="0"/>
              <w:jc w:val="both"/>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highlight w:val="none"/>
              </w:rPr>
              <w:t>上海浦东发展银行股份有限公司重庆</w:t>
            </w:r>
            <w:r>
              <w:rPr>
                <w:rFonts w:hint="eastAsia" w:ascii="Times New Roman" w:hAnsi="Times New Roman" w:cs="Times New Roman"/>
                <w:color w:val="auto"/>
                <w:kern w:val="0"/>
                <w:sz w:val="20"/>
                <w:szCs w:val="20"/>
                <w:highlight w:val="none"/>
                <w:lang w:val="en-US" w:eastAsia="zh-CN"/>
              </w:rPr>
              <w:t>长寿支行</w:t>
            </w:r>
          </w:p>
        </w:tc>
        <w:tc>
          <w:tcPr>
            <w:tcW w:w="2119" w:type="dxa"/>
            <w:vAlign w:val="center"/>
          </w:tcPr>
          <w:p>
            <w:pPr>
              <w:widowControl w:val="0"/>
              <w:snapToGrid w:val="0"/>
              <w:spacing w:after="0" w:line="240" w:lineRule="auto"/>
              <w:ind w:left="0" w:right="0" w:firstLine="0"/>
              <w:jc w:val="both"/>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83260078801700000608</w:t>
            </w:r>
          </w:p>
        </w:tc>
        <w:tc>
          <w:tcPr>
            <w:tcW w:w="1547" w:type="dxa"/>
            <w:vAlign w:val="center"/>
          </w:tcPr>
          <w:p>
            <w:pPr>
              <w:widowControl w:val="0"/>
              <w:snapToGrid w:val="0"/>
              <w:spacing w:after="0" w:line="240" w:lineRule="auto"/>
              <w:ind w:left="0" w:right="0" w:firstLine="0"/>
              <w:jc w:val="righ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62,500,000.00</w:t>
            </w:r>
          </w:p>
        </w:tc>
        <w:tc>
          <w:tcPr>
            <w:tcW w:w="1495" w:type="dxa"/>
            <w:vAlign w:val="center"/>
          </w:tcPr>
          <w:p>
            <w:pPr>
              <w:widowControl w:val="0"/>
              <w:snapToGrid w:val="0"/>
              <w:spacing w:after="0" w:line="240" w:lineRule="auto"/>
              <w:ind w:left="0" w:right="0" w:firstLine="0"/>
              <w:jc w:val="righ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35,253,303.32</w:t>
            </w:r>
          </w:p>
        </w:tc>
        <w:tc>
          <w:tcPr>
            <w:tcW w:w="1379" w:type="dxa"/>
            <w:vAlign w:val="center"/>
          </w:tcPr>
          <w:p>
            <w:pPr>
              <w:widowControl w:val="0"/>
              <w:snapToGrid w:val="0"/>
              <w:spacing w:after="0" w:line="240" w:lineRule="auto"/>
              <w:ind w:left="0" w:right="0" w:firstLine="0"/>
              <w:jc w:val="both"/>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活期存款/活期协议存款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519" w:type="dxa"/>
            <w:vAlign w:val="center"/>
          </w:tcPr>
          <w:p>
            <w:pPr>
              <w:widowControl w:val="0"/>
              <w:snapToGrid w:val="0"/>
              <w:spacing w:after="0" w:line="240" w:lineRule="auto"/>
              <w:ind w:left="0" w:right="0" w:firstLine="0"/>
              <w:jc w:val="both"/>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中国农业银行股份有限</w:t>
            </w:r>
            <w:bookmarkStart w:id="0" w:name="_GoBack"/>
            <w:bookmarkEnd w:id="0"/>
            <w:r>
              <w:rPr>
                <w:rFonts w:hint="eastAsia" w:ascii="Times New Roman" w:hAnsi="Times New Roman" w:cs="Times New Roman"/>
                <w:color w:val="auto"/>
                <w:kern w:val="0"/>
                <w:sz w:val="20"/>
                <w:szCs w:val="20"/>
              </w:rPr>
              <w:t>公司重庆长寿支行</w:t>
            </w:r>
          </w:p>
        </w:tc>
        <w:tc>
          <w:tcPr>
            <w:tcW w:w="2119" w:type="dxa"/>
            <w:vAlign w:val="center"/>
          </w:tcPr>
          <w:p>
            <w:pPr>
              <w:widowControl w:val="0"/>
              <w:snapToGrid w:val="0"/>
              <w:spacing w:after="0" w:line="240" w:lineRule="auto"/>
              <w:ind w:left="0" w:right="0" w:firstLine="0"/>
              <w:jc w:val="both"/>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31130101040017435</w:t>
            </w:r>
          </w:p>
        </w:tc>
        <w:tc>
          <w:tcPr>
            <w:tcW w:w="1547" w:type="dxa"/>
            <w:vAlign w:val="center"/>
          </w:tcPr>
          <w:p>
            <w:pPr>
              <w:widowControl w:val="0"/>
              <w:snapToGrid w:val="0"/>
              <w:spacing w:after="0" w:line="240" w:lineRule="auto"/>
              <w:ind w:left="0" w:right="0" w:firstLine="0"/>
              <w:jc w:val="righ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229,864,470.38</w:t>
            </w:r>
          </w:p>
        </w:tc>
        <w:tc>
          <w:tcPr>
            <w:tcW w:w="1495" w:type="dxa"/>
            <w:vAlign w:val="center"/>
          </w:tcPr>
          <w:p>
            <w:pPr>
              <w:widowControl w:val="0"/>
              <w:snapToGrid w:val="0"/>
              <w:spacing w:after="0" w:line="240" w:lineRule="auto"/>
              <w:ind w:left="0" w:right="0" w:firstLine="0"/>
              <w:jc w:val="righ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w:t>
            </w:r>
          </w:p>
        </w:tc>
        <w:tc>
          <w:tcPr>
            <w:tcW w:w="1379" w:type="dxa"/>
            <w:vAlign w:val="center"/>
          </w:tcPr>
          <w:p>
            <w:pPr>
              <w:widowControl w:val="0"/>
              <w:snapToGrid w:val="0"/>
              <w:spacing w:after="0" w:line="240" w:lineRule="auto"/>
              <w:ind w:left="0" w:right="0" w:firstLine="0"/>
              <w:jc w:val="both"/>
              <w:rPr>
                <w:rFonts w:ascii="Times New Roman" w:hAnsi="Times New Roman" w:cs="Times New Roman"/>
                <w:color w:val="auto"/>
                <w:kern w:val="0"/>
                <w:sz w:val="20"/>
                <w:szCs w:val="20"/>
                <w:highlight w:val="none"/>
              </w:rPr>
            </w:pPr>
            <w:r>
              <w:rPr>
                <w:rFonts w:hint="eastAsia" w:ascii="Times New Roman" w:hAnsi="Times New Roman" w:cs="Times New Roman"/>
                <w:color w:val="auto"/>
                <w:kern w:val="0"/>
                <w:sz w:val="20"/>
                <w:szCs w:val="20"/>
                <w:highlight w:val="none"/>
              </w:rPr>
              <w:t>账户已注销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519" w:type="dxa"/>
            <w:vAlign w:val="center"/>
          </w:tcPr>
          <w:p>
            <w:pPr>
              <w:widowControl w:val="0"/>
              <w:snapToGrid w:val="0"/>
              <w:spacing w:after="0" w:line="240" w:lineRule="auto"/>
              <w:ind w:left="0" w:right="0" w:firstLine="0"/>
              <w:jc w:val="both"/>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哈尔滨银行股份有限公司重庆分行</w:t>
            </w:r>
          </w:p>
        </w:tc>
        <w:tc>
          <w:tcPr>
            <w:tcW w:w="2119" w:type="dxa"/>
            <w:vAlign w:val="center"/>
          </w:tcPr>
          <w:p>
            <w:pPr>
              <w:widowControl w:val="0"/>
              <w:snapToGrid w:val="0"/>
              <w:spacing w:after="0" w:line="240" w:lineRule="auto"/>
              <w:ind w:left="0" w:right="0" w:firstLine="0"/>
              <w:jc w:val="both"/>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18010000001689409</w:t>
            </w:r>
          </w:p>
        </w:tc>
        <w:tc>
          <w:tcPr>
            <w:tcW w:w="1547" w:type="dxa"/>
            <w:vAlign w:val="center"/>
          </w:tcPr>
          <w:p>
            <w:pPr>
              <w:widowControl w:val="0"/>
              <w:snapToGrid w:val="0"/>
              <w:spacing w:after="0" w:line="240" w:lineRule="auto"/>
              <w:ind w:left="0" w:right="0" w:firstLine="0"/>
              <w:jc w:val="right"/>
              <w:rPr>
                <w:rFonts w:hint="eastAsia" w:ascii="Times New Roman" w:hAnsi="Times New Roman" w:cs="Times New Roman" w:eastAsiaTheme="minorEastAsia"/>
                <w:color w:val="auto"/>
                <w:kern w:val="0"/>
                <w:sz w:val="20"/>
                <w:szCs w:val="20"/>
                <w:lang w:val="en-US" w:eastAsia="zh-CN"/>
              </w:rPr>
            </w:pPr>
            <w:r>
              <w:rPr>
                <w:rFonts w:hint="eastAsia" w:ascii="Times New Roman" w:hAnsi="Times New Roman" w:cs="Times New Roman"/>
                <w:color w:val="auto"/>
                <w:kern w:val="0"/>
                <w:sz w:val="20"/>
                <w:szCs w:val="20"/>
                <w:lang w:val="en-US" w:eastAsia="zh-CN"/>
              </w:rPr>
              <w:t>-</w:t>
            </w:r>
          </w:p>
        </w:tc>
        <w:tc>
          <w:tcPr>
            <w:tcW w:w="1495" w:type="dxa"/>
            <w:vAlign w:val="center"/>
          </w:tcPr>
          <w:p>
            <w:pPr>
              <w:widowControl w:val="0"/>
              <w:snapToGrid w:val="0"/>
              <w:spacing w:after="0" w:line="240" w:lineRule="auto"/>
              <w:ind w:left="0" w:right="0" w:firstLine="0"/>
              <w:jc w:val="righ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216,538,109.08</w:t>
            </w:r>
          </w:p>
        </w:tc>
        <w:tc>
          <w:tcPr>
            <w:tcW w:w="1379" w:type="dxa"/>
            <w:vAlign w:val="center"/>
          </w:tcPr>
          <w:p>
            <w:pPr>
              <w:widowControl w:val="0"/>
              <w:snapToGrid w:val="0"/>
              <w:spacing w:after="0" w:line="240" w:lineRule="auto"/>
              <w:ind w:left="0" w:right="0" w:firstLine="0"/>
              <w:jc w:val="both"/>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活期协议存款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519" w:type="dxa"/>
            <w:vAlign w:val="center"/>
          </w:tcPr>
          <w:p>
            <w:pPr>
              <w:widowControl w:val="0"/>
              <w:snapToGrid w:val="0"/>
              <w:spacing w:after="0" w:line="240" w:lineRule="auto"/>
              <w:ind w:left="0" w:right="0" w:firstLine="0"/>
              <w:jc w:val="center"/>
              <w:rPr>
                <w:rFonts w:ascii="Times New Roman" w:hAnsi="Times New Roman" w:cs="Times New Roman"/>
                <w:b/>
                <w:bCs/>
                <w:color w:val="auto"/>
                <w:kern w:val="0"/>
                <w:sz w:val="20"/>
                <w:szCs w:val="20"/>
              </w:rPr>
            </w:pPr>
            <w:r>
              <w:rPr>
                <w:rFonts w:hint="eastAsia" w:ascii="Times New Roman" w:hAnsi="Times New Roman" w:cs="Times New Roman"/>
                <w:b/>
                <w:bCs/>
                <w:color w:val="auto"/>
                <w:kern w:val="0"/>
                <w:sz w:val="20"/>
                <w:szCs w:val="20"/>
              </w:rPr>
              <w:t>合计</w:t>
            </w:r>
          </w:p>
        </w:tc>
        <w:tc>
          <w:tcPr>
            <w:tcW w:w="2119" w:type="dxa"/>
            <w:vAlign w:val="center"/>
          </w:tcPr>
          <w:p>
            <w:pPr>
              <w:widowControl w:val="0"/>
              <w:snapToGrid w:val="0"/>
              <w:spacing w:after="0" w:line="240" w:lineRule="auto"/>
              <w:ind w:left="0" w:right="0" w:firstLine="0"/>
              <w:jc w:val="right"/>
              <w:rPr>
                <w:rFonts w:hint="eastAsia" w:ascii="Times New Roman" w:hAnsi="Times New Roman" w:cs="Times New Roman" w:eastAsiaTheme="minorEastAsia"/>
                <w:b/>
                <w:bCs/>
                <w:color w:val="auto"/>
                <w:kern w:val="0"/>
                <w:sz w:val="20"/>
                <w:szCs w:val="20"/>
                <w:lang w:val="en-US" w:eastAsia="zh-CN"/>
              </w:rPr>
            </w:pPr>
            <w:r>
              <w:rPr>
                <w:rFonts w:hint="eastAsia" w:ascii="Times New Roman" w:hAnsi="Times New Roman" w:cs="Times New Roman"/>
                <w:b/>
                <w:bCs/>
                <w:color w:val="auto"/>
                <w:kern w:val="0"/>
                <w:sz w:val="20"/>
                <w:szCs w:val="20"/>
                <w:lang w:val="en-US" w:eastAsia="zh-CN"/>
              </w:rPr>
              <w:t>-</w:t>
            </w:r>
          </w:p>
        </w:tc>
        <w:tc>
          <w:tcPr>
            <w:tcW w:w="1547" w:type="dxa"/>
            <w:vAlign w:val="center"/>
          </w:tcPr>
          <w:p>
            <w:pPr>
              <w:widowControl w:val="0"/>
              <w:snapToGrid w:val="0"/>
              <w:spacing w:after="0" w:line="240" w:lineRule="auto"/>
              <w:ind w:left="0" w:right="0" w:firstLine="0"/>
              <w:jc w:val="right"/>
              <w:rPr>
                <w:rFonts w:ascii="Times New Roman" w:hAnsi="Times New Roman" w:cs="Times New Roman"/>
                <w:b/>
                <w:bCs/>
                <w:color w:val="auto"/>
                <w:kern w:val="0"/>
                <w:sz w:val="20"/>
                <w:szCs w:val="20"/>
              </w:rPr>
            </w:pPr>
            <w:r>
              <w:rPr>
                <w:rFonts w:ascii="Times New Roman" w:hAnsi="Times New Roman" w:cs="Times New Roman"/>
                <w:b/>
                <w:bCs/>
                <w:color w:val="auto"/>
                <w:kern w:val="0"/>
                <w:sz w:val="20"/>
                <w:szCs w:val="20"/>
              </w:rPr>
              <w:t>884,426,270.38</w:t>
            </w:r>
          </w:p>
        </w:tc>
        <w:tc>
          <w:tcPr>
            <w:tcW w:w="1495" w:type="dxa"/>
            <w:vAlign w:val="center"/>
          </w:tcPr>
          <w:p>
            <w:pPr>
              <w:widowControl w:val="0"/>
              <w:snapToGrid w:val="0"/>
              <w:spacing w:after="0" w:line="240" w:lineRule="auto"/>
              <w:ind w:left="0" w:right="0" w:firstLine="0"/>
              <w:jc w:val="right"/>
              <w:rPr>
                <w:rFonts w:ascii="Times New Roman" w:hAnsi="Times New Roman" w:cs="Times New Roman"/>
                <w:b/>
                <w:bCs/>
                <w:color w:val="auto"/>
                <w:kern w:val="0"/>
                <w:sz w:val="20"/>
                <w:szCs w:val="20"/>
              </w:rPr>
            </w:pPr>
            <w:r>
              <w:rPr>
                <w:rFonts w:ascii="Times New Roman" w:hAnsi="Times New Roman" w:cs="Times New Roman"/>
                <w:b/>
                <w:bCs/>
                <w:color w:val="auto"/>
                <w:kern w:val="0"/>
                <w:sz w:val="20"/>
                <w:szCs w:val="20"/>
              </w:rPr>
              <w:t>294,679,967.55</w:t>
            </w:r>
          </w:p>
        </w:tc>
        <w:tc>
          <w:tcPr>
            <w:tcW w:w="1379" w:type="dxa"/>
            <w:vAlign w:val="center"/>
          </w:tcPr>
          <w:p>
            <w:pPr>
              <w:widowControl w:val="0"/>
              <w:snapToGrid w:val="0"/>
              <w:spacing w:after="0" w:line="240" w:lineRule="auto"/>
              <w:ind w:left="0" w:right="0" w:firstLine="0"/>
              <w:jc w:val="right"/>
              <w:rPr>
                <w:rFonts w:hint="eastAsia" w:ascii="Times New Roman" w:hAnsi="Times New Roman" w:cs="Times New Roman" w:eastAsiaTheme="minorEastAsia"/>
                <w:b/>
                <w:bCs/>
                <w:color w:val="auto"/>
                <w:kern w:val="0"/>
                <w:sz w:val="20"/>
                <w:szCs w:val="20"/>
                <w:lang w:val="en-US" w:eastAsia="zh-CN"/>
              </w:rPr>
            </w:pPr>
            <w:r>
              <w:rPr>
                <w:rFonts w:hint="eastAsia" w:ascii="Times New Roman" w:hAnsi="Times New Roman" w:cs="Times New Roman"/>
                <w:b/>
                <w:bCs/>
                <w:color w:val="auto"/>
                <w:kern w:val="0"/>
                <w:sz w:val="20"/>
                <w:szCs w:val="20"/>
                <w:lang w:val="en-US" w:eastAsia="zh-CN"/>
              </w:rPr>
              <w:t>-</w:t>
            </w:r>
          </w:p>
        </w:tc>
      </w:tr>
    </w:tbl>
    <w:p>
      <w:pPr>
        <w:adjustRightInd w:val="0"/>
        <w:snapToGrid w:val="0"/>
        <w:spacing w:line="560" w:lineRule="exact"/>
        <w:ind w:firstLine="482" w:firstLineChars="200"/>
        <w:rPr>
          <w:rFonts w:hint="eastAsia" w:ascii="宋体" w:hAnsi="宋体" w:eastAsia="宋体"/>
          <w:b/>
          <w:bCs/>
          <w:color w:val="000000"/>
          <w:sz w:val="24"/>
          <w:szCs w:val="24"/>
        </w:rPr>
      </w:pPr>
      <w:r>
        <w:rPr>
          <w:rFonts w:hint="eastAsia" w:ascii="宋体" w:hAnsi="宋体" w:eastAsia="宋体"/>
          <w:b/>
          <w:bCs/>
          <w:color w:val="000000"/>
          <w:sz w:val="24"/>
          <w:szCs w:val="24"/>
        </w:rPr>
        <w:t>四、本次使用暂时闲置募集资金进行现金管理的基本情况</w:t>
      </w:r>
    </w:p>
    <w:p>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1、投资目的</w:t>
      </w:r>
    </w:p>
    <w:p>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由于募投项目建设需要一定周期，公司的募集资金存在暂时闲置的情形。为提高公司闲置募集资金使用效率，在确保日常经营资金需求和资金安全的前提下，公司拟利用闲置募集资金进行现金管理，以增加公司资金收益。</w:t>
      </w:r>
    </w:p>
    <w:p>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2、资金来源及额度</w:t>
      </w:r>
    </w:p>
    <w:p>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公司拟使用合计最高额不超过29,000万元的暂时闲置募集资金进行现金管理，并于到期后归还至募集资金专用账户。</w:t>
      </w:r>
    </w:p>
    <w:p>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3、投资范围</w:t>
      </w:r>
    </w:p>
    <w:p>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为控制风险，公司拟使用暂时闲置募集资金购买安全性高、流动性好、具有合法经营资格的金融机构销售的投资产品（包括协定存款、定期存款、通知存款、大额存单、结构性存款、收益凭证等）。投资产品不得用于质押，公司不得使用上述资金从事以证券投资为目的的投资行为。</w:t>
      </w:r>
    </w:p>
    <w:p>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4、投资期限</w:t>
      </w:r>
    </w:p>
    <w:p>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自董事会审议通过之日至2024年12月31日止，在上述额度在有效期限内，公司可循环滚动使用。</w:t>
      </w:r>
    </w:p>
    <w:p>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5、实施方式</w:t>
      </w:r>
    </w:p>
    <w:p>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在上述投资额度和期限范围内，授权总经理行使投资决策并签署相关合同文件，包括但不限于：选择合格的金融机构、投资产品品种、明确投资金额、投资期限、签署合同或协议等。公司财务部门负责具体组织实施，并建立投资台账。</w:t>
      </w:r>
    </w:p>
    <w:p>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公司购买的现金管理产品不得用于质押，产品专用结算账户不得存放非募集资金或用作其他用途。</w:t>
      </w:r>
    </w:p>
    <w:p>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6、信息披露</w:t>
      </w:r>
    </w:p>
    <w:p>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公司将根据《上海证券交易所股票上市规则》《上市公司监管指引第2号—上市公司募集资金管理和使用的监管要求》等相关法规和规范性文件的要求，及时履行信息披露义务。</w:t>
      </w:r>
    </w:p>
    <w:p>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7、关联关系说明</w:t>
      </w:r>
    </w:p>
    <w:p>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公司与拟购买的现金管理产品的发行主体不得存在关联关系。</w:t>
      </w:r>
    </w:p>
    <w:p>
      <w:pPr>
        <w:adjustRightInd w:val="0"/>
        <w:snapToGrid w:val="0"/>
        <w:spacing w:line="560" w:lineRule="exact"/>
        <w:ind w:firstLine="482" w:firstLineChars="200"/>
        <w:rPr>
          <w:rFonts w:hint="eastAsia" w:ascii="宋体" w:hAnsi="宋体" w:eastAsia="宋体"/>
          <w:b/>
          <w:bCs/>
          <w:color w:val="000000"/>
          <w:sz w:val="24"/>
          <w:szCs w:val="24"/>
        </w:rPr>
      </w:pPr>
      <w:r>
        <w:rPr>
          <w:rFonts w:hint="eastAsia" w:ascii="宋体" w:hAnsi="宋体" w:eastAsia="宋体"/>
          <w:b/>
          <w:bCs/>
          <w:color w:val="000000"/>
          <w:sz w:val="24"/>
          <w:szCs w:val="24"/>
        </w:rPr>
        <w:t>五、对上市公司的影响</w:t>
      </w:r>
    </w:p>
    <w:p>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公司本次拟使用暂时闲置募集资金进行现金管理是根据公司经营发展和财务状况，在确保公司募投项目所需资金和保证募集资金安全的前提下进行的，履行了必要的法定程序，有助于提高募集资金使用效率，不影响公司主营业务的正常发展，不影响募集资金项目的正常进行，不存在变相改变募集资金用途的行为。</w:t>
      </w:r>
    </w:p>
    <w:p>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公司使用部分暂时闲置募集资金进行现金管理有利于提高资金使用效率，能够为公司和股东谋取良好的投资回报。</w:t>
      </w:r>
    </w:p>
    <w:p>
      <w:pPr>
        <w:adjustRightInd w:val="0"/>
        <w:snapToGrid w:val="0"/>
        <w:spacing w:line="560" w:lineRule="exact"/>
        <w:ind w:firstLine="482" w:firstLineChars="200"/>
        <w:rPr>
          <w:rFonts w:hint="eastAsia" w:ascii="宋体" w:hAnsi="宋体" w:eastAsia="宋体"/>
          <w:b/>
          <w:bCs/>
          <w:color w:val="000000"/>
          <w:sz w:val="24"/>
          <w:szCs w:val="24"/>
        </w:rPr>
      </w:pPr>
      <w:r>
        <w:rPr>
          <w:rFonts w:hint="eastAsia" w:ascii="宋体" w:hAnsi="宋体" w:eastAsia="宋体"/>
          <w:b/>
          <w:bCs/>
          <w:color w:val="000000"/>
          <w:sz w:val="24"/>
          <w:szCs w:val="24"/>
        </w:rPr>
        <w:t>六、风险控制措施</w:t>
      </w:r>
    </w:p>
    <w:p>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（一）投资风险</w:t>
      </w:r>
    </w:p>
    <w:p>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尽管公司拟投资安全性高、流动性好的现金管理产品，总体风险可控，但该类产品受货币政策等宏观经济政策的影响较大，公司将根据经济形势以及金融市场的变化适时适量介入，但不排除该项投资收益受到市场波动的影响，存在一定的系统性风险。</w:t>
      </w:r>
    </w:p>
    <w:p>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（二）风险控制措施</w:t>
      </w:r>
    </w:p>
    <w:p>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公司按照决策、执行、监督职能相分离的原则建立健全现金管理的审批和执行程序，确保购买事宜的有效开展和规范运行，确保资金安全。拟采取的具体措施如下：</w:t>
      </w:r>
    </w:p>
    <w:p>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1、公司财务部门相关人员将及时分析和跟踪所投资产品的投向、项目进展情况，如评估发现存在可能影响公司资金安全的风险因素，将及时采取相应的措施，控制投资风险。</w:t>
      </w:r>
    </w:p>
    <w:p>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2、公司审计部门负责对资金的使用与保管情况进行审计与监督。</w:t>
      </w:r>
    </w:p>
    <w:p>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3、独立董事、监事会有权对资金使用情况进行监督与检查，必要时可以聘请专业机构进行审计。</w:t>
      </w:r>
    </w:p>
    <w:p>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4、公司财务部门必须建立台账对购买的现金管理产品进行管理，建立健全会计账目，做好资金使用的账务核算工作。</w:t>
      </w:r>
    </w:p>
    <w:p>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5、公司将依据上海证券交易所的相关规定，履行信息披露义务。</w:t>
      </w:r>
    </w:p>
    <w:p>
      <w:pPr>
        <w:pStyle w:val="2"/>
        <w:rPr>
          <w:rFonts w:hAnsi="宋体"/>
        </w:rPr>
      </w:pPr>
    </w:p>
    <w:p>
      <w:pPr>
        <w:adjustRightInd w:val="0"/>
        <w:snapToGrid w:val="0"/>
        <w:spacing w:line="360" w:lineRule="auto"/>
        <w:ind w:firstLine="482" w:firstLineChars="200"/>
        <w:outlineLvl w:val="0"/>
        <w:rPr>
          <w:rFonts w:ascii="宋体" w:hAnsi="宋体" w:eastAsia="宋体"/>
          <w:b/>
          <w:sz w:val="24"/>
          <w:szCs w:val="24"/>
        </w:rPr>
      </w:pPr>
      <w:r>
        <w:rPr>
          <w:rFonts w:hint="eastAsia" w:ascii="宋体" w:hAnsi="宋体" w:eastAsia="宋体"/>
          <w:b/>
          <w:sz w:val="24"/>
          <w:szCs w:val="24"/>
        </w:rPr>
        <w:t>七、专项意见说明</w:t>
      </w:r>
    </w:p>
    <w:p>
      <w:pPr>
        <w:adjustRightInd w:val="0"/>
        <w:snapToGrid w:val="0"/>
        <w:spacing w:line="360" w:lineRule="auto"/>
        <w:ind w:firstLine="480" w:firstLineChars="200"/>
        <w:outlineLvl w:val="1"/>
        <w:rPr>
          <w:rFonts w:ascii="宋体" w:hAnsi="宋体" w:eastAsia="宋体"/>
          <w:sz w:val="24"/>
          <w:szCs w:val="24"/>
        </w:rPr>
      </w:pPr>
      <w:r>
        <w:rPr>
          <w:rFonts w:hint="eastAsia" w:ascii="宋体" w:hAnsi="宋体" w:eastAsia="宋体"/>
          <w:sz w:val="24"/>
          <w:szCs w:val="24"/>
        </w:rPr>
        <w:t>（一）监事会意见</w:t>
      </w:r>
    </w:p>
    <w:p>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监事会认为：为提高资金使用效率，合理利用闲置募集资金，在确保不变相改变募集资金用途与不影响募集资金投资项目正常运行的情况下，公司拟使用合计最高额不超过29,000万元的暂时闲置募集资金进行现金管理，使用期限自董事会审议通过之日至2024年12月31日止，在上述额度及有效期限内，公司可循环滚动使用。同意《关于使用暂时闲置募集资金进行现金管理的议案》。</w:t>
      </w:r>
    </w:p>
    <w:p>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（二）保荐机构核查意见</w:t>
      </w:r>
    </w:p>
    <w:p>
      <w:pPr>
        <w:adjustRightInd w:val="0"/>
        <w:snapToGrid w:val="0"/>
        <w:spacing w:line="560" w:lineRule="exact"/>
        <w:ind w:firstLine="480" w:firstLineChars="200"/>
        <w:rPr>
          <w:rFonts w:hint="eastAsia" w:ascii="宋体" w:hAnsi="宋体" w:eastAsia="宋体"/>
          <w:color w:val="000000"/>
          <w:sz w:val="24"/>
          <w:szCs w:val="24"/>
        </w:rPr>
      </w:pPr>
      <w:r>
        <w:rPr>
          <w:rFonts w:hint="eastAsia" w:ascii="宋体" w:hAnsi="宋体" w:eastAsia="宋体"/>
          <w:color w:val="000000"/>
          <w:sz w:val="24"/>
          <w:szCs w:val="24"/>
        </w:rPr>
        <w:t>保荐机构核查意见：公司使用暂时闲置募集资金进行现金管理的事项已经公司董事会、监事会审议通过，履行了必要的法律程序。该事项符合《上市公司监管指引第2号—上市公司募集资金管理和使用的监管要求》以及公司《募集资金管理制度》的相关规定，不存在变相改变募集资金用途的情况，不会影响公司募集资金投资项目的正常实施；在不影响募集资金使用的前提下，有利于提高资金使用效率，能够为公司和股东谋取良好的投资回报。保荐机构对公司本次使用暂时闲置募集资金进行现金管理的事项无异议。</w:t>
      </w:r>
    </w:p>
    <w:p>
      <w:pPr>
        <w:adjustRightInd w:val="0"/>
        <w:snapToGrid w:val="0"/>
        <w:spacing w:line="560" w:lineRule="exact"/>
        <w:ind w:firstLine="960" w:firstLineChars="400"/>
        <w:rPr>
          <w:rFonts w:ascii="宋体" w:hAnsi="宋体" w:eastAsia="宋体"/>
          <w:color w:val="000000"/>
          <w:sz w:val="24"/>
          <w:szCs w:val="24"/>
        </w:rPr>
      </w:pPr>
      <w:r>
        <w:rPr>
          <w:rFonts w:hint="eastAsia" w:ascii="宋体" w:hAnsi="宋体" w:eastAsia="宋体"/>
          <w:color w:val="000000"/>
          <w:sz w:val="24"/>
          <w:szCs w:val="24"/>
        </w:rPr>
        <w:t>特此公告。</w:t>
      </w:r>
    </w:p>
    <w:p>
      <w:pPr>
        <w:adjustRightInd w:val="0"/>
        <w:snapToGrid w:val="0"/>
        <w:spacing w:line="560" w:lineRule="exact"/>
        <w:ind w:firstLine="480" w:firstLineChars="200"/>
        <w:rPr>
          <w:rFonts w:ascii="宋体" w:hAnsi="宋体" w:eastAsia="宋体"/>
          <w:color w:val="000000"/>
          <w:sz w:val="24"/>
          <w:szCs w:val="24"/>
        </w:rPr>
      </w:pPr>
    </w:p>
    <w:p>
      <w:pPr>
        <w:adjustRightInd w:val="0"/>
        <w:snapToGrid w:val="0"/>
        <w:spacing w:line="560" w:lineRule="exact"/>
        <w:ind w:firstLine="480" w:firstLineChars="200"/>
        <w:jc w:val="right"/>
        <w:rPr>
          <w:rFonts w:ascii="宋体" w:hAnsi="宋体" w:eastAsia="宋体"/>
          <w:color w:val="000000"/>
          <w:sz w:val="24"/>
          <w:szCs w:val="24"/>
        </w:rPr>
      </w:pPr>
      <w:r>
        <w:rPr>
          <w:rFonts w:hint="eastAsia" w:ascii="宋体" w:hAnsi="宋体" w:eastAsia="宋体" w:cs="宋体"/>
          <w:color w:val="000000"/>
          <w:kern w:val="0"/>
          <w:sz w:val="24"/>
          <w:szCs w:val="24"/>
        </w:rPr>
        <w:t>重庆望变电气（集团）</w:t>
      </w:r>
      <w:r>
        <w:rPr>
          <w:rFonts w:hint="eastAsia" w:ascii="宋体" w:hAnsi="宋体" w:eastAsia="宋体" w:cs="仿宋_GB2312"/>
          <w:color w:val="000000"/>
          <w:sz w:val="24"/>
          <w:szCs w:val="24"/>
        </w:rPr>
        <w:t>股</w:t>
      </w:r>
      <w:r>
        <w:rPr>
          <w:rFonts w:hint="eastAsia" w:ascii="宋体" w:hAnsi="宋体" w:eastAsia="宋体"/>
          <w:color w:val="000000"/>
          <w:sz w:val="24"/>
          <w:szCs w:val="24"/>
        </w:rPr>
        <w:t>份有限公司董事会</w:t>
      </w:r>
    </w:p>
    <w:p>
      <w:pPr>
        <w:adjustRightInd w:val="0"/>
        <w:snapToGrid w:val="0"/>
        <w:spacing w:line="560" w:lineRule="exact"/>
        <w:ind w:firstLine="480" w:firstLineChars="200"/>
        <w:jc w:val="right"/>
        <w:rPr>
          <w:rFonts w:ascii="宋体" w:hAnsi="宋体" w:eastAsia="宋体"/>
          <w:color w:val="000000"/>
          <w:sz w:val="24"/>
          <w:szCs w:val="24"/>
        </w:rPr>
      </w:pPr>
      <w:r>
        <w:rPr>
          <w:rFonts w:ascii="宋体" w:hAnsi="宋体" w:eastAsia="宋体"/>
          <w:color w:val="000000"/>
          <w:sz w:val="24"/>
          <w:szCs w:val="24"/>
        </w:rPr>
        <w:t>2024</w:t>
      </w:r>
      <w:r>
        <w:rPr>
          <w:rFonts w:hint="eastAsia" w:ascii="宋体" w:hAnsi="宋体" w:eastAsia="宋体"/>
          <w:color w:val="000000"/>
          <w:sz w:val="24"/>
          <w:szCs w:val="24"/>
        </w:rPr>
        <w:t>年4月26日</w:t>
      </w:r>
    </w:p>
    <w:p>
      <w:pPr>
        <w:adjustRightInd w:val="0"/>
        <w:snapToGrid w:val="0"/>
        <w:spacing w:line="560" w:lineRule="exact"/>
        <w:rPr>
          <w:rFonts w:ascii="宋体" w:hAnsi="宋体" w:eastAsia="宋体" w:cs="宋体"/>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pPr>
          <w:pStyle w:val="5"/>
          <w:jc w:val="center"/>
        </w:pPr>
        <w:r>
          <w:fldChar w:fldCharType="begin"/>
        </w:r>
        <w:r>
          <w:instrText xml:space="preserve">PAGE   \* MERGEFORMAT</w:instrText>
        </w:r>
        <w:r>
          <w:fldChar w:fldCharType="separate"/>
        </w:r>
        <w:r>
          <w:rPr>
            <w:lang w:val="zh-CN"/>
          </w:rPr>
          <w:t>5</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521827E2"/>
    <w:rsid w:val="000015A1"/>
    <w:rsid w:val="0008555B"/>
    <w:rsid w:val="000857C7"/>
    <w:rsid w:val="000B1A1F"/>
    <w:rsid w:val="000B726B"/>
    <w:rsid w:val="000E46E0"/>
    <w:rsid w:val="00123266"/>
    <w:rsid w:val="00127276"/>
    <w:rsid w:val="00140439"/>
    <w:rsid w:val="0014777F"/>
    <w:rsid w:val="001723E5"/>
    <w:rsid w:val="00192BD0"/>
    <w:rsid w:val="001A727A"/>
    <w:rsid w:val="001A7942"/>
    <w:rsid w:val="001C1AC8"/>
    <w:rsid w:val="001D06CF"/>
    <w:rsid w:val="001D18AD"/>
    <w:rsid w:val="00207B64"/>
    <w:rsid w:val="00225FE6"/>
    <w:rsid w:val="00240088"/>
    <w:rsid w:val="002462D5"/>
    <w:rsid w:val="00252550"/>
    <w:rsid w:val="002D6C0D"/>
    <w:rsid w:val="0032463B"/>
    <w:rsid w:val="00347CA1"/>
    <w:rsid w:val="003571E3"/>
    <w:rsid w:val="00391A1B"/>
    <w:rsid w:val="003D1F6B"/>
    <w:rsid w:val="003E38F1"/>
    <w:rsid w:val="003F1451"/>
    <w:rsid w:val="00425BF0"/>
    <w:rsid w:val="00433901"/>
    <w:rsid w:val="00464AFC"/>
    <w:rsid w:val="00491096"/>
    <w:rsid w:val="004A204F"/>
    <w:rsid w:val="004A790E"/>
    <w:rsid w:val="004B5841"/>
    <w:rsid w:val="004D041E"/>
    <w:rsid w:val="004D0E8E"/>
    <w:rsid w:val="004D4AAB"/>
    <w:rsid w:val="00522BE2"/>
    <w:rsid w:val="005429C2"/>
    <w:rsid w:val="0055216A"/>
    <w:rsid w:val="005704F4"/>
    <w:rsid w:val="005A2954"/>
    <w:rsid w:val="005B7B64"/>
    <w:rsid w:val="005F61E9"/>
    <w:rsid w:val="006150E2"/>
    <w:rsid w:val="00637BC1"/>
    <w:rsid w:val="00646D1E"/>
    <w:rsid w:val="006704CD"/>
    <w:rsid w:val="006E4DD1"/>
    <w:rsid w:val="006F53AF"/>
    <w:rsid w:val="006F5503"/>
    <w:rsid w:val="00701AEA"/>
    <w:rsid w:val="00726F44"/>
    <w:rsid w:val="0077799F"/>
    <w:rsid w:val="00795CF5"/>
    <w:rsid w:val="007A61FA"/>
    <w:rsid w:val="007B073D"/>
    <w:rsid w:val="007B1916"/>
    <w:rsid w:val="007C3FFA"/>
    <w:rsid w:val="00811F4F"/>
    <w:rsid w:val="008320FC"/>
    <w:rsid w:val="00832A0F"/>
    <w:rsid w:val="0084121D"/>
    <w:rsid w:val="008E2655"/>
    <w:rsid w:val="008F3AB1"/>
    <w:rsid w:val="0090186C"/>
    <w:rsid w:val="00906FA1"/>
    <w:rsid w:val="00915D39"/>
    <w:rsid w:val="00923C08"/>
    <w:rsid w:val="00947C32"/>
    <w:rsid w:val="009B47DE"/>
    <w:rsid w:val="009D1A30"/>
    <w:rsid w:val="009E3152"/>
    <w:rsid w:val="009E3407"/>
    <w:rsid w:val="00A059A1"/>
    <w:rsid w:val="00A11663"/>
    <w:rsid w:val="00A11AA1"/>
    <w:rsid w:val="00A15569"/>
    <w:rsid w:val="00A3299E"/>
    <w:rsid w:val="00A41121"/>
    <w:rsid w:val="00A51C23"/>
    <w:rsid w:val="00A823F8"/>
    <w:rsid w:val="00AC22AE"/>
    <w:rsid w:val="00AC3419"/>
    <w:rsid w:val="00AE6C4E"/>
    <w:rsid w:val="00AF36B4"/>
    <w:rsid w:val="00AF6E63"/>
    <w:rsid w:val="00B6730B"/>
    <w:rsid w:val="00B9137C"/>
    <w:rsid w:val="00B950AB"/>
    <w:rsid w:val="00BB61B6"/>
    <w:rsid w:val="00BC233A"/>
    <w:rsid w:val="00BD4D0F"/>
    <w:rsid w:val="00BF7BDB"/>
    <w:rsid w:val="00C13691"/>
    <w:rsid w:val="00C14637"/>
    <w:rsid w:val="00C47186"/>
    <w:rsid w:val="00C76A66"/>
    <w:rsid w:val="00C80E82"/>
    <w:rsid w:val="00CB781A"/>
    <w:rsid w:val="00CD5091"/>
    <w:rsid w:val="00CE1271"/>
    <w:rsid w:val="00D01967"/>
    <w:rsid w:val="00D4059C"/>
    <w:rsid w:val="00D42972"/>
    <w:rsid w:val="00D45861"/>
    <w:rsid w:val="00D46F41"/>
    <w:rsid w:val="00D613FF"/>
    <w:rsid w:val="00D65BA4"/>
    <w:rsid w:val="00D8189C"/>
    <w:rsid w:val="00D96175"/>
    <w:rsid w:val="00DB744D"/>
    <w:rsid w:val="00DD62E6"/>
    <w:rsid w:val="00DF73E8"/>
    <w:rsid w:val="00E301F1"/>
    <w:rsid w:val="00E558AE"/>
    <w:rsid w:val="00E71A70"/>
    <w:rsid w:val="00E95F43"/>
    <w:rsid w:val="00E976BD"/>
    <w:rsid w:val="00EC496E"/>
    <w:rsid w:val="00EE084C"/>
    <w:rsid w:val="00F0268C"/>
    <w:rsid w:val="00F0742F"/>
    <w:rsid w:val="00F229F1"/>
    <w:rsid w:val="00F450F3"/>
    <w:rsid w:val="00F670DD"/>
    <w:rsid w:val="00FA5504"/>
    <w:rsid w:val="00FB78EE"/>
    <w:rsid w:val="00FE6306"/>
    <w:rsid w:val="00FF7741"/>
    <w:rsid w:val="11405265"/>
    <w:rsid w:val="12F56C57"/>
    <w:rsid w:val="15B50403"/>
    <w:rsid w:val="19A44770"/>
    <w:rsid w:val="1E581FEF"/>
    <w:rsid w:val="1FE74C8E"/>
    <w:rsid w:val="21B374E9"/>
    <w:rsid w:val="22091C70"/>
    <w:rsid w:val="22BD192C"/>
    <w:rsid w:val="22F05680"/>
    <w:rsid w:val="23165EFA"/>
    <w:rsid w:val="258465FA"/>
    <w:rsid w:val="2916738A"/>
    <w:rsid w:val="2DB497F8"/>
    <w:rsid w:val="3085722D"/>
    <w:rsid w:val="31CD42F6"/>
    <w:rsid w:val="342F295E"/>
    <w:rsid w:val="3EF00E78"/>
    <w:rsid w:val="3F7F54F7"/>
    <w:rsid w:val="417A619E"/>
    <w:rsid w:val="49307E26"/>
    <w:rsid w:val="5150387B"/>
    <w:rsid w:val="521827E2"/>
    <w:rsid w:val="52932FE4"/>
    <w:rsid w:val="54CA7B2B"/>
    <w:rsid w:val="63D972B3"/>
    <w:rsid w:val="65DE0270"/>
    <w:rsid w:val="6FFF471A"/>
    <w:rsid w:val="738726DB"/>
    <w:rsid w:val="74E044A9"/>
    <w:rsid w:val="77D11EA6"/>
    <w:rsid w:val="7CA750A8"/>
    <w:rsid w:val="7D6D9934"/>
    <w:rsid w:val="7E78641A"/>
    <w:rsid w:val="B7FF91EE"/>
    <w:rsid w:val="BAF79ADF"/>
    <w:rsid w:val="F7BE7F37"/>
    <w:rsid w:val="FC57C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annotation text"/>
    <w:basedOn w:val="1"/>
    <w:link w:val="17"/>
    <w:autoRedefine/>
    <w:qFormat/>
    <w:uiPriority w:val="0"/>
    <w:pPr>
      <w:jc w:val="left"/>
    </w:pPr>
  </w:style>
  <w:style w:type="paragraph" w:styleId="4">
    <w:name w:val="Balloon Text"/>
    <w:basedOn w:val="1"/>
    <w:link w:val="16"/>
    <w:autoRedefine/>
    <w:qFormat/>
    <w:uiPriority w:val="0"/>
    <w:rPr>
      <w:sz w:val="18"/>
      <w:szCs w:val="18"/>
    </w:rPr>
  </w:style>
  <w:style w:type="paragraph" w:styleId="5">
    <w:name w:val="footer"/>
    <w:basedOn w:val="1"/>
    <w:link w:val="14"/>
    <w:autoRedefine/>
    <w:qFormat/>
    <w:uiPriority w:val="99"/>
    <w:pPr>
      <w:tabs>
        <w:tab w:val="center" w:pos="4153"/>
        <w:tab w:val="right" w:pos="8306"/>
      </w:tabs>
      <w:snapToGrid w:val="0"/>
      <w:jc w:val="left"/>
    </w:pPr>
    <w:rPr>
      <w:sz w:val="18"/>
      <w:szCs w:val="18"/>
    </w:rPr>
  </w:style>
  <w:style w:type="paragraph" w:styleId="6">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autoRedefine/>
    <w:qFormat/>
    <w:uiPriority w:val="10"/>
    <w:pPr>
      <w:spacing w:before="240" w:after="60"/>
      <w:jc w:val="center"/>
      <w:outlineLvl w:val="0"/>
    </w:pPr>
    <w:rPr>
      <w:rFonts w:eastAsia="宋体" w:asciiTheme="majorHAnsi" w:hAnsiTheme="majorHAnsi" w:cstheme="majorBidi"/>
      <w:b/>
      <w:bCs/>
      <w:sz w:val="30"/>
      <w:szCs w:val="32"/>
    </w:rPr>
  </w:style>
  <w:style w:type="paragraph" w:styleId="8">
    <w:name w:val="annotation subject"/>
    <w:basedOn w:val="3"/>
    <w:next w:val="3"/>
    <w:link w:val="18"/>
    <w:autoRedefine/>
    <w:qFormat/>
    <w:uiPriority w:val="0"/>
    <w:rPr>
      <w:b/>
      <w:bCs/>
    </w:rPr>
  </w:style>
  <w:style w:type="character" w:styleId="11">
    <w:name w:val="Hyperlink"/>
    <w:basedOn w:val="10"/>
    <w:autoRedefine/>
    <w:unhideWhenUsed/>
    <w:qFormat/>
    <w:uiPriority w:val="0"/>
    <w:rPr>
      <w:color w:val="0563C1" w:themeColor="hyperlink"/>
      <w:u w:val="single"/>
      <w14:textFill>
        <w14:solidFill>
          <w14:schemeClr w14:val="hlink"/>
        </w14:solidFill>
      </w14:textFill>
    </w:rPr>
  </w:style>
  <w:style w:type="character" w:styleId="12">
    <w:name w:val="annotation reference"/>
    <w:basedOn w:val="10"/>
    <w:autoRedefine/>
    <w:qFormat/>
    <w:uiPriority w:val="0"/>
    <w:rPr>
      <w:sz w:val="21"/>
      <w:szCs w:val="21"/>
    </w:rPr>
  </w:style>
  <w:style w:type="character" w:customStyle="1" w:styleId="13">
    <w:name w:val="页眉 字符"/>
    <w:basedOn w:val="10"/>
    <w:link w:val="6"/>
    <w:autoRedefine/>
    <w:qFormat/>
    <w:uiPriority w:val="0"/>
    <w:rPr>
      <w:kern w:val="2"/>
      <w:sz w:val="18"/>
      <w:szCs w:val="18"/>
    </w:rPr>
  </w:style>
  <w:style w:type="character" w:customStyle="1" w:styleId="14">
    <w:name w:val="页脚 字符"/>
    <w:basedOn w:val="10"/>
    <w:link w:val="5"/>
    <w:autoRedefine/>
    <w:qFormat/>
    <w:uiPriority w:val="99"/>
    <w:rPr>
      <w:kern w:val="2"/>
      <w:sz w:val="18"/>
      <w:szCs w:val="18"/>
    </w:rPr>
  </w:style>
  <w:style w:type="paragraph" w:styleId="15">
    <w:name w:val="List Paragraph"/>
    <w:basedOn w:val="1"/>
    <w:autoRedefine/>
    <w:qFormat/>
    <w:uiPriority w:val="34"/>
    <w:pPr>
      <w:ind w:firstLine="420" w:firstLineChars="200"/>
    </w:pPr>
    <w:rPr>
      <w:rFonts w:ascii="Calibri" w:hAnsi="Calibri" w:eastAsia="宋体" w:cs="Times New Roman"/>
    </w:rPr>
  </w:style>
  <w:style w:type="character" w:customStyle="1" w:styleId="16">
    <w:name w:val="批注框文本 字符"/>
    <w:basedOn w:val="10"/>
    <w:link w:val="4"/>
    <w:autoRedefine/>
    <w:qFormat/>
    <w:uiPriority w:val="0"/>
    <w:rPr>
      <w:kern w:val="2"/>
      <w:sz w:val="18"/>
      <w:szCs w:val="18"/>
    </w:rPr>
  </w:style>
  <w:style w:type="character" w:customStyle="1" w:styleId="17">
    <w:name w:val="批注文字 字符"/>
    <w:basedOn w:val="10"/>
    <w:link w:val="3"/>
    <w:autoRedefine/>
    <w:qFormat/>
    <w:uiPriority w:val="0"/>
    <w:rPr>
      <w:kern w:val="2"/>
      <w:sz w:val="21"/>
      <w:szCs w:val="22"/>
    </w:rPr>
  </w:style>
  <w:style w:type="character" w:customStyle="1" w:styleId="18">
    <w:name w:val="批注主题 字符"/>
    <w:basedOn w:val="17"/>
    <w:link w:val="8"/>
    <w:autoRedefine/>
    <w:qFormat/>
    <w:uiPriority w:val="0"/>
    <w:rPr>
      <w:b/>
      <w:bCs/>
      <w:kern w:val="2"/>
      <w:sz w:val="21"/>
      <w:szCs w:val="22"/>
    </w:rPr>
  </w:style>
  <w:style w:type="paragraph" w:customStyle="1" w:styleId="1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507</Words>
  <Characters>2895</Characters>
  <Lines>24</Lines>
  <Paragraphs>6</Paragraphs>
  <TotalTime>7</TotalTime>
  <ScaleCrop>false</ScaleCrop>
  <LinksUpToDate>false</LinksUpToDate>
  <CharactersWithSpaces>3396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2024-04-16T19:44:00Z</dcterms:created>
  <dc:creator>BJB-ZB-03</dc:creator>
  <cp:lastModifiedBy>Y.    Miss</cp:lastModifiedBy>
  <dcterms:modified xsi:type="dcterms:W3CDTF">2024-04-25T05:34:53Z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281D4D4CAC58563687EC1C6640D9C59C_43</vt:lpwstr>
  </property>
</Properties>
</file>