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ED8" w:rsidRDefault="00467390">
      <w:pPr>
        <w:adjustRightInd w:val="0"/>
        <w:snapToGrid w:val="0"/>
        <w:spacing w:line="560" w:lineRule="exact"/>
        <w:jc w:val="left"/>
        <w:rPr>
          <w:rFonts w:ascii="仿宋" w:eastAsia="宋体" w:hAnsi="仿宋"/>
          <w:sz w:val="30"/>
          <w:szCs w:val="30"/>
        </w:rPr>
      </w:pPr>
      <w:bookmarkStart w:id="0" w:name="_GoBack"/>
      <w:bookmarkEnd w:id="0"/>
      <w:r>
        <w:rPr>
          <w:rFonts w:ascii="宋体" w:eastAsia="宋体" w:hAnsi="宋体" w:hint="eastAsia"/>
          <w:b/>
          <w:sz w:val="24"/>
          <w:szCs w:val="24"/>
        </w:rPr>
        <w:t>证券代码：</w:t>
      </w:r>
      <w:r>
        <w:rPr>
          <w:rFonts w:ascii="宋体" w:eastAsia="宋体" w:hAnsi="宋体"/>
          <w:b/>
          <w:sz w:val="24"/>
          <w:szCs w:val="24"/>
        </w:rPr>
        <w:t xml:space="preserve">603191        </w:t>
      </w:r>
      <w:r>
        <w:rPr>
          <w:rFonts w:ascii="宋体" w:eastAsia="宋体" w:hAnsi="宋体" w:hint="eastAsia"/>
          <w:b/>
          <w:sz w:val="24"/>
          <w:szCs w:val="24"/>
        </w:rPr>
        <w:t>证券简称：</w:t>
      </w:r>
      <w:proofErr w:type="gramStart"/>
      <w:r>
        <w:rPr>
          <w:rFonts w:ascii="宋体" w:eastAsia="宋体" w:hAnsi="宋体" w:hint="eastAsia"/>
          <w:b/>
          <w:sz w:val="24"/>
          <w:szCs w:val="24"/>
        </w:rPr>
        <w:t>望变电气</w:t>
      </w:r>
      <w:proofErr w:type="gramEnd"/>
      <w:r>
        <w:rPr>
          <w:rFonts w:ascii="宋体" w:eastAsia="宋体" w:hAnsi="宋体" w:hint="eastAsia"/>
          <w:b/>
          <w:sz w:val="24"/>
          <w:szCs w:val="24"/>
        </w:rPr>
        <w:t xml:space="preserve"> </w:t>
      </w:r>
      <w:r>
        <w:rPr>
          <w:rFonts w:ascii="宋体" w:eastAsia="宋体" w:hAnsi="宋体"/>
          <w:b/>
          <w:sz w:val="24"/>
          <w:szCs w:val="24"/>
        </w:rPr>
        <w:t xml:space="preserve">       </w:t>
      </w:r>
      <w:r>
        <w:rPr>
          <w:rFonts w:ascii="宋体" w:eastAsia="宋体" w:hAnsi="宋体" w:hint="eastAsia"/>
          <w:b/>
          <w:sz w:val="24"/>
          <w:szCs w:val="24"/>
        </w:rPr>
        <w:t>公告编号：2</w:t>
      </w:r>
      <w:r>
        <w:rPr>
          <w:rFonts w:ascii="宋体" w:eastAsia="宋体" w:hAnsi="宋体"/>
          <w:b/>
          <w:sz w:val="24"/>
          <w:szCs w:val="24"/>
        </w:rPr>
        <w:t>02</w:t>
      </w:r>
      <w:r>
        <w:rPr>
          <w:rFonts w:ascii="宋体" w:eastAsia="宋体" w:hAnsi="宋体" w:hint="eastAsia"/>
          <w:b/>
          <w:sz w:val="24"/>
          <w:szCs w:val="24"/>
        </w:rPr>
        <w:t>4</w:t>
      </w:r>
      <w:r>
        <w:rPr>
          <w:rFonts w:ascii="宋体" w:eastAsia="宋体" w:hAnsi="宋体"/>
          <w:b/>
          <w:sz w:val="24"/>
          <w:szCs w:val="24"/>
        </w:rPr>
        <w:t>-0</w:t>
      </w:r>
      <w:r>
        <w:rPr>
          <w:rFonts w:ascii="宋体" w:eastAsia="宋体" w:hAnsi="宋体" w:hint="eastAsia"/>
          <w:b/>
          <w:sz w:val="24"/>
          <w:szCs w:val="24"/>
        </w:rPr>
        <w:t>22</w:t>
      </w:r>
    </w:p>
    <w:p w:rsidR="004F6ED8" w:rsidRDefault="00467390">
      <w:pPr>
        <w:adjustRightInd w:val="0"/>
        <w:snapToGrid w:val="0"/>
        <w:spacing w:beforeLines="50" w:before="156" w:line="560" w:lineRule="exact"/>
        <w:jc w:val="center"/>
        <w:rPr>
          <w:rFonts w:ascii="宋体" w:eastAsia="宋体" w:hAnsi="宋体" w:cs="仿宋_GB2312"/>
          <w:b/>
          <w:bCs/>
          <w:color w:val="FF0000"/>
          <w:sz w:val="36"/>
          <w:szCs w:val="36"/>
        </w:rPr>
      </w:pPr>
      <w:proofErr w:type="gramStart"/>
      <w:r>
        <w:rPr>
          <w:rFonts w:ascii="宋体" w:eastAsia="宋体" w:hAnsi="宋体" w:cs="仿宋_GB2312" w:hint="eastAsia"/>
          <w:b/>
          <w:bCs/>
          <w:color w:val="FF0000"/>
          <w:sz w:val="36"/>
          <w:szCs w:val="36"/>
        </w:rPr>
        <w:t>重庆望变电气</w:t>
      </w:r>
      <w:proofErr w:type="gramEnd"/>
      <w:r>
        <w:rPr>
          <w:rFonts w:ascii="宋体" w:eastAsia="宋体" w:hAnsi="宋体" w:cs="仿宋_GB2312" w:hint="eastAsia"/>
          <w:b/>
          <w:bCs/>
          <w:color w:val="FF0000"/>
          <w:sz w:val="36"/>
          <w:szCs w:val="36"/>
        </w:rPr>
        <w:t>（集团）股份有限公司</w:t>
      </w:r>
    </w:p>
    <w:p w:rsidR="004F6ED8" w:rsidRDefault="00467390">
      <w:pPr>
        <w:adjustRightInd w:val="0"/>
        <w:snapToGrid w:val="0"/>
        <w:spacing w:beforeLines="50" w:before="156" w:line="560" w:lineRule="exact"/>
        <w:jc w:val="center"/>
        <w:rPr>
          <w:rFonts w:ascii="宋体" w:eastAsia="宋体" w:hAnsi="宋体" w:cs="仿宋_GB2312"/>
          <w:b/>
          <w:bCs/>
          <w:color w:val="FF0000"/>
          <w:sz w:val="36"/>
          <w:szCs w:val="36"/>
        </w:rPr>
      </w:pPr>
      <w:r>
        <w:rPr>
          <w:rFonts w:ascii="宋体" w:eastAsia="宋体" w:hAnsi="宋体" w:cs="仿宋_GB2312" w:hint="eastAsia"/>
          <w:b/>
          <w:bCs/>
          <w:color w:val="FF0000"/>
          <w:sz w:val="36"/>
          <w:szCs w:val="36"/>
        </w:rPr>
        <w:t>关于通过北京产权交易所竞购上海长威与南方资产</w:t>
      </w:r>
    </w:p>
    <w:p w:rsidR="004F6ED8" w:rsidRDefault="00467390">
      <w:pPr>
        <w:adjustRightInd w:val="0"/>
        <w:snapToGrid w:val="0"/>
        <w:spacing w:beforeLines="50" w:before="156" w:line="560" w:lineRule="exact"/>
        <w:jc w:val="center"/>
        <w:rPr>
          <w:rFonts w:ascii="仿宋_GB2312" w:eastAsia="宋体" w:hAnsi="仿宋_GB2312" w:cs="仿宋_GB2312"/>
          <w:b/>
          <w:bCs/>
          <w:color w:val="FF0000"/>
          <w:sz w:val="30"/>
          <w:szCs w:val="30"/>
        </w:rPr>
      </w:pPr>
      <w:r>
        <w:rPr>
          <w:rFonts w:ascii="宋体" w:eastAsia="宋体" w:hAnsi="宋体" w:cs="仿宋_GB2312" w:hint="eastAsia"/>
          <w:b/>
          <w:bCs/>
          <w:color w:val="FF0000"/>
          <w:sz w:val="36"/>
          <w:szCs w:val="36"/>
        </w:rPr>
        <w:t>合计</w:t>
      </w:r>
      <w:proofErr w:type="gramStart"/>
      <w:r>
        <w:rPr>
          <w:rFonts w:ascii="宋体" w:eastAsia="宋体" w:hAnsi="宋体" w:cs="仿宋_GB2312" w:hint="eastAsia"/>
          <w:b/>
          <w:bCs/>
          <w:color w:val="FF0000"/>
          <w:sz w:val="36"/>
          <w:szCs w:val="36"/>
        </w:rPr>
        <w:t>持有云变电气</w:t>
      </w:r>
      <w:proofErr w:type="gramEnd"/>
      <w:r>
        <w:rPr>
          <w:rFonts w:ascii="宋体" w:eastAsia="宋体" w:hAnsi="宋体" w:cs="仿宋_GB2312" w:hint="eastAsia"/>
          <w:b/>
          <w:bCs/>
          <w:color w:val="FF0000"/>
          <w:sz w:val="36"/>
          <w:szCs w:val="36"/>
        </w:rPr>
        <w:t>79.97%股份的进展公告</w:t>
      </w:r>
    </w:p>
    <w:p w:rsidR="004F6ED8" w:rsidRDefault="00467390">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宋体" w:eastAsia="宋体" w:hAnsi="宋体"/>
          <w:color w:val="000000"/>
          <w:sz w:val="24"/>
          <w:szCs w:val="24"/>
        </w:rPr>
      </w:pPr>
      <w:r>
        <w:rPr>
          <w:rFonts w:ascii="仿宋" w:eastAsia="仿宋" w:hAnsi="仿宋" w:hint="eastAsia"/>
          <w:color w:val="000000"/>
          <w:sz w:val="24"/>
          <w:szCs w:val="24"/>
        </w:rPr>
        <w:t>本公司董事会及全体董事保证本公告内容不存在任何虚假记载、误导性陈述或者重大遗漏，并对其内容的真实性、准确性和完整性承担法律责任</w:t>
      </w:r>
      <w:r>
        <w:rPr>
          <w:rFonts w:ascii="宋体" w:eastAsia="宋体" w:hAnsi="宋体" w:hint="eastAsia"/>
          <w:color w:val="000000"/>
          <w:sz w:val="24"/>
          <w:szCs w:val="24"/>
        </w:rPr>
        <w:t>。</w:t>
      </w:r>
    </w:p>
    <w:p w:rsidR="004F6ED8" w:rsidRDefault="004F6ED8">
      <w:pPr>
        <w:autoSpaceDE w:val="0"/>
        <w:autoSpaceDN w:val="0"/>
        <w:adjustRightInd w:val="0"/>
        <w:snapToGrid w:val="0"/>
        <w:spacing w:line="560" w:lineRule="exact"/>
        <w:rPr>
          <w:rFonts w:ascii="仿宋" w:eastAsia="仿宋_GB2312" w:hAnsi="仿宋"/>
          <w:color w:val="000000"/>
          <w:sz w:val="30"/>
          <w:szCs w:val="30"/>
        </w:rPr>
      </w:pPr>
    </w:p>
    <w:p w:rsidR="004F6ED8" w:rsidRDefault="00467390">
      <w:pPr>
        <w:adjustRightInd w:val="0"/>
        <w:snapToGrid w:val="0"/>
        <w:spacing w:line="560" w:lineRule="exact"/>
        <w:ind w:firstLineChars="200" w:firstLine="482"/>
        <w:rPr>
          <w:rFonts w:ascii="宋体" w:eastAsia="宋体" w:hAnsi="宋体" w:cs="宋体"/>
          <w:b/>
          <w:bCs/>
          <w:color w:val="000000"/>
          <w:sz w:val="24"/>
          <w:szCs w:val="24"/>
        </w:rPr>
      </w:pPr>
      <w:r>
        <w:rPr>
          <w:rFonts w:ascii="宋体" w:eastAsia="宋体" w:hAnsi="宋体" w:cs="宋体" w:hint="eastAsia"/>
          <w:b/>
          <w:bCs/>
          <w:color w:val="000000"/>
          <w:sz w:val="24"/>
          <w:szCs w:val="24"/>
        </w:rPr>
        <w:t>一、本次交易概述</w:t>
      </w:r>
    </w:p>
    <w:p w:rsidR="004F6ED8" w:rsidRDefault="00467390">
      <w:pPr>
        <w:pStyle w:val="af8"/>
        <w:rPr>
          <w:lang w:eastAsia="zh-CN"/>
        </w:rPr>
      </w:pPr>
      <w:r>
        <w:rPr>
          <w:rFonts w:hint="eastAsia"/>
          <w:lang w:eastAsia="zh-CN"/>
        </w:rPr>
        <w:t>本次交易对方为上海长威股权投资合伙企业（有限合伙）（以下简称“上海长威”）与南方工业资产管理有限责任公司（以下简称“南方资产”），</w:t>
      </w:r>
      <w:r>
        <w:rPr>
          <w:rFonts w:hint="eastAsia"/>
          <w:spacing w:val="-5"/>
          <w:lang w:eastAsia="zh-CN"/>
        </w:rPr>
        <w:t>交易标的为云南变压器电气股份有限公司（以下简称“云变电气”或“标的企业”）</w:t>
      </w:r>
      <w:r>
        <w:rPr>
          <w:rFonts w:hint="eastAsia"/>
          <w:spacing w:val="-9"/>
          <w:lang w:eastAsia="zh-CN"/>
        </w:rPr>
        <w:t>79.97%股份（以下简称“标的股份”）。2024年2月6日，上海长威与南方资产将其分别持有</w:t>
      </w:r>
      <w:proofErr w:type="gramStart"/>
      <w:r>
        <w:rPr>
          <w:rFonts w:hint="eastAsia"/>
          <w:spacing w:val="-9"/>
          <w:lang w:eastAsia="zh-CN"/>
        </w:rPr>
        <w:t>的云变电气</w:t>
      </w:r>
      <w:proofErr w:type="gramEnd"/>
      <w:r>
        <w:rPr>
          <w:rFonts w:hint="eastAsia"/>
          <w:spacing w:val="-9"/>
          <w:lang w:eastAsia="zh-CN"/>
        </w:rPr>
        <w:t>54.97%与25%</w:t>
      </w:r>
      <w:r>
        <w:rPr>
          <w:rFonts w:hint="eastAsia"/>
          <w:spacing w:val="-6"/>
          <w:lang w:eastAsia="zh-CN"/>
        </w:rPr>
        <w:t>的股份在北京产权交易所（以下简称“北交所”）挂牌交易（项目编号：G32024BJ1000056）</w:t>
      </w:r>
      <w:r>
        <w:rPr>
          <w:rFonts w:hint="eastAsia"/>
          <w:spacing w:val="-64"/>
          <w:lang w:eastAsia="zh-CN"/>
        </w:rPr>
        <w:t>，</w:t>
      </w:r>
      <w:r>
        <w:rPr>
          <w:rFonts w:hint="eastAsia"/>
          <w:spacing w:val="-6"/>
          <w:lang w:eastAsia="zh-CN"/>
        </w:rPr>
        <w:t>公司</w:t>
      </w:r>
      <w:r>
        <w:rPr>
          <w:rFonts w:hint="eastAsia"/>
          <w:spacing w:val="-2"/>
          <w:lang w:eastAsia="zh-CN"/>
        </w:rPr>
        <w:t>拟通过北交所竞购上述上海长威、南方资产合计持有</w:t>
      </w:r>
      <w:proofErr w:type="gramStart"/>
      <w:r>
        <w:rPr>
          <w:rFonts w:hint="eastAsia"/>
          <w:spacing w:val="-2"/>
          <w:lang w:eastAsia="zh-CN"/>
        </w:rPr>
        <w:t>的云变电气</w:t>
      </w:r>
      <w:proofErr w:type="gramEnd"/>
      <w:r>
        <w:rPr>
          <w:rFonts w:hint="eastAsia"/>
          <w:spacing w:val="-2"/>
          <w:lang w:eastAsia="zh-CN"/>
        </w:rPr>
        <w:t>79.97%的股份（以下简称“本次交易”）。</w:t>
      </w:r>
    </w:p>
    <w:p w:rsidR="004F6ED8" w:rsidRDefault="00467390">
      <w:pPr>
        <w:adjustRightInd w:val="0"/>
        <w:snapToGrid w:val="0"/>
        <w:spacing w:line="560" w:lineRule="exact"/>
        <w:ind w:firstLineChars="200" w:firstLine="482"/>
        <w:rPr>
          <w:rFonts w:ascii="宋体" w:eastAsia="宋体" w:hAnsi="宋体" w:cs="宋体"/>
          <w:b/>
          <w:bCs/>
          <w:color w:val="000000"/>
          <w:sz w:val="24"/>
          <w:szCs w:val="24"/>
        </w:rPr>
      </w:pPr>
      <w:r>
        <w:rPr>
          <w:rFonts w:ascii="宋体" w:eastAsia="宋体" w:hAnsi="宋体" w:cs="宋体" w:hint="eastAsia"/>
          <w:b/>
          <w:bCs/>
          <w:color w:val="000000"/>
          <w:sz w:val="24"/>
          <w:szCs w:val="24"/>
        </w:rPr>
        <w:t>二、本次交易进展情况</w:t>
      </w:r>
    </w:p>
    <w:p w:rsidR="004F6ED8" w:rsidRDefault="00467390">
      <w:pPr>
        <w:pStyle w:val="af8"/>
        <w:rPr>
          <w:lang w:eastAsia="zh-CN"/>
        </w:rPr>
      </w:pPr>
      <w:r>
        <w:rPr>
          <w:rFonts w:hint="eastAsia"/>
          <w:lang w:eastAsia="zh-CN"/>
        </w:rPr>
        <w:t>2024年3月5日，公司召开第四届董事会第三次会议审议通过《关于通过北京产权交易所竞购上海长威与南方资产合计持有云变电气79.97%股份的议案》，并于2024年3月7日在上海证券交易所披露了《关于通过北京产权交易所竞购上海长威与南方资产合计持有云变电气79.97%股份的公告》（公告编号：2024-019）。</w:t>
      </w:r>
    </w:p>
    <w:p w:rsidR="004F6ED8" w:rsidRDefault="00467390">
      <w:pPr>
        <w:pStyle w:val="af8"/>
        <w:rPr>
          <w:lang w:eastAsia="zh-CN"/>
        </w:rPr>
      </w:pPr>
      <w:r>
        <w:rPr>
          <w:rFonts w:hint="eastAsia"/>
          <w:lang w:eastAsia="zh-CN"/>
        </w:rPr>
        <w:t>2024年3月5日，公司</w:t>
      </w:r>
      <w:proofErr w:type="gramStart"/>
      <w:r>
        <w:rPr>
          <w:rFonts w:hint="eastAsia"/>
          <w:lang w:eastAsia="zh-CN"/>
        </w:rPr>
        <w:t>向北交</w:t>
      </w:r>
      <w:proofErr w:type="gramEnd"/>
      <w:r>
        <w:rPr>
          <w:rFonts w:hint="eastAsia"/>
          <w:lang w:eastAsia="zh-CN"/>
        </w:rPr>
        <w:t>所提交受让申请。</w:t>
      </w:r>
    </w:p>
    <w:p w:rsidR="004F6ED8" w:rsidRDefault="00467390">
      <w:pPr>
        <w:pStyle w:val="af8"/>
        <w:rPr>
          <w:lang w:eastAsia="zh-CN"/>
        </w:rPr>
      </w:pPr>
      <w:r>
        <w:rPr>
          <w:rFonts w:hint="eastAsia"/>
          <w:lang w:eastAsia="zh-CN"/>
        </w:rPr>
        <w:t>2024年3月12日，公司收到北交所下发的《受让资格确认书》。根据上述</w:t>
      </w:r>
      <w:r>
        <w:rPr>
          <w:rFonts w:hint="eastAsia"/>
          <w:lang w:eastAsia="zh-CN"/>
        </w:rPr>
        <w:lastRenderedPageBreak/>
        <w:t>确认书，公司于当日</w:t>
      </w:r>
      <w:proofErr w:type="gramStart"/>
      <w:r>
        <w:rPr>
          <w:rFonts w:hint="eastAsia"/>
          <w:lang w:eastAsia="zh-CN"/>
        </w:rPr>
        <w:t>向北交</w:t>
      </w:r>
      <w:proofErr w:type="gramEnd"/>
      <w:r>
        <w:rPr>
          <w:rFonts w:hint="eastAsia"/>
          <w:lang w:eastAsia="zh-CN"/>
        </w:rPr>
        <w:t>所指定的结算账户支付了16,794万元保证金。</w:t>
      </w:r>
    </w:p>
    <w:p w:rsidR="004F6ED8" w:rsidRDefault="00467390">
      <w:pPr>
        <w:pStyle w:val="af8"/>
        <w:rPr>
          <w:lang w:eastAsia="zh-CN"/>
        </w:rPr>
      </w:pPr>
      <w:r>
        <w:rPr>
          <w:rFonts w:hint="eastAsia"/>
          <w:lang w:eastAsia="zh-CN"/>
        </w:rPr>
        <w:t>2024年3月13日，公司收到北交所下发的《交易签约通知书》，根据上述通知书，公司成为上海长威、南方资产通过北交所公开披露</w:t>
      </w:r>
      <w:proofErr w:type="gramStart"/>
      <w:r>
        <w:rPr>
          <w:rFonts w:hint="eastAsia"/>
          <w:lang w:eastAsia="zh-CN"/>
        </w:rPr>
        <w:t>的云变电气</w:t>
      </w:r>
      <w:proofErr w:type="gramEnd"/>
      <w:r>
        <w:rPr>
          <w:rFonts w:hint="eastAsia"/>
          <w:lang w:eastAsia="zh-CN"/>
        </w:rPr>
        <w:t>8,030.4643万股股份（占总股本的79.97%）（项目编号：G32024BJ1000056）的受让方。</w:t>
      </w:r>
    </w:p>
    <w:p w:rsidR="004F6ED8" w:rsidRDefault="00467390">
      <w:pPr>
        <w:pStyle w:val="af8"/>
        <w:rPr>
          <w:spacing w:val="-4"/>
          <w:lang w:eastAsia="zh-CN"/>
        </w:rPr>
      </w:pPr>
      <w:r>
        <w:rPr>
          <w:rFonts w:hint="eastAsia"/>
          <w:lang w:eastAsia="zh-CN"/>
        </w:rPr>
        <w:t>2024年3月20日，公司与上海长威、南方资产签订了《产权交易合同》及《产权交易合同之补充协议》，并按合同约定足额支付了交易价款。公司将继续</w:t>
      </w:r>
      <w:r>
        <w:rPr>
          <w:rFonts w:hint="eastAsia"/>
          <w:spacing w:val="-4"/>
          <w:lang w:eastAsia="zh-CN"/>
        </w:rPr>
        <w:t>关注产权交易凭证出具等事宜，并及时履行信息披露义务。</w:t>
      </w:r>
    </w:p>
    <w:p w:rsidR="004F6ED8" w:rsidRDefault="00467390">
      <w:pPr>
        <w:adjustRightInd w:val="0"/>
        <w:snapToGrid w:val="0"/>
        <w:spacing w:line="560" w:lineRule="exact"/>
        <w:ind w:firstLineChars="200" w:firstLine="482"/>
      </w:pPr>
      <w:r>
        <w:rPr>
          <w:rFonts w:ascii="宋体" w:eastAsia="宋体" w:hAnsi="宋体" w:cs="宋体" w:hint="eastAsia"/>
          <w:b/>
          <w:bCs/>
          <w:color w:val="000000"/>
          <w:sz w:val="24"/>
          <w:szCs w:val="24"/>
        </w:rPr>
        <w:t>三、产权交易合同及其补充协议主要内容</w:t>
      </w:r>
    </w:p>
    <w:p w:rsidR="004F6ED8" w:rsidRDefault="00467390">
      <w:pPr>
        <w:spacing w:line="520" w:lineRule="exact"/>
        <w:ind w:firstLine="420"/>
        <w:rPr>
          <w:rFonts w:ascii="宋体" w:hAnsi="宋体"/>
          <w:bCs/>
          <w:sz w:val="24"/>
        </w:rPr>
      </w:pPr>
      <w:r>
        <w:rPr>
          <w:rFonts w:ascii="宋体" w:hAnsi="宋体" w:hint="eastAsia"/>
          <w:bCs/>
          <w:sz w:val="24"/>
        </w:rPr>
        <w:t>转让方</w:t>
      </w:r>
      <w:proofErr w:type="gramStart"/>
      <w:r>
        <w:rPr>
          <w:rFonts w:ascii="宋体" w:hAnsi="宋体" w:hint="eastAsia"/>
          <w:bCs/>
          <w:sz w:val="24"/>
        </w:rPr>
        <w:t>一</w:t>
      </w:r>
      <w:proofErr w:type="gramEnd"/>
      <w:r>
        <w:rPr>
          <w:rFonts w:ascii="宋体" w:hAnsi="宋体" w:hint="eastAsia"/>
          <w:bCs/>
          <w:sz w:val="24"/>
        </w:rPr>
        <w:t>（以下简称“甲方一”）：上海长威股权投资合伙企业（有限合伙）</w:t>
      </w:r>
    </w:p>
    <w:p w:rsidR="004F6ED8" w:rsidRDefault="00467390">
      <w:pPr>
        <w:spacing w:line="520" w:lineRule="exact"/>
        <w:ind w:firstLine="420"/>
        <w:rPr>
          <w:rFonts w:ascii="宋体" w:hAnsi="宋体"/>
          <w:bCs/>
          <w:sz w:val="24"/>
        </w:rPr>
      </w:pPr>
      <w:r>
        <w:rPr>
          <w:rFonts w:ascii="宋体" w:hAnsi="宋体" w:hint="eastAsia"/>
          <w:bCs/>
          <w:sz w:val="24"/>
        </w:rPr>
        <w:t>转让方二（以下简称“甲方二”，与甲方</w:t>
      </w:r>
      <w:proofErr w:type="gramStart"/>
      <w:r>
        <w:rPr>
          <w:rFonts w:ascii="宋体" w:hAnsi="宋体" w:hint="eastAsia"/>
          <w:bCs/>
          <w:sz w:val="24"/>
        </w:rPr>
        <w:t>一</w:t>
      </w:r>
      <w:proofErr w:type="gramEnd"/>
      <w:r>
        <w:rPr>
          <w:rFonts w:ascii="宋体" w:hAnsi="宋体" w:hint="eastAsia"/>
          <w:bCs/>
          <w:sz w:val="24"/>
        </w:rPr>
        <w:t>合称“甲方”）：南方工业资产管理有限责任公司</w:t>
      </w:r>
    </w:p>
    <w:p w:rsidR="004F6ED8" w:rsidRDefault="00467390">
      <w:pPr>
        <w:spacing w:line="520" w:lineRule="exact"/>
        <w:ind w:firstLineChars="200" w:firstLine="480"/>
        <w:rPr>
          <w:rFonts w:ascii="宋体" w:hAnsi="宋体"/>
          <w:bCs/>
          <w:sz w:val="24"/>
        </w:rPr>
      </w:pPr>
      <w:r>
        <w:rPr>
          <w:rFonts w:ascii="宋体" w:hAnsi="宋体" w:hint="eastAsia"/>
          <w:bCs/>
          <w:sz w:val="24"/>
        </w:rPr>
        <w:t>受让方（以下简称“乙方”）：</w:t>
      </w:r>
      <w:proofErr w:type="gramStart"/>
      <w:r>
        <w:rPr>
          <w:rFonts w:ascii="宋体" w:hAnsi="宋体" w:hint="eastAsia"/>
          <w:bCs/>
          <w:sz w:val="24"/>
        </w:rPr>
        <w:t>重庆望变电气</w:t>
      </w:r>
      <w:proofErr w:type="gramEnd"/>
      <w:r>
        <w:rPr>
          <w:rFonts w:ascii="宋体" w:hAnsi="宋体" w:hint="eastAsia"/>
          <w:bCs/>
          <w:sz w:val="24"/>
        </w:rPr>
        <w:t>（集团）股份有限公司</w:t>
      </w:r>
    </w:p>
    <w:p w:rsidR="004F6ED8" w:rsidRDefault="00467390">
      <w:pPr>
        <w:numPr>
          <w:ilvl w:val="255"/>
          <w:numId w:val="0"/>
        </w:numPr>
        <w:spacing w:line="520" w:lineRule="exact"/>
        <w:ind w:firstLineChars="200" w:firstLine="480"/>
        <w:rPr>
          <w:rFonts w:ascii="宋体" w:hAnsi="宋体"/>
          <w:sz w:val="24"/>
        </w:rPr>
      </w:pPr>
      <w:r>
        <w:rPr>
          <w:rFonts w:ascii="宋体" w:hAnsi="宋体" w:hint="eastAsia"/>
          <w:sz w:val="24"/>
        </w:rPr>
        <w:t>（一</w:t>
      </w:r>
      <w:r>
        <w:rPr>
          <w:rFonts w:ascii="宋体" w:hAnsi="宋体"/>
          <w:sz w:val="24"/>
        </w:rPr>
        <w:t>）</w:t>
      </w:r>
      <w:r>
        <w:rPr>
          <w:rFonts w:ascii="宋体" w:hAnsi="宋体" w:hint="eastAsia"/>
          <w:sz w:val="24"/>
        </w:rPr>
        <w:t>产权转让标的</w:t>
      </w:r>
    </w:p>
    <w:p w:rsidR="004F6ED8" w:rsidRDefault="00467390">
      <w:pPr>
        <w:spacing w:line="520" w:lineRule="exact"/>
        <w:ind w:firstLineChars="200" w:firstLine="480"/>
        <w:rPr>
          <w:rFonts w:ascii="宋体" w:hAnsi="宋体"/>
          <w:sz w:val="24"/>
        </w:rPr>
      </w:pPr>
      <w:r>
        <w:rPr>
          <w:rFonts w:ascii="宋体" w:hAnsi="宋体" w:hint="eastAsia"/>
          <w:sz w:val="24"/>
        </w:rPr>
        <w:t>本合同转让标的为甲方所持有的标的企业的80</w:t>
      </w:r>
      <w:r>
        <w:rPr>
          <w:rFonts w:ascii="宋体" w:hAnsi="宋体"/>
          <w:sz w:val="24"/>
        </w:rPr>
        <w:t>,</w:t>
      </w:r>
      <w:r>
        <w:rPr>
          <w:rFonts w:ascii="宋体" w:hAnsi="宋体" w:hint="eastAsia"/>
          <w:sz w:val="24"/>
        </w:rPr>
        <w:t>304</w:t>
      </w:r>
      <w:r>
        <w:rPr>
          <w:rFonts w:ascii="宋体" w:hAnsi="宋体"/>
          <w:sz w:val="24"/>
        </w:rPr>
        <w:t>,</w:t>
      </w:r>
      <w:r>
        <w:rPr>
          <w:rFonts w:ascii="宋体" w:hAnsi="宋体" w:hint="eastAsia"/>
          <w:sz w:val="24"/>
        </w:rPr>
        <w:t>643股股份（占比</w:t>
      </w:r>
      <w:r>
        <w:rPr>
          <w:rFonts w:ascii="宋体" w:hAnsi="宋体"/>
          <w:sz w:val="24"/>
        </w:rPr>
        <w:t>79.97</w:t>
      </w:r>
      <w:r>
        <w:rPr>
          <w:rFonts w:ascii="宋体" w:hAnsi="宋体" w:hint="eastAsia"/>
          <w:sz w:val="24"/>
        </w:rPr>
        <w:t>%），包括甲方</w:t>
      </w:r>
      <w:proofErr w:type="gramStart"/>
      <w:r>
        <w:rPr>
          <w:rFonts w:ascii="宋体" w:hAnsi="宋体" w:hint="eastAsia"/>
          <w:sz w:val="24"/>
        </w:rPr>
        <w:t>一</w:t>
      </w:r>
      <w:proofErr w:type="gramEnd"/>
      <w:r>
        <w:rPr>
          <w:rFonts w:ascii="宋体" w:hAnsi="宋体" w:hint="eastAsia"/>
          <w:sz w:val="24"/>
        </w:rPr>
        <w:t>持有的标的企业</w:t>
      </w:r>
      <w:r>
        <w:rPr>
          <w:rFonts w:ascii="宋体" w:hAnsi="宋体"/>
          <w:sz w:val="24"/>
        </w:rPr>
        <w:t>55,201,233</w:t>
      </w:r>
      <w:r>
        <w:rPr>
          <w:rFonts w:ascii="宋体" w:hAnsi="宋体" w:hint="eastAsia"/>
          <w:sz w:val="24"/>
        </w:rPr>
        <w:t>股股份（占比54.97%）及甲方二持有的标的企业</w:t>
      </w:r>
      <w:r>
        <w:rPr>
          <w:rFonts w:ascii="宋体" w:hAnsi="宋体"/>
          <w:sz w:val="24"/>
        </w:rPr>
        <w:t>25,103,410</w:t>
      </w:r>
      <w:r>
        <w:rPr>
          <w:rFonts w:ascii="宋体" w:hAnsi="宋体" w:hint="eastAsia"/>
          <w:sz w:val="24"/>
        </w:rPr>
        <w:t>股股份（占比25%）。</w:t>
      </w:r>
    </w:p>
    <w:p w:rsidR="004F6ED8" w:rsidRDefault="00467390">
      <w:pPr>
        <w:numPr>
          <w:ilvl w:val="255"/>
          <w:numId w:val="0"/>
        </w:numPr>
        <w:spacing w:line="520" w:lineRule="exact"/>
        <w:ind w:firstLineChars="200" w:firstLine="480"/>
        <w:rPr>
          <w:rFonts w:ascii="宋体" w:hAnsi="宋体"/>
          <w:sz w:val="24"/>
        </w:rPr>
      </w:pPr>
      <w:r>
        <w:rPr>
          <w:rFonts w:ascii="宋体" w:hAnsi="宋体" w:hint="eastAsia"/>
          <w:sz w:val="24"/>
        </w:rPr>
        <w:t>（二）产权转让方式</w:t>
      </w:r>
    </w:p>
    <w:p w:rsidR="004F6ED8" w:rsidRDefault="00467390">
      <w:pPr>
        <w:spacing w:line="520" w:lineRule="exact"/>
        <w:ind w:firstLine="420"/>
        <w:rPr>
          <w:rFonts w:ascii="宋体" w:hAnsi="宋体"/>
          <w:sz w:val="24"/>
        </w:rPr>
      </w:pPr>
      <w:r>
        <w:rPr>
          <w:rFonts w:ascii="宋体" w:hAnsi="宋体" w:hint="eastAsia"/>
          <w:sz w:val="24"/>
        </w:rPr>
        <w:t>本合同项下产权交易已于</w:t>
      </w:r>
      <w:r>
        <w:rPr>
          <w:rFonts w:ascii="宋体" w:hAnsi="宋体"/>
          <w:sz w:val="24"/>
        </w:rPr>
        <w:t>2024</w:t>
      </w:r>
      <w:r>
        <w:rPr>
          <w:rFonts w:ascii="宋体" w:hAnsi="宋体" w:hint="eastAsia"/>
          <w:sz w:val="24"/>
        </w:rPr>
        <w:t>年</w:t>
      </w:r>
      <w:r>
        <w:rPr>
          <w:rFonts w:ascii="宋体" w:hAnsi="宋体"/>
          <w:sz w:val="24"/>
        </w:rPr>
        <w:t>2</w:t>
      </w:r>
      <w:r>
        <w:rPr>
          <w:rFonts w:ascii="宋体" w:hAnsi="宋体" w:hint="eastAsia"/>
          <w:sz w:val="24"/>
        </w:rPr>
        <w:t>月</w:t>
      </w:r>
      <w:r>
        <w:rPr>
          <w:rFonts w:ascii="宋体" w:hAnsi="宋体"/>
          <w:sz w:val="24"/>
        </w:rPr>
        <w:t>7</w:t>
      </w:r>
      <w:r>
        <w:rPr>
          <w:rFonts w:ascii="宋体" w:hAnsi="宋体" w:hint="eastAsia"/>
          <w:sz w:val="24"/>
        </w:rPr>
        <w:t>日经北京产权交易所（以下简称“北交所”）公开发布产权转让信息披露公告，公告期间只产生乙方一个意向受让方，由乙方受让本合同项下转让标的。</w:t>
      </w:r>
    </w:p>
    <w:p w:rsidR="004F6ED8" w:rsidRDefault="00467390">
      <w:pPr>
        <w:numPr>
          <w:ilvl w:val="255"/>
          <w:numId w:val="0"/>
        </w:numPr>
        <w:spacing w:line="520" w:lineRule="exact"/>
        <w:ind w:left="420"/>
        <w:rPr>
          <w:rFonts w:ascii="宋体" w:hAnsi="宋体"/>
          <w:sz w:val="24"/>
        </w:rPr>
      </w:pPr>
      <w:r>
        <w:rPr>
          <w:rFonts w:ascii="宋体" w:hAnsi="宋体" w:hint="eastAsia"/>
          <w:sz w:val="24"/>
        </w:rPr>
        <w:t>（三）产权转让价款及支付</w:t>
      </w:r>
    </w:p>
    <w:p w:rsidR="004F6ED8" w:rsidRDefault="00467390">
      <w:pPr>
        <w:spacing w:line="520" w:lineRule="exact"/>
        <w:ind w:firstLineChars="200" w:firstLine="480"/>
        <w:rPr>
          <w:rFonts w:ascii="宋体" w:hAnsi="宋体"/>
          <w:sz w:val="24"/>
        </w:rPr>
      </w:pPr>
      <w:r>
        <w:rPr>
          <w:rFonts w:ascii="宋体" w:hAnsi="宋体" w:hint="eastAsia"/>
          <w:sz w:val="24"/>
        </w:rPr>
        <w:t>1、转让价格</w:t>
      </w:r>
    </w:p>
    <w:p w:rsidR="004F6ED8" w:rsidRDefault="00467390">
      <w:pPr>
        <w:spacing w:line="520" w:lineRule="exact"/>
        <w:ind w:firstLine="420"/>
        <w:rPr>
          <w:rFonts w:ascii="宋体" w:hAnsi="宋体"/>
          <w:sz w:val="24"/>
        </w:rPr>
      </w:pPr>
      <w:r>
        <w:rPr>
          <w:rFonts w:ascii="宋体" w:hAnsi="宋体" w:hint="eastAsia"/>
          <w:sz w:val="24"/>
        </w:rPr>
        <w:t>根据公开信息披露结果，甲方将本合同项下转让标的以人民币</w:t>
      </w:r>
      <w:r>
        <w:rPr>
          <w:rFonts w:ascii="宋体" w:hAnsi="宋体"/>
          <w:sz w:val="24"/>
        </w:rPr>
        <w:t>55,981.6869</w:t>
      </w:r>
      <w:r>
        <w:rPr>
          <w:rFonts w:ascii="宋体" w:hAnsi="宋体" w:hint="eastAsia"/>
          <w:sz w:val="24"/>
        </w:rPr>
        <w:t>万元）转让给乙方。其中，甲方</w:t>
      </w:r>
      <w:proofErr w:type="gramStart"/>
      <w:r>
        <w:rPr>
          <w:rFonts w:ascii="宋体" w:hAnsi="宋体" w:hint="eastAsia"/>
          <w:sz w:val="24"/>
        </w:rPr>
        <w:t>一</w:t>
      </w:r>
      <w:proofErr w:type="gramEnd"/>
      <w:r>
        <w:rPr>
          <w:rFonts w:ascii="宋体" w:hAnsi="宋体" w:hint="eastAsia"/>
          <w:sz w:val="24"/>
        </w:rPr>
        <w:t>转让标的</w:t>
      </w:r>
      <w:proofErr w:type="gramStart"/>
      <w:r>
        <w:rPr>
          <w:rFonts w:ascii="宋体" w:hAnsi="宋体" w:hint="eastAsia"/>
          <w:sz w:val="24"/>
        </w:rPr>
        <w:t>的</w:t>
      </w:r>
      <w:proofErr w:type="gramEnd"/>
      <w:r>
        <w:rPr>
          <w:rFonts w:ascii="宋体" w:hAnsi="宋体" w:hint="eastAsia"/>
          <w:sz w:val="24"/>
        </w:rPr>
        <w:t>价格为：</w:t>
      </w:r>
      <w:r>
        <w:rPr>
          <w:rFonts w:ascii="宋体" w:hAnsi="宋体"/>
          <w:sz w:val="24"/>
        </w:rPr>
        <w:t>38</w:t>
      </w:r>
      <w:r>
        <w:rPr>
          <w:rFonts w:ascii="宋体" w:hAnsi="宋体" w:hint="eastAsia"/>
          <w:sz w:val="24"/>
        </w:rPr>
        <w:t>,</w:t>
      </w:r>
      <w:r>
        <w:rPr>
          <w:rFonts w:ascii="宋体" w:hAnsi="宋体"/>
          <w:sz w:val="24"/>
        </w:rPr>
        <w:t>481.6871</w:t>
      </w:r>
      <w:r>
        <w:rPr>
          <w:rFonts w:ascii="宋体" w:hAnsi="宋体" w:hint="eastAsia"/>
          <w:sz w:val="24"/>
        </w:rPr>
        <w:t>万元；甲方二转让标的</w:t>
      </w:r>
      <w:proofErr w:type="gramStart"/>
      <w:r>
        <w:rPr>
          <w:rFonts w:ascii="宋体" w:hAnsi="宋体" w:hint="eastAsia"/>
          <w:sz w:val="24"/>
        </w:rPr>
        <w:t>的</w:t>
      </w:r>
      <w:proofErr w:type="gramEnd"/>
      <w:r>
        <w:rPr>
          <w:rFonts w:ascii="宋体" w:hAnsi="宋体" w:hint="eastAsia"/>
          <w:sz w:val="24"/>
        </w:rPr>
        <w:t>价格为：</w:t>
      </w:r>
      <w:r>
        <w:rPr>
          <w:rFonts w:ascii="宋体" w:hAnsi="宋体"/>
          <w:sz w:val="24"/>
        </w:rPr>
        <w:t>17</w:t>
      </w:r>
      <w:r>
        <w:rPr>
          <w:rFonts w:ascii="宋体" w:hAnsi="宋体" w:hint="eastAsia"/>
          <w:sz w:val="24"/>
        </w:rPr>
        <w:t>,</w:t>
      </w:r>
      <w:r>
        <w:rPr>
          <w:rFonts w:ascii="宋体" w:hAnsi="宋体"/>
          <w:sz w:val="24"/>
        </w:rPr>
        <w:t>499.9998</w:t>
      </w:r>
      <w:r>
        <w:rPr>
          <w:rFonts w:ascii="宋体" w:hAnsi="宋体" w:hint="eastAsia"/>
          <w:sz w:val="24"/>
        </w:rPr>
        <w:t>万元。</w:t>
      </w:r>
    </w:p>
    <w:p w:rsidR="004F6ED8" w:rsidRDefault="00467390">
      <w:pPr>
        <w:spacing w:line="520" w:lineRule="exact"/>
        <w:ind w:firstLine="420"/>
        <w:rPr>
          <w:rFonts w:ascii="宋体" w:hAnsi="宋体"/>
          <w:sz w:val="24"/>
        </w:rPr>
      </w:pPr>
      <w:r>
        <w:rPr>
          <w:rFonts w:ascii="宋体" w:hAnsi="宋体" w:hint="eastAsia"/>
          <w:sz w:val="24"/>
        </w:rPr>
        <w:lastRenderedPageBreak/>
        <w:t>乙方按照甲方</w:t>
      </w:r>
      <w:r>
        <w:rPr>
          <w:rFonts w:ascii="宋体" w:hAnsi="宋体"/>
          <w:sz w:val="24"/>
        </w:rPr>
        <w:t>及</w:t>
      </w:r>
      <w:r>
        <w:rPr>
          <w:rFonts w:ascii="宋体" w:hAnsi="宋体" w:hint="eastAsia"/>
          <w:sz w:val="24"/>
        </w:rPr>
        <w:t>产权转让信息披露公告要求支付的保证金（即</w:t>
      </w:r>
      <w:r>
        <w:rPr>
          <w:rFonts w:ascii="宋体" w:hAnsi="宋体"/>
          <w:sz w:val="24"/>
        </w:rPr>
        <w:t>16,794</w:t>
      </w:r>
      <w:r>
        <w:rPr>
          <w:rFonts w:ascii="宋体" w:hAnsi="宋体" w:hint="eastAsia"/>
          <w:sz w:val="24"/>
        </w:rPr>
        <w:t>万元），于本合同生效之日起折抵为转让价款的一部分。其中，对应甲方</w:t>
      </w:r>
      <w:proofErr w:type="gramStart"/>
      <w:r>
        <w:rPr>
          <w:rFonts w:ascii="宋体" w:hAnsi="宋体" w:hint="eastAsia"/>
          <w:sz w:val="24"/>
        </w:rPr>
        <w:t>一</w:t>
      </w:r>
      <w:proofErr w:type="gramEnd"/>
      <w:r>
        <w:rPr>
          <w:rFonts w:ascii="宋体" w:hAnsi="宋体" w:hint="eastAsia"/>
          <w:sz w:val="24"/>
        </w:rPr>
        <w:t>转让标的</w:t>
      </w:r>
      <w:proofErr w:type="gramStart"/>
      <w:r>
        <w:rPr>
          <w:rFonts w:ascii="宋体" w:hAnsi="宋体" w:hint="eastAsia"/>
          <w:sz w:val="24"/>
        </w:rPr>
        <w:t>的</w:t>
      </w:r>
      <w:proofErr w:type="gramEnd"/>
      <w:r>
        <w:rPr>
          <w:rFonts w:ascii="宋体" w:hAnsi="宋体" w:hint="eastAsia"/>
          <w:sz w:val="24"/>
        </w:rPr>
        <w:t>保证金为：</w:t>
      </w:r>
      <w:r>
        <w:rPr>
          <w:rFonts w:ascii="宋体" w:hAnsi="宋体"/>
          <w:sz w:val="24"/>
        </w:rPr>
        <w:t>11</w:t>
      </w:r>
      <w:r>
        <w:rPr>
          <w:rFonts w:ascii="宋体" w:hAnsi="宋体" w:hint="eastAsia"/>
          <w:sz w:val="24"/>
        </w:rPr>
        <w:t>,</w:t>
      </w:r>
      <w:r>
        <w:rPr>
          <w:rFonts w:ascii="宋体" w:hAnsi="宋体"/>
          <w:sz w:val="24"/>
        </w:rPr>
        <w:t>544.1583</w:t>
      </w:r>
      <w:r>
        <w:rPr>
          <w:rFonts w:ascii="宋体" w:hAnsi="宋体" w:hint="eastAsia"/>
          <w:sz w:val="24"/>
        </w:rPr>
        <w:t>万元；对应甲方二转让标的</w:t>
      </w:r>
      <w:proofErr w:type="gramStart"/>
      <w:r>
        <w:rPr>
          <w:rFonts w:ascii="宋体" w:hAnsi="宋体" w:hint="eastAsia"/>
          <w:sz w:val="24"/>
        </w:rPr>
        <w:t>的</w:t>
      </w:r>
      <w:proofErr w:type="gramEnd"/>
      <w:r>
        <w:rPr>
          <w:rFonts w:ascii="宋体" w:hAnsi="宋体" w:hint="eastAsia"/>
          <w:sz w:val="24"/>
        </w:rPr>
        <w:t>保证金为：</w:t>
      </w:r>
      <w:r>
        <w:rPr>
          <w:rFonts w:ascii="宋体" w:hAnsi="宋体"/>
          <w:sz w:val="24"/>
        </w:rPr>
        <w:t>5</w:t>
      </w:r>
      <w:r>
        <w:rPr>
          <w:rFonts w:ascii="宋体" w:hAnsi="宋体" w:hint="eastAsia"/>
          <w:sz w:val="24"/>
        </w:rPr>
        <w:t>,</w:t>
      </w:r>
      <w:r>
        <w:rPr>
          <w:rFonts w:ascii="宋体" w:hAnsi="宋体"/>
          <w:sz w:val="24"/>
        </w:rPr>
        <w:t>249.8417</w:t>
      </w:r>
      <w:r>
        <w:rPr>
          <w:rFonts w:ascii="宋体" w:hAnsi="宋体" w:hint="eastAsia"/>
          <w:sz w:val="24"/>
        </w:rPr>
        <w:t>万元。</w:t>
      </w:r>
    </w:p>
    <w:p w:rsidR="004F6ED8" w:rsidRDefault="00467390">
      <w:pPr>
        <w:spacing w:line="520" w:lineRule="exact"/>
        <w:ind w:firstLine="420"/>
        <w:rPr>
          <w:rFonts w:ascii="宋体" w:hAnsi="宋体"/>
          <w:sz w:val="24"/>
        </w:rPr>
      </w:pPr>
      <w:r>
        <w:rPr>
          <w:rFonts w:ascii="宋体" w:hAnsi="宋体" w:hint="eastAsia"/>
          <w:sz w:val="24"/>
        </w:rPr>
        <w:t>2、转让价款支付方式</w:t>
      </w:r>
    </w:p>
    <w:p w:rsidR="004F6ED8" w:rsidRDefault="00467390">
      <w:pPr>
        <w:spacing w:line="520" w:lineRule="exact"/>
        <w:ind w:firstLine="420"/>
        <w:rPr>
          <w:rFonts w:ascii="宋体" w:hAnsi="宋体"/>
          <w:sz w:val="24"/>
        </w:rPr>
      </w:pPr>
      <w:r>
        <w:rPr>
          <w:rFonts w:ascii="宋体" w:hAnsi="宋体" w:hint="eastAsia"/>
          <w:sz w:val="24"/>
        </w:rPr>
        <w:t>乙方采用一次性付款方式，将转让价款在本合同生效后</w:t>
      </w:r>
      <w:r>
        <w:rPr>
          <w:rFonts w:ascii="宋体" w:hAnsi="宋体"/>
          <w:sz w:val="24"/>
        </w:rPr>
        <w:t>5</w:t>
      </w:r>
      <w:r>
        <w:rPr>
          <w:rFonts w:ascii="宋体" w:hAnsi="宋体" w:hint="eastAsia"/>
          <w:sz w:val="24"/>
        </w:rPr>
        <w:t>个工作日内汇入北交所指定的结算账户。为免疑义，其中16,794万元由乙方已支付保证金16,794万元直接抵扣（无需乙方另行</w:t>
      </w:r>
      <w:proofErr w:type="gramStart"/>
      <w:r>
        <w:rPr>
          <w:rFonts w:ascii="宋体" w:hAnsi="宋体" w:hint="eastAsia"/>
          <w:sz w:val="24"/>
        </w:rPr>
        <w:t>向北交</w:t>
      </w:r>
      <w:proofErr w:type="gramEnd"/>
      <w:r>
        <w:rPr>
          <w:rFonts w:ascii="宋体" w:hAnsi="宋体" w:hint="eastAsia"/>
          <w:sz w:val="24"/>
        </w:rPr>
        <w:t>所指定结算账户支付），剩余</w:t>
      </w:r>
      <w:r>
        <w:rPr>
          <w:rFonts w:ascii="宋体" w:hAnsi="宋体"/>
          <w:sz w:val="24"/>
        </w:rPr>
        <w:t>39,187.6869</w:t>
      </w:r>
      <w:r>
        <w:rPr>
          <w:rFonts w:ascii="宋体" w:hAnsi="宋体" w:hint="eastAsia"/>
          <w:sz w:val="24"/>
        </w:rPr>
        <w:t>万元由乙方汇入北交所指定结算账户。</w:t>
      </w:r>
    </w:p>
    <w:p w:rsidR="004F6ED8" w:rsidRDefault="00467390">
      <w:pPr>
        <w:numPr>
          <w:ilvl w:val="255"/>
          <w:numId w:val="0"/>
        </w:numPr>
        <w:spacing w:line="520" w:lineRule="exact"/>
        <w:ind w:firstLineChars="200" w:firstLine="480"/>
        <w:rPr>
          <w:rFonts w:ascii="宋体" w:hAnsi="宋体"/>
          <w:sz w:val="24"/>
        </w:rPr>
      </w:pPr>
      <w:r>
        <w:rPr>
          <w:rFonts w:ascii="宋体" w:hAnsi="宋体" w:hint="eastAsia"/>
          <w:sz w:val="24"/>
        </w:rPr>
        <w:t>（四）产权转让的交割事项</w:t>
      </w:r>
    </w:p>
    <w:p w:rsidR="004F6ED8" w:rsidRDefault="00467390">
      <w:pPr>
        <w:spacing w:line="520" w:lineRule="exact"/>
        <w:ind w:firstLine="420"/>
        <w:rPr>
          <w:rFonts w:ascii="宋体" w:hAnsi="宋体"/>
          <w:sz w:val="24"/>
        </w:rPr>
      </w:pPr>
      <w:r>
        <w:rPr>
          <w:rFonts w:ascii="宋体" w:hAnsi="宋体" w:hint="eastAsia"/>
          <w:sz w:val="24"/>
        </w:rPr>
        <w:t>1、本合同项下的产权交易的交割日为</w:t>
      </w:r>
      <w:bookmarkStart w:id="1" w:name="_Hlk159339908"/>
      <w:r>
        <w:rPr>
          <w:rFonts w:ascii="宋体" w:hAnsi="宋体" w:hint="eastAsia"/>
          <w:sz w:val="24"/>
        </w:rPr>
        <w:t>乙方按照本合同约定向甲方足额支付转让价款后北交所出具产权交易凭证之日</w:t>
      </w:r>
      <w:bookmarkEnd w:id="1"/>
      <w:r>
        <w:rPr>
          <w:rFonts w:ascii="宋体" w:hAnsi="宋体" w:hint="eastAsia"/>
          <w:sz w:val="24"/>
        </w:rPr>
        <w:t>，甲方承诺促使标的企业于交割日起3</w:t>
      </w:r>
      <w:r>
        <w:rPr>
          <w:rFonts w:ascii="宋体" w:hAnsi="宋体"/>
          <w:sz w:val="24"/>
        </w:rPr>
        <w:t>0</w:t>
      </w:r>
      <w:r>
        <w:rPr>
          <w:rFonts w:ascii="宋体" w:hAnsi="宋体" w:hint="eastAsia"/>
          <w:sz w:val="24"/>
        </w:rPr>
        <w:t>日内办理完毕本次产权交易涉及的标的企业工商变更登记或备案手续，乙方应给予必要的协助与配合。</w:t>
      </w:r>
    </w:p>
    <w:p w:rsidR="004F6ED8" w:rsidRDefault="00467390">
      <w:pPr>
        <w:spacing w:line="520" w:lineRule="exact"/>
        <w:ind w:firstLineChars="149" w:firstLine="358"/>
        <w:rPr>
          <w:rFonts w:ascii="宋体" w:hAnsi="宋体"/>
          <w:sz w:val="24"/>
        </w:rPr>
      </w:pPr>
      <w:r>
        <w:rPr>
          <w:rFonts w:ascii="宋体" w:hAnsi="宋体" w:hint="eastAsia"/>
          <w:sz w:val="24"/>
        </w:rPr>
        <w:t>2、甲乙双方应当按照标的企业</w:t>
      </w:r>
      <w:r>
        <w:rPr>
          <w:rFonts w:ascii="宋体" w:hAnsi="宋体"/>
          <w:sz w:val="24"/>
        </w:rPr>
        <w:t>现状进行交割</w:t>
      </w:r>
      <w:r>
        <w:rPr>
          <w:rFonts w:ascii="宋体" w:hAnsi="宋体" w:hint="eastAsia"/>
          <w:sz w:val="24"/>
        </w:rPr>
        <w:t>，乙方</w:t>
      </w:r>
      <w:r>
        <w:rPr>
          <w:rFonts w:ascii="宋体" w:hAnsi="宋体"/>
          <w:sz w:val="24"/>
        </w:rPr>
        <w:t>在签署本合同</w:t>
      </w:r>
      <w:r>
        <w:rPr>
          <w:rFonts w:ascii="宋体" w:hAnsi="宋体" w:hint="eastAsia"/>
          <w:sz w:val="24"/>
        </w:rPr>
        <w:t>之前，已对标的企业是否存在瑕疵及其实际情况进行了充分地</w:t>
      </w:r>
      <w:r>
        <w:rPr>
          <w:rFonts w:ascii="宋体" w:hAnsi="宋体"/>
          <w:sz w:val="24"/>
        </w:rPr>
        <w:t>审慎调查</w:t>
      </w:r>
      <w:r>
        <w:rPr>
          <w:rFonts w:ascii="宋体" w:hAnsi="宋体" w:hint="eastAsia"/>
          <w:sz w:val="24"/>
        </w:rPr>
        <w:t>。本合同</w:t>
      </w:r>
      <w:r>
        <w:rPr>
          <w:rFonts w:ascii="宋体" w:hAnsi="宋体"/>
          <w:sz w:val="24"/>
        </w:rPr>
        <w:t>签署</w:t>
      </w:r>
      <w:r>
        <w:rPr>
          <w:rFonts w:ascii="宋体" w:hAnsi="宋体" w:hint="eastAsia"/>
          <w:sz w:val="24"/>
        </w:rPr>
        <w:t>后，乙方即表明已完全了解，并接受标的物的现状，自行承担交易</w:t>
      </w:r>
      <w:r>
        <w:rPr>
          <w:rFonts w:ascii="宋体" w:hAnsi="宋体"/>
          <w:sz w:val="24"/>
        </w:rPr>
        <w:t>风险</w:t>
      </w:r>
      <w:r>
        <w:rPr>
          <w:rFonts w:ascii="宋体" w:hAnsi="宋体" w:hint="eastAsia"/>
          <w:sz w:val="24"/>
        </w:rPr>
        <w:t>。</w:t>
      </w:r>
    </w:p>
    <w:p w:rsidR="004F6ED8" w:rsidRDefault="00467390">
      <w:pPr>
        <w:spacing w:line="520" w:lineRule="exact"/>
        <w:ind w:firstLineChars="224" w:firstLine="538"/>
        <w:rPr>
          <w:rFonts w:ascii="宋体" w:hAnsi="宋体"/>
          <w:sz w:val="24"/>
        </w:rPr>
      </w:pPr>
      <w:r>
        <w:rPr>
          <w:rFonts w:ascii="宋体" w:hAnsi="宋体" w:hint="eastAsia"/>
          <w:sz w:val="24"/>
        </w:rPr>
        <w:t>（五）搬迁补偿款</w:t>
      </w:r>
    </w:p>
    <w:p w:rsidR="004F6ED8" w:rsidRDefault="00467390">
      <w:pPr>
        <w:spacing w:line="520" w:lineRule="exact"/>
        <w:ind w:firstLineChars="224" w:firstLine="538"/>
        <w:rPr>
          <w:rFonts w:ascii="宋体" w:hAnsi="宋体"/>
          <w:sz w:val="24"/>
        </w:rPr>
      </w:pPr>
      <w:r>
        <w:rPr>
          <w:rFonts w:ascii="宋体" w:hAnsi="宋体" w:hint="eastAsia"/>
          <w:sz w:val="24"/>
        </w:rPr>
        <w:t>各方确认，截至本合同签署之日，标的企业存在12,822.6万元尚未收到的应由当地政府支付的搬迁补偿费用，且该等款项已反映在标的企业截至评估基准日的财务报表中。甲方同意与乙方共同积极推进前述搬迁补偿款的回款，直至前述搬迁补偿</w:t>
      </w:r>
      <w:proofErr w:type="gramStart"/>
      <w:r>
        <w:rPr>
          <w:rFonts w:ascii="宋体" w:hAnsi="宋体" w:hint="eastAsia"/>
          <w:sz w:val="24"/>
        </w:rPr>
        <w:t>款得以</w:t>
      </w:r>
      <w:proofErr w:type="gramEnd"/>
      <w:r>
        <w:rPr>
          <w:rFonts w:ascii="宋体" w:hAnsi="宋体" w:hint="eastAsia"/>
          <w:sz w:val="24"/>
        </w:rPr>
        <w:t>足额收回。</w:t>
      </w:r>
    </w:p>
    <w:p w:rsidR="004F6ED8" w:rsidRDefault="00467390">
      <w:pPr>
        <w:spacing w:line="520" w:lineRule="exact"/>
        <w:ind w:firstLineChars="224" w:firstLine="538"/>
        <w:rPr>
          <w:rFonts w:ascii="宋体" w:hAnsi="宋体"/>
          <w:sz w:val="24"/>
        </w:rPr>
      </w:pPr>
      <w:r>
        <w:rPr>
          <w:rFonts w:ascii="宋体" w:hAnsi="宋体" w:hint="eastAsia"/>
          <w:sz w:val="24"/>
        </w:rPr>
        <w:t>（六）期间损益归属</w:t>
      </w:r>
    </w:p>
    <w:p w:rsidR="004F6ED8" w:rsidRDefault="00467390">
      <w:pPr>
        <w:spacing w:line="520" w:lineRule="exact"/>
        <w:ind w:firstLineChars="224" w:firstLine="538"/>
        <w:rPr>
          <w:rFonts w:ascii="宋体" w:hAnsi="宋体"/>
          <w:sz w:val="24"/>
        </w:rPr>
      </w:pPr>
      <w:r>
        <w:rPr>
          <w:rFonts w:ascii="宋体" w:hAnsi="宋体" w:hint="eastAsia"/>
          <w:sz w:val="24"/>
        </w:rPr>
        <w:t>1、各方同意，标的股份对应的标的企业自评估基准日（即2023年9月30日）至交割日当月月末（如甲方在2024年3月内足额支付完毕转让价款，即2024年3月31日）期间产生的盈利或亏损（以下简称“期间损益”）均由乙方享有或承担，本次交易的转让价格不</w:t>
      </w:r>
      <w:proofErr w:type="gramStart"/>
      <w:r>
        <w:rPr>
          <w:rFonts w:ascii="宋体" w:hAnsi="宋体" w:hint="eastAsia"/>
          <w:sz w:val="24"/>
        </w:rPr>
        <w:t>因期间</w:t>
      </w:r>
      <w:proofErr w:type="gramEnd"/>
      <w:r>
        <w:rPr>
          <w:rFonts w:ascii="宋体" w:hAnsi="宋体" w:hint="eastAsia"/>
          <w:sz w:val="24"/>
        </w:rPr>
        <w:t>损益调整。</w:t>
      </w:r>
    </w:p>
    <w:p w:rsidR="004F6ED8" w:rsidRDefault="00467390">
      <w:pPr>
        <w:spacing w:line="520" w:lineRule="exact"/>
        <w:ind w:firstLineChars="224" w:firstLine="538"/>
        <w:rPr>
          <w:rFonts w:ascii="宋体" w:hAnsi="宋体"/>
          <w:sz w:val="24"/>
        </w:rPr>
      </w:pPr>
      <w:r>
        <w:rPr>
          <w:rFonts w:ascii="宋体" w:hAnsi="宋体" w:hint="eastAsia"/>
          <w:sz w:val="24"/>
        </w:rPr>
        <w:lastRenderedPageBreak/>
        <w:t>2、各方同意，标的企业截至评估基准日的累计未分配利润由交割完成后的标的企业新老股东按照持股比例共享。</w:t>
      </w:r>
    </w:p>
    <w:p w:rsidR="004F6ED8" w:rsidRDefault="00467390">
      <w:pPr>
        <w:spacing w:line="520" w:lineRule="exact"/>
        <w:ind w:firstLineChars="224" w:firstLine="538"/>
        <w:rPr>
          <w:rFonts w:ascii="宋体" w:hAnsi="宋体"/>
          <w:sz w:val="24"/>
        </w:rPr>
      </w:pPr>
      <w:r>
        <w:rPr>
          <w:rFonts w:ascii="宋体" w:hAnsi="宋体" w:hint="eastAsia"/>
          <w:sz w:val="24"/>
        </w:rPr>
        <w:t>（七）过渡期间的承诺及安排</w:t>
      </w:r>
    </w:p>
    <w:p w:rsidR="004F6ED8" w:rsidRDefault="00467390">
      <w:pPr>
        <w:spacing w:line="520" w:lineRule="exact"/>
        <w:ind w:firstLineChars="224" w:firstLine="538"/>
        <w:rPr>
          <w:rFonts w:ascii="宋体" w:hAnsi="宋体"/>
          <w:sz w:val="24"/>
        </w:rPr>
      </w:pPr>
      <w:r>
        <w:rPr>
          <w:rFonts w:ascii="宋体" w:hAnsi="宋体" w:hint="eastAsia"/>
          <w:sz w:val="24"/>
        </w:rPr>
        <w:t>甲方承诺在评估基准日至交割日期间（以下简称“过渡期间”），除乙方书面同意的情形外：保证持续拥有转让标的</w:t>
      </w:r>
      <w:proofErr w:type="gramStart"/>
      <w:r>
        <w:rPr>
          <w:rFonts w:ascii="宋体" w:hAnsi="宋体" w:hint="eastAsia"/>
          <w:sz w:val="24"/>
        </w:rPr>
        <w:t>的</w:t>
      </w:r>
      <w:proofErr w:type="gramEnd"/>
      <w:r>
        <w:rPr>
          <w:rFonts w:ascii="宋体" w:hAnsi="宋体" w:hint="eastAsia"/>
          <w:sz w:val="24"/>
        </w:rPr>
        <w:t>合法、完整的所有权，未对且不会对标的股份设置任何权益负担；按照与以往惯例及谨慎商业惯例一致的方式合理、谨慎地运营、管理标的企业；督促标的企业积极收取其享有的应收账款；确保标的企业未从事且不会从事任何对本次交易构成重大不利影响的行为。</w:t>
      </w:r>
    </w:p>
    <w:p w:rsidR="004F6ED8" w:rsidRDefault="00467390">
      <w:pPr>
        <w:spacing w:line="520" w:lineRule="exact"/>
        <w:ind w:firstLineChars="224" w:firstLine="538"/>
        <w:rPr>
          <w:rFonts w:ascii="宋体" w:hAnsi="宋体"/>
          <w:sz w:val="24"/>
        </w:rPr>
      </w:pPr>
      <w:r>
        <w:rPr>
          <w:rFonts w:ascii="宋体" w:hAnsi="宋体" w:hint="eastAsia"/>
          <w:sz w:val="24"/>
        </w:rPr>
        <w:t>（八）违约责任</w:t>
      </w:r>
    </w:p>
    <w:p w:rsidR="004F6ED8" w:rsidRDefault="00467390">
      <w:pPr>
        <w:spacing w:line="520" w:lineRule="exact"/>
        <w:ind w:firstLineChars="224" w:firstLine="538"/>
        <w:rPr>
          <w:rFonts w:ascii="宋体" w:hAnsi="宋体"/>
          <w:sz w:val="24"/>
        </w:rPr>
      </w:pPr>
      <w:r>
        <w:rPr>
          <w:rFonts w:ascii="宋体" w:hAnsi="宋体" w:hint="eastAsia"/>
          <w:sz w:val="24"/>
        </w:rPr>
        <w:t>1、本合同生效后，除法律法规或本合同约定情形外，任何一方均不得无故提出解除合同；违反前述约定的，守约方有权要求继续履行本合同，违约方应按照本合同转让价款的</w:t>
      </w:r>
      <w:r>
        <w:rPr>
          <w:rFonts w:ascii="宋体" w:hAnsi="宋体"/>
          <w:sz w:val="24"/>
        </w:rPr>
        <w:t>30</w:t>
      </w:r>
      <w:r>
        <w:rPr>
          <w:rFonts w:ascii="宋体" w:hAnsi="宋体" w:hint="eastAsia"/>
          <w:sz w:val="24"/>
        </w:rPr>
        <w:t>%向对方一次性支付违约金，给对方造成损失的，还应承担赔偿责任。</w:t>
      </w:r>
    </w:p>
    <w:p w:rsidR="004F6ED8" w:rsidRDefault="00467390">
      <w:pPr>
        <w:spacing w:line="520" w:lineRule="exact"/>
        <w:ind w:firstLineChars="224" w:firstLine="538"/>
        <w:rPr>
          <w:rFonts w:ascii="宋体" w:hAnsi="宋体"/>
          <w:sz w:val="24"/>
        </w:rPr>
      </w:pPr>
      <w:r>
        <w:rPr>
          <w:rFonts w:ascii="宋体" w:hAnsi="宋体" w:hint="eastAsia"/>
          <w:sz w:val="24"/>
        </w:rPr>
        <w:t>2、乙方未按合同约定期限支付转让价款的，应向甲方支付逾期付款违约金。违约金按照延迟支付期间应付未付价款的每日万分之一计算。</w:t>
      </w:r>
      <w:bookmarkStart w:id="2" w:name="_Hlk159418536"/>
      <w:r>
        <w:rPr>
          <w:rFonts w:ascii="宋体" w:hAnsi="宋体" w:hint="eastAsia"/>
          <w:sz w:val="24"/>
        </w:rPr>
        <w:t>逾期付款超过</w:t>
      </w:r>
      <w:r>
        <w:rPr>
          <w:rFonts w:ascii="宋体" w:hAnsi="宋体"/>
          <w:sz w:val="24"/>
        </w:rPr>
        <w:t>60</w:t>
      </w:r>
      <w:r>
        <w:rPr>
          <w:rFonts w:ascii="宋体" w:hAnsi="宋体" w:hint="eastAsia"/>
          <w:sz w:val="24"/>
        </w:rPr>
        <w:t>日，甲方有权解除合同并要求扣除乙方支付的</w:t>
      </w:r>
      <w:r>
        <w:rPr>
          <w:rFonts w:ascii="宋体" w:hAnsi="宋体"/>
          <w:sz w:val="24"/>
        </w:rPr>
        <w:t>保证金</w:t>
      </w:r>
      <w:r>
        <w:rPr>
          <w:rFonts w:ascii="宋体" w:hAnsi="宋体" w:hint="eastAsia"/>
          <w:sz w:val="24"/>
        </w:rPr>
        <w:t>，扣除</w:t>
      </w:r>
      <w:r>
        <w:rPr>
          <w:rFonts w:ascii="宋体" w:hAnsi="宋体"/>
          <w:sz w:val="24"/>
        </w:rPr>
        <w:t>的</w:t>
      </w:r>
      <w:r>
        <w:rPr>
          <w:rFonts w:ascii="宋体" w:hAnsi="宋体" w:hint="eastAsia"/>
          <w:sz w:val="24"/>
        </w:rPr>
        <w:t>保证金</w:t>
      </w:r>
      <w:r>
        <w:rPr>
          <w:rFonts w:ascii="宋体" w:hAnsi="宋体"/>
          <w:sz w:val="24"/>
        </w:rPr>
        <w:t>首先</w:t>
      </w:r>
      <w:r>
        <w:rPr>
          <w:rFonts w:ascii="宋体" w:hAnsi="宋体" w:hint="eastAsia"/>
          <w:sz w:val="24"/>
        </w:rPr>
        <w:t>用于支付北交所应收取的各项服务费，剩余款项作为对甲方的</w:t>
      </w:r>
      <w:r>
        <w:rPr>
          <w:rFonts w:ascii="宋体" w:hAnsi="宋体"/>
          <w:sz w:val="24"/>
        </w:rPr>
        <w:t>赔偿</w:t>
      </w:r>
      <w:r>
        <w:rPr>
          <w:rFonts w:ascii="宋体" w:hAnsi="宋体" w:hint="eastAsia"/>
          <w:sz w:val="24"/>
        </w:rPr>
        <w:t>，</w:t>
      </w:r>
      <w:r>
        <w:rPr>
          <w:rFonts w:ascii="宋体" w:hAnsi="宋体"/>
          <w:sz w:val="24"/>
        </w:rPr>
        <w:t>不足以弥补甲方损失的，</w:t>
      </w:r>
      <w:r>
        <w:rPr>
          <w:rFonts w:ascii="宋体" w:hAnsi="宋体" w:hint="eastAsia"/>
          <w:sz w:val="24"/>
        </w:rPr>
        <w:t>甲方可继续</w:t>
      </w:r>
      <w:r>
        <w:rPr>
          <w:rFonts w:ascii="宋体" w:hAnsi="宋体"/>
          <w:sz w:val="24"/>
        </w:rPr>
        <w:t>向乙方追偿</w:t>
      </w:r>
      <w:bookmarkEnd w:id="2"/>
      <w:r>
        <w:rPr>
          <w:rFonts w:ascii="宋体" w:hAnsi="宋体" w:hint="eastAsia"/>
          <w:sz w:val="24"/>
        </w:rPr>
        <w:t>。</w:t>
      </w:r>
    </w:p>
    <w:p w:rsidR="004F6ED8" w:rsidRDefault="00467390">
      <w:pPr>
        <w:spacing w:line="520" w:lineRule="exact"/>
        <w:ind w:firstLineChars="224" w:firstLine="538"/>
        <w:rPr>
          <w:rFonts w:ascii="宋体" w:hAnsi="宋体"/>
          <w:sz w:val="24"/>
        </w:rPr>
      </w:pPr>
      <w:r>
        <w:rPr>
          <w:rFonts w:ascii="宋体" w:hAnsi="宋体" w:hint="eastAsia"/>
          <w:sz w:val="24"/>
        </w:rPr>
        <w:t>3、甲方未按本合同及/或本合同补充协议约定交割转让标的及/或办理其他交割事项的，应向乙方支付逾期违约金，违约金按照甲方通过本次交易获得的交易价款总额的每日万分之一计算。逾期超过</w:t>
      </w:r>
      <w:r>
        <w:rPr>
          <w:rFonts w:ascii="宋体" w:hAnsi="宋体"/>
          <w:sz w:val="24"/>
        </w:rPr>
        <w:t>60</w:t>
      </w:r>
      <w:r>
        <w:rPr>
          <w:rFonts w:ascii="宋体" w:hAnsi="宋体" w:hint="eastAsia"/>
          <w:sz w:val="24"/>
        </w:rPr>
        <w:t>日，乙方有权解除本合同，并要求甲方按照本合同转让价款总额的</w:t>
      </w:r>
      <w:r>
        <w:rPr>
          <w:rFonts w:ascii="宋体" w:hAnsi="宋体"/>
          <w:sz w:val="24"/>
        </w:rPr>
        <w:t>30</w:t>
      </w:r>
      <w:r>
        <w:rPr>
          <w:rFonts w:ascii="宋体" w:hAnsi="宋体" w:hint="eastAsia"/>
          <w:sz w:val="24"/>
        </w:rPr>
        <w:t>%向乙方支付违约金。</w:t>
      </w:r>
    </w:p>
    <w:p w:rsidR="004F6ED8" w:rsidRDefault="00467390">
      <w:pPr>
        <w:spacing w:line="520" w:lineRule="exact"/>
        <w:ind w:firstLineChars="224" w:firstLine="538"/>
        <w:rPr>
          <w:rFonts w:ascii="宋体" w:hAnsi="宋体"/>
          <w:sz w:val="24"/>
        </w:rPr>
      </w:pPr>
      <w:r>
        <w:rPr>
          <w:rFonts w:ascii="宋体" w:hAnsi="宋体" w:hint="eastAsia"/>
          <w:sz w:val="24"/>
        </w:rPr>
        <w:t>4、标的企业的资产、债务等存在重大事项未披露或存在遗漏，或甲方在本合同及/或本合同补充协议中所</w:t>
      </w:r>
      <w:proofErr w:type="gramStart"/>
      <w:r>
        <w:rPr>
          <w:rFonts w:ascii="宋体" w:hAnsi="宋体" w:hint="eastAsia"/>
          <w:sz w:val="24"/>
        </w:rPr>
        <w:t>作出</w:t>
      </w:r>
      <w:proofErr w:type="gramEnd"/>
      <w:r>
        <w:rPr>
          <w:rFonts w:ascii="宋体" w:hAnsi="宋体" w:hint="eastAsia"/>
          <w:sz w:val="24"/>
        </w:rPr>
        <w:t>的陈述、保证或承诺严重失实或严重有误，或甲方不履行或不适当履行其在本合同项下义务，对标的企业可能造成重大不利影响，或可能对产权转让价格构成重大不利影响的，乙方有权解除合同，并要求</w:t>
      </w:r>
      <w:r>
        <w:rPr>
          <w:rFonts w:ascii="宋体" w:hAnsi="宋体" w:hint="eastAsia"/>
          <w:sz w:val="24"/>
        </w:rPr>
        <w:lastRenderedPageBreak/>
        <w:t>甲方按照本合同转让价款总额的</w:t>
      </w:r>
      <w:r>
        <w:rPr>
          <w:rFonts w:ascii="宋体" w:hAnsi="宋体"/>
          <w:sz w:val="24"/>
        </w:rPr>
        <w:t>30</w:t>
      </w:r>
      <w:r>
        <w:rPr>
          <w:rFonts w:ascii="宋体" w:hAnsi="宋体" w:hint="eastAsia"/>
          <w:sz w:val="24"/>
        </w:rPr>
        <w:t>%承担违约责任。</w:t>
      </w:r>
    </w:p>
    <w:p w:rsidR="004F6ED8" w:rsidRDefault="00467390">
      <w:pPr>
        <w:spacing w:line="520" w:lineRule="exact"/>
        <w:ind w:firstLineChars="224" w:firstLine="538"/>
        <w:rPr>
          <w:rFonts w:ascii="宋体" w:hAnsi="宋体"/>
          <w:sz w:val="24"/>
        </w:rPr>
      </w:pPr>
      <w:r>
        <w:rPr>
          <w:rFonts w:ascii="宋体" w:hAnsi="宋体" w:hint="eastAsia"/>
          <w:sz w:val="24"/>
        </w:rPr>
        <w:t>乙方不解除合同的，有权要求甲方就有关事项进行补偿。补偿金额应相当于上述事项可能导致的标的企业的损失数额中转让标的对应部分或导致的乙方损失数额。</w:t>
      </w:r>
    </w:p>
    <w:p w:rsidR="004F6ED8" w:rsidRDefault="00467390">
      <w:pPr>
        <w:spacing w:line="520" w:lineRule="exact"/>
        <w:ind w:firstLineChars="224" w:firstLine="538"/>
        <w:rPr>
          <w:rFonts w:ascii="宋体" w:hAnsi="宋体"/>
          <w:sz w:val="24"/>
        </w:rPr>
      </w:pPr>
      <w:r>
        <w:rPr>
          <w:rFonts w:ascii="宋体" w:hAnsi="宋体" w:hint="eastAsia"/>
          <w:sz w:val="24"/>
        </w:rPr>
        <w:t>（九）合同的生效</w:t>
      </w:r>
    </w:p>
    <w:p w:rsidR="004F6ED8" w:rsidRDefault="00467390">
      <w:pPr>
        <w:spacing w:line="520" w:lineRule="exact"/>
        <w:ind w:firstLineChars="224" w:firstLine="520"/>
        <w:rPr>
          <w:spacing w:val="-4"/>
        </w:rPr>
      </w:pPr>
      <w:r>
        <w:rPr>
          <w:rFonts w:ascii="宋体" w:hAnsi="宋体" w:hint="eastAsia"/>
          <w:spacing w:val="-4"/>
          <w:sz w:val="24"/>
        </w:rPr>
        <w:t>本合同自甲乙双方盖章且法定代表人或授权代表签字之日起生效。</w:t>
      </w:r>
    </w:p>
    <w:p w:rsidR="004F6ED8" w:rsidRDefault="00467390">
      <w:pPr>
        <w:pStyle w:val="af8"/>
        <w:ind w:firstLine="482"/>
        <w:rPr>
          <w:b/>
          <w:bCs/>
          <w:spacing w:val="-2"/>
          <w:lang w:eastAsia="zh-CN"/>
        </w:rPr>
      </w:pPr>
      <w:r>
        <w:rPr>
          <w:rFonts w:hint="eastAsia"/>
          <w:b/>
          <w:bCs/>
          <w:lang w:eastAsia="zh-CN"/>
        </w:rPr>
        <w:t>四、本次交易</w:t>
      </w:r>
      <w:r>
        <w:rPr>
          <w:b/>
          <w:bCs/>
          <w:lang w:eastAsia="zh-CN"/>
        </w:rPr>
        <w:t>对公司的影响</w:t>
      </w:r>
    </w:p>
    <w:p w:rsidR="004F6ED8" w:rsidRDefault="00467390">
      <w:pPr>
        <w:pStyle w:val="af8"/>
        <w:rPr>
          <w:lang w:eastAsia="zh-CN"/>
        </w:rPr>
      </w:pPr>
      <w:r>
        <w:rPr>
          <w:rFonts w:hint="eastAsia"/>
          <w:lang w:eastAsia="zh-CN"/>
        </w:rPr>
        <w:t>公司目前的主营业务之一为输配电及其控制设备的研发、生产和销售，输配电及其控制设备产品包括110kV级及以下电力变压器、成套电气设备和箱式变电站等。2022年公司实现电力变压器产量852.70万kVA，成套电气设备9,491台，箱式变电站1,138台，产能利用率分别为101.71%、91.93%和83.92%。</w:t>
      </w:r>
    </w:p>
    <w:p w:rsidR="004F6ED8" w:rsidRDefault="00467390">
      <w:pPr>
        <w:pStyle w:val="af8"/>
        <w:rPr>
          <w:lang w:eastAsia="zh-CN"/>
        </w:rPr>
      </w:pPr>
      <w:r>
        <w:rPr>
          <w:rFonts w:hint="eastAsia"/>
          <w:lang w:eastAsia="zh-CN"/>
        </w:rPr>
        <w:t>标的企业主营业务为生产及销售220kV级及以下电力变压器、牵引变压器等类型变压器，同时具备500kV变压器生产能力。</w:t>
      </w:r>
    </w:p>
    <w:p w:rsidR="004F6ED8" w:rsidRDefault="00467390">
      <w:pPr>
        <w:pStyle w:val="af8"/>
        <w:rPr>
          <w:lang w:eastAsia="zh-CN"/>
        </w:rPr>
      </w:pPr>
      <w:r>
        <w:rPr>
          <w:rFonts w:hint="eastAsia"/>
          <w:lang w:eastAsia="zh-CN"/>
        </w:rPr>
        <w:t>本次竞购成功后，公司220kV级及以下变压器的研发能力及市场竞争力将快速提升，同时公司将具备500kV级电力变压器生产能力，有助于扩大公司的产品业务规模，进一步提升公司的整体竞争力。</w:t>
      </w:r>
    </w:p>
    <w:p w:rsidR="004F6ED8" w:rsidRDefault="00467390">
      <w:pPr>
        <w:pStyle w:val="af8"/>
        <w:rPr>
          <w:spacing w:val="-4"/>
          <w:lang w:eastAsia="zh-CN"/>
        </w:rPr>
      </w:pPr>
      <w:r>
        <w:rPr>
          <w:rFonts w:hint="eastAsia"/>
          <w:lang w:eastAsia="zh-CN"/>
        </w:rPr>
        <w:t>本次交易完成后，</w:t>
      </w:r>
      <w:proofErr w:type="gramStart"/>
      <w:r>
        <w:rPr>
          <w:rFonts w:hint="eastAsia"/>
          <w:lang w:eastAsia="zh-CN"/>
        </w:rPr>
        <w:t>云变电气</w:t>
      </w:r>
      <w:proofErr w:type="gramEnd"/>
      <w:r>
        <w:rPr>
          <w:rFonts w:hint="eastAsia"/>
          <w:lang w:eastAsia="zh-CN"/>
        </w:rPr>
        <w:t>将成为公司的控股</w:t>
      </w:r>
      <w:r>
        <w:rPr>
          <w:rFonts w:hint="eastAsia"/>
          <w:spacing w:val="-4"/>
          <w:lang w:eastAsia="zh-CN"/>
        </w:rPr>
        <w:t>子公司，公司的合并报表范围将发生变化。</w:t>
      </w:r>
    </w:p>
    <w:p w:rsidR="004F6ED8" w:rsidRDefault="004F6ED8">
      <w:pPr>
        <w:pStyle w:val="af8"/>
        <w:rPr>
          <w:lang w:eastAsia="zh-CN"/>
        </w:rPr>
      </w:pPr>
    </w:p>
    <w:p w:rsidR="004F6ED8" w:rsidRDefault="00467390">
      <w:pPr>
        <w:adjustRightInd w:val="0"/>
        <w:snapToGrid w:val="0"/>
        <w:spacing w:line="560" w:lineRule="exact"/>
        <w:ind w:firstLineChars="200" w:firstLine="480"/>
        <w:rPr>
          <w:rFonts w:ascii="宋体" w:eastAsia="宋体" w:hAnsi="宋体"/>
          <w:color w:val="000000"/>
          <w:sz w:val="24"/>
          <w:szCs w:val="24"/>
        </w:rPr>
      </w:pPr>
      <w:r>
        <w:rPr>
          <w:rFonts w:ascii="宋体" w:eastAsia="宋体" w:hAnsi="宋体" w:hint="eastAsia"/>
          <w:color w:val="000000"/>
          <w:sz w:val="24"/>
          <w:szCs w:val="24"/>
        </w:rPr>
        <w:t>特此公告。</w:t>
      </w:r>
    </w:p>
    <w:p w:rsidR="004F6ED8" w:rsidRDefault="00467390">
      <w:pPr>
        <w:adjustRightInd w:val="0"/>
        <w:snapToGrid w:val="0"/>
        <w:spacing w:line="560" w:lineRule="exact"/>
        <w:ind w:firstLineChars="200" w:firstLine="480"/>
        <w:jc w:val="right"/>
        <w:rPr>
          <w:rFonts w:ascii="宋体" w:eastAsia="宋体" w:hAnsi="宋体"/>
          <w:color w:val="000000"/>
          <w:sz w:val="24"/>
          <w:szCs w:val="24"/>
        </w:rPr>
      </w:pPr>
      <w:proofErr w:type="gramStart"/>
      <w:r>
        <w:rPr>
          <w:rFonts w:ascii="宋体" w:eastAsia="宋体" w:hAnsi="宋体" w:cs="宋体" w:hint="eastAsia"/>
          <w:color w:val="000000"/>
          <w:kern w:val="0"/>
          <w:sz w:val="24"/>
          <w:szCs w:val="24"/>
        </w:rPr>
        <w:t>重庆望变电气</w:t>
      </w:r>
      <w:proofErr w:type="gramEnd"/>
      <w:r>
        <w:rPr>
          <w:rFonts w:ascii="宋体" w:eastAsia="宋体" w:hAnsi="宋体" w:cs="宋体" w:hint="eastAsia"/>
          <w:color w:val="000000"/>
          <w:kern w:val="0"/>
          <w:sz w:val="24"/>
          <w:szCs w:val="24"/>
        </w:rPr>
        <w:t>（集团）</w:t>
      </w:r>
      <w:r>
        <w:rPr>
          <w:rFonts w:ascii="宋体" w:eastAsia="宋体" w:hAnsi="宋体" w:cs="仿宋_GB2312" w:hint="eastAsia"/>
          <w:color w:val="000000"/>
          <w:sz w:val="24"/>
          <w:szCs w:val="24"/>
        </w:rPr>
        <w:t>股</w:t>
      </w:r>
      <w:r>
        <w:rPr>
          <w:rFonts w:ascii="宋体" w:eastAsia="宋体" w:hAnsi="宋体" w:hint="eastAsia"/>
          <w:color w:val="000000"/>
          <w:sz w:val="24"/>
          <w:szCs w:val="24"/>
        </w:rPr>
        <w:t>份有限公司董事会</w:t>
      </w:r>
    </w:p>
    <w:p w:rsidR="004F6ED8" w:rsidRDefault="00467390">
      <w:pPr>
        <w:adjustRightInd w:val="0"/>
        <w:snapToGrid w:val="0"/>
        <w:spacing w:line="560" w:lineRule="exact"/>
        <w:ind w:firstLineChars="200" w:firstLine="480"/>
        <w:jc w:val="right"/>
        <w:rPr>
          <w:rFonts w:ascii="宋体" w:eastAsia="宋体" w:hAnsi="宋体"/>
          <w:color w:val="000000"/>
          <w:sz w:val="24"/>
          <w:szCs w:val="24"/>
        </w:rPr>
      </w:pPr>
      <w:r>
        <w:rPr>
          <w:rFonts w:ascii="宋体" w:eastAsia="宋体" w:hAnsi="宋体"/>
          <w:color w:val="000000"/>
          <w:sz w:val="24"/>
          <w:szCs w:val="24"/>
        </w:rPr>
        <w:t>202</w:t>
      </w:r>
      <w:r>
        <w:rPr>
          <w:rFonts w:ascii="宋体" w:eastAsia="宋体" w:hAnsi="宋体" w:hint="eastAsia"/>
          <w:color w:val="000000"/>
          <w:sz w:val="24"/>
          <w:szCs w:val="24"/>
        </w:rPr>
        <w:t>4年3月22日</w:t>
      </w:r>
    </w:p>
    <w:sectPr w:rsidR="004F6ED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542" w:rsidRDefault="009D2542">
      <w:r>
        <w:separator/>
      </w:r>
    </w:p>
  </w:endnote>
  <w:endnote w:type="continuationSeparator" w:id="0">
    <w:p w:rsidR="009D2542" w:rsidRDefault="009D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207842"/>
    </w:sdtPr>
    <w:sdtEndPr/>
    <w:sdtContent>
      <w:p w:rsidR="004F6ED8" w:rsidRDefault="00467390">
        <w:pPr>
          <w:pStyle w:val="aff6"/>
          <w:jc w:val="center"/>
        </w:pPr>
        <w:r>
          <w:fldChar w:fldCharType="begin"/>
        </w:r>
        <w:r>
          <w:instrText>PAGE   \* MERGEFORMAT</w:instrText>
        </w:r>
        <w:r>
          <w:fldChar w:fldCharType="separate"/>
        </w:r>
        <w:r w:rsidR="006906F2" w:rsidRPr="006906F2">
          <w:rPr>
            <w:noProof/>
            <w:lang w:val="zh-CN"/>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542" w:rsidRDefault="009D2542">
      <w:r>
        <w:separator/>
      </w:r>
    </w:p>
  </w:footnote>
  <w:footnote w:type="continuationSeparator" w:id="0">
    <w:p w:rsidR="009D2542" w:rsidRDefault="009D2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25F15770"/>
    <w:multiLevelType w:val="multilevel"/>
    <w:tmpl w:val="25F15770"/>
    <w:lvl w:ilvl="0">
      <w:start w:val="1"/>
      <w:numFmt w:val="koreanDigital2"/>
      <w:pStyle w:val="NYIndentureL1"/>
      <w:suff w:val="space"/>
      <w:lvlText w:val="第%1条"/>
      <w:lvlJc w:val="left"/>
      <w:pPr>
        <w:ind w:left="0" w:firstLine="0"/>
      </w:pPr>
      <w:rPr>
        <w:rFonts w:ascii="宋体" w:hAnsi="宋体" w:hint="eastAsia"/>
        <w:b/>
        <w:i w:val="0"/>
        <w:caps/>
        <w:smallCaps w:val="0"/>
        <w:strike w:val="0"/>
        <w:dstrike w:val="0"/>
        <w:vanish w:val="0"/>
        <w:sz w:val="24"/>
        <w:szCs w:val="24"/>
        <w:u w:val="none"/>
        <w:vertAlign w:val="baseline"/>
      </w:rPr>
    </w:lvl>
    <w:lvl w:ilvl="1">
      <w:start w:val="1"/>
      <w:numFmt w:val="decimalZero"/>
      <w:pStyle w:val="NYIndentureL2"/>
      <w:isLgl/>
      <w:lvlText w:val="%1.%2"/>
      <w:lvlJc w:val="left"/>
      <w:pPr>
        <w:tabs>
          <w:tab w:val="left" w:pos="720"/>
        </w:tabs>
        <w:ind w:left="0" w:firstLine="1440"/>
      </w:pPr>
      <w:rPr>
        <w:rFonts w:hint="default"/>
        <w:b w:val="0"/>
        <w:i w:val="0"/>
        <w:caps w:val="0"/>
        <w:strike w:val="0"/>
        <w:dstrike w:val="0"/>
        <w:vanish w:val="0"/>
        <w:u w:val="none"/>
        <w:vertAlign w:val="baseline"/>
      </w:rPr>
    </w:lvl>
    <w:lvl w:ilvl="2">
      <w:start w:val="1"/>
      <w:numFmt w:val="lowerLetter"/>
      <w:pStyle w:val="NYIndentureL3"/>
      <w:lvlText w:val="(%3)"/>
      <w:lvlJc w:val="left"/>
      <w:pPr>
        <w:tabs>
          <w:tab w:val="left" w:pos="1440"/>
        </w:tabs>
        <w:ind w:left="0" w:firstLine="720"/>
      </w:pPr>
      <w:rPr>
        <w:rFonts w:hint="default"/>
        <w:b w:val="0"/>
        <w:i w:val="0"/>
        <w:caps w:val="0"/>
        <w:strike w:val="0"/>
        <w:dstrike w:val="0"/>
        <w:vanish w:val="0"/>
        <w:u w:val="none"/>
        <w:vertAlign w:val="baseline"/>
      </w:rPr>
    </w:lvl>
    <w:lvl w:ilvl="3">
      <w:start w:val="1"/>
      <w:numFmt w:val="lowerRoman"/>
      <w:lvlText w:val="(%4)"/>
      <w:lvlJc w:val="left"/>
      <w:pPr>
        <w:tabs>
          <w:tab w:val="left" w:pos="2160"/>
        </w:tabs>
        <w:ind w:left="720" w:firstLine="720"/>
      </w:pPr>
      <w:rPr>
        <w:rFonts w:hint="default"/>
        <w:b w:val="0"/>
        <w:i w:val="0"/>
        <w:caps w:val="0"/>
        <w:strike w:val="0"/>
        <w:dstrike w:val="0"/>
        <w:vanish w:val="0"/>
        <w:u w:val="none"/>
        <w:vertAlign w:val="baseline"/>
      </w:rPr>
    </w:lvl>
    <w:lvl w:ilvl="4">
      <w:start w:val="1"/>
      <w:numFmt w:val="ordinalText"/>
      <w:suff w:val="space"/>
      <w:lvlText w:val="%5:"/>
      <w:lvlJc w:val="left"/>
      <w:pPr>
        <w:ind w:left="720" w:firstLine="720"/>
      </w:pPr>
      <w:rPr>
        <w:rFonts w:hint="default"/>
        <w:b w:val="0"/>
        <w:i w:val="0"/>
        <w:caps w:val="0"/>
        <w:strike w:val="0"/>
        <w:dstrike w:val="0"/>
        <w:vanish w:val="0"/>
        <w:u w:val="none"/>
        <w:vertAlign w:val="baseline"/>
      </w:rPr>
    </w:lvl>
    <w:lvl w:ilvl="5">
      <w:start w:val="1"/>
      <w:numFmt w:val="none"/>
      <w:lvlText w:val=""/>
      <w:lvlJc w:val="left"/>
      <w:pPr>
        <w:tabs>
          <w:tab w:val="left" w:pos="720"/>
        </w:tabs>
        <w:ind w:left="0" w:firstLine="0"/>
      </w:pPr>
      <w:rPr>
        <w:rFonts w:hint="default"/>
        <w:b w:val="0"/>
        <w:i w:val="0"/>
        <w:caps w:val="0"/>
        <w:strike w:val="0"/>
        <w:dstrike w:val="0"/>
        <w:vanish w:val="0"/>
        <w:u w:val="none"/>
        <w:vertAlign w:val="baseline"/>
      </w:rPr>
    </w:lvl>
    <w:lvl w:ilvl="6">
      <w:start w:val="1"/>
      <w:numFmt w:val="none"/>
      <w:lvlText w:val=""/>
      <w:lvlJc w:val="left"/>
      <w:pPr>
        <w:tabs>
          <w:tab w:val="left" w:pos="720"/>
        </w:tabs>
        <w:ind w:left="0" w:firstLine="0"/>
      </w:pPr>
      <w:rPr>
        <w:rFonts w:hint="default"/>
        <w:b w:val="0"/>
        <w:i w:val="0"/>
        <w:caps w:val="0"/>
        <w:strike w:val="0"/>
        <w:dstrike w:val="0"/>
        <w:vanish w:val="0"/>
        <w:u w:val="none"/>
        <w:vertAlign w:val="baseline"/>
      </w:rPr>
    </w:lvl>
    <w:lvl w:ilvl="7">
      <w:start w:val="1"/>
      <w:numFmt w:val="none"/>
      <w:lvlText w:val=""/>
      <w:lvlJc w:val="left"/>
      <w:pPr>
        <w:tabs>
          <w:tab w:val="left" w:pos="720"/>
        </w:tabs>
        <w:ind w:left="0" w:firstLine="0"/>
      </w:pPr>
      <w:rPr>
        <w:rFonts w:hint="default"/>
        <w:b w:val="0"/>
        <w:i w:val="0"/>
        <w:caps w:val="0"/>
        <w:strike w:val="0"/>
        <w:dstrike w:val="0"/>
        <w:vanish w:val="0"/>
        <w:u w:val="none"/>
        <w:vertAlign w:val="baseline"/>
      </w:rPr>
    </w:lvl>
    <w:lvl w:ilvl="8">
      <w:start w:val="1"/>
      <w:numFmt w:val="none"/>
      <w:lvlText w:val=""/>
      <w:lvlJc w:val="left"/>
      <w:pPr>
        <w:tabs>
          <w:tab w:val="left" w:pos="720"/>
        </w:tabs>
        <w:ind w:left="0" w:firstLine="0"/>
      </w:pPr>
      <w:rPr>
        <w:rFonts w:hint="default"/>
        <w:b w:val="0"/>
        <w:i w:val="0"/>
        <w:caps w:val="0"/>
        <w:strike w:val="0"/>
        <w:dstrike w:val="0"/>
        <w:vanish w:val="0"/>
        <w:u w:val="none"/>
        <w:vertAlign w:val="baseline"/>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10BC9"/>
    <w:rsid w:val="0003670A"/>
    <w:rsid w:val="000378C7"/>
    <w:rsid w:val="00042D02"/>
    <w:rsid w:val="00064FE8"/>
    <w:rsid w:val="00076EFD"/>
    <w:rsid w:val="0008555B"/>
    <w:rsid w:val="000A40E4"/>
    <w:rsid w:val="000B1A1F"/>
    <w:rsid w:val="000C53B9"/>
    <w:rsid w:val="000C72A9"/>
    <w:rsid w:val="000D3DA9"/>
    <w:rsid w:val="000D409C"/>
    <w:rsid w:val="00102455"/>
    <w:rsid w:val="00123266"/>
    <w:rsid w:val="001254C4"/>
    <w:rsid w:val="00140439"/>
    <w:rsid w:val="0014777F"/>
    <w:rsid w:val="001507FC"/>
    <w:rsid w:val="0016249D"/>
    <w:rsid w:val="001723E5"/>
    <w:rsid w:val="00190DA2"/>
    <w:rsid w:val="00192BD0"/>
    <w:rsid w:val="001A727A"/>
    <w:rsid w:val="001C1ED6"/>
    <w:rsid w:val="001D06CF"/>
    <w:rsid w:val="001D4E14"/>
    <w:rsid w:val="001D51B9"/>
    <w:rsid w:val="00201DED"/>
    <w:rsid w:val="0020797D"/>
    <w:rsid w:val="00207B64"/>
    <w:rsid w:val="00225FE6"/>
    <w:rsid w:val="00252550"/>
    <w:rsid w:val="00277255"/>
    <w:rsid w:val="002B229C"/>
    <w:rsid w:val="002F53E5"/>
    <w:rsid w:val="003112C9"/>
    <w:rsid w:val="003505CE"/>
    <w:rsid w:val="00351429"/>
    <w:rsid w:val="003541EB"/>
    <w:rsid w:val="003571E3"/>
    <w:rsid w:val="00391A1B"/>
    <w:rsid w:val="0039276C"/>
    <w:rsid w:val="003E38F1"/>
    <w:rsid w:val="003F1451"/>
    <w:rsid w:val="004466B8"/>
    <w:rsid w:val="00464AFC"/>
    <w:rsid w:val="00467390"/>
    <w:rsid w:val="004A21C8"/>
    <w:rsid w:val="004A5BBD"/>
    <w:rsid w:val="004A790E"/>
    <w:rsid w:val="004B5841"/>
    <w:rsid w:val="004B6BDD"/>
    <w:rsid w:val="004D041E"/>
    <w:rsid w:val="004D0E8E"/>
    <w:rsid w:val="004F172D"/>
    <w:rsid w:val="004F6ED8"/>
    <w:rsid w:val="00522BE2"/>
    <w:rsid w:val="0053579F"/>
    <w:rsid w:val="005429C2"/>
    <w:rsid w:val="0055216A"/>
    <w:rsid w:val="005750AA"/>
    <w:rsid w:val="00575F03"/>
    <w:rsid w:val="005A15BF"/>
    <w:rsid w:val="005A2954"/>
    <w:rsid w:val="005B7B64"/>
    <w:rsid w:val="005F57F9"/>
    <w:rsid w:val="006150E2"/>
    <w:rsid w:val="0063047D"/>
    <w:rsid w:val="00636BAE"/>
    <w:rsid w:val="00655840"/>
    <w:rsid w:val="006704CD"/>
    <w:rsid w:val="00672360"/>
    <w:rsid w:val="00684FFB"/>
    <w:rsid w:val="006906F2"/>
    <w:rsid w:val="006A3328"/>
    <w:rsid w:val="006A773E"/>
    <w:rsid w:val="006E4DD1"/>
    <w:rsid w:val="006F3EE0"/>
    <w:rsid w:val="007142F2"/>
    <w:rsid w:val="00726F44"/>
    <w:rsid w:val="00732B9D"/>
    <w:rsid w:val="00737063"/>
    <w:rsid w:val="0078004A"/>
    <w:rsid w:val="007A61FA"/>
    <w:rsid w:val="007B073D"/>
    <w:rsid w:val="007B1916"/>
    <w:rsid w:val="007C3FFA"/>
    <w:rsid w:val="007E572E"/>
    <w:rsid w:val="007F703D"/>
    <w:rsid w:val="007F7EDC"/>
    <w:rsid w:val="008162CF"/>
    <w:rsid w:val="008320FC"/>
    <w:rsid w:val="0084121D"/>
    <w:rsid w:val="0084422E"/>
    <w:rsid w:val="00854FC4"/>
    <w:rsid w:val="00855683"/>
    <w:rsid w:val="00856E6D"/>
    <w:rsid w:val="008634A7"/>
    <w:rsid w:val="008A5E36"/>
    <w:rsid w:val="008E4B6F"/>
    <w:rsid w:val="0090186C"/>
    <w:rsid w:val="00902203"/>
    <w:rsid w:val="00915D39"/>
    <w:rsid w:val="00923C08"/>
    <w:rsid w:val="00947C32"/>
    <w:rsid w:val="009679A2"/>
    <w:rsid w:val="00992126"/>
    <w:rsid w:val="009B47DE"/>
    <w:rsid w:val="009D1A30"/>
    <w:rsid w:val="009D2542"/>
    <w:rsid w:val="009E3152"/>
    <w:rsid w:val="009E3407"/>
    <w:rsid w:val="00A01CB8"/>
    <w:rsid w:val="00A05D77"/>
    <w:rsid w:val="00A35853"/>
    <w:rsid w:val="00A40BAA"/>
    <w:rsid w:val="00A41695"/>
    <w:rsid w:val="00A51C23"/>
    <w:rsid w:val="00A53142"/>
    <w:rsid w:val="00A5357E"/>
    <w:rsid w:val="00A56C7F"/>
    <w:rsid w:val="00A57119"/>
    <w:rsid w:val="00A81E75"/>
    <w:rsid w:val="00A823F8"/>
    <w:rsid w:val="00AC3419"/>
    <w:rsid w:val="00AD0F45"/>
    <w:rsid w:val="00B016E7"/>
    <w:rsid w:val="00B13254"/>
    <w:rsid w:val="00B3614E"/>
    <w:rsid w:val="00B61EEE"/>
    <w:rsid w:val="00B9137C"/>
    <w:rsid w:val="00B971E4"/>
    <w:rsid w:val="00BA49C4"/>
    <w:rsid w:val="00BB03CC"/>
    <w:rsid w:val="00BB5947"/>
    <w:rsid w:val="00BB61B6"/>
    <w:rsid w:val="00BC233A"/>
    <w:rsid w:val="00BD3997"/>
    <w:rsid w:val="00BE7D13"/>
    <w:rsid w:val="00BF7BDB"/>
    <w:rsid w:val="00C009B6"/>
    <w:rsid w:val="00C013F5"/>
    <w:rsid w:val="00C47186"/>
    <w:rsid w:val="00C55BBD"/>
    <w:rsid w:val="00C56BA2"/>
    <w:rsid w:val="00C7508F"/>
    <w:rsid w:val="00CB35C7"/>
    <w:rsid w:val="00CC6AE1"/>
    <w:rsid w:val="00CD08C9"/>
    <w:rsid w:val="00CF4977"/>
    <w:rsid w:val="00D25F85"/>
    <w:rsid w:val="00D4059C"/>
    <w:rsid w:val="00D45861"/>
    <w:rsid w:val="00D46F41"/>
    <w:rsid w:val="00D65BA4"/>
    <w:rsid w:val="00D76D97"/>
    <w:rsid w:val="00D8189C"/>
    <w:rsid w:val="00DB13C5"/>
    <w:rsid w:val="00DB744D"/>
    <w:rsid w:val="00DC6C34"/>
    <w:rsid w:val="00DC78D5"/>
    <w:rsid w:val="00DD62E6"/>
    <w:rsid w:val="00DE6E82"/>
    <w:rsid w:val="00DF73E8"/>
    <w:rsid w:val="00E301F1"/>
    <w:rsid w:val="00E558AE"/>
    <w:rsid w:val="00E667EA"/>
    <w:rsid w:val="00E746B0"/>
    <w:rsid w:val="00E818E9"/>
    <w:rsid w:val="00E82A34"/>
    <w:rsid w:val="00E95F43"/>
    <w:rsid w:val="00E97956"/>
    <w:rsid w:val="00EC496E"/>
    <w:rsid w:val="00EE084C"/>
    <w:rsid w:val="00F0268C"/>
    <w:rsid w:val="00F3599D"/>
    <w:rsid w:val="00F36086"/>
    <w:rsid w:val="00F54E0B"/>
    <w:rsid w:val="00F670DD"/>
    <w:rsid w:val="00F70648"/>
    <w:rsid w:val="00FC17CB"/>
    <w:rsid w:val="00FD0FAD"/>
    <w:rsid w:val="00FE6306"/>
    <w:rsid w:val="00FF7741"/>
    <w:rsid w:val="0272202F"/>
    <w:rsid w:val="03343D40"/>
    <w:rsid w:val="051D2BD1"/>
    <w:rsid w:val="08317AF9"/>
    <w:rsid w:val="09D93D68"/>
    <w:rsid w:val="0AB96B89"/>
    <w:rsid w:val="0AF40FFC"/>
    <w:rsid w:val="0B5A614F"/>
    <w:rsid w:val="0BA87C9C"/>
    <w:rsid w:val="0CB64A29"/>
    <w:rsid w:val="0DF129EC"/>
    <w:rsid w:val="0F72351D"/>
    <w:rsid w:val="1346590F"/>
    <w:rsid w:val="13FB01CA"/>
    <w:rsid w:val="14172444"/>
    <w:rsid w:val="1A171801"/>
    <w:rsid w:val="1DAB6DD2"/>
    <w:rsid w:val="1DF06EC2"/>
    <w:rsid w:val="200A4F8B"/>
    <w:rsid w:val="224340DA"/>
    <w:rsid w:val="24A216A6"/>
    <w:rsid w:val="27BD77B9"/>
    <w:rsid w:val="28DF4F8C"/>
    <w:rsid w:val="2A6940E5"/>
    <w:rsid w:val="2BBE6134"/>
    <w:rsid w:val="2F9044D2"/>
    <w:rsid w:val="30E156D2"/>
    <w:rsid w:val="32D57EA5"/>
    <w:rsid w:val="3350577D"/>
    <w:rsid w:val="340E7867"/>
    <w:rsid w:val="35B55AA7"/>
    <w:rsid w:val="36157E17"/>
    <w:rsid w:val="361E1706"/>
    <w:rsid w:val="38BB39B1"/>
    <w:rsid w:val="3A5A39CC"/>
    <w:rsid w:val="3AA458EA"/>
    <w:rsid w:val="3BE61717"/>
    <w:rsid w:val="3F2943D2"/>
    <w:rsid w:val="42132C5D"/>
    <w:rsid w:val="42991A4C"/>
    <w:rsid w:val="42DC0663"/>
    <w:rsid w:val="44D22F34"/>
    <w:rsid w:val="44D46601"/>
    <w:rsid w:val="454B7184"/>
    <w:rsid w:val="46ED5E7D"/>
    <w:rsid w:val="47312A24"/>
    <w:rsid w:val="4A36568F"/>
    <w:rsid w:val="4DD840D9"/>
    <w:rsid w:val="4E7F373F"/>
    <w:rsid w:val="4E8A006A"/>
    <w:rsid w:val="5150387B"/>
    <w:rsid w:val="521827E2"/>
    <w:rsid w:val="529D4CCA"/>
    <w:rsid w:val="542D006B"/>
    <w:rsid w:val="54CA7B2B"/>
    <w:rsid w:val="54E825DB"/>
    <w:rsid w:val="55CE6B97"/>
    <w:rsid w:val="57B1777A"/>
    <w:rsid w:val="59007E53"/>
    <w:rsid w:val="5CE164BE"/>
    <w:rsid w:val="61FA1919"/>
    <w:rsid w:val="63C562D2"/>
    <w:rsid w:val="64380EB6"/>
    <w:rsid w:val="6747227C"/>
    <w:rsid w:val="6843080A"/>
    <w:rsid w:val="69A55478"/>
    <w:rsid w:val="6A823CB0"/>
    <w:rsid w:val="6C89676B"/>
    <w:rsid w:val="6EC21834"/>
    <w:rsid w:val="6F8E647A"/>
    <w:rsid w:val="6FF8393F"/>
    <w:rsid w:val="71374B14"/>
    <w:rsid w:val="714E0CD7"/>
    <w:rsid w:val="71E91A60"/>
    <w:rsid w:val="74383A67"/>
    <w:rsid w:val="74843736"/>
    <w:rsid w:val="76310FC3"/>
    <w:rsid w:val="7650160A"/>
    <w:rsid w:val="771357EC"/>
    <w:rsid w:val="77D11EA6"/>
    <w:rsid w:val="7C1E2F09"/>
    <w:rsid w:val="7C3E412A"/>
    <w:rsid w:val="7EAF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67AA8E-A2FB-49F1-96A9-61A0E1D2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0"/>
    <w:qFormat/>
    <w:pPr>
      <w:keepNext/>
      <w:keepLines/>
      <w:spacing w:before="340" w:after="330" w:line="578" w:lineRule="auto"/>
      <w:outlineLvl w:val="0"/>
    </w:pPr>
    <w:rPr>
      <w:b/>
      <w:bCs/>
      <w:kern w:val="44"/>
      <w:sz w:val="44"/>
      <w:szCs w:val="44"/>
    </w:rPr>
  </w:style>
  <w:style w:type="paragraph" w:styleId="21">
    <w:name w:val="heading 2"/>
    <w:basedOn w:val="a1"/>
    <w:next w:val="a1"/>
    <w:link w:val="22"/>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1"/>
    <w:next w:val="a1"/>
    <w:link w:val="32"/>
    <w:semiHidden/>
    <w:unhideWhenUsed/>
    <w:qFormat/>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autoRedefine/>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autoRedefine/>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semiHidden/>
    <w:unhideWhenUse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3">
    <w:name w:val="List 3"/>
    <w:basedOn w:val="a1"/>
    <w:autoRedefine/>
    <w:semiHidden/>
    <w:unhideWhenUsed/>
    <w:qFormat/>
    <w:pPr>
      <w:ind w:leftChars="400" w:left="100" w:hangingChars="200" w:hanging="200"/>
      <w:contextualSpacing/>
    </w:pPr>
  </w:style>
  <w:style w:type="paragraph" w:styleId="71">
    <w:name w:val="toc 7"/>
    <w:basedOn w:val="a1"/>
    <w:next w:val="a1"/>
    <w:semiHidden/>
    <w:unhideWhenUsed/>
    <w:pPr>
      <w:ind w:leftChars="1200" w:left="2520"/>
    </w:pPr>
  </w:style>
  <w:style w:type="paragraph" w:styleId="2">
    <w:name w:val="List Number 2"/>
    <w:basedOn w:val="a1"/>
    <w:semiHidden/>
    <w:unhideWhenUsed/>
    <w:pPr>
      <w:numPr>
        <w:numId w:val="1"/>
      </w:numPr>
      <w:contextualSpacing/>
    </w:pPr>
  </w:style>
  <w:style w:type="paragraph" w:styleId="a7">
    <w:name w:val="table of authorities"/>
    <w:basedOn w:val="a1"/>
    <w:next w:val="a1"/>
    <w:autoRedefine/>
    <w:qFormat/>
    <w:pPr>
      <w:ind w:leftChars="200" w:left="420"/>
    </w:pPr>
  </w:style>
  <w:style w:type="paragraph" w:styleId="a8">
    <w:name w:val="Note Heading"/>
    <w:basedOn w:val="a1"/>
    <w:next w:val="a1"/>
    <w:link w:val="a9"/>
    <w:semiHidden/>
    <w:unhideWhenUsed/>
    <w:pPr>
      <w:jc w:val="center"/>
    </w:pPr>
  </w:style>
  <w:style w:type="paragraph" w:styleId="40">
    <w:name w:val="List Bullet 4"/>
    <w:basedOn w:val="a1"/>
    <w:semiHidden/>
    <w:unhideWhenUsed/>
    <w:pPr>
      <w:numPr>
        <w:numId w:val="2"/>
      </w:numPr>
      <w:contextualSpacing/>
    </w:pPr>
  </w:style>
  <w:style w:type="paragraph" w:styleId="81">
    <w:name w:val="index 8"/>
    <w:basedOn w:val="a1"/>
    <w:next w:val="a1"/>
    <w:semiHidden/>
    <w:unhideWhenUsed/>
    <w:pPr>
      <w:ind w:leftChars="1400" w:left="1400"/>
    </w:pPr>
  </w:style>
  <w:style w:type="paragraph" w:styleId="aa">
    <w:name w:val="E-mail Signature"/>
    <w:basedOn w:val="a1"/>
    <w:link w:val="ab"/>
    <w:semiHidden/>
    <w:unhideWhenUsed/>
  </w:style>
  <w:style w:type="paragraph" w:styleId="a">
    <w:name w:val="List Number"/>
    <w:basedOn w:val="a1"/>
    <w:semiHidden/>
    <w:unhideWhenUsed/>
    <w:pPr>
      <w:numPr>
        <w:numId w:val="3"/>
      </w:numPr>
      <w:contextualSpacing/>
    </w:pPr>
  </w:style>
  <w:style w:type="paragraph" w:styleId="ac">
    <w:name w:val="Normal Indent"/>
    <w:basedOn w:val="a1"/>
    <w:semiHidden/>
    <w:unhideWhenUsed/>
    <w:pPr>
      <w:ind w:firstLineChars="200" w:firstLine="420"/>
    </w:pPr>
  </w:style>
  <w:style w:type="paragraph" w:styleId="ad">
    <w:name w:val="caption"/>
    <w:basedOn w:val="a1"/>
    <w:next w:val="a1"/>
    <w:autoRedefine/>
    <w:semiHidden/>
    <w:unhideWhenUsed/>
    <w:qFormat/>
    <w:rPr>
      <w:rFonts w:asciiTheme="majorHAnsi" w:eastAsia="黑体" w:hAnsiTheme="majorHAnsi" w:cstheme="majorBidi"/>
      <w:sz w:val="20"/>
      <w:szCs w:val="20"/>
    </w:rPr>
  </w:style>
  <w:style w:type="paragraph" w:styleId="53">
    <w:name w:val="index 5"/>
    <w:basedOn w:val="a1"/>
    <w:next w:val="a1"/>
    <w:semiHidden/>
    <w:unhideWhenUsed/>
    <w:pPr>
      <w:ind w:leftChars="800" w:left="800"/>
    </w:pPr>
  </w:style>
  <w:style w:type="paragraph" w:styleId="a0">
    <w:name w:val="List Bullet"/>
    <w:basedOn w:val="a1"/>
    <w:pPr>
      <w:numPr>
        <w:numId w:val="4"/>
      </w:numPr>
      <w:contextualSpacing/>
    </w:pPr>
  </w:style>
  <w:style w:type="paragraph" w:styleId="ae">
    <w:name w:val="envelope address"/>
    <w:basedOn w:val="a1"/>
    <w:semiHidden/>
    <w:unhideWhenUsed/>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
    <w:name w:val="Document Map"/>
    <w:basedOn w:val="a1"/>
    <w:link w:val="af0"/>
    <w:semiHidden/>
    <w:unhideWhenUsed/>
    <w:rPr>
      <w:rFonts w:ascii="Microsoft YaHei UI" w:eastAsia="Microsoft YaHei UI"/>
      <w:sz w:val="18"/>
      <w:szCs w:val="18"/>
    </w:rPr>
  </w:style>
  <w:style w:type="paragraph" w:styleId="af1">
    <w:name w:val="toa heading"/>
    <w:basedOn w:val="a1"/>
    <w:next w:val="a1"/>
    <w:semiHidden/>
    <w:unhideWhenUsed/>
    <w:pPr>
      <w:spacing w:before="120"/>
    </w:pPr>
    <w:rPr>
      <w:rFonts w:asciiTheme="majorHAnsi" w:eastAsiaTheme="majorEastAsia" w:hAnsiTheme="majorHAnsi" w:cstheme="majorBidi"/>
      <w:sz w:val="24"/>
      <w:szCs w:val="24"/>
    </w:rPr>
  </w:style>
  <w:style w:type="paragraph" w:styleId="af2">
    <w:name w:val="annotation text"/>
    <w:basedOn w:val="a1"/>
    <w:link w:val="af3"/>
    <w:qFormat/>
    <w:pPr>
      <w:jc w:val="left"/>
    </w:pPr>
  </w:style>
  <w:style w:type="paragraph" w:styleId="61">
    <w:name w:val="index 6"/>
    <w:basedOn w:val="a1"/>
    <w:next w:val="a1"/>
    <w:semiHidden/>
    <w:unhideWhenUsed/>
    <w:pPr>
      <w:ind w:leftChars="1000" w:left="1000"/>
    </w:pPr>
  </w:style>
  <w:style w:type="paragraph" w:styleId="af4">
    <w:name w:val="Salutation"/>
    <w:basedOn w:val="a1"/>
    <w:next w:val="a1"/>
    <w:link w:val="af5"/>
    <w:semiHidden/>
    <w:unhideWhenUsed/>
  </w:style>
  <w:style w:type="paragraph" w:styleId="34">
    <w:name w:val="Body Text 3"/>
    <w:basedOn w:val="a1"/>
    <w:link w:val="35"/>
    <w:semiHidden/>
    <w:unhideWhenUsed/>
    <w:pPr>
      <w:spacing w:after="120"/>
    </w:pPr>
    <w:rPr>
      <w:sz w:val="16"/>
      <w:szCs w:val="16"/>
    </w:rPr>
  </w:style>
  <w:style w:type="paragraph" w:styleId="af6">
    <w:name w:val="Closing"/>
    <w:basedOn w:val="a1"/>
    <w:link w:val="af7"/>
    <w:semiHidden/>
    <w:unhideWhenUsed/>
    <w:pPr>
      <w:ind w:leftChars="2100" w:left="100"/>
    </w:pPr>
  </w:style>
  <w:style w:type="paragraph" w:styleId="30">
    <w:name w:val="List Bullet 3"/>
    <w:basedOn w:val="a1"/>
    <w:semiHidden/>
    <w:unhideWhenUsed/>
    <w:pPr>
      <w:numPr>
        <w:numId w:val="5"/>
      </w:numPr>
      <w:contextualSpacing/>
    </w:pPr>
  </w:style>
  <w:style w:type="paragraph" w:styleId="af8">
    <w:name w:val="Body Text"/>
    <w:basedOn w:val="a1"/>
    <w:link w:val="af9"/>
    <w:semiHidden/>
    <w:qFormat/>
    <w:pPr>
      <w:spacing w:line="560" w:lineRule="exact"/>
      <w:ind w:firstLineChars="200" w:firstLine="480"/>
    </w:pPr>
    <w:rPr>
      <w:rFonts w:ascii="宋体" w:eastAsia="宋体" w:hAnsi="宋体" w:cs="宋体"/>
      <w:sz w:val="24"/>
      <w:szCs w:val="24"/>
      <w:lang w:eastAsia="en-US"/>
    </w:rPr>
  </w:style>
  <w:style w:type="paragraph" w:styleId="afa">
    <w:name w:val="Body Text Indent"/>
    <w:basedOn w:val="a1"/>
    <w:link w:val="afb"/>
    <w:semiHidden/>
    <w:unhideWhenUsed/>
    <w:pPr>
      <w:spacing w:after="120"/>
      <w:ind w:leftChars="200" w:left="420"/>
    </w:pPr>
  </w:style>
  <w:style w:type="paragraph" w:styleId="3">
    <w:name w:val="List Number 3"/>
    <w:basedOn w:val="a1"/>
    <w:semiHidden/>
    <w:unhideWhenUsed/>
    <w:pPr>
      <w:numPr>
        <w:numId w:val="6"/>
      </w:numPr>
      <w:contextualSpacing/>
    </w:pPr>
  </w:style>
  <w:style w:type="paragraph" w:styleId="23">
    <w:name w:val="List 2"/>
    <w:basedOn w:val="a1"/>
    <w:semiHidden/>
    <w:unhideWhenUsed/>
    <w:pPr>
      <w:ind w:leftChars="200" w:left="100" w:hangingChars="200" w:hanging="200"/>
      <w:contextualSpacing/>
    </w:pPr>
  </w:style>
  <w:style w:type="paragraph" w:styleId="afc">
    <w:name w:val="List Continue"/>
    <w:basedOn w:val="a1"/>
    <w:semiHidden/>
    <w:unhideWhenUsed/>
    <w:pPr>
      <w:spacing w:after="120"/>
      <w:ind w:leftChars="200" w:left="420"/>
      <w:contextualSpacing/>
    </w:pPr>
  </w:style>
  <w:style w:type="paragraph" w:styleId="afd">
    <w:name w:val="Block Text"/>
    <w:basedOn w:val="a1"/>
    <w:semiHidden/>
    <w:unhideWhenUsed/>
    <w:pPr>
      <w:spacing w:after="120"/>
      <w:ind w:leftChars="700" w:left="1440" w:rightChars="700" w:right="1440"/>
    </w:pPr>
  </w:style>
  <w:style w:type="paragraph" w:styleId="20">
    <w:name w:val="List Bullet 2"/>
    <w:basedOn w:val="a1"/>
    <w:semiHidden/>
    <w:unhideWhenUsed/>
    <w:pPr>
      <w:numPr>
        <w:numId w:val="7"/>
      </w:numPr>
      <w:contextualSpacing/>
    </w:pPr>
  </w:style>
  <w:style w:type="paragraph" w:styleId="HTML">
    <w:name w:val="HTML Address"/>
    <w:basedOn w:val="a1"/>
    <w:link w:val="HTML0"/>
    <w:semiHidden/>
    <w:unhideWhenUsed/>
    <w:rPr>
      <w:i/>
      <w:iCs/>
    </w:rPr>
  </w:style>
  <w:style w:type="paragraph" w:styleId="43">
    <w:name w:val="index 4"/>
    <w:basedOn w:val="a1"/>
    <w:next w:val="a1"/>
    <w:semiHidden/>
    <w:unhideWhenUsed/>
    <w:pPr>
      <w:ind w:leftChars="600" w:left="600"/>
    </w:pPr>
  </w:style>
  <w:style w:type="paragraph" w:styleId="54">
    <w:name w:val="toc 5"/>
    <w:basedOn w:val="a1"/>
    <w:next w:val="a1"/>
    <w:semiHidden/>
    <w:unhideWhenUsed/>
    <w:pPr>
      <w:ind w:leftChars="800" w:left="1680"/>
    </w:pPr>
  </w:style>
  <w:style w:type="paragraph" w:styleId="36">
    <w:name w:val="toc 3"/>
    <w:basedOn w:val="a1"/>
    <w:next w:val="a1"/>
    <w:semiHidden/>
    <w:unhideWhenUsed/>
    <w:pPr>
      <w:ind w:leftChars="400" w:left="840"/>
    </w:pPr>
  </w:style>
  <w:style w:type="paragraph" w:styleId="afe">
    <w:name w:val="Plain Text"/>
    <w:basedOn w:val="a1"/>
    <w:link w:val="aff"/>
    <w:semiHidden/>
    <w:unhideWhenUsed/>
    <w:rPr>
      <w:rFonts w:asciiTheme="minorEastAsia" w:hAnsi="Courier New" w:cs="Courier New"/>
    </w:rPr>
  </w:style>
  <w:style w:type="paragraph" w:styleId="50">
    <w:name w:val="List Bullet 5"/>
    <w:basedOn w:val="a1"/>
    <w:semiHidden/>
    <w:unhideWhenUsed/>
    <w:pPr>
      <w:numPr>
        <w:numId w:val="8"/>
      </w:numPr>
      <w:contextualSpacing/>
    </w:pPr>
  </w:style>
  <w:style w:type="paragraph" w:styleId="4">
    <w:name w:val="List Number 4"/>
    <w:basedOn w:val="a1"/>
    <w:semiHidden/>
    <w:unhideWhenUsed/>
    <w:pPr>
      <w:numPr>
        <w:numId w:val="9"/>
      </w:numPr>
      <w:contextualSpacing/>
    </w:pPr>
  </w:style>
  <w:style w:type="paragraph" w:styleId="82">
    <w:name w:val="toc 8"/>
    <w:basedOn w:val="a1"/>
    <w:next w:val="a1"/>
    <w:semiHidden/>
    <w:unhideWhenUsed/>
    <w:pPr>
      <w:ind w:leftChars="1400" w:left="2940"/>
    </w:pPr>
  </w:style>
  <w:style w:type="paragraph" w:styleId="37">
    <w:name w:val="index 3"/>
    <w:basedOn w:val="a1"/>
    <w:next w:val="a1"/>
    <w:semiHidden/>
    <w:unhideWhenUsed/>
    <w:pPr>
      <w:ind w:leftChars="400" w:left="400"/>
    </w:pPr>
  </w:style>
  <w:style w:type="paragraph" w:styleId="aff0">
    <w:name w:val="Date"/>
    <w:basedOn w:val="a1"/>
    <w:next w:val="a1"/>
    <w:link w:val="aff1"/>
    <w:semiHidden/>
    <w:unhideWhenUsed/>
    <w:pPr>
      <w:ind w:leftChars="2500" w:left="100"/>
    </w:pPr>
  </w:style>
  <w:style w:type="paragraph" w:styleId="24">
    <w:name w:val="Body Text Indent 2"/>
    <w:basedOn w:val="a1"/>
    <w:link w:val="25"/>
    <w:semiHidden/>
    <w:unhideWhenUsed/>
    <w:pPr>
      <w:spacing w:after="120" w:line="480" w:lineRule="auto"/>
      <w:ind w:leftChars="200" w:left="420"/>
    </w:pPr>
  </w:style>
  <w:style w:type="paragraph" w:styleId="aff2">
    <w:name w:val="endnote text"/>
    <w:basedOn w:val="a1"/>
    <w:link w:val="aff3"/>
    <w:semiHidden/>
    <w:unhideWhenUsed/>
    <w:pPr>
      <w:snapToGrid w:val="0"/>
      <w:jc w:val="left"/>
    </w:pPr>
  </w:style>
  <w:style w:type="paragraph" w:styleId="55">
    <w:name w:val="List Continue 5"/>
    <w:basedOn w:val="a1"/>
    <w:pPr>
      <w:spacing w:after="120"/>
      <w:ind w:leftChars="1000" w:left="2100"/>
      <w:contextualSpacing/>
    </w:pPr>
  </w:style>
  <w:style w:type="paragraph" w:styleId="aff4">
    <w:name w:val="Balloon Text"/>
    <w:basedOn w:val="a1"/>
    <w:link w:val="aff5"/>
    <w:qFormat/>
    <w:rPr>
      <w:sz w:val="18"/>
      <w:szCs w:val="18"/>
    </w:rPr>
  </w:style>
  <w:style w:type="paragraph" w:styleId="aff6">
    <w:name w:val="footer"/>
    <w:basedOn w:val="a1"/>
    <w:link w:val="aff7"/>
    <w:uiPriority w:val="99"/>
    <w:qFormat/>
    <w:pPr>
      <w:tabs>
        <w:tab w:val="center" w:pos="4153"/>
        <w:tab w:val="right" w:pos="8306"/>
      </w:tabs>
      <w:snapToGrid w:val="0"/>
      <w:jc w:val="left"/>
    </w:pPr>
    <w:rPr>
      <w:sz w:val="18"/>
      <w:szCs w:val="18"/>
    </w:rPr>
  </w:style>
  <w:style w:type="paragraph" w:styleId="aff8">
    <w:name w:val="envelope return"/>
    <w:basedOn w:val="a1"/>
    <w:semiHidden/>
    <w:unhideWhenUsed/>
    <w:pPr>
      <w:snapToGrid w:val="0"/>
    </w:pPr>
    <w:rPr>
      <w:rFonts w:asciiTheme="majorHAnsi" w:eastAsiaTheme="majorEastAsia" w:hAnsiTheme="majorHAnsi" w:cstheme="majorBidi"/>
    </w:rPr>
  </w:style>
  <w:style w:type="paragraph" w:styleId="aff9">
    <w:name w:val="header"/>
    <w:basedOn w:val="a1"/>
    <w:link w:val="affa"/>
    <w:qFormat/>
    <w:pPr>
      <w:pBdr>
        <w:bottom w:val="single" w:sz="6" w:space="1" w:color="auto"/>
      </w:pBdr>
      <w:tabs>
        <w:tab w:val="center" w:pos="4153"/>
        <w:tab w:val="right" w:pos="8306"/>
      </w:tabs>
      <w:snapToGrid w:val="0"/>
      <w:jc w:val="center"/>
    </w:pPr>
    <w:rPr>
      <w:sz w:val="18"/>
      <w:szCs w:val="18"/>
    </w:rPr>
  </w:style>
  <w:style w:type="paragraph" w:styleId="affb">
    <w:name w:val="Signature"/>
    <w:basedOn w:val="a1"/>
    <w:link w:val="affc"/>
    <w:semiHidden/>
    <w:unhideWhenUsed/>
    <w:pPr>
      <w:ind w:leftChars="2100" w:left="100"/>
    </w:pPr>
  </w:style>
  <w:style w:type="paragraph" w:styleId="11">
    <w:name w:val="toc 1"/>
    <w:basedOn w:val="a1"/>
    <w:next w:val="a1"/>
    <w:semiHidden/>
    <w:unhideWhenUsed/>
  </w:style>
  <w:style w:type="paragraph" w:styleId="44">
    <w:name w:val="List Continue 4"/>
    <w:basedOn w:val="a1"/>
    <w:pPr>
      <w:spacing w:after="120"/>
      <w:ind w:leftChars="800" w:left="1680"/>
      <w:contextualSpacing/>
    </w:pPr>
  </w:style>
  <w:style w:type="paragraph" w:styleId="45">
    <w:name w:val="toc 4"/>
    <w:basedOn w:val="a1"/>
    <w:next w:val="a1"/>
    <w:semiHidden/>
    <w:unhideWhenUsed/>
    <w:pPr>
      <w:ind w:leftChars="600" w:left="1260"/>
    </w:pPr>
  </w:style>
  <w:style w:type="paragraph" w:styleId="affd">
    <w:name w:val="index heading"/>
    <w:basedOn w:val="a1"/>
    <w:next w:val="12"/>
    <w:semiHidden/>
    <w:unhideWhenUsed/>
    <w:rPr>
      <w:rFonts w:asciiTheme="majorHAnsi" w:eastAsiaTheme="majorEastAsia" w:hAnsiTheme="majorHAnsi" w:cstheme="majorBidi"/>
      <w:b/>
      <w:bCs/>
    </w:rPr>
  </w:style>
  <w:style w:type="paragraph" w:styleId="12">
    <w:name w:val="index 1"/>
    <w:basedOn w:val="a1"/>
    <w:next w:val="a1"/>
    <w:autoRedefine/>
    <w:semiHidden/>
    <w:unhideWhenUsed/>
    <w:qFormat/>
  </w:style>
  <w:style w:type="paragraph" w:styleId="affe">
    <w:name w:val="Subtitle"/>
    <w:basedOn w:val="a1"/>
    <w:next w:val="a1"/>
    <w:link w:val="afff"/>
    <w:qFormat/>
    <w:pPr>
      <w:spacing w:before="240" w:after="60" w:line="312" w:lineRule="auto"/>
      <w:jc w:val="center"/>
      <w:outlineLvl w:val="1"/>
    </w:pPr>
    <w:rPr>
      <w:b/>
      <w:bCs/>
      <w:kern w:val="28"/>
      <w:sz w:val="32"/>
      <w:szCs w:val="32"/>
    </w:rPr>
  </w:style>
  <w:style w:type="paragraph" w:styleId="5">
    <w:name w:val="List Number 5"/>
    <w:basedOn w:val="a1"/>
    <w:semiHidden/>
    <w:unhideWhenUsed/>
    <w:pPr>
      <w:numPr>
        <w:numId w:val="10"/>
      </w:numPr>
      <w:contextualSpacing/>
    </w:pPr>
  </w:style>
  <w:style w:type="paragraph" w:styleId="afff0">
    <w:name w:val="List"/>
    <w:basedOn w:val="a1"/>
    <w:pPr>
      <w:ind w:left="200" w:hangingChars="200" w:hanging="200"/>
      <w:contextualSpacing/>
    </w:pPr>
  </w:style>
  <w:style w:type="paragraph" w:styleId="afff1">
    <w:name w:val="footnote text"/>
    <w:basedOn w:val="a1"/>
    <w:link w:val="afff2"/>
    <w:autoRedefine/>
    <w:semiHidden/>
    <w:unhideWhenUsed/>
    <w:qFormat/>
    <w:pPr>
      <w:snapToGrid w:val="0"/>
      <w:jc w:val="left"/>
    </w:pPr>
    <w:rPr>
      <w:sz w:val="18"/>
      <w:szCs w:val="18"/>
    </w:rPr>
  </w:style>
  <w:style w:type="paragraph" w:styleId="62">
    <w:name w:val="toc 6"/>
    <w:basedOn w:val="a1"/>
    <w:next w:val="a1"/>
    <w:semiHidden/>
    <w:unhideWhenUsed/>
    <w:pPr>
      <w:ind w:leftChars="1000" w:left="2100"/>
    </w:pPr>
  </w:style>
  <w:style w:type="paragraph" w:styleId="56">
    <w:name w:val="List 5"/>
    <w:basedOn w:val="a1"/>
    <w:semiHidden/>
    <w:unhideWhenUsed/>
    <w:pPr>
      <w:ind w:leftChars="800" w:left="100" w:hangingChars="200" w:hanging="200"/>
      <w:contextualSpacing/>
    </w:pPr>
  </w:style>
  <w:style w:type="paragraph" w:styleId="38">
    <w:name w:val="Body Text Indent 3"/>
    <w:basedOn w:val="a1"/>
    <w:link w:val="39"/>
    <w:semiHidden/>
    <w:unhideWhenUsed/>
    <w:pPr>
      <w:spacing w:after="120"/>
      <w:ind w:leftChars="200" w:left="420"/>
    </w:pPr>
    <w:rPr>
      <w:sz w:val="16"/>
      <w:szCs w:val="16"/>
    </w:rPr>
  </w:style>
  <w:style w:type="paragraph" w:styleId="72">
    <w:name w:val="index 7"/>
    <w:basedOn w:val="a1"/>
    <w:next w:val="a1"/>
    <w:semiHidden/>
    <w:unhideWhenUsed/>
    <w:pPr>
      <w:ind w:leftChars="1200" w:left="1200"/>
    </w:pPr>
  </w:style>
  <w:style w:type="paragraph" w:styleId="91">
    <w:name w:val="index 9"/>
    <w:basedOn w:val="a1"/>
    <w:next w:val="a1"/>
    <w:semiHidden/>
    <w:unhideWhenUsed/>
    <w:pPr>
      <w:ind w:leftChars="1600" w:left="1600"/>
    </w:pPr>
  </w:style>
  <w:style w:type="paragraph" w:styleId="afff3">
    <w:name w:val="table of figures"/>
    <w:basedOn w:val="a1"/>
    <w:next w:val="a1"/>
    <w:semiHidden/>
    <w:unhideWhenUsed/>
    <w:pPr>
      <w:ind w:leftChars="200" w:left="200" w:hangingChars="200" w:hanging="200"/>
    </w:pPr>
  </w:style>
  <w:style w:type="paragraph" w:styleId="26">
    <w:name w:val="toc 2"/>
    <w:basedOn w:val="a1"/>
    <w:next w:val="a1"/>
    <w:semiHidden/>
    <w:unhideWhenUsed/>
    <w:pPr>
      <w:ind w:leftChars="200" w:left="420"/>
    </w:pPr>
  </w:style>
  <w:style w:type="paragraph" w:styleId="92">
    <w:name w:val="toc 9"/>
    <w:basedOn w:val="a1"/>
    <w:next w:val="a1"/>
    <w:semiHidden/>
    <w:unhideWhenUsed/>
    <w:pPr>
      <w:ind w:leftChars="1600" w:left="3360"/>
    </w:pPr>
  </w:style>
  <w:style w:type="paragraph" w:styleId="27">
    <w:name w:val="Body Text 2"/>
    <w:basedOn w:val="a1"/>
    <w:link w:val="28"/>
    <w:semiHidden/>
    <w:unhideWhenUsed/>
    <w:pPr>
      <w:spacing w:after="120" w:line="480" w:lineRule="auto"/>
    </w:pPr>
  </w:style>
  <w:style w:type="paragraph" w:styleId="46">
    <w:name w:val="List 4"/>
    <w:basedOn w:val="a1"/>
    <w:semiHidden/>
    <w:unhideWhenUsed/>
    <w:pPr>
      <w:ind w:leftChars="600" w:left="100" w:hangingChars="200" w:hanging="200"/>
      <w:contextualSpacing/>
    </w:pPr>
  </w:style>
  <w:style w:type="paragraph" w:styleId="29">
    <w:name w:val="List Continue 2"/>
    <w:basedOn w:val="a1"/>
    <w:pPr>
      <w:spacing w:after="120"/>
      <w:ind w:leftChars="400" w:left="840"/>
      <w:contextualSpacing/>
    </w:pPr>
  </w:style>
  <w:style w:type="paragraph" w:styleId="afff4">
    <w:name w:val="Message Header"/>
    <w:basedOn w:val="a1"/>
    <w:link w:val="afff5"/>
    <w:semiHidden/>
    <w:unhideWhenUse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semiHidden/>
    <w:unhideWhenUsed/>
    <w:rPr>
      <w:rFonts w:ascii="Courier New" w:hAnsi="Courier New" w:cs="Courier New"/>
      <w:sz w:val="20"/>
      <w:szCs w:val="20"/>
    </w:rPr>
  </w:style>
  <w:style w:type="paragraph" w:styleId="afff6">
    <w:name w:val="Normal (Web)"/>
    <w:basedOn w:val="a1"/>
    <w:uiPriority w:val="99"/>
    <w:semiHidden/>
    <w:unhideWhenUsed/>
    <w:qFormat/>
    <w:pPr>
      <w:spacing w:beforeAutospacing="1" w:afterAutospacing="1"/>
      <w:jc w:val="left"/>
    </w:pPr>
    <w:rPr>
      <w:rFonts w:cs="Times New Roman"/>
      <w:kern w:val="0"/>
      <w:sz w:val="24"/>
    </w:rPr>
  </w:style>
  <w:style w:type="paragraph" w:styleId="3a">
    <w:name w:val="List Continue 3"/>
    <w:basedOn w:val="a1"/>
    <w:autoRedefine/>
    <w:qFormat/>
    <w:pPr>
      <w:spacing w:after="120"/>
      <w:ind w:leftChars="600" w:left="1260"/>
      <w:contextualSpacing/>
    </w:pPr>
  </w:style>
  <w:style w:type="paragraph" w:styleId="2a">
    <w:name w:val="index 2"/>
    <w:basedOn w:val="a1"/>
    <w:next w:val="a1"/>
    <w:autoRedefine/>
    <w:semiHidden/>
    <w:unhideWhenUsed/>
    <w:qFormat/>
    <w:pPr>
      <w:ind w:leftChars="200" w:left="200"/>
    </w:pPr>
  </w:style>
  <w:style w:type="paragraph" w:styleId="afff7">
    <w:name w:val="Title"/>
    <w:basedOn w:val="a1"/>
    <w:next w:val="a1"/>
    <w:autoRedefine/>
    <w:uiPriority w:val="10"/>
    <w:qFormat/>
    <w:pPr>
      <w:spacing w:before="240" w:after="60"/>
      <w:jc w:val="center"/>
      <w:outlineLvl w:val="0"/>
    </w:pPr>
    <w:rPr>
      <w:rFonts w:asciiTheme="majorHAnsi" w:eastAsia="宋体" w:hAnsiTheme="majorHAnsi" w:cstheme="majorBidi"/>
      <w:b/>
      <w:bCs/>
      <w:sz w:val="30"/>
      <w:szCs w:val="32"/>
    </w:rPr>
  </w:style>
  <w:style w:type="paragraph" w:styleId="afff8">
    <w:name w:val="annotation subject"/>
    <w:basedOn w:val="af2"/>
    <w:next w:val="af2"/>
    <w:link w:val="afff9"/>
    <w:autoRedefine/>
    <w:qFormat/>
    <w:rPr>
      <w:b/>
      <w:bCs/>
    </w:rPr>
  </w:style>
  <w:style w:type="paragraph" w:styleId="afffa">
    <w:name w:val="Body Text First Indent"/>
    <w:basedOn w:val="af8"/>
    <w:link w:val="afffb"/>
    <w:autoRedefine/>
    <w:semiHidden/>
    <w:unhideWhenUsed/>
    <w:qFormat/>
    <w:pPr>
      <w:spacing w:after="120" w:line="240" w:lineRule="auto"/>
      <w:ind w:firstLineChars="100" w:firstLine="420"/>
    </w:pPr>
    <w:rPr>
      <w:rFonts w:asciiTheme="minorHAnsi" w:eastAsiaTheme="minorEastAsia" w:hAnsiTheme="minorHAnsi" w:cstheme="minorBidi"/>
      <w:sz w:val="21"/>
      <w:szCs w:val="22"/>
      <w:lang w:eastAsia="zh-CN"/>
    </w:rPr>
  </w:style>
  <w:style w:type="paragraph" w:styleId="2b">
    <w:name w:val="Body Text First Indent 2"/>
    <w:basedOn w:val="afa"/>
    <w:link w:val="2c"/>
    <w:autoRedefine/>
    <w:semiHidden/>
    <w:unhideWhenUsed/>
    <w:qFormat/>
    <w:pPr>
      <w:ind w:firstLineChars="200" w:firstLine="420"/>
    </w:pPr>
  </w:style>
  <w:style w:type="character" w:styleId="afffc">
    <w:name w:val="Hyperlink"/>
    <w:basedOn w:val="a2"/>
    <w:autoRedefine/>
    <w:unhideWhenUsed/>
    <w:qFormat/>
    <w:rPr>
      <w:color w:val="0563C1" w:themeColor="hyperlink"/>
      <w:u w:val="single"/>
    </w:rPr>
  </w:style>
  <w:style w:type="character" w:styleId="afffd">
    <w:name w:val="annotation reference"/>
    <w:basedOn w:val="a2"/>
    <w:autoRedefine/>
    <w:qFormat/>
    <w:rPr>
      <w:sz w:val="21"/>
      <w:szCs w:val="21"/>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a">
    <w:name w:val="页眉 字符"/>
    <w:basedOn w:val="a2"/>
    <w:link w:val="aff9"/>
    <w:autoRedefine/>
    <w:qFormat/>
    <w:rPr>
      <w:kern w:val="2"/>
      <w:sz w:val="18"/>
      <w:szCs w:val="18"/>
    </w:rPr>
  </w:style>
  <w:style w:type="character" w:customStyle="1" w:styleId="aff7">
    <w:name w:val="页脚 字符"/>
    <w:basedOn w:val="a2"/>
    <w:link w:val="aff6"/>
    <w:autoRedefine/>
    <w:uiPriority w:val="99"/>
    <w:qFormat/>
    <w:rPr>
      <w:kern w:val="2"/>
      <w:sz w:val="18"/>
      <w:szCs w:val="18"/>
    </w:rPr>
  </w:style>
  <w:style w:type="paragraph" w:styleId="afffe">
    <w:name w:val="List Paragraph"/>
    <w:basedOn w:val="a1"/>
    <w:autoRedefine/>
    <w:uiPriority w:val="34"/>
    <w:qFormat/>
    <w:pPr>
      <w:ind w:firstLineChars="200" w:firstLine="420"/>
    </w:pPr>
    <w:rPr>
      <w:rFonts w:ascii="Calibri" w:eastAsia="宋体" w:hAnsi="Calibri" w:cs="Times New Roman"/>
    </w:rPr>
  </w:style>
  <w:style w:type="character" w:customStyle="1" w:styleId="aff5">
    <w:name w:val="批注框文本 字符"/>
    <w:basedOn w:val="a2"/>
    <w:link w:val="aff4"/>
    <w:autoRedefine/>
    <w:qFormat/>
    <w:rPr>
      <w:kern w:val="2"/>
      <w:sz w:val="18"/>
      <w:szCs w:val="18"/>
    </w:rPr>
  </w:style>
  <w:style w:type="character" w:customStyle="1" w:styleId="af3">
    <w:name w:val="批注文字 字符"/>
    <w:basedOn w:val="a2"/>
    <w:link w:val="af2"/>
    <w:autoRedefine/>
    <w:qFormat/>
    <w:rPr>
      <w:rFonts w:asciiTheme="minorHAnsi" w:eastAsiaTheme="minorEastAsia" w:hAnsiTheme="minorHAnsi" w:cstheme="minorBidi"/>
      <w:kern w:val="2"/>
      <w:sz w:val="21"/>
      <w:szCs w:val="22"/>
    </w:rPr>
  </w:style>
  <w:style w:type="character" w:customStyle="1" w:styleId="afff9">
    <w:name w:val="批注主题 字符"/>
    <w:basedOn w:val="af3"/>
    <w:link w:val="afff8"/>
    <w:autoRedefine/>
    <w:qFormat/>
    <w:rPr>
      <w:rFonts w:asciiTheme="minorHAnsi" w:eastAsiaTheme="minorEastAsia" w:hAnsiTheme="minorHAnsi" w:cstheme="minorBidi"/>
      <w:b/>
      <w:bCs/>
      <w:kern w:val="2"/>
      <w:sz w:val="21"/>
      <w:szCs w:val="22"/>
    </w:rPr>
  </w:style>
  <w:style w:type="paragraph" w:customStyle="1" w:styleId="13">
    <w:name w:val="修订1"/>
    <w:autoRedefine/>
    <w:hidden/>
    <w:uiPriority w:val="99"/>
    <w:semiHidden/>
    <w:qFormat/>
    <w:rPr>
      <w:rFonts w:asciiTheme="minorHAnsi" w:eastAsiaTheme="minorEastAsia" w:hAnsiTheme="minorHAnsi" w:cstheme="minorBidi"/>
      <w:kern w:val="2"/>
      <w:sz w:val="21"/>
      <w:szCs w:val="22"/>
    </w:rPr>
  </w:style>
  <w:style w:type="paragraph" w:customStyle="1" w:styleId="2d">
    <w:name w:val="修订2"/>
    <w:autoRedefine/>
    <w:hidden/>
    <w:uiPriority w:val="99"/>
    <w:semiHidden/>
    <w:qFormat/>
    <w:rPr>
      <w:rFonts w:asciiTheme="minorHAnsi" w:eastAsiaTheme="minorEastAsia" w:hAnsiTheme="minorHAnsi" w:cstheme="minorBidi"/>
      <w:kern w:val="2"/>
      <w:sz w:val="21"/>
      <w:szCs w:val="22"/>
    </w:rPr>
  </w:style>
  <w:style w:type="paragraph" w:customStyle="1" w:styleId="3b">
    <w:name w:val="修订3"/>
    <w:autoRedefine/>
    <w:hidden/>
    <w:uiPriority w:val="99"/>
    <w:unhideWhenUsed/>
    <w:qFormat/>
    <w:rPr>
      <w:rFonts w:asciiTheme="minorHAnsi" w:eastAsiaTheme="minorEastAsia" w:hAnsiTheme="minorHAnsi" w:cstheme="minorBidi"/>
      <w:kern w:val="2"/>
      <w:sz w:val="21"/>
      <w:szCs w:val="22"/>
    </w:rPr>
  </w:style>
  <w:style w:type="paragraph" w:customStyle="1" w:styleId="TableText">
    <w:name w:val="Table Text"/>
    <w:basedOn w:val="a1"/>
    <w:autoRedefine/>
    <w:semiHidden/>
    <w:qFormat/>
    <w:rPr>
      <w:rFonts w:ascii="宋体" w:eastAsia="宋体" w:hAnsi="宋体" w:cs="宋体"/>
      <w:sz w:val="24"/>
      <w:szCs w:val="24"/>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S2">
    <w:name w:val="S标题2"/>
    <w:basedOn w:val="002"/>
    <w:autoRedefine/>
    <w:qFormat/>
    <w:pPr>
      <w:widowControl/>
      <w:spacing w:before="120" w:after="120" w:line="360" w:lineRule="auto"/>
    </w:pPr>
    <w:rPr>
      <w:rFonts w:ascii="Times New Roman" w:hAnsi="Times New Roman"/>
      <w:sz w:val="24"/>
      <w:szCs w:val="32"/>
      <w:lang w:val="zh-CN"/>
    </w:rPr>
  </w:style>
  <w:style w:type="paragraph" w:customStyle="1" w:styleId="002">
    <w:name w:val="002二级标题"/>
    <w:basedOn w:val="001"/>
    <w:autoRedefine/>
    <w:qFormat/>
    <w:pPr>
      <w:pageBreakBefore w:val="0"/>
      <w:spacing w:beforeLines="50" w:afterLines="50"/>
      <w:jc w:val="both"/>
      <w:outlineLvl w:val="1"/>
    </w:pPr>
    <w:rPr>
      <w:sz w:val="30"/>
    </w:rPr>
  </w:style>
  <w:style w:type="paragraph" w:customStyle="1" w:styleId="001">
    <w:name w:val="001一级标题"/>
    <w:basedOn w:val="a1"/>
    <w:autoRedefine/>
    <w:qFormat/>
    <w:pPr>
      <w:keepNext/>
      <w:keepLines/>
      <w:pageBreakBefore/>
      <w:spacing w:beforeLines="100" w:afterLines="100"/>
      <w:jc w:val="center"/>
      <w:outlineLvl w:val="0"/>
    </w:pPr>
    <w:rPr>
      <w:rFonts w:ascii="Calibri" w:hAnsi="Calibri"/>
      <w:b/>
      <w:bCs/>
      <w:sz w:val="36"/>
      <w:szCs w:val="28"/>
    </w:rPr>
  </w:style>
  <w:style w:type="paragraph" w:customStyle="1" w:styleId="NYIndentureL3">
    <w:name w:val="NYIndenture_L3"/>
    <w:basedOn w:val="NYIndentureL2"/>
    <w:next w:val="af8"/>
    <w:autoRedefine/>
    <w:qFormat/>
    <w:pPr>
      <w:numPr>
        <w:ilvl w:val="2"/>
      </w:numPr>
      <w:outlineLvl w:val="2"/>
    </w:pPr>
  </w:style>
  <w:style w:type="paragraph" w:customStyle="1" w:styleId="NYIndentureL2">
    <w:name w:val="NYIndenture_L2"/>
    <w:basedOn w:val="NYIndentureL1"/>
    <w:next w:val="af8"/>
    <w:autoRedefine/>
    <w:qFormat/>
    <w:pPr>
      <w:numPr>
        <w:ilvl w:val="1"/>
      </w:numPr>
      <w:jc w:val="left"/>
      <w:outlineLvl w:val="1"/>
    </w:pPr>
  </w:style>
  <w:style w:type="paragraph" w:customStyle="1" w:styleId="NYIndentureL1">
    <w:name w:val="NYIndenture_L1"/>
    <w:basedOn w:val="a1"/>
    <w:next w:val="af8"/>
    <w:autoRedefine/>
    <w:qFormat/>
    <w:pPr>
      <w:widowControl/>
      <w:numPr>
        <w:numId w:val="11"/>
      </w:numPr>
      <w:spacing w:after="240"/>
      <w:jc w:val="center"/>
      <w:outlineLvl w:val="0"/>
    </w:pPr>
    <w:rPr>
      <w:kern w:val="0"/>
      <w:sz w:val="24"/>
      <w:szCs w:val="20"/>
      <w:lang w:eastAsia="en-US"/>
    </w:rPr>
  </w:style>
  <w:style w:type="paragraph" w:customStyle="1" w:styleId="47">
    <w:name w:val="修订4"/>
    <w:autoRedefine/>
    <w:hidden/>
    <w:uiPriority w:val="99"/>
    <w:unhideWhenUsed/>
    <w:qFormat/>
    <w:rPr>
      <w:rFonts w:asciiTheme="minorHAnsi" w:eastAsiaTheme="minorEastAsia" w:hAnsiTheme="minorHAnsi" w:cstheme="minorBidi"/>
      <w:kern w:val="2"/>
      <w:sz w:val="21"/>
      <w:szCs w:val="22"/>
    </w:rPr>
  </w:style>
  <w:style w:type="character" w:customStyle="1" w:styleId="HTML0">
    <w:name w:val="HTML 地址 字符"/>
    <w:basedOn w:val="a2"/>
    <w:link w:val="HTML"/>
    <w:semiHidden/>
    <w:rPr>
      <w:rFonts w:asciiTheme="minorHAnsi" w:eastAsiaTheme="minorEastAsia" w:hAnsiTheme="minorHAnsi" w:cstheme="minorBidi"/>
      <w:i/>
      <w:iCs/>
      <w:kern w:val="2"/>
      <w:sz w:val="21"/>
      <w:szCs w:val="22"/>
    </w:rPr>
  </w:style>
  <w:style w:type="character" w:customStyle="1" w:styleId="HTML2">
    <w:name w:val="HTML 预设格式 字符"/>
    <w:basedOn w:val="a2"/>
    <w:link w:val="HTML1"/>
    <w:semiHidden/>
    <w:rPr>
      <w:rFonts w:ascii="Courier New" w:eastAsiaTheme="minorEastAsia" w:hAnsi="Courier New" w:cs="Courier New"/>
      <w:kern w:val="2"/>
    </w:rPr>
  </w:style>
  <w:style w:type="character" w:customStyle="1" w:styleId="10">
    <w:name w:val="标题 1 字符"/>
    <w:basedOn w:val="a2"/>
    <w:link w:val="1"/>
    <w:rPr>
      <w:rFonts w:asciiTheme="minorHAnsi" w:eastAsiaTheme="minorEastAsia" w:hAnsiTheme="minorHAnsi" w:cstheme="minorBidi"/>
      <w:b/>
      <w:bCs/>
      <w:kern w:val="44"/>
      <w:sz w:val="44"/>
      <w:szCs w:val="44"/>
    </w:rPr>
  </w:style>
  <w:style w:type="paragraph" w:customStyle="1" w:styleId="TOC1">
    <w:name w:val="TOC 标题1"/>
    <w:basedOn w:val="1"/>
    <w:next w:val="a1"/>
    <w:uiPriority w:val="39"/>
    <w:semiHidden/>
    <w:unhideWhenUsed/>
    <w:qFormat/>
    <w:pPr>
      <w:outlineLvl w:val="9"/>
    </w:pPr>
  </w:style>
  <w:style w:type="character" w:customStyle="1" w:styleId="22">
    <w:name w:val="标题 2 字符"/>
    <w:basedOn w:val="a2"/>
    <w:link w:val="21"/>
    <w:semiHidden/>
    <w:rPr>
      <w:rFonts w:asciiTheme="majorHAnsi" w:eastAsiaTheme="majorEastAsia" w:hAnsiTheme="majorHAnsi" w:cstheme="majorBidi"/>
      <w:b/>
      <w:bCs/>
      <w:kern w:val="2"/>
      <w:sz w:val="32"/>
      <w:szCs w:val="32"/>
    </w:rPr>
  </w:style>
  <w:style w:type="character" w:customStyle="1" w:styleId="32">
    <w:name w:val="标题 3 字符"/>
    <w:basedOn w:val="a2"/>
    <w:link w:val="31"/>
    <w:semiHidden/>
    <w:rPr>
      <w:rFonts w:asciiTheme="minorHAnsi" w:eastAsiaTheme="minorEastAsia" w:hAnsiTheme="minorHAnsi" w:cstheme="minorBidi"/>
      <w:b/>
      <w:bCs/>
      <w:kern w:val="2"/>
      <w:sz w:val="32"/>
      <w:szCs w:val="32"/>
    </w:rPr>
  </w:style>
  <w:style w:type="character" w:customStyle="1" w:styleId="42">
    <w:name w:val="标题 4 字符"/>
    <w:basedOn w:val="a2"/>
    <w:link w:val="41"/>
    <w:semiHidden/>
    <w:rPr>
      <w:rFonts w:asciiTheme="majorHAnsi" w:eastAsiaTheme="majorEastAsia" w:hAnsiTheme="majorHAnsi" w:cstheme="majorBidi"/>
      <w:b/>
      <w:bCs/>
      <w:kern w:val="2"/>
      <w:sz w:val="28"/>
      <w:szCs w:val="28"/>
    </w:rPr>
  </w:style>
  <w:style w:type="character" w:customStyle="1" w:styleId="52">
    <w:name w:val="标题 5 字符"/>
    <w:basedOn w:val="a2"/>
    <w:link w:val="51"/>
    <w:semiHidden/>
    <w:rPr>
      <w:rFonts w:asciiTheme="minorHAnsi" w:eastAsiaTheme="minorEastAsia" w:hAnsiTheme="minorHAnsi" w:cstheme="minorBidi"/>
      <w:b/>
      <w:bCs/>
      <w:kern w:val="2"/>
      <w:sz w:val="28"/>
      <w:szCs w:val="28"/>
    </w:rPr>
  </w:style>
  <w:style w:type="character" w:customStyle="1" w:styleId="60">
    <w:name w:val="标题 6 字符"/>
    <w:basedOn w:val="a2"/>
    <w:link w:val="6"/>
    <w:semiHidden/>
    <w:rPr>
      <w:rFonts w:asciiTheme="majorHAnsi" w:eastAsiaTheme="majorEastAsia" w:hAnsiTheme="majorHAnsi" w:cstheme="majorBidi"/>
      <w:b/>
      <w:bCs/>
      <w:kern w:val="2"/>
      <w:sz w:val="24"/>
      <w:szCs w:val="24"/>
    </w:rPr>
  </w:style>
  <w:style w:type="character" w:customStyle="1" w:styleId="70">
    <w:name w:val="标题 7 字符"/>
    <w:basedOn w:val="a2"/>
    <w:link w:val="7"/>
    <w:semiHidden/>
    <w:rPr>
      <w:rFonts w:asciiTheme="minorHAnsi" w:eastAsiaTheme="minorEastAsia" w:hAnsiTheme="minorHAnsi" w:cstheme="minorBidi"/>
      <w:b/>
      <w:bCs/>
      <w:kern w:val="2"/>
      <w:sz w:val="24"/>
      <w:szCs w:val="24"/>
    </w:rPr>
  </w:style>
  <w:style w:type="character" w:customStyle="1" w:styleId="80">
    <w:name w:val="标题 8 字符"/>
    <w:basedOn w:val="a2"/>
    <w:link w:val="8"/>
    <w:semiHidden/>
    <w:rPr>
      <w:rFonts w:asciiTheme="majorHAnsi" w:eastAsiaTheme="majorEastAsia" w:hAnsiTheme="majorHAnsi" w:cstheme="majorBidi"/>
      <w:kern w:val="2"/>
      <w:sz w:val="24"/>
      <w:szCs w:val="24"/>
    </w:rPr>
  </w:style>
  <w:style w:type="character" w:customStyle="1" w:styleId="90">
    <w:name w:val="标题 9 字符"/>
    <w:basedOn w:val="a2"/>
    <w:link w:val="9"/>
    <w:semiHidden/>
    <w:rPr>
      <w:rFonts w:asciiTheme="majorHAnsi" w:eastAsiaTheme="majorEastAsia" w:hAnsiTheme="majorHAnsi" w:cstheme="majorBidi"/>
      <w:kern w:val="2"/>
      <w:sz w:val="21"/>
      <w:szCs w:val="21"/>
    </w:rPr>
  </w:style>
  <w:style w:type="character" w:customStyle="1" w:styleId="af5">
    <w:name w:val="称呼 字符"/>
    <w:basedOn w:val="a2"/>
    <w:link w:val="af4"/>
    <w:semiHidden/>
    <w:rPr>
      <w:rFonts w:asciiTheme="minorHAnsi" w:eastAsiaTheme="minorEastAsia" w:hAnsiTheme="minorHAnsi" w:cstheme="minorBidi"/>
      <w:kern w:val="2"/>
      <w:sz w:val="21"/>
      <w:szCs w:val="22"/>
    </w:rPr>
  </w:style>
  <w:style w:type="character" w:customStyle="1" w:styleId="aff">
    <w:name w:val="纯文本 字符"/>
    <w:basedOn w:val="a2"/>
    <w:link w:val="afe"/>
    <w:semiHidden/>
    <w:rPr>
      <w:rFonts w:asciiTheme="minorEastAsia" w:eastAsiaTheme="minorEastAsia" w:hAnsi="Courier New" w:cs="Courier New"/>
      <w:kern w:val="2"/>
      <w:sz w:val="21"/>
      <w:szCs w:val="22"/>
    </w:rPr>
  </w:style>
  <w:style w:type="character" w:customStyle="1" w:styleId="ab">
    <w:name w:val="电子邮件签名 字符"/>
    <w:basedOn w:val="a2"/>
    <w:link w:val="aa"/>
    <w:semiHidden/>
    <w:rPr>
      <w:rFonts w:asciiTheme="minorHAnsi" w:eastAsiaTheme="minorEastAsia" w:hAnsiTheme="minorHAnsi" w:cstheme="minorBidi"/>
      <w:kern w:val="2"/>
      <w:sz w:val="21"/>
      <w:szCs w:val="22"/>
    </w:rPr>
  </w:style>
  <w:style w:type="character" w:customStyle="1" w:styleId="afff">
    <w:name w:val="副标题 字符"/>
    <w:basedOn w:val="a2"/>
    <w:link w:val="affe"/>
    <w:rPr>
      <w:rFonts w:asciiTheme="minorHAnsi" w:eastAsiaTheme="minorEastAsia" w:hAnsiTheme="minorHAnsi" w:cstheme="minorBidi"/>
      <w:b/>
      <w:bCs/>
      <w:kern w:val="28"/>
      <w:sz w:val="32"/>
      <w:szCs w:val="32"/>
    </w:rPr>
  </w:style>
  <w:style w:type="character" w:customStyle="1" w:styleId="a6">
    <w:name w:val="宏文本 字符"/>
    <w:basedOn w:val="a2"/>
    <w:link w:val="a5"/>
    <w:semiHidden/>
    <w:rPr>
      <w:rFonts w:ascii="Courier New" w:hAnsi="Courier New" w:cs="Courier New"/>
      <w:kern w:val="2"/>
      <w:sz w:val="24"/>
      <w:szCs w:val="24"/>
    </w:rPr>
  </w:style>
  <w:style w:type="character" w:customStyle="1" w:styleId="afff2">
    <w:name w:val="脚注文本 字符"/>
    <w:basedOn w:val="a2"/>
    <w:link w:val="afff1"/>
    <w:semiHidden/>
    <w:rPr>
      <w:rFonts w:asciiTheme="minorHAnsi" w:eastAsiaTheme="minorEastAsia" w:hAnsiTheme="minorHAnsi" w:cstheme="minorBidi"/>
      <w:kern w:val="2"/>
      <w:sz w:val="18"/>
      <w:szCs w:val="18"/>
    </w:rPr>
  </w:style>
  <w:style w:type="character" w:customStyle="1" w:styleId="af7">
    <w:name w:val="结束语 字符"/>
    <w:basedOn w:val="a2"/>
    <w:link w:val="af6"/>
    <w:semiHidden/>
    <w:rPr>
      <w:rFonts w:asciiTheme="minorHAnsi" w:eastAsiaTheme="minorEastAsia" w:hAnsiTheme="minorHAnsi" w:cstheme="minorBidi"/>
      <w:kern w:val="2"/>
      <w:sz w:val="21"/>
      <w:szCs w:val="22"/>
    </w:rPr>
  </w:style>
  <w:style w:type="paragraph" w:styleId="affff">
    <w:name w:val="Intense Quote"/>
    <w:basedOn w:val="a1"/>
    <w:next w:val="a1"/>
    <w:link w:val="affff0"/>
    <w:uiPriority w:val="99"/>
    <w:semiHidden/>
    <w:unhideWhenUse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0">
    <w:name w:val="明显引用 字符"/>
    <w:basedOn w:val="a2"/>
    <w:link w:val="affff"/>
    <w:autoRedefine/>
    <w:uiPriority w:val="99"/>
    <w:semiHidden/>
    <w:rPr>
      <w:rFonts w:asciiTheme="minorHAnsi" w:eastAsiaTheme="minorEastAsia" w:hAnsiTheme="minorHAnsi" w:cstheme="minorBidi"/>
      <w:i/>
      <w:iCs/>
      <w:color w:val="5B9BD5" w:themeColor="accent1"/>
      <w:kern w:val="2"/>
      <w:sz w:val="21"/>
      <w:szCs w:val="22"/>
    </w:rPr>
  </w:style>
  <w:style w:type="character" w:customStyle="1" w:styleId="affc">
    <w:name w:val="签名 字符"/>
    <w:basedOn w:val="a2"/>
    <w:link w:val="affb"/>
    <w:semiHidden/>
    <w:rPr>
      <w:rFonts w:asciiTheme="minorHAnsi" w:eastAsiaTheme="minorEastAsia" w:hAnsiTheme="minorHAnsi" w:cstheme="minorBidi"/>
      <w:kern w:val="2"/>
      <w:sz w:val="21"/>
      <w:szCs w:val="22"/>
    </w:rPr>
  </w:style>
  <w:style w:type="character" w:customStyle="1" w:styleId="aff1">
    <w:name w:val="日期 字符"/>
    <w:basedOn w:val="a2"/>
    <w:link w:val="aff0"/>
    <w:semiHidden/>
    <w:rPr>
      <w:rFonts w:asciiTheme="minorHAnsi" w:eastAsiaTheme="minorEastAsia" w:hAnsiTheme="minorHAnsi" w:cstheme="minorBidi"/>
      <w:kern w:val="2"/>
      <w:sz w:val="21"/>
      <w:szCs w:val="22"/>
    </w:rPr>
  </w:style>
  <w:style w:type="paragraph" w:customStyle="1" w:styleId="14">
    <w:name w:val="书目1"/>
    <w:basedOn w:val="a1"/>
    <w:next w:val="a1"/>
    <w:uiPriority w:val="37"/>
    <w:semiHidden/>
    <w:unhideWhenUsed/>
  </w:style>
  <w:style w:type="character" w:customStyle="1" w:styleId="aff3">
    <w:name w:val="尾注文本 字符"/>
    <w:basedOn w:val="a2"/>
    <w:link w:val="aff2"/>
    <w:semiHidden/>
    <w:rPr>
      <w:rFonts w:asciiTheme="minorHAnsi" w:eastAsiaTheme="minorEastAsia" w:hAnsiTheme="minorHAnsi" w:cstheme="minorBidi"/>
      <w:kern w:val="2"/>
      <w:sz w:val="21"/>
      <w:szCs w:val="22"/>
    </w:rPr>
  </w:style>
  <w:style w:type="character" w:customStyle="1" w:styleId="af0">
    <w:name w:val="文档结构图 字符"/>
    <w:basedOn w:val="a2"/>
    <w:link w:val="af"/>
    <w:semiHidden/>
    <w:rPr>
      <w:rFonts w:ascii="Microsoft YaHei UI" w:eastAsia="Microsoft YaHei UI" w:hAnsiTheme="minorHAnsi" w:cstheme="minorBidi"/>
      <w:kern w:val="2"/>
      <w:sz w:val="18"/>
      <w:szCs w:val="18"/>
    </w:rPr>
  </w:style>
  <w:style w:type="paragraph" w:styleId="affff1">
    <w:name w:val="No Spacing"/>
    <w:uiPriority w:val="99"/>
    <w:semiHidden/>
    <w:unhideWhenUsed/>
    <w:pPr>
      <w:widowControl w:val="0"/>
      <w:jc w:val="both"/>
    </w:pPr>
    <w:rPr>
      <w:rFonts w:asciiTheme="minorHAnsi" w:eastAsiaTheme="minorEastAsia" w:hAnsiTheme="minorHAnsi" w:cstheme="minorBidi"/>
      <w:kern w:val="2"/>
      <w:sz w:val="21"/>
      <w:szCs w:val="22"/>
    </w:rPr>
  </w:style>
  <w:style w:type="character" w:customStyle="1" w:styleId="afff5">
    <w:name w:val="信息标题 字符"/>
    <w:basedOn w:val="a2"/>
    <w:link w:val="afff4"/>
    <w:semiHidden/>
    <w:rPr>
      <w:rFonts w:asciiTheme="majorHAnsi" w:eastAsiaTheme="majorEastAsia" w:hAnsiTheme="majorHAnsi" w:cstheme="majorBidi"/>
      <w:kern w:val="2"/>
      <w:sz w:val="24"/>
      <w:szCs w:val="24"/>
      <w:shd w:val="pct20" w:color="auto" w:fill="auto"/>
    </w:rPr>
  </w:style>
  <w:style w:type="paragraph" w:styleId="affff2">
    <w:name w:val="Quote"/>
    <w:basedOn w:val="a1"/>
    <w:next w:val="a1"/>
    <w:link w:val="affff3"/>
    <w:uiPriority w:val="99"/>
    <w:semiHidden/>
    <w:unhideWhenUsed/>
    <w:pPr>
      <w:spacing w:before="200" w:after="160"/>
      <w:ind w:left="864" w:right="864"/>
      <w:jc w:val="center"/>
    </w:pPr>
    <w:rPr>
      <w:i/>
      <w:iCs/>
      <w:color w:val="404040" w:themeColor="text1" w:themeTint="BF"/>
    </w:rPr>
  </w:style>
  <w:style w:type="character" w:customStyle="1" w:styleId="affff3">
    <w:name w:val="引用 字符"/>
    <w:basedOn w:val="a2"/>
    <w:link w:val="affff2"/>
    <w:uiPriority w:val="99"/>
    <w:semiHidden/>
    <w:rPr>
      <w:rFonts w:asciiTheme="minorHAnsi" w:eastAsiaTheme="minorEastAsia" w:hAnsiTheme="minorHAnsi" w:cstheme="minorBidi"/>
      <w:i/>
      <w:iCs/>
      <w:color w:val="404040" w:themeColor="text1" w:themeTint="BF"/>
      <w:kern w:val="2"/>
      <w:sz w:val="21"/>
      <w:szCs w:val="22"/>
    </w:rPr>
  </w:style>
  <w:style w:type="character" w:customStyle="1" w:styleId="28">
    <w:name w:val="正文文本 2 字符"/>
    <w:basedOn w:val="a2"/>
    <w:link w:val="27"/>
    <w:semiHidden/>
    <w:rPr>
      <w:rFonts w:asciiTheme="minorHAnsi" w:eastAsiaTheme="minorEastAsia" w:hAnsiTheme="minorHAnsi" w:cstheme="minorBidi"/>
      <w:kern w:val="2"/>
      <w:sz w:val="21"/>
      <w:szCs w:val="22"/>
    </w:rPr>
  </w:style>
  <w:style w:type="character" w:customStyle="1" w:styleId="35">
    <w:name w:val="正文文本 3 字符"/>
    <w:basedOn w:val="a2"/>
    <w:link w:val="34"/>
    <w:semiHidden/>
    <w:rPr>
      <w:rFonts w:asciiTheme="minorHAnsi" w:eastAsiaTheme="minorEastAsia" w:hAnsiTheme="minorHAnsi" w:cstheme="minorBidi"/>
      <w:kern w:val="2"/>
      <w:sz w:val="16"/>
      <w:szCs w:val="16"/>
    </w:rPr>
  </w:style>
  <w:style w:type="character" w:customStyle="1" w:styleId="af9">
    <w:name w:val="正文文本 字符"/>
    <w:basedOn w:val="a2"/>
    <w:link w:val="af8"/>
    <w:semiHidden/>
    <w:rPr>
      <w:rFonts w:ascii="宋体" w:hAnsi="宋体" w:cs="宋体"/>
      <w:kern w:val="2"/>
      <w:sz w:val="24"/>
      <w:szCs w:val="24"/>
      <w:lang w:eastAsia="en-US"/>
    </w:rPr>
  </w:style>
  <w:style w:type="character" w:customStyle="1" w:styleId="afffb">
    <w:name w:val="正文首行缩进 字符"/>
    <w:basedOn w:val="af9"/>
    <w:link w:val="afffa"/>
    <w:semiHidden/>
    <w:rPr>
      <w:rFonts w:asciiTheme="minorHAnsi" w:eastAsiaTheme="minorEastAsia" w:hAnsiTheme="minorHAnsi" w:cstheme="minorBidi"/>
      <w:kern w:val="2"/>
      <w:sz w:val="21"/>
      <w:szCs w:val="22"/>
      <w:lang w:eastAsia="en-US"/>
    </w:rPr>
  </w:style>
  <w:style w:type="character" w:customStyle="1" w:styleId="afb">
    <w:name w:val="正文文本缩进 字符"/>
    <w:basedOn w:val="a2"/>
    <w:link w:val="afa"/>
    <w:semiHidden/>
    <w:rPr>
      <w:rFonts w:asciiTheme="minorHAnsi" w:eastAsiaTheme="minorEastAsia" w:hAnsiTheme="minorHAnsi" w:cstheme="minorBidi"/>
      <w:kern w:val="2"/>
      <w:sz w:val="21"/>
      <w:szCs w:val="22"/>
    </w:rPr>
  </w:style>
  <w:style w:type="character" w:customStyle="1" w:styleId="2c">
    <w:name w:val="正文首行缩进 2 字符"/>
    <w:basedOn w:val="afb"/>
    <w:link w:val="2b"/>
    <w:semiHidden/>
    <w:rPr>
      <w:rFonts w:asciiTheme="minorHAnsi" w:eastAsiaTheme="minorEastAsia" w:hAnsiTheme="minorHAnsi" w:cstheme="minorBidi"/>
      <w:kern w:val="2"/>
      <w:sz w:val="21"/>
      <w:szCs w:val="22"/>
    </w:rPr>
  </w:style>
  <w:style w:type="character" w:customStyle="1" w:styleId="25">
    <w:name w:val="正文文本缩进 2 字符"/>
    <w:basedOn w:val="a2"/>
    <w:link w:val="24"/>
    <w:semiHidden/>
    <w:rPr>
      <w:rFonts w:asciiTheme="minorHAnsi" w:eastAsiaTheme="minorEastAsia" w:hAnsiTheme="minorHAnsi" w:cstheme="minorBidi"/>
      <w:kern w:val="2"/>
      <w:sz w:val="21"/>
      <w:szCs w:val="22"/>
    </w:rPr>
  </w:style>
  <w:style w:type="character" w:customStyle="1" w:styleId="39">
    <w:name w:val="正文文本缩进 3 字符"/>
    <w:basedOn w:val="a2"/>
    <w:link w:val="38"/>
    <w:semiHidden/>
    <w:rPr>
      <w:rFonts w:asciiTheme="minorHAnsi" w:eastAsiaTheme="minorEastAsia" w:hAnsiTheme="minorHAnsi" w:cstheme="minorBidi"/>
      <w:kern w:val="2"/>
      <w:sz w:val="16"/>
      <w:szCs w:val="16"/>
    </w:rPr>
  </w:style>
  <w:style w:type="character" w:customStyle="1" w:styleId="a9">
    <w:name w:val="注释标题 字符"/>
    <w:basedOn w:val="a2"/>
    <w:link w:val="a8"/>
    <w:semiHidden/>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517</Words>
  <Characters>2952</Characters>
  <Application>Microsoft Office Word</Application>
  <DocSecurity>0</DocSecurity>
  <Lines>24</Lines>
  <Paragraphs>6</Paragraphs>
  <ScaleCrop>false</ScaleCrop>
  <Company>HP</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BJB-ZB-03</dc:creator>
  <cp:lastModifiedBy>蒋梦真</cp:lastModifiedBy>
  <cp:revision>3</cp:revision>
  <dcterms:created xsi:type="dcterms:W3CDTF">2024-03-21T08:06:00Z</dcterms:created>
  <dcterms:modified xsi:type="dcterms:W3CDTF">2024-03-21T08:07:00Z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F3DEE50DFBD74D3197176AE9A86ADABD_13</vt:lpwstr>
  </property>
</Properties>
</file>