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before="156" w:beforeLines="50" w:after="156" w:afterLines="50" w:line="360" w:lineRule="auto"/>
        <w:jc w:val="right"/>
        <w:rPr>
          <w:rFonts w:ascii="Times New Roman" w:hAnsi="Times New Roman"/>
          <w:color w:val="000000"/>
          <w:sz w:val="28"/>
        </w:rPr>
      </w:pPr>
      <w:r>
        <w:rPr>
          <w:rFonts w:hint="eastAsia" w:ascii="Times New Roman" w:hAnsi="Times New Roman"/>
          <w:b/>
          <w:color w:val="000000"/>
          <w:sz w:val="28"/>
        </w:rPr>
        <w:t>证券简称：望变电气</w:t>
      </w:r>
      <w:r>
        <w:rPr>
          <w:rFonts w:ascii="Times New Roman" w:hAnsi="Times New Roman"/>
          <w:b/>
          <w:color w:val="000000"/>
          <w:sz w:val="28"/>
        </w:rPr>
        <w:t xml:space="preserve">                        </w:t>
      </w:r>
      <w:r>
        <w:rPr>
          <w:rFonts w:hint="eastAsia" w:ascii="Times New Roman" w:hAnsi="Times New Roman"/>
          <w:b/>
          <w:color w:val="000000"/>
          <w:sz w:val="28"/>
        </w:rPr>
        <w:t xml:space="preserve">                        证券代码：</w:t>
      </w:r>
      <w:r>
        <w:rPr>
          <w:rFonts w:ascii="Times New Roman" w:hAnsi="Times New Roman"/>
          <w:b/>
          <w:color w:val="000000"/>
          <w:sz w:val="28"/>
        </w:rPr>
        <w:t>603191</w:t>
      </w:r>
    </w:p>
    <w:p>
      <w:pPr>
        <w:spacing w:before="156" w:beforeLines="50" w:after="156" w:afterLines="50" w:line="360" w:lineRule="auto"/>
        <w:ind w:firstLine="480" w:firstLineChars="200"/>
        <w:rPr>
          <w:rFonts w:ascii="Times New Roman" w:hAnsi="Times New Roman"/>
          <w:color w:val="000000"/>
          <w:sz w:val="24"/>
        </w:rPr>
      </w:pPr>
    </w:p>
    <w:p>
      <w:pPr>
        <w:spacing w:before="156" w:beforeLines="50" w:after="156" w:afterLines="50" w:line="360" w:lineRule="auto"/>
        <w:ind w:firstLine="480" w:firstLineChars="200"/>
        <w:rPr>
          <w:rFonts w:ascii="Times New Roman" w:hAnsi="Times New Roman"/>
          <w:color w:val="000000"/>
          <w:sz w:val="24"/>
        </w:rPr>
      </w:pPr>
    </w:p>
    <w:p>
      <w:pPr>
        <w:spacing w:before="156" w:beforeLines="50" w:after="156" w:afterLines="50" w:line="360" w:lineRule="auto"/>
        <w:ind w:firstLine="480" w:firstLineChars="200"/>
        <w:rPr>
          <w:rFonts w:ascii="Times New Roman" w:hAnsi="Times New Roman"/>
          <w:color w:val="000000"/>
          <w:sz w:val="24"/>
        </w:rPr>
      </w:pPr>
    </w:p>
    <w:p>
      <w:pPr>
        <w:spacing w:before="156" w:beforeLines="50" w:after="156" w:afterLines="50" w:line="360" w:lineRule="auto"/>
        <w:ind w:firstLine="480" w:firstLineChars="200"/>
        <w:rPr>
          <w:rFonts w:ascii="Times New Roman" w:hAnsi="Times New Roman"/>
          <w:color w:val="000000"/>
          <w:sz w:val="24"/>
        </w:rPr>
      </w:pPr>
    </w:p>
    <w:p>
      <w:pPr>
        <w:spacing w:before="156" w:beforeLines="50" w:after="156" w:afterLines="50" w:line="360" w:lineRule="auto"/>
        <w:ind w:firstLine="480" w:firstLineChars="200"/>
        <w:rPr>
          <w:rFonts w:ascii="Times New Roman" w:hAnsi="Times New Roman"/>
          <w:color w:val="000000"/>
          <w:sz w:val="24"/>
        </w:rPr>
      </w:pPr>
    </w:p>
    <w:p>
      <w:pPr>
        <w:spacing w:before="156" w:beforeLines="50" w:after="156" w:afterLines="50" w:line="360" w:lineRule="auto"/>
        <w:jc w:val="center"/>
        <w:rPr>
          <w:rFonts w:ascii="Times New Roman" w:hAnsi="Times New Roman"/>
          <w:b/>
          <w:color w:val="000000"/>
          <w:sz w:val="36"/>
        </w:rPr>
      </w:pPr>
      <w:bookmarkStart w:id="0" w:name="_Hlk84927325"/>
      <w:bookmarkStart w:id="1" w:name="_Hlk65760147"/>
      <w:r>
        <w:rPr>
          <w:rFonts w:hint="eastAsia" w:ascii="Times New Roman" w:hAnsi="Times New Roman"/>
          <w:b/>
          <w:color w:val="000000"/>
          <w:sz w:val="36"/>
        </w:rPr>
        <w:t>重庆望变电气（集团）股份有限公司</w:t>
      </w:r>
    </w:p>
    <w:bookmarkEnd w:id="0"/>
    <w:p>
      <w:pPr>
        <w:spacing w:before="156" w:beforeLines="50" w:after="156" w:afterLines="50" w:line="360" w:lineRule="auto"/>
        <w:jc w:val="center"/>
        <w:rPr>
          <w:rFonts w:ascii="Times New Roman" w:hAnsi="Times New Roman"/>
          <w:b/>
          <w:color w:val="000000"/>
          <w:sz w:val="36"/>
        </w:rPr>
      </w:pPr>
      <w:r>
        <w:rPr>
          <w:rFonts w:hint="eastAsia" w:ascii="Times New Roman" w:hAnsi="Times New Roman"/>
          <w:b/>
          <w:color w:val="000000"/>
          <w:sz w:val="36"/>
        </w:rPr>
        <w:t>202</w:t>
      </w:r>
      <w:r>
        <w:rPr>
          <w:rFonts w:ascii="Times New Roman" w:hAnsi="Times New Roman"/>
          <w:b/>
          <w:color w:val="000000"/>
          <w:sz w:val="36"/>
        </w:rPr>
        <w:t>4</w:t>
      </w:r>
      <w:r>
        <w:rPr>
          <w:rFonts w:hint="eastAsia" w:ascii="Times New Roman" w:hAnsi="Times New Roman"/>
          <w:b/>
          <w:color w:val="000000"/>
          <w:sz w:val="36"/>
        </w:rPr>
        <w:t>年</w:t>
      </w:r>
      <w:bookmarkEnd w:id="1"/>
      <w:r>
        <w:rPr>
          <w:rFonts w:hint="eastAsia" w:ascii="Times New Roman" w:hAnsi="Times New Roman"/>
          <w:b/>
          <w:color w:val="000000"/>
          <w:sz w:val="36"/>
        </w:rPr>
        <w:t>限制性股票激励计划</w:t>
      </w:r>
    </w:p>
    <w:p>
      <w:pPr>
        <w:spacing w:before="156" w:beforeLines="50" w:after="156" w:afterLines="50" w:line="360" w:lineRule="auto"/>
        <w:jc w:val="center"/>
        <w:rPr>
          <w:rFonts w:ascii="Times New Roman" w:hAnsi="Times New Roman"/>
          <w:b/>
          <w:color w:val="000000"/>
          <w:sz w:val="32"/>
        </w:rPr>
      </w:pPr>
      <w:r>
        <w:rPr>
          <w:rFonts w:hint="eastAsia" w:ascii="Times New Roman" w:hAnsi="Times New Roman"/>
          <w:b/>
          <w:color w:val="000000"/>
          <w:sz w:val="36"/>
        </w:rPr>
        <w:t>（草案）</w:t>
      </w:r>
    </w:p>
    <w:p>
      <w:pPr>
        <w:spacing w:before="156" w:beforeLines="50" w:after="156" w:afterLines="50" w:line="360" w:lineRule="auto"/>
        <w:jc w:val="center"/>
        <w:rPr>
          <w:rFonts w:ascii="Times New Roman" w:hAnsi="Times New Roman"/>
          <w:b/>
          <w:color w:val="000000"/>
          <w:sz w:val="36"/>
        </w:rPr>
      </w:pPr>
    </w:p>
    <w:p>
      <w:pPr>
        <w:spacing w:before="156" w:beforeLines="50" w:after="156" w:afterLines="50" w:line="360" w:lineRule="auto"/>
        <w:jc w:val="center"/>
        <w:rPr>
          <w:rFonts w:ascii="Times New Roman" w:hAnsi="Times New Roman"/>
          <w:b/>
          <w:color w:val="000000"/>
          <w:sz w:val="36"/>
        </w:rPr>
      </w:pPr>
    </w:p>
    <w:p>
      <w:pPr>
        <w:spacing w:before="156" w:beforeLines="50" w:after="156" w:afterLines="50" w:line="360" w:lineRule="auto"/>
        <w:jc w:val="center"/>
        <w:rPr>
          <w:rFonts w:ascii="Times New Roman" w:hAnsi="Times New Roman"/>
          <w:b/>
          <w:color w:val="000000"/>
          <w:sz w:val="36"/>
        </w:rPr>
      </w:pPr>
    </w:p>
    <w:p>
      <w:pPr>
        <w:spacing w:before="156" w:beforeLines="50" w:after="156" w:afterLines="50" w:line="360" w:lineRule="auto"/>
        <w:jc w:val="center"/>
        <w:rPr>
          <w:rFonts w:ascii="Times New Roman" w:hAnsi="Times New Roman"/>
          <w:b/>
          <w:color w:val="000000"/>
          <w:sz w:val="36"/>
        </w:rPr>
      </w:pPr>
    </w:p>
    <w:p>
      <w:pPr>
        <w:spacing w:before="156" w:beforeLines="50" w:after="156" w:afterLines="50" w:line="360" w:lineRule="auto"/>
        <w:jc w:val="center"/>
        <w:rPr>
          <w:rFonts w:ascii="Times New Roman" w:hAnsi="Times New Roman"/>
          <w:b/>
          <w:color w:val="000000"/>
          <w:sz w:val="36"/>
        </w:rPr>
      </w:pPr>
    </w:p>
    <w:p>
      <w:pPr>
        <w:spacing w:before="156" w:beforeLines="50" w:after="156" w:afterLines="50" w:line="360" w:lineRule="auto"/>
        <w:jc w:val="center"/>
        <w:rPr>
          <w:rFonts w:ascii="Times New Roman" w:hAnsi="Times New Roman"/>
          <w:b/>
          <w:color w:val="000000"/>
          <w:sz w:val="36"/>
        </w:rPr>
      </w:pPr>
    </w:p>
    <w:p>
      <w:pPr>
        <w:spacing w:before="156" w:beforeLines="50" w:after="156" w:afterLines="50" w:line="360" w:lineRule="auto"/>
        <w:jc w:val="center"/>
        <w:rPr>
          <w:rFonts w:ascii="Times New Roman" w:hAnsi="Times New Roman"/>
          <w:b/>
          <w:color w:val="000000"/>
          <w:sz w:val="36"/>
        </w:rPr>
      </w:pPr>
    </w:p>
    <w:p>
      <w:pPr>
        <w:spacing w:before="156" w:beforeLines="50" w:after="156" w:afterLines="50" w:line="360" w:lineRule="auto"/>
        <w:jc w:val="center"/>
        <w:rPr>
          <w:rFonts w:ascii="Times New Roman" w:hAnsi="Times New Roman"/>
          <w:b/>
          <w:color w:val="000000"/>
          <w:sz w:val="36"/>
        </w:rPr>
      </w:pPr>
    </w:p>
    <w:p>
      <w:pPr>
        <w:spacing w:before="156" w:beforeLines="50" w:after="156" w:afterLines="50" w:line="360" w:lineRule="auto"/>
        <w:jc w:val="center"/>
        <w:rPr>
          <w:rFonts w:ascii="Times New Roman" w:hAnsi="Times New Roman"/>
          <w:b/>
          <w:color w:val="000000"/>
          <w:sz w:val="28"/>
        </w:rPr>
        <w:sectPr>
          <w:headerReference r:id="rId5" w:type="default"/>
          <w:footerReference r:id="rId6" w:type="default"/>
          <w:pgSz w:w="11906" w:h="16838"/>
          <w:pgMar w:top="1440" w:right="1800" w:bottom="1440" w:left="1800" w:header="851" w:footer="992" w:gutter="0"/>
          <w:cols w:space="425" w:num="1"/>
          <w:titlePg/>
          <w:docGrid w:type="lines" w:linePitch="312" w:charSpace="0"/>
        </w:sectPr>
      </w:pPr>
      <w:r>
        <w:rPr>
          <w:rFonts w:hint="eastAsia" w:ascii="Times New Roman" w:hAnsi="Times New Roman"/>
          <w:b/>
          <w:color w:val="000000"/>
          <w:sz w:val="28"/>
        </w:rPr>
        <w:t>二〇二四年一月</w:t>
      </w:r>
    </w:p>
    <w:p>
      <w:pPr>
        <w:keepNext/>
        <w:keepLines/>
        <w:spacing w:before="156" w:beforeLines="50" w:after="0" w:line="360" w:lineRule="auto"/>
        <w:jc w:val="center"/>
        <w:outlineLvl w:val="1"/>
        <w:rPr>
          <w:rFonts w:ascii="黑体" w:hAnsi="黑体"/>
          <w:color w:val="000000"/>
          <w:kern w:val="2"/>
        </w:rPr>
      </w:pPr>
      <w:bookmarkStart w:id="2" w:name="_Toc112782111"/>
      <w:bookmarkStart w:id="3" w:name="_Toc501096295"/>
      <w:r>
        <w:rPr>
          <w:rFonts w:hint="eastAsia" w:ascii="黑体" w:hAnsi="黑体"/>
          <w:b/>
          <w:color w:val="000000"/>
          <w:kern w:val="2"/>
          <w:sz w:val="28"/>
        </w:rPr>
        <w:t>声明</w:t>
      </w:r>
      <w:bookmarkEnd w:id="2"/>
      <w:bookmarkEnd w:id="3"/>
    </w:p>
    <w:p>
      <w:pPr>
        <w:spacing w:before="156" w:beforeLines="50" w:after="0" w:line="360" w:lineRule="auto"/>
        <w:ind w:firstLine="480" w:firstLineChars="200"/>
        <w:rPr>
          <w:rFonts w:ascii="Times New Roman" w:hAnsi="Times New Roman"/>
          <w:color w:val="000000"/>
          <w:sz w:val="24"/>
        </w:rPr>
      </w:pPr>
      <w:r>
        <w:rPr>
          <w:rFonts w:hint="eastAsia" w:ascii="Times New Roman" w:hAnsi="Times New Roman"/>
          <w:color w:val="000000"/>
          <w:sz w:val="24"/>
        </w:rPr>
        <w:t>本公司及全体董事、监事保证本激励计划及其摘要不存在虚假记载、误导性陈述或重大遗漏，并对其真实性、准确性、完整性承担个别和连带的法律责任。</w:t>
      </w:r>
    </w:p>
    <w:p>
      <w:pPr>
        <w:rPr>
          <w:rFonts w:ascii="Times New Roman" w:hAnsi="Times New Roman"/>
          <w:color w:val="000000"/>
          <w:sz w:val="24"/>
        </w:rPr>
      </w:pPr>
      <w:r>
        <w:rPr>
          <w:rFonts w:hint="eastAsia" w:ascii="Times New Roman" w:hAnsi="Times New Roman"/>
          <w:color w:val="000000"/>
          <w:sz w:val="24"/>
        </w:rPr>
        <w:br w:type="page"/>
      </w:r>
    </w:p>
    <w:p>
      <w:pPr>
        <w:keepNext/>
        <w:keepLines/>
        <w:spacing w:before="156" w:beforeLines="50" w:after="0" w:line="360" w:lineRule="auto"/>
        <w:jc w:val="center"/>
        <w:outlineLvl w:val="1"/>
        <w:rPr>
          <w:rFonts w:ascii="黑体" w:hAnsi="黑体"/>
          <w:b/>
          <w:color w:val="000000"/>
          <w:kern w:val="2"/>
          <w:sz w:val="28"/>
        </w:rPr>
      </w:pPr>
      <w:bookmarkStart w:id="4" w:name="_Toc112782112"/>
      <w:bookmarkStart w:id="5" w:name="_Toc501096296"/>
      <w:r>
        <w:rPr>
          <w:rFonts w:hint="eastAsia" w:ascii="黑体" w:hAnsi="黑体"/>
          <w:b/>
          <w:color w:val="000000"/>
          <w:kern w:val="2"/>
          <w:sz w:val="28"/>
        </w:rPr>
        <w:t>特别提示</w:t>
      </w:r>
      <w:bookmarkEnd w:id="4"/>
      <w:bookmarkEnd w:id="5"/>
    </w:p>
    <w:p>
      <w:pPr>
        <w:spacing w:before="156" w:beforeLines="50" w:after="0" w:line="360" w:lineRule="auto"/>
        <w:ind w:firstLine="480" w:firstLineChars="200"/>
        <w:jc w:val="both"/>
        <w:rPr>
          <w:rFonts w:ascii="Times New Roman" w:hAnsi="Times New Roman"/>
          <w:color w:val="000000"/>
          <w:sz w:val="24"/>
        </w:rPr>
      </w:pPr>
      <w:r>
        <w:rPr>
          <w:rFonts w:hint="eastAsia" w:ascii="Times New Roman" w:hAnsi="Times New Roman"/>
          <w:color w:val="000000"/>
          <w:sz w:val="24"/>
        </w:rPr>
        <w:t>一、本激励计划系依据《中华人民共和国公司法》《中华人民共和国证券法》《上市公司股权激励管理办法》和《重庆望变电气（集团）股份有限公司章程》以及其他有关法律、法规、规章和规范性文件的规定制定。</w:t>
      </w:r>
    </w:p>
    <w:p>
      <w:pPr>
        <w:widowControl w:val="0"/>
        <w:spacing w:before="156" w:beforeLines="50" w:after="156" w:afterLines="50" w:line="360" w:lineRule="auto"/>
        <w:ind w:firstLine="480" w:firstLineChars="200"/>
        <w:jc w:val="both"/>
        <w:rPr>
          <w:rFonts w:ascii="Times New Roman" w:hAnsi="Times New Roman"/>
          <w:color w:val="000000"/>
          <w:kern w:val="2"/>
          <w:sz w:val="24"/>
        </w:rPr>
      </w:pPr>
      <w:r>
        <w:rPr>
          <w:rFonts w:ascii="Times New Roman" w:hAnsi="Times New Roman"/>
          <w:color w:val="000000"/>
          <w:kern w:val="2"/>
          <w:sz w:val="24"/>
        </w:rPr>
        <w:t>二、公司不存在《上市公司股权激励管理办法》第七条规定的不得实行股权激励的情形：</w:t>
      </w:r>
    </w:p>
    <w:p>
      <w:pPr>
        <w:widowControl w:val="0"/>
        <w:spacing w:before="156" w:beforeLines="50" w:after="156" w:afterLines="50" w:line="360" w:lineRule="auto"/>
        <w:ind w:firstLine="480" w:firstLineChars="200"/>
        <w:jc w:val="both"/>
        <w:rPr>
          <w:rFonts w:ascii="Times New Roman" w:hAnsi="Times New Roman"/>
          <w:color w:val="000000"/>
          <w:kern w:val="2"/>
          <w:sz w:val="24"/>
        </w:rPr>
      </w:pPr>
      <w:r>
        <w:rPr>
          <w:rFonts w:ascii="Times New Roman" w:hAnsi="Times New Roman"/>
          <w:color w:val="000000"/>
          <w:kern w:val="2"/>
          <w:sz w:val="24"/>
        </w:rPr>
        <w:t>（1）最近一个会计年度财务会计报告被注册会计师出具否定意见或者无法表示意见的审计报告</w:t>
      </w:r>
      <w:r>
        <w:rPr>
          <w:rFonts w:hint="eastAsia" w:ascii="Times New Roman" w:hAnsi="Times New Roman"/>
          <w:color w:val="000000"/>
          <w:kern w:val="2"/>
          <w:sz w:val="24"/>
        </w:rPr>
        <w:t>；</w:t>
      </w:r>
    </w:p>
    <w:p>
      <w:pPr>
        <w:widowControl w:val="0"/>
        <w:spacing w:before="156" w:beforeLines="50" w:after="156" w:afterLines="50" w:line="360" w:lineRule="auto"/>
        <w:ind w:firstLine="480" w:firstLineChars="200"/>
        <w:jc w:val="both"/>
        <w:rPr>
          <w:rFonts w:ascii="Times New Roman" w:hAnsi="Times New Roman"/>
          <w:color w:val="000000"/>
          <w:kern w:val="2"/>
          <w:sz w:val="24"/>
        </w:rPr>
      </w:pPr>
      <w:r>
        <w:rPr>
          <w:rFonts w:ascii="Times New Roman" w:hAnsi="Times New Roman"/>
          <w:color w:val="000000"/>
          <w:kern w:val="2"/>
          <w:sz w:val="24"/>
        </w:rPr>
        <w:t>（2）最近一个会计年度财务报告内部控制被注册会计师出具否定意见或者无法表示意见的审计报告</w:t>
      </w:r>
      <w:r>
        <w:rPr>
          <w:rFonts w:hint="eastAsia" w:ascii="Times New Roman" w:hAnsi="Times New Roman"/>
          <w:color w:val="000000"/>
          <w:kern w:val="2"/>
          <w:sz w:val="24"/>
        </w:rPr>
        <w:t>；</w:t>
      </w:r>
    </w:p>
    <w:p>
      <w:pPr>
        <w:widowControl w:val="0"/>
        <w:spacing w:before="156" w:beforeLines="50" w:after="156" w:afterLines="50" w:line="360" w:lineRule="auto"/>
        <w:ind w:firstLine="480" w:firstLineChars="200"/>
        <w:jc w:val="both"/>
        <w:rPr>
          <w:rFonts w:ascii="Times New Roman" w:hAnsi="Times New Roman"/>
          <w:color w:val="000000"/>
          <w:kern w:val="2"/>
          <w:sz w:val="24"/>
        </w:rPr>
      </w:pPr>
      <w:r>
        <w:rPr>
          <w:rFonts w:ascii="Times New Roman" w:hAnsi="Times New Roman"/>
          <w:color w:val="000000"/>
          <w:kern w:val="2"/>
          <w:sz w:val="24"/>
        </w:rPr>
        <w:t>（3）上市后最近36个月内出现过未按法律法规、公司章程、公开承诺进行利润分配的情形</w:t>
      </w:r>
      <w:r>
        <w:rPr>
          <w:rFonts w:hint="eastAsia" w:ascii="Times New Roman" w:hAnsi="Times New Roman"/>
          <w:color w:val="000000"/>
          <w:kern w:val="2"/>
          <w:sz w:val="24"/>
        </w:rPr>
        <w:t>；</w:t>
      </w:r>
    </w:p>
    <w:p>
      <w:pPr>
        <w:widowControl w:val="0"/>
        <w:spacing w:before="156" w:beforeLines="50" w:after="156" w:afterLines="50" w:line="360" w:lineRule="auto"/>
        <w:ind w:firstLine="480" w:firstLineChars="200"/>
        <w:jc w:val="both"/>
        <w:rPr>
          <w:rFonts w:ascii="Times New Roman" w:hAnsi="Times New Roman"/>
          <w:color w:val="000000"/>
          <w:kern w:val="2"/>
          <w:sz w:val="24"/>
        </w:rPr>
      </w:pPr>
      <w:r>
        <w:rPr>
          <w:rFonts w:ascii="Times New Roman" w:hAnsi="Times New Roman"/>
          <w:color w:val="000000"/>
          <w:kern w:val="2"/>
          <w:sz w:val="24"/>
        </w:rPr>
        <w:t>（4）法律法规规定不得实行股权激励的</w:t>
      </w:r>
      <w:r>
        <w:rPr>
          <w:rFonts w:hint="eastAsia" w:ascii="Times New Roman" w:hAnsi="Times New Roman"/>
          <w:color w:val="000000"/>
          <w:kern w:val="2"/>
          <w:sz w:val="24"/>
        </w:rPr>
        <w:t>；</w:t>
      </w:r>
    </w:p>
    <w:p>
      <w:pPr>
        <w:widowControl w:val="0"/>
        <w:spacing w:before="156" w:beforeLines="50" w:after="156" w:afterLines="50" w:line="360" w:lineRule="auto"/>
        <w:ind w:firstLine="480" w:firstLineChars="200"/>
        <w:jc w:val="both"/>
        <w:rPr>
          <w:rFonts w:ascii="Times New Roman" w:hAnsi="Times New Roman"/>
          <w:color w:val="000000"/>
          <w:kern w:val="2"/>
          <w:sz w:val="24"/>
        </w:rPr>
      </w:pPr>
      <w:r>
        <w:rPr>
          <w:rFonts w:ascii="Times New Roman" w:hAnsi="Times New Roman"/>
          <w:color w:val="000000"/>
          <w:kern w:val="2"/>
          <w:sz w:val="24"/>
        </w:rPr>
        <w:t>（5）中国证监会认定的其他情形。</w:t>
      </w:r>
    </w:p>
    <w:p>
      <w:pPr>
        <w:widowControl w:val="0"/>
        <w:spacing w:before="156" w:beforeLines="50" w:after="156" w:afterLines="50" w:line="360" w:lineRule="auto"/>
        <w:ind w:firstLine="480" w:firstLineChars="200"/>
        <w:jc w:val="both"/>
        <w:rPr>
          <w:rFonts w:ascii="Times New Roman" w:hAnsi="Times New Roman"/>
          <w:color w:val="000000"/>
          <w:kern w:val="2"/>
          <w:sz w:val="24"/>
        </w:rPr>
      </w:pPr>
      <w:r>
        <w:rPr>
          <w:rFonts w:ascii="Times New Roman" w:hAnsi="Times New Roman"/>
          <w:color w:val="000000"/>
          <w:kern w:val="2"/>
          <w:sz w:val="24"/>
        </w:rPr>
        <w:t>三、本激励计划激励对象不存在《上市公司股权激励管理办法》第八条规定的不得成为激励对象的情形：</w:t>
      </w:r>
    </w:p>
    <w:p>
      <w:pPr>
        <w:widowControl w:val="0"/>
        <w:spacing w:before="156" w:beforeLines="50" w:after="156" w:afterLines="50" w:line="360" w:lineRule="auto"/>
        <w:ind w:firstLine="480" w:firstLineChars="200"/>
        <w:jc w:val="both"/>
        <w:rPr>
          <w:rFonts w:ascii="Times New Roman" w:hAnsi="Times New Roman"/>
          <w:color w:val="000000"/>
          <w:kern w:val="2"/>
          <w:sz w:val="24"/>
        </w:rPr>
      </w:pPr>
      <w:r>
        <w:rPr>
          <w:rFonts w:ascii="Times New Roman" w:hAnsi="Times New Roman"/>
          <w:color w:val="000000"/>
          <w:kern w:val="2"/>
          <w:sz w:val="24"/>
        </w:rPr>
        <w:t>（1）最近12个月内被证券交易所认定为不适当人选</w:t>
      </w:r>
      <w:r>
        <w:rPr>
          <w:rFonts w:hint="eastAsia" w:ascii="Times New Roman" w:hAnsi="Times New Roman"/>
          <w:color w:val="000000"/>
          <w:kern w:val="2"/>
          <w:sz w:val="24"/>
        </w:rPr>
        <w:t>；</w:t>
      </w:r>
    </w:p>
    <w:p>
      <w:pPr>
        <w:widowControl w:val="0"/>
        <w:spacing w:before="156" w:beforeLines="50" w:after="156" w:afterLines="50" w:line="360" w:lineRule="auto"/>
        <w:ind w:firstLine="480" w:firstLineChars="200"/>
        <w:jc w:val="both"/>
        <w:rPr>
          <w:rFonts w:ascii="Times New Roman" w:hAnsi="Times New Roman"/>
          <w:color w:val="000000"/>
          <w:kern w:val="2"/>
          <w:sz w:val="24"/>
        </w:rPr>
      </w:pPr>
      <w:r>
        <w:rPr>
          <w:rFonts w:ascii="Times New Roman" w:hAnsi="Times New Roman"/>
          <w:color w:val="000000"/>
          <w:kern w:val="2"/>
          <w:sz w:val="24"/>
        </w:rPr>
        <w:t>（2）最近12个月内被中国证监会及其派出机构认定为不适当人选</w:t>
      </w:r>
      <w:r>
        <w:rPr>
          <w:rFonts w:hint="eastAsia" w:ascii="Times New Roman" w:hAnsi="Times New Roman"/>
          <w:color w:val="000000"/>
          <w:kern w:val="2"/>
          <w:sz w:val="24"/>
        </w:rPr>
        <w:t>；</w:t>
      </w:r>
    </w:p>
    <w:p>
      <w:pPr>
        <w:widowControl w:val="0"/>
        <w:spacing w:before="156" w:beforeLines="50" w:after="156" w:afterLines="50" w:line="360" w:lineRule="auto"/>
        <w:ind w:firstLine="480" w:firstLineChars="200"/>
        <w:jc w:val="both"/>
        <w:rPr>
          <w:rFonts w:ascii="Times New Roman" w:hAnsi="Times New Roman"/>
          <w:color w:val="000000"/>
          <w:kern w:val="2"/>
          <w:sz w:val="24"/>
        </w:rPr>
      </w:pPr>
      <w:r>
        <w:rPr>
          <w:rFonts w:ascii="Times New Roman" w:hAnsi="Times New Roman"/>
          <w:color w:val="000000"/>
          <w:kern w:val="2"/>
          <w:sz w:val="24"/>
        </w:rPr>
        <w:t>（3）最近12个月内因重大违法违规行为被中国证监会及其派出机构行政处罚或者采取市场禁入措施</w:t>
      </w:r>
      <w:r>
        <w:rPr>
          <w:rFonts w:hint="eastAsia" w:ascii="Times New Roman" w:hAnsi="Times New Roman"/>
          <w:color w:val="000000"/>
          <w:kern w:val="2"/>
          <w:sz w:val="24"/>
        </w:rPr>
        <w:t>；</w:t>
      </w:r>
    </w:p>
    <w:p>
      <w:pPr>
        <w:widowControl w:val="0"/>
        <w:spacing w:before="156" w:beforeLines="50" w:after="156" w:afterLines="50" w:line="360" w:lineRule="auto"/>
        <w:ind w:firstLine="480" w:firstLineChars="200"/>
        <w:jc w:val="both"/>
        <w:rPr>
          <w:rFonts w:ascii="Times New Roman" w:hAnsi="Times New Roman"/>
          <w:color w:val="000000"/>
          <w:kern w:val="2"/>
          <w:sz w:val="24"/>
        </w:rPr>
      </w:pPr>
      <w:r>
        <w:rPr>
          <w:rFonts w:ascii="Times New Roman" w:hAnsi="Times New Roman"/>
          <w:color w:val="000000"/>
          <w:kern w:val="2"/>
          <w:sz w:val="24"/>
        </w:rPr>
        <w:t>（4）具有《公司法》规定的不得担任公司董事、高级管理人员情形的</w:t>
      </w:r>
      <w:r>
        <w:rPr>
          <w:rFonts w:hint="eastAsia" w:ascii="Times New Roman" w:hAnsi="Times New Roman"/>
          <w:color w:val="000000"/>
          <w:kern w:val="2"/>
          <w:sz w:val="24"/>
        </w:rPr>
        <w:t>；</w:t>
      </w:r>
    </w:p>
    <w:p>
      <w:pPr>
        <w:widowControl w:val="0"/>
        <w:spacing w:before="156" w:beforeLines="50" w:after="156" w:afterLines="50" w:line="360" w:lineRule="auto"/>
        <w:ind w:firstLine="480" w:firstLineChars="200"/>
        <w:jc w:val="both"/>
        <w:rPr>
          <w:rFonts w:ascii="Times New Roman" w:hAnsi="Times New Roman"/>
          <w:color w:val="000000"/>
          <w:kern w:val="2"/>
          <w:sz w:val="24"/>
        </w:rPr>
      </w:pPr>
      <w:r>
        <w:rPr>
          <w:rFonts w:ascii="Times New Roman" w:hAnsi="Times New Roman"/>
          <w:color w:val="000000"/>
          <w:kern w:val="2"/>
          <w:sz w:val="24"/>
        </w:rPr>
        <w:t>（5）法律法规规定不得参与上市公司股权激励的</w:t>
      </w:r>
      <w:r>
        <w:rPr>
          <w:rFonts w:hint="eastAsia" w:ascii="Times New Roman" w:hAnsi="Times New Roman"/>
          <w:color w:val="000000"/>
          <w:kern w:val="2"/>
          <w:sz w:val="24"/>
        </w:rPr>
        <w:t>；</w:t>
      </w:r>
    </w:p>
    <w:p>
      <w:pPr>
        <w:spacing w:before="156" w:beforeLines="50" w:after="0" w:line="360" w:lineRule="auto"/>
        <w:ind w:firstLine="480" w:firstLineChars="200"/>
        <w:jc w:val="both"/>
        <w:rPr>
          <w:rFonts w:ascii="Times New Roman" w:hAnsi="Times New Roman"/>
          <w:color w:val="000000"/>
          <w:sz w:val="24"/>
        </w:rPr>
      </w:pPr>
      <w:r>
        <w:rPr>
          <w:rFonts w:ascii="Times New Roman" w:hAnsi="Times New Roman"/>
          <w:color w:val="000000"/>
          <w:kern w:val="2"/>
          <w:sz w:val="24"/>
        </w:rPr>
        <w:t>（6）中国证监会认定的其他情形。</w:t>
      </w:r>
    </w:p>
    <w:p>
      <w:pPr>
        <w:spacing w:before="156" w:beforeLines="50" w:after="156" w:afterLines="50" w:line="360" w:lineRule="auto"/>
        <w:ind w:firstLine="480" w:firstLineChars="200"/>
        <w:jc w:val="both"/>
        <w:rPr>
          <w:rFonts w:ascii="Times New Roman" w:hAnsi="Times New Roman"/>
          <w:color w:val="000000"/>
          <w:kern w:val="2"/>
          <w:sz w:val="24"/>
        </w:rPr>
      </w:pPr>
      <w:r>
        <w:rPr>
          <w:rFonts w:hint="eastAsia" w:ascii="Times New Roman" w:hAnsi="Times New Roman"/>
          <w:color w:val="000000"/>
          <w:sz w:val="24"/>
        </w:rPr>
        <w:t>四、</w:t>
      </w:r>
      <w:bookmarkStart w:id="6" w:name="_Hlk82506010"/>
      <w:r>
        <w:rPr>
          <w:rFonts w:hint="eastAsia" w:ascii="Times New Roman" w:hAnsi="Times New Roman"/>
          <w:color w:val="000000"/>
          <w:kern w:val="2"/>
          <w:sz w:val="24"/>
        </w:rPr>
        <w:t>本激励计划拟向激励对象授予不超过3</w:t>
      </w:r>
      <w:r>
        <w:rPr>
          <w:rFonts w:ascii="Times New Roman" w:hAnsi="Times New Roman"/>
          <w:color w:val="000000"/>
          <w:kern w:val="2"/>
          <w:sz w:val="24"/>
        </w:rPr>
        <w:t>20</w:t>
      </w:r>
      <w:r>
        <w:rPr>
          <w:rFonts w:hint="eastAsia" w:ascii="Times New Roman" w:hAnsi="Times New Roman"/>
          <w:color w:val="000000"/>
          <w:kern w:val="2"/>
          <w:sz w:val="24"/>
        </w:rPr>
        <w:t>万股限制性股票，占本激励计划提交股东大会审议前公司股本总额</w:t>
      </w:r>
      <w:r>
        <w:rPr>
          <w:rFonts w:ascii="Times New Roman" w:hAnsi="Times New Roman"/>
          <w:color w:val="000000"/>
          <w:kern w:val="2"/>
          <w:sz w:val="24"/>
        </w:rPr>
        <w:t>33</w:t>
      </w:r>
      <w:r>
        <w:rPr>
          <w:rFonts w:hint="eastAsia" w:ascii="Times New Roman" w:hAnsi="Times New Roman"/>
          <w:color w:val="000000"/>
          <w:kern w:val="2"/>
          <w:sz w:val="24"/>
        </w:rPr>
        <w:t>,3</w:t>
      </w:r>
      <w:r>
        <w:rPr>
          <w:rFonts w:ascii="Times New Roman" w:hAnsi="Times New Roman"/>
          <w:color w:val="000000"/>
          <w:kern w:val="2"/>
          <w:sz w:val="24"/>
        </w:rPr>
        <w:t>16</w:t>
      </w:r>
      <w:r>
        <w:rPr>
          <w:rFonts w:hint="eastAsia" w:ascii="Times New Roman" w:hAnsi="Times New Roman"/>
          <w:color w:val="000000"/>
          <w:kern w:val="2"/>
          <w:sz w:val="24"/>
        </w:rPr>
        <w:t>.</w:t>
      </w:r>
      <w:r>
        <w:rPr>
          <w:rFonts w:ascii="Times New Roman" w:hAnsi="Times New Roman"/>
          <w:color w:val="000000"/>
          <w:kern w:val="2"/>
          <w:sz w:val="24"/>
        </w:rPr>
        <w:t>74</w:t>
      </w:r>
      <w:r>
        <w:rPr>
          <w:rFonts w:hint="eastAsia" w:ascii="Times New Roman" w:hAnsi="Times New Roman"/>
          <w:color w:val="000000"/>
          <w:kern w:val="2"/>
          <w:sz w:val="24"/>
        </w:rPr>
        <w:t>万股的0</w:t>
      </w:r>
      <w:r>
        <w:rPr>
          <w:rFonts w:ascii="Times New Roman" w:hAnsi="Times New Roman"/>
          <w:color w:val="000000"/>
          <w:kern w:val="2"/>
          <w:sz w:val="24"/>
        </w:rPr>
        <w:t>.96</w:t>
      </w:r>
      <w:r>
        <w:rPr>
          <w:rFonts w:hint="eastAsia" w:ascii="Times New Roman" w:hAnsi="Times New Roman"/>
          <w:color w:val="000000"/>
          <w:kern w:val="2"/>
          <w:sz w:val="24"/>
        </w:rPr>
        <w:t>%。其中首次授予不超过2</w:t>
      </w:r>
      <w:r>
        <w:rPr>
          <w:rFonts w:ascii="Times New Roman" w:hAnsi="Times New Roman"/>
          <w:color w:val="000000"/>
          <w:kern w:val="2"/>
          <w:sz w:val="24"/>
        </w:rPr>
        <w:t>60</w:t>
      </w:r>
      <w:r>
        <w:rPr>
          <w:rFonts w:hint="eastAsia" w:ascii="Times New Roman" w:hAnsi="Times New Roman"/>
          <w:color w:val="000000"/>
          <w:kern w:val="2"/>
          <w:sz w:val="24"/>
        </w:rPr>
        <w:t>万股，占授予总量的</w:t>
      </w:r>
      <w:r>
        <w:rPr>
          <w:rFonts w:ascii="Times New Roman" w:hAnsi="Times New Roman"/>
          <w:color w:val="000000"/>
          <w:kern w:val="2"/>
          <w:sz w:val="24"/>
        </w:rPr>
        <w:t>81.25</w:t>
      </w:r>
      <w:r>
        <w:rPr>
          <w:rFonts w:hint="eastAsia" w:ascii="Times New Roman" w:hAnsi="Times New Roman"/>
          <w:color w:val="000000"/>
          <w:kern w:val="2"/>
          <w:sz w:val="24"/>
        </w:rPr>
        <w:t>%，占本激励计划提交股东大会审议前公司股本总额的0</w:t>
      </w:r>
      <w:r>
        <w:rPr>
          <w:rFonts w:ascii="Times New Roman" w:hAnsi="Times New Roman"/>
          <w:color w:val="000000"/>
          <w:kern w:val="2"/>
          <w:sz w:val="24"/>
        </w:rPr>
        <w:t>.78</w:t>
      </w:r>
      <w:r>
        <w:rPr>
          <w:rFonts w:hint="eastAsia" w:ascii="Times New Roman" w:hAnsi="Times New Roman"/>
          <w:color w:val="000000"/>
          <w:kern w:val="2"/>
          <w:sz w:val="24"/>
        </w:rPr>
        <w:t>%，预留授予不超过6</w:t>
      </w:r>
      <w:r>
        <w:rPr>
          <w:rFonts w:ascii="Times New Roman" w:hAnsi="Times New Roman"/>
          <w:color w:val="000000"/>
          <w:kern w:val="2"/>
          <w:sz w:val="24"/>
        </w:rPr>
        <w:t>0</w:t>
      </w:r>
      <w:r>
        <w:rPr>
          <w:rFonts w:hint="eastAsia" w:ascii="Times New Roman" w:hAnsi="Times New Roman"/>
          <w:color w:val="000000"/>
          <w:kern w:val="2"/>
          <w:sz w:val="24"/>
        </w:rPr>
        <w:t>万股，占授予总量的1</w:t>
      </w:r>
      <w:r>
        <w:rPr>
          <w:rFonts w:ascii="Times New Roman" w:hAnsi="Times New Roman"/>
          <w:color w:val="000000"/>
          <w:kern w:val="2"/>
          <w:sz w:val="24"/>
        </w:rPr>
        <w:t>8.75</w:t>
      </w:r>
      <w:r>
        <w:rPr>
          <w:rFonts w:hint="eastAsia" w:ascii="Times New Roman" w:hAnsi="Times New Roman"/>
          <w:color w:val="000000"/>
          <w:kern w:val="2"/>
          <w:sz w:val="24"/>
        </w:rPr>
        <w:t>%，预留部分占本激励计划提交股东大会审议前公司股本总额的0</w:t>
      </w:r>
      <w:r>
        <w:rPr>
          <w:rFonts w:ascii="Times New Roman" w:hAnsi="Times New Roman"/>
          <w:color w:val="000000"/>
          <w:kern w:val="2"/>
          <w:sz w:val="24"/>
        </w:rPr>
        <w:t>.18</w:t>
      </w:r>
      <w:r>
        <w:rPr>
          <w:rFonts w:hint="eastAsia" w:ascii="Times New Roman" w:hAnsi="Times New Roman"/>
          <w:color w:val="000000"/>
          <w:kern w:val="2"/>
          <w:sz w:val="24"/>
        </w:rPr>
        <w:t>%</w:t>
      </w:r>
      <w:r>
        <w:rPr>
          <w:rFonts w:ascii="Times New Roman" w:hAnsi="Times New Roman"/>
          <w:color w:val="000000"/>
          <w:kern w:val="2"/>
          <w:sz w:val="24"/>
        </w:rPr>
        <w:t>。</w:t>
      </w:r>
      <w:bookmarkEnd w:id="6"/>
    </w:p>
    <w:p>
      <w:pPr>
        <w:widowControl w:val="0"/>
        <w:adjustRightInd w:val="0"/>
        <w:spacing w:before="156" w:beforeLines="50" w:after="0" w:line="360" w:lineRule="auto"/>
        <w:ind w:firstLine="480" w:firstLineChars="200"/>
        <w:jc w:val="both"/>
        <w:rPr>
          <w:rFonts w:ascii="Times New Roman" w:hAnsi="Times New Roman" w:eastAsia="宋体"/>
          <w:color w:val="000000"/>
          <w:sz w:val="24"/>
          <w:szCs w:val="24"/>
        </w:rPr>
      </w:pPr>
      <w:r>
        <w:rPr>
          <w:rFonts w:ascii="Times New Roman" w:hAnsi="Times New Roman"/>
          <w:color w:val="000000"/>
          <w:kern w:val="2"/>
          <w:sz w:val="24"/>
        </w:rPr>
        <w:t>本计划中任何一名激励对象所获授限制性股票数量未超过本计划提交股东大会审议之前公司股本总额的1%。</w:t>
      </w:r>
    </w:p>
    <w:p>
      <w:pPr>
        <w:spacing w:before="156" w:beforeLines="50" w:after="0" w:line="360" w:lineRule="auto"/>
        <w:ind w:firstLine="480" w:firstLineChars="200"/>
        <w:jc w:val="both"/>
        <w:rPr>
          <w:rFonts w:ascii="Times New Roman" w:hAnsi="Times New Roman"/>
          <w:color w:val="000000"/>
          <w:sz w:val="24"/>
        </w:rPr>
      </w:pPr>
      <w:r>
        <w:rPr>
          <w:rFonts w:hint="eastAsia" w:ascii="Times New Roman" w:hAnsi="Times New Roman"/>
          <w:color w:val="000000"/>
          <w:sz w:val="24"/>
        </w:rPr>
        <w:t>五、</w:t>
      </w:r>
      <w:r>
        <w:rPr>
          <w:rFonts w:ascii="Times New Roman" w:hAnsi="Times New Roman"/>
          <w:color w:val="000000"/>
          <w:sz w:val="24"/>
        </w:rPr>
        <w:t>限</w:t>
      </w:r>
      <w:r>
        <w:rPr>
          <w:rFonts w:hint="eastAsia" w:ascii="Times New Roman" w:hAnsi="Times New Roman"/>
          <w:color w:val="000000"/>
          <w:sz w:val="24"/>
        </w:rPr>
        <w:t>制性股票的来源为公司从二级市场回购的人民币A股普通股股票。</w:t>
      </w:r>
      <w:r>
        <w:rPr>
          <w:rFonts w:ascii="Times New Roman" w:hAnsi="Times New Roman"/>
          <w:color w:val="000000"/>
          <w:sz w:val="24"/>
        </w:rPr>
        <w:t>首次授予的限制性股票的授予价格为</w:t>
      </w:r>
      <w:r>
        <w:rPr>
          <w:rFonts w:hint="eastAsia" w:ascii="Times New Roman" w:hAnsi="Times New Roman"/>
          <w:color w:val="000000"/>
          <w:sz w:val="24"/>
        </w:rPr>
        <w:t>8</w:t>
      </w:r>
      <w:r>
        <w:rPr>
          <w:rFonts w:ascii="Times New Roman" w:hAnsi="Times New Roman"/>
          <w:color w:val="000000"/>
          <w:sz w:val="24"/>
        </w:rPr>
        <w:t>.09元/股，预留授予的限制性股票的授予价格在每次授予时按照本计划规定方式确定。</w:t>
      </w:r>
    </w:p>
    <w:p>
      <w:pPr>
        <w:spacing w:before="156" w:beforeLines="50" w:after="0" w:line="360" w:lineRule="auto"/>
        <w:ind w:firstLine="480" w:firstLineChars="200"/>
        <w:jc w:val="both"/>
        <w:rPr>
          <w:rFonts w:ascii="Times New Roman" w:hAnsi="Times New Roman"/>
          <w:color w:val="000000"/>
          <w:sz w:val="24"/>
        </w:rPr>
      </w:pPr>
      <w:r>
        <w:rPr>
          <w:rFonts w:ascii="Times New Roman" w:hAnsi="Times New Roman"/>
          <w:color w:val="000000"/>
          <w:sz w:val="24"/>
        </w:rPr>
        <w:t>在本</w:t>
      </w:r>
      <w:r>
        <w:rPr>
          <w:rFonts w:hint="eastAsia" w:ascii="Times New Roman" w:hAnsi="Times New Roman"/>
          <w:color w:val="000000"/>
          <w:sz w:val="24"/>
        </w:rPr>
        <w:t>激励</w:t>
      </w:r>
      <w:r>
        <w:rPr>
          <w:rFonts w:ascii="Times New Roman" w:hAnsi="Times New Roman"/>
          <w:color w:val="000000"/>
          <w:sz w:val="24"/>
        </w:rPr>
        <w:t>计划公告当日至激励对象完成限制性股票登记期间，若公司发生资本公积转增股本、派发股票红利、股份拆细或缩股、配股等事宜，限制性股票的授予价格或授予数量将根据本</w:t>
      </w:r>
      <w:r>
        <w:rPr>
          <w:rFonts w:hint="eastAsia" w:ascii="Times New Roman" w:hAnsi="Times New Roman"/>
          <w:color w:val="000000"/>
          <w:sz w:val="24"/>
        </w:rPr>
        <w:t>激励</w:t>
      </w:r>
      <w:r>
        <w:rPr>
          <w:rFonts w:ascii="Times New Roman" w:hAnsi="Times New Roman"/>
          <w:color w:val="000000"/>
          <w:sz w:val="24"/>
        </w:rPr>
        <w:t>计划予以相应的调整。</w:t>
      </w:r>
    </w:p>
    <w:p>
      <w:pPr>
        <w:widowControl w:val="0"/>
        <w:adjustRightInd w:val="0"/>
        <w:spacing w:before="156" w:beforeLines="50" w:after="0" w:line="360" w:lineRule="auto"/>
        <w:ind w:firstLine="480" w:firstLineChars="200"/>
        <w:jc w:val="both"/>
        <w:rPr>
          <w:rFonts w:ascii="Times New Roman" w:hAnsi="Times New Roman"/>
          <w:color w:val="000000"/>
          <w:kern w:val="2"/>
          <w:sz w:val="24"/>
        </w:rPr>
      </w:pPr>
      <w:r>
        <w:rPr>
          <w:rFonts w:hint="eastAsia" w:ascii="Times New Roman" w:hAnsi="Times New Roman"/>
          <w:color w:val="000000"/>
          <w:sz w:val="24"/>
        </w:rPr>
        <w:t>六</w:t>
      </w:r>
      <w:r>
        <w:rPr>
          <w:rFonts w:ascii="Times New Roman" w:hAnsi="Times New Roman"/>
          <w:color w:val="000000"/>
          <w:sz w:val="24"/>
        </w:rPr>
        <w:t>、</w:t>
      </w:r>
      <w:r>
        <w:rPr>
          <w:rFonts w:hint="eastAsia" w:ascii="Times New Roman" w:hAnsi="Times New Roman"/>
          <w:color w:val="000000"/>
          <w:sz w:val="24"/>
        </w:rPr>
        <w:t>本激励计划首次授予的激励对象不超过</w:t>
      </w:r>
      <w:r>
        <w:rPr>
          <w:rFonts w:ascii="Times New Roman" w:hAnsi="Times New Roman" w:eastAsia="宋体"/>
          <w:color w:val="000000"/>
          <w:kern w:val="2"/>
          <w:sz w:val="24"/>
          <w:szCs w:val="24"/>
        </w:rPr>
        <w:t>66</w:t>
      </w:r>
      <w:r>
        <w:rPr>
          <w:rFonts w:hint="eastAsia" w:ascii="Times New Roman" w:hAnsi="Times New Roman"/>
          <w:color w:val="000000"/>
          <w:kern w:val="2"/>
          <w:sz w:val="24"/>
        </w:rPr>
        <w:t>人</w:t>
      </w:r>
      <w:r>
        <w:rPr>
          <w:rFonts w:hint="eastAsia" w:ascii="Times New Roman" w:hAnsi="Times New Roman"/>
          <w:color w:val="000000"/>
          <w:sz w:val="24"/>
        </w:rPr>
        <w:t>，</w:t>
      </w:r>
      <w:r>
        <w:rPr>
          <w:rFonts w:hint="eastAsia" w:ascii="Times New Roman" w:hAnsi="Times New Roman"/>
          <w:color w:val="000000"/>
          <w:kern w:val="2"/>
          <w:sz w:val="24"/>
        </w:rPr>
        <w:t>占公司员工总人数（截至202</w:t>
      </w:r>
      <w:r>
        <w:rPr>
          <w:rFonts w:ascii="Times New Roman" w:hAnsi="Times New Roman"/>
          <w:color w:val="000000"/>
          <w:kern w:val="2"/>
          <w:sz w:val="24"/>
        </w:rPr>
        <w:t>3</w:t>
      </w:r>
      <w:r>
        <w:rPr>
          <w:rFonts w:hint="eastAsia" w:ascii="Times New Roman" w:hAnsi="Times New Roman"/>
          <w:color w:val="000000"/>
          <w:kern w:val="2"/>
          <w:sz w:val="24"/>
        </w:rPr>
        <w:t>年</w:t>
      </w:r>
      <w:r>
        <w:rPr>
          <w:rFonts w:ascii="Times New Roman" w:hAnsi="Times New Roman"/>
          <w:color w:val="000000"/>
          <w:kern w:val="2"/>
          <w:sz w:val="24"/>
        </w:rPr>
        <w:t>9</w:t>
      </w:r>
      <w:r>
        <w:rPr>
          <w:rFonts w:hint="eastAsia" w:ascii="Times New Roman" w:hAnsi="Times New Roman"/>
          <w:color w:val="000000"/>
          <w:kern w:val="2"/>
          <w:sz w:val="24"/>
        </w:rPr>
        <w:t>月3</w:t>
      </w:r>
      <w:r>
        <w:rPr>
          <w:rFonts w:ascii="Times New Roman" w:hAnsi="Times New Roman"/>
          <w:color w:val="000000"/>
          <w:kern w:val="2"/>
          <w:sz w:val="24"/>
        </w:rPr>
        <w:t>0</w:t>
      </w:r>
      <w:r>
        <w:rPr>
          <w:rFonts w:hint="eastAsia" w:ascii="Times New Roman" w:hAnsi="Times New Roman"/>
          <w:color w:val="000000"/>
          <w:kern w:val="2"/>
          <w:sz w:val="24"/>
        </w:rPr>
        <w:t>日公司员工总数为1</w:t>
      </w:r>
      <w:r>
        <w:rPr>
          <w:rFonts w:ascii="Times New Roman" w:hAnsi="Times New Roman"/>
          <w:color w:val="000000"/>
          <w:kern w:val="2"/>
          <w:sz w:val="24"/>
        </w:rPr>
        <w:t>,605</w:t>
      </w:r>
      <w:r>
        <w:rPr>
          <w:rFonts w:hint="eastAsia" w:ascii="Times New Roman" w:hAnsi="Times New Roman"/>
          <w:color w:val="000000"/>
          <w:kern w:val="2"/>
          <w:sz w:val="24"/>
        </w:rPr>
        <w:t>人）的</w:t>
      </w:r>
      <w:r>
        <w:rPr>
          <w:rFonts w:ascii="Times New Roman" w:hAnsi="Times New Roman" w:eastAsia="宋体"/>
          <w:color w:val="000000"/>
          <w:kern w:val="2"/>
          <w:sz w:val="24"/>
          <w:szCs w:val="24"/>
        </w:rPr>
        <w:t>4.11</w:t>
      </w:r>
      <w:r>
        <w:rPr>
          <w:rFonts w:ascii="Times New Roman" w:hAnsi="Times New Roman"/>
          <w:color w:val="000000"/>
          <w:kern w:val="2"/>
          <w:sz w:val="24"/>
        </w:rPr>
        <w:t>%</w:t>
      </w:r>
      <w:r>
        <w:rPr>
          <w:rFonts w:hint="eastAsia" w:ascii="Times New Roman" w:hAnsi="Times New Roman"/>
          <w:color w:val="000000"/>
          <w:kern w:val="2"/>
          <w:sz w:val="24"/>
        </w:rPr>
        <w:t>，包括董事、高级管理人员、核心技术人员及董事会认为需要激励的其他人员（不包括独立董事、监事）。预留激励对象由本激励计划经股东大会审议通过后12个月内确定，超过12个月未明确激励对象的，预留权益失效。</w:t>
      </w:r>
    </w:p>
    <w:p>
      <w:pPr>
        <w:spacing w:before="156" w:beforeLines="50" w:after="0" w:line="360" w:lineRule="auto"/>
        <w:ind w:firstLine="480" w:firstLineChars="200"/>
        <w:jc w:val="both"/>
        <w:rPr>
          <w:rFonts w:ascii="Times New Roman" w:hAnsi="Times New Roman"/>
          <w:color w:val="000000"/>
          <w:sz w:val="24"/>
        </w:rPr>
      </w:pPr>
      <w:r>
        <w:rPr>
          <w:rFonts w:hint="eastAsia" w:ascii="Times New Roman" w:hAnsi="Times New Roman"/>
          <w:color w:val="000000"/>
          <w:sz w:val="24"/>
        </w:rPr>
        <w:t>七、本激励计划有效期自限制性股票首次授予之日起至激励对象获授的限制性股票全部解除限售或回购注销之日止，最长不超过</w:t>
      </w:r>
      <w:r>
        <w:rPr>
          <w:rFonts w:ascii="Times New Roman" w:hAnsi="Times New Roman"/>
          <w:color w:val="000000"/>
          <w:sz w:val="24"/>
        </w:rPr>
        <w:t>48</w:t>
      </w:r>
      <w:r>
        <w:rPr>
          <w:rFonts w:hint="eastAsia" w:ascii="Times New Roman" w:hAnsi="Times New Roman"/>
          <w:color w:val="000000"/>
          <w:sz w:val="24"/>
        </w:rPr>
        <w:t>个月。激励对象在同时达成公司层面业绩考核及激励对象个人层面绩效考核的前提下，可按本计划约定的比例进行解除限售。</w:t>
      </w:r>
    </w:p>
    <w:p>
      <w:pPr>
        <w:spacing w:before="156" w:beforeLines="50" w:after="0" w:line="360" w:lineRule="auto"/>
        <w:ind w:firstLine="480" w:firstLineChars="200"/>
        <w:jc w:val="both"/>
        <w:rPr>
          <w:rFonts w:ascii="Times New Roman" w:hAnsi="Times New Roman"/>
          <w:color w:val="000000"/>
          <w:sz w:val="24"/>
        </w:rPr>
      </w:pPr>
      <w:r>
        <w:rPr>
          <w:rFonts w:hint="eastAsia" w:ascii="Times New Roman" w:hAnsi="Times New Roman"/>
          <w:color w:val="000000"/>
          <w:sz w:val="24"/>
        </w:rPr>
        <w:t>八、公司承诺不为激励对象依本激励计划获取有关限制性股票提供贷款以及其他任何形式的财务资助，包括为其贷款提供担保。</w:t>
      </w:r>
    </w:p>
    <w:p>
      <w:pPr>
        <w:spacing w:before="156" w:beforeLines="50" w:after="0" w:line="360" w:lineRule="auto"/>
        <w:ind w:firstLine="480" w:firstLineChars="200"/>
        <w:jc w:val="both"/>
        <w:rPr>
          <w:rFonts w:ascii="Times New Roman" w:hAnsi="Times New Roman"/>
          <w:color w:val="000000"/>
          <w:sz w:val="24"/>
        </w:rPr>
      </w:pPr>
      <w:r>
        <w:rPr>
          <w:rFonts w:hint="eastAsia" w:ascii="Times New Roman" w:hAnsi="Times New Roman"/>
          <w:color w:val="000000"/>
          <w:sz w:val="24"/>
        </w:rPr>
        <w:t>九、本激励计划由公司董事会薪酬与考核委员会拟订，提交公司董事会审议通过后，并由公司股东大会审议通过后方可实行。</w:t>
      </w:r>
    </w:p>
    <w:p>
      <w:pPr>
        <w:spacing w:before="156" w:beforeLines="50" w:after="0" w:line="360" w:lineRule="auto"/>
        <w:ind w:firstLine="480" w:firstLineChars="200"/>
        <w:jc w:val="both"/>
        <w:rPr>
          <w:rFonts w:ascii="Times New Roman" w:hAnsi="Times New Roman"/>
          <w:color w:val="000000"/>
          <w:sz w:val="24"/>
        </w:rPr>
      </w:pPr>
      <w:r>
        <w:rPr>
          <w:rFonts w:hint="eastAsia" w:ascii="Times New Roman" w:hAnsi="Times New Roman"/>
          <w:color w:val="000000"/>
          <w:sz w:val="24"/>
        </w:rPr>
        <w:t>十、自股东大会审议通过本激励计划之日起60日内，公司将按相关规定召开董事会对激励对象进行授予，并完成公告等相关程序。公司未能在60日内完成上述工作的，将终止实施本激励计划，未授予的限制性股票失效（根据《上市公司股权激励管理办法》及其他相关法律法规规定上市公司不得授出限制性股票的期间不计算在60日内）。</w:t>
      </w:r>
    </w:p>
    <w:p>
      <w:pPr>
        <w:spacing w:before="156" w:beforeLines="50" w:after="0" w:line="360" w:lineRule="auto"/>
        <w:ind w:firstLine="480" w:firstLineChars="200"/>
        <w:jc w:val="both"/>
        <w:rPr>
          <w:rFonts w:ascii="Times New Roman" w:hAnsi="Times New Roman"/>
          <w:color w:val="000000"/>
          <w:sz w:val="24"/>
        </w:rPr>
      </w:pPr>
      <w:r>
        <w:rPr>
          <w:rFonts w:hint="eastAsia" w:ascii="Times New Roman" w:hAnsi="Times New Roman"/>
          <w:color w:val="000000"/>
          <w:sz w:val="24"/>
        </w:rPr>
        <w:t>十一、本激励计划的实施不会导致股权分布不符合上市条件的要求。</w:t>
      </w:r>
    </w:p>
    <w:p>
      <w:pPr>
        <w:spacing w:before="156" w:beforeLines="50" w:after="156" w:afterLines="50" w:line="360" w:lineRule="auto"/>
        <w:ind w:firstLine="480" w:firstLineChars="200"/>
        <w:rPr>
          <w:rFonts w:ascii="Times New Roman" w:hAnsi="Times New Roman"/>
          <w:color w:val="000000"/>
          <w:sz w:val="24"/>
        </w:rPr>
      </w:pPr>
      <w:r>
        <w:rPr>
          <w:rFonts w:hint="eastAsia" w:ascii="Times New Roman" w:hAnsi="Times New Roman"/>
          <w:color w:val="000000"/>
          <w:sz w:val="24"/>
        </w:rPr>
        <w:br w:type="page"/>
      </w:r>
    </w:p>
    <w:sdt>
      <w:sdtPr>
        <w:rPr>
          <w:rFonts w:ascii="黑体" w:hAnsi="黑体" w:eastAsia="黑体" w:cs="Times New Roman"/>
          <w:b w:val="0"/>
          <w:bCs w:val="0"/>
          <w:color w:val="000000"/>
          <w:sz w:val="24"/>
          <w:szCs w:val="24"/>
          <w:lang w:val="zh-CN"/>
        </w:rPr>
        <w:id w:val="1687016241"/>
        <w:docPartObj>
          <w:docPartGallery w:val="Table of Contents"/>
          <w:docPartUnique/>
        </w:docPartObj>
      </w:sdtPr>
      <w:sdtEndPr>
        <w:rPr>
          <w:rFonts w:hint="eastAsia" w:ascii="Times New Roman" w:hAnsi="Times New Roman" w:eastAsia="宋体" w:cs="Times New Roman"/>
          <w:b w:val="0"/>
          <w:bCs w:val="0"/>
          <w:color w:val="000000"/>
          <w:sz w:val="22"/>
          <w:szCs w:val="22"/>
          <w:lang w:val="zh-CN"/>
        </w:rPr>
      </w:sdtEndPr>
      <w:sdtContent>
        <w:p>
          <w:pPr>
            <w:pStyle w:val="54"/>
            <w:jc w:val="center"/>
            <w:rPr>
              <w:rFonts w:ascii="Times New Roman" w:hAnsi="Times New Roman"/>
              <w:color w:val="000000"/>
              <w:lang w:val="zh-CN"/>
            </w:rPr>
          </w:pPr>
          <w:r>
            <w:rPr>
              <w:rFonts w:ascii="Times New Roman" w:hAnsi="Times New Roman"/>
              <w:color w:val="000000"/>
              <w:lang w:val="zh-CN"/>
            </w:rPr>
            <w:t>目录</w:t>
          </w:r>
        </w:p>
        <w:p>
          <w:pPr>
            <w:rPr>
              <w:rFonts w:ascii="Times New Roman" w:hAnsi="Times New Roman"/>
              <w:color w:val="000000"/>
              <w:lang w:val="zh-CN"/>
            </w:rPr>
          </w:pPr>
        </w:p>
        <w:p>
          <w:pPr>
            <w:pStyle w:val="19"/>
            <w:rPr>
              <w:rFonts w:ascii="Times New Roman" w:hAnsi="Times New Roman" w:cs="Times New Roman"/>
              <w:color w:val="000000"/>
            </w:rPr>
          </w:pPr>
          <w:r>
            <w:rPr>
              <w:rFonts w:ascii="Times New Roman" w:hAnsi="Times New Roman" w:cs="Times New Roman" w:eastAsiaTheme="majorEastAsia"/>
              <w:color w:val="000000"/>
              <w:sz w:val="28"/>
              <w:szCs w:val="28"/>
            </w:rPr>
            <w:fldChar w:fldCharType="begin"/>
          </w:r>
          <w:r>
            <w:rPr>
              <w:rFonts w:ascii="Times New Roman" w:hAnsi="Times New Roman" w:cs="Times New Roman" w:eastAsiaTheme="majorEastAsia"/>
              <w:color w:val="000000"/>
              <w:sz w:val="28"/>
              <w:szCs w:val="28"/>
            </w:rPr>
            <w:instrText xml:space="preserve"> TOC \o "1-2" \h \z \u </w:instrText>
          </w:r>
          <w:r>
            <w:rPr>
              <w:rFonts w:ascii="Times New Roman" w:hAnsi="Times New Roman" w:cs="Times New Roman" w:eastAsiaTheme="majorEastAsia"/>
              <w:color w:val="000000"/>
              <w:sz w:val="28"/>
              <w:szCs w:val="28"/>
            </w:rPr>
            <w:fldChar w:fldCharType="separate"/>
          </w:r>
          <w:r>
            <w:fldChar w:fldCharType="begin"/>
          </w:r>
          <w:r>
            <w:instrText xml:space="preserve"> HYPERLINK \l "_Toc112782111" </w:instrText>
          </w:r>
          <w:r>
            <w:fldChar w:fldCharType="separate"/>
          </w:r>
          <w:r>
            <w:rPr>
              <w:rStyle w:val="28"/>
              <w:rFonts w:ascii="Times New Roman" w:hAnsi="Times New Roman" w:eastAsia="黑体" w:cs="Times New Roman"/>
              <w:b/>
              <w:color w:val="000000"/>
              <w:kern w:val="2"/>
              <w:sz w:val="24"/>
              <w:szCs w:val="24"/>
            </w:rPr>
            <w:t>声明</w:t>
          </w:r>
          <w:r>
            <w:rPr>
              <w:rFonts w:ascii="Times New Roman" w:hAnsi="Times New Roman" w:cs="Times New Roman"/>
              <w:color w:val="000000"/>
            </w:rPr>
            <w:tab/>
          </w:r>
          <w:r>
            <w:rPr>
              <w:rFonts w:ascii="Times New Roman" w:hAnsi="Times New Roman" w:cs="Times New Roman"/>
              <w:color w:val="000000"/>
            </w:rPr>
            <w:fldChar w:fldCharType="begin"/>
          </w:r>
          <w:r>
            <w:rPr>
              <w:rFonts w:ascii="Times New Roman" w:hAnsi="Times New Roman" w:cs="Times New Roman"/>
              <w:color w:val="000000"/>
            </w:rPr>
            <w:instrText xml:space="preserve"> PAGEREF _Toc112782111 \h </w:instrText>
          </w:r>
          <w:r>
            <w:rPr>
              <w:rFonts w:ascii="Times New Roman" w:hAnsi="Times New Roman" w:cs="Times New Roman"/>
              <w:color w:val="000000"/>
            </w:rPr>
            <w:fldChar w:fldCharType="separate"/>
          </w:r>
          <w:r>
            <w:rPr>
              <w:rFonts w:ascii="Times New Roman" w:hAnsi="Times New Roman" w:cs="Times New Roman"/>
              <w:color w:val="000000"/>
            </w:rPr>
            <w:t>2</w:t>
          </w:r>
          <w:r>
            <w:rPr>
              <w:rFonts w:ascii="Times New Roman" w:hAnsi="Times New Roman" w:cs="Times New Roman"/>
              <w:color w:val="000000"/>
            </w:rPr>
            <w:fldChar w:fldCharType="end"/>
          </w:r>
          <w:r>
            <w:rPr>
              <w:rFonts w:ascii="Times New Roman" w:hAnsi="Times New Roman" w:cs="Times New Roman"/>
              <w:color w:val="000000"/>
            </w:rPr>
            <w:fldChar w:fldCharType="end"/>
          </w:r>
        </w:p>
        <w:p>
          <w:pPr>
            <w:pStyle w:val="19"/>
            <w:rPr>
              <w:rFonts w:ascii="Times New Roman" w:hAnsi="Times New Roman" w:cs="Times New Roman"/>
              <w:color w:val="000000"/>
            </w:rPr>
          </w:pPr>
          <w:r>
            <w:fldChar w:fldCharType="begin"/>
          </w:r>
          <w:r>
            <w:instrText xml:space="preserve"> HYPERLINK \l "_Toc112782112" </w:instrText>
          </w:r>
          <w:r>
            <w:fldChar w:fldCharType="separate"/>
          </w:r>
          <w:r>
            <w:rPr>
              <w:rStyle w:val="28"/>
              <w:rFonts w:ascii="Times New Roman" w:hAnsi="Times New Roman" w:eastAsia="黑体" w:cs="Times New Roman"/>
              <w:b/>
              <w:color w:val="000000"/>
              <w:kern w:val="2"/>
              <w:sz w:val="24"/>
              <w:szCs w:val="24"/>
            </w:rPr>
            <w:t>特别提示</w:t>
          </w:r>
          <w:r>
            <w:rPr>
              <w:rFonts w:ascii="Times New Roman" w:hAnsi="Times New Roman" w:cs="Times New Roman"/>
              <w:color w:val="000000"/>
            </w:rPr>
            <w:tab/>
          </w:r>
          <w:r>
            <w:rPr>
              <w:rFonts w:ascii="Times New Roman" w:hAnsi="Times New Roman" w:cs="Times New Roman"/>
              <w:color w:val="000000"/>
            </w:rPr>
            <w:fldChar w:fldCharType="begin"/>
          </w:r>
          <w:r>
            <w:rPr>
              <w:rFonts w:ascii="Times New Roman" w:hAnsi="Times New Roman" w:cs="Times New Roman"/>
              <w:color w:val="000000"/>
            </w:rPr>
            <w:instrText xml:space="preserve"> PAGEREF _Toc112782112 \h </w:instrText>
          </w:r>
          <w:r>
            <w:rPr>
              <w:rFonts w:ascii="Times New Roman" w:hAnsi="Times New Roman" w:cs="Times New Roman"/>
              <w:color w:val="000000"/>
            </w:rPr>
            <w:fldChar w:fldCharType="separate"/>
          </w:r>
          <w:r>
            <w:rPr>
              <w:rFonts w:ascii="Times New Roman" w:hAnsi="Times New Roman" w:cs="Times New Roman"/>
              <w:color w:val="000000"/>
            </w:rPr>
            <w:t>3</w:t>
          </w:r>
          <w:r>
            <w:rPr>
              <w:rFonts w:ascii="Times New Roman" w:hAnsi="Times New Roman" w:cs="Times New Roman"/>
              <w:color w:val="000000"/>
            </w:rPr>
            <w:fldChar w:fldCharType="end"/>
          </w:r>
          <w:r>
            <w:rPr>
              <w:rFonts w:ascii="Times New Roman" w:hAnsi="Times New Roman" w:cs="Times New Roman"/>
              <w:color w:val="000000"/>
            </w:rPr>
            <w:fldChar w:fldCharType="end"/>
          </w:r>
        </w:p>
        <w:p>
          <w:pPr>
            <w:pStyle w:val="19"/>
            <w:rPr>
              <w:rFonts w:ascii="Times New Roman" w:hAnsi="Times New Roman" w:cs="Times New Roman"/>
              <w:color w:val="000000"/>
            </w:rPr>
          </w:pPr>
          <w:r>
            <w:fldChar w:fldCharType="begin"/>
          </w:r>
          <w:r>
            <w:instrText xml:space="preserve"> HYPERLINK \l "_Toc112782113" </w:instrText>
          </w:r>
          <w:r>
            <w:fldChar w:fldCharType="separate"/>
          </w:r>
          <w:r>
            <w:rPr>
              <w:rStyle w:val="28"/>
              <w:rFonts w:ascii="Times New Roman" w:hAnsi="Times New Roman" w:eastAsia="黑体" w:cs="Times New Roman"/>
              <w:b/>
              <w:color w:val="000000"/>
              <w:kern w:val="2"/>
              <w:sz w:val="24"/>
              <w:szCs w:val="24"/>
            </w:rPr>
            <w:t>一、释义</w:t>
          </w:r>
          <w:r>
            <w:rPr>
              <w:rFonts w:ascii="Times New Roman" w:hAnsi="Times New Roman" w:cs="Times New Roman"/>
              <w:color w:val="000000"/>
            </w:rPr>
            <w:tab/>
          </w:r>
          <w:r>
            <w:rPr>
              <w:rFonts w:ascii="Times New Roman" w:hAnsi="Times New Roman" w:cs="Times New Roman"/>
              <w:color w:val="000000"/>
            </w:rPr>
            <w:fldChar w:fldCharType="begin"/>
          </w:r>
          <w:r>
            <w:rPr>
              <w:rFonts w:ascii="Times New Roman" w:hAnsi="Times New Roman" w:cs="Times New Roman"/>
              <w:color w:val="000000"/>
            </w:rPr>
            <w:instrText xml:space="preserve"> PAGEREF _Toc112782113 \h </w:instrText>
          </w:r>
          <w:r>
            <w:rPr>
              <w:rFonts w:ascii="Times New Roman" w:hAnsi="Times New Roman" w:cs="Times New Roman"/>
              <w:color w:val="000000"/>
            </w:rPr>
            <w:fldChar w:fldCharType="separate"/>
          </w:r>
          <w:r>
            <w:rPr>
              <w:rFonts w:ascii="Times New Roman" w:hAnsi="Times New Roman" w:cs="Times New Roman"/>
              <w:color w:val="000000"/>
            </w:rPr>
            <w:t>7</w:t>
          </w:r>
          <w:r>
            <w:rPr>
              <w:rFonts w:ascii="Times New Roman" w:hAnsi="Times New Roman" w:cs="Times New Roman"/>
              <w:color w:val="000000"/>
            </w:rPr>
            <w:fldChar w:fldCharType="end"/>
          </w:r>
          <w:r>
            <w:rPr>
              <w:rFonts w:ascii="Times New Roman" w:hAnsi="Times New Roman" w:cs="Times New Roman"/>
              <w:color w:val="000000"/>
            </w:rPr>
            <w:fldChar w:fldCharType="end"/>
          </w:r>
        </w:p>
        <w:p>
          <w:pPr>
            <w:pStyle w:val="19"/>
            <w:rPr>
              <w:rFonts w:ascii="Times New Roman" w:hAnsi="Times New Roman" w:cs="Times New Roman"/>
              <w:color w:val="000000"/>
            </w:rPr>
          </w:pPr>
          <w:r>
            <w:fldChar w:fldCharType="begin"/>
          </w:r>
          <w:r>
            <w:instrText xml:space="preserve"> HYPERLINK \l "_Toc112782114" </w:instrText>
          </w:r>
          <w:r>
            <w:fldChar w:fldCharType="separate"/>
          </w:r>
          <w:r>
            <w:rPr>
              <w:rStyle w:val="28"/>
              <w:rFonts w:ascii="Times New Roman" w:hAnsi="Times New Roman" w:eastAsia="黑体" w:cs="Times New Roman"/>
              <w:b/>
              <w:color w:val="000000"/>
              <w:kern w:val="2"/>
              <w:sz w:val="24"/>
              <w:szCs w:val="24"/>
            </w:rPr>
            <w:t>二、本激励计划的目的与原则</w:t>
          </w:r>
          <w:r>
            <w:rPr>
              <w:rFonts w:ascii="Times New Roman" w:hAnsi="Times New Roman" w:cs="Times New Roman"/>
              <w:color w:val="000000"/>
            </w:rPr>
            <w:tab/>
          </w:r>
          <w:r>
            <w:rPr>
              <w:rFonts w:ascii="Times New Roman" w:hAnsi="Times New Roman" w:cs="Times New Roman"/>
              <w:color w:val="000000"/>
            </w:rPr>
            <w:fldChar w:fldCharType="begin"/>
          </w:r>
          <w:r>
            <w:rPr>
              <w:rFonts w:ascii="Times New Roman" w:hAnsi="Times New Roman" w:cs="Times New Roman"/>
              <w:color w:val="000000"/>
            </w:rPr>
            <w:instrText xml:space="preserve"> PAGEREF _Toc112782114 \h </w:instrText>
          </w:r>
          <w:r>
            <w:rPr>
              <w:rFonts w:ascii="Times New Roman" w:hAnsi="Times New Roman" w:cs="Times New Roman"/>
              <w:color w:val="000000"/>
            </w:rPr>
            <w:fldChar w:fldCharType="separate"/>
          </w:r>
          <w:r>
            <w:rPr>
              <w:rFonts w:ascii="Times New Roman" w:hAnsi="Times New Roman" w:cs="Times New Roman"/>
              <w:color w:val="000000"/>
            </w:rPr>
            <w:t>8</w:t>
          </w:r>
          <w:r>
            <w:rPr>
              <w:rFonts w:ascii="Times New Roman" w:hAnsi="Times New Roman" w:cs="Times New Roman"/>
              <w:color w:val="000000"/>
            </w:rPr>
            <w:fldChar w:fldCharType="end"/>
          </w:r>
          <w:r>
            <w:rPr>
              <w:rFonts w:ascii="Times New Roman" w:hAnsi="Times New Roman" w:cs="Times New Roman"/>
              <w:color w:val="000000"/>
            </w:rPr>
            <w:fldChar w:fldCharType="end"/>
          </w:r>
        </w:p>
        <w:p>
          <w:pPr>
            <w:pStyle w:val="19"/>
            <w:rPr>
              <w:rFonts w:ascii="Times New Roman" w:hAnsi="Times New Roman" w:cs="Times New Roman"/>
              <w:color w:val="000000"/>
            </w:rPr>
          </w:pPr>
          <w:r>
            <w:fldChar w:fldCharType="begin"/>
          </w:r>
          <w:r>
            <w:instrText xml:space="preserve"> HYPERLINK \l "_Toc112782115" </w:instrText>
          </w:r>
          <w:r>
            <w:fldChar w:fldCharType="separate"/>
          </w:r>
          <w:r>
            <w:rPr>
              <w:rStyle w:val="28"/>
              <w:rFonts w:ascii="Times New Roman" w:hAnsi="Times New Roman" w:eastAsia="黑体" w:cs="Times New Roman"/>
              <w:b/>
              <w:color w:val="000000"/>
              <w:kern w:val="2"/>
              <w:sz w:val="24"/>
              <w:szCs w:val="24"/>
            </w:rPr>
            <w:t>三、本激励计划的管理机构</w:t>
          </w:r>
          <w:r>
            <w:rPr>
              <w:rFonts w:ascii="Times New Roman" w:hAnsi="Times New Roman" w:cs="Times New Roman"/>
              <w:color w:val="000000"/>
            </w:rPr>
            <w:tab/>
          </w:r>
          <w:r>
            <w:rPr>
              <w:rFonts w:ascii="Times New Roman" w:hAnsi="Times New Roman" w:cs="Times New Roman"/>
              <w:color w:val="000000"/>
            </w:rPr>
            <w:fldChar w:fldCharType="begin"/>
          </w:r>
          <w:r>
            <w:rPr>
              <w:rFonts w:ascii="Times New Roman" w:hAnsi="Times New Roman" w:cs="Times New Roman"/>
              <w:color w:val="000000"/>
            </w:rPr>
            <w:instrText xml:space="preserve"> PAGEREF _Toc112782115 \h </w:instrText>
          </w:r>
          <w:r>
            <w:rPr>
              <w:rFonts w:ascii="Times New Roman" w:hAnsi="Times New Roman" w:cs="Times New Roman"/>
              <w:color w:val="000000"/>
            </w:rPr>
            <w:fldChar w:fldCharType="separate"/>
          </w:r>
          <w:r>
            <w:rPr>
              <w:rFonts w:ascii="Times New Roman" w:hAnsi="Times New Roman" w:cs="Times New Roman"/>
              <w:color w:val="000000"/>
            </w:rPr>
            <w:t>8</w:t>
          </w:r>
          <w:r>
            <w:rPr>
              <w:rFonts w:ascii="Times New Roman" w:hAnsi="Times New Roman" w:cs="Times New Roman"/>
              <w:color w:val="000000"/>
            </w:rPr>
            <w:fldChar w:fldCharType="end"/>
          </w:r>
          <w:r>
            <w:rPr>
              <w:rFonts w:ascii="Times New Roman" w:hAnsi="Times New Roman" w:cs="Times New Roman"/>
              <w:color w:val="000000"/>
            </w:rPr>
            <w:fldChar w:fldCharType="end"/>
          </w:r>
        </w:p>
        <w:p>
          <w:pPr>
            <w:pStyle w:val="19"/>
            <w:rPr>
              <w:rFonts w:ascii="Times New Roman" w:hAnsi="Times New Roman" w:cs="Times New Roman"/>
              <w:color w:val="000000"/>
            </w:rPr>
          </w:pPr>
          <w:r>
            <w:fldChar w:fldCharType="begin"/>
          </w:r>
          <w:r>
            <w:instrText xml:space="preserve"> HYPERLINK \l "_Toc112782116" </w:instrText>
          </w:r>
          <w:r>
            <w:fldChar w:fldCharType="separate"/>
          </w:r>
          <w:r>
            <w:rPr>
              <w:rStyle w:val="28"/>
              <w:rFonts w:ascii="Times New Roman" w:hAnsi="Times New Roman" w:eastAsia="黑体" w:cs="Times New Roman"/>
              <w:b/>
              <w:color w:val="000000"/>
              <w:kern w:val="2"/>
              <w:sz w:val="24"/>
              <w:szCs w:val="24"/>
            </w:rPr>
            <w:t>四、激励对象的确定依据和范围</w:t>
          </w:r>
          <w:r>
            <w:rPr>
              <w:rFonts w:ascii="Times New Roman" w:hAnsi="Times New Roman" w:cs="Times New Roman"/>
              <w:color w:val="000000"/>
            </w:rPr>
            <w:tab/>
          </w:r>
          <w:r>
            <w:rPr>
              <w:rFonts w:ascii="Times New Roman" w:hAnsi="Times New Roman" w:cs="Times New Roman"/>
              <w:color w:val="000000"/>
            </w:rPr>
            <w:fldChar w:fldCharType="begin"/>
          </w:r>
          <w:r>
            <w:rPr>
              <w:rFonts w:ascii="Times New Roman" w:hAnsi="Times New Roman" w:cs="Times New Roman"/>
              <w:color w:val="000000"/>
            </w:rPr>
            <w:instrText xml:space="preserve"> PAGEREF _Toc112782116 \h </w:instrText>
          </w:r>
          <w:r>
            <w:rPr>
              <w:rFonts w:ascii="Times New Roman" w:hAnsi="Times New Roman" w:cs="Times New Roman"/>
              <w:color w:val="000000"/>
            </w:rPr>
            <w:fldChar w:fldCharType="separate"/>
          </w:r>
          <w:r>
            <w:rPr>
              <w:rFonts w:ascii="Times New Roman" w:hAnsi="Times New Roman" w:cs="Times New Roman"/>
              <w:color w:val="000000"/>
            </w:rPr>
            <w:t>9</w:t>
          </w:r>
          <w:r>
            <w:rPr>
              <w:rFonts w:ascii="Times New Roman" w:hAnsi="Times New Roman" w:cs="Times New Roman"/>
              <w:color w:val="000000"/>
            </w:rPr>
            <w:fldChar w:fldCharType="end"/>
          </w:r>
          <w:r>
            <w:rPr>
              <w:rFonts w:ascii="Times New Roman" w:hAnsi="Times New Roman" w:cs="Times New Roman"/>
              <w:color w:val="000000"/>
            </w:rPr>
            <w:fldChar w:fldCharType="end"/>
          </w:r>
        </w:p>
        <w:p>
          <w:pPr>
            <w:pStyle w:val="19"/>
            <w:rPr>
              <w:rFonts w:ascii="Times New Roman" w:hAnsi="Times New Roman" w:cs="Times New Roman"/>
              <w:color w:val="000000"/>
            </w:rPr>
          </w:pPr>
          <w:r>
            <w:fldChar w:fldCharType="begin"/>
          </w:r>
          <w:r>
            <w:instrText xml:space="preserve"> HYPERLINK \l "_Toc112782117" </w:instrText>
          </w:r>
          <w:r>
            <w:fldChar w:fldCharType="separate"/>
          </w:r>
          <w:r>
            <w:rPr>
              <w:rStyle w:val="28"/>
              <w:rFonts w:ascii="Times New Roman" w:hAnsi="Times New Roman" w:eastAsia="黑体" w:cs="Times New Roman"/>
              <w:b/>
              <w:color w:val="000000"/>
              <w:kern w:val="2"/>
              <w:sz w:val="24"/>
              <w:szCs w:val="24"/>
            </w:rPr>
            <w:t>五、本激励计划所涉及标的股票来源、数量和分配</w:t>
          </w:r>
          <w:r>
            <w:rPr>
              <w:rFonts w:ascii="Times New Roman" w:hAnsi="Times New Roman" w:cs="Times New Roman"/>
              <w:color w:val="000000"/>
            </w:rPr>
            <w:tab/>
          </w:r>
          <w:r>
            <w:rPr>
              <w:rFonts w:ascii="Times New Roman" w:hAnsi="Times New Roman" w:cs="Times New Roman"/>
              <w:color w:val="000000"/>
            </w:rPr>
            <w:fldChar w:fldCharType="begin"/>
          </w:r>
          <w:r>
            <w:rPr>
              <w:rFonts w:ascii="Times New Roman" w:hAnsi="Times New Roman" w:cs="Times New Roman"/>
              <w:color w:val="000000"/>
            </w:rPr>
            <w:instrText xml:space="preserve"> PAGEREF _Toc112782117 \h </w:instrText>
          </w:r>
          <w:r>
            <w:rPr>
              <w:rFonts w:ascii="Times New Roman" w:hAnsi="Times New Roman" w:cs="Times New Roman"/>
              <w:color w:val="000000"/>
            </w:rPr>
            <w:fldChar w:fldCharType="separate"/>
          </w:r>
          <w:r>
            <w:rPr>
              <w:rFonts w:ascii="Times New Roman" w:hAnsi="Times New Roman" w:cs="Times New Roman"/>
              <w:color w:val="000000"/>
            </w:rPr>
            <w:t>10</w:t>
          </w:r>
          <w:r>
            <w:rPr>
              <w:rFonts w:ascii="Times New Roman" w:hAnsi="Times New Roman" w:cs="Times New Roman"/>
              <w:color w:val="000000"/>
            </w:rPr>
            <w:fldChar w:fldCharType="end"/>
          </w:r>
          <w:r>
            <w:rPr>
              <w:rFonts w:ascii="Times New Roman" w:hAnsi="Times New Roman" w:cs="Times New Roman"/>
              <w:color w:val="000000"/>
            </w:rPr>
            <w:fldChar w:fldCharType="end"/>
          </w:r>
        </w:p>
        <w:p>
          <w:pPr>
            <w:pStyle w:val="19"/>
            <w:rPr>
              <w:rFonts w:ascii="Times New Roman" w:hAnsi="Times New Roman" w:cs="Times New Roman"/>
              <w:color w:val="000000"/>
            </w:rPr>
          </w:pPr>
          <w:r>
            <w:fldChar w:fldCharType="begin"/>
          </w:r>
          <w:r>
            <w:instrText xml:space="preserve"> HYPERLINK \l "_Toc112782118" </w:instrText>
          </w:r>
          <w:r>
            <w:fldChar w:fldCharType="separate"/>
          </w:r>
          <w:r>
            <w:rPr>
              <w:rStyle w:val="28"/>
              <w:rFonts w:ascii="Times New Roman" w:hAnsi="Times New Roman" w:eastAsia="黑体" w:cs="Times New Roman"/>
              <w:b/>
              <w:color w:val="000000"/>
              <w:kern w:val="2"/>
              <w:sz w:val="24"/>
              <w:szCs w:val="24"/>
            </w:rPr>
            <w:t>六、本激励计划的时间安排</w:t>
          </w:r>
          <w:r>
            <w:rPr>
              <w:rFonts w:ascii="Times New Roman" w:hAnsi="Times New Roman" w:cs="Times New Roman"/>
              <w:color w:val="000000"/>
            </w:rPr>
            <w:tab/>
          </w:r>
          <w:r>
            <w:rPr>
              <w:rFonts w:ascii="Times New Roman" w:hAnsi="Times New Roman" w:cs="Times New Roman"/>
              <w:color w:val="000000"/>
            </w:rPr>
            <w:fldChar w:fldCharType="begin"/>
          </w:r>
          <w:r>
            <w:rPr>
              <w:rFonts w:ascii="Times New Roman" w:hAnsi="Times New Roman" w:cs="Times New Roman"/>
              <w:color w:val="000000"/>
            </w:rPr>
            <w:instrText xml:space="preserve"> PAGEREF _Toc112782118 \h </w:instrText>
          </w:r>
          <w:r>
            <w:rPr>
              <w:rFonts w:ascii="Times New Roman" w:hAnsi="Times New Roman" w:cs="Times New Roman"/>
              <w:color w:val="000000"/>
            </w:rPr>
            <w:fldChar w:fldCharType="separate"/>
          </w:r>
          <w:r>
            <w:rPr>
              <w:rFonts w:ascii="Times New Roman" w:hAnsi="Times New Roman" w:cs="Times New Roman"/>
              <w:color w:val="000000"/>
            </w:rPr>
            <w:t>11</w:t>
          </w:r>
          <w:r>
            <w:rPr>
              <w:rFonts w:ascii="Times New Roman" w:hAnsi="Times New Roman" w:cs="Times New Roman"/>
              <w:color w:val="000000"/>
            </w:rPr>
            <w:fldChar w:fldCharType="end"/>
          </w:r>
          <w:r>
            <w:rPr>
              <w:rFonts w:ascii="Times New Roman" w:hAnsi="Times New Roman" w:cs="Times New Roman"/>
              <w:color w:val="000000"/>
            </w:rPr>
            <w:fldChar w:fldCharType="end"/>
          </w:r>
        </w:p>
        <w:p>
          <w:pPr>
            <w:pStyle w:val="19"/>
            <w:rPr>
              <w:rFonts w:ascii="Times New Roman" w:hAnsi="Times New Roman" w:cs="Times New Roman"/>
              <w:color w:val="000000"/>
            </w:rPr>
          </w:pPr>
          <w:r>
            <w:fldChar w:fldCharType="begin"/>
          </w:r>
          <w:r>
            <w:instrText xml:space="preserve"> HYPERLINK \l "_Toc112782119" </w:instrText>
          </w:r>
          <w:r>
            <w:fldChar w:fldCharType="separate"/>
          </w:r>
          <w:r>
            <w:rPr>
              <w:rStyle w:val="28"/>
              <w:rFonts w:ascii="Times New Roman" w:hAnsi="Times New Roman" w:eastAsia="黑体" w:cs="Times New Roman"/>
              <w:b/>
              <w:color w:val="000000"/>
              <w:kern w:val="2"/>
              <w:sz w:val="24"/>
              <w:szCs w:val="24"/>
            </w:rPr>
            <w:t>七、限制性股票的授予价格及确定方法</w:t>
          </w:r>
          <w:r>
            <w:rPr>
              <w:rFonts w:ascii="Times New Roman" w:hAnsi="Times New Roman" w:cs="Times New Roman"/>
              <w:color w:val="000000"/>
            </w:rPr>
            <w:tab/>
          </w:r>
          <w:r>
            <w:rPr>
              <w:rFonts w:ascii="Times New Roman" w:hAnsi="Times New Roman" w:cs="Times New Roman"/>
              <w:color w:val="000000"/>
            </w:rPr>
            <w:fldChar w:fldCharType="begin"/>
          </w:r>
          <w:r>
            <w:rPr>
              <w:rFonts w:ascii="Times New Roman" w:hAnsi="Times New Roman" w:cs="Times New Roman"/>
              <w:color w:val="000000"/>
            </w:rPr>
            <w:instrText xml:space="preserve"> PAGEREF _Toc112782119 \h </w:instrText>
          </w:r>
          <w:r>
            <w:rPr>
              <w:rFonts w:ascii="Times New Roman" w:hAnsi="Times New Roman" w:cs="Times New Roman"/>
              <w:color w:val="000000"/>
            </w:rPr>
            <w:fldChar w:fldCharType="separate"/>
          </w:r>
          <w:r>
            <w:rPr>
              <w:rFonts w:ascii="Times New Roman" w:hAnsi="Times New Roman" w:cs="Times New Roman"/>
              <w:color w:val="000000"/>
            </w:rPr>
            <w:t>13</w:t>
          </w:r>
          <w:r>
            <w:rPr>
              <w:rFonts w:ascii="Times New Roman" w:hAnsi="Times New Roman" w:cs="Times New Roman"/>
              <w:color w:val="000000"/>
            </w:rPr>
            <w:fldChar w:fldCharType="end"/>
          </w:r>
          <w:r>
            <w:rPr>
              <w:rFonts w:ascii="Times New Roman" w:hAnsi="Times New Roman" w:cs="Times New Roman"/>
              <w:color w:val="000000"/>
            </w:rPr>
            <w:fldChar w:fldCharType="end"/>
          </w:r>
        </w:p>
        <w:p>
          <w:pPr>
            <w:pStyle w:val="19"/>
            <w:rPr>
              <w:rFonts w:ascii="Times New Roman" w:hAnsi="Times New Roman" w:cs="Times New Roman"/>
              <w:color w:val="000000"/>
            </w:rPr>
          </w:pPr>
          <w:r>
            <w:fldChar w:fldCharType="begin"/>
          </w:r>
          <w:r>
            <w:instrText xml:space="preserve"> HYPERLINK \l "_Toc112782120" </w:instrText>
          </w:r>
          <w:r>
            <w:fldChar w:fldCharType="separate"/>
          </w:r>
          <w:r>
            <w:rPr>
              <w:rStyle w:val="28"/>
              <w:rFonts w:ascii="Times New Roman" w:hAnsi="Times New Roman" w:eastAsia="黑体" w:cs="Times New Roman"/>
              <w:b/>
              <w:color w:val="000000"/>
              <w:kern w:val="2"/>
              <w:sz w:val="24"/>
              <w:szCs w:val="24"/>
            </w:rPr>
            <w:t>八、限制性股票的授予与解除限售条件</w:t>
          </w:r>
          <w:r>
            <w:rPr>
              <w:rFonts w:ascii="Times New Roman" w:hAnsi="Times New Roman" w:cs="Times New Roman"/>
              <w:color w:val="000000"/>
            </w:rPr>
            <w:tab/>
          </w:r>
          <w:r>
            <w:rPr>
              <w:rFonts w:ascii="Times New Roman" w:hAnsi="Times New Roman" w:cs="Times New Roman"/>
              <w:color w:val="000000"/>
            </w:rPr>
            <w:fldChar w:fldCharType="begin"/>
          </w:r>
          <w:r>
            <w:rPr>
              <w:rFonts w:ascii="Times New Roman" w:hAnsi="Times New Roman" w:cs="Times New Roman"/>
              <w:color w:val="000000"/>
            </w:rPr>
            <w:instrText xml:space="preserve"> PAGEREF _Toc112782120 \h </w:instrText>
          </w:r>
          <w:r>
            <w:rPr>
              <w:rFonts w:ascii="Times New Roman" w:hAnsi="Times New Roman" w:cs="Times New Roman"/>
              <w:color w:val="000000"/>
            </w:rPr>
            <w:fldChar w:fldCharType="separate"/>
          </w:r>
          <w:r>
            <w:rPr>
              <w:rFonts w:ascii="Times New Roman" w:hAnsi="Times New Roman" w:cs="Times New Roman"/>
              <w:color w:val="000000"/>
            </w:rPr>
            <w:t>14</w:t>
          </w:r>
          <w:r>
            <w:rPr>
              <w:rFonts w:ascii="Times New Roman" w:hAnsi="Times New Roman" w:cs="Times New Roman"/>
              <w:color w:val="000000"/>
            </w:rPr>
            <w:fldChar w:fldCharType="end"/>
          </w:r>
          <w:r>
            <w:rPr>
              <w:rFonts w:ascii="Times New Roman" w:hAnsi="Times New Roman" w:cs="Times New Roman"/>
              <w:color w:val="000000"/>
            </w:rPr>
            <w:fldChar w:fldCharType="end"/>
          </w:r>
        </w:p>
        <w:p>
          <w:pPr>
            <w:pStyle w:val="19"/>
            <w:rPr>
              <w:rFonts w:ascii="Times New Roman" w:hAnsi="Times New Roman" w:cs="Times New Roman"/>
              <w:color w:val="000000"/>
            </w:rPr>
          </w:pPr>
          <w:r>
            <w:fldChar w:fldCharType="begin"/>
          </w:r>
          <w:r>
            <w:instrText xml:space="preserve"> HYPERLINK \l "_Toc112782121" </w:instrText>
          </w:r>
          <w:r>
            <w:fldChar w:fldCharType="separate"/>
          </w:r>
          <w:r>
            <w:rPr>
              <w:rStyle w:val="28"/>
              <w:rFonts w:ascii="Times New Roman" w:hAnsi="Times New Roman" w:eastAsia="黑体" w:cs="Times New Roman"/>
              <w:b/>
              <w:color w:val="000000"/>
              <w:kern w:val="2"/>
              <w:sz w:val="24"/>
              <w:szCs w:val="24"/>
            </w:rPr>
            <w:t>九、本激励计划的调整方法和程序</w:t>
          </w:r>
          <w:r>
            <w:rPr>
              <w:rFonts w:ascii="Times New Roman" w:hAnsi="Times New Roman" w:cs="Times New Roman"/>
              <w:color w:val="000000"/>
            </w:rPr>
            <w:tab/>
          </w:r>
          <w:r>
            <w:rPr>
              <w:rFonts w:ascii="Times New Roman" w:hAnsi="Times New Roman" w:cs="Times New Roman"/>
              <w:color w:val="000000"/>
            </w:rPr>
            <w:fldChar w:fldCharType="begin"/>
          </w:r>
          <w:r>
            <w:rPr>
              <w:rFonts w:ascii="Times New Roman" w:hAnsi="Times New Roman" w:cs="Times New Roman"/>
              <w:color w:val="000000"/>
            </w:rPr>
            <w:instrText xml:space="preserve"> PAGEREF _Toc112782121 \h </w:instrText>
          </w:r>
          <w:r>
            <w:rPr>
              <w:rFonts w:ascii="Times New Roman" w:hAnsi="Times New Roman" w:cs="Times New Roman"/>
              <w:color w:val="000000"/>
            </w:rPr>
            <w:fldChar w:fldCharType="separate"/>
          </w:r>
          <w:r>
            <w:rPr>
              <w:rFonts w:ascii="Times New Roman" w:hAnsi="Times New Roman" w:cs="Times New Roman"/>
              <w:color w:val="000000"/>
            </w:rPr>
            <w:t>17</w:t>
          </w:r>
          <w:r>
            <w:rPr>
              <w:rFonts w:ascii="Times New Roman" w:hAnsi="Times New Roman" w:cs="Times New Roman"/>
              <w:color w:val="000000"/>
            </w:rPr>
            <w:fldChar w:fldCharType="end"/>
          </w:r>
          <w:r>
            <w:rPr>
              <w:rFonts w:ascii="Times New Roman" w:hAnsi="Times New Roman" w:cs="Times New Roman"/>
              <w:color w:val="000000"/>
            </w:rPr>
            <w:fldChar w:fldCharType="end"/>
          </w:r>
        </w:p>
        <w:p>
          <w:pPr>
            <w:pStyle w:val="19"/>
            <w:rPr>
              <w:rFonts w:ascii="Times New Roman" w:hAnsi="Times New Roman" w:cs="Times New Roman"/>
              <w:color w:val="000000"/>
            </w:rPr>
          </w:pPr>
          <w:r>
            <w:fldChar w:fldCharType="begin"/>
          </w:r>
          <w:r>
            <w:instrText xml:space="preserve"> HYPERLINK \l "_Toc112782122" </w:instrText>
          </w:r>
          <w:r>
            <w:fldChar w:fldCharType="separate"/>
          </w:r>
          <w:r>
            <w:rPr>
              <w:rStyle w:val="28"/>
              <w:rFonts w:ascii="Times New Roman" w:hAnsi="Times New Roman" w:eastAsia="黑体" w:cs="Times New Roman"/>
              <w:b/>
              <w:color w:val="000000"/>
              <w:kern w:val="2"/>
              <w:sz w:val="24"/>
              <w:szCs w:val="24"/>
            </w:rPr>
            <w:t>十、限制性股票的回购与注销</w:t>
          </w:r>
          <w:r>
            <w:rPr>
              <w:rFonts w:ascii="Times New Roman" w:hAnsi="Times New Roman" w:cs="Times New Roman"/>
              <w:color w:val="000000"/>
            </w:rPr>
            <w:tab/>
          </w:r>
          <w:r>
            <w:rPr>
              <w:rFonts w:ascii="Times New Roman" w:hAnsi="Times New Roman" w:cs="Times New Roman"/>
              <w:color w:val="000000"/>
            </w:rPr>
            <w:fldChar w:fldCharType="begin"/>
          </w:r>
          <w:r>
            <w:rPr>
              <w:rFonts w:ascii="Times New Roman" w:hAnsi="Times New Roman" w:cs="Times New Roman"/>
              <w:color w:val="000000"/>
            </w:rPr>
            <w:instrText xml:space="preserve"> PAGEREF _Toc112782122 \h </w:instrText>
          </w:r>
          <w:r>
            <w:rPr>
              <w:rFonts w:ascii="Times New Roman" w:hAnsi="Times New Roman" w:cs="Times New Roman"/>
              <w:color w:val="000000"/>
            </w:rPr>
            <w:fldChar w:fldCharType="separate"/>
          </w:r>
          <w:r>
            <w:rPr>
              <w:rFonts w:ascii="Times New Roman" w:hAnsi="Times New Roman" w:cs="Times New Roman"/>
              <w:color w:val="000000"/>
            </w:rPr>
            <w:t>19</w:t>
          </w:r>
          <w:r>
            <w:rPr>
              <w:rFonts w:ascii="Times New Roman" w:hAnsi="Times New Roman" w:cs="Times New Roman"/>
              <w:color w:val="000000"/>
            </w:rPr>
            <w:fldChar w:fldCharType="end"/>
          </w:r>
          <w:r>
            <w:rPr>
              <w:rFonts w:ascii="Times New Roman" w:hAnsi="Times New Roman" w:cs="Times New Roman"/>
              <w:color w:val="000000"/>
            </w:rPr>
            <w:fldChar w:fldCharType="end"/>
          </w:r>
        </w:p>
        <w:p>
          <w:pPr>
            <w:pStyle w:val="19"/>
            <w:rPr>
              <w:rFonts w:ascii="Times New Roman" w:hAnsi="Times New Roman" w:cs="Times New Roman"/>
              <w:color w:val="000000"/>
            </w:rPr>
          </w:pPr>
          <w:r>
            <w:fldChar w:fldCharType="begin"/>
          </w:r>
          <w:r>
            <w:instrText xml:space="preserve"> HYPERLINK \l "_Toc112782123" </w:instrText>
          </w:r>
          <w:r>
            <w:fldChar w:fldCharType="separate"/>
          </w:r>
          <w:r>
            <w:rPr>
              <w:rStyle w:val="28"/>
              <w:rFonts w:ascii="Times New Roman" w:hAnsi="Times New Roman" w:eastAsia="黑体" w:cs="Times New Roman"/>
              <w:b/>
              <w:color w:val="000000"/>
              <w:kern w:val="2"/>
              <w:sz w:val="24"/>
              <w:szCs w:val="24"/>
            </w:rPr>
            <w:t>十一、限制性股票激励计划的会计处理</w:t>
          </w:r>
          <w:r>
            <w:rPr>
              <w:rFonts w:ascii="Times New Roman" w:hAnsi="Times New Roman" w:cs="Times New Roman"/>
              <w:color w:val="000000"/>
            </w:rPr>
            <w:tab/>
          </w:r>
          <w:r>
            <w:rPr>
              <w:rFonts w:ascii="Times New Roman" w:hAnsi="Times New Roman" w:cs="Times New Roman"/>
              <w:color w:val="000000"/>
            </w:rPr>
            <w:fldChar w:fldCharType="begin"/>
          </w:r>
          <w:r>
            <w:rPr>
              <w:rFonts w:ascii="Times New Roman" w:hAnsi="Times New Roman" w:cs="Times New Roman"/>
              <w:color w:val="000000"/>
            </w:rPr>
            <w:instrText xml:space="preserve"> PAGEREF _Toc112782123 \h </w:instrText>
          </w:r>
          <w:r>
            <w:rPr>
              <w:rFonts w:ascii="Times New Roman" w:hAnsi="Times New Roman" w:cs="Times New Roman"/>
              <w:color w:val="000000"/>
            </w:rPr>
            <w:fldChar w:fldCharType="separate"/>
          </w:r>
          <w:r>
            <w:rPr>
              <w:rFonts w:ascii="Times New Roman" w:hAnsi="Times New Roman" w:cs="Times New Roman"/>
              <w:color w:val="000000"/>
            </w:rPr>
            <w:t>22</w:t>
          </w:r>
          <w:r>
            <w:rPr>
              <w:rFonts w:ascii="Times New Roman" w:hAnsi="Times New Roman" w:cs="Times New Roman"/>
              <w:color w:val="000000"/>
            </w:rPr>
            <w:fldChar w:fldCharType="end"/>
          </w:r>
          <w:r>
            <w:rPr>
              <w:rFonts w:ascii="Times New Roman" w:hAnsi="Times New Roman" w:cs="Times New Roman"/>
              <w:color w:val="000000"/>
            </w:rPr>
            <w:fldChar w:fldCharType="end"/>
          </w:r>
        </w:p>
        <w:p>
          <w:pPr>
            <w:pStyle w:val="19"/>
            <w:rPr>
              <w:rFonts w:ascii="Times New Roman" w:hAnsi="Times New Roman" w:cs="Times New Roman"/>
              <w:color w:val="000000"/>
            </w:rPr>
          </w:pPr>
          <w:r>
            <w:fldChar w:fldCharType="begin"/>
          </w:r>
          <w:r>
            <w:instrText xml:space="preserve"> HYPERLINK \l "_Toc112782124" </w:instrText>
          </w:r>
          <w:r>
            <w:fldChar w:fldCharType="separate"/>
          </w:r>
          <w:r>
            <w:rPr>
              <w:rStyle w:val="28"/>
              <w:rFonts w:ascii="Times New Roman" w:hAnsi="Times New Roman" w:eastAsia="黑体" w:cs="Times New Roman"/>
              <w:b/>
              <w:color w:val="000000"/>
              <w:kern w:val="2"/>
              <w:sz w:val="24"/>
              <w:szCs w:val="24"/>
            </w:rPr>
            <w:t>十二、限制性股票激励计划的实施程序</w:t>
          </w:r>
          <w:r>
            <w:rPr>
              <w:rFonts w:ascii="Times New Roman" w:hAnsi="Times New Roman" w:cs="Times New Roman"/>
              <w:color w:val="000000"/>
            </w:rPr>
            <w:tab/>
          </w:r>
          <w:r>
            <w:rPr>
              <w:rFonts w:ascii="Times New Roman" w:hAnsi="Times New Roman" w:cs="Times New Roman"/>
              <w:color w:val="000000"/>
            </w:rPr>
            <w:fldChar w:fldCharType="begin"/>
          </w:r>
          <w:r>
            <w:rPr>
              <w:rFonts w:ascii="Times New Roman" w:hAnsi="Times New Roman" w:cs="Times New Roman"/>
              <w:color w:val="000000"/>
            </w:rPr>
            <w:instrText xml:space="preserve"> PAGEREF _Toc112782124 \h </w:instrText>
          </w:r>
          <w:r>
            <w:rPr>
              <w:rFonts w:ascii="Times New Roman" w:hAnsi="Times New Roman" w:cs="Times New Roman"/>
              <w:color w:val="000000"/>
            </w:rPr>
            <w:fldChar w:fldCharType="separate"/>
          </w:r>
          <w:r>
            <w:rPr>
              <w:rFonts w:ascii="Times New Roman" w:hAnsi="Times New Roman" w:cs="Times New Roman"/>
              <w:color w:val="000000"/>
            </w:rPr>
            <w:t>23</w:t>
          </w:r>
          <w:r>
            <w:rPr>
              <w:rFonts w:ascii="Times New Roman" w:hAnsi="Times New Roman" w:cs="Times New Roman"/>
              <w:color w:val="000000"/>
            </w:rPr>
            <w:fldChar w:fldCharType="end"/>
          </w:r>
          <w:r>
            <w:rPr>
              <w:rFonts w:ascii="Times New Roman" w:hAnsi="Times New Roman" w:cs="Times New Roman"/>
              <w:color w:val="000000"/>
            </w:rPr>
            <w:fldChar w:fldCharType="end"/>
          </w:r>
        </w:p>
        <w:p>
          <w:pPr>
            <w:pStyle w:val="19"/>
            <w:rPr>
              <w:rFonts w:ascii="Times New Roman" w:hAnsi="Times New Roman" w:cs="Times New Roman"/>
              <w:color w:val="000000"/>
            </w:rPr>
          </w:pPr>
          <w:r>
            <w:fldChar w:fldCharType="begin"/>
          </w:r>
          <w:r>
            <w:instrText xml:space="preserve"> HYPERLINK \l "_Toc112782125" </w:instrText>
          </w:r>
          <w:r>
            <w:fldChar w:fldCharType="separate"/>
          </w:r>
          <w:r>
            <w:rPr>
              <w:rStyle w:val="28"/>
              <w:rFonts w:ascii="Times New Roman" w:hAnsi="Times New Roman" w:eastAsia="黑体" w:cs="Times New Roman"/>
              <w:b/>
              <w:color w:val="000000"/>
              <w:kern w:val="2"/>
              <w:sz w:val="24"/>
              <w:szCs w:val="24"/>
            </w:rPr>
            <w:t>十三、公司/激励对象各自的权利义务</w:t>
          </w:r>
          <w:r>
            <w:rPr>
              <w:rFonts w:ascii="Times New Roman" w:hAnsi="Times New Roman" w:cs="Times New Roman"/>
              <w:color w:val="000000"/>
            </w:rPr>
            <w:tab/>
          </w:r>
          <w:r>
            <w:rPr>
              <w:rFonts w:ascii="Times New Roman" w:hAnsi="Times New Roman" w:cs="Times New Roman"/>
              <w:color w:val="000000"/>
            </w:rPr>
            <w:fldChar w:fldCharType="begin"/>
          </w:r>
          <w:r>
            <w:rPr>
              <w:rFonts w:ascii="Times New Roman" w:hAnsi="Times New Roman" w:cs="Times New Roman"/>
              <w:color w:val="000000"/>
            </w:rPr>
            <w:instrText xml:space="preserve"> PAGEREF _Toc112782125 \h </w:instrText>
          </w:r>
          <w:r>
            <w:rPr>
              <w:rFonts w:ascii="Times New Roman" w:hAnsi="Times New Roman" w:cs="Times New Roman"/>
              <w:color w:val="000000"/>
            </w:rPr>
            <w:fldChar w:fldCharType="separate"/>
          </w:r>
          <w:r>
            <w:rPr>
              <w:rFonts w:ascii="Times New Roman" w:hAnsi="Times New Roman" w:cs="Times New Roman"/>
              <w:color w:val="000000"/>
            </w:rPr>
            <w:t>26</w:t>
          </w:r>
          <w:r>
            <w:rPr>
              <w:rFonts w:ascii="Times New Roman" w:hAnsi="Times New Roman" w:cs="Times New Roman"/>
              <w:color w:val="000000"/>
            </w:rPr>
            <w:fldChar w:fldCharType="end"/>
          </w:r>
          <w:r>
            <w:rPr>
              <w:rFonts w:ascii="Times New Roman" w:hAnsi="Times New Roman" w:cs="Times New Roman"/>
              <w:color w:val="000000"/>
            </w:rPr>
            <w:fldChar w:fldCharType="end"/>
          </w:r>
        </w:p>
        <w:p>
          <w:pPr>
            <w:pStyle w:val="19"/>
            <w:rPr>
              <w:rFonts w:ascii="Times New Roman" w:hAnsi="Times New Roman" w:cs="Times New Roman"/>
              <w:color w:val="000000"/>
            </w:rPr>
          </w:pPr>
          <w:r>
            <w:fldChar w:fldCharType="begin"/>
          </w:r>
          <w:r>
            <w:instrText xml:space="preserve"> HYPERLINK \l "_Toc112782126" </w:instrText>
          </w:r>
          <w:r>
            <w:fldChar w:fldCharType="separate"/>
          </w:r>
          <w:r>
            <w:rPr>
              <w:rStyle w:val="28"/>
              <w:rFonts w:ascii="Times New Roman" w:hAnsi="Times New Roman" w:eastAsia="黑体" w:cs="Times New Roman"/>
              <w:b/>
              <w:color w:val="000000"/>
              <w:kern w:val="2"/>
              <w:sz w:val="24"/>
              <w:szCs w:val="24"/>
            </w:rPr>
            <w:t>十四、公司/激励对象发生异动的处理</w:t>
          </w:r>
          <w:r>
            <w:rPr>
              <w:rFonts w:ascii="Times New Roman" w:hAnsi="Times New Roman" w:cs="Times New Roman"/>
              <w:color w:val="000000"/>
            </w:rPr>
            <w:tab/>
          </w:r>
          <w:r>
            <w:rPr>
              <w:rFonts w:ascii="Times New Roman" w:hAnsi="Times New Roman" w:cs="Times New Roman"/>
              <w:color w:val="000000"/>
            </w:rPr>
            <w:fldChar w:fldCharType="begin"/>
          </w:r>
          <w:r>
            <w:rPr>
              <w:rFonts w:ascii="Times New Roman" w:hAnsi="Times New Roman" w:cs="Times New Roman"/>
              <w:color w:val="000000"/>
            </w:rPr>
            <w:instrText xml:space="preserve"> PAGEREF _Toc112782126 \h </w:instrText>
          </w:r>
          <w:r>
            <w:rPr>
              <w:rFonts w:ascii="Times New Roman" w:hAnsi="Times New Roman" w:cs="Times New Roman"/>
              <w:color w:val="000000"/>
            </w:rPr>
            <w:fldChar w:fldCharType="separate"/>
          </w:r>
          <w:r>
            <w:rPr>
              <w:rFonts w:ascii="Times New Roman" w:hAnsi="Times New Roman" w:cs="Times New Roman"/>
              <w:color w:val="000000"/>
            </w:rPr>
            <w:t>27</w:t>
          </w:r>
          <w:r>
            <w:rPr>
              <w:rFonts w:ascii="Times New Roman" w:hAnsi="Times New Roman" w:cs="Times New Roman"/>
              <w:color w:val="000000"/>
            </w:rPr>
            <w:fldChar w:fldCharType="end"/>
          </w:r>
          <w:r>
            <w:rPr>
              <w:rFonts w:ascii="Times New Roman" w:hAnsi="Times New Roman" w:cs="Times New Roman"/>
              <w:color w:val="000000"/>
            </w:rPr>
            <w:fldChar w:fldCharType="end"/>
          </w:r>
        </w:p>
        <w:p>
          <w:pPr>
            <w:pStyle w:val="19"/>
            <w:rPr>
              <w:rFonts w:ascii="Times New Roman" w:hAnsi="Times New Roman" w:cs="Times New Roman"/>
              <w:color w:val="000000"/>
            </w:rPr>
          </w:pPr>
          <w:r>
            <w:fldChar w:fldCharType="begin"/>
          </w:r>
          <w:r>
            <w:instrText xml:space="preserve"> HYPERLINK \l "_Toc112782127" </w:instrText>
          </w:r>
          <w:r>
            <w:fldChar w:fldCharType="separate"/>
          </w:r>
          <w:r>
            <w:rPr>
              <w:rStyle w:val="28"/>
              <w:rFonts w:ascii="Times New Roman" w:hAnsi="Times New Roman" w:eastAsia="黑体" w:cs="Times New Roman"/>
              <w:b/>
              <w:color w:val="000000"/>
              <w:kern w:val="2"/>
              <w:sz w:val="24"/>
              <w:szCs w:val="24"/>
            </w:rPr>
            <w:t>十五、附则</w:t>
          </w:r>
          <w:r>
            <w:rPr>
              <w:rFonts w:ascii="Times New Roman" w:hAnsi="Times New Roman" w:cs="Times New Roman"/>
              <w:color w:val="000000"/>
            </w:rPr>
            <w:tab/>
          </w:r>
          <w:r>
            <w:rPr>
              <w:rFonts w:ascii="Times New Roman" w:hAnsi="Times New Roman" w:cs="Times New Roman"/>
              <w:color w:val="000000"/>
            </w:rPr>
            <w:fldChar w:fldCharType="begin"/>
          </w:r>
          <w:r>
            <w:rPr>
              <w:rFonts w:ascii="Times New Roman" w:hAnsi="Times New Roman" w:cs="Times New Roman"/>
              <w:color w:val="000000"/>
            </w:rPr>
            <w:instrText xml:space="preserve"> PAGEREF _Toc112782127 \h </w:instrText>
          </w:r>
          <w:r>
            <w:rPr>
              <w:rFonts w:ascii="Times New Roman" w:hAnsi="Times New Roman" w:cs="Times New Roman"/>
              <w:color w:val="000000"/>
            </w:rPr>
            <w:fldChar w:fldCharType="separate"/>
          </w:r>
          <w:r>
            <w:rPr>
              <w:rFonts w:ascii="Times New Roman" w:hAnsi="Times New Roman" w:cs="Times New Roman"/>
              <w:color w:val="000000"/>
            </w:rPr>
            <w:t>30</w:t>
          </w:r>
          <w:r>
            <w:rPr>
              <w:rFonts w:ascii="Times New Roman" w:hAnsi="Times New Roman" w:cs="Times New Roman"/>
              <w:color w:val="000000"/>
            </w:rPr>
            <w:fldChar w:fldCharType="end"/>
          </w:r>
          <w:r>
            <w:rPr>
              <w:rFonts w:ascii="Times New Roman" w:hAnsi="Times New Roman" w:cs="Times New Roman"/>
              <w:color w:val="000000"/>
            </w:rPr>
            <w:fldChar w:fldCharType="end"/>
          </w:r>
        </w:p>
        <w:p>
          <w:pPr>
            <w:rPr>
              <w:rFonts w:ascii="Times New Roman" w:hAnsi="Times New Roman"/>
              <w:color w:val="000000"/>
            </w:rPr>
          </w:pPr>
          <w:r>
            <w:rPr>
              <w:rFonts w:ascii="Times New Roman" w:hAnsi="Times New Roman" w:cs="Times New Roman" w:eastAsiaTheme="majorEastAsia"/>
              <w:color w:val="000000"/>
              <w:sz w:val="28"/>
              <w:szCs w:val="28"/>
            </w:rPr>
            <w:fldChar w:fldCharType="end"/>
          </w:r>
        </w:p>
      </w:sdtContent>
    </w:sdt>
    <w:p>
      <w:pPr>
        <w:spacing w:before="156" w:beforeLines="50" w:after="156" w:afterLines="50" w:line="360" w:lineRule="auto"/>
        <w:ind w:firstLine="480" w:firstLineChars="200"/>
        <w:rPr>
          <w:rFonts w:ascii="Times New Roman" w:hAnsi="Times New Roman"/>
          <w:color w:val="000000"/>
          <w:sz w:val="24"/>
        </w:rPr>
      </w:pPr>
      <w:r>
        <w:rPr>
          <w:rFonts w:hint="eastAsia" w:ascii="Times New Roman" w:hAnsi="Times New Roman"/>
          <w:color w:val="000000"/>
          <w:sz w:val="24"/>
        </w:rPr>
        <w:br w:type="page"/>
      </w:r>
    </w:p>
    <w:p>
      <w:pPr>
        <w:keepNext/>
        <w:keepLines/>
        <w:spacing w:before="156" w:beforeLines="50" w:after="0" w:line="360" w:lineRule="auto"/>
        <w:jc w:val="both"/>
        <w:outlineLvl w:val="1"/>
        <w:rPr>
          <w:rFonts w:ascii="黑体" w:hAnsi="黑体"/>
          <w:color w:val="000000"/>
          <w:kern w:val="2"/>
        </w:rPr>
      </w:pPr>
      <w:bookmarkStart w:id="7" w:name="_Toc112782113"/>
      <w:r>
        <w:rPr>
          <w:rFonts w:hint="eastAsia" w:ascii="黑体" w:hAnsi="黑体"/>
          <w:b/>
          <w:color w:val="000000"/>
          <w:kern w:val="2"/>
          <w:sz w:val="28"/>
        </w:rPr>
        <w:t>一、释义</w:t>
      </w:r>
      <w:bookmarkEnd w:id="7"/>
    </w:p>
    <w:p>
      <w:pPr>
        <w:spacing w:before="156" w:beforeLines="50" w:after="0" w:line="360" w:lineRule="auto"/>
        <w:ind w:firstLine="480" w:firstLineChars="200"/>
        <w:jc w:val="both"/>
        <w:rPr>
          <w:rFonts w:ascii="Times New Roman" w:hAnsi="Times New Roman"/>
          <w:color w:val="000000"/>
          <w:sz w:val="24"/>
        </w:rPr>
      </w:pPr>
      <w:r>
        <w:rPr>
          <w:rFonts w:hint="eastAsia" w:ascii="Times New Roman" w:hAnsi="Times New Roman"/>
          <w:color w:val="000000"/>
          <w:sz w:val="24"/>
        </w:rPr>
        <w:t>以下词语如无特殊说明，在本文中具有如下含义：</w:t>
      </w:r>
    </w:p>
    <w:tbl>
      <w:tblPr>
        <w:tblStyle w:val="23"/>
        <w:tblW w:w="840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7"/>
        <w:gridCol w:w="579"/>
        <w:gridCol w:w="536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 w:hRule="atLeast"/>
        </w:trPr>
        <w:tc>
          <w:tcPr>
            <w:tcW w:w="2457" w:type="dxa"/>
            <w:vAlign w:val="center"/>
          </w:tcPr>
          <w:p>
            <w:pPr>
              <w:spacing w:after="0" w:line="240" w:lineRule="auto"/>
              <w:jc w:val="both"/>
              <w:rPr>
                <w:rFonts w:ascii="Times New Roman" w:hAnsi="Times New Roman"/>
                <w:color w:val="000000"/>
                <w:sz w:val="21"/>
              </w:rPr>
            </w:pPr>
            <w:r>
              <w:rPr>
                <w:rFonts w:hint="eastAsia" w:ascii="Times New Roman" w:hAnsi="Times New Roman"/>
                <w:color w:val="000000"/>
                <w:sz w:val="21"/>
              </w:rPr>
              <w:t>望变电气、本公司、公司、上市公司</w:t>
            </w:r>
          </w:p>
        </w:tc>
        <w:tc>
          <w:tcPr>
            <w:tcW w:w="579" w:type="dxa"/>
            <w:vAlign w:val="center"/>
          </w:tcPr>
          <w:p>
            <w:pPr>
              <w:spacing w:after="0" w:line="240" w:lineRule="auto"/>
              <w:jc w:val="center"/>
              <w:rPr>
                <w:rFonts w:ascii="Times New Roman" w:hAnsi="Times New Roman"/>
                <w:color w:val="000000"/>
                <w:sz w:val="21"/>
              </w:rPr>
            </w:pPr>
            <w:r>
              <w:rPr>
                <w:rFonts w:hint="eastAsia" w:ascii="Times New Roman" w:hAnsi="Times New Roman"/>
                <w:color w:val="000000"/>
                <w:sz w:val="21"/>
              </w:rPr>
              <w:t>指</w:t>
            </w:r>
          </w:p>
        </w:tc>
        <w:tc>
          <w:tcPr>
            <w:tcW w:w="5364" w:type="dxa"/>
            <w:vAlign w:val="center"/>
          </w:tcPr>
          <w:p>
            <w:pPr>
              <w:spacing w:after="0" w:line="240" w:lineRule="auto"/>
              <w:rPr>
                <w:rFonts w:ascii="Times New Roman" w:hAnsi="Times New Roman"/>
                <w:color w:val="000000"/>
                <w:sz w:val="21"/>
              </w:rPr>
            </w:pPr>
            <w:r>
              <w:rPr>
                <w:rFonts w:hint="eastAsia" w:ascii="Times New Roman" w:hAnsi="Times New Roman"/>
                <w:color w:val="000000"/>
                <w:sz w:val="21"/>
              </w:rPr>
              <w:t>重庆望变电气（集团）股份有限公司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 w:hRule="atLeast"/>
        </w:trPr>
        <w:tc>
          <w:tcPr>
            <w:tcW w:w="2457" w:type="dxa"/>
            <w:vAlign w:val="center"/>
          </w:tcPr>
          <w:p>
            <w:pPr>
              <w:spacing w:after="0" w:line="240" w:lineRule="auto"/>
              <w:jc w:val="both"/>
              <w:rPr>
                <w:rFonts w:ascii="Times New Roman" w:hAnsi="Times New Roman"/>
                <w:color w:val="000000"/>
                <w:sz w:val="21"/>
              </w:rPr>
            </w:pPr>
            <w:r>
              <w:rPr>
                <w:rFonts w:hint="eastAsia" w:ascii="Times New Roman" w:hAnsi="Times New Roman"/>
                <w:color w:val="000000"/>
                <w:sz w:val="21"/>
              </w:rPr>
              <w:t>本激励计划、激励计划、本计划</w:t>
            </w:r>
          </w:p>
        </w:tc>
        <w:tc>
          <w:tcPr>
            <w:tcW w:w="579" w:type="dxa"/>
            <w:vAlign w:val="center"/>
          </w:tcPr>
          <w:p>
            <w:pPr>
              <w:spacing w:after="0" w:line="240" w:lineRule="auto"/>
              <w:jc w:val="center"/>
              <w:rPr>
                <w:rFonts w:ascii="Times New Roman" w:hAnsi="Times New Roman"/>
                <w:color w:val="000000"/>
                <w:sz w:val="21"/>
              </w:rPr>
            </w:pPr>
            <w:r>
              <w:rPr>
                <w:rFonts w:hint="eastAsia" w:ascii="Times New Roman" w:hAnsi="Times New Roman"/>
                <w:color w:val="000000"/>
                <w:sz w:val="21"/>
              </w:rPr>
              <w:t>指</w:t>
            </w:r>
          </w:p>
        </w:tc>
        <w:tc>
          <w:tcPr>
            <w:tcW w:w="5364" w:type="dxa"/>
            <w:vAlign w:val="center"/>
          </w:tcPr>
          <w:p>
            <w:pPr>
              <w:spacing w:after="0" w:line="240" w:lineRule="auto"/>
              <w:rPr>
                <w:rFonts w:ascii="Times New Roman" w:hAnsi="Times New Roman"/>
                <w:color w:val="000000"/>
                <w:sz w:val="21"/>
              </w:rPr>
            </w:pPr>
            <w:r>
              <w:rPr>
                <w:rFonts w:hint="eastAsia" w:ascii="Times New Roman" w:hAnsi="Times New Roman"/>
                <w:color w:val="000000"/>
                <w:sz w:val="21"/>
              </w:rPr>
              <w:t>重庆望变电气（集团）股份有限公司202</w:t>
            </w:r>
            <w:r>
              <w:rPr>
                <w:rFonts w:ascii="Times New Roman" w:hAnsi="Times New Roman"/>
                <w:color w:val="000000"/>
                <w:sz w:val="21"/>
              </w:rPr>
              <w:t>4</w:t>
            </w:r>
            <w:r>
              <w:rPr>
                <w:rFonts w:hint="eastAsia" w:ascii="Times New Roman" w:hAnsi="Times New Roman"/>
                <w:color w:val="000000"/>
                <w:sz w:val="21"/>
              </w:rPr>
              <w:t>年限制性股票激励计划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 w:hRule="atLeast"/>
        </w:trPr>
        <w:tc>
          <w:tcPr>
            <w:tcW w:w="2457" w:type="dxa"/>
            <w:vAlign w:val="center"/>
          </w:tcPr>
          <w:p>
            <w:pPr>
              <w:spacing w:after="0" w:line="240" w:lineRule="auto"/>
              <w:jc w:val="both"/>
              <w:rPr>
                <w:rFonts w:ascii="Times New Roman" w:hAnsi="Times New Roman"/>
                <w:color w:val="000000"/>
                <w:sz w:val="21"/>
              </w:rPr>
            </w:pPr>
            <w:r>
              <w:rPr>
                <w:rFonts w:hint="eastAsia" w:ascii="Times New Roman" w:hAnsi="Times New Roman"/>
                <w:color w:val="000000"/>
                <w:sz w:val="21"/>
              </w:rPr>
              <w:t>限制性股票</w:t>
            </w:r>
          </w:p>
        </w:tc>
        <w:tc>
          <w:tcPr>
            <w:tcW w:w="579" w:type="dxa"/>
            <w:vAlign w:val="center"/>
          </w:tcPr>
          <w:p>
            <w:pPr>
              <w:spacing w:after="0" w:line="240" w:lineRule="auto"/>
              <w:jc w:val="center"/>
              <w:rPr>
                <w:rFonts w:ascii="Times New Roman" w:hAnsi="Times New Roman"/>
                <w:color w:val="000000"/>
                <w:sz w:val="21"/>
              </w:rPr>
            </w:pPr>
            <w:r>
              <w:rPr>
                <w:rFonts w:hint="eastAsia" w:ascii="Times New Roman" w:hAnsi="Times New Roman"/>
                <w:color w:val="000000"/>
                <w:sz w:val="21"/>
              </w:rPr>
              <w:t>指</w:t>
            </w:r>
          </w:p>
        </w:tc>
        <w:tc>
          <w:tcPr>
            <w:tcW w:w="5364" w:type="dxa"/>
            <w:vAlign w:val="center"/>
          </w:tcPr>
          <w:p>
            <w:pPr>
              <w:spacing w:after="0" w:line="240" w:lineRule="auto"/>
              <w:rPr>
                <w:rFonts w:ascii="宋体" w:hAnsi="宋体"/>
                <w:color w:val="000000"/>
                <w:sz w:val="21"/>
              </w:rPr>
            </w:pPr>
            <w:r>
              <w:rPr>
                <w:rFonts w:hint="eastAsia" w:ascii="Times New Roman" w:hAnsi="Times New Roman"/>
                <w:color w:val="000000"/>
                <w:sz w:val="21"/>
              </w:rPr>
              <w:t>公司根据本激励计划规定的条件和价格，授予激励对象一定数量的公司股票，该等股票设置一定期限的限售期，在达到本激励计划规定的解除限售条件后，方可解除限售流通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 w:hRule="atLeast"/>
        </w:trPr>
        <w:tc>
          <w:tcPr>
            <w:tcW w:w="2457" w:type="dxa"/>
            <w:vAlign w:val="center"/>
          </w:tcPr>
          <w:p>
            <w:pPr>
              <w:spacing w:after="0" w:line="240" w:lineRule="auto"/>
              <w:jc w:val="both"/>
              <w:rPr>
                <w:rFonts w:ascii="Times New Roman" w:hAnsi="Times New Roman"/>
                <w:color w:val="000000"/>
                <w:sz w:val="21"/>
              </w:rPr>
            </w:pPr>
            <w:r>
              <w:rPr>
                <w:rFonts w:hint="eastAsia" w:ascii="Times New Roman" w:hAnsi="Times New Roman"/>
                <w:color w:val="000000"/>
                <w:sz w:val="21"/>
              </w:rPr>
              <w:t>激励对象</w:t>
            </w:r>
          </w:p>
        </w:tc>
        <w:tc>
          <w:tcPr>
            <w:tcW w:w="579" w:type="dxa"/>
            <w:vAlign w:val="center"/>
          </w:tcPr>
          <w:p>
            <w:pPr>
              <w:spacing w:after="0" w:line="240" w:lineRule="auto"/>
              <w:jc w:val="center"/>
              <w:rPr>
                <w:rFonts w:ascii="Times New Roman" w:hAnsi="Times New Roman"/>
                <w:color w:val="000000"/>
                <w:sz w:val="21"/>
              </w:rPr>
            </w:pPr>
            <w:r>
              <w:rPr>
                <w:rFonts w:hint="eastAsia" w:ascii="Times New Roman" w:hAnsi="Times New Roman"/>
                <w:color w:val="000000"/>
                <w:sz w:val="21"/>
              </w:rPr>
              <w:t>指</w:t>
            </w:r>
          </w:p>
        </w:tc>
        <w:tc>
          <w:tcPr>
            <w:tcW w:w="5364" w:type="dxa"/>
            <w:vAlign w:val="center"/>
          </w:tcPr>
          <w:p>
            <w:pPr>
              <w:spacing w:after="0" w:line="240" w:lineRule="auto"/>
              <w:rPr>
                <w:rFonts w:ascii="Times New Roman" w:hAnsi="Times New Roman"/>
                <w:color w:val="000000"/>
                <w:sz w:val="21"/>
              </w:rPr>
            </w:pPr>
            <w:r>
              <w:rPr>
                <w:rFonts w:hint="eastAsia" w:ascii="Times New Roman" w:hAnsi="Times New Roman"/>
                <w:color w:val="000000"/>
                <w:sz w:val="21"/>
              </w:rPr>
              <w:t>按照本激励计划规定，获得限制性股票的董事、高级管理人员、核心技术人员及董事会认为需要激励的其他人员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 w:hRule="atLeast"/>
        </w:trPr>
        <w:tc>
          <w:tcPr>
            <w:tcW w:w="2457" w:type="dxa"/>
            <w:vAlign w:val="center"/>
          </w:tcPr>
          <w:p>
            <w:pPr>
              <w:spacing w:after="0" w:line="240" w:lineRule="auto"/>
              <w:jc w:val="both"/>
              <w:rPr>
                <w:rFonts w:ascii="Times New Roman" w:hAnsi="Times New Roman"/>
                <w:color w:val="000000"/>
                <w:sz w:val="21"/>
              </w:rPr>
            </w:pPr>
            <w:r>
              <w:rPr>
                <w:rFonts w:hint="eastAsia" w:ascii="Times New Roman" w:hAnsi="Times New Roman"/>
                <w:color w:val="000000"/>
                <w:sz w:val="21"/>
              </w:rPr>
              <w:t>授予日</w:t>
            </w:r>
          </w:p>
        </w:tc>
        <w:tc>
          <w:tcPr>
            <w:tcW w:w="579" w:type="dxa"/>
            <w:vAlign w:val="center"/>
          </w:tcPr>
          <w:p>
            <w:pPr>
              <w:spacing w:after="0" w:line="240" w:lineRule="auto"/>
              <w:jc w:val="center"/>
              <w:rPr>
                <w:rFonts w:ascii="Times New Roman" w:hAnsi="Times New Roman"/>
                <w:color w:val="000000"/>
                <w:sz w:val="21"/>
              </w:rPr>
            </w:pPr>
            <w:r>
              <w:rPr>
                <w:rFonts w:hint="eastAsia" w:ascii="Times New Roman" w:hAnsi="Times New Roman"/>
                <w:color w:val="000000"/>
                <w:sz w:val="21"/>
              </w:rPr>
              <w:t>指</w:t>
            </w:r>
          </w:p>
        </w:tc>
        <w:tc>
          <w:tcPr>
            <w:tcW w:w="5364" w:type="dxa"/>
            <w:vAlign w:val="center"/>
          </w:tcPr>
          <w:p>
            <w:pPr>
              <w:spacing w:after="0" w:line="240" w:lineRule="auto"/>
              <w:rPr>
                <w:rFonts w:ascii="Times New Roman" w:hAnsi="Times New Roman"/>
                <w:color w:val="000000"/>
                <w:sz w:val="21"/>
              </w:rPr>
            </w:pPr>
            <w:r>
              <w:rPr>
                <w:rFonts w:hint="eastAsia" w:ascii="Times New Roman" w:hAnsi="Times New Roman"/>
                <w:color w:val="000000"/>
                <w:sz w:val="21"/>
              </w:rPr>
              <w:t>公司向激励对象授予限制性股票的日期，授予日必须为交易日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 w:hRule="atLeast"/>
        </w:trPr>
        <w:tc>
          <w:tcPr>
            <w:tcW w:w="2457" w:type="dxa"/>
            <w:vAlign w:val="center"/>
          </w:tcPr>
          <w:p>
            <w:pPr>
              <w:spacing w:after="0" w:line="240" w:lineRule="auto"/>
              <w:jc w:val="both"/>
              <w:rPr>
                <w:rFonts w:ascii="Times New Roman" w:hAnsi="Times New Roman"/>
                <w:color w:val="000000"/>
                <w:sz w:val="21"/>
              </w:rPr>
            </w:pPr>
            <w:r>
              <w:rPr>
                <w:rFonts w:hint="eastAsia" w:ascii="Times New Roman" w:hAnsi="Times New Roman"/>
                <w:color w:val="000000"/>
                <w:sz w:val="21"/>
              </w:rPr>
              <w:t>授予价格</w:t>
            </w:r>
          </w:p>
        </w:tc>
        <w:tc>
          <w:tcPr>
            <w:tcW w:w="579" w:type="dxa"/>
            <w:vAlign w:val="center"/>
          </w:tcPr>
          <w:p>
            <w:pPr>
              <w:spacing w:after="0" w:line="240" w:lineRule="auto"/>
              <w:jc w:val="center"/>
              <w:rPr>
                <w:rFonts w:ascii="Times New Roman" w:hAnsi="Times New Roman"/>
                <w:color w:val="000000"/>
                <w:sz w:val="21"/>
              </w:rPr>
            </w:pPr>
            <w:r>
              <w:rPr>
                <w:rFonts w:hint="eastAsia" w:ascii="Times New Roman" w:hAnsi="Times New Roman"/>
                <w:color w:val="000000"/>
                <w:sz w:val="21"/>
              </w:rPr>
              <w:t>指</w:t>
            </w:r>
          </w:p>
        </w:tc>
        <w:tc>
          <w:tcPr>
            <w:tcW w:w="5364" w:type="dxa"/>
            <w:vAlign w:val="center"/>
          </w:tcPr>
          <w:p>
            <w:pPr>
              <w:spacing w:after="0" w:line="240" w:lineRule="auto"/>
              <w:rPr>
                <w:rFonts w:ascii="Times New Roman" w:hAnsi="Times New Roman"/>
                <w:color w:val="000000"/>
                <w:sz w:val="21"/>
              </w:rPr>
            </w:pPr>
            <w:r>
              <w:rPr>
                <w:rFonts w:hint="eastAsia" w:ascii="Times New Roman" w:hAnsi="Times New Roman"/>
                <w:color w:val="000000"/>
                <w:sz w:val="21"/>
              </w:rPr>
              <w:t>公司授予激励对象每一股限制性股票的价格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 w:hRule="atLeast"/>
        </w:trPr>
        <w:tc>
          <w:tcPr>
            <w:tcW w:w="2457" w:type="dxa"/>
            <w:vAlign w:val="center"/>
          </w:tcPr>
          <w:p>
            <w:pPr>
              <w:spacing w:after="0" w:line="240" w:lineRule="auto"/>
              <w:jc w:val="both"/>
              <w:rPr>
                <w:rFonts w:ascii="Times New Roman" w:hAnsi="Times New Roman"/>
                <w:color w:val="000000"/>
                <w:sz w:val="21"/>
              </w:rPr>
            </w:pPr>
            <w:r>
              <w:rPr>
                <w:rFonts w:hint="eastAsia" w:ascii="Times New Roman" w:hAnsi="Times New Roman"/>
                <w:color w:val="000000"/>
                <w:sz w:val="21"/>
              </w:rPr>
              <w:t>有效期</w:t>
            </w:r>
          </w:p>
        </w:tc>
        <w:tc>
          <w:tcPr>
            <w:tcW w:w="579" w:type="dxa"/>
            <w:vAlign w:val="center"/>
          </w:tcPr>
          <w:p>
            <w:pPr>
              <w:spacing w:after="0" w:line="240" w:lineRule="auto"/>
              <w:jc w:val="center"/>
              <w:rPr>
                <w:rFonts w:ascii="Times New Roman" w:hAnsi="Times New Roman"/>
                <w:color w:val="000000"/>
                <w:sz w:val="21"/>
              </w:rPr>
            </w:pPr>
            <w:r>
              <w:rPr>
                <w:rFonts w:hint="eastAsia" w:ascii="Times New Roman" w:hAnsi="Times New Roman"/>
                <w:color w:val="000000"/>
                <w:sz w:val="21"/>
              </w:rPr>
              <w:t>指</w:t>
            </w:r>
          </w:p>
        </w:tc>
        <w:tc>
          <w:tcPr>
            <w:tcW w:w="5364" w:type="dxa"/>
            <w:vAlign w:val="center"/>
          </w:tcPr>
          <w:p>
            <w:pPr>
              <w:spacing w:after="0" w:line="240" w:lineRule="auto"/>
              <w:rPr>
                <w:rFonts w:ascii="Times New Roman" w:hAnsi="Times New Roman"/>
                <w:color w:val="000000"/>
                <w:sz w:val="21"/>
              </w:rPr>
            </w:pPr>
            <w:r>
              <w:rPr>
                <w:rFonts w:hint="eastAsia" w:ascii="Times New Roman" w:hAnsi="Times New Roman"/>
                <w:color w:val="000000"/>
                <w:sz w:val="21"/>
              </w:rPr>
              <w:t>自限制性股票首次授予之日起到激励对象获授的限制性股票全部解除限售或回购注销的期间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 w:hRule="atLeast"/>
        </w:trPr>
        <w:tc>
          <w:tcPr>
            <w:tcW w:w="2457" w:type="dxa"/>
            <w:vAlign w:val="center"/>
          </w:tcPr>
          <w:p>
            <w:pPr>
              <w:spacing w:after="0" w:line="240" w:lineRule="auto"/>
              <w:jc w:val="both"/>
              <w:rPr>
                <w:rFonts w:ascii="Times New Roman" w:hAnsi="Times New Roman"/>
                <w:color w:val="000000"/>
                <w:sz w:val="21"/>
              </w:rPr>
            </w:pPr>
            <w:r>
              <w:rPr>
                <w:rFonts w:hint="eastAsia" w:ascii="Times New Roman" w:hAnsi="Times New Roman" w:eastAsia="宋体"/>
                <w:color w:val="000000"/>
                <w:sz w:val="21"/>
                <w:szCs w:val="21"/>
              </w:rPr>
              <w:t>限售期</w:t>
            </w:r>
          </w:p>
        </w:tc>
        <w:tc>
          <w:tcPr>
            <w:tcW w:w="579" w:type="dxa"/>
            <w:vAlign w:val="center"/>
          </w:tcPr>
          <w:p>
            <w:pPr>
              <w:spacing w:after="0" w:line="240" w:lineRule="auto"/>
              <w:jc w:val="center"/>
              <w:rPr>
                <w:rFonts w:ascii="Times New Roman" w:hAnsi="Times New Roman"/>
                <w:color w:val="000000"/>
                <w:sz w:val="21"/>
              </w:rPr>
            </w:pPr>
            <w:r>
              <w:rPr>
                <w:rFonts w:hint="eastAsia" w:ascii="Times New Roman" w:hAnsi="Times New Roman"/>
                <w:color w:val="000000"/>
                <w:sz w:val="21"/>
              </w:rPr>
              <w:t>指</w:t>
            </w:r>
          </w:p>
        </w:tc>
        <w:tc>
          <w:tcPr>
            <w:tcW w:w="5364" w:type="dxa"/>
            <w:vAlign w:val="center"/>
          </w:tcPr>
          <w:p>
            <w:pPr>
              <w:spacing w:after="0" w:line="240" w:lineRule="auto"/>
              <w:rPr>
                <w:rFonts w:ascii="Times New Roman" w:hAnsi="Times New Roman"/>
                <w:color w:val="000000"/>
                <w:sz w:val="21"/>
              </w:rPr>
            </w:pPr>
            <w:r>
              <w:rPr>
                <w:rFonts w:hint="eastAsia" w:ascii="Times New Roman" w:hAnsi="Times New Roman" w:eastAsia="宋体"/>
                <w:color w:val="000000"/>
                <w:sz w:val="21"/>
                <w:szCs w:val="21"/>
              </w:rPr>
              <w:t>激励对象根据本激励计划获授的限制性股票被禁止转让、用于担保、偿还债务的期间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 w:hRule="atLeast"/>
        </w:trPr>
        <w:tc>
          <w:tcPr>
            <w:tcW w:w="2457" w:type="dxa"/>
            <w:vAlign w:val="center"/>
          </w:tcPr>
          <w:p>
            <w:pPr>
              <w:spacing w:after="0" w:line="240" w:lineRule="auto"/>
              <w:jc w:val="both"/>
              <w:rPr>
                <w:rFonts w:ascii="Times New Roman" w:hAnsi="Times New Roman"/>
                <w:color w:val="000000"/>
                <w:sz w:val="21"/>
              </w:rPr>
            </w:pPr>
            <w:r>
              <w:rPr>
                <w:rFonts w:hint="eastAsia" w:ascii="Times New Roman" w:hAnsi="Times New Roman" w:eastAsia="宋体"/>
                <w:color w:val="000000"/>
                <w:sz w:val="21"/>
                <w:szCs w:val="21"/>
              </w:rPr>
              <w:t>解除限售期</w:t>
            </w:r>
          </w:p>
        </w:tc>
        <w:tc>
          <w:tcPr>
            <w:tcW w:w="579" w:type="dxa"/>
            <w:vAlign w:val="center"/>
          </w:tcPr>
          <w:p>
            <w:pPr>
              <w:spacing w:after="0" w:line="240" w:lineRule="auto"/>
              <w:jc w:val="center"/>
              <w:rPr>
                <w:rFonts w:ascii="Times New Roman" w:hAnsi="Times New Roman"/>
                <w:color w:val="000000"/>
                <w:sz w:val="21"/>
              </w:rPr>
            </w:pPr>
            <w:r>
              <w:rPr>
                <w:rFonts w:hint="eastAsia" w:ascii="Times New Roman" w:hAnsi="Times New Roman"/>
                <w:color w:val="000000"/>
                <w:sz w:val="21"/>
              </w:rPr>
              <w:t>指</w:t>
            </w:r>
          </w:p>
        </w:tc>
        <w:tc>
          <w:tcPr>
            <w:tcW w:w="5364" w:type="dxa"/>
            <w:vAlign w:val="center"/>
          </w:tcPr>
          <w:p>
            <w:pPr>
              <w:spacing w:after="0" w:line="240" w:lineRule="auto"/>
              <w:rPr>
                <w:rFonts w:ascii="Times New Roman" w:hAnsi="Times New Roman"/>
                <w:color w:val="000000"/>
                <w:sz w:val="21"/>
              </w:rPr>
            </w:pPr>
            <w:r>
              <w:rPr>
                <w:rFonts w:hint="eastAsia" w:ascii="Times New Roman" w:hAnsi="Times New Roman" w:eastAsia="宋体"/>
                <w:color w:val="000000"/>
                <w:sz w:val="21"/>
                <w:szCs w:val="21"/>
              </w:rPr>
              <w:t>本激励计划规定的解除限售条件成就后，激励对象持有的限制性股票可以解除限售并上市流通的期间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 w:hRule="atLeast"/>
        </w:trPr>
        <w:tc>
          <w:tcPr>
            <w:tcW w:w="2457" w:type="dxa"/>
            <w:vAlign w:val="center"/>
          </w:tcPr>
          <w:p>
            <w:pPr>
              <w:spacing w:after="0" w:line="240" w:lineRule="auto"/>
              <w:jc w:val="both"/>
              <w:rPr>
                <w:rFonts w:ascii="Times New Roman" w:hAnsi="Times New Roman"/>
                <w:color w:val="000000"/>
                <w:sz w:val="21"/>
              </w:rPr>
            </w:pPr>
            <w:r>
              <w:rPr>
                <w:rFonts w:hint="eastAsia" w:ascii="Times New Roman" w:hAnsi="Times New Roman" w:eastAsia="宋体"/>
                <w:color w:val="000000"/>
                <w:sz w:val="21"/>
                <w:szCs w:val="21"/>
              </w:rPr>
              <w:t>解除限售条件</w:t>
            </w:r>
          </w:p>
        </w:tc>
        <w:tc>
          <w:tcPr>
            <w:tcW w:w="579" w:type="dxa"/>
            <w:vAlign w:val="center"/>
          </w:tcPr>
          <w:p>
            <w:pPr>
              <w:spacing w:after="0" w:line="240" w:lineRule="auto"/>
              <w:jc w:val="center"/>
              <w:rPr>
                <w:rFonts w:ascii="Times New Roman" w:hAnsi="Times New Roman"/>
                <w:color w:val="000000"/>
                <w:sz w:val="21"/>
              </w:rPr>
            </w:pPr>
            <w:r>
              <w:rPr>
                <w:rFonts w:hint="eastAsia" w:ascii="Times New Roman" w:hAnsi="Times New Roman"/>
                <w:color w:val="000000"/>
                <w:sz w:val="21"/>
              </w:rPr>
              <w:t>指</w:t>
            </w:r>
          </w:p>
        </w:tc>
        <w:tc>
          <w:tcPr>
            <w:tcW w:w="5364" w:type="dxa"/>
            <w:vAlign w:val="center"/>
          </w:tcPr>
          <w:p>
            <w:pPr>
              <w:spacing w:after="0" w:line="240" w:lineRule="auto"/>
              <w:rPr>
                <w:rFonts w:ascii="Times New Roman" w:hAnsi="Times New Roman"/>
                <w:color w:val="000000"/>
                <w:sz w:val="21"/>
              </w:rPr>
            </w:pPr>
            <w:r>
              <w:rPr>
                <w:rFonts w:hint="eastAsia" w:ascii="Times New Roman" w:hAnsi="Times New Roman" w:eastAsia="宋体"/>
                <w:color w:val="000000"/>
                <w:sz w:val="21"/>
                <w:szCs w:val="21"/>
              </w:rPr>
              <w:t>根据本激励计划，激励对象所获限制性股票解除限售所必须满足的条件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 w:hRule="atLeast"/>
        </w:trPr>
        <w:tc>
          <w:tcPr>
            <w:tcW w:w="2457" w:type="dxa"/>
            <w:vAlign w:val="center"/>
          </w:tcPr>
          <w:p>
            <w:pPr>
              <w:spacing w:after="0" w:line="240" w:lineRule="auto"/>
              <w:jc w:val="both"/>
              <w:rPr>
                <w:rFonts w:ascii="Times New Roman" w:hAnsi="Times New Roman"/>
                <w:color w:val="000000"/>
                <w:sz w:val="21"/>
              </w:rPr>
            </w:pPr>
            <w:r>
              <w:rPr>
                <w:rFonts w:hint="eastAsia" w:ascii="Times New Roman" w:hAnsi="Times New Roman" w:eastAsia="宋体"/>
                <w:color w:val="000000"/>
                <w:sz w:val="21"/>
                <w:szCs w:val="21"/>
              </w:rPr>
              <w:t>禁售期</w:t>
            </w:r>
          </w:p>
        </w:tc>
        <w:tc>
          <w:tcPr>
            <w:tcW w:w="579" w:type="dxa"/>
            <w:vAlign w:val="center"/>
          </w:tcPr>
          <w:p>
            <w:pPr>
              <w:spacing w:after="0" w:line="240" w:lineRule="auto"/>
              <w:jc w:val="center"/>
              <w:rPr>
                <w:rFonts w:ascii="Times New Roman" w:hAnsi="Times New Roman"/>
                <w:color w:val="000000"/>
                <w:sz w:val="21"/>
              </w:rPr>
            </w:pPr>
            <w:r>
              <w:rPr>
                <w:rFonts w:hint="eastAsia" w:ascii="Times New Roman" w:hAnsi="Times New Roman" w:eastAsia="宋体"/>
                <w:color w:val="000000"/>
                <w:sz w:val="21"/>
                <w:szCs w:val="21"/>
              </w:rPr>
              <w:t>指</w:t>
            </w:r>
          </w:p>
        </w:tc>
        <w:tc>
          <w:tcPr>
            <w:tcW w:w="5364" w:type="dxa"/>
            <w:vAlign w:val="center"/>
          </w:tcPr>
          <w:p>
            <w:pPr>
              <w:spacing w:after="0" w:line="240" w:lineRule="auto"/>
              <w:rPr>
                <w:rFonts w:ascii="Times New Roman" w:hAnsi="Times New Roman"/>
                <w:color w:val="000000"/>
                <w:sz w:val="21"/>
              </w:rPr>
            </w:pPr>
            <w:r>
              <w:rPr>
                <w:rFonts w:hint="eastAsia" w:ascii="Times New Roman" w:hAnsi="Times New Roman" w:eastAsia="宋体"/>
                <w:color w:val="000000"/>
                <w:sz w:val="21"/>
                <w:szCs w:val="21"/>
              </w:rPr>
              <w:t>根据相关法律法规规定，激励对象不得转让限制性股票的期间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 w:hRule="atLeast"/>
        </w:trPr>
        <w:tc>
          <w:tcPr>
            <w:tcW w:w="2457" w:type="dxa"/>
            <w:vAlign w:val="center"/>
          </w:tcPr>
          <w:p>
            <w:pPr>
              <w:spacing w:after="0" w:line="240" w:lineRule="auto"/>
              <w:jc w:val="both"/>
              <w:rPr>
                <w:rFonts w:ascii="Times New Roman" w:hAnsi="Times New Roman"/>
                <w:color w:val="000000"/>
                <w:sz w:val="21"/>
              </w:rPr>
            </w:pPr>
            <w:r>
              <w:rPr>
                <w:rFonts w:hint="eastAsia" w:ascii="Times New Roman" w:hAnsi="Times New Roman"/>
                <w:color w:val="000000"/>
                <w:sz w:val="21"/>
              </w:rPr>
              <w:t>《公司法》</w:t>
            </w:r>
          </w:p>
        </w:tc>
        <w:tc>
          <w:tcPr>
            <w:tcW w:w="579" w:type="dxa"/>
            <w:vAlign w:val="center"/>
          </w:tcPr>
          <w:p>
            <w:pPr>
              <w:spacing w:after="0" w:line="240" w:lineRule="auto"/>
              <w:jc w:val="center"/>
              <w:rPr>
                <w:rFonts w:ascii="Times New Roman" w:hAnsi="Times New Roman"/>
                <w:color w:val="000000"/>
                <w:sz w:val="21"/>
              </w:rPr>
            </w:pPr>
            <w:r>
              <w:rPr>
                <w:rFonts w:hint="eastAsia" w:ascii="Times New Roman" w:hAnsi="Times New Roman"/>
                <w:color w:val="000000"/>
                <w:sz w:val="21"/>
              </w:rPr>
              <w:t>指</w:t>
            </w:r>
          </w:p>
        </w:tc>
        <w:tc>
          <w:tcPr>
            <w:tcW w:w="5364" w:type="dxa"/>
            <w:vAlign w:val="center"/>
          </w:tcPr>
          <w:p>
            <w:pPr>
              <w:spacing w:after="0" w:line="240" w:lineRule="auto"/>
              <w:jc w:val="both"/>
              <w:rPr>
                <w:rFonts w:ascii="Times New Roman" w:hAnsi="Times New Roman"/>
                <w:color w:val="000000"/>
                <w:sz w:val="21"/>
              </w:rPr>
            </w:pPr>
            <w:r>
              <w:rPr>
                <w:rFonts w:hint="eastAsia" w:ascii="Times New Roman" w:hAnsi="Times New Roman"/>
                <w:color w:val="000000"/>
                <w:sz w:val="21"/>
              </w:rPr>
              <w:t>《中华人民共和国公司法》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 w:hRule="atLeast"/>
        </w:trPr>
        <w:tc>
          <w:tcPr>
            <w:tcW w:w="2457" w:type="dxa"/>
            <w:vAlign w:val="center"/>
          </w:tcPr>
          <w:p>
            <w:pPr>
              <w:spacing w:after="0" w:line="240" w:lineRule="auto"/>
              <w:jc w:val="both"/>
              <w:rPr>
                <w:rFonts w:ascii="Times New Roman" w:hAnsi="Times New Roman"/>
                <w:color w:val="000000"/>
                <w:sz w:val="21"/>
              </w:rPr>
            </w:pPr>
            <w:r>
              <w:rPr>
                <w:rFonts w:hint="eastAsia" w:ascii="Times New Roman" w:hAnsi="Times New Roman"/>
                <w:color w:val="000000"/>
                <w:sz w:val="21"/>
              </w:rPr>
              <w:t>《证券法》</w:t>
            </w:r>
          </w:p>
        </w:tc>
        <w:tc>
          <w:tcPr>
            <w:tcW w:w="579" w:type="dxa"/>
            <w:vAlign w:val="center"/>
          </w:tcPr>
          <w:p>
            <w:pPr>
              <w:spacing w:after="0" w:line="240" w:lineRule="auto"/>
              <w:jc w:val="center"/>
              <w:rPr>
                <w:rFonts w:ascii="Times New Roman" w:hAnsi="Times New Roman"/>
                <w:color w:val="000000"/>
                <w:sz w:val="21"/>
              </w:rPr>
            </w:pPr>
            <w:r>
              <w:rPr>
                <w:rFonts w:hint="eastAsia" w:ascii="Times New Roman" w:hAnsi="Times New Roman"/>
                <w:color w:val="000000"/>
                <w:sz w:val="21"/>
              </w:rPr>
              <w:t>指</w:t>
            </w:r>
          </w:p>
        </w:tc>
        <w:tc>
          <w:tcPr>
            <w:tcW w:w="5364" w:type="dxa"/>
            <w:vAlign w:val="center"/>
          </w:tcPr>
          <w:p>
            <w:pPr>
              <w:spacing w:after="0" w:line="240" w:lineRule="auto"/>
              <w:jc w:val="both"/>
              <w:rPr>
                <w:rFonts w:ascii="Times New Roman" w:hAnsi="Times New Roman"/>
                <w:color w:val="000000"/>
                <w:sz w:val="21"/>
              </w:rPr>
            </w:pPr>
            <w:r>
              <w:rPr>
                <w:rFonts w:hint="eastAsia" w:ascii="Times New Roman" w:hAnsi="Times New Roman"/>
                <w:color w:val="000000"/>
                <w:sz w:val="21"/>
              </w:rPr>
              <w:t>《中华人民共和国证券法》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 w:hRule="atLeast"/>
        </w:trPr>
        <w:tc>
          <w:tcPr>
            <w:tcW w:w="2457" w:type="dxa"/>
            <w:vAlign w:val="center"/>
          </w:tcPr>
          <w:p>
            <w:pPr>
              <w:spacing w:after="0" w:line="240" w:lineRule="auto"/>
              <w:jc w:val="both"/>
              <w:rPr>
                <w:rFonts w:ascii="Times New Roman" w:hAnsi="Times New Roman"/>
                <w:color w:val="000000"/>
                <w:sz w:val="21"/>
              </w:rPr>
            </w:pPr>
            <w:r>
              <w:rPr>
                <w:rFonts w:hint="eastAsia" w:ascii="Times New Roman" w:hAnsi="Times New Roman"/>
                <w:color w:val="000000"/>
                <w:sz w:val="21"/>
              </w:rPr>
              <w:t>《股权激励管理办法》</w:t>
            </w:r>
          </w:p>
        </w:tc>
        <w:tc>
          <w:tcPr>
            <w:tcW w:w="579" w:type="dxa"/>
            <w:vAlign w:val="center"/>
          </w:tcPr>
          <w:p>
            <w:pPr>
              <w:spacing w:after="0" w:line="240" w:lineRule="auto"/>
              <w:jc w:val="center"/>
              <w:rPr>
                <w:rFonts w:ascii="Times New Roman" w:hAnsi="Times New Roman"/>
                <w:color w:val="000000"/>
                <w:sz w:val="21"/>
              </w:rPr>
            </w:pPr>
            <w:r>
              <w:rPr>
                <w:rFonts w:hint="eastAsia" w:ascii="Times New Roman" w:hAnsi="Times New Roman"/>
                <w:color w:val="000000"/>
                <w:sz w:val="21"/>
              </w:rPr>
              <w:t>指</w:t>
            </w:r>
          </w:p>
        </w:tc>
        <w:tc>
          <w:tcPr>
            <w:tcW w:w="5364" w:type="dxa"/>
            <w:vAlign w:val="center"/>
          </w:tcPr>
          <w:p>
            <w:pPr>
              <w:spacing w:after="0" w:line="240" w:lineRule="auto"/>
              <w:jc w:val="both"/>
              <w:rPr>
                <w:rFonts w:ascii="Times New Roman" w:hAnsi="Times New Roman"/>
                <w:color w:val="000000"/>
                <w:sz w:val="21"/>
              </w:rPr>
            </w:pPr>
            <w:r>
              <w:rPr>
                <w:rFonts w:hint="eastAsia" w:ascii="Times New Roman" w:hAnsi="Times New Roman"/>
                <w:color w:val="000000"/>
                <w:sz w:val="21"/>
              </w:rPr>
              <w:t>《上市公司股权激励管理办法》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 w:hRule="atLeast"/>
        </w:trPr>
        <w:tc>
          <w:tcPr>
            <w:tcW w:w="2457" w:type="dxa"/>
            <w:vAlign w:val="center"/>
          </w:tcPr>
          <w:p>
            <w:pPr>
              <w:spacing w:after="0" w:line="240" w:lineRule="auto"/>
              <w:jc w:val="both"/>
              <w:rPr>
                <w:rFonts w:ascii="Times New Roman" w:hAnsi="Times New Roman"/>
                <w:color w:val="000000"/>
                <w:sz w:val="21"/>
              </w:rPr>
            </w:pPr>
            <w:r>
              <w:rPr>
                <w:rFonts w:hint="eastAsia" w:ascii="Times New Roman" w:hAnsi="Times New Roman"/>
                <w:color w:val="000000"/>
                <w:sz w:val="21"/>
              </w:rPr>
              <w:t>《公司章程》</w:t>
            </w:r>
          </w:p>
        </w:tc>
        <w:tc>
          <w:tcPr>
            <w:tcW w:w="579" w:type="dxa"/>
            <w:vAlign w:val="center"/>
          </w:tcPr>
          <w:p>
            <w:pPr>
              <w:spacing w:after="0" w:line="240" w:lineRule="auto"/>
              <w:jc w:val="center"/>
              <w:rPr>
                <w:rFonts w:ascii="Times New Roman" w:hAnsi="Times New Roman"/>
                <w:color w:val="000000"/>
                <w:sz w:val="21"/>
              </w:rPr>
            </w:pPr>
            <w:r>
              <w:rPr>
                <w:rFonts w:hint="eastAsia" w:ascii="Times New Roman" w:hAnsi="Times New Roman"/>
                <w:color w:val="000000"/>
                <w:sz w:val="21"/>
              </w:rPr>
              <w:t>指</w:t>
            </w:r>
          </w:p>
        </w:tc>
        <w:tc>
          <w:tcPr>
            <w:tcW w:w="5364" w:type="dxa"/>
            <w:vAlign w:val="center"/>
          </w:tcPr>
          <w:p>
            <w:pPr>
              <w:spacing w:after="0" w:line="240" w:lineRule="auto"/>
              <w:jc w:val="both"/>
              <w:rPr>
                <w:rFonts w:ascii="Times New Roman" w:hAnsi="Times New Roman"/>
                <w:color w:val="000000"/>
                <w:sz w:val="21"/>
              </w:rPr>
            </w:pPr>
            <w:r>
              <w:rPr>
                <w:rFonts w:hint="eastAsia" w:ascii="Times New Roman" w:hAnsi="Times New Roman"/>
                <w:color w:val="000000"/>
                <w:sz w:val="21"/>
              </w:rPr>
              <w:t>《重庆望变电气（集团）股份有限公司章程》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 w:hRule="atLeast"/>
        </w:trPr>
        <w:tc>
          <w:tcPr>
            <w:tcW w:w="2457" w:type="dxa"/>
            <w:vAlign w:val="center"/>
          </w:tcPr>
          <w:p>
            <w:pPr>
              <w:spacing w:after="0" w:line="240" w:lineRule="auto"/>
              <w:jc w:val="both"/>
              <w:rPr>
                <w:rFonts w:ascii="Times New Roman" w:hAnsi="Times New Roman"/>
                <w:color w:val="000000"/>
                <w:sz w:val="21"/>
              </w:rPr>
            </w:pPr>
            <w:r>
              <w:rPr>
                <w:rFonts w:hint="eastAsia" w:ascii="Times New Roman" w:hAnsi="Times New Roman"/>
                <w:color w:val="000000"/>
                <w:sz w:val="21"/>
              </w:rPr>
              <w:t>中国证监会、证监会</w:t>
            </w:r>
          </w:p>
        </w:tc>
        <w:tc>
          <w:tcPr>
            <w:tcW w:w="579" w:type="dxa"/>
            <w:vAlign w:val="center"/>
          </w:tcPr>
          <w:p>
            <w:pPr>
              <w:spacing w:after="0" w:line="240" w:lineRule="auto"/>
              <w:jc w:val="center"/>
              <w:rPr>
                <w:rFonts w:ascii="Times New Roman" w:hAnsi="Times New Roman"/>
                <w:color w:val="000000"/>
                <w:sz w:val="21"/>
              </w:rPr>
            </w:pPr>
            <w:r>
              <w:rPr>
                <w:rFonts w:hint="eastAsia" w:ascii="Times New Roman" w:hAnsi="Times New Roman"/>
                <w:color w:val="000000"/>
                <w:sz w:val="21"/>
              </w:rPr>
              <w:t>指</w:t>
            </w:r>
          </w:p>
        </w:tc>
        <w:tc>
          <w:tcPr>
            <w:tcW w:w="5364" w:type="dxa"/>
            <w:vAlign w:val="center"/>
          </w:tcPr>
          <w:p>
            <w:pPr>
              <w:spacing w:after="0" w:line="240" w:lineRule="auto"/>
              <w:jc w:val="both"/>
              <w:rPr>
                <w:rFonts w:ascii="Times New Roman" w:hAnsi="Times New Roman"/>
                <w:color w:val="000000"/>
                <w:sz w:val="21"/>
              </w:rPr>
            </w:pPr>
            <w:r>
              <w:rPr>
                <w:rFonts w:hint="eastAsia" w:ascii="Times New Roman" w:hAnsi="Times New Roman"/>
                <w:color w:val="000000"/>
                <w:sz w:val="21"/>
              </w:rPr>
              <w:t>中国证券监督管理委员会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 w:hRule="atLeast"/>
        </w:trPr>
        <w:tc>
          <w:tcPr>
            <w:tcW w:w="2457" w:type="dxa"/>
            <w:vAlign w:val="center"/>
          </w:tcPr>
          <w:p>
            <w:pPr>
              <w:spacing w:after="0" w:line="240" w:lineRule="auto"/>
              <w:jc w:val="both"/>
              <w:rPr>
                <w:rFonts w:ascii="Times New Roman" w:hAnsi="Times New Roman"/>
                <w:color w:val="000000"/>
                <w:sz w:val="21"/>
              </w:rPr>
            </w:pPr>
            <w:r>
              <w:rPr>
                <w:rFonts w:hint="eastAsia" w:ascii="Times New Roman" w:hAnsi="Times New Roman"/>
                <w:color w:val="000000"/>
                <w:sz w:val="21"/>
              </w:rPr>
              <w:t>交易所</w:t>
            </w:r>
          </w:p>
        </w:tc>
        <w:tc>
          <w:tcPr>
            <w:tcW w:w="579" w:type="dxa"/>
            <w:vAlign w:val="center"/>
          </w:tcPr>
          <w:p>
            <w:pPr>
              <w:spacing w:after="0" w:line="240" w:lineRule="auto"/>
              <w:jc w:val="center"/>
              <w:rPr>
                <w:rFonts w:ascii="Times New Roman" w:hAnsi="Times New Roman"/>
                <w:color w:val="000000"/>
                <w:sz w:val="21"/>
              </w:rPr>
            </w:pPr>
            <w:r>
              <w:rPr>
                <w:rFonts w:hint="eastAsia" w:ascii="Times New Roman" w:hAnsi="Times New Roman"/>
                <w:color w:val="000000"/>
                <w:sz w:val="21"/>
              </w:rPr>
              <w:t>指</w:t>
            </w:r>
          </w:p>
        </w:tc>
        <w:tc>
          <w:tcPr>
            <w:tcW w:w="5364" w:type="dxa"/>
            <w:vAlign w:val="center"/>
          </w:tcPr>
          <w:p>
            <w:pPr>
              <w:spacing w:after="0" w:line="240" w:lineRule="auto"/>
              <w:jc w:val="both"/>
              <w:rPr>
                <w:rFonts w:ascii="Times New Roman" w:hAnsi="Times New Roman"/>
                <w:color w:val="000000"/>
                <w:sz w:val="21"/>
              </w:rPr>
            </w:pPr>
            <w:r>
              <w:rPr>
                <w:rFonts w:hint="eastAsia" w:ascii="Times New Roman" w:hAnsi="Times New Roman"/>
                <w:color w:val="000000"/>
                <w:sz w:val="21"/>
              </w:rPr>
              <w:t>上海证券交易所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 w:hRule="atLeast"/>
        </w:trPr>
        <w:tc>
          <w:tcPr>
            <w:tcW w:w="2457" w:type="dxa"/>
            <w:vAlign w:val="center"/>
          </w:tcPr>
          <w:p>
            <w:pPr>
              <w:spacing w:after="0" w:line="240" w:lineRule="auto"/>
              <w:jc w:val="both"/>
              <w:rPr>
                <w:rFonts w:ascii="Times New Roman" w:hAnsi="Times New Roman"/>
                <w:color w:val="000000"/>
                <w:sz w:val="21"/>
              </w:rPr>
            </w:pPr>
            <w:r>
              <w:rPr>
                <w:rFonts w:hint="eastAsia" w:ascii="Times New Roman" w:hAnsi="Times New Roman"/>
                <w:color w:val="000000"/>
                <w:sz w:val="21"/>
              </w:rPr>
              <w:t>元、万元</w:t>
            </w:r>
          </w:p>
        </w:tc>
        <w:tc>
          <w:tcPr>
            <w:tcW w:w="579" w:type="dxa"/>
            <w:vAlign w:val="center"/>
          </w:tcPr>
          <w:p>
            <w:pPr>
              <w:spacing w:after="0" w:line="240" w:lineRule="auto"/>
              <w:jc w:val="center"/>
              <w:rPr>
                <w:rFonts w:ascii="Times New Roman" w:hAnsi="Times New Roman"/>
                <w:color w:val="000000"/>
                <w:sz w:val="21"/>
              </w:rPr>
            </w:pPr>
            <w:r>
              <w:rPr>
                <w:rFonts w:hint="eastAsia" w:ascii="Times New Roman" w:hAnsi="Times New Roman"/>
                <w:color w:val="000000"/>
                <w:sz w:val="21"/>
              </w:rPr>
              <w:t>指</w:t>
            </w:r>
          </w:p>
        </w:tc>
        <w:tc>
          <w:tcPr>
            <w:tcW w:w="5364" w:type="dxa"/>
            <w:vAlign w:val="center"/>
          </w:tcPr>
          <w:p>
            <w:pPr>
              <w:spacing w:after="0" w:line="240" w:lineRule="auto"/>
              <w:jc w:val="both"/>
              <w:rPr>
                <w:rFonts w:ascii="Times New Roman" w:hAnsi="Times New Roman"/>
                <w:color w:val="000000"/>
                <w:sz w:val="21"/>
              </w:rPr>
            </w:pPr>
            <w:r>
              <w:rPr>
                <w:rFonts w:hint="eastAsia" w:ascii="Times New Roman" w:hAnsi="Times New Roman"/>
                <w:color w:val="000000"/>
                <w:sz w:val="21"/>
              </w:rPr>
              <w:t>人民币元、人民币万元</w:t>
            </w:r>
          </w:p>
        </w:tc>
      </w:tr>
    </w:tbl>
    <w:p>
      <w:pPr>
        <w:rPr>
          <w:rFonts w:ascii="黑体" w:hAnsi="黑体"/>
          <w:b/>
          <w:color w:val="000000"/>
          <w:kern w:val="2"/>
          <w:sz w:val="28"/>
        </w:rPr>
      </w:pPr>
      <w:r>
        <w:rPr>
          <w:rFonts w:ascii="黑体" w:hAnsi="黑体"/>
          <w:b/>
          <w:color w:val="000000"/>
          <w:kern w:val="2"/>
          <w:sz w:val="28"/>
        </w:rPr>
        <w:br w:type="page"/>
      </w:r>
    </w:p>
    <w:p>
      <w:pPr>
        <w:keepNext/>
        <w:keepLines/>
        <w:spacing w:before="156" w:beforeLines="50" w:after="0" w:line="360" w:lineRule="auto"/>
        <w:jc w:val="both"/>
        <w:outlineLvl w:val="1"/>
        <w:rPr>
          <w:rFonts w:ascii="黑体" w:hAnsi="黑体"/>
          <w:b/>
          <w:color w:val="000000"/>
          <w:kern w:val="2"/>
          <w:sz w:val="28"/>
        </w:rPr>
      </w:pPr>
      <w:bookmarkStart w:id="8" w:name="_Toc112782114"/>
      <w:r>
        <w:rPr>
          <w:rFonts w:hint="eastAsia" w:ascii="黑体" w:hAnsi="黑体"/>
          <w:b/>
          <w:color w:val="000000"/>
          <w:kern w:val="2"/>
          <w:sz w:val="28"/>
        </w:rPr>
        <w:t>二、本激励计划的目的与原则</w:t>
      </w:r>
      <w:bookmarkEnd w:id="8"/>
    </w:p>
    <w:p>
      <w:pPr>
        <w:spacing w:before="156" w:beforeLines="50" w:after="0" w:line="360" w:lineRule="auto"/>
        <w:ind w:firstLine="480" w:firstLineChars="200"/>
        <w:jc w:val="both"/>
        <w:rPr>
          <w:rFonts w:ascii="Times New Roman" w:hAnsi="Times New Roman"/>
          <w:color w:val="000000"/>
          <w:sz w:val="24"/>
        </w:rPr>
      </w:pPr>
      <w:r>
        <w:rPr>
          <w:rFonts w:hint="eastAsia" w:ascii="Times New Roman" w:hAnsi="Times New Roman"/>
          <w:color w:val="000000"/>
          <w:sz w:val="24"/>
        </w:rPr>
        <w:t>为进一步完善公司法人治理结构，建立、健全公司长效激励约束机制，吸引和留住优秀人才，充分调动公司核心团队的积极性，有效地将股东、公司和核心团队三方的利益结合在一起，使各方共同关注公司的长远发展，确保公司发展战略和经营目标的实现，在充分保障股东利益的前提下，按照收益与贡献对等的原则，公司根据《公司法》《证券法》《上市公司股权激励管理办法》等有关法律、法规和规范性文件以及《公司章程》的规定，制订本激励计划。</w:t>
      </w:r>
    </w:p>
    <w:p>
      <w:pPr>
        <w:keepNext/>
        <w:keepLines/>
        <w:spacing w:before="156" w:beforeLines="50" w:after="0" w:line="360" w:lineRule="auto"/>
        <w:jc w:val="both"/>
        <w:outlineLvl w:val="1"/>
        <w:rPr>
          <w:rFonts w:ascii="黑体" w:hAnsi="黑体"/>
          <w:b/>
          <w:color w:val="000000"/>
          <w:kern w:val="2"/>
          <w:sz w:val="28"/>
        </w:rPr>
      </w:pPr>
      <w:bookmarkStart w:id="9" w:name="_Toc112782115"/>
      <w:r>
        <w:rPr>
          <w:rFonts w:hint="eastAsia" w:ascii="黑体" w:hAnsi="黑体"/>
          <w:b/>
          <w:color w:val="000000"/>
          <w:kern w:val="2"/>
          <w:sz w:val="28"/>
        </w:rPr>
        <w:t>三、本激励计划的管理机构</w:t>
      </w:r>
      <w:bookmarkEnd w:id="9"/>
    </w:p>
    <w:p>
      <w:pPr>
        <w:spacing w:before="156" w:beforeLines="50" w:after="0" w:line="360" w:lineRule="auto"/>
        <w:ind w:firstLine="480" w:firstLineChars="200"/>
        <w:jc w:val="both"/>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（一）股东大会作为公司的最高权力机构，负责审议批准本计划的实施、变更和终止。股东大会可以在其权限范围内将与本计划相关的部分事宜授权董事会办理。</w:t>
      </w:r>
    </w:p>
    <w:p>
      <w:pPr>
        <w:spacing w:before="156" w:beforeLines="50" w:after="0" w:line="360" w:lineRule="auto"/>
        <w:ind w:firstLine="480" w:firstLineChars="200"/>
        <w:jc w:val="both"/>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二）董事会是本计划的执行管理机构，负责本计划的实施。董事会下设薪酬与考核委员会（以下简称“薪酬委员会”），负责拟订和修订本计划并报董事会审议，董事会对激励计划审议通过后，报股东大会审议。董事会可以在股东大会授权范围内办理本激励计划的其他相关事宜。</w:t>
      </w:r>
    </w:p>
    <w:p>
      <w:pPr>
        <w:spacing w:before="156" w:beforeLines="50" w:after="0" w:line="360" w:lineRule="auto"/>
        <w:ind w:firstLine="480" w:firstLineChars="200"/>
        <w:jc w:val="both"/>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三）监事会及独立董事是本计划的监督机构，应当就本计划是否有利于公司的持续发展，是否存在明显损害公司及全体股东利益的情形发表意见。监事会对本计划的实施是否符合相关法律、法规、规范性文件和证券交易所业务规则进行监督，并且负责审核激励对象名单。独立董事将就本计划向所有股东征集委托投票权。</w:t>
      </w:r>
    </w:p>
    <w:p>
      <w:pPr>
        <w:spacing w:before="156" w:beforeLines="50" w:after="0" w:line="360" w:lineRule="auto"/>
        <w:ind w:firstLine="480" w:firstLineChars="200"/>
        <w:jc w:val="both"/>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公司在股东大会审议通过激励计划之前对其进行变更的，独立董事、监事会应当就变更后的方案是否有利于公司的持续发展，是否存在明显损害公司及全体股东利益的情形发表独立意见。</w:t>
      </w:r>
    </w:p>
    <w:p>
      <w:pPr>
        <w:spacing w:before="156" w:beforeLines="50" w:after="0" w:line="360" w:lineRule="auto"/>
        <w:ind w:firstLine="480" w:firstLineChars="200"/>
        <w:jc w:val="both"/>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公司在向激励对象授出权益前，独立董事、监事会应当就股权激励计划设定的激励对象获授权益的条件发表明确意见。若公司向激励对象授出权益与本计划安排存在差异，独立董事、监事会（当激励对象发生变化时）应当同时发表明确意见。</w:t>
      </w:r>
    </w:p>
    <w:p>
      <w:pPr>
        <w:spacing w:before="156" w:beforeLines="50" w:after="0" w:line="360" w:lineRule="auto"/>
        <w:ind w:firstLine="480" w:firstLineChars="200"/>
        <w:jc w:val="both"/>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激励对象在行使权益前，独立董事、监事会应当就股权激励计划设定的激励对象行使权益的条件是否成就发表明确意见。</w:t>
      </w:r>
    </w:p>
    <w:p>
      <w:pPr>
        <w:keepNext/>
        <w:keepLines/>
        <w:spacing w:before="156" w:beforeLines="50" w:after="0" w:line="360" w:lineRule="auto"/>
        <w:jc w:val="both"/>
        <w:outlineLvl w:val="1"/>
        <w:rPr>
          <w:rFonts w:ascii="黑体" w:hAnsi="黑体"/>
          <w:color w:val="000000"/>
          <w:kern w:val="2"/>
        </w:rPr>
      </w:pPr>
      <w:bookmarkStart w:id="10" w:name="_Toc112782116"/>
      <w:r>
        <w:rPr>
          <w:rFonts w:hint="eastAsia" w:ascii="黑体" w:hAnsi="黑体"/>
          <w:b/>
          <w:color w:val="000000"/>
          <w:kern w:val="2"/>
          <w:sz w:val="28"/>
        </w:rPr>
        <w:t>四、激励对象的确定依据和范围</w:t>
      </w:r>
      <w:bookmarkEnd w:id="10"/>
    </w:p>
    <w:p>
      <w:pPr>
        <w:keepNext/>
        <w:keepLines/>
        <w:spacing w:before="156" w:beforeLines="50" w:after="0" w:line="360" w:lineRule="auto"/>
        <w:ind w:firstLine="482" w:firstLineChars="200"/>
        <w:jc w:val="both"/>
        <w:outlineLvl w:val="2"/>
        <w:rPr>
          <w:rFonts w:ascii="Times New Roman" w:hAnsi="Times New Roman"/>
          <w:b/>
          <w:color w:val="000000"/>
          <w:kern w:val="2"/>
          <w:sz w:val="24"/>
        </w:rPr>
      </w:pPr>
      <w:r>
        <w:rPr>
          <w:rFonts w:hint="eastAsia" w:ascii="Times New Roman" w:hAnsi="Times New Roman"/>
          <w:b/>
          <w:color w:val="000000"/>
          <w:kern w:val="2"/>
          <w:sz w:val="24"/>
        </w:rPr>
        <w:t>（一）激励对象的确定依据</w:t>
      </w:r>
    </w:p>
    <w:p>
      <w:pPr>
        <w:widowControl w:val="0"/>
        <w:spacing w:before="156" w:beforeLines="50" w:after="0" w:line="360" w:lineRule="auto"/>
        <w:ind w:firstLine="482" w:firstLineChars="200"/>
        <w:jc w:val="both"/>
        <w:rPr>
          <w:rFonts w:ascii="Times New Roman" w:hAnsi="Times New Roman"/>
          <w:b/>
          <w:color w:val="000000"/>
          <w:sz w:val="24"/>
        </w:rPr>
      </w:pPr>
      <w:r>
        <w:rPr>
          <w:rFonts w:ascii="Times New Roman" w:hAnsi="Times New Roman"/>
          <w:b/>
          <w:color w:val="000000"/>
          <w:sz w:val="24"/>
        </w:rPr>
        <w:t>1</w:t>
      </w:r>
      <w:r>
        <w:rPr>
          <w:rFonts w:hint="eastAsia" w:ascii="Times New Roman" w:hAnsi="Times New Roman"/>
          <w:b/>
          <w:color w:val="000000"/>
          <w:sz w:val="24"/>
        </w:rPr>
        <w:t>、激励对象确定的法律依据</w:t>
      </w:r>
    </w:p>
    <w:p>
      <w:pPr>
        <w:spacing w:before="156" w:beforeLines="50" w:after="0" w:line="360" w:lineRule="auto"/>
        <w:ind w:firstLine="480" w:firstLineChars="200"/>
        <w:jc w:val="both"/>
        <w:rPr>
          <w:rFonts w:ascii="Times New Roman" w:hAnsi="Times New Roman"/>
          <w:color w:val="000000"/>
          <w:sz w:val="24"/>
        </w:rPr>
      </w:pPr>
      <w:r>
        <w:rPr>
          <w:rFonts w:hint="eastAsia" w:ascii="Times New Roman" w:hAnsi="Times New Roman"/>
          <w:color w:val="000000"/>
          <w:sz w:val="24"/>
        </w:rPr>
        <w:t>本计划激励对象根据《公司法》《证券法》《股权激励管理办法》等有关法律及其他有关法律、法规、规范性文件和《公司章程》的相关规定，结合公司实际情况而确定。</w:t>
      </w:r>
    </w:p>
    <w:p>
      <w:pPr>
        <w:widowControl w:val="0"/>
        <w:spacing w:before="156" w:beforeLines="50" w:after="0" w:line="360" w:lineRule="auto"/>
        <w:ind w:firstLine="482" w:firstLineChars="200"/>
        <w:jc w:val="both"/>
        <w:rPr>
          <w:rFonts w:ascii="Times New Roman" w:hAnsi="Times New Roman"/>
          <w:b/>
          <w:color w:val="000000"/>
          <w:sz w:val="24"/>
        </w:rPr>
      </w:pPr>
      <w:r>
        <w:rPr>
          <w:rFonts w:ascii="Times New Roman" w:hAnsi="Times New Roman"/>
          <w:b/>
          <w:color w:val="000000"/>
          <w:sz w:val="24"/>
        </w:rPr>
        <w:t>2</w:t>
      </w:r>
      <w:r>
        <w:rPr>
          <w:rFonts w:hint="eastAsia" w:ascii="Times New Roman" w:hAnsi="Times New Roman"/>
          <w:b/>
          <w:color w:val="000000"/>
          <w:sz w:val="24"/>
        </w:rPr>
        <w:t>、激励对象确定的职务依据</w:t>
      </w:r>
    </w:p>
    <w:p>
      <w:pPr>
        <w:spacing w:before="156" w:beforeLines="50" w:after="0" w:line="360" w:lineRule="auto"/>
        <w:ind w:firstLine="480" w:firstLineChars="200"/>
        <w:jc w:val="both"/>
        <w:rPr>
          <w:rFonts w:ascii="Times New Roman" w:hAnsi="Times New Roman"/>
          <w:color w:val="000000"/>
          <w:sz w:val="24"/>
        </w:rPr>
      </w:pPr>
      <w:r>
        <w:rPr>
          <w:rFonts w:hint="eastAsia" w:ascii="Times New Roman" w:hAnsi="Times New Roman"/>
          <w:color w:val="000000"/>
          <w:sz w:val="24"/>
        </w:rPr>
        <w:t>本计划的激励对象为实施本计划时在任的公司董事、高级管理人员、核心技术人员及董事会认为需要激励的其他员工。本计划激励对象不包括公司监事、独立董事。</w:t>
      </w:r>
    </w:p>
    <w:p>
      <w:pPr>
        <w:keepNext/>
        <w:keepLines/>
        <w:spacing w:before="156" w:beforeLines="50" w:after="0" w:line="360" w:lineRule="auto"/>
        <w:ind w:firstLine="482" w:firstLineChars="200"/>
        <w:jc w:val="both"/>
        <w:outlineLvl w:val="2"/>
        <w:rPr>
          <w:rFonts w:ascii="Times New Roman" w:hAnsi="Times New Roman"/>
          <w:b/>
          <w:color w:val="000000"/>
          <w:kern w:val="2"/>
          <w:sz w:val="24"/>
        </w:rPr>
      </w:pPr>
      <w:r>
        <w:rPr>
          <w:rFonts w:hint="eastAsia" w:ascii="Times New Roman" w:hAnsi="Times New Roman"/>
          <w:b/>
          <w:color w:val="000000"/>
          <w:kern w:val="2"/>
          <w:sz w:val="24"/>
        </w:rPr>
        <w:t>（二）激励对象的范围</w:t>
      </w:r>
    </w:p>
    <w:p>
      <w:pPr>
        <w:widowControl w:val="0"/>
        <w:adjustRightInd w:val="0"/>
        <w:spacing w:before="156" w:beforeLines="50" w:after="0" w:line="360" w:lineRule="auto"/>
        <w:ind w:firstLine="480" w:firstLineChars="200"/>
        <w:jc w:val="both"/>
        <w:rPr>
          <w:rFonts w:ascii="Times New Roman" w:hAnsi="Times New Roman"/>
          <w:color w:val="000000"/>
          <w:kern w:val="2"/>
          <w:sz w:val="24"/>
        </w:rPr>
      </w:pPr>
      <w:r>
        <w:rPr>
          <w:rFonts w:hint="eastAsia" w:ascii="Times New Roman" w:hAnsi="Times New Roman"/>
          <w:color w:val="000000"/>
          <w:sz w:val="24"/>
        </w:rPr>
        <w:t>本计划首次授予的激励对象不超过</w:t>
      </w:r>
      <w:r>
        <w:rPr>
          <w:rFonts w:ascii="Times New Roman" w:hAnsi="Times New Roman" w:eastAsia="宋体" w:cs="Times New Roman"/>
          <w:color w:val="000000"/>
          <w:sz w:val="24"/>
          <w:szCs w:val="24"/>
        </w:rPr>
        <w:t>66</w:t>
      </w:r>
      <w:r>
        <w:rPr>
          <w:rFonts w:hint="eastAsia" w:ascii="Times New Roman" w:hAnsi="Times New Roman"/>
          <w:color w:val="000000"/>
          <w:kern w:val="2"/>
          <w:sz w:val="24"/>
        </w:rPr>
        <w:t>人</w:t>
      </w:r>
      <w:r>
        <w:rPr>
          <w:rFonts w:hint="eastAsia" w:ascii="Times New Roman" w:hAnsi="Times New Roman"/>
          <w:color w:val="000000"/>
          <w:sz w:val="24"/>
        </w:rPr>
        <w:t>，</w:t>
      </w:r>
      <w:r>
        <w:rPr>
          <w:rFonts w:hint="eastAsia" w:ascii="Times New Roman" w:hAnsi="Times New Roman"/>
          <w:color w:val="000000"/>
          <w:kern w:val="2"/>
          <w:sz w:val="24"/>
        </w:rPr>
        <w:t>占公司员工总人数（截至202</w:t>
      </w:r>
      <w:r>
        <w:rPr>
          <w:rFonts w:ascii="Times New Roman" w:hAnsi="Times New Roman"/>
          <w:color w:val="000000"/>
          <w:kern w:val="2"/>
          <w:sz w:val="24"/>
        </w:rPr>
        <w:t>3</w:t>
      </w:r>
      <w:r>
        <w:rPr>
          <w:rFonts w:hint="eastAsia" w:ascii="Times New Roman" w:hAnsi="Times New Roman"/>
          <w:color w:val="000000"/>
          <w:kern w:val="2"/>
          <w:sz w:val="24"/>
        </w:rPr>
        <w:t>年</w:t>
      </w:r>
      <w:r>
        <w:rPr>
          <w:rFonts w:ascii="Times New Roman" w:hAnsi="Times New Roman"/>
          <w:color w:val="000000"/>
          <w:kern w:val="2"/>
          <w:sz w:val="24"/>
        </w:rPr>
        <w:t>9</w:t>
      </w:r>
      <w:r>
        <w:rPr>
          <w:rFonts w:hint="eastAsia" w:ascii="Times New Roman" w:hAnsi="Times New Roman"/>
          <w:color w:val="000000"/>
          <w:kern w:val="2"/>
          <w:sz w:val="24"/>
        </w:rPr>
        <w:t>月3</w:t>
      </w:r>
      <w:r>
        <w:rPr>
          <w:rFonts w:ascii="Times New Roman" w:hAnsi="Times New Roman"/>
          <w:color w:val="000000"/>
          <w:kern w:val="2"/>
          <w:sz w:val="24"/>
        </w:rPr>
        <w:t>0</w:t>
      </w:r>
      <w:r>
        <w:rPr>
          <w:rFonts w:hint="eastAsia" w:ascii="Times New Roman" w:hAnsi="Times New Roman"/>
          <w:color w:val="000000"/>
          <w:kern w:val="2"/>
          <w:sz w:val="24"/>
        </w:rPr>
        <w:t>日公司员工总数为1</w:t>
      </w:r>
      <w:r>
        <w:rPr>
          <w:rFonts w:ascii="Times New Roman" w:hAnsi="Times New Roman"/>
          <w:color w:val="000000"/>
          <w:kern w:val="2"/>
          <w:sz w:val="24"/>
        </w:rPr>
        <w:t>,605</w:t>
      </w:r>
      <w:r>
        <w:rPr>
          <w:rFonts w:hint="eastAsia" w:ascii="Times New Roman" w:hAnsi="Times New Roman"/>
          <w:color w:val="000000"/>
          <w:kern w:val="2"/>
          <w:sz w:val="24"/>
        </w:rPr>
        <w:t>人）的</w:t>
      </w:r>
      <w:r>
        <w:rPr>
          <w:rFonts w:ascii="Times New Roman" w:hAnsi="Times New Roman" w:eastAsia="宋体" w:cs="Times New Roman"/>
          <w:color w:val="000000"/>
          <w:kern w:val="2"/>
          <w:sz w:val="24"/>
          <w:szCs w:val="24"/>
        </w:rPr>
        <w:t>4.11</w:t>
      </w:r>
      <w:r>
        <w:rPr>
          <w:rFonts w:ascii="Times New Roman" w:hAnsi="Times New Roman"/>
          <w:color w:val="000000"/>
          <w:kern w:val="2"/>
          <w:sz w:val="24"/>
        </w:rPr>
        <w:t>%</w:t>
      </w:r>
      <w:r>
        <w:rPr>
          <w:rFonts w:hint="eastAsia" w:ascii="Times New Roman" w:hAnsi="Times New Roman"/>
          <w:color w:val="000000"/>
          <w:kern w:val="2"/>
          <w:sz w:val="24"/>
        </w:rPr>
        <w:t>，包括董事、高级管理人员、核心技术人员及董事会认为需要激励的其他人员（不包括独立董事、监事）。所有激励对象必须在公司授予限制性股票时和本激励计划的规定的考核期内与公司或其子公司存在聘用或劳动关系。</w:t>
      </w:r>
    </w:p>
    <w:p>
      <w:pPr>
        <w:widowControl w:val="0"/>
        <w:adjustRightInd w:val="0"/>
        <w:spacing w:before="156" w:beforeLines="50" w:after="0" w:line="360" w:lineRule="auto"/>
        <w:ind w:firstLine="480" w:firstLineChars="200"/>
        <w:jc w:val="both"/>
        <w:rPr>
          <w:rFonts w:ascii="Times New Roman" w:hAnsi="Times New Roman"/>
          <w:color w:val="000000"/>
          <w:sz w:val="24"/>
        </w:rPr>
      </w:pPr>
      <w:r>
        <w:rPr>
          <w:rFonts w:hint="eastAsia" w:ascii="Times New Roman" w:hAnsi="Times New Roman"/>
          <w:color w:val="000000"/>
          <w:sz w:val="24"/>
        </w:rPr>
        <w:t>所有参与本计划的激励对象不能同时参加其他任何上市公司的股权激励计划，已经参与其他任何上市公司的激励计划的，不得参与本计划。</w:t>
      </w:r>
    </w:p>
    <w:p>
      <w:pPr>
        <w:keepNext/>
        <w:keepLines/>
        <w:spacing w:before="156" w:beforeLines="50" w:after="0" w:line="360" w:lineRule="auto"/>
        <w:ind w:firstLine="482" w:firstLineChars="200"/>
        <w:jc w:val="both"/>
        <w:outlineLvl w:val="2"/>
        <w:rPr>
          <w:rFonts w:ascii="Times New Roman" w:hAnsi="Times New Roman"/>
          <w:b/>
          <w:color w:val="000000"/>
          <w:kern w:val="2"/>
          <w:sz w:val="24"/>
        </w:rPr>
      </w:pPr>
      <w:r>
        <w:rPr>
          <w:rFonts w:hint="eastAsia" w:ascii="Times New Roman" w:hAnsi="Times New Roman"/>
          <w:b/>
          <w:color w:val="000000"/>
          <w:kern w:val="2"/>
          <w:sz w:val="24"/>
        </w:rPr>
        <w:t>（三）激励对象的核实</w:t>
      </w:r>
    </w:p>
    <w:p>
      <w:pPr>
        <w:spacing w:before="156" w:beforeLines="50" w:after="0" w:line="360" w:lineRule="auto"/>
        <w:ind w:firstLine="480" w:firstLineChars="20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w:t>
      </w:r>
      <w:r>
        <w:rPr>
          <w:rFonts w:hint="eastAsia" w:ascii="Times New Roman" w:hAnsi="Times New Roman" w:eastAsia="宋体" w:cs="Times New Roman"/>
          <w:color w:val="000000"/>
          <w:sz w:val="24"/>
          <w:szCs w:val="24"/>
        </w:rPr>
        <w:t>、在召开股东大会前，公司应在内部公示激励对象的名单，且公示期不少于</w:t>
      </w:r>
      <w:r>
        <w:rPr>
          <w:rFonts w:ascii="Times New Roman" w:hAnsi="Times New Roman" w:eastAsia="宋体" w:cs="Times New Roman"/>
          <w:color w:val="000000"/>
          <w:sz w:val="24"/>
          <w:szCs w:val="24"/>
        </w:rPr>
        <w:t>10</w:t>
      </w:r>
      <w:r>
        <w:rPr>
          <w:rFonts w:hint="eastAsia" w:ascii="Times New Roman" w:hAnsi="Times New Roman" w:eastAsia="宋体" w:cs="Times New Roman"/>
          <w:color w:val="000000"/>
          <w:sz w:val="24"/>
          <w:szCs w:val="24"/>
        </w:rPr>
        <w:t>天。</w:t>
      </w:r>
    </w:p>
    <w:p>
      <w:pPr>
        <w:spacing w:before="156" w:beforeLines="50" w:after="0" w:line="360" w:lineRule="auto"/>
        <w:ind w:firstLine="480" w:firstLineChars="200"/>
        <w:jc w:val="both"/>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2、公司监事会将对激励对象名单进行审核，充分听取公示意见，并在公司股东大会审议本激励计划前5日披露监事会对激励对象名单审核及公示情况的说明。经公司董事会调整的激励对象名单亦应经公司监事会核实。</w:t>
      </w:r>
    </w:p>
    <w:p>
      <w:pPr>
        <w:spacing w:before="156" w:beforeLines="50" w:after="0" w:line="360" w:lineRule="auto"/>
        <w:ind w:firstLine="480" w:firstLineChars="200"/>
        <w:jc w:val="both"/>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3、在股权激励计划实施过程中，激励对象如发生不符合《股权激励管理办法》及本激励计划规定的情况时，该激励对象不得被授予限制性股票，已获授但尚未解除限售的限制性股票不得解除限售，由公司回购注销。</w:t>
      </w:r>
    </w:p>
    <w:p>
      <w:pPr>
        <w:keepNext/>
        <w:keepLines/>
        <w:spacing w:before="156" w:beforeLines="50" w:after="0" w:line="360" w:lineRule="auto"/>
        <w:jc w:val="both"/>
        <w:outlineLvl w:val="1"/>
        <w:rPr>
          <w:rFonts w:ascii="黑体" w:hAnsi="黑体"/>
          <w:b/>
          <w:color w:val="000000"/>
          <w:kern w:val="2"/>
          <w:sz w:val="28"/>
        </w:rPr>
      </w:pPr>
      <w:bookmarkStart w:id="11" w:name="_Toc112782117"/>
      <w:r>
        <w:rPr>
          <w:rFonts w:hint="eastAsia" w:ascii="黑体" w:hAnsi="黑体"/>
          <w:b/>
          <w:color w:val="000000"/>
          <w:kern w:val="2"/>
          <w:sz w:val="28"/>
        </w:rPr>
        <w:t>五、本激励计划所涉及标的股票来源、数量和分配</w:t>
      </w:r>
      <w:bookmarkEnd w:id="11"/>
    </w:p>
    <w:p>
      <w:pPr>
        <w:keepNext/>
        <w:keepLines/>
        <w:spacing w:before="156" w:beforeLines="50" w:after="0" w:line="360" w:lineRule="auto"/>
        <w:ind w:firstLine="482" w:firstLineChars="200"/>
        <w:jc w:val="both"/>
        <w:outlineLvl w:val="2"/>
        <w:rPr>
          <w:rFonts w:ascii="Times New Roman" w:hAnsi="Times New Roman"/>
          <w:b/>
          <w:color w:val="000000"/>
          <w:kern w:val="2"/>
          <w:sz w:val="24"/>
        </w:rPr>
      </w:pPr>
      <w:r>
        <w:rPr>
          <w:rFonts w:hint="eastAsia" w:ascii="Times New Roman" w:hAnsi="Times New Roman"/>
          <w:b/>
          <w:color w:val="000000"/>
          <w:kern w:val="2"/>
          <w:sz w:val="24"/>
        </w:rPr>
        <w:t>（一）标的股票来源</w:t>
      </w:r>
    </w:p>
    <w:p>
      <w:pPr>
        <w:spacing w:before="156" w:beforeLines="50" w:after="0" w:line="360" w:lineRule="auto"/>
        <w:ind w:firstLine="480" w:firstLineChars="200"/>
        <w:jc w:val="both"/>
        <w:rPr>
          <w:rFonts w:ascii="Times New Roman" w:hAnsi="Times New Roman"/>
          <w:color w:val="000000"/>
          <w:sz w:val="24"/>
        </w:rPr>
      </w:pPr>
      <w:r>
        <w:rPr>
          <w:rFonts w:ascii="Times New Roman" w:hAnsi="Times New Roman"/>
          <w:color w:val="000000"/>
          <w:sz w:val="24"/>
        </w:rPr>
        <w:t>本计划采用限制性股票作为激励工具，标的股票</w:t>
      </w:r>
      <w:r>
        <w:rPr>
          <w:rFonts w:hint="eastAsia" w:ascii="Times New Roman" w:hAnsi="Times New Roman"/>
          <w:color w:val="000000"/>
          <w:sz w:val="24"/>
        </w:rPr>
        <w:t>来源为公司从二级市场回购的人民币A股普通股股票。</w:t>
      </w:r>
    </w:p>
    <w:p>
      <w:pPr>
        <w:keepNext/>
        <w:keepLines/>
        <w:spacing w:before="156" w:beforeLines="50" w:after="0" w:line="360" w:lineRule="auto"/>
        <w:ind w:firstLine="482" w:firstLineChars="200"/>
        <w:jc w:val="both"/>
        <w:outlineLvl w:val="2"/>
        <w:rPr>
          <w:rFonts w:ascii="Times New Roman" w:hAnsi="Times New Roman"/>
          <w:b/>
          <w:color w:val="000000"/>
          <w:kern w:val="2"/>
          <w:sz w:val="24"/>
        </w:rPr>
      </w:pPr>
      <w:r>
        <w:rPr>
          <w:rFonts w:hint="eastAsia" w:ascii="Times New Roman" w:hAnsi="Times New Roman"/>
          <w:b/>
          <w:color w:val="000000"/>
          <w:kern w:val="2"/>
          <w:sz w:val="24"/>
        </w:rPr>
        <w:t>（二）标的股票的数量</w:t>
      </w:r>
    </w:p>
    <w:p>
      <w:pPr>
        <w:widowControl w:val="0"/>
        <w:adjustRightInd w:val="0"/>
        <w:spacing w:before="156" w:beforeLines="50" w:after="0" w:line="360" w:lineRule="auto"/>
        <w:ind w:firstLine="480" w:firstLineChars="200"/>
        <w:jc w:val="both"/>
        <w:rPr>
          <w:rFonts w:ascii="Times New Roman" w:hAnsi="Times New Roman"/>
          <w:color w:val="000000"/>
          <w:kern w:val="2"/>
          <w:sz w:val="24"/>
        </w:rPr>
      </w:pPr>
      <w:r>
        <w:rPr>
          <w:rFonts w:hint="eastAsia" w:ascii="Times New Roman" w:hAnsi="Times New Roman"/>
          <w:color w:val="000000"/>
          <w:kern w:val="2"/>
          <w:sz w:val="24"/>
        </w:rPr>
        <w:t>本激励计划拟向激励对象授予不超过3</w:t>
      </w:r>
      <w:r>
        <w:rPr>
          <w:rFonts w:ascii="Times New Roman" w:hAnsi="Times New Roman"/>
          <w:color w:val="000000"/>
          <w:kern w:val="2"/>
          <w:sz w:val="24"/>
        </w:rPr>
        <w:t>20</w:t>
      </w:r>
      <w:r>
        <w:rPr>
          <w:rFonts w:hint="eastAsia" w:ascii="Times New Roman" w:hAnsi="Times New Roman"/>
          <w:color w:val="000000"/>
          <w:kern w:val="2"/>
          <w:sz w:val="24"/>
        </w:rPr>
        <w:t>万股限制性股票，占本激励计划提交股东大会审议前公司股本总额</w:t>
      </w:r>
      <w:r>
        <w:rPr>
          <w:rFonts w:ascii="Times New Roman" w:hAnsi="Times New Roman"/>
          <w:color w:val="000000"/>
          <w:kern w:val="2"/>
          <w:sz w:val="24"/>
        </w:rPr>
        <w:t>33</w:t>
      </w:r>
      <w:r>
        <w:rPr>
          <w:rFonts w:hint="eastAsia" w:ascii="Times New Roman" w:hAnsi="Times New Roman"/>
          <w:color w:val="000000"/>
          <w:kern w:val="2"/>
          <w:sz w:val="24"/>
        </w:rPr>
        <w:t>,3</w:t>
      </w:r>
      <w:r>
        <w:rPr>
          <w:rFonts w:ascii="Times New Roman" w:hAnsi="Times New Roman"/>
          <w:color w:val="000000"/>
          <w:kern w:val="2"/>
          <w:sz w:val="24"/>
        </w:rPr>
        <w:t>16</w:t>
      </w:r>
      <w:r>
        <w:rPr>
          <w:rFonts w:hint="eastAsia" w:ascii="Times New Roman" w:hAnsi="Times New Roman"/>
          <w:color w:val="000000"/>
          <w:kern w:val="2"/>
          <w:sz w:val="24"/>
        </w:rPr>
        <w:t>.</w:t>
      </w:r>
      <w:r>
        <w:rPr>
          <w:rFonts w:ascii="Times New Roman" w:hAnsi="Times New Roman"/>
          <w:color w:val="000000"/>
          <w:kern w:val="2"/>
          <w:sz w:val="24"/>
        </w:rPr>
        <w:t>74</w:t>
      </w:r>
      <w:r>
        <w:rPr>
          <w:rFonts w:hint="eastAsia" w:ascii="Times New Roman" w:hAnsi="Times New Roman"/>
          <w:color w:val="000000"/>
          <w:kern w:val="2"/>
          <w:sz w:val="24"/>
        </w:rPr>
        <w:t>万股的0</w:t>
      </w:r>
      <w:r>
        <w:rPr>
          <w:rFonts w:ascii="Times New Roman" w:hAnsi="Times New Roman"/>
          <w:color w:val="000000"/>
          <w:kern w:val="2"/>
          <w:sz w:val="24"/>
        </w:rPr>
        <w:t>.96</w:t>
      </w:r>
      <w:r>
        <w:rPr>
          <w:rFonts w:hint="eastAsia" w:ascii="Times New Roman" w:hAnsi="Times New Roman"/>
          <w:color w:val="000000"/>
          <w:kern w:val="2"/>
          <w:sz w:val="24"/>
        </w:rPr>
        <w:t>%。其中首次授予不超过2</w:t>
      </w:r>
      <w:r>
        <w:rPr>
          <w:rFonts w:ascii="Times New Roman" w:hAnsi="Times New Roman"/>
          <w:color w:val="000000"/>
          <w:kern w:val="2"/>
          <w:sz w:val="24"/>
        </w:rPr>
        <w:t>60</w:t>
      </w:r>
      <w:r>
        <w:rPr>
          <w:rFonts w:hint="eastAsia" w:ascii="Times New Roman" w:hAnsi="Times New Roman"/>
          <w:color w:val="000000"/>
          <w:kern w:val="2"/>
          <w:sz w:val="24"/>
        </w:rPr>
        <w:t>万股，占授予总量的</w:t>
      </w:r>
      <w:r>
        <w:rPr>
          <w:rFonts w:ascii="Times New Roman" w:hAnsi="Times New Roman"/>
          <w:color w:val="000000"/>
          <w:kern w:val="2"/>
          <w:sz w:val="24"/>
        </w:rPr>
        <w:t>81.25</w:t>
      </w:r>
      <w:r>
        <w:rPr>
          <w:rFonts w:hint="eastAsia" w:ascii="Times New Roman" w:hAnsi="Times New Roman"/>
          <w:color w:val="000000"/>
          <w:kern w:val="2"/>
          <w:sz w:val="24"/>
        </w:rPr>
        <w:t>%，占本激励计划提交股东大会审议前公司股本总额的0</w:t>
      </w:r>
      <w:r>
        <w:rPr>
          <w:rFonts w:ascii="Times New Roman" w:hAnsi="Times New Roman"/>
          <w:color w:val="000000"/>
          <w:kern w:val="2"/>
          <w:sz w:val="24"/>
        </w:rPr>
        <w:t>.78</w:t>
      </w:r>
      <w:r>
        <w:rPr>
          <w:rFonts w:hint="eastAsia" w:ascii="Times New Roman" w:hAnsi="Times New Roman"/>
          <w:color w:val="000000"/>
          <w:kern w:val="2"/>
          <w:sz w:val="24"/>
        </w:rPr>
        <w:t>%，预留授予不超过6</w:t>
      </w:r>
      <w:r>
        <w:rPr>
          <w:rFonts w:ascii="Times New Roman" w:hAnsi="Times New Roman"/>
          <w:color w:val="000000"/>
          <w:kern w:val="2"/>
          <w:sz w:val="24"/>
        </w:rPr>
        <w:t>0</w:t>
      </w:r>
      <w:r>
        <w:rPr>
          <w:rFonts w:hint="eastAsia" w:ascii="Times New Roman" w:hAnsi="Times New Roman"/>
          <w:color w:val="000000"/>
          <w:kern w:val="2"/>
          <w:sz w:val="24"/>
        </w:rPr>
        <w:t>万股，占授予总量的1</w:t>
      </w:r>
      <w:r>
        <w:rPr>
          <w:rFonts w:ascii="Times New Roman" w:hAnsi="Times New Roman"/>
          <w:color w:val="000000"/>
          <w:kern w:val="2"/>
          <w:sz w:val="24"/>
        </w:rPr>
        <w:t>8.75</w:t>
      </w:r>
      <w:r>
        <w:rPr>
          <w:rFonts w:hint="eastAsia" w:ascii="Times New Roman" w:hAnsi="Times New Roman"/>
          <w:color w:val="000000"/>
          <w:kern w:val="2"/>
          <w:sz w:val="24"/>
        </w:rPr>
        <w:t>%，预留部分占本激励计划提交股东大会审议前公司股本总额的0</w:t>
      </w:r>
      <w:r>
        <w:rPr>
          <w:rFonts w:ascii="Times New Roman" w:hAnsi="Times New Roman"/>
          <w:color w:val="000000"/>
          <w:kern w:val="2"/>
          <w:sz w:val="24"/>
        </w:rPr>
        <w:t>.18</w:t>
      </w:r>
      <w:r>
        <w:rPr>
          <w:rFonts w:hint="eastAsia" w:ascii="Times New Roman" w:hAnsi="Times New Roman"/>
          <w:color w:val="000000"/>
          <w:kern w:val="2"/>
          <w:sz w:val="24"/>
        </w:rPr>
        <w:t>%</w:t>
      </w:r>
      <w:r>
        <w:rPr>
          <w:rFonts w:ascii="Times New Roman" w:hAnsi="Times New Roman"/>
          <w:color w:val="000000"/>
          <w:kern w:val="2"/>
          <w:sz w:val="24"/>
        </w:rPr>
        <w:t>。</w:t>
      </w:r>
    </w:p>
    <w:p>
      <w:pPr>
        <w:keepNext/>
        <w:keepLines/>
        <w:spacing w:before="156" w:beforeLines="50" w:after="0" w:line="360" w:lineRule="auto"/>
        <w:ind w:firstLine="482" w:firstLineChars="200"/>
        <w:jc w:val="both"/>
        <w:outlineLvl w:val="2"/>
        <w:rPr>
          <w:rFonts w:ascii="Times New Roman" w:hAnsi="Times New Roman"/>
          <w:b/>
          <w:color w:val="000000"/>
          <w:kern w:val="2"/>
          <w:sz w:val="24"/>
        </w:rPr>
      </w:pPr>
      <w:r>
        <w:rPr>
          <w:rFonts w:hint="eastAsia" w:ascii="Times New Roman" w:hAnsi="Times New Roman"/>
          <w:b/>
          <w:color w:val="000000"/>
          <w:kern w:val="2"/>
          <w:sz w:val="24"/>
        </w:rPr>
        <w:t>（三）激励对象获授的限制性股票分配情况</w:t>
      </w:r>
    </w:p>
    <w:p>
      <w:pPr>
        <w:spacing w:before="156" w:beforeLines="50" w:after="0" w:line="360" w:lineRule="auto"/>
        <w:ind w:firstLine="480" w:firstLineChars="200"/>
        <w:jc w:val="both"/>
        <w:rPr>
          <w:rFonts w:ascii="Times New Roman" w:hAnsi="Times New Roman"/>
          <w:color w:val="000000"/>
          <w:sz w:val="24"/>
        </w:rPr>
      </w:pPr>
      <w:r>
        <w:rPr>
          <w:rFonts w:hint="eastAsia" w:ascii="Times New Roman" w:hAnsi="Times New Roman"/>
          <w:color w:val="000000"/>
          <w:sz w:val="24"/>
        </w:rPr>
        <w:t>本计划授予的限制性股票在各激励对象间的分配情况如下表所示：</w:t>
      </w:r>
    </w:p>
    <w:tbl>
      <w:tblPr>
        <w:tblStyle w:val="22"/>
        <w:tblW w:w="506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1228"/>
        <w:gridCol w:w="817"/>
        <w:gridCol w:w="1795"/>
        <w:gridCol w:w="1425"/>
        <w:gridCol w:w="1524"/>
        <w:gridCol w:w="16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tblHeader/>
          <w:jc w:val="center"/>
        </w:trPr>
        <w:tc>
          <w:tcPr>
            <w:tcW w:w="728" w:type="pct"/>
            <w:shd w:val="clear" w:color="auto" w:fill="BFBFBF"/>
            <w:tcMar>
              <w:top w:w="0" w:type="dxa"/>
              <w:left w:w="0" w:type="dxa"/>
              <w:bottom w:w="0" w:type="dxa"/>
              <w:right w:w="0" w:type="dxa"/>
            </w:tcMar>
            <w:vAlign w:val="center"/>
          </w:tcPr>
          <w:p>
            <w:pPr>
              <w:widowControl w:val="0"/>
              <w:adjustRightInd w:val="0"/>
              <w:snapToGrid w:val="0"/>
              <w:spacing w:after="0" w:line="240" w:lineRule="auto"/>
              <w:jc w:val="center"/>
              <w:rPr>
                <w:rFonts w:ascii="Times New Roman" w:hAnsi="Times New Roman"/>
                <w:b/>
                <w:color w:val="000000"/>
                <w:kern w:val="2"/>
                <w:sz w:val="21"/>
              </w:rPr>
            </w:pPr>
            <w:r>
              <w:rPr>
                <w:rFonts w:ascii="Times New Roman" w:hAnsi="Times New Roman"/>
                <w:b/>
                <w:color w:val="000000"/>
                <w:kern w:val="2"/>
                <w:sz w:val="21"/>
              </w:rPr>
              <w:t>姓名</w:t>
            </w:r>
          </w:p>
        </w:tc>
        <w:tc>
          <w:tcPr>
            <w:tcW w:w="484" w:type="pct"/>
            <w:shd w:val="clear" w:color="auto" w:fill="BFBFBF"/>
            <w:tcMar>
              <w:top w:w="0" w:type="dxa"/>
              <w:left w:w="0" w:type="dxa"/>
              <w:bottom w:w="0" w:type="dxa"/>
              <w:right w:w="0" w:type="dxa"/>
            </w:tcMar>
            <w:vAlign w:val="center"/>
          </w:tcPr>
          <w:p>
            <w:pPr>
              <w:widowControl w:val="0"/>
              <w:adjustRightInd w:val="0"/>
              <w:snapToGrid w:val="0"/>
              <w:spacing w:after="0" w:line="240" w:lineRule="auto"/>
              <w:jc w:val="center"/>
              <w:rPr>
                <w:rFonts w:ascii="Times New Roman" w:hAnsi="Times New Roman"/>
                <w:b/>
                <w:color w:val="000000"/>
                <w:kern w:val="2"/>
                <w:sz w:val="21"/>
              </w:rPr>
            </w:pPr>
            <w:r>
              <w:rPr>
                <w:rFonts w:ascii="Times New Roman" w:hAnsi="Times New Roman"/>
                <w:b/>
                <w:color w:val="000000"/>
                <w:kern w:val="2"/>
                <w:sz w:val="21"/>
              </w:rPr>
              <w:t>国籍</w:t>
            </w:r>
          </w:p>
        </w:tc>
        <w:tc>
          <w:tcPr>
            <w:tcW w:w="1064" w:type="pct"/>
            <w:shd w:val="clear" w:color="auto" w:fill="BFBFBF"/>
            <w:tcMar>
              <w:top w:w="0" w:type="dxa"/>
              <w:left w:w="0" w:type="dxa"/>
              <w:bottom w:w="0" w:type="dxa"/>
              <w:right w:w="0" w:type="dxa"/>
            </w:tcMar>
            <w:vAlign w:val="center"/>
          </w:tcPr>
          <w:p>
            <w:pPr>
              <w:widowControl w:val="0"/>
              <w:adjustRightInd w:val="0"/>
              <w:snapToGrid w:val="0"/>
              <w:spacing w:after="0" w:line="240" w:lineRule="auto"/>
              <w:jc w:val="center"/>
              <w:rPr>
                <w:rFonts w:ascii="Times New Roman" w:hAnsi="Times New Roman"/>
                <w:b/>
                <w:color w:val="000000"/>
                <w:kern w:val="2"/>
                <w:sz w:val="21"/>
              </w:rPr>
            </w:pPr>
            <w:r>
              <w:rPr>
                <w:rFonts w:ascii="Times New Roman" w:hAnsi="Times New Roman"/>
                <w:b/>
                <w:color w:val="000000"/>
                <w:kern w:val="2"/>
                <w:sz w:val="21"/>
              </w:rPr>
              <w:t>职务</w:t>
            </w:r>
          </w:p>
        </w:tc>
        <w:tc>
          <w:tcPr>
            <w:tcW w:w="845" w:type="pct"/>
            <w:shd w:val="clear" w:color="auto" w:fill="BFBFBF"/>
            <w:tcMar>
              <w:top w:w="0" w:type="dxa"/>
              <w:left w:w="0" w:type="dxa"/>
              <w:bottom w:w="0" w:type="dxa"/>
              <w:right w:w="0" w:type="dxa"/>
            </w:tcMar>
            <w:vAlign w:val="center"/>
          </w:tcPr>
          <w:p>
            <w:pPr>
              <w:widowControl w:val="0"/>
              <w:adjustRightInd w:val="0"/>
              <w:snapToGrid w:val="0"/>
              <w:spacing w:after="0" w:line="240" w:lineRule="auto"/>
              <w:jc w:val="center"/>
              <w:rPr>
                <w:rFonts w:ascii="Times New Roman" w:hAnsi="Times New Roman"/>
                <w:b/>
                <w:color w:val="000000"/>
                <w:kern w:val="2"/>
                <w:sz w:val="21"/>
              </w:rPr>
            </w:pPr>
            <w:r>
              <w:rPr>
                <w:rFonts w:ascii="Times New Roman" w:hAnsi="Times New Roman"/>
                <w:b/>
                <w:color w:val="000000"/>
                <w:kern w:val="2"/>
                <w:sz w:val="21"/>
              </w:rPr>
              <w:t>获授的限制性股票数量（万股）</w:t>
            </w:r>
          </w:p>
        </w:tc>
        <w:tc>
          <w:tcPr>
            <w:tcW w:w="903" w:type="pct"/>
            <w:shd w:val="clear" w:color="auto" w:fill="BFBFBF"/>
            <w:tcMar>
              <w:top w:w="0" w:type="dxa"/>
              <w:left w:w="0" w:type="dxa"/>
              <w:bottom w:w="0" w:type="dxa"/>
              <w:right w:w="0" w:type="dxa"/>
            </w:tcMar>
            <w:vAlign w:val="center"/>
          </w:tcPr>
          <w:p>
            <w:pPr>
              <w:widowControl w:val="0"/>
              <w:adjustRightInd w:val="0"/>
              <w:snapToGrid w:val="0"/>
              <w:spacing w:after="0" w:line="240" w:lineRule="auto"/>
              <w:jc w:val="center"/>
              <w:rPr>
                <w:rFonts w:ascii="Times New Roman" w:hAnsi="Times New Roman"/>
                <w:b/>
                <w:color w:val="000000"/>
                <w:kern w:val="2"/>
                <w:sz w:val="21"/>
              </w:rPr>
            </w:pPr>
            <w:r>
              <w:rPr>
                <w:rFonts w:ascii="Times New Roman" w:hAnsi="Times New Roman"/>
                <w:b/>
                <w:color w:val="000000"/>
                <w:kern w:val="2"/>
                <w:sz w:val="21"/>
              </w:rPr>
              <w:t>占授予限制性股票总数的比例</w:t>
            </w:r>
          </w:p>
        </w:tc>
        <w:tc>
          <w:tcPr>
            <w:tcW w:w="976" w:type="pct"/>
            <w:shd w:val="clear" w:color="auto" w:fill="BFBFBF"/>
            <w:tcMar>
              <w:top w:w="0" w:type="dxa"/>
              <w:left w:w="0" w:type="dxa"/>
              <w:bottom w:w="0" w:type="dxa"/>
              <w:right w:w="0" w:type="dxa"/>
            </w:tcMar>
            <w:vAlign w:val="center"/>
          </w:tcPr>
          <w:p>
            <w:pPr>
              <w:widowControl w:val="0"/>
              <w:adjustRightInd w:val="0"/>
              <w:snapToGrid w:val="0"/>
              <w:spacing w:after="0" w:line="240" w:lineRule="auto"/>
              <w:jc w:val="center"/>
              <w:rPr>
                <w:rFonts w:ascii="Times New Roman" w:hAnsi="Times New Roman"/>
                <w:b/>
                <w:color w:val="000000"/>
                <w:kern w:val="2"/>
                <w:sz w:val="21"/>
              </w:rPr>
            </w:pPr>
            <w:r>
              <w:rPr>
                <w:rFonts w:ascii="Times New Roman" w:hAnsi="Times New Roman"/>
                <w:b/>
                <w:color w:val="000000"/>
                <w:kern w:val="2"/>
                <w:sz w:val="21"/>
              </w:rPr>
              <w:t>占本激励计划公告时股本总额的比例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5000" w:type="pct"/>
            <w:gridSpan w:val="6"/>
            <w:shd w:val="clear" w:color="auto" w:fill="FFFFFF"/>
            <w:tcMar>
              <w:top w:w="0" w:type="dxa"/>
              <w:left w:w="0" w:type="dxa"/>
              <w:bottom w:w="0" w:type="dxa"/>
              <w:right w:w="0" w:type="dxa"/>
            </w:tcMar>
            <w:vAlign w:val="center"/>
          </w:tcPr>
          <w:p>
            <w:pPr>
              <w:widowControl w:val="0"/>
              <w:adjustRightInd w:val="0"/>
              <w:snapToGrid w:val="0"/>
              <w:spacing w:after="0" w:line="240" w:lineRule="auto"/>
              <w:rPr>
                <w:rFonts w:ascii="Times New Roman" w:hAnsi="Times New Roman"/>
                <w:b/>
                <w:color w:val="000000"/>
                <w:sz w:val="21"/>
              </w:rPr>
            </w:pPr>
            <w:r>
              <w:rPr>
                <w:rFonts w:ascii="Times New Roman" w:hAnsi="Times New Roman"/>
                <w:b/>
                <w:color w:val="000000"/>
                <w:kern w:val="2"/>
                <w:sz w:val="21"/>
              </w:rPr>
              <w:t>一、董事、高级管理人员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8"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center"/>
              <w:rPr>
                <w:rFonts w:ascii="宋体" w:hAnsi="宋体"/>
                <w:color w:val="000000"/>
                <w:kern w:val="2"/>
                <w:sz w:val="21"/>
              </w:rPr>
            </w:pPr>
            <w:r>
              <w:rPr>
                <w:rFonts w:hint="eastAsia" w:ascii="宋体" w:hAnsi="宋体" w:eastAsia="宋体" w:cs="Times New Roman"/>
                <w:color w:val="000000"/>
                <w:kern w:val="2"/>
                <w:sz w:val="21"/>
                <w:szCs w:val="21"/>
              </w:rPr>
              <w:t>杨林</w:t>
            </w:r>
          </w:p>
        </w:tc>
        <w:tc>
          <w:tcPr>
            <w:tcW w:w="484"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center"/>
              <w:rPr>
                <w:rFonts w:ascii="Times New Roman" w:hAnsi="Times New Roman"/>
                <w:color w:val="000000"/>
                <w:kern w:val="2"/>
                <w:sz w:val="21"/>
              </w:rPr>
            </w:pPr>
            <w:r>
              <w:rPr>
                <w:rFonts w:hint="eastAsia" w:ascii="Times New Roman" w:hAnsi="Times New Roman"/>
                <w:color w:val="000000"/>
                <w:kern w:val="2"/>
                <w:sz w:val="21"/>
              </w:rPr>
              <w:t>中国</w:t>
            </w:r>
          </w:p>
        </w:tc>
        <w:tc>
          <w:tcPr>
            <w:tcW w:w="1064"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center"/>
              <w:rPr>
                <w:rFonts w:ascii="Times New Roman" w:hAnsi="Times New Roman"/>
                <w:color w:val="000000"/>
                <w:kern w:val="2"/>
                <w:sz w:val="21"/>
              </w:rPr>
            </w:pPr>
            <w:r>
              <w:rPr>
                <w:rFonts w:hint="eastAsia" w:ascii="宋体" w:hAnsi="宋体" w:eastAsia="宋体" w:cs="Times New Roman"/>
                <w:color w:val="000000"/>
                <w:kern w:val="2"/>
                <w:sz w:val="21"/>
                <w:szCs w:val="21"/>
              </w:rPr>
              <w:t>董事、副总经理</w:t>
            </w:r>
          </w:p>
        </w:tc>
        <w:tc>
          <w:tcPr>
            <w:tcW w:w="845"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color w:val="000000"/>
                <w:kern w:val="2"/>
                <w:sz w:val="21"/>
              </w:rPr>
            </w:pPr>
            <w:r>
              <w:rPr>
                <w:rFonts w:ascii="Times New Roman" w:hAnsi="Times New Roman" w:eastAsia="等线" w:cs="Times New Roman"/>
                <w:color w:val="000000"/>
                <w:sz w:val="21"/>
                <w:szCs w:val="21"/>
              </w:rPr>
              <w:t>22</w:t>
            </w:r>
            <w:r>
              <w:rPr>
                <w:rFonts w:ascii="Times New Roman" w:hAnsi="Times New Roman"/>
                <w:color w:val="000000"/>
                <w:sz w:val="21"/>
              </w:rPr>
              <w:t>.00</w:t>
            </w:r>
          </w:p>
        </w:tc>
        <w:tc>
          <w:tcPr>
            <w:tcW w:w="903"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color w:val="000000"/>
                <w:sz w:val="21"/>
              </w:rPr>
            </w:pPr>
            <w:r>
              <w:rPr>
                <w:rFonts w:ascii="Times New Roman" w:hAnsi="Times New Roman" w:eastAsia="等线" w:cs="Times New Roman"/>
                <w:color w:val="000000"/>
                <w:sz w:val="21"/>
                <w:szCs w:val="21"/>
              </w:rPr>
              <w:t>6.88</w:t>
            </w:r>
            <w:r>
              <w:rPr>
                <w:rFonts w:ascii="Times New Roman" w:hAnsi="Times New Roman"/>
                <w:color w:val="000000"/>
                <w:sz w:val="21"/>
              </w:rPr>
              <w:t>%</w:t>
            </w:r>
          </w:p>
        </w:tc>
        <w:tc>
          <w:tcPr>
            <w:tcW w:w="976"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color w:val="000000"/>
                <w:sz w:val="21"/>
              </w:rPr>
            </w:pPr>
            <w:r>
              <w:rPr>
                <w:rFonts w:ascii="Times New Roman" w:hAnsi="Times New Roman"/>
                <w:color w:val="000000"/>
                <w:sz w:val="21"/>
              </w:rPr>
              <w:t>0.</w:t>
            </w:r>
            <w:r>
              <w:rPr>
                <w:rFonts w:ascii="Times New Roman" w:hAnsi="Times New Roman" w:eastAsia="等线" w:cs="Times New Roman"/>
                <w:color w:val="000000"/>
                <w:sz w:val="21"/>
                <w:szCs w:val="21"/>
              </w:rPr>
              <w:t>07</w:t>
            </w:r>
            <w:r>
              <w:rPr>
                <w:rFonts w:ascii="Times New Roman" w:hAnsi="Times New Roman"/>
                <w:color w:val="000000"/>
                <w:sz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8"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center"/>
              <w:rPr>
                <w:rFonts w:ascii="宋体" w:hAnsi="宋体"/>
                <w:color w:val="000000"/>
                <w:kern w:val="2"/>
                <w:sz w:val="21"/>
              </w:rPr>
            </w:pPr>
            <w:r>
              <w:rPr>
                <w:rFonts w:hint="eastAsia" w:ascii="宋体" w:hAnsi="宋体" w:eastAsia="宋体" w:cs="Times New Roman"/>
                <w:color w:val="000000"/>
                <w:kern w:val="2"/>
                <w:sz w:val="21"/>
                <w:szCs w:val="21"/>
              </w:rPr>
              <w:t>胡守天</w:t>
            </w:r>
          </w:p>
        </w:tc>
        <w:tc>
          <w:tcPr>
            <w:tcW w:w="484"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center"/>
              <w:rPr>
                <w:rFonts w:ascii="Times New Roman" w:hAnsi="Times New Roman"/>
                <w:color w:val="000000"/>
                <w:kern w:val="2"/>
                <w:sz w:val="21"/>
              </w:rPr>
            </w:pPr>
            <w:r>
              <w:rPr>
                <w:rFonts w:hint="eastAsia" w:ascii="Times New Roman" w:hAnsi="Times New Roman"/>
                <w:color w:val="000000"/>
                <w:kern w:val="2"/>
                <w:sz w:val="21"/>
              </w:rPr>
              <w:t>中国</w:t>
            </w:r>
          </w:p>
        </w:tc>
        <w:tc>
          <w:tcPr>
            <w:tcW w:w="1064"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center"/>
              <w:rPr>
                <w:rFonts w:ascii="Times New Roman" w:hAnsi="Times New Roman"/>
                <w:color w:val="000000"/>
                <w:kern w:val="2"/>
                <w:sz w:val="21"/>
              </w:rPr>
            </w:pPr>
            <w:r>
              <w:rPr>
                <w:rFonts w:hint="eastAsia" w:ascii="宋体" w:hAnsi="宋体" w:eastAsia="宋体" w:cs="Times New Roman"/>
                <w:color w:val="000000"/>
                <w:kern w:val="2"/>
                <w:sz w:val="21"/>
                <w:szCs w:val="21"/>
              </w:rPr>
              <w:t>董事、副总经理</w:t>
            </w:r>
          </w:p>
        </w:tc>
        <w:tc>
          <w:tcPr>
            <w:tcW w:w="845"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color w:val="000000"/>
                <w:kern w:val="2"/>
                <w:sz w:val="21"/>
              </w:rPr>
            </w:pPr>
            <w:r>
              <w:rPr>
                <w:rFonts w:ascii="Times New Roman" w:hAnsi="Times New Roman" w:eastAsia="等线" w:cs="Times New Roman"/>
                <w:color w:val="000000"/>
                <w:sz w:val="21"/>
                <w:szCs w:val="21"/>
              </w:rPr>
              <w:t>9</w:t>
            </w:r>
            <w:r>
              <w:rPr>
                <w:rFonts w:ascii="Times New Roman" w:hAnsi="Times New Roman"/>
                <w:color w:val="000000"/>
                <w:sz w:val="21"/>
              </w:rPr>
              <w:t>.00</w:t>
            </w:r>
          </w:p>
        </w:tc>
        <w:tc>
          <w:tcPr>
            <w:tcW w:w="903"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color w:val="000000"/>
                <w:sz w:val="21"/>
              </w:rPr>
            </w:pPr>
            <w:r>
              <w:rPr>
                <w:rFonts w:ascii="Times New Roman" w:hAnsi="Times New Roman" w:eastAsia="等线" w:cs="Times New Roman"/>
                <w:color w:val="000000"/>
                <w:sz w:val="21"/>
                <w:szCs w:val="21"/>
              </w:rPr>
              <w:t>2.81</w:t>
            </w:r>
            <w:r>
              <w:rPr>
                <w:rFonts w:ascii="Times New Roman" w:hAnsi="Times New Roman"/>
                <w:color w:val="000000"/>
                <w:sz w:val="21"/>
              </w:rPr>
              <w:t>%</w:t>
            </w:r>
          </w:p>
        </w:tc>
        <w:tc>
          <w:tcPr>
            <w:tcW w:w="976"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color w:val="000000"/>
                <w:sz w:val="21"/>
              </w:rPr>
            </w:pPr>
            <w:r>
              <w:rPr>
                <w:rFonts w:ascii="Times New Roman" w:hAnsi="Times New Roman"/>
                <w:color w:val="000000"/>
                <w:sz w:val="21"/>
              </w:rPr>
              <w:t>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728"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center"/>
              <w:rPr>
                <w:rFonts w:ascii="宋体" w:hAnsi="宋体"/>
                <w:color w:val="000000"/>
                <w:kern w:val="2"/>
                <w:sz w:val="21"/>
              </w:rPr>
            </w:pPr>
            <w:r>
              <w:rPr>
                <w:rFonts w:hint="eastAsia" w:ascii="宋体" w:hAnsi="宋体" w:eastAsia="宋体" w:cs="Times New Roman"/>
                <w:color w:val="000000"/>
                <w:kern w:val="2"/>
                <w:sz w:val="21"/>
                <w:szCs w:val="21"/>
              </w:rPr>
              <w:t>王海波</w:t>
            </w:r>
          </w:p>
        </w:tc>
        <w:tc>
          <w:tcPr>
            <w:tcW w:w="484"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center"/>
              <w:rPr>
                <w:rFonts w:ascii="Times New Roman" w:hAnsi="Times New Roman"/>
                <w:color w:val="000000"/>
                <w:kern w:val="2"/>
                <w:sz w:val="21"/>
              </w:rPr>
            </w:pPr>
            <w:r>
              <w:rPr>
                <w:rFonts w:hint="eastAsia" w:ascii="Times New Roman" w:hAnsi="Times New Roman"/>
                <w:color w:val="000000"/>
                <w:kern w:val="2"/>
                <w:sz w:val="21"/>
              </w:rPr>
              <w:t>中国</w:t>
            </w:r>
          </w:p>
        </w:tc>
        <w:tc>
          <w:tcPr>
            <w:tcW w:w="1064"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center"/>
              <w:rPr>
                <w:rFonts w:ascii="Times New Roman" w:hAnsi="Times New Roman"/>
                <w:color w:val="000000"/>
                <w:kern w:val="2"/>
                <w:sz w:val="21"/>
              </w:rPr>
            </w:pPr>
            <w:r>
              <w:rPr>
                <w:rFonts w:hint="eastAsia" w:ascii="宋体" w:hAnsi="宋体" w:eastAsia="宋体" w:cs="Times New Roman"/>
                <w:color w:val="000000"/>
                <w:kern w:val="2"/>
                <w:sz w:val="21"/>
                <w:szCs w:val="21"/>
              </w:rPr>
              <w:t>董事、副总经理</w:t>
            </w:r>
          </w:p>
        </w:tc>
        <w:tc>
          <w:tcPr>
            <w:tcW w:w="845"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color w:val="000000"/>
                <w:kern w:val="2"/>
                <w:sz w:val="21"/>
              </w:rPr>
            </w:pPr>
            <w:r>
              <w:rPr>
                <w:rFonts w:ascii="Times New Roman" w:hAnsi="Times New Roman" w:eastAsia="等线" w:cs="Times New Roman"/>
                <w:color w:val="000000"/>
                <w:sz w:val="21"/>
                <w:szCs w:val="21"/>
              </w:rPr>
              <w:t>9</w:t>
            </w:r>
            <w:r>
              <w:rPr>
                <w:rFonts w:ascii="Times New Roman" w:hAnsi="Times New Roman"/>
                <w:color w:val="000000"/>
                <w:sz w:val="21"/>
              </w:rPr>
              <w:t>.00</w:t>
            </w:r>
          </w:p>
        </w:tc>
        <w:tc>
          <w:tcPr>
            <w:tcW w:w="903"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color w:val="000000"/>
                <w:sz w:val="21"/>
              </w:rPr>
            </w:pPr>
            <w:r>
              <w:rPr>
                <w:rFonts w:ascii="Times New Roman" w:hAnsi="Times New Roman" w:eastAsia="等线" w:cs="Times New Roman"/>
                <w:color w:val="000000"/>
                <w:sz w:val="21"/>
                <w:szCs w:val="21"/>
              </w:rPr>
              <w:t>2.81</w:t>
            </w:r>
            <w:r>
              <w:rPr>
                <w:rFonts w:ascii="Times New Roman" w:hAnsi="Times New Roman"/>
                <w:color w:val="000000"/>
                <w:sz w:val="21"/>
              </w:rPr>
              <w:t>%</w:t>
            </w:r>
          </w:p>
        </w:tc>
        <w:tc>
          <w:tcPr>
            <w:tcW w:w="976"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color w:val="000000"/>
                <w:sz w:val="21"/>
              </w:rPr>
            </w:pPr>
            <w:r>
              <w:rPr>
                <w:rFonts w:ascii="Times New Roman" w:hAnsi="Times New Roman"/>
                <w:color w:val="000000"/>
                <w:sz w:val="21"/>
              </w:rPr>
              <w:t>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8"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center"/>
              <w:rPr>
                <w:rFonts w:ascii="宋体" w:hAnsi="宋体"/>
                <w:color w:val="000000"/>
                <w:kern w:val="2"/>
                <w:sz w:val="21"/>
              </w:rPr>
            </w:pPr>
            <w:r>
              <w:rPr>
                <w:rFonts w:hint="eastAsia" w:ascii="宋体" w:hAnsi="宋体" w:eastAsia="宋体" w:cs="Times New Roman"/>
                <w:color w:val="000000"/>
                <w:kern w:val="2"/>
                <w:sz w:val="21"/>
                <w:szCs w:val="21"/>
              </w:rPr>
              <w:t>付康</w:t>
            </w:r>
          </w:p>
        </w:tc>
        <w:tc>
          <w:tcPr>
            <w:tcW w:w="484"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center"/>
              <w:rPr>
                <w:rFonts w:ascii="Times New Roman" w:hAnsi="Times New Roman"/>
                <w:color w:val="000000"/>
                <w:kern w:val="2"/>
                <w:sz w:val="21"/>
              </w:rPr>
            </w:pPr>
            <w:r>
              <w:rPr>
                <w:rFonts w:hint="eastAsia" w:ascii="Times New Roman" w:hAnsi="Times New Roman"/>
                <w:color w:val="000000"/>
                <w:kern w:val="2"/>
                <w:sz w:val="21"/>
              </w:rPr>
              <w:t>中国</w:t>
            </w:r>
          </w:p>
        </w:tc>
        <w:tc>
          <w:tcPr>
            <w:tcW w:w="1064"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center"/>
              <w:rPr>
                <w:rFonts w:ascii="Times New Roman" w:hAnsi="Times New Roman"/>
                <w:color w:val="000000"/>
                <w:kern w:val="2"/>
                <w:sz w:val="21"/>
              </w:rPr>
            </w:pPr>
            <w:r>
              <w:rPr>
                <w:rFonts w:hint="eastAsia" w:ascii="宋体" w:hAnsi="宋体" w:eastAsia="宋体" w:cs="Times New Roman"/>
                <w:color w:val="000000"/>
                <w:kern w:val="2"/>
                <w:sz w:val="21"/>
                <w:szCs w:val="21"/>
              </w:rPr>
              <w:t>董事</w:t>
            </w:r>
          </w:p>
        </w:tc>
        <w:tc>
          <w:tcPr>
            <w:tcW w:w="845"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color w:val="000000"/>
                <w:kern w:val="2"/>
                <w:sz w:val="21"/>
              </w:rPr>
            </w:pPr>
            <w:r>
              <w:rPr>
                <w:rFonts w:ascii="Times New Roman" w:hAnsi="Times New Roman" w:eastAsia="等线" w:cs="Times New Roman"/>
                <w:color w:val="000000"/>
                <w:sz w:val="21"/>
                <w:szCs w:val="21"/>
              </w:rPr>
              <w:t>9</w:t>
            </w:r>
            <w:r>
              <w:rPr>
                <w:rFonts w:ascii="Times New Roman" w:hAnsi="Times New Roman"/>
                <w:color w:val="000000"/>
                <w:sz w:val="21"/>
              </w:rPr>
              <w:t>.00</w:t>
            </w:r>
          </w:p>
        </w:tc>
        <w:tc>
          <w:tcPr>
            <w:tcW w:w="903"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color w:val="000000"/>
                <w:sz w:val="21"/>
              </w:rPr>
            </w:pPr>
            <w:r>
              <w:rPr>
                <w:rFonts w:ascii="Times New Roman" w:hAnsi="Times New Roman" w:eastAsia="等线" w:cs="Times New Roman"/>
                <w:color w:val="000000"/>
                <w:sz w:val="21"/>
                <w:szCs w:val="21"/>
              </w:rPr>
              <w:t>2.81</w:t>
            </w:r>
            <w:r>
              <w:rPr>
                <w:rFonts w:ascii="Times New Roman" w:hAnsi="Times New Roman"/>
                <w:color w:val="000000"/>
                <w:sz w:val="21"/>
              </w:rPr>
              <w:t>%</w:t>
            </w:r>
          </w:p>
        </w:tc>
        <w:tc>
          <w:tcPr>
            <w:tcW w:w="976"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color w:val="000000"/>
                <w:sz w:val="21"/>
              </w:rPr>
            </w:pPr>
            <w:r>
              <w:rPr>
                <w:rFonts w:ascii="Times New Roman" w:hAnsi="Times New Roman"/>
                <w:color w:val="000000"/>
                <w:sz w:val="21"/>
              </w:rPr>
              <w:t>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8"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center"/>
              <w:rPr>
                <w:rFonts w:ascii="宋体" w:hAnsi="宋体"/>
                <w:color w:val="000000"/>
                <w:kern w:val="2"/>
                <w:sz w:val="21"/>
              </w:rPr>
            </w:pPr>
            <w:r>
              <w:rPr>
                <w:rFonts w:hint="eastAsia" w:ascii="宋体" w:hAnsi="宋体" w:eastAsia="宋体" w:cs="Times New Roman"/>
                <w:color w:val="000000"/>
                <w:kern w:val="2"/>
                <w:sz w:val="21"/>
                <w:szCs w:val="21"/>
              </w:rPr>
              <w:t>李代萍</w:t>
            </w:r>
          </w:p>
        </w:tc>
        <w:tc>
          <w:tcPr>
            <w:tcW w:w="484"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center"/>
              <w:rPr>
                <w:rFonts w:ascii="Times New Roman" w:hAnsi="Times New Roman"/>
                <w:color w:val="000000"/>
                <w:kern w:val="2"/>
                <w:sz w:val="21"/>
              </w:rPr>
            </w:pPr>
            <w:r>
              <w:rPr>
                <w:rFonts w:hint="eastAsia" w:ascii="Times New Roman" w:hAnsi="Times New Roman"/>
                <w:color w:val="000000"/>
                <w:kern w:val="2"/>
                <w:sz w:val="21"/>
              </w:rPr>
              <w:t>中国</w:t>
            </w:r>
          </w:p>
        </w:tc>
        <w:tc>
          <w:tcPr>
            <w:tcW w:w="1064"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center"/>
              <w:rPr>
                <w:rFonts w:ascii="Times New Roman" w:hAnsi="Times New Roman"/>
                <w:color w:val="000000"/>
                <w:kern w:val="2"/>
                <w:sz w:val="21"/>
              </w:rPr>
            </w:pPr>
            <w:r>
              <w:rPr>
                <w:rFonts w:hint="eastAsia" w:ascii="宋体" w:hAnsi="宋体" w:eastAsia="宋体" w:cs="Times New Roman"/>
                <w:color w:val="000000"/>
                <w:kern w:val="2"/>
                <w:sz w:val="21"/>
                <w:szCs w:val="21"/>
              </w:rPr>
              <w:t>副总经理、董事会秘书</w:t>
            </w:r>
          </w:p>
        </w:tc>
        <w:tc>
          <w:tcPr>
            <w:tcW w:w="845"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color w:val="000000"/>
                <w:kern w:val="2"/>
                <w:sz w:val="21"/>
              </w:rPr>
            </w:pPr>
            <w:r>
              <w:rPr>
                <w:rFonts w:ascii="Times New Roman" w:hAnsi="Times New Roman" w:eastAsia="等线" w:cs="Times New Roman"/>
                <w:color w:val="000000"/>
                <w:sz w:val="21"/>
                <w:szCs w:val="21"/>
              </w:rPr>
              <w:t>9</w:t>
            </w:r>
            <w:r>
              <w:rPr>
                <w:rFonts w:ascii="Times New Roman" w:hAnsi="Times New Roman"/>
                <w:color w:val="000000"/>
                <w:sz w:val="21"/>
              </w:rPr>
              <w:t>.00</w:t>
            </w:r>
          </w:p>
        </w:tc>
        <w:tc>
          <w:tcPr>
            <w:tcW w:w="903"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color w:val="000000"/>
                <w:sz w:val="21"/>
              </w:rPr>
            </w:pPr>
            <w:r>
              <w:rPr>
                <w:rFonts w:ascii="Times New Roman" w:hAnsi="Times New Roman" w:eastAsia="等线" w:cs="Times New Roman"/>
                <w:color w:val="000000"/>
                <w:sz w:val="21"/>
                <w:szCs w:val="21"/>
              </w:rPr>
              <w:t>2.81</w:t>
            </w:r>
            <w:r>
              <w:rPr>
                <w:rFonts w:ascii="Times New Roman" w:hAnsi="Times New Roman"/>
                <w:color w:val="000000"/>
                <w:sz w:val="21"/>
              </w:rPr>
              <w:t>%</w:t>
            </w:r>
          </w:p>
        </w:tc>
        <w:tc>
          <w:tcPr>
            <w:tcW w:w="976"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color w:val="000000"/>
                <w:sz w:val="21"/>
              </w:rPr>
            </w:pPr>
            <w:r>
              <w:rPr>
                <w:rFonts w:ascii="Times New Roman" w:hAnsi="Times New Roman"/>
                <w:color w:val="000000"/>
                <w:sz w:val="21"/>
              </w:rPr>
              <w:t>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728"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center"/>
              <w:rPr>
                <w:rFonts w:ascii="宋体" w:hAnsi="宋体"/>
                <w:color w:val="000000"/>
                <w:kern w:val="2"/>
                <w:sz w:val="21"/>
              </w:rPr>
            </w:pPr>
            <w:r>
              <w:rPr>
                <w:rFonts w:hint="eastAsia" w:ascii="宋体" w:hAnsi="宋体" w:eastAsia="宋体" w:cs="Times New Roman"/>
                <w:color w:val="000000"/>
                <w:kern w:val="2"/>
                <w:sz w:val="21"/>
                <w:szCs w:val="21"/>
              </w:rPr>
              <w:t>刘柏林</w:t>
            </w:r>
          </w:p>
        </w:tc>
        <w:tc>
          <w:tcPr>
            <w:tcW w:w="484"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center"/>
              <w:rPr>
                <w:rFonts w:ascii="Times New Roman" w:hAnsi="Times New Roman"/>
                <w:color w:val="000000"/>
                <w:kern w:val="2"/>
                <w:sz w:val="21"/>
              </w:rPr>
            </w:pPr>
            <w:r>
              <w:rPr>
                <w:rFonts w:hint="eastAsia" w:ascii="Times New Roman" w:hAnsi="Times New Roman"/>
                <w:color w:val="000000"/>
                <w:kern w:val="2"/>
                <w:sz w:val="21"/>
              </w:rPr>
              <w:t>中国</w:t>
            </w:r>
          </w:p>
        </w:tc>
        <w:tc>
          <w:tcPr>
            <w:tcW w:w="1064"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center"/>
              <w:rPr>
                <w:rFonts w:ascii="Times New Roman" w:hAnsi="Times New Roman"/>
                <w:color w:val="000000"/>
                <w:kern w:val="2"/>
                <w:sz w:val="21"/>
              </w:rPr>
            </w:pPr>
            <w:r>
              <w:rPr>
                <w:rFonts w:hint="eastAsia" w:ascii="宋体" w:hAnsi="宋体" w:eastAsia="宋体" w:cs="Times New Roman"/>
                <w:color w:val="000000"/>
                <w:kern w:val="2"/>
                <w:sz w:val="21"/>
                <w:szCs w:val="21"/>
              </w:rPr>
              <w:t>副总经理</w:t>
            </w:r>
          </w:p>
        </w:tc>
        <w:tc>
          <w:tcPr>
            <w:tcW w:w="845"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color w:val="000000"/>
                <w:kern w:val="2"/>
                <w:sz w:val="21"/>
              </w:rPr>
            </w:pPr>
            <w:r>
              <w:rPr>
                <w:rFonts w:ascii="Times New Roman" w:hAnsi="Times New Roman" w:eastAsia="等线" w:cs="Times New Roman"/>
                <w:color w:val="000000"/>
                <w:sz w:val="21"/>
                <w:szCs w:val="21"/>
              </w:rPr>
              <w:t>19</w:t>
            </w:r>
            <w:r>
              <w:rPr>
                <w:rFonts w:ascii="Times New Roman" w:hAnsi="Times New Roman"/>
                <w:color w:val="000000"/>
                <w:sz w:val="21"/>
              </w:rPr>
              <w:t>.00</w:t>
            </w:r>
          </w:p>
        </w:tc>
        <w:tc>
          <w:tcPr>
            <w:tcW w:w="903"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color w:val="000000"/>
                <w:sz w:val="21"/>
              </w:rPr>
            </w:pPr>
            <w:r>
              <w:rPr>
                <w:rFonts w:ascii="Times New Roman" w:hAnsi="Times New Roman" w:eastAsia="等线" w:cs="Times New Roman"/>
                <w:color w:val="000000"/>
                <w:sz w:val="21"/>
                <w:szCs w:val="21"/>
              </w:rPr>
              <w:t>5.94</w:t>
            </w:r>
            <w:r>
              <w:rPr>
                <w:rFonts w:ascii="Times New Roman" w:hAnsi="Times New Roman"/>
                <w:color w:val="000000"/>
                <w:sz w:val="21"/>
              </w:rPr>
              <w:t>%</w:t>
            </w:r>
          </w:p>
        </w:tc>
        <w:tc>
          <w:tcPr>
            <w:tcW w:w="976"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color w:val="000000"/>
                <w:sz w:val="21"/>
              </w:rPr>
            </w:pPr>
            <w:r>
              <w:rPr>
                <w:rFonts w:ascii="Times New Roman" w:hAnsi="Times New Roman"/>
                <w:color w:val="000000"/>
                <w:sz w:val="21"/>
              </w:rPr>
              <w:t>0.</w:t>
            </w:r>
            <w:r>
              <w:rPr>
                <w:rFonts w:ascii="Times New Roman" w:hAnsi="Times New Roman" w:eastAsia="等线" w:cs="Times New Roman"/>
                <w:color w:val="000000"/>
                <w:sz w:val="21"/>
                <w:szCs w:val="21"/>
              </w:rPr>
              <w:t>06</w:t>
            </w:r>
            <w:r>
              <w:rPr>
                <w:rFonts w:ascii="Times New Roman" w:hAnsi="Times New Roman"/>
                <w:color w:val="000000"/>
                <w:sz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8"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center"/>
              <w:rPr>
                <w:rFonts w:ascii="宋体" w:hAnsi="宋体"/>
                <w:color w:val="000000"/>
                <w:kern w:val="2"/>
                <w:sz w:val="21"/>
              </w:rPr>
            </w:pPr>
            <w:r>
              <w:rPr>
                <w:rFonts w:hint="eastAsia" w:ascii="宋体" w:hAnsi="宋体" w:eastAsia="宋体" w:cs="Times New Roman"/>
                <w:color w:val="000000"/>
                <w:kern w:val="2"/>
                <w:sz w:val="21"/>
                <w:szCs w:val="21"/>
              </w:rPr>
              <w:t>肖永号</w:t>
            </w:r>
          </w:p>
        </w:tc>
        <w:tc>
          <w:tcPr>
            <w:tcW w:w="484"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center"/>
              <w:rPr>
                <w:rFonts w:ascii="Times New Roman" w:hAnsi="Times New Roman"/>
                <w:color w:val="000000"/>
                <w:kern w:val="2"/>
                <w:sz w:val="21"/>
              </w:rPr>
            </w:pPr>
            <w:r>
              <w:rPr>
                <w:rFonts w:hint="eastAsia" w:ascii="Times New Roman" w:hAnsi="Times New Roman"/>
                <w:color w:val="000000"/>
                <w:kern w:val="2"/>
                <w:sz w:val="21"/>
              </w:rPr>
              <w:t>中国</w:t>
            </w:r>
          </w:p>
        </w:tc>
        <w:tc>
          <w:tcPr>
            <w:tcW w:w="1064"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center"/>
              <w:rPr>
                <w:rFonts w:ascii="Times New Roman" w:hAnsi="Times New Roman"/>
                <w:color w:val="000000"/>
                <w:kern w:val="2"/>
                <w:sz w:val="21"/>
              </w:rPr>
            </w:pPr>
            <w:r>
              <w:rPr>
                <w:rFonts w:hint="eastAsia" w:ascii="宋体" w:hAnsi="宋体" w:eastAsia="宋体" w:cs="Times New Roman"/>
                <w:color w:val="000000"/>
                <w:kern w:val="2"/>
                <w:sz w:val="21"/>
                <w:szCs w:val="21"/>
              </w:rPr>
              <w:t>副总经理</w:t>
            </w:r>
          </w:p>
        </w:tc>
        <w:tc>
          <w:tcPr>
            <w:tcW w:w="845"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color w:val="000000"/>
              </w:rPr>
            </w:pPr>
            <w:r>
              <w:rPr>
                <w:rFonts w:ascii="Times New Roman" w:hAnsi="Times New Roman" w:eastAsia="等线" w:cs="Times New Roman"/>
                <w:color w:val="000000"/>
                <w:sz w:val="21"/>
                <w:szCs w:val="21"/>
              </w:rPr>
              <w:t>9</w:t>
            </w:r>
            <w:r>
              <w:rPr>
                <w:rFonts w:ascii="Times New Roman" w:hAnsi="Times New Roman"/>
                <w:color w:val="000000"/>
                <w:sz w:val="21"/>
              </w:rPr>
              <w:t>.00</w:t>
            </w:r>
          </w:p>
        </w:tc>
        <w:tc>
          <w:tcPr>
            <w:tcW w:w="903"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color w:val="000000"/>
                <w:sz w:val="21"/>
              </w:rPr>
            </w:pPr>
            <w:r>
              <w:rPr>
                <w:rFonts w:ascii="Times New Roman" w:hAnsi="Times New Roman" w:eastAsia="等线" w:cs="Times New Roman"/>
                <w:color w:val="000000"/>
                <w:sz w:val="21"/>
                <w:szCs w:val="21"/>
              </w:rPr>
              <w:t>2.81</w:t>
            </w:r>
            <w:r>
              <w:rPr>
                <w:rFonts w:ascii="Times New Roman" w:hAnsi="Times New Roman"/>
                <w:color w:val="000000"/>
                <w:sz w:val="21"/>
              </w:rPr>
              <w:t>%</w:t>
            </w:r>
          </w:p>
        </w:tc>
        <w:tc>
          <w:tcPr>
            <w:tcW w:w="976"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color w:val="000000"/>
                <w:sz w:val="21"/>
              </w:rPr>
            </w:pPr>
            <w:r>
              <w:rPr>
                <w:rFonts w:ascii="Times New Roman" w:hAnsi="Times New Roman"/>
                <w:color w:val="000000"/>
                <w:sz w:val="21"/>
              </w:rPr>
              <w:t>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8"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center"/>
              <w:rPr>
                <w:rFonts w:ascii="宋体" w:hAnsi="宋体"/>
                <w:color w:val="000000"/>
                <w:kern w:val="2"/>
                <w:sz w:val="21"/>
              </w:rPr>
            </w:pPr>
            <w:r>
              <w:rPr>
                <w:rFonts w:hint="eastAsia" w:ascii="宋体" w:hAnsi="宋体" w:eastAsia="宋体" w:cs="Times New Roman"/>
                <w:color w:val="000000"/>
                <w:kern w:val="2"/>
                <w:sz w:val="21"/>
                <w:szCs w:val="21"/>
              </w:rPr>
              <w:t>杨万华</w:t>
            </w:r>
          </w:p>
        </w:tc>
        <w:tc>
          <w:tcPr>
            <w:tcW w:w="484"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center"/>
              <w:rPr>
                <w:rFonts w:ascii="Times New Roman" w:hAnsi="Times New Roman"/>
                <w:color w:val="000000"/>
                <w:kern w:val="2"/>
                <w:sz w:val="21"/>
              </w:rPr>
            </w:pPr>
            <w:r>
              <w:rPr>
                <w:rFonts w:hint="eastAsia" w:ascii="Times New Roman" w:hAnsi="Times New Roman"/>
                <w:color w:val="000000"/>
                <w:kern w:val="2"/>
                <w:sz w:val="21"/>
              </w:rPr>
              <w:t>中国</w:t>
            </w:r>
          </w:p>
        </w:tc>
        <w:tc>
          <w:tcPr>
            <w:tcW w:w="1064"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center"/>
              <w:rPr>
                <w:rFonts w:ascii="Times New Roman" w:hAnsi="Times New Roman"/>
                <w:color w:val="000000"/>
                <w:kern w:val="2"/>
                <w:sz w:val="21"/>
              </w:rPr>
            </w:pPr>
            <w:r>
              <w:rPr>
                <w:rFonts w:hint="eastAsia" w:ascii="宋体" w:hAnsi="宋体" w:eastAsia="宋体" w:cs="Times New Roman"/>
                <w:color w:val="000000"/>
                <w:kern w:val="2"/>
                <w:sz w:val="21"/>
                <w:szCs w:val="21"/>
              </w:rPr>
              <w:t>财务总监</w:t>
            </w:r>
          </w:p>
        </w:tc>
        <w:tc>
          <w:tcPr>
            <w:tcW w:w="845"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color w:val="000000"/>
              </w:rPr>
            </w:pPr>
            <w:r>
              <w:rPr>
                <w:rFonts w:ascii="Times New Roman" w:hAnsi="Times New Roman" w:eastAsia="等线" w:cs="Times New Roman"/>
                <w:color w:val="000000"/>
                <w:sz w:val="21"/>
                <w:szCs w:val="21"/>
              </w:rPr>
              <w:t>7</w:t>
            </w:r>
            <w:r>
              <w:rPr>
                <w:rFonts w:ascii="Times New Roman" w:hAnsi="Times New Roman"/>
                <w:color w:val="000000"/>
                <w:sz w:val="21"/>
              </w:rPr>
              <w:t>.00</w:t>
            </w:r>
          </w:p>
        </w:tc>
        <w:tc>
          <w:tcPr>
            <w:tcW w:w="903"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color w:val="000000"/>
                <w:sz w:val="21"/>
              </w:rPr>
            </w:pPr>
            <w:r>
              <w:rPr>
                <w:rFonts w:ascii="Times New Roman" w:hAnsi="Times New Roman" w:eastAsia="等线" w:cs="Times New Roman"/>
                <w:color w:val="000000"/>
                <w:sz w:val="21"/>
                <w:szCs w:val="21"/>
              </w:rPr>
              <w:t>2.19</w:t>
            </w:r>
            <w:r>
              <w:rPr>
                <w:rFonts w:ascii="Times New Roman" w:hAnsi="Times New Roman"/>
                <w:color w:val="000000"/>
                <w:sz w:val="21"/>
              </w:rPr>
              <w:t>%</w:t>
            </w:r>
          </w:p>
        </w:tc>
        <w:tc>
          <w:tcPr>
            <w:tcW w:w="976"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color w:val="000000"/>
                <w:sz w:val="21"/>
              </w:rPr>
            </w:pPr>
            <w:r>
              <w:rPr>
                <w:rFonts w:ascii="Times New Roman" w:hAnsi="Times New Roman"/>
                <w:color w:val="000000"/>
                <w:sz w:val="21"/>
              </w:rPr>
              <w:t>0.</w:t>
            </w:r>
            <w:r>
              <w:rPr>
                <w:rFonts w:ascii="Times New Roman" w:hAnsi="Times New Roman" w:eastAsia="等线" w:cs="Times New Roman"/>
                <w:color w:val="000000"/>
                <w:sz w:val="21"/>
                <w:szCs w:val="21"/>
              </w:rPr>
              <w:t>02</w:t>
            </w:r>
            <w:r>
              <w:rPr>
                <w:rFonts w:ascii="Times New Roman" w:hAnsi="Times New Roman"/>
                <w:color w:val="000000"/>
                <w:sz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2276" w:type="pct"/>
            <w:gridSpan w:val="3"/>
            <w:shd w:val="clear" w:color="auto" w:fill="FFFFFF"/>
            <w:tcMar>
              <w:top w:w="0" w:type="dxa"/>
              <w:left w:w="0" w:type="dxa"/>
              <w:bottom w:w="0" w:type="dxa"/>
              <w:right w:w="0" w:type="dxa"/>
            </w:tcMar>
            <w:vAlign w:val="center"/>
          </w:tcPr>
          <w:p>
            <w:pPr>
              <w:widowControl w:val="0"/>
              <w:adjustRightInd w:val="0"/>
              <w:snapToGrid w:val="0"/>
              <w:spacing w:after="0" w:line="240" w:lineRule="auto"/>
              <w:jc w:val="center"/>
              <w:rPr>
                <w:rFonts w:ascii="Times New Roman" w:hAnsi="Times New Roman"/>
                <w:b/>
                <w:color w:val="000000"/>
                <w:kern w:val="2"/>
                <w:sz w:val="21"/>
              </w:rPr>
            </w:pPr>
            <w:r>
              <w:rPr>
                <w:rFonts w:hint="eastAsia" w:ascii="Times New Roman" w:hAnsi="Times New Roman"/>
                <w:b/>
                <w:color w:val="000000"/>
                <w:kern w:val="2"/>
                <w:sz w:val="21"/>
              </w:rPr>
              <w:t>小计</w:t>
            </w:r>
          </w:p>
        </w:tc>
        <w:tc>
          <w:tcPr>
            <w:tcW w:w="845"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b/>
                <w:color w:val="000000"/>
              </w:rPr>
            </w:pPr>
            <w:r>
              <w:rPr>
                <w:rFonts w:ascii="Times New Roman" w:hAnsi="Times New Roman" w:eastAsia="等线" w:cs="Times New Roman"/>
                <w:b/>
                <w:bCs/>
                <w:color w:val="000000"/>
              </w:rPr>
              <w:t>93</w:t>
            </w:r>
            <w:r>
              <w:rPr>
                <w:rFonts w:ascii="Times New Roman" w:hAnsi="Times New Roman"/>
                <w:b/>
                <w:color w:val="000000"/>
              </w:rPr>
              <w:t>.00</w:t>
            </w:r>
          </w:p>
        </w:tc>
        <w:tc>
          <w:tcPr>
            <w:tcW w:w="903"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b/>
                <w:color w:val="000000"/>
              </w:rPr>
            </w:pPr>
            <w:r>
              <w:rPr>
                <w:rFonts w:ascii="Times New Roman" w:hAnsi="Times New Roman" w:eastAsia="等线" w:cs="Times New Roman"/>
                <w:b/>
                <w:bCs/>
                <w:color w:val="000000"/>
                <w:sz w:val="21"/>
                <w:szCs w:val="21"/>
              </w:rPr>
              <w:t>29.06</w:t>
            </w:r>
            <w:r>
              <w:rPr>
                <w:rFonts w:ascii="Times New Roman" w:hAnsi="Times New Roman"/>
                <w:b/>
                <w:color w:val="000000"/>
                <w:sz w:val="21"/>
              </w:rPr>
              <w:t>%</w:t>
            </w:r>
          </w:p>
        </w:tc>
        <w:tc>
          <w:tcPr>
            <w:tcW w:w="976"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b/>
                <w:color w:val="000000"/>
              </w:rPr>
            </w:pPr>
            <w:r>
              <w:rPr>
                <w:rFonts w:ascii="Times New Roman" w:hAnsi="Times New Roman"/>
                <w:b/>
                <w:color w:val="000000"/>
                <w:sz w:val="21"/>
              </w:rPr>
              <w:t>0.</w:t>
            </w:r>
            <w:r>
              <w:rPr>
                <w:rFonts w:ascii="Times New Roman" w:hAnsi="Times New Roman" w:eastAsia="等线" w:cs="Times New Roman"/>
                <w:b/>
                <w:bCs/>
                <w:color w:val="000000"/>
                <w:sz w:val="21"/>
                <w:szCs w:val="21"/>
              </w:rPr>
              <w:t>28</w:t>
            </w:r>
            <w:r>
              <w:rPr>
                <w:rFonts w:ascii="Times New Roman" w:hAnsi="Times New Roman"/>
                <w:b/>
                <w:color w:val="000000"/>
                <w:sz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2276" w:type="pct"/>
            <w:gridSpan w:val="3"/>
            <w:shd w:val="clear" w:color="auto" w:fill="FFFFFF"/>
            <w:tcMar>
              <w:top w:w="0" w:type="dxa"/>
              <w:left w:w="0" w:type="dxa"/>
              <w:bottom w:w="0" w:type="dxa"/>
              <w:right w:w="0" w:type="dxa"/>
            </w:tcMar>
            <w:vAlign w:val="center"/>
          </w:tcPr>
          <w:p>
            <w:pPr>
              <w:widowControl w:val="0"/>
              <w:adjustRightInd w:val="0"/>
              <w:snapToGrid w:val="0"/>
              <w:spacing w:after="0" w:line="240" w:lineRule="auto"/>
              <w:rPr>
                <w:rFonts w:ascii="Times New Roman" w:hAnsi="Times New Roman"/>
                <w:b/>
                <w:color w:val="000000"/>
                <w:kern w:val="2"/>
                <w:sz w:val="21"/>
              </w:rPr>
            </w:pPr>
            <w:r>
              <w:rPr>
                <w:rFonts w:ascii="Times New Roman" w:hAnsi="Times New Roman"/>
                <w:b/>
                <w:color w:val="000000"/>
                <w:kern w:val="2"/>
                <w:sz w:val="21"/>
              </w:rPr>
              <w:t>二、董事会认为需要激励的其他人员（</w:t>
            </w:r>
            <w:r>
              <w:rPr>
                <w:rFonts w:hint="eastAsia" w:ascii="Times New Roman" w:hAnsi="Times New Roman"/>
                <w:b/>
                <w:color w:val="000000"/>
                <w:kern w:val="2"/>
                <w:sz w:val="21"/>
              </w:rPr>
              <w:t>不超过</w:t>
            </w:r>
            <w:r>
              <w:rPr>
                <w:rFonts w:ascii="Times New Roman" w:hAnsi="Times New Roman" w:eastAsia="宋体" w:cs="Times New Roman"/>
                <w:b/>
                <w:color w:val="000000"/>
                <w:kern w:val="2"/>
                <w:sz w:val="21"/>
                <w:szCs w:val="21"/>
              </w:rPr>
              <w:t>58</w:t>
            </w:r>
            <w:r>
              <w:rPr>
                <w:rFonts w:ascii="Times New Roman" w:hAnsi="Times New Roman"/>
                <w:b/>
                <w:color w:val="000000"/>
                <w:kern w:val="2"/>
                <w:sz w:val="21"/>
              </w:rPr>
              <w:t>人）</w:t>
            </w:r>
          </w:p>
        </w:tc>
        <w:tc>
          <w:tcPr>
            <w:tcW w:w="845"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b/>
                <w:color w:val="000000"/>
              </w:rPr>
            </w:pPr>
            <w:r>
              <w:rPr>
                <w:rFonts w:ascii="Times New Roman" w:hAnsi="Times New Roman" w:eastAsia="等线" w:cs="Times New Roman"/>
                <w:b/>
                <w:bCs/>
                <w:color w:val="000000"/>
              </w:rPr>
              <w:t>167</w:t>
            </w:r>
            <w:r>
              <w:rPr>
                <w:rFonts w:ascii="Times New Roman" w:hAnsi="Times New Roman"/>
                <w:b/>
                <w:color w:val="000000"/>
              </w:rPr>
              <w:t>.00</w:t>
            </w:r>
          </w:p>
        </w:tc>
        <w:tc>
          <w:tcPr>
            <w:tcW w:w="903"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b/>
                <w:color w:val="000000"/>
              </w:rPr>
            </w:pPr>
            <w:r>
              <w:rPr>
                <w:rFonts w:ascii="Times New Roman" w:hAnsi="Times New Roman" w:eastAsia="等线" w:cs="Times New Roman"/>
                <w:b/>
                <w:bCs/>
                <w:color w:val="000000"/>
                <w:sz w:val="21"/>
                <w:szCs w:val="21"/>
              </w:rPr>
              <w:t>52.19</w:t>
            </w:r>
            <w:r>
              <w:rPr>
                <w:rFonts w:ascii="Times New Roman" w:hAnsi="Times New Roman"/>
                <w:b/>
                <w:color w:val="000000"/>
                <w:sz w:val="21"/>
              </w:rPr>
              <w:t>%</w:t>
            </w:r>
          </w:p>
        </w:tc>
        <w:tc>
          <w:tcPr>
            <w:tcW w:w="976"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b/>
                <w:color w:val="000000"/>
              </w:rPr>
            </w:pPr>
            <w:r>
              <w:rPr>
                <w:rFonts w:ascii="Times New Roman" w:hAnsi="Times New Roman"/>
                <w:b/>
                <w:color w:val="000000"/>
                <w:sz w:val="21"/>
              </w:rPr>
              <w:t>0.</w:t>
            </w:r>
            <w:r>
              <w:rPr>
                <w:rFonts w:ascii="Times New Roman" w:hAnsi="Times New Roman" w:eastAsia="等线" w:cs="Times New Roman"/>
                <w:b/>
                <w:bCs/>
                <w:color w:val="000000"/>
                <w:sz w:val="21"/>
                <w:szCs w:val="21"/>
              </w:rPr>
              <w:t>50</w:t>
            </w:r>
            <w:r>
              <w:rPr>
                <w:rFonts w:ascii="Times New Roman" w:hAnsi="Times New Roman"/>
                <w:b/>
                <w:color w:val="000000"/>
                <w:sz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2276" w:type="pct"/>
            <w:gridSpan w:val="3"/>
            <w:shd w:val="clear" w:color="auto" w:fill="FFFFFF"/>
            <w:tcMar>
              <w:top w:w="0" w:type="dxa"/>
              <w:left w:w="0" w:type="dxa"/>
              <w:bottom w:w="0" w:type="dxa"/>
              <w:right w:w="0" w:type="dxa"/>
            </w:tcMar>
            <w:vAlign w:val="center"/>
          </w:tcPr>
          <w:p>
            <w:pPr>
              <w:widowControl w:val="0"/>
              <w:adjustRightInd w:val="0"/>
              <w:snapToGrid w:val="0"/>
              <w:spacing w:after="0" w:line="240" w:lineRule="auto"/>
              <w:rPr>
                <w:rFonts w:ascii="Times New Roman" w:hAnsi="Times New Roman"/>
                <w:b/>
                <w:color w:val="000000"/>
                <w:kern w:val="2"/>
                <w:sz w:val="21"/>
              </w:rPr>
            </w:pPr>
            <w:r>
              <w:rPr>
                <w:rFonts w:ascii="Times New Roman" w:hAnsi="Times New Roman"/>
                <w:b/>
                <w:color w:val="000000"/>
                <w:kern w:val="2"/>
                <w:sz w:val="21"/>
              </w:rPr>
              <w:t>三、预留部分</w:t>
            </w:r>
          </w:p>
        </w:tc>
        <w:tc>
          <w:tcPr>
            <w:tcW w:w="845"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b/>
                <w:color w:val="000000"/>
                <w:kern w:val="2"/>
                <w:sz w:val="21"/>
              </w:rPr>
            </w:pPr>
            <w:r>
              <w:rPr>
                <w:rFonts w:hint="eastAsia" w:ascii="Times New Roman" w:hAnsi="Times New Roman"/>
                <w:b/>
                <w:color w:val="000000"/>
                <w:kern w:val="2"/>
                <w:sz w:val="21"/>
              </w:rPr>
              <w:t>6</w:t>
            </w:r>
            <w:r>
              <w:rPr>
                <w:rFonts w:ascii="Times New Roman" w:hAnsi="Times New Roman"/>
                <w:b/>
                <w:color w:val="000000"/>
                <w:kern w:val="2"/>
                <w:sz w:val="21"/>
              </w:rPr>
              <w:t>0.00</w:t>
            </w:r>
          </w:p>
        </w:tc>
        <w:tc>
          <w:tcPr>
            <w:tcW w:w="903"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b/>
                <w:color w:val="000000"/>
                <w:kern w:val="2"/>
                <w:sz w:val="21"/>
              </w:rPr>
            </w:pPr>
            <w:r>
              <w:rPr>
                <w:rFonts w:ascii="Times New Roman" w:hAnsi="Times New Roman"/>
                <w:b/>
                <w:color w:val="000000"/>
                <w:sz w:val="21"/>
              </w:rPr>
              <w:t>18.75%</w:t>
            </w:r>
          </w:p>
        </w:tc>
        <w:tc>
          <w:tcPr>
            <w:tcW w:w="976"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b/>
                <w:color w:val="000000"/>
                <w:kern w:val="2"/>
                <w:sz w:val="21"/>
              </w:rPr>
            </w:pPr>
            <w:r>
              <w:rPr>
                <w:rFonts w:ascii="Times New Roman" w:hAnsi="Times New Roman"/>
                <w:b/>
                <w:color w:val="000000"/>
                <w:sz w:val="21"/>
              </w:rPr>
              <w:t>0.18%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2276" w:type="pct"/>
            <w:gridSpan w:val="3"/>
            <w:shd w:val="clear" w:color="auto" w:fill="FFFFFF"/>
            <w:tcMar>
              <w:top w:w="0" w:type="dxa"/>
              <w:left w:w="0" w:type="dxa"/>
              <w:bottom w:w="0" w:type="dxa"/>
              <w:right w:w="0" w:type="dxa"/>
            </w:tcMar>
            <w:vAlign w:val="center"/>
          </w:tcPr>
          <w:p>
            <w:pPr>
              <w:widowControl w:val="0"/>
              <w:adjustRightInd w:val="0"/>
              <w:snapToGrid w:val="0"/>
              <w:spacing w:after="0" w:line="240" w:lineRule="auto"/>
              <w:jc w:val="center"/>
              <w:rPr>
                <w:rFonts w:ascii="Times New Roman" w:hAnsi="Times New Roman"/>
                <w:b/>
                <w:color w:val="000000"/>
                <w:kern w:val="2"/>
                <w:sz w:val="21"/>
              </w:rPr>
            </w:pPr>
            <w:r>
              <w:rPr>
                <w:rFonts w:ascii="Times New Roman" w:hAnsi="Times New Roman"/>
                <w:b/>
                <w:color w:val="000000"/>
                <w:kern w:val="2"/>
                <w:sz w:val="21"/>
              </w:rPr>
              <w:t>合计</w:t>
            </w:r>
          </w:p>
        </w:tc>
        <w:tc>
          <w:tcPr>
            <w:tcW w:w="845"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b/>
                <w:color w:val="000000"/>
                <w:kern w:val="2"/>
                <w:sz w:val="21"/>
              </w:rPr>
            </w:pPr>
            <w:r>
              <w:rPr>
                <w:rFonts w:hint="eastAsia" w:ascii="Times New Roman" w:hAnsi="Times New Roman"/>
                <w:b/>
                <w:color w:val="000000"/>
                <w:kern w:val="2"/>
                <w:sz w:val="21"/>
              </w:rPr>
              <w:t>3</w:t>
            </w:r>
            <w:r>
              <w:rPr>
                <w:rFonts w:ascii="Times New Roman" w:hAnsi="Times New Roman"/>
                <w:b/>
                <w:color w:val="000000"/>
                <w:kern w:val="2"/>
                <w:sz w:val="21"/>
              </w:rPr>
              <w:t>20.00</w:t>
            </w:r>
          </w:p>
        </w:tc>
        <w:tc>
          <w:tcPr>
            <w:tcW w:w="903"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b/>
                <w:color w:val="000000"/>
                <w:kern w:val="2"/>
                <w:sz w:val="21"/>
              </w:rPr>
            </w:pPr>
            <w:r>
              <w:rPr>
                <w:rFonts w:hint="eastAsia" w:ascii="Times New Roman" w:hAnsi="Times New Roman"/>
                <w:b/>
                <w:color w:val="000000"/>
                <w:kern w:val="2"/>
                <w:sz w:val="21"/>
              </w:rPr>
              <w:t>1</w:t>
            </w:r>
            <w:r>
              <w:rPr>
                <w:rFonts w:ascii="Times New Roman" w:hAnsi="Times New Roman"/>
                <w:b/>
                <w:color w:val="000000"/>
                <w:kern w:val="2"/>
                <w:sz w:val="21"/>
              </w:rPr>
              <w:t>00.00%</w:t>
            </w:r>
          </w:p>
        </w:tc>
        <w:tc>
          <w:tcPr>
            <w:tcW w:w="976" w:type="pct"/>
            <w:shd w:val="clear" w:color="auto" w:fill="FFFFFF"/>
            <w:tcMar>
              <w:top w:w="0" w:type="dxa"/>
              <w:left w:w="0" w:type="dxa"/>
              <w:bottom w:w="0" w:type="dxa"/>
              <w:right w:w="0" w:type="dxa"/>
            </w:tcMar>
            <w:vAlign w:val="center"/>
          </w:tcPr>
          <w:p>
            <w:pPr>
              <w:widowControl w:val="0"/>
              <w:adjustRightInd w:val="0"/>
              <w:snapToGrid w:val="0"/>
              <w:spacing w:after="0" w:line="240" w:lineRule="auto"/>
              <w:jc w:val="right"/>
              <w:rPr>
                <w:rFonts w:ascii="Times New Roman" w:hAnsi="Times New Roman"/>
                <w:b/>
                <w:color w:val="000000"/>
                <w:kern w:val="2"/>
                <w:sz w:val="21"/>
              </w:rPr>
            </w:pPr>
            <w:r>
              <w:rPr>
                <w:rFonts w:hint="eastAsia" w:ascii="Times New Roman" w:hAnsi="Times New Roman"/>
                <w:b/>
                <w:color w:val="000000"/>
                <w:kern w:val="2"/>
                <w:sz w:val="21"/>
              </w:rPr>
              <w:t>0</w:t>
            </w:r>
            <w:r>
              <w:rPr>
                <w:rFonts w:ascii="Times New Roman" w:hAnsi="Times New Roman"/>
                <w:b/>
                <w:color w:val="000000"/>
                <w:kern w:val="2"/>
                <w:sz w:val="21"/>
              </w:rPr>
              <w:t>.96%</w:t>
            </w:r>
          </w:p>
        </w:tc>
      </w:tr>
    </w:tbl>
    <w:p>
      <w:pPr>
        <w:widowControl w:val="0"/>
        <w:adjustRightInd w:val="0"/>
        <w:spacing w:after="0" w:line="240" w:lineRule="auto"/>
        <w:ind w:firstLine="420" w:firstLineChars="200"/>
        <w:jc w:val="both"/>
        <w:rPr>
          <w:rFonts w:ascii="Times New Roman" w:hAnsi="Times New Roman"/>
          <w:color w:val="000000"/>
          <w:kern w:val="2"/>
          <w:sz w:val="21"/>
        </w:rPr>
      </w:pPr>
      <w:r>
        <w:rPr>
          <w:rFonts w:ascii="Times New Roman" w:hAnsi="Times New Roman"/>
          <w:color w:val="000000"/>
          <w:kern w:val="2"/>
          <w:sz w:val="21"/>
        </w:rPr>
        <w:t>注：1、</w:t>
      </w:r>
      <w:r>
        <w:rPr>
          <w:rFonts w:hint="eastAsia" w:ascii="Times New Roman" w:hAnsi="Times New Roman"/>
          <w:color w:val="000000"/>
          <w:kern w:val="2"/>
          <w:sz w:val="21"/>
        </w:rPr>
        <w:t>上述任何一名激励对象通过全部在有效期内的股权激励计划获授的本公司股票，累计不超过本计划提交股东大会审议时公司股本总额的1%。</w:t>
      </w:r>
      <w:r>
        <w:rPr>
          <w:rFonts w:ascii="Times New Roman" w:hAnsi="Times New Roman"/>
          <w:color w:val="000000"/>
          <w:kern w:val="2"/>
          <w:sz w:val="21"/>
        </w:rPr>
        <w:t>公司全部有效的激励计划所涉及的标的股票总数累计不超过股权激励计划提交股东大会审议时公司股本总额的10%。</w:t>
      </w:r>
    </w:p>
    <w:p>
      <w:pPr>
        <w:widowControl w:val="0"/>
        <w:adjustRightInd w:val="0"/>
        <w:spacing w:after="0" w:line="240" w:lineRule="auto"/>
        <w:ind w:firstLine="420" w:firstLineChars="200"/>
        <w:jc w:val="both"/>
        <w:rPr>
          <w:rFonts w:ascii="Times New Roman" w:hAnsi="Times New Roman"/>
          <w:color w:val="000000"/>
          <w:kern w:val="2"/>
          <w:sz w:val="21"/>
        </w:rPr>
      </w:pPr>
      <w:r>
        <w:rPr>
          <w:rFonts w:ascii="Times New Roman" w:hAnsi="Times New Roman"/>
          <w:color w:val="000000"/>
          <w:kern w:val="2"/>
          <w:sz w:val="21"/>
        </w:rPr>
        <w:t>2、本计划激励对象不包括独立董事、监事</w:t>
      </w:r>
      <w:r>
        <w:rPr>
          <w:rFonts w:hint="eastAsia" w:ascii="Times New Roman" w:hAnsi="Times New Roman"/>
          <w:color w:val="000000"/>
          <w:kern w:val="2"/>
          <w:sz w:val="21"/>
        </w:rPr>
        <w:t>及单独或合计持有公司5%以上股份的股东或实际控制人及其配偶、父母、子女</w:t>
      </w:r>
      <w:r>
        <w:rPr>
          <w:rFonts w:ascii="Times New Roman" w:hAnsi="Times New Roman"/>
          <w:color w:val="000000"/>
          <w:kern w:val="2"/>
          <w:sz w:val="21"/>
        </w:rPr>
        <w:t>。</w:t>
      </w:r>
    </w:p>
    <w:p>
      <w:pPr>
        <w:keepNext/>
        <w:keepLines/>
        <w:spacing w:before="156" w:beforeLines="50" w:after="0" w:line="360" w:lineRule="auto"/>
        <w:jc w:val="both"/>
        <w:outlineLvl w:val="1"/>
        <w:rPr>
          <w:rFonts w:ascii="黑体" w:hAnsi="黑体"/>
          <w:color w:val="000000"/>
          <w:kern w:val="2"/>
        </w:rPr>
      </w:pPr>
      <w:bookmarkStart w:id="12" w:name="_Toc112782118"/>
      <w:r>
        <w:rPr>
          <w:rFonts w:hint="eastAsia" w:ascii="黑体" w:hAnsi="黑体"/>
          <w:b/>
          <w:color w:val="000000"/>
          <w:kern w:val="2"/>
          <w:sz w:val="28"/>
        </w:rPr>
        <w:t>六、本激励计划的时间安排</w:t>
      </w:r>
      <w:bookmarkEnd w:id="12"/>
    </w:p>
    <w:p>
      <w:pPr>
        <w:keepNext/>
        <w:keepLines/>
        <w:spacing w:before="156" w:beforeLines="50" w:after="0" w:line="360" w:lineRule="auto"/>
        <w:ind w:firstLine="482" w:firstLineChars="200"/>
        <w:jc w:val="both"/>
        <w:outlineLvl w:val="2"/>
        <w:rPr>
          <w:rFonts w:ascii="Times New Roman" w:hAnsi="Times New Roman"/>
          <w:b/>
          <w:color w:val="000000"/>
          <w:kern w:val="2"/>
          <w:sz w:val="24"/>
        </w:rPr>
      </w:pPr>
      <w:r>
        <w:rPr>
          <w:rFonts w:hint="eastAsia" w:ascii="Times New Roman" w:hAnsi="Times New Roman"/>
          <w:b/>
          <w:color w:val="000000"/>
          <w:kern w:val="2"/>
          <w:sz w:val="24"/>
        </w:rPr>
        <w:t>（一）本激励计划的有效期</w:t>
      </w:r>
    </w:p>
    <w:p>
      <w:pPr>
        <w:spacing w:before="156" w:beforeLines="50" w:after="0" w:line="360" w:lineRule="auto"/>
        <w:ind w:firstLine="480" w:firstLineChars="200"/>
        <w:jc w:val="both"/>
        <w:rPr>
          <w:rFonts w:ascii="Times New Roman" w:hAnsi="Times New Roman"/>
          <w:color w:val="000000"/>
          <w:sz w:val="24"/>
        </w:rPr>
      </w:pPr>
      <w:r>
        <w:rPr>
          <w:rFonts w:hint="eastAsia" w:ascii="Times New Roman" w:hAnsi="Times New Roman"/>
          <w:color w:val="000000"/>
          <w:sz w:val="24"/>
        </w:rPr>
        <w:t>本激励计划有效期自限制性股票首次授予之日起至激励对象获授的限制性股票全部解除限售或回购注销之日止，最长不超过48个月。</w:t>
      </w:r>
    </w:p>
    <w:p>
      <w:pPr>
        <w:keepNext/>
        <w:keepLines/>
        <w:spacing w:before="156" w:beforeLines="50" w:after="0" w:line="360" w:lineRule="auto"/>
        <w:ind w:firstLine="482" w:firstLineChars="200"/>
        <w:jc w:val="both"/>
        <w:outlineLvl w:val="2"/>
        <w:rPr>
          <w:rFonts w:ascii="Times New Roman" w:hAnsi="Times New Roman"/>
          <w:b/>
          <w:color w:val="000000"/>
          <w:kern w:val="2"/>
          <w:sz w:val="24"/>
        </w:rPr>
      </w:pPr>
      <w:r>
        <w:rPr>
          <w:rFonts w:hint="eastAsia" w:ascii="Times New Roman" w:hAnsi="Times New Roman"/>
          <w:b/>
          <w:color w:val="000000"/>
          <w:kern w:val="2"/>
          <w:sz w:val="24"/>
        </w:rPr>
        <w:t>（二）本激励计划的授予日</w:t>
      </w:r>
    </w:p>
    <w:p>
      <w:pPr>
        <w:widowControl w:val="0"/>
        <w:adjustRightInd w:val="0"/>
        <w:spacing w:before="156" w:beforeLines="50" w:after="0" w:line="360" w:lineRule="auto"/>
        <w:ind w:firstLine="480" w:firstLineChars="200"/>
        <w:jc w:val="both"/>
        <w:rPr>
          <w:rFonts w:ascii="Times New Roman" w:hAnsi="Times New Roman"/>
          <w:color w:val="000000"/>
          <w:sz w:val="24"/>
        </w:rPr>
      </w:pPr>
      <w:r>
        <w:rPr>
          <w:rFonts w:hint="eastAsia" w:ascii="Times New Roman" w:hAnsi="Times New Roman"/>
          <w:color w:val="000000"/>
          <w:sz w:val="24"/>
        </w:rPr>
        <w:t>授予日在本计划经公司股东大会审议通过后由董事会确定，授予日必须为交易日。公司需在股东大会审议通过后60日内授予限制性股票并完成公告。公司未能在60日内完成上述工作的，应当及时披露未完成的原因，并终止实施本计划，未授予的限制性股票失效（根据《股权激励管理办法》及其他相关法律法规规定，上市公司不得授出限制性股票的期间不计算在60日内）。</w:t>
      </w:r>
    </w:p>
    <w:p>
      <w:pPr>
        <w:widowControl w:val="0"/>
        <w:adjustRightInd w:val="0"/>
        <w:spacing w:before="156" w:beforeLines="50" w:after="0" w:line="360" w:lineRule="auto"/>
        <w:ind w:firstLine="480" w:firstLineChars="200"/>
        <w:jc w:val="both"/>
        <w:rPr>
          <w:rFonts w:ascii="Times New Roman" w:hAnsi="Times New Roman"/>
          <w:color w:val="000000"/>
          <w:sz w:val="24"/>
        </w:rPr>
      </w:pPr>
      <w:r>
        <w:rPr>
          <w:rFonts w:hint="eastAsia" w:ascii="Times New Roman" w:hAnsi="Times New Roman"/>
          <w:color w:val="000000"/>
          <w:sz w:val="24"/>
        </w:rPr>
        <w:t>预留限制性股票的授予对象应当在本计划经股东大会审议通过后12个月内明确，超过12个月未明确激励对象的，预留</w:t>
      </w:r>
      <w:r>
        <w:rPr>
          <w:rFonts w:hint="eastAsia" w:ascii="Times New Roman" w:hAnsi="Times New Roman"/>
          <w:color w:val="000000"/>
          <w:sz w:val="24"/>
          <w:lang w:val="en-US" w:eastAsia="zh-CN"/>
        </w:rPr>
        <w:t>权益</w:t>
      </w:r>
      <w:r>
        <w:rPr>
          <w:rFonts w:hint="eastAsia" w:ascii="Times New Roman" w:hAnsi="Times New Roman"/>
          <w:color w:val="000000"/>
          <w:sz w:val="24"/>
        </w:rPr>
        <w:t>失效。</w:t>
      </w:r>
    </w:p>
    <w:p>
      <w:pPr>
        <w:widowControl w:val="0"/>
        <w:adjustRightInd w:val="0"/>
        <w:spacing w:before="156" w:beforeLines="50" w:after="0" w:line="360" w:lineRule="auto"/>
        <w:ind w:firstLine="480" w:firstLineChars="200"/>
        <w:jc w:val="both"/>
        <w:rPr>
          <w:rFonts w:ascii="Times New Roman" w:hAnsi="Times New Roman"/>
          <w:color w:val="000000"/>
          <w:sz w:val="24"/>
        </w:rPr>
      </w:pPr>
      <w:r>
        <w:rPr>
          <w:rFonts w:hint="eastAsia" w:ascii="Times New Roman" w:hAnsi="Times New Roman"/>
          <w:color w:val="000000"/>
          <w:sz w:val="24"/>
        </w:rPr>
        <w:t>公司在下列期间不得向激励对象授予限制性股票：</w:t>
      </w:r>
    </w:p>
    <w:p>
      <w:pPr>
        <w:widowControl w:val="0"/>
        <w:spacing w:before="156" w:beforeLines="50" w:after="156" w:afterLines="50" w:line="360" w:lineRule="auto"/>
        <w:ind w:firstLine="480" w:firstLineChars="200"/>
        <w:jc w:val="both"/>
        <w:rPr>
          <w:rFonts w:ascii="Times New Roman" w:hAnsi="Times New Roman"/>
          <w:color w:val="000000"/>
          <w:kern w:val="2"/>
          <w:sz w:val="24"/>
        </w:rPr>
      </w:pPr>
      <w:r>
        <w:rPr>
          <w:rFonts w:ascii="Times New Roman" w:hAnsi="Times New Roman"/>
          <w:color w:val="000000"/>
          <w:kern w:val="2"/>
          <w:sz w:val="24"/>
        </w:rPr>
        <w:t>1、公司</w:t>
      </w:r>
      <w:r>
        <w:rPr>
          <w:rFonts w:hint="eastAsia" w:ascii="Times New Roman" w:hAnsi="Times New Roman"/>
          <w:color w:val="000000"/>
          <w:kern w:val="2"/>
          <w:sz w:val="24"/>
        </w:rPr>
        <w:t>年度报告、半年度</w:t>
      </w:r>
      <w:r>
        <w:rPr>
          <w:rFonts w:ascii="Times New Roman" w:hAnsi="Times New Roman"/>
          <w:color w:val="000000"/>
          <w:kern w:val="2"/>
          <w:sz w:val="24"/>
        </w:rPr>
        <w:t>报告公告前</w:t>
      </w:r>
      <w:bookmarkStart w:id="35" w:name="_GoBack"/>
      <w:bookmarkEnd w:id="35"/>
      <w:r>
        <w:rPr>
          <w:rFonts w:ascii="Times New Roman" w:hAnsi="Times New Roman"/>
          <w:color w:val="000000"/>
          <w:kern w:val="2"/>
          <w:sz w:val="24"/>
        </w:rPr>
        <w:t>三十日内，因特殊原因推迟</w:t>
      </w:r>
      <w:r>
        <w:rPr>
          <w:rFonts w:hint="eastAsia" w:ascii="Times New Roman" w:hAnsi="Times New Roman"/>
          <w:color w:val="000000"/>
          <w:kern w:val="2"/>
          <w:sz w:val="24"/>
        </w:rPr>
        <w:t>年度报告、半年度</w:t>
      </w:r>
      <w:r>
        <w:rPr>
          <w:rFonts w:ascii="Times New Roman" w:hAnsi="Times New Roman"/>
          <w:color w:val="000000"/>
          <w:kern w:val="2"/>
          <w:sz w:val="24"/>
        </w:rPr>
        <w:t>报告公告日期的，自原预约公告日前三十日起算，至公告前一日</w:t>
      </w:r>
      <w:r>
        <w:rPr>
          <w:rFonts w:hint="eastAsia" w:ascii="Times New Roman" w:hAnsi="Times New Roman"/>
          <w:color w:val="000000"/>
          <w:kern w:val="2"/>
          <w:sz w:val="24"/>
        </w:rPr>
        <w:t>。</w:t>
      </w:r>
    </w:p>
    <w:p>
      <w:pPr>
        <w:widowControl w:val="0"/>
        <w:spacing w:before="156" w:beforeLines="50" w:after="156" w:afterLines="50" w:line="360" w:lineRule="auto"/>
        <w:ind w:firstLine="480" w:firstLineChars="200"/>
        <w:jc w:val="both"/>
        <w:rPr>
          <w:rFonts w:ascii="Times New Roman" w:hAnsi="Times New Roman"/>
          <w:color w:val="000000"/>
          <w:kern w:val="2"/>
          <w:sz w:val="24"/>
        </w:rPr>
      </w:pPr>
      <w:r>
        <w:rPr>
          <w:rFonts w:ascii="Times New Roman" w:hAnsi="Times New Roman"/>
          <w:color w:val="000000"/>
          <w:kern w:val="2"/>
          <w:sz w:val="24"/>
        </w:rPr>
        <w:t>2、公司</w:t>
      </w:r>
      <w:r>
        <w:rPr>
          <w:rFonts w:hint="eastAsia" w:ascii="Times New Roman" w:hAnsi="Times New Roman"/>
          <w:color w:val="000000"/>
          <w:kern w:val="2"/>
          <w:sz w:val="24"/>
        </w:rPr>
        <w:t>季度报告、</w:t>
      </w:r>
      <w:r>
        <w:rPr>
          <w:rFonts w:ascii="Times New Roman" w:hAnsi="Times New Roman"/>
          <w:color w:val="000000"/>
          <w:kern w:val="2"/>
          <w:sz w:val="24"/>
        </w:rPr>
        <w:t>业绩预告、业绩快报公告前十日内</w:t>
      </w:r>
      <w:r>
        <w:rPr>
          <w:rFonts w:hint="eastAsia" w:ascii="Times New Roman" w:hAnsi="Times New Roman"/>
          <w:color w:val="000000"/>
          <w:kern w:val="2"/>
          <w:sz w:val="24"/>
        </w:rPr>
        <w:t>。</w:t>
      </w:r>
    </w:p>
    <w:p>
      <w:pPr>
        <w:widowControl w:val="0"/>
        <w:spacing w:before="156" w:beforeLines="50" w:after="156" w:afterLines="50" w:line="360" w:lineRule="auto"/>
        <w:ind w:firstLine="480" w:firstLineChars="200"/>
        <w:jc w:val="both"/>
        <w:rPr>
          <w:rFonts w:ascii="Times New Roman" w:hAnsi="Times New Roman"/>
          <w:color w:val="000000"/>
          <w:kern w:val="2"/>
          <w:sz w:val="24"/>
        </w:rPr>
      </w:pPr>
      <w:r>
        <w:rPr>
          <w:rFonts w:ascii="Times New Roman" w:hAnsi="Times New Roman"/>
          <w:color w:val="000000"/>
          <w:kern w:val="2"/>
          <w:sz w:val="24"/>
        </w:rPr>
        <w:t>3、自可能对公司股票及其衍生品种交易价格产生较大影响的重大事件发生之日或者进入决策程序之日，至依法披露</w:t>
      </w:r>
      <w:r>
        <w:rPr>
          <w:rFonts w:hint="eastAsia" w:ascii="Times New Roman" w:hAnsi="Times New Roman"/>
          <w:color w:val="000000"/>
          <w:kern w:val="2"/>
          <w:sz w:val="24"/>
        </w:rPr>
        <w:t>之</w:t>
      </w:r>
      <w:r>
        <w:rPr>
          <w:rFonts w:ascii="Times New Roman" w:hAnsi="Times New Roman"/>
          <w:color w:val="000000"/>
          <w:kern w:val="2"/>
          <w:sz w:val="24"/>
        </w:rPr>
        <w:t>日</w:t>
      </w:r>
      <w:r>
        <w:rPr>
          <w:rFonts w:hint="eastAsia" w:ascii="Times New Roman" w:hAnsi="Times New Roman"/>
          <w:color w:val="000000"/>
          <w:kern w:val="2"/>
          <w:sz w:val="24"/>
        </w:rPr>
        <w:t>。</w:t>
      </w:r>
    </w:p>
    <w:p>
      <w:pPr>
        <w:widowControl w:val="0"/>
        <w:spacing w:before="156" w:beforeLines="50" w:after="156" w:afterLines="50" w:line="360" w:lineRule="auto"/>
        <w:ind w:firstLine="480" w:firstLineChars="200"/>
        <w:jc w:val="both"/>
        <w:rPr>
          <w:rFonts w:ascii="Times New Roman" w:hAnsi="Times New Roman"/>
          <w:color w:val="000000"/>
          <w:kern w:val="2"/>
          <w:sz w:val="24"/>
        </w:rPr>
      </w:pPr>
      <w:r>
        <w:rPr>
          <w:rFonts w:ascii="Times New Roman" w:hAnsi="Times New Roman"/>
          <w:color w:val="000000"/>
          <w:kern w:val="2"/>
          <w:sz w:val="24"/>
        </w:rPr>
        <w:t>4、中国证监会及上海证券交易所规定的其他时间。</w:t>
      </w:r>
    </w:p>
    <w:p>
      <w:pPr>
        <w:widowControl w:val="0"/>
        <w:adjustRightInd w:val="0"/>
        <w:spacing w:before="156" w:beforeLines="50" w:after="0" w:line="360" w:lineRule="auto"/>
        <w:ind w:firstLine="480" w:firstLineChars="200"/>
        <w:jc w:val="both"/>
        <w:rPr>
          <w:rFonts w:ascii="Times New Roman" w:hAnsi="Times New Roman" w:eastAsia="宋体"/>
          <w:color w:val="000000"/>
          <w:sz w:val="24"/>
          <w:szCs w:val="24"/>
        </w:rPr>
      </w:pPr>
      <w:r>
        <w:rPr>
          <w:rFonts w:ascii="Times New Roman" w:hAnsi="Times New Roman"/>
          <w:color w:val="000000"/>
          <w:kern w:val="2"/>
          <w:sz w:val="24"/>
        </w:rPr>
        <w:t>上述公司不得授出限制性股票的期间不计入60日期限之内。</w:t>
      </w:r>
    </w:p>
    <w:p>
      <w:pPr>
        <w:keepNext/>
        <w:keepLines/>
        <w:spacing w:before="156" w:beforeLines="50" w:after="0" w:line="360" w:lineRule="auto"/>
        <w:ind w:firstLine="482" w:firstLineChars="200"/>
        <w:jc w:val="both"/>
        <w:outlineLvl w:val="2"/>
        <w:rPr>
          <w:rFonts w:ascii="Times New Roman" w:hAnsi="Times New Roman"/>
          <w:b/>
          <w:color w:val="000000"/>
          <w:kern w:val="2"/>
          <w:sz w:val="24"/>
        </w:rPr>
      </w:pPr>
      <w:r>
        <w:rPr>
          <w:rFonts w:hint="eastAsia" w:ascii="Times New Roman" w:hAnsi="Times New Roman"/>
          <w:b/>
          <w:color w:val="000000"/>
          <w:kern w:val="2"/>
          <w:sz w:val="24"/>
        </w:rPr>
        <w:t>（三）本激励计划的限售期</w:t>
      </w:r>
    </w:p>
    <w:p>
      <w:pPr>
        <w:widowControl w:val="0"/>
        <w:adjustRightInd w:val="0"/>
        <w:spacing w:before="156" w:beforeLines="50" w:after="0" w:line="360" w:lineRule="auto"/>
        <w:ind w:firstLine="480" w:firstLineChars="200"/>
        <w:jc w:val="both"/>
        <w:rPr>
          <w:rFonts w:ascii="Times New Roman" w:hAnsi="Times New Roman" w:eastAsia="宋体"/>
          <w:color w:val="000000"/>
          <w:sz w:val="24"/>
          <w:szCs w:val="24"/>
        </w:rPr>
      </w:pPr>
      <w:r>
        <w:rPr>
          <w:rFonts w:hint="eastAsia" w:ascii="Times New Roman" w:hAnsi="Times New Roman" w:eastAsia="宋体"/>
          <w:color w:val="000000"/>
          <w:sz w:val="24"/>
          <w:szCs w:val="24"/>
        </w:rPr>
        <w:t>自激励对象获授限制性股票授予之日起</w:t>
      </w:r>
      <w:r>
        <w:rPr>
          <w:rFonts w:ascii="Times New Roman" w:hAnsi="Times New Roman" w:eastAsia="宋体"/>
          <w:color w:val="000000"/>
          <w:sz w:val="24"/>
          <w:szCs w:val="24"/>
        </w:rPr>
        <w:t>12</w:t>
      </w:r>
      <w:r>
        <w:rPr>
          <w:rFonts w:hint="eastAsia" w:ascii="Times New Roman" w:hAnsi="Times New Roman" w:eastAsia="宋体"/>
          <w:color w:val="000000"/>
          <w:sz w:val="24"/>
          <w:szCs w:val="24"/>
        </w:rPr>
        <w:t>个月内为限售期。在限售期内，激励对象根据本计划获授的限制性股票予以限售，不得转让、不得用于担保或偿还债务。激励对象因获授的尚未解除限售的限制性股票而取得的资本公积转增股本、派发股票红利、股票拆细等股份同时按本计划进行锁定。解除限售后，公司为满足解除限售条件的激励对象办理解除限售事宜，未满足解除限售条件的激励对象持有的限制性股票由公司回购。</w:t>
      </w:r>
    </w:p>
    <w:p>
      <w:pPr>
        <w:widowControl w:val="0"/>
        <w:adjustRightInd w:val="0"/>
        <w:spacing w:before="156" w:beforeLines="50" w:after="0" w:line="360" w:lineRule="auto"/>
        <w:ind w:firstLine="480" w:firstLineChars="200"/>
        <w:jc w:val="both"/>
        <w:rPr>
          <w:rFonts w:ascii="Times New Roman" w:hAnsi="Times New Roman" w:eastAsia="宋体"/>
          <w:color w:val="000000"/>
          <w:sz w:val="24"/>
          <w:szCs w:val="24"/>
        </w:rPr>
      </w:pPr>
      <w:r>
        <w:rPr>
          <w:rFonts w:hint="eastAsia" w:ascii="Times New Roman" w:hAnsi="Times New Roman" w:eastAsia="宋体"/>
          <w:color w:val="000000"/>
          <w:sz w:val="24"/>
          <w:szCs w:val="24"/>
        </w:rPr>
        <w:t>本计划首次授予的限制性股票解除限售期及各期解除限售时间安排如下表所示：</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67"/>
        <w:gridCol w:w="4675"/>
        <w:gridCol w:w="21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8" w:type="dxa"/>
            <w:shd w:val="clear" w:color="auto" w:fill="BFBFBF"/>
            <w:vAlign w:val="center"/>
          </w:tcPr>
          <w:p>
            <w:pPr>
              <w:widowControl w:val="0"/>
              <w:adjustRightInd w:val="0"/>
              <w:spacing w:before="156" w:beforeLines="50" w:after="0" w:line="360" w:lineRule="auto"/>
              <w:jc w:val="center"/>
              <w:rPr>
                <w:rFonts w:ascii="Times New Roman" w:hAnsi="Times New Roman" w:eastAsia="宋体"/>
                <w:b/>
                <w:color w:val="000000"/>
                <w:sz w:val="21"/>
                <w:szCs w:val="21"/>
              </w:rPr>
            </w:pPr>
            <w:r>
              <w:rPr>
                <w:rFonts w:hint="eastAsia" w:ascii="Times New Roman" w:hAnsi="Times New Roman" w:eastAsia="宋体"/>
                <w:b/>
                <w:color w:val="000000"/>
                <w:sz w:val="21"/>
                <w:szCs w:val="21"/>
              </w:rPr>
              <w:t>解除限售安排</w:t>
            </w:r>
          </w:p>
        </w:tc>
        <w:tc>
          <w:tcPr>
            <w:tcW w:w="4677" w:type="dxa"/>
            <w:shd w:val="clear" w:color="auto" w:fill="BFBFBF"/>
            <w:vAlign w:val="center"/>
          </w:tcPr>
          <w:p>
            <w:pPr>
              <w:widowControl w:val="0"/>
              <w:adjustRightInd w:val="0"/>
              <w:snapToGrid w:val="0"/>
              <w:spacing w:after="0" w:line="240" w:lineRule="auto"/>
              <w:jc w:val="center"/>
              <w:rPr>
                <w:rFonts w:ascii="Times New Roman" w:hAnsi="Times New Roman" w:eastAsia="宋体"/>
                <w:b/>
                <w:color w:val="000000"/>
                <w:sz w:val="21"/>
                <w:szCs w:val="21"/>
              </w:rPr>
            </w:pPr>
            <w:r>
              <w:rPr>
                <w:rFonts w:hint="eastAsia" w:ascii="Times New Roman" w:hAnsi="Times New Roman" w:eastAsia="宋体"/>
                <w:b/>
                <w:color w:val="000000"/>
                <w:sz w:val="21"/>
                <w:szCs w:val="21"/>
              </w:rPr>
              <w:t>解除限售时间</w:t>
            </w:r>
          </w:p>
        </w:tc>
        <w:tc>
          <w:tcPr>
            <w:tcW w:w="2181" w:type="dxa"/>
            <w:shd w:val="clear" w:color="auto" w:fill="BFBFBF"/>
            <w:vAlign w:val="center"/>
          </w:tcPr>
          <w:p>
            <w:pPr>
              <w:widowControl w:val="0"/>
              <w:adjustRightInd w:val="0"/>
              <w:snapToGrid w:val="0"/>
              <w:spacing w:after="0" w:line="240" w:lineRule="auto"/>
              <w:jc w:val="center"/>
              <w:rPr>
                <w:rFonts w:ascii="Times New Roman" w:hAnsi="Times New Roman" w:eastAsia="宋体"/>
                <w:b/>
                <w:color w:val="000000"/>
                <w:sz w:val="21"/>
                <w:szCs w:val="21"/>
              </w:rPr>
            </w:pPr>
            <w:r>
              <w:rPr>
                <w:rFonts w:hint="eastAsia" w:ascii="Times New Roman" w:hAnsi="Times New Roman" w:eastAsia="宋体"/>
                <w:b/>
                <w:color w:val="000000"/>
                <w:sz w:val="21"/>
                <w:szCs w:val="21"/>
              </w:rPr>
              <w:t>可解除限售权益数量占授予权益总量的比例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8" w:type="dxa"/>
            <w:vAlign w:val="center"/>
          </w:tcPr>
          <w:p>
            <w:pPr>
              <w:widowControl w:val="0"/>
              <w:adjustRightInd w:val="0"/>
              <w:snapToGrid w:val="0"/>
              <w:spacing w:after="0" w:line="240" w:lineRule="auto"/>
              <w:jc w:val="center"/>
              <w:rPr>
                <w:rFonts w:ascii="Times New Roman" w:hAnsi="Times New Roman" w:eastAsia="宋体"/>
                <w:color w:val="000000"/>
                <w:sz w:val="21"/>
                <w:szCs w:val="21"/>
              </w:rPr>
            </w:pPr>
            <w:r>
              <w:rPr>
                <w:rFonts w:hint="eastAsia" w:ascii="Times New Roman" w:hAnsi="Times New Roman" w:eastAsia="宋体"/>
                <w:color w:val="000000"/>
                <w:sz w:val="21"/>
                <w:szCs w:val="21"/>
              </w:rPr>
              <w:t>第一个解除限售期</w:t>
            </w:r>
          </w:p>
        </w:tc>
        <w:tc>
          <w:tcPr>
            <w:tcW w:w="4677" w:type="dxa"/>
            <w:vAlign w:val="center"/>
          </w:tcPr>
          <w:p>
            <w:pPr>
              <w:widowControl w:val="0"/>
              <w:adjustRightInd w:val="0"/>
              <w:snapToGrid w:val="0"/>
              <w:spacing w:after="0" w:line="240" w:lineRule="auto"/>
              <w:rPr>
                <w:rFonts w:ascii="Times New Roman" w:hAnsi="Times New Roman" w:eastAsia="宋体"/>
                <w:color w:val="000000"/>
                <w:sz w:val="21"/>
                <w:szCs w:val="21"/>
              </w:rPr>
            </w:pPr>
            <w:r>
              <w:rPr>
                <w:rFonts w:hint="eastAsia" w:ascii="Times New Roman" w:hAnsi="Times New Roman" w:eastAsia="宋体"/>
                <w:color w:val="000000"/>
                <w:sz w:val="21"/>
                <w:szCs w:val="21"/>
              </w:rPr>
              <w:t>自授予之日起12个月后的首个交易日至授予之日起24个月内的最后一个交易日止</w:t>
            </w:r>
          </w:p>
        </w:tc>
        <w:tc>
          <w:tcPr>
            <w:tcW w:w="2181" w:type="dxa"/>
            <w:vAlign w:val="center"/>
          </w:tcPr>
          <w:p>
            <w:pPr>
              <w:widowControl w:val="0"/>
              <w:adjustRightInd w:val="0"/>
              <w:snapToGrid w:val="0"/>
              <w:spacing w:after="0" w:line="240" w:lineRule="auto"/>
              <w:jc w:val="center"/>
              <w:rPr>
                <w:rFonts w:ascii="Times New Roman" w:hAnsi="Times New Roman" w:eastAsia="宋体"/>
                <w:color w:val="000000"/>
                <w:sz w:val="21"/>
                <w:szCs w:val="21"/>
              </w:rPr>
            </w:pPr>
            <w:r>
              <w:rPr>
                <w:rFonts w:ascii="Times New Roman" w:hAnsi="Times New Roman" w:eastAsia="宋体"/>
                <w:color w:val="000000"/>
                <w:sz w:val="21"/>
                <w:szCs w:val="21"/>
              </w:rPr>
              <w:t>3</w:t>
            </w:r>
            <w:r>
              <w:rPr>
                <w:rFonts w:hint="eastAsia" w:ascii="Times New Roman" w:hAnsi="Times New Roman" w:eastAsia="宋体"/>
                <w:color w:val="000000"/>
                <w:sz w:val="21"/>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8" w:type="dxa"/>
            <w:vAlign w:val="center"/>
          </w:tcPr>
          <w:p>
            <w:pPr>
              <w:widowControl w:val="0"/>
              <w:adjustRightInd w:val="0"/>
              <w:snapToGrid w:val="0"/>
              <w:spacing w:after="0" w:line="240" w:lineRule="auto"/>
              <w:jc w:val="center"/>
              <w:rPr>
                <w:rFonts w:ascii="Times New Roman" w:hAnsi="Times New Roman" w:eastAsia="宋体"/>
                <w:color w:val="000000"/>
                <w:sz w:val="21"/>
                <w:szCs w:val="21"/>
              </w:rPr>
            </w:pPr>
            <w:r>
              <w:rPr>
                <w:rFonts w:hint="eastAsia" w:ascii="Times New Roman" w:hAnsi="Times New Roman" w:eastAsia="宋体"/>
                <w:color w:val="000000"/>
                <w:sz w:val="21"/>
                <w:szCs w:val="21"/>
              </w:rPr>
              <w:t>第二个解除限售期</w:t>
            </w:r>
          </w:p>
        </w:tc>
        <w:tc>
          <w:tcPr>
            <w:tcW w:w="4677" w:type="dxa"/>
            <w:vAlign w:val="center"/>
          </w:tcPr>
          <w:p>
            <w:pPr>
              <w:widowControl w:val="0"/>
              <w:adjustRightInd w:val="0"/>
              <w:snapToGrid w:val="0"/>
              <w:spacing w:after="0" w:line="240" w:lineRule="auto"/>
              <w:rPr>
                <w:rFonts w:ascii="Times New Roman" w:hAnsi="Times New Roman" w:eastAsia="宋体"/>
                <w:color w:val="000000"/>
                <w:sz w:val="21"/>
                <w:szCs w:val="21"/>
              </w:rPr>
            </w:pPr>
            <w:r>
              <w:rPr>
                <w:rFonts w:hint="eastAsia" w:ascii="Times New Roman" w:hAnsi="Times New Roman" w:eastAsia="宋体"/>
                <w:color w:val="000000"/>
                <w:sz w:val="21"/>
                <w:szCs w:val="21"/>
              </w:rPr>
              <w:t>自授予之日起24个月后的首个交易日至授予之日起36个月内的最后一个交易日止</w:t>
            </w:r>
          </w:p>
        </w:tc>
        <w:tc>
          <w:tcPr>
            <w:tcW w:w="2181" w:type="dxa"/>
            <w:vAlign w:val="center"/>
          </w:tcPr>
          <w:p>
            <w:pPr>
              <w:widowControl w:val="0"/>
              <w:adjustRightInd w:val="0"/>
              <w:snapToGrid w:val="0"/>
              <w:spacing w:after="0" w:line="240" w:lineRule="auto"/>
              <w:jc w:val="center"/>
              <w:rPr>
                <w:rFonts w:ascii="Times New Roman" w:hAnsi="Times New Roman" w:eastAsia="宋体"/>
                <w:color w:val="000000"/>
                <w:sz w:val="21"/>
                <w:szCs w:val="21"/>
              </w:rPr>
            </w:pPr>
            <w:r>
              <w:rPr>
                <w:rFonts w:hint="eastAsia" w:ascii="Times New Roman" w:hAnsi="Times New Roman" w:eastAsia="宋体"/>
                <w:color w:val="000000"/>
                <w:sz w:val="21"/>
                <w:szCs w:val="21"/>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8" w:type="dxa"/>
            <w:vAlign w:val="center"/>
          </w:tcPr>
          <w:p>
            <w:pPr>
              <w:widowControl w:val="0"/>
              <w:adjustRightInd w:val="0"/>
              <w:snapToGrid w:val="0"/>
              <w:spacing w:after="0" w:line="240" w:lineRule="auto"/>
              <w:jc w:val="center"/>
              <w:rPr>
                <w:rFonts w:ascii="Times New Roman" w:hAnsi="Times New Roman" w:eastAsia="宋体"/>
                <w:color w:val="000000"/>
                <w:sz w:val="21"/>
                <w:szCs w:val="21"/>
              </w:rPr>
            </w:pPr>
            <w:r>
              <w:rPr>
                <w:rFonts w:hint="eastAsia" w:ascii="Times New Roman" w:hAnsi="Times New Roman" w:eastAsia="宋体"/>
                <w:color w:val="000000"/>
                <w:sz w:val="21"/>
                <w:szCs w:val="21"/>
              </w:rPr>
              <w:t>第三个解除限售期</w:t>
            </w:r>
          </w:p>
        </w:tc>
        <w:tc>
          <w:tcPr>
            <w:tcW w:w="4677" w:type="dxa"/>
            <w:vAlign w:val="center"/>
          </w:tcPr>
          <w:p>
            <w:pPr>
              <w:widowControl w:val="0"/>
              <w:adjustRightInd w:val="0"/>
              <w:snapToGrid w:val="0"/>
              <w:spacing w:after="0" w:line="240" w:lineRule="auto"/>
              <w:rPr>
                <w:rFonts w:ascii="Times New Roman" w:hAnsi="Times New Roman" w:eastAsia="宋体"/>
                <w:color w:val="000000"/>
                <w:sz w:val="21"/>
                <w:szCs w:val="21"/>
              </w:rPr>
            </w:pPr>
            <w:r>
              <w:rPr>
                <w:rFonts w:hint="eastAsia" w:ascii="Times New Roman" w:hAnsi="Times New Roman" w:eastAsia="宋体"/>
                <w:color w:val="000000"/>
                <w:sz w:val="21"/>
                <w:szCs w:val="21"/>
              </w:rPr>
              <w:t>自授予之日起36个月后的首个交易日至授予之日起48个月内的最后一个交易日止</w:t>
            </w:r>
          </w:p>
        </w:tc>
        <w:tc>
          <w:tcPr>
            <w:tcW w:w="2181" w:type="dxa"/>
            <w:vAlign w:val="center"/>
          </w:tcPr>
          <w:p>
            <w:pPr>
              <w:widowControl w:val="0"/>
              <w:adjustRightInd w:val="0"/>
              <w:snapToGrid w:val="0"/>
              <w:spacing w:after="0" w:line="240" w:lineRule="auto"/>
              <w:jc w:val="center"/>
              <w:rPr>
                <w:rFonts w:ascii="Times New Roman" w:hAnsi="Times New Roman" w:eastAsia="宋体"/>
                <w:color w:val="000000"/>
                <w:sz w:val="21"/>
                <w:szCs w:val="21"/>
              </w:rPr>
            </w:pPr>
            <w:r>
              <w:rPr>
                <w:rFonts w:ascii="Times New Roman" w:hAnsi="Times New Roman" w:eastAsia="宋体"/>
                <w:color w:val="000000"/>
                <w:sz w:val="21"/>
                <w:szCs w:val="21"/>
              </w:rPr>
              <w:t>4</w:t>
            </w:r>
            <w:r>
              <w:rPr>
                <w:rFonts w:hint="eastAsia" w:ascii="Times New Roman" w:hAnsi="Times New Roman" w:eastAsia="宋体"/>
                <w:color w:val="000000"/>
                <w:sz w:val="21"/>
                <w:szCs w:val="21"/>
              </w:rPr>
              <w:t>0%</w:t>
            </w:r>
          </w:p>
        </w:tc>
      </w:tr>
    </w:tbl>
    <w:p>
      <w:pPr>
        <w:widowControl w:val="0"/>
        <w:adjustRightInd w:val="0"/>
        <w:snapToGrid w:val="0"/>
        <w:spacing w:before="156" w:beforeLines="50" w:after="0" w:line="360" w:lineRule="auto"/>
        <w:ind w:firstLine="480" w:firstLineChars="200"/>
        <w:jc w:val="both"/>
        <w:rPr>
          <w:rFonts w:ascii="Times New Roman" w:hAnsi="Times New Roman" w:eastAsia="宋体"/>
          <w:color w:val="000000"/>
          <w:sz w:val="24"/>
          <w:szCs w:val="24"/>
        </w:rPr>
      </w:pPr>
      <w:r>
        <w:rPr>
          <w:rFonts w:hint="eastAsia" w:ascii="Times New Roman" w:hAnsi="Times New Roman" w:eastAsia="宋体"/>
          <w:color w:val="000000"/>
          <w:sz w:val="24"/>
          <w:szCs w:val="24"/>
        </w:rPr>
        <w:t>若预留部分限制性股票在2024年度授予，则解除限售期及解除限售数量占授予权益总量的比例与首次授予部分一致。若预留部分限制性股票在2025年授予，则解除限售期及解除限售权益数量占授予权益总量的比例如下表所示：</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67"/>
        <w:gridCol w:w="4675"/>
        <w:gridCol w:w="21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8" w:type="dxa"/>
            <w:shd w:val="clear" w:color="auto" w:fill="BFBFBF"/>
            <w:vAlign w:val="center"/>
          </w:tcPr>
          <w:p>
            <w:pPr>
              <w:widowControl w:val="0"/>
              <w:adjustRightInd w:val="0"/>
              <w:spacing w:after="0" w:line="240" w:lineRule="auto"/>
              <w:jc w:val="center"/>
              <w:rPr>
                <w:rFonts w:ascii="Times New Roman" w:hAnsi="Times New Roman" w:eastAsia="宋体"/>
                <w:b/>
                <w:color w:val="000000"/>
                <w:sz w:val="21"/>
                <w:szCs w:val="21"/>
              </w:rPr>
            </w:pPr>
            <w:r>
              <w:rPr>
                <w:rFonts w:hint="eastAsia" w:ascii="Times New Roman" w:hAnsi="Times New Roman" w:eastAsia="宋体"/>
                <w:b/>
                <w:color w:val="000000"/>
                <w:sz w:val="21"/>
                <w:szCs w:val="21"/>
              </w:rPr>
              <w:t>解除限售安排</w:t>
            </w:r>
          </w:p>
        </w:tc>
        <w:tc>
          <w:tcPr>
            <w:tcW w:w="4677" w:type="dxa"/>
            <w:shd w:val="clear" w:color="auto" w:fill="BFBFBF"/>
            <w:vAlign w:val="center"/>
          </w:tcPr>
          <w:p>
            <w:pPr>
              <w:widowControl w:val="0"/>
              <w:adjustRightInd w:val="0"/>
              <w:spacing w:after="0" w:line="240" w:lineRule="auto"/>
              <w:jc w:val="center"/>
              <w:rPr>
                <w:rFonts w:ascii="Times New Roman" w:hAnsi="Times New Roman" w:eastAsia="宋体"/>
                <w:b/>
                <w:color w:val="000000"/>
                <w:sz w:val="21"/>
                <w:szCs w:val="21"/>
              </w:rPr>
            </w:pPr>
            <w:r>
              <w:rPr>
                <w:rFonts w:hint="eastAsia" w:ascii="Times New Roman" w:hAnsi="Times New Roman" w:eastAsia="宋体"/>
                <w:b/>
                <w:color w:val="000000"/>
                <w:sz w:val="21"/>
                <w:szCs w:val="21"/>
              </w:rPr>
              <w:t>解除限售时间</w:t>
            </w:r>
          </w:p>
        </w:tc>
        <w:tc>
          <w:tcPr>
            <w:tcW w:w="2181" w:type="dxa"/>
            <w:shd w:val="clear" w:color="auto" w:fill="BFBFBF"/>
            <w:vAlign w:val="center"/>
          </w:tcPr>
          <w:p>
            <w:pPr>
              <w:widowControl w:val="0"/>
              <w:adjustRightInd w:val="0"/>
              <w:spacing w:after="0" w:line="240" w:lineRule="auto"/>
              <w:jc w:val="center"/>
              <w:rPr>
                <w:rFonts w:ascii="Times New Roman" w:hAnsi="Times New Roman" w:eastAsia="宋体"/>
                <w:b/>
                <w:color w:val="000000"/>
                <w:sz w:val="21"/>
                <w:szCs w:val="21"/>
              </w:rPr>
            </w:pPr>
            <w:r>
              <w:rPr>
                <w:rFonts w:hint="eastAsia" w:ascii="Times New Roman" w:hAnsi="Times New Roman" w:eastAsia="宋体"/>
                <w:b/>
                <w:color w:val="000000"/>
                <w:sz w:val="21"/>
                <w:szCs w:val="21"/>
              </w:rPr>
              <w:t>解除限售权益数量占授予权益总量的比例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8" w:type="dxa"/>
            <w:vAlign w:val="center"/>
          </w:tcPr>
          <w:p>
            <w:pPr>
              <w:widowControl w:val="0"/>
              <w:adjustRightInd w:val="0"/>
              <w:spacing w:after="0" w:line="240" w:lineRule="auto"/>
              <w:jc w:val="center"/>
              <w:rPr>
                <w:rFonts w:ascii="Times New Roman" w:hAnsi="Times New Roman" w:eastAsia="宋体"/>
                <w:color w:val="000000"/>
                <w:sz w:val="21"/>
                <w:szCs w:val="21"/>
              </w:rPr>
            </w:pPr>
            <w:r>
              <w:rPr>
                <w:rFonts w:hint="eastAsia" w:ascii="Times New Roman" w:hAnsi="Times New Roman" w:eastAsia="宋体"/>
                <w:color w:val="000000"/>
                <w:sz w:val="21"/>
                <w:szCs w:val="21"/>
              </w:rPr>
              <w:t>第一个解除限售期</w:t>
            </w:r>
          </w:p>
        </w:tc>
        <w:tc>
          <w:tcPr>
            <w:tcW w:w="4677" w:type="dxa"/>
            <w:vAlign w:val="center"/>
          </w:tcPr>
          <w:p>
            <w:pPr>
              <w:widowControl w:val="0"/>
              <w:adjustRightInd w:val="0"/>
              <w:spacing w:after="0" w:line="240" w:lineRule="auto"/>
              <w:rPr>
                <w:rFonts w:ascii="Times New Roman" w:hAnsi="Times New Roman" w:eastAsia="宋体"/>
                <w:color w:val="000000"/>
                <w:sz w:val="21"/>
                <w:szCs w:val="21"/>
              </w:rPr>
            </w:pPr>
            <w:r>
              <w:rPr>
                <w:rFonts w:hint="eastAsia" w:ascii="Times New Roman" w:hAnsi="Times New Roman" w:eastAsia="宋体"/>
                <w:color w:val="000000"/>
                <w:sz w:val="21"/>
                <w:szCs w:val="21"/>
              </w:rPr>
              <w:t>自预留授予之日起12个月后的首个交易日至预留授予之日起24个月内的最后一个交易日止</w:t>
            </w:r>
          </w:p>
        </w:tc>
        <w:tc>
          <w:tcPr>
            <w:tcW w:w="2181" w:type="dxa"/>
            <w:vAlign w:val="center"/>
          </w:tcPr>
          <w:p>
            <w:pPr>
              <w:widowControl w:val="0"/>
              <w:adjustRightInd w:val="0"/>
              <w:spacing w:after="0" w:line="240" w:lineRule="auto"/>
              <w:jc w:val="center"/>
              <w:rPr>
                <w:rFonts w:ascii="Times New Roman" w:hAnsi="Times New Roman" w:eastAsia="宋体"/>
                <w:color w:val="000000"/>
                <w:sz w:val="21"/>
                <w:szCs w:val="21"/>
              </w:rPr>
            </w:pPr>
            <w:r>
              <w:rPr>
                <w:rFonts w:hint="eastAsia" w:ascii="Times New Roman" w:hAnsi="Times New Roman" w:eastAsia="宋体"/>
                <w:color w:val="000000"/>
                <w:sz w:val="21"/>
                <w:szCs w:val="21"/>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8" w:type="dxa"/>
            <w:vAlign w:val="center"/>
          </w:tcPr>
          <w:p>
            <w:pPr>
              <w:widowControl w:val="0"/>
              <w:adjustRightInd w:val="0"/>
              <w:spacing w:after="0" w:line="240" w:lineRule="auto"/>
              <w:jc w:val="center"/>
              <w:rPr>
                <w:rFonts w:ascii="Times New Roman" w:hAnsi="Times New Roman" w:eastAsia="宋体"/>
                <w:color w:val="000000"/>
                <w:sz w:val="21"/>
                <w:szCs w:val="21"/>
              </w:rPr>
            </w:pPr>
            <w:r>
              <w:rPr>
                <w:rFonts w:hint="eastAsia" w:ascii="Times New Roman" w:hAnsi="Times New Roman" w:eastAsia="宋体"/>
                <w:color w:val="000000"/>
                <w:sz w:val="21"/>
                <w:szCs w:val="21"/>
              </w:rPr>
              <w:t>第二个解除限售期</w:t>
            </w:r>
          </w:p>
        </w:tc>
        <w:tc>
          <w:tcPr>
            <w:tcW w:w="4677" w:type="dxa"/>
            <w:vAlign w:val="center"/>
          </w:tcPr>
          <w:p>
            <w:pPr>
              <w:widowControl w:val="0"/>
              <w:adjustRightInd w:val="0"/>
              <w:spacing w:after="0" w:line="240" w:lineRule="auto"/>
              <w:rPr>
                <w:rFonts w:ascii="Times New Roman" w:hAnsi="Times New Roman" w:eastAsia="宋体"/>
                <w:color w:val="000000"/>
                <w:sz w:val="21"/>
                <w:szCs w:val="21"/>
              </w:rPr>
            </w:pPr>
            <w:r>
              <w:rPr>
                <w:rFonts w:hint="eastAsia" w:ascii="Times New Roman" w:hAnsi="Times New Roman" w:eastAsia="宋体"/>
                <w:color w:val="000000"/>
                <w:sz w:val="21"/>
                <w:szCs w:val="21"/>
              </w:rPr>
              <w:t>自预留授予之日起24个月后的首个交易日至预留授予之日起36个月内的最后一个交易日止</w:t>
            </w:r>
          </w:p>
        </w:tc>
        <w:tc>
          <w:tcPr>
            <w:tcW w:w="2181" w:type="dxa"/>
            <w:vAlign w:val="center"/>
          </w:tcPr>
          <w:p>
            <w:pPr>
              <w:widowControl w:val="0"/>
              <w:adjustRightInd w:val="0"/>
              <w:spacing w:after="0" w:line="240" w:lineRule="auto"/>
              <w:jc w:val="center"/>
              <w:rPr>
                <w:rFonts w:ascii="Times New Roman" w:hAnsi="Times New Roman" w:eastAsia="宋体"/>
                <w:color w:val="000000"/>
                <w:sz w:val="21"/>
                <w:szCs w:val="21"/>
              </w:rPr>
            </w:pPr>
            <w:r>
              <w:rPr>
                <w:rFonts w:hint="eastAsia" w:ascii="Times New Roman" w:hAnsi="Times New Roman" w:eastAsia="宋体"/>
                <w:color w:val="000000"/>
                <w:sz w:val="21"/>
                <w:szCs w:val="21"/>
              </w:rPr>
              <w:t>50%</w:t>
            </w:r>
          </w:p>
        </w:tc>
      </w:tr>
    </w:tbl>
    <w:p>
      <w:pPr>
        <w:keepNext/>
        <w:widowControl w:val="0"/>
        <w:adjustRightInd w:val="0"/>
        <w:spacing w:before="156" w:beforeLines="50" w:after="0" w:line="360" w:lineRule="auto"/>
        <w:ind w:firstLine="482" w:firstLineChars="200"/>
        <w:jc w:val="both"/>
        <w:rPr>
          <w:rFonts w:ascii="Times New Roman" w:hAnsi="Times New Roman"/>
          <w:b/>
          <w:color w:val="000000"/>
          <w:kern w:val="2"/>
          <w:sz w:val="24"/>
        </w:rPr>
      </w:pPr>
      <w:r>
        <w:rPr>
          <w:rFonts w:hint="eastAsia" w:ascii="Times New Roman" w:hAnsi="Times New Roman"/>
          <w:b/>
          <w:color w:val="000000"/>
          <w:kern w:val="2"/>
          <w:sz w:val="24"/>
        </w:rPr>
        <w:t>（四）本激励计划的禁售期</w:t>
      </w:r>
    </w:p>
    <w:p>
      <w:pPr>
        <w:widowControl w:val="0"/>
        <w:adjustRightInd w:val="0"/>
        <w:spacing w:before="156" w:beforeLines="50" w:after="0" w:line="360" w:lineRule="auto"/>
        <w:ind w:firstLine="480" w:firstLineChars="200"/>
        <w:jc w:val="both"/>
        <w:rPr>
          <w:rFonts w:ascii="Times New Roman" w:hAnsi="Times New Roman"/>
          <w:color w:val="000000"/>
          <w:sz w:val="24"/>
        </w:rPr>
      </w:pPr>
      <w:bookmarkStart w:id="13" w:name="_Hlk109339518"/>
      <w:r>
        <w:rPr>
          <w:rFonts w:hint="eastAsia" w:ascii="Times New Roman" w:hAnsi="Times New Roman"/>
          <w:color w:val="000000"/>
          <w:sz w:val="24"/>
        </w:rPr>
        <w:t>禁售期是指对激励对象解除限售后所获股票进行售出限制的时间段。本次限制性股票激励计划的限售规定按照《公司法》《证券法》等相关法律、法规、规范性文件和《公司章程》的规定执行，具体内容如下：</w:t>
      </w:r>
      <w:bookmarkEnd w:id="13"/>
    </w:p>
    <w:p>
      <w:pPr>
        <w:widowControl w:val="0"/>
        <w:adjustRightInd w:val="0"/>
        <w:spacing w:before="156" w:beforeLines="50" w:after="0" w:line="360" w:lineRule="auto"/>
        <w:ind w:firstLine="480" w:firstLineChars="200"/>
        <w:jc w:val="both"/>
        <w:rPr>
          <w:rFonts w:ascii="Times New Roman" w:hAnsi="Times New Roman"/>
          <w:color w:val="000000"/>
          <w:sz w:val="24"/>
        </w:rPr>
      </w:pPr>
      <w:r>
        <w:rPr>
          <w:rFonts w:hint="eastAsia" w:ascii="Times New Roman" w:hAnsi="Times New Roman"/>
          <w:color w:val="000000"/>
          <w:sz w:val="24"/>
        </w:rPr>
        <w:t>1、激励对象为公司董事和高级管理人员的，其在任职期间每年转让的股份不得超过其所持有本公司股份总数的25%，在离职后半年内，不得转让其所持有的本公司股份。</w:t>
      </w:r>
    </w:p>
    <w:p>
      <w:pPr>
        <w:widowControl w:val="0"/>
        <w:adjustRightInd w:val="0"/>
        <w:spacing w:before="156" w:beforeLines="50" w:after="0" w:line="360" w:lineRule="auto"/>
        <w:ind w:firstLine="480" w:firstLineChars="200"/>
        <w:jc w:val="both"/>
        <w:rPr>
          <w:rFonts w:ascii="Times New Roman" w:hAnsi="Times New Roman"/>
          <w:color w:val="000000"/>
          <w:sz w:val="24"/>
        </w:rPr>
      </w:pPr>
      <w:r>
        <w:rPr>
          <w:rFonts w:hint="eastAsia" w:ascii="Times New Roman" w:hAnsi="Times New Roman"/>
          <w:color w:val="000000"/>
          <w:sz w:val="24"/>
        </w:rPr>
        <w:t>2、激励对象为公司董事和高级管理人员的，将其持有的本公司股票在买入后6个月内卖出，或者在卖出后6个月内又买入，由此所得收益归本公司所有，本公司董事会将收回其所得收益。</w:t>
      </w:r>
    </w:p>
    <w:p>
      <w:pPr>
        <w:widowControl w:val="0"/>
        <w:adjustRightInd w:val="0"/>
        <w:spacing w:before="156" w:beforeLines="50" w:after="0" w:line="360" w:lineRule="auto"/>
        <w:ind w:firstLine="480" w:firstLineChars="200"/>
        <w:jc w:val="both"/>
        <w:rPr>
          <w:rFonts w:ascii="Times New Roman" w:hAnsi="Times New Roman"/>
          <w:color w:val="000000"/>
          <w:sz w:val="24"/>
        </w:rPr>
      </w:pPr>
      <w:r>
        <w:rPr>
          <w:rFonts w:hint="eastAsia" w:ascii="Times New Roman" w:hAnsi="Times New Roman"/>
          <w:color w:val="000000"/>
          <w:sz w:val="24"/>
        </w:rPr>
        <w:t>3、在本激励计划有效期内，如果《公司法》《证券法》《上市公司股东、董监高减持股份的若干规定》《上海证券交易所上市公司股东及董事、监事、高级管理人员减持股份实施细则》等有关法律、法规以及规范性文件和《公司章程》中对公司董事和高级管理人员或其他激励对象持有股份转让的有关规定发生了变化，则该部分激励对象转让其所持有的公司股票应当在转让时符合修改后的相关规定。</w:t>
      </w:r>
    </w:p>
    <w:p>
      <w:pPr>
        <w:keepNext/>
        <w:keepLines/>
        <w:spacing w:before="156" w:beforeLines="50" w:after="0" w:line="360" w:lineRule="auto"/>
        <w:jc w:val="both"/>
        <w:outlineLvl w:val="1"/>
        <w:rPr>
          <w:rFonts w:ascii="黑体" w:hAnsi="黑体"/>
          <w:b/>
          <w:color w:val="000000"/>
          <w:kern w:val="2"/>
          <w:sz w:val="28"/>
        </w:rPr>
      </w:pPr>
      <w:bookmarkStart w:id="14" w:name="_Toc112782119"/>
      <w:r>
        <w:rPr>
          <w:rFonts w:hint="eastAsia" w:ascii="黑体" w:hAnsi="黑体"/>
          <w:b/>
          <w:color w:val="000000"/>
          <w:kern w:val="2"/>
          <w:sz w:val="28"/>
        </w:rPr>
        <w:t>七、限制性股票的授予价格及确定方法</w:t>
      </w:r>
      <w:bookmarkEnd w:id="14"/>
    </w:p>
    <w:p>
      <w:pPr>
        <w:keepNext/>
        <w:keepLines/>
        <w:spacing w:before="156" w:beforeLines="50" w:after="0" w:line="360" w:lineRule="auto"/>
        <w:ind w:firstLine="482" w:firstLineChars="200"/>
        <w:jc w:val="both"/>
        <w:outlineLvl w:val="2"/>
        <w:rPr>
          <w:rFonts w:ascii="Times New Roman" w:hAnsi="Times New Roman"/>
          <w:b/>
          <w:color w:val="000000"/>
          <w:kern w:val="2"/>
          <w:sz w:val="24"/>
        </w:rPr>
      </w:pPr>
      <w:r>
        <w:rPr>
          <w:rFonts w:hint="eastAsia" w:ascii="Times New Roman" w:hAnsi="Times New Roman"/>
          <w:b/>
          <w:color w:val="000000"/>
          <w:kern w:val="2"/>
          <w:sz w:val="24"/>
        </w:rPr>
        <w:t>（一）限制性股票的授予价格</w:t>
      </w:r>
    </w:p>
    <w:p>
      <w:pPr>
        <w:widowControl w:val="0"/>
        <w:adjustRightInd w:val="0"/>
        <w:spacing w:before="156" w:beforeLines="50" w:after="0" w:line="360" w:lineRule="auto"/>
        <w:ind w:firstLine="480" w:firstLineChars="200"/>
        <w:jc w:val="both"/>
        <w:rPr>
          <w:rFonts w:ascii="Times New Roman" w:hAnsi="Times New Roman"/>
          <w:color w:val="000000"/>
          <w:sz w:val="24"/>
        </w:rPr>
      </w:pPr>
      <w:r>
        <w:rPr>
          <w:rFonts w:ascii="Times New Roman" w:hAnsi="Times New Roman"/>
          <w:color w:val="000000"/>
          <w:sz w:val="24"/>
        </w:rPr>
        <w:t>根据本计划授予价格的确定方法，本计划首次授予的限制性股票的授予价格为每股</w:t>
      </w:r>
      <w:r>
        <w:rPr>
          <w:rFonts w:hint="eastAsia" w:ascii="Times New Roman" w:hAnsi="Times New Roman"/>
          <w:color w:val="000000"/>
          <w:sz w:val="24"/>
        </w:rPr>
        <w:t>8</w:t>
      </w:r>
      <w:r>
        <w:rPr>
          <w:rFonts w:ascii="Times New Roman" w:hAnsi="Times New Roman"/>
          <w:color w:val="000000"/>
          <w:sz w:val="24"/>
        </w:rPr>
        <w:t>.09元。激励对象获授限制性股票所需资金以自筹方式解决，公司不得为激励对象依据本计划获得的有关权益提供贷款以及其他任何形式的财务资助。</w:t>
      </w:r>
    </w:p>
    <w:p>
      <w:pPr>
        <w:keepNext/>
        <w:keepLines/>
        <w:spacing w:before="156" w:beforeLines="50" w:after="0" w:line="360" w:lineRule="auto"/>
        <w:ind w:firstLine="482" w:firstLineChars="200"/>
        <w:jc w:val="both"/>
        <w:outlineLvl w:val="2"/>
        <w:rPr>
          <w:rFonts w:ascii="Times New Roman" w:hAnsi="Times New Roman"/>
          <w:b/>
          <w:color w:val="000000"/>
          <w:kern w:val="2"/>
          <w:sz w:val="24"/>
        </w:rPr>
      </w:pPr>
      <w:r>
        <w:rPr>
          <w:rFonts w:hint="eastAsia" w:ascii="Times New Roman" w:hAnsi="Times New Roman"/>
          <w:b/>
          <w:color w:val="000000"/>
          <w:kern w:val="2"/>
          <w:sz w:val="24"/>
        </w:rPr>
        <w:t>（二）限制性股票授予价格的确定方法</w:t>
      </w:r>
    </w:p>
    <w:p>
      <w:pPr>
        <w:widowControl w:val="0"/>
        <w:spacing w:before="156" w:beforeLines="50" w:after="156" w:afterLines="50" w:line="360" w:lineRule="auto"/>
        <w:ind w:firstLine="480" w:firstLineChars="200"/>
        <w:jc w:val="both"/>
        <w:rPr>
          <w:rFonts w:ascii="Times New Roman" w:hAnsi="Times New Roman"/>
          <w:color w:val="000000"/>
          <w:kern w:val="2"/>
          <w:sz w:val="24"/>
        </w:rPr>
      </w:pPr>
      <w:bookmarkStart w:id="15" w:name="_Hlk109380709"/>
      <w:r>
        <w:rPr>
          <w:rFonts w:ascii="Times New Roman" w:hAnsi="Times New Roman"/>
          <w:color w:val="000000"/>
          <w:kern w:val="2"/>
          <w:sz w:val="24"/>
        </w:rPr>
        <w:t>限制性股票的授予价格的定价基准日为本计划公布日。授予价格不得低于股票票面金额，且不得低于下列价格较高者：</w:t>
      </w:r>
    </w:p>
    <w:p>
      <w:pPr>
        <w:widowControl w:val="0"/>
        <w:spacing w:before="156" w:beforeLines="50" w:after="156" w:afterLines="50" w:line="360" w:lineRule="auto"/>
        <w:ind w:firstLine="480" w:firstLineChars="200"/>
        <w:jc w:val="both"/>
        <w:rPr>
          <w:rFonts w:ascii="Times New Roman" w:hAnsi="Times New Roman"/>
          <w:color w:val="000000"/>
          <w:kern w:val="2"/>
          <w:sz w:val="24"/>
        </w:rPr>
      </w:pPr>
      <w:r>
        <w:rPr>
          <w:rFonts w:ascii="Times New Roman" w:hAnsi="Times New Roman"/>
          <w:color w:val="000000"/>
          <w:kern w:val="2"/>
          <w:sz w:val="24"/>
        </w:rPr>
        <w:t>1、本计划公布前1个交易日的公司股票交易均价的50%</w:t>
      </w:r>
      <w:r>
        <w:rPr>
          <w:rFonts w:hint="eastAsia" w:ascii="Times New Roman" w:hAnsi="Times New Roman"/>
          <w:color w:val="000000"/>
          <w:kern w:val="2"/>
          <w:sz w:val="24"/>
        </w:rPr>
        <w:t>。</w:t>
      </w:r>
    </w:p>
    <w:p>
      <w:pPr>
        <w:widowControl w:val="0"/>
        <w:spacing w:before="156" w:beforeLines="50" w:after="156" w:afterLines="50" w:line="360" w:lineRule="auto"/>
        <w:ind w:firstLine="480" w:firstLineChars="200"/>
        <w:jc w:val="both"/>
        <w:rPr>
          <w:rFonts w:ascii="Times New Roman" w:hAnsi="Times New Roman"/>
          <w:color w:val="000000"/>
          <w:kern w:val="2"/>
          <w:sz w:val="24"/>
        </w:rPr>
      </w:pPr>
      <w:r>
        <w:rPr>
          <w:rFonts w:ascii="Times New Roman" w:hAnsi="Times New Roman"/>
          <w:color w:val="000000"/>
          <w:kern w:val="2"/>
          <w:sz w:val="24"/>
        </w:rPr>
        <w:t>2、本计划公布前</w:t>
      </w:r>
      <w:r>
        <w:rPr>
          <w:rFonts w:hint="eastAsia" w:ascii="Times New Roman" w:hAnsi="Times New Roman"/>
          <w:color w:val="000000"/>
          <w:kern w:val="2"/>
          <w:sz w:val="24"/>
        </w:rPr>
        <w:t>20</w:t>
      </w:r>
      <w:r>
        <w:rPr>
          <w:rFonts w:ascii="Times New Roman" w:hAnsi="Times New Roman"/>
          <w:color w:val="000000"/>
          <w:kern w:val="2"/>
          <w:sz w:val="24"/>
        </w:rPr>
        <w:t>个交易日</w:t>
      </w:r>
      <w:r>
        <w:rPr>
          <w:rFonts w:hint="eastAsia" w:ascii="Times New Roman" w:hAnsi="Times New Roman"/>
          <w:color w:val="000000"/>
          <w:kern w:val="2"/>
          <w:sz w:val="24"/>
        </w:rPr>
        <w:t>、</w:t>
      </w:r>
      <w:r>
        <w:rPr>
          <w:rFonts w:ascii="Times New Roman" w:hAnsi="Times New Roman"/>
          <w:color w:val="000000"/>
          <w:kern w:val="2"/>
          <w:sz w:val="24"/>
        </w:rPr>
        <w:t>前</w:t>
      </w:r>
      <w:r>
        <w:rPr>
          <w:rFonts w:hint="eastAsia" w:ascii="Times New Roman" w:hAnsi="Times New Roman"/>
          <w:color w:val="000000"/>
          <w:kern w:val="2"/>
          <w:sz w:val="24"/>
        </w:rPr>
        <w:t>60</w:t>
      </w:r>
      <w:r>
        <w:rPr>
          <w:rFonts w:ascii="Times New Roman" w:hAnsi="Times New Roman"/>
          <w:color w:val="000000"/>
          <w:kern w:val="2"/>
          <w:sz w:val="24"/>
        </w:rPr>
        <w:t>个交易日</w:t>
      </w:r>
      <w:r>
        <w:rPr>
          <w:rFonts w:hint="eastAsia" w:ascii="Times New Roman" w:hAnsi="Times New Roman"/>
          <w:color w:val="000000"/>
          <w:kern w:val="2"/>
          <w:sz w:val="24"/>
        </w:rPr>
        <w:t>或者120个</w:t>
      </w:r>
      <w:r>
        <w:rPr>
          <w:rFonts w:ascii="Times New Roman" w:hAnsi="Times New Roman"/>
          <w:color w:val="000000"/>
          <w:kern w:val="2"/>
          <w:sz w:val="24"/>
        </w:rPr>
        <w:t>交易日公司股票交易均价</w:t>
      </w:r>
      <w:r>
        <w:rPr>
          <w:rFonts w:hint="eastAsia" w:ascii="Times New Roman" w:hAnsi="Times New Roman"/>
          <w:color w:val="000000"/>
          <w:kern w:val="2"/>
          <w:sz w:val="24"/>
        </w:rPr>
        <w:t>之一</w:t>
      </w:r>
      <w:r>
        <w:rPr>
          <w:rFonts w:ascii="Times New Roman" w:hAnsi="Times New Roman"/>
          <w:color w:val="000000"/>
          <w:kern w:val="2"/>
          <w:sz w:val="24"/>
        </w:rPr>
        <w:t>的50%。</w:t>
      </w:r>
    </w:p>
    <w:p>
      <w:pPr>
        <w:widowControl w:val="0"/>
        <w:spacing w:before="156" w:beforeLines="50" w:after="156" w:afterLines="50" w:line="360" w:lineRule="auto"/>
        <w:ind w:firstLine="480" w:firstLineChars="200"/>
        <w:jc w:val="both"/>
        <w:rPr>
          <w:rFonts w:ascii="Times New Roman" w:hAnsi="Times New Roman"/>
          <w:color w:val="000000"/>
          <w:kern w:val="2"/>
          <w:sz w:val="24"/>
        </w:rPr>
      </w:pPr>
      <w:r>
        <w:rPr>
          <w:rFonts w:ascii="Times New Roman" w:hAnsi="Times New Roman"/>
          <w:color w:val="000000"/>
          <w:kern w:val="2"/>
          <w:sz w:val="24"/>
        </w:rPr>
        <w:t>预留授予的限制性股票在授予前，须召开董事会审议通过相关议案，授予价格不得低于股票票面金额，且不得低于下列价格较高者：</w:t>
      </w:r>
    </w:p>
    <w:p>
      <w:pPr>
        <w:widowControl w:val="0"/>
        <w:spacing w:before="156" w:beforeLines="50" w:after="156" w:afterLines="50" w:line="360" w:lineRule="auto"/>
        <w:ind w:firstLine="480" w:firstLineChars="200"/>
        <w:jc w:val="both"/>
        <w:rPr>
          <w:rFonts w:ascii="Times New Roman" w:hAnsi="Times New Roman"/>
          <w:color w:val="000000"/>
          <w:kern w:val="2"/>
          <w:sz w:val="24"/>
        </w:rPr>
      </w:pPr>
      <w:r>
        <w:rPr>
          <w:rFonts w:ascii="Times New Roman" w:hAnsi="Times New Roman"/>
          <w:color w:val="000000"/>
          <w:kern w:val="2"/>
          <w:sz w:val="24"/>
        </w:rPr>
        <w:t>1、预留限制性股票授予董事会决议公布前1个交易日的公司股票交易均价的50%</w:t>
      </w:r>
      <w:r>
        <w:rPr>
          <w:rFonts w:hint="eastAsia" w:ascii="Times New Roman" w:hAnsi="Times New Roman"/>
          <w:color w:val="000000"/>
          <w:kern w:val="2"/>
          <w:sz w:val="24"/>
        </w:rPr>
        <w:t>。</w:t>
      </w:r>
    </w:p>
    <w:p>
      <w:pPr>
        <w:widowControl w:val="0"/>
        <w:adjustRightInd w:val="0"/>
        <w:spacing w:before="156" w:beforeLines="50" w:after="0" w:line="360" w:lineRule="auto"/>
        <w:ind w:firstLine="480" w:firstLineChars="200"/>
        <w:jc w:val="both"/>
        <w:rPr>
          <w:rFonts w:ascii="Times New Roman" w:hAnsi="Times New Roman"/>
          <w:color w:val="000000"/>
          <w:kern w:val="2"/>
          <w:sz w:val="24"/>
        </w:rPr>
      </w:pPr>
      <w:r>
        <w:rPr>
          <w:rFonts w:ascii="Times New Roman" w:hAnsi="Times New Roman"/>
          <w:color w:val="000000"/>
          <w:kern w:val="2"/>
          <w:sz w:val="24"/>
        </w:rPr>
        <w:t>2、预留限制性股票授予董事会决议公布前</w:t>
      </w:r>
      <w:r>
        <w:rPr>
          <w:rFonts w:hint="eastAsia" w:ascii="Times New Roman" w:hAnsi="Times New Roman"/>
          <w:color w:val="000000"/>
          <w:kern w:val="2"/>
          <w:sz w:val="24"/>
        </w:rPr>
        <w:t>20</w:t>
      </w:r>
      <w:r>
        <w:rPr>
          <w:rFonts w:ascii="Times New Roman" w:hAnsi="Times New Roman"/>
          <w:color w:val="000000"/>
          <w:kern w:val="2"/>
          <w:sz w:val="24"/>
        </w:rPr>
        <w:t>个交易日</w:t>
      </w:r>
      <w:r>
        <w:rPr>
          <w:rFonts w:hint="eastAsia" w:ascii="Times New Roman" w:hAnsi="Times New Roman"/>
          <w:color w:val="000000"/>
          <w:kern w:val="2"/>
          <w:sz w:val="24"/>
        </w:rPr>
        <w:t>、</w:t>
      </w:r>
      <w:r>
        <w:rPr>
          <w:rFonts w:ascii="Times New Roman" w:hAnsi="Times New Roman"/>
          <w:color w:val="000000"/>
          <w:kern w:val="2"/>
          <w:sz w:val="24"/>
        </w:rPr>
        <w:t>前</w:t>
      </w:r>
      <w:r>
        <w:rPr>
          <w:rFonts w:hint="eastAsia" w:ascii="Times New Roman" w:hAnsi="Times New Roman"/>
          <w:color w:val="000000"/>
          <w:kern w:val="2"/>
          <w:sz w:val="24"/>
        </w:rPr>
        <w:t>60</w:t>
      </w:r>
      <w:r>
        <w:rPr>
          <w:rFonts w:ascii="Times New Roman" w:hAnsi="Times New Roman"/>
          <w:color w:val="000000"/>
          <w:kern w:val="2"/>
          <w:sz w:val="24"/>
        </w:rPr>
        <w:t>个交易日</w:t>
      </w:r>
      <w:r>
        <w:rPr>
          <w:rFonts w:hint="eastAsia" w:ascii="Times New Roman" w:hAnsi="Times New Roman"/>
          <w:color w:val="000000"/>
          <w:kern w:val="2"/>
          <w:sz w:val="24"/>
        </w:rPr>
        <w:t>或者120个</w:t>
      </w:r>
      <w:r>
        <w:rPr>
          <w:rFonts w:ascii="Times New Roman" w:hAnsi="Times New Roman"/>
          <w:color w:val="000000"/>
          <w:kern w:val="2"/>
          <w:sz w:val="24"/>
        </w:rPr>
        <w:t>交易日公司股票交易均价</w:t>
      </w:r>
      <w:r>
        <w:rPr>
          <w:rFonts w:hint="eastAsia" w:ascii="Times New Roman" w:hAnsi="Times New Roman"/>
          <w:color w:val="000000"/>
          <w:kern w:val="2"/>
          <w:sz w:val="24"/>
        </w:rPr>
        <w:t>之一</w:t>
      </w:r>
      <w:r>
        <w:rPr>
          <w:rFonts w:ascii="Times New Roman" w:hAnsi="Times New Roman"/>
          <w:color w:val="000000"/>
          <w:kern w:val="2"/>
          <w:sz w:val="24"/>
        </w:rPr>
        <w:t>的50%。</w:t>
      </w:r>
    </w:p>
    <w:p>
      <w:pPr>
        <w:widowControl w:val="0"/>
        <w:adjustRightInd w:val="0"/>
        <w:spacing w:before="156" w:beforeLines="50" w:after="0" w:line="360" w:lineRule="auto"/>
        <w:ind w:firstLine="480" w:firstLineChars="200"/>
        <w:jc w:val="both"/>
        <w:rPr>
          <w:rFonts w:ascii="Times New Roman" w:hAnsi="Times New Roman"/>
          <w:color w:val="000000"/>
          <w:sz w:val="24"/>
        </w:rPr>
      </w:pPr>
      <w:r>
        <w:rPr>
          <w:rFonts w:hint="eastAsia" w:ascii="Times New Roman" w:hAnsi="Times New Roman"/>
          <w:color w:val="000000"/>
          <w:sz w:val="24"/>
        </w:rPr>
        <w:t>本激励计划草案公布前1个交易日交易均价为每股</w:t>
      </w:r>
      <w:r>
        <w:rPr>
          <w:rFonts w:ascii="Times New Roman" w:hAnsi="Times New Roman" w:eastAsia="宋体" w:cs="Times New Roman"/>
          <w:color w:val="000000"/>
          <w:sz w:val="24"/>
          <w:szCs w:val="24"/>
        </w:rPr>
        <w:t>16.18</w:t>
      </w:r>
      <w:r>
        <w:rPr>
          <w:rFonts w:hint="eastAsia" w:ascii="Times New Roman" w:hAnsi="Times New Roman"/>
          <w:color w:val="000000"/>
          <w:sz w:val="24"/>
        </w:rPr>
        <w:t>元，本次授予价格占前1个交易日交易均价的</w:t>
      </w:r>
      <w:r>
        <w:rPr>
          <w:rFonts w:ascii="Times New Roman" w:hAnsi="Times New Roman" w:eastAsia="宋体" w:cs="Times New Roman"/>
          <w:color w:val="000000"/>
          <w:sz w:val="24"/>
          <w:szCs w:val="24"/>
        </w:rPr>
        <w:t>50.00</w:t>
      </w:r>
      <w:r>
        <w:rPr>
          <w:rFonts w:hint="eastAsia" w:ascii="Times New Roman" w:hAnsi="Times New Roman"/>
          <w:color w:val="000000"/>
          <w:sz w:val="24"/>
        </w:rPr>
        <w:t>%；</w:t>
      </w:r>
    </w:p>
    <w:p>
      <w:pPr>
        <w:widowControl w:val="0"/>
        <w:adjustRightInd w:val="0"/>
        <w:spacing w:before="156" w:beforeLines="50" w:after="0" w:line="360" w:lineRule="auto"/>
        <w:ind w:firstLine="480" w:firstLineChars="200"/>
        <w:jc w:val="both"/>
        <w:rPr>
          <w:rFonts w:ascii="Times New Roman" w:hAnsi="Times New Roman"/>
          <w:color w:val="000000"/>
          <w:sz w:val="24"/>
        </w:rPr>
      </w:pPr>
      <w:r>
        <w:rPr>
          <w:rFonts w:hint="eastAsia" w:ascii="Times New Roman" w:hAnsi="Times New Roman"/>
          <w:color w:val="000000"/>
          <w:sz w:val="24"/>
        </w:rPr>
        <w:t>本激励计划草案公布前20个交易日交易均价为每股</w:t>
      </w:r>
      <w:r>
        <w:rPr>
          <w:rFonts w:hint="eastAsia" w:ascii="Times New Roman" w:hAnsi="Times New Roman" w:eastAsia="宋体" w:cs="Times New Roman"/>
          <w:color w:val="000000"/>
          <w:sz w:val="24"/>
          <w:szCs w:val="24"/>
        </w:rPr>
        <w:t>1</w:t>
      </w:r>
      <w:r>
        <w:rPr>
          <w:rFonts w:ascii="Times New Roman" w:hAnsi="Times New Roman" w:eastAsia="宋体" w:cs="Times New Roman"/>
          <w:color w:val="000000"/>
          <w:sz w:val="24"/>
          <w:szCs w:val="24"/>
        </w:rPr>
        <w:t>6.14</w:t>
      </w:r>
      <w:r>
        <w:rPr>
          <w:rFonts w:hint="eastAsia" w:ascii="Times New Roman" w:hAnsi="Times New Roman"/>
          <w:color w:val="000000"/>
          <w:sz w:val="24"/>
        </w:rPr>
        <w:t>元，本次授予价格占前20个交易日交易均价的</w:t>
      </w:r>
      <w:r>
        <w:rPr>
          <w:rFonts w:ascii="Times New Roman" w:hAnsi="Times New Roman" w:eastAsia="宋体" w:cs="Times New Roman"/>
          <w:color w:val="000000"/>
          <w:sz w:val="24"/>
          <w:szCs w:val="24"/>
        </w:rPr>
        <w:t>50.12</w:t>
      </w:r>
      <w:r>
        <w:rPr>
          <w:rFonts w:hint="eastAsia" w:ascii="Times New Roman" w:hAnsi="Times New Roman"/>
          <w:color w:val="000000"/>
          <w:sz w:val="24"/>
        </w:rPr>
        <w:t>%；</w:t>
      </w:r>
    </w:p>
    <w:p>
      <w:pPr>
        <w:widowControl w:val="0"/>
        <w:adjustRightInd w:val="0"/>
        <w:spacing w:before="156" w:beforeLines="50" w:after="0" w:line="360" w:lineRule="auto"/>
        <w:ind w:firstLine="480" w:firstLineChars="200"/>
        <w:jc w:val="both"/>
        <w:rPr>
          <w:rFonts w:ascii="Times New Roman" w:hAnsi="Times New Roman"/>
          <w:color w:val="000000"/>
          <w:sz w:val="24"/>
        </w:rPr>
      </w:pPr>
      <w:r>
        <w:rPr>
          <w:rFonts w:hint="eastAsia" w:ascii="Times New Roman" w:hAnsi="Times New Roman"/>
          <w:color w:val="000000"/>
          <w:sz w:val="24"/>
        </w:rPr>
        <w:t>本激励计划草案公布前60个交易日交易均价为每股</w:t>
      </w:r>
      <w:r>
        <w:rPr>
          <w:rFonts w:ascii="Times New Roman" w:hAnsi="Times New Roman" w:eastAsia="宋体" w:cs="Times New Roman"/>
          <w:color w:val="000000"/>
          <w:sz w:val="24"/>
          <w:szCs w:val="24"/>
        </w:rPr>
        <w:t>15.82</w:t>
      </w:r>
      <w:r>
        <w:rPr>
          <w:rFonts w:hint="eastAsia" w:ascii="Times New Roman" w:hAnsi="Times New Roman"/>
          <w:color w:val="000000"/>
          <w:sz w:val="24"/>
        </w:rPr>
        <w:t>元，本次授予价格占前60个交易日交易均价的</w:t>
      </w:r>
      <w:r>
        <w:rPr>
          <w:rFonts w:ascii="Times New Roman" w:hAnsi="Times New Roman" w:eastAsia="宋体" w:cs="Times New Roman"/>
          <w:color w:val="000000"/>
          <w:sz w:val="24"/>
          <w:szCs w:val="24"/>
        </w:rPr>
        <w:t>51.14</w:t>
      </w:r>
      <w:r>
        <w:rPr>
          <w:rFonts w:hint="eastAsia" w:ascii="Times New Roman" w:hAnsi="Times New Roman"/>
          <w:color w:val="000000"/>
          <w:sz w:val="24"/>
        </w:rPr>
        <w:t>%；</w:t>
      </w:r>
    </w:p>
    <w:p>
      <w:pPr>
        <w:widowControl w:val="0"/>
        <w:adjustRightInd w:val="0"/>
        <w:spacing w:before="156" w:beforeLines="50" w:after="0" w:line="360" w:lineRule="auto"/>
        <w:ind w:firstLine="480" w:firstLineChars="200"/>
        <w:jc w:val="both"/>
        <w:rPr>
          <w:rFonts w:ascii="Times New Roman" w:hAnsi="Times New Roman" w:eastAsia="宋体" w:cs="Times New Roman"/>
          <w:color w:val="000000"/>
          <w:sz w:val="24"/>
          <w:szCs w:val="24"/>
        </w:rPr>
      </w:pPr>
      <w:r>
        <w:rPr>
          <w:rFonts w:hint="eastAsia" w:ascii="Times New Roman" w:hAnsi="Times New Roman"/>
          <w:color w:val="000000"/>
          <w:sz w:val="24"/>
        </w:rPr>
        <w:t>本激励计划草案公布前120个交易日交易均价为每股</w:t>
      </w:r>
      <w:r>
        <w:rPr>
          <w:rFonts w:ascii="Times New Roman" w:hAnsi="Times New Roman" w:eastAsia="宋体" w:cs="Times New Roman"/>
          <w:color w:val="000000"/>
          <w:sz w:val="24"/>
          <w:szCs w:val="24"/>
        </w:rPr>
        <w:t>16.54</w:t>
      </w:r>
      <w:r>
        <w:rPr>
          <w:rFonts w:hint="eastAsia" w:ascii="Times New Roman" w:hAnsi="Times New Roman"/>
          <w:color w:val="000000"/>
          <w:sz w:val="24"/>
        </w:rPr>
        <w:t>元，本次授予价格占前120个交易日交易均价的</w:t>
      </w:r>
      <w:r>
        <w:rPr>
          <w:rFonts w:ascii="Times New Roman" w:hAnsi="Times New Roman" w:eastAsia="宋体" w:cs="Times New Roman"/>
          <w:color w:val="000000"/>
          <w:sz w:val="24"/>
          <w:szCs w:val="24"/>
        </w:rPr>
        <w:t>48.91</w:t>
      </w:r>
      <w:r>
        <w:rPr>
          <w:rFonts w:hint="eastAsia" w:ascii="Times New Roman" w:hAnsi="Times New Roman" w:eastAsia="宋体" w:cs="Times New Roman"/>
          <w:color w:val="000000"/>
          <w:sz w:val="24"/>
          <w:szCs w:val="24"/>
        </w:rPr>
        <w:t>%。</w:t>
      </w:r>
    </w:p>
    <w:bookmarkEnd w:id="15"/>
    <w:p>
      <w:pPr>
        <w:keepNext/>
        <w:keepLines/>
        <w:spacing w:before="156" w:beforeLines="50" w:after="0" w:line="360" w:lineRule="auto"/>
        <w:jc w:val="both"/>
        <w:outlineLvl w:val="1"/>
        <w:rPr>
          <w:rFonts w:ascii="黑体" w:hAnsi="黑体"/>
          <w:color w:val="000000"/>
          <w:kern w:val="2"/>
        </w:rPr>
      </w:pPr>
      <w:bookmarkStart w:id="16" w:name="_Toc112782120"/>
      <w:r>
        <w:rPr>
          <w:rFonts w:hint="eastAsia" w:ascii="黑体" w:hAnsi="黑体"/>
          <w:b/>
          <w:color w:val="000000"/>
          <w:kern w:val="2"/>
          <w:sz w:val="28"/>
        </w:rPr>
        <w:t>八、限制性股票的授予与解除限售条件</w:t>
      </w:r>
      <w:bookmarkEnd w:id="16"/>
    </w:p>
    <w:p>
      <w:pPr>
        <w:keepNext/>
        <w:keepLines/>
        <w:spacing w:before="156" w:beforeLines="50" w:after="0" w:line="360" w:lineRule="auto"/>
        <w:ind w:firstLine="482" w:firstLineChars="200"/>
        <w:jc w:val="both"/>
        <w:outlineLvl w:val="2"/>
        <w:rPr>
          <w:rFonts w:ascii="Times New Roman" w:hAnsi="Times New Roman"/>
          <w:b/>
          <w:color w:val="000000"/>
          <w:kern w:val="2"/>
          <w:sz w:val="24"/>
        </w:rPr>
      </w:pPr>
      <w:r>
        <w:rPr>
          <w:rFonts w:hint="eastAsia" w:ascii="Times New Roman" w:hAnsi="Times New Roman"/>
          <w:b/>
          <w:color w:val="000000"/>
          <w:kern w:val="2"/>
          <w:sz w:val="24"/>
        </w:rPr>
        <w:t>（一）限制性股票的授予条件</w:t>
      </w:r>
    </w:p>
    <w:p>
      <w:pPr>
        <w:widowControl w:val="0"/>
        <w:adjustRightInd w:val="0"/>
        <w:spacing w:before="156" w:beforeLines="50" w:after="0" w:line="360" w:lineRule="auto"/>
        <w:ind w:firstLine="480" w:firstLineChars="200"/>
        <w:jc w:val="both"/>
        <w:rPr>
          <w:rFonts w:ascii="Times New Roman" w:hAnsi="Times New Roman"/>
          <w:color w:val="000000"/>
          <w:kern w:val="2"/>
          <w:sz w:val="24"/>
        </w:rPr>
      </w:pPr>
      <w:r>
        <w:rPr>
          <w:rFonts w:hint="eastAsia" w:ascii="Times New Roman" w:hAnsi="Times New Roman"/>
          <w:color w:val="000000"/>
          <w:kern w:val="2"/>
          <w:sz w:val="24"/>
        </w:rPr>
        <w:t>同时满足下列授予条件时，公司向激励对象授予限制性股票，反之，若下列任一授予条件未达成的，则不能向激励对象授予限制性股票。</w:t>
      </w:r>
    </w:p>
    <w:p>
      <w:pPr>
        <w:widowControl w:val="0"/>
        <w:adjustRightInd w:val="0"/>
        <w:spacing w:before="156" w:beforeLines="50" w:after="0" w:line="360" w:lineRule="auto"/>
        <w:ind w:firstLine="480" w:firstLineChars="200"/>
        <w:jc w:val="both"/>
        <w:rPr>
          <w:rFonts w:ascii="Times New Roman" w:hAnsi="Times New Roman"/>
          <w:color w:val="000000"/>
          <w:kern w:val="2"/>
          <w:sz w:val="24"/>
        </w:rPr>
      </w:pPr>
      <w:r>
        <w:rPr>
          <w:rFonts w:hint="eastAsia" w:ascii="Times New Roman" w:hAnsi="Times New Roman"/>
          <w:color w:val="000000"/>
          <w:kern w:val="2"/>
          <w:sz w:val="24"/>
        </w:rPr>
        <w:t>1、公司未发生如下任一情形：</w:t>
      </w:r>
    </w:p>
    <w:p>
      <w:pPr>
        <w:widowControl w:val="0"/>
        <w:adjustRightInd w:val="0"/>
        <w:spacing w:before="156" w:beforeLines="50" w:after="0" w:line="360" w:lineRule="auto"/>
        <w:ind w:firstLine="480" w:firstLineChars="200"/>
        <w:jc w:val="both"/>
        <w:rPr>
          <w:rFonts w:ascii="Times New Roman" w:hAnsi="Times New Roman"/>
          <w:color w:val="000000"/>
          <w:kern w:val="2"/>
          <w:sz w:val="24"/>
        </w:rPr>
      </w:pPr>
      <w:r>
        <w:rPr>
          <w:rFonts w:ascii="Times New Roman" w:hAnsi="Times New Roman"/>
          <w:color w:val="000000"/>
          <w:kern w:val="2"/>
          <w:sz w:val="24"/>
        </w:rPr>
        <w:t>（1）</w:t>
      </w:r>
      <w:r>
        <w:rPr>
          <w:rFonts w:hint="eastAsia" w:ascii="Times New Roman" w:hAnsi="Times New Roman"/>
          <w:color w:val="000000"/>
          <w:kern w:val="2"/>
          <w:sz w:val="24"/>
        </w:rPr>
        <w:t>最近一个会计年度财务会计报告被注册会计师出具否定意见或者无法表示意见的审计报告；</w:t>
      </w:r>
    </w:p>
    <w:p>
      <w:pPr>
        <w:widowControl w:val="0"/>
        <w:adjustRightInd w:val="0"/>
        <w:spacing w:before="156" w:beforeLines="50" w:after="0" w:line="360" w:lineRule="auto"/>
        <w:ind w:firstLine="480" w:firstLineChars="200"/>
        <w:jc w:val="both"/>
        <w:rPr>
          <w:rFonts w:ascii="Times New Roman" w:hAnsi="Times New Roman"/>
          <w:color w:val="000000"/>
          <w:kern w:val="2"/>
          <w:sz w:val="24"/>
        </w:rPr>
      </w:pPr>
      <w:r>
        <w:rPr>
          <w:rFonts w:hint="eastAsia" w:ascii="Times New Roman" w:hAnsi="Times New Roman"/>
          <w:color w:val="000000"/>
          <w:kern w:val="2"/>
          <w:sz w:val="24"/>
        </w:rPr>
        <w:t>（2）最近一个会计年度财务报告内部控制被注册会计师出具否定意见或者无法表示意见的审计报告；</w:t>
      </w:r>
    </w:p>
    <w:p>
      <w:pPr>
        <w:widowControl w:val="0"/>
        <w:adjustRightInd w:val="0"/>
        <w:spacing w:before="156" w:beforeLines="50" w:after="0" w:line="360" w:lineRule="auto"/>
        <w:ind w:firstLine="480" w:firstLineChars="200"/>
        <w:jc w:val="both"/>
        <w:rPr>
          <w:rFonts w:ascii="Times New Roman" w:hAnsi="Times New Roman"/>
          <w:color w:val="000000"/>
          <w:kern w:val="2"/>
          <w:sz w:val="24"/>
        </w:rPr>
      </w:pPr>
      <w:r>
        <w:rPr>
          <w:rFonts w:hint="eastAsia" w:ascii="Times New Roman" w:hAnsi="Times New Roman"/>
          <w:color w:val="000000"/>
          <w:kern w:val="2"/>
          <w:sz w:val="24"/>
        </w:rPr>
        <w:t>（3）上市后最近36个月内出现过未按法律法规、公司章程、公开承诺进行利润分配的情形；</w:t>
      </w:r>
    </w:p>
    <w:p>
      <w:pPr>
        <w:widowControl w:val="0"/>
        <w:adjustRightInd w:val="0"/>
        <w:spacing w:before="156" w:beforeLines="50" w:after="0" w:line="360" w:lineRule="auto"/>
        <w:ind w:firstLine="480" w:firstLineChars="200"/>
        <w:jc w:val="both"/>
        <w:rPr>
          <w:rFonts w:ascii="Times New Roman" w:hAnsi="Times New Roman"/>
          <w:color w:val="000000"/>
          <w:kern w:val="2"/>
          <w:sz w:val="24"/>
        </w:rPr>
      </w:pPr>
      <w:r>
        <w:rPr>
          <w:rFonts w:hint="eastAsia" w:ascii="Times New Roman" w:hAnsi="Times New Roman"/>
          <w:color w:val="000000"/>
          <w:kern w:val="2"/>
          <w:sz w:val="24"/>
        </w:rPr>
        <w:t>（4）法律法规规定不得实行股权激励的；</w:t>
      </w:r>
    </w:p>
    <w:p>
      <w:pPr>
        <w:widowControl w:val="0"/>
        <w:adjustRightInd w:val="0"/>
        <w:spacing w:before="156" w:beforeLines="50" w:after="0" w:line="360" w:lineRule="auto"/>
        <w:ind w:firstLine="480" w:firstLineChars="200"/>
        <w:jc w:val="both"/>
        <w:rPr>
          <w:rFonts w:ascii="Times New Roman" w:hAnsi="Times New Roman"/>
          <w:color w:val="000000"/>
          <w:kern w:val="2"/>
          <w:sz w:val="24"/>
        </w:rPr>
      </w:pPr>
      <w:r>
        <w:rPr>
          <w:rFonts w:hint="eastAsia" w:ascii="Times New Roman" w:hAnsi="Times New Roman"/>
          <w:color w:val="000000"/>
          <w:kern w:val="2"/>
          <w:sz w:val="24"/>
        </w:rPr>
        <w:t>（5）中国证监会认定的其他情形。</w:t>
      </w:r>
    </w:p>
    <w:p>
      <w:pPr>
        <w:widowControl w:val="0"/>
        <w:adjustRightInd w:val="0"/>
        <w:spacing w:before="156" w:beforeLines="50" w:after="0" w:line="360" w:lineRule="auto"/>
        <w:ind w:firstLine="480" w:firstLineChars="200"/>
        <w:jc w:val="both"/>
        <w:rPr>
          <w:rFonts w:ascii="Times New Roman" w:hAnsi="Times New Roman"/>
          <w:color w:val="000000"/>
          <w:kern w:val="2"/>
          <w:sz w:val="24"/>
        </w:rPr>
      </w:pPr>
      <w:r>
        <w:rPr>
          <w:rFonts w:hint="eastAsia" w:ascii="Times New Roman" w:hAnsi="Times New Roman"/>
          <w:color w:val="000000"/>
          <w:kern w:val="2"/>
          <w:sz w:val="24"/>
        </w:rPr>
        <w:t>2、激励对象未发生如下任一情形：</w:t>
      </w:r>
    </w:p>
    <w:p>
      <w:pPr>
        <w:widowControl w:val="0"/>
        <w:adjustRightInd w:val="0"/>
        <w:spacing w:before="156" w:beforeLines="50" w:after="0" w:line="360" w:lineRule="auto"/>
        <w:ind w:firstLine="480" w:firstLineChars="200"/>
        <w:jc w:val="both"/>
        <w:rPr>
          <w:rFonts w:ascii="Times New Roman" w:hAnsi="Times New Roman"/>
          <w:color w:val="000000"/>
          <w:kern w:val="2"/>
          <w:sz w:val="24"/>
        </w:rPr>
      </w:pPr>
      <w:r>
        <w:rPr>
          <w:rFonts w:hint="eastAsia" w:ascii="Times New Roman" w:hAnsi="Times New Roman"/>
          <w:color w:val="000000"/>
          <w:kern w:val="2"/>
          <w:sz w:val="24"/>
        </w:rPr>
        <w:t>（1）最近12个月内被证券交易所认定为不适当人选；</w:t>
      </w:r>
    </w:p>
    <w:p>
      <w:pPr>
        <w:widowControl w:val="0"/>
        <w:adjustRightInd w:val="0"/>
        <w:spacing w:before="156" w:beforeLines="50" w:after="0" w:line="360" w:lineRule="auto"/>
        <w:ind w:firstLine="480" w:firstLineChars="200"/>
        <w:jc w:val="both"/>
        <w:rPr>
          <w:rFonts w:ascii="Times New Roman" w:hAnsi="Times New Roman"/>
          <w:color w:val="000000"/>
          <w:kern w:val="2"/>
          <w:sz w:val="24"/>
        </w:rPr>
      </w:pPr>
      <w:r>
        <w:rPr>
          <w:rFonts w:hint="eastAsia" w:ascii="Times New Roman" w:hAnsi="Times New Roman"/>
          <w:color w:val="000000"/>
          <w:kern w:val="2"/>
          <w:sz w:val="24"/>
        </w:rPr>
        <w:t>（2）最近12个月内被中国证监会及其派出机构认定为不适当人选；</w:t>
      </w:r>
    </w:p>
    <w:p>
      <w:pPr>
        <w:widowControl w:val="0"/>
        <w:adjustRightInd w:val="0"/>
        <w:spacing w:before="156" w:beforeLines="50" w:after="0" w:line="360" w:lineRule="auto"/>
        <w:ind w:firstLine="480" w:firstLineChars="200"/>
        <w:jc w:val="both"/>
        <w:rPr>
          <w:rFonts w:ascii="Times New Roman" w:hAnsi="Times New Roman"/>
          <w:color w:val="000000"/>
          <w:kern w:val="2"/>
          <w:sz w:val="24"/>
        </w:rPr>
      </w:pPr>
      <w:r>
        <w:rPr>
          <w:rFonts w:hint="eastAsia" w:ascii="Times New Roman" w:hAnsi="Times New Roman"/>
          <w:color w:val="000000"/>
          <w:kern w:val="2"/>
          <w:sz w:val="24"/>
        </w:rPr>
        <w:t>（3）最近12个月内因重大违法违规行为被中国证监会及其派出机构行政处罚或者采取市场禁入措施；</w:t>
      </w:r>
    </w:p>
    <w:p>
      <w:pPr>
        <w:widowControl w:val="0"/>
        <w:adjustRightInd w:val="0"/>
        <w:spacing w:before="156" w:beforeLines="50" w:after="0" w:line="360" w:lineRule="auto"/>
        <w:ind w:firstLine="480" w:firstLineChars="200"/>
        <w:jc w:val="both"/>
        <w:rPr>
          <w:rFonts w:ascii="Times New Roman" w:hAnsi="Times New Roman"/>
          <w:color w:val="000000"/>
          <w:kern w:val="2"/>
          <w:sz w:val="24"/>
        </w:rPr>
      </w:pPr>
      <w:r>
        <w:rPr>
          <w:rFonts w:hint="eastAsia" w:ascii="Times New Roman" w:hAnsi="Times New Roman"/>
          <w:color w:val="000000"/>
          <w:kern w:val="2"/>
          <w:sz w:val="24"/>
        </w:rPr>
        <w:t>（4）具有《公司法》规定的不得担任公司董事、高级管理人员情形的；</w:t>
      </w:r>
    </w:p>
    <w:p>
      <w:pPr>
        <w:widowControl w:val="0"/>
        <w:adjustRightInd w:val="0"/>
        <w:spacing w:before="156" w:beforeLines="50" w:after="0" w:line="360" w:lineRule="auto"/>
        <w:ind w:firstLine="480" w:firstLineChars="200"/>
        <w:jc w:val="both"/>
        <w:rPr>
          <w:rFonts w:ascii="Times New Roman" w:hAnsi="Times New Roman"/>
          <w:color w:val="000000"/>
          <w:kern w:val="2"/>
          <w:sz w:val="24"/>
        </w:rPr>
      </w:pPr>
      <w:r>
        <w:rPr>
          <w:rFonts w:hint="eastAsia" w:ascii="Times New Roman" w:hAnsi="Times New Roman"/>
          <w:color w:val="000000"/>
          <w:kern w:val="2"/>
          <w:sz w:val="24"/>
        </w:rPr>
        <w:t>（5）法律法规规定不得参与上市公司股权激励的；</w:t>
      </w:r>
    </w:p>
    <w:p>
      <w:pPr>
        <w:widowControl w:val="0"/>
        <w:adjustRightInd w:val="0"/>
        <w:spacing w:before="156" w:beforeLines="50" w:after="0" w:line="360" w:lineRule="auto"/>
        <w:ind w:firstLine="480" w:firstLineChars="200"/>
        <w:jc w:val="both"/>
        <w:rPr>
          <w:rFonts w:ascii="Times New Roman" w:hAnsi="Times New Roman"/>
          <w:color w:val="000000"/>
          <w:kern w:val="2"/>
          <w:sz w:val="24"/>
        </w:rPr>
      </w:pPr>
      <w:r>
        <w:rPr>
          <w:rFonts w:hint="eastAsia" w:ascii="Times New Roman" w:hAnsi="Times New Roman"/>
          <w:color w:val="000000"/>
          <w:kern w:val="2"/>
          <w:sz w:val="24"/>
        </w:rPr>
        <w:t>（6）中国证监会认定的其他情形。</w:t>
      </w:r>
    </w:p>
    <w:p>
      <w:pPr>
        <w:keepNext/>
        <w:keepLines/>
        <w:spacing w:before="156" w:beforeLines="50" w:after="0" w:line="360" w:lineRule="auto"/>
        <w:ind w:firstLine="482" w:firstLineChars="200"/>
        <w:jc w:val="both"/>
        <w:outlineLvl w:val="2"/>
        <w:rPr>
          <w:rFonts w:ascii="Times New Roman" w:hAnsi="Times New Roman"/>
          <w:b/>
          <w:color w:val="000000"/>
          <w:kern w:val="2"/>
          <w:sz w:val="24"/>
        </w:rPr>
      </w:pPr>
      <w:r>
        <w:rPr>
          <w:rFonts w:hint="eastAsia" w:ascii="Times New Roman" w:hAnsi="Times New Roman"/>
          <w:b/>
          <w:color w:val="000000"/>
          <w:kern w:val="2"/>
          <w:sz w:val="24"/>
        </w:rPr>
        <w:t>（二）限制性股票的解除限售条件</w:t>
      </w:r>
    </w:p>
    <w:p>
      <w:pPr>
        <w:widowControl w:val="0"/>
        <w:adjustRightInd w:val="0"/>
        <w:spacing w:before="156" w:beforeLines="50" w:after="0" w:line="360" w:lineRule="auto"/>
        <w:ind w:firstLine="480" w:firstLineChars="200"/>
        <w:jc w:val="both"/>
        <w:rPr>
          <w:rFonts w:ascii="Times New Roman" w:hAnsi="Times New Roman"/>
          <w:color w:val="000000"/>
          <w:kern w:val="2"/>
          <w:sz w:val="24"/>
        </w:rPr>
      </w:pPr>
      <w:bookmarkStart w:id="17" w:name="_Hlk109340152"/>
      <w:r>
        <w:rPr>
          <w:rFonts w:hint="eastAsia" w:ascii="Times New Roman" w:hAnsi="Times New Roman"/>
          <w:color w:val="000000"/>
          <w:kern w:val="2"/>
          <w:sz w:val="24"/>
        </w:rPr>
        <w:t>解除限售期内，同时满足下列条件，方可依据本计划对授予的限制性股票进行解除限售</w:t>
      </w:r>
      <w:bookmarkEnd w:id="17"/>
      <w:r>
        <w:rPr>
          <w:rFonts w:hint="eastAsia" w:ascii="Times New Roman" w:hAnsi="Times New Roman"/>
          <w:color w:val="000000"/>
          <w:kern w:val="2"/>
          <w:sz w:val="24"/>
        </w:rPr>
        <w:t>：</w:t>
      </w:r>
    </w:p>
    <w:p>
      <w:pPr>
        <w:widowControl w:val="0"/>
        <w:adjustRightInd w:val="0"/>
        <w:spacing w:before="156" w:beforeLines="50" w:after="0" w:line="360" w:lineRule="auto"/>
        <w:ind w:firstLine="480" w:firstLineChars="200"/>
        <w:jc w:val="both"/>
        <w:rPr>
          <w:rFonts w:ascii="Times New Roman" w:hAnsi="Times New Roman"/>
          <w:color w:val="000000"/>
          <w:kern w:val="2"/>
          <w:sz w:val="24"/>
        </w:rPr>
      </w:pPr>
      <w:r>
        <w:rPr>
          <w:rFonts w:ascii="Times New Roman" w:hAnsi="Times New Roman"/>
          <w:color w:val="000000"/>
          <w:kern w:val="2"/>
          <w:sz w:val="24"/>
        </w:rPr>
        <w:t>1</w:t>
      </w:r>
      <w:r>
        <w:rPr>
          <w:rFonts w:hint="eastAsia" w:ascii="Times New Roman" w:hAnsi="Times New Roman"/>
          <w:color w:val="000000"/>
          <w:kern w:val="2"/>
          <w:sz w:val="24"/>
        </w:rPr>
        <w:t>、公司未发生如下任一情形：</w:t>
      </w:r>
    </w:p>
    <w:p>
      <w:pPr>
        <w:widowControl w:val="0"/>
        <w:adjustRightInd w:val="0"/>
        <w:spacing w:before="156" w:beforeLines="50" w:after="0" w:line="360" w:lineRule="auto"/>
        <w:ind w:firstLine="480" w:firstLineChars="200"/>
        <w:jc w:val="both"/>
        <w:rPr>
          <w:rFonts w:ascii="Times New Roman" w:hAnsi="Times New Roman"/>
          <w:color w:val="000000"/>
          <w:kern w:val="2"/>
          <w:sz w:val="24"/>
        </w:rPr>
      </w:pPr>
      <w:r>
        <w:rPr>
          <w:rFonts w:hint="eastAsia" w:ascii="Times New Roman" w:hAnsi="Times New Roman"/>
          <w:color w:val="000000"/>
          <w:kern w:val="2"/>
          <w:sz w:val="24"/>
        </w:rPr>
        <w:t>（1）最近一个会计年度财务会计报告被注册会计师出具否定意见或者无法表示意见的审计报告；</w:t>
      </w:r>
    </w:p>
    <w:p>
      <w:pPr>
        <w:widowControl w:val="0"/>
        <w:adjustRightInd w:val="0"/>
        <w:spacing w:before="156" w:beforeLines="50" w:after="0" w:line="360" w:lineRule="auto"/>
        <w:ind w:firstLine="480" w:firstLineChars="200"/>
        <w:jc w:val="both"/>
        <w:rPr>
          <w:rFonts w:ascii="Times New Roman" w:hAnsi="Times New Roman"/>
          <w:color w:val="000000"/>
          <w:kern w:val="2"/>
          <w:sz w:val="24"/>
        </w:rPr>
      </w:pPr>
      <w:r>
        <w:rPr>
          <w:rFonts w:hint="eastAsia" w:ascii="Times New Roman" w:hAnsi="Times New Roman"/>
          <w:color w:val="000000"/>
          <w:kern w:val="2"/>
          <w:sz w:val="24"/>
        </w:rPr>
        <w:t>（2）最近一个会计年度财务报告内部控制被注册会计师出具否定意见或者无法表示意见的审计报告；</w:t>
      </w:r>
    </w:p>
    <w:p>
      <w:pPr>
        <w:widowControl w:val="0"/>
        <w:adjustRightInd w:val="0"/>
        <w:spacing w:before="156" w:beforeLines="50" w:after="0" w:line="360" w:lineRule="auto"/>
        <w:ind w:firstLine="480" w:firstLineChars="200"/>
        <w:jc w:val="both"/>
        <w:rPr>
          <w:rFonts w:ascii="Times New Roman" w:hAnsi="Times New Roman"/>
          <w:color w:val="000000"/>
          <w:kern w:val="2"/>
          <w:sz w:val="24"/>
        </w:rPr>
      </w:pPr>
      <w:r>
        <w:rPr>
          <w:rFonts w:hint="eastAsia" w:ascii="Times New Roman" w:hAnsi="Times New Roman"/>
          <w:color w:val="000000"/>
          <w:kern w:val="2"/>
          <w:sz w:val="24"/>
        </w:rPr>
        <w:t>（3）上市后最近36个月内出现过未按法律法规、公司章程、公开承诺进行利润分配的情形；</w:t>
      </w:r>
    </w:p>
    <w:p>
      <w:pPr>
        <w:widowControl w:val="0"/>
        <w:adjustRightInd w:val="0"/>
        <w:spacing w:before="156" w:beforeLines="50" w:after="0" w:line="360" w:lineRule="auto"/>
        <w:ind w:firstLine="480" w:firstLineChars="200"/>
        <w:jc w:val="both"/>
        <w:rPr>
          <w:rFonts w:ascii="Times New Roman" w:hAnsi="Times New Roman"/>
          <w:color w:val="000000"/>
          <w:kern w:val="2"/>
          <w:sz w:val="24"/>
        </w:rPr>
      </w:pPr>
      <w:r>
        <w:rPr>
          <w:rFonts w:hint="eastAsia" w:ascii="Times New Roman" w:hAnsi="Times New Roman"/>
          <w:color w:val="000000"/>
          <w:kern w:val="2"/>
          <w:sz w:val="24"/>
        </w:rPr>
        <w:t>（4）法律法规规定不得实行股权激励的；</w:t>
      </w:r>
    </w:p>
    <w:p>
      <w:pPr>
        <w:widowControl w:val="0"/>
        <w:adjustRightInd w:val="0"/>
        <w:spacing w:before="156" w:beforeLines="50" w:after="0" w:line="360" w:lineRule="auto"/>
        <w:ind w:firstLine="480" w:firstLineChars="200"/>
        <w:jc w:val="both"/>
        <w:rPr>
          <w:rFonts w:ascii="Times New Roman" w:hAnsi="Times New Roman"/>
          <w:color w:val="000000"/>
          <w:kern w:val="2"/>
          <w:sz w:val="24"/>
        </w:rPr>
      </w:pPr>
      <w:r>
        <w:rPr>
          <w:rFonts w:hint="eastAsia" w:ascii="Times New Roman" w:hAnsi="Times New Roman"/>
          <w:color w:val="000000"/>
          <w:kern w:val="2"/>
          <w:sz w:val="24"/>
        </w:rPr>
        <w:t>（5）中国证监会认定的其他情形。</w:t>
      </w:r>
    </w:p>
    <w:p>
      <w:pPr>
        <w:widowControl w:val="0"/>
        <w:adjustRightInd w:val="0"/>
        <w:spacing w:before="156" w:beforeLines="50" w:after="0" w:line="360" w:lineRule="auto"/>
        <w:ind w:firstLine="480" w:firstLineChars="200"/>
        <w:jc w:val="both"/>
        <w:rPr>
          <w:rFonts w:ascii="Times New Roman" w:hAnsi="Times New Roman"/>
          <w:color w:val="000000"/>
          <w:kern w:val="2"/>
          <w:sz w:val="24"/>
        </w:rPr>
      </w:pPr>
      <w:r>
        <w:rPr>
          <w:rFonts w:hint="eastAsia" w:ascii="Times New Roman" w:hAnsi="Times New Roman"/>
          <w:color w:val="000000"/>
          <w:kern w:val="2"/>
          <w:sz w:val="24"/>
        </w:rPr>
        <w:t>2、激励对象未发生如下任一情形：</w:t>
      </w:r>
    </w:p>
    <w:p>
      <w:pPr>
        <w:widowControl w:val="0"/>
        <w:adjustRightInd w:val="0"/>
        <w:spacing w:before="156" w:beforeLines="50" w:after="0" w:line="360" w:lineRule="auto"/>
        <w:ind w:firstLine="480" w:firstLineChars="200"/>
        <w:jc w:val="both"/>
        <w:rPr>
          <w:rFonts w:ascii="Times New Roman" w:hAnsi="Times New Roman"/>
          <w:color w:val="000000"/>
          <w:kern w:val="2"/>
          <w:sz w:val="24"/>
        </w:rPr>
      </w:pPr>
      <w:r>
        <w:rPr>
          <w:rFonts w:hint="eastAsia" w:ascii="Times New Roman" w:hAnsi="Times New Roman"/>
          <w:color w:val="000000"/>
          <w:kern w:val="2"/>
          <w:sz w:val="24"/>
        </w:rPr>
        <w:t>（1）最近12个月内被证券交易所认定为不适当人选；</w:t>
      </w:r>
    </w:p>
    <w:p>
      <w:pPr>
        <w:widowControl w:val="0"/>
        <w:adjustRightInd w:val="0"/>
        <w:spacing w:before="156" w:beforeLines="50" w:after="0" w:line="360" w:lineRule="auto"/>
        <w:ind w:firstLine="480" w:firstLineChars="200"/>
        <w:jc w:val="both"/>
        <w:rPr>
          <w:rFonts w:ascii="Times New Roman" w:hAnsi="Times New Roman"/>
          <w:color w:val="000000"/>
          <w:kern w:val="2"/>
          <w:sz w:val="24"/>
        </w:rPr>
      </w:pPr>
      <w:r>
        <w:rPr>
          <w:rFonts w:hint="eastAsia" w:ascii="Times New Roman" w:hAnsi="Times New Roman"/>
          <w:color w:val="000000"/>
          <w:kern w:val="2"/>
          <w:sz w:val="24"/>
        </w:rPr>
        <w:t>（2）最近12个月内被中国证监会及其派出机构认定为不适当人选；</w:t>
      </w:r>
    </w:p>
    <w:p>
      <w:pPr>
        <w:widowControl w:val="0"/>
        <w:adjustRightInd w:val="0"/>
        <w:spacing w:before="156" w:beforeLines="50" w:after="0" w:line="360" w:lineRule="auto"/>
        <w:ind w:firstLine="480" w:firstLineChars="200"/>
        <w:jc w:val="both"/>
        <w:rPr>
          <w:rFonts w:ascii="Times New Roman" w:hAnsi="Times New Roman"/>
          <w:color w:val="000000"/>
          <w:kern w:val="2"/>
          <w:sz w:val="24"/>
        </w:rPr>
      </w:pPr>
      <w:r>
        <w:rPr>
          <w:rFonts w:hint="eastAsia" w:ascii="Times New Roman" w:hAnsi="Times New Roman"/>
          <w:color w:val="000000"/>
          <w:kern w:val="2"/>
          <w:sz w:val="24"/>
        </w:rPr>
        <w:t>（3）最近12个月内因重大违法违规行为被中国证监会及其派出机构行政处罚或者采取市场禁入措施；</w:t>
      </w:r>
    </w:p>
    <w:p>
      <w:pPr>
        <w:widowControl w:val="0"/>
        <w:adjustRightInd w:val="0"/>
        <w:spacing w:before="156" w:beforeLines="50" w:after="0" w:line="360" w:lineRule="auto"/>
        <w:ind w:firstLine="480" w:firstLineChars="200"/>
        <w:jc w:val="both"/>
        <w:rPr>
          <w:rFonts w:ascii="Times New Roman" w:hAnsi="Times New Roman"/>
          <w:color w:val="000000"/>
          <w:kern w:val="2"/>
          <w:sz w:val="24"/>
        </w:rPr>
      </w:pPr>
      <w:r>
        <w:rPr>
          <w:rFonts w:hint="eastAsia" w:ascii="Times New Roman" w:hAnsi="Times New Roman"/>
          <w:color w:val="000000"/>
          <w:kern w:val="2"/>
          <w:sz w:val="24"/>
        </w:rPr>
        <w:t>（4）具有《公司法》规定的不得担任公司董事、高级管理人员情形的；</w:t>
      </w:r>
    </w:p>
    <w:p>
      <w:pPr>
        <w:widowControl w:val="0"/>
        <w:adjustRightInd w:val="0"/>
        <w:spacing w:before="156" w:beforeLines="50" w:after="0" w:line="360" w:lineRule="auto"/>
        <w:ind w:firstLine="480" w:firstLineChars="200"/>
        <w:jc w:val="both"/>
        <w:rPr>
          <w:rFonts w:ascii="Times New Roman" w:hAnsi="Times New Roman"/>
          <w:color w:val="000000"/>
          <w:kern w:val="2"/>
          <w:sz w:val="24"/>
        </w:rPr>
      </w:pPr>
      <w:r>
        <w:rPr>
          <w:rFonts w:hint="eastAsia" w:ascii="Times New Roman" w:hAnsi="Times New Roman"/>
          <w:color w:val="000000"/>
          <w:kern w:val="2"/>
          <w:sz w:val="24"/>
        </w:rPr>
        <w:t>（5）法律法规规定不得参与上市公司股权激励的；</w:t>
      </w:r>
    </w:p>
    <w:p>
      <w:pPr>
        <w:widowControl w:val="0"/>
        <w:adjustRightInd w:val="0"/>
        <w:spacing w:before="156" w:beforeLines="50" w:after="0" w:line="360" w:lineRule="auto"/>
        <w:ind w:firstLine="480" w:firstLineChars="200"/>
        <w:jc w:val="both"/>
        <w:rPr>
          <w:rFonts w:ascii="Times New Roman" w:hAnsi="Times New Roman"/>
          <w:color w:val="000000"/>
          <w:kern w:val="2"/>
          <w:sz w:val="24"/>
        </w:rPr>
      </w:pPr>
      <w:r>
        <w:rPr>
          <w:rFonts w:hint="eastAsia" w:ascii="Times New Roman" w:hAnsi="Times New Roman"/>
          <w:color w:val="000000"/>
          <w:kern w:val="2"/>
          <w:sz w:val="24"/>
        </w:rPr>
        <w:t>（6）中国证监会认定的其他情形。</w:t>
      </w:r>
    </w:p>
    <w:p>
      <w:pPr>
        <w:widowControl w:val="0"/>
        <w:adjustRightInd w:val="0"/>
        <w:spacing w:before="156" w:beforeLines="50" w:after="0" w:line="360" w:lineRule="auto"/>
        <w:ind w:firstLine="480" w:firstLineChars="200"/>
        <w:jc w:val="both"/>
        <w:rPr>
          <w:rFonts w:ascii="Times New Roman" w:hAnsi="Times New Roman"/>
          <w:color w:val="000000"/>
          <w:kern w:val="2"/>
          <w:sz w:val="24"/>
        </w:rPr>
      </w:pPr>
      <w:bookmarkStart w:id="18" w:name="_Hlk109340252"/>
      <w:r>
        <w:rPr>
          <w:rFonts w:hint="eastAsia" w:ascii="Times New Roman" w:hAnsi="Times New Roman"/>
          <w:color w:val="000000"/>
          <w:kern w:val="2"/>
          <w:sz w:val="24"/>
        </w:rPr>
        <w:t>公司发生上述第1条规定情形之一的，所有激励对象根据本激励计划已获授但尚未解除限售的限制性股票应当由公司按授予价格回购注销；若公司发生不得实施股权激励的情形，且某一激励对象对此负有责任的，或者某一激励对象发生上述第2条规定情形之一的，该激励对象根据本激励计划已获授但尚未解除限售的限制性股票应当由公司按授予价格回购注销。</w:t>
      </w:r>
    </w:p>
    <w:bookmarkEnd w:id="18"/>
    <w:p>
      <w:pPr>
        <w:widowControl w:val="0"/>
        <w:adjustRightInd w:val="0"/>
        <w:spacing w:before="156" w:beforeLines="50" w:after="0" w:line="360" w:lineRule="auto"/>
        <w:ind w:firstLine="480" w:firstLineChars="200"/>
        <w:jc w:val="both"/>
        <w:rPr>
          <w:rFonts w:ascii="Times New Roman" w:hAnsi="Times New Roman"/>
          <w:color w:val="000000"/>
          <w:kern w:val="2"/>
          <w:sz w:val="24"/>
        </w:rPr>
      </w:pPr>
      <w:r>
        <w:rPr>
          <w:rFonts w:hint="eastAsia" w:ascii="Times New Roman" w:hAnsi="Times New Roman"/>
          <w:color w:val="000000"/>
          <w:kern w:val="2"/>
          <w:sz w:val="24"/>
        </w:rPr>
        <w:t>3、满足公司层面业绩考核要求</w:t>
      </w:r>
    </w:p>
    <w:p>
      <w:pPr>
        <w:widowControl w:val="0"/>
        <w:adjustRightInd w:val="0"/>
        <w:spacing w:before="156" w:beforeLines="50" w:after="0" w:line="360" w:lineRule="auto"/>
        <w:ind w:firstLine="480" w:firstLineChars="200"/>
        <w:jc w:val="both"/>
        <w:rPr>
          <w:rFonts w:ascii="Times New Roman" w:hAnsi="Times New Roman"/>
          <w:color w:val="000000"/>
          <w:kern w:val="2"/>
          <w:sz w:val="24"/>
        </w:rPr>
      </w:pPr>
      <w:r>
        <w:rPr>
          <w:rFonts w:ascii="Times New Roman" w:hAnsi="Times New Roman"/>
          <w:color w:val="000000"/>
          <w:sz w:val="24"/>
        </w:rPr>
        <w:t>本计划授予的限制性股票，在解除限售期的3个会计年度中，分年度进行绩效考核并解除限售，以达到绩效考核目标作为激励对象的解除限售条件。</w:t>
      </w:r>
    </w:p>
    <w:p>
      <w:pPr>
        <w:widowControl w:val="0"/>
        <w:adjustRightInd w:val="0"/>
        <w:spacing w:before="156" w:beforeLines="50" w:after="0" w:line="360" w:lineRule="auto"/>
        <w:ind w:firstLine="480" w:firstLineChars="200"/>
        <w:jc w:val="both"/>
        <w:rPr>
          <w:rFonts w:ascii="Times New Roman" w:hAnsi="Times New Roman"/>
          <w:color w:val="000000"/>
          <w:sz w:val="24"/>
        </w:rPr>
      </w:pPr>
      <w:r>
        <w:rPr>
          <w:rFonts w:hint="eastAsia" w:ascii="Times New Roman" w:hAnsi="Times New Roman"/>
          <w:color w:val="000000"/>
          <w:kern w:val="2"/>
          <w:sz w:val="24"/>
        </w:rPr>
        <w:t>（1）</w:t>
      </w:r>
      <w:r>
        <w:rPr>
          <w:rFonts w:ascii="Times New Roman" w:hAnsi="Times New Roman"/>
          <w:color w:val="000000"/>
          <w:sz w:val="24"/>
        </w:rPr>
        <w:t>首次授予</w:t>
      </w:r>
      <w:r>
        <w:rPr>
          <w:rFonts w:hint="eastAsia" w:ascii="Times New Roman" w:hAnsi="Times New Roman"/>
          <w:color w:val="000000"/>
          <w:sz w:val="24"/>
        </w:rPr>
        <w:t>部分</w:t>
      </w:r>
      <w:r>
        <w:rPr>
          <w:rFonts w:ascii="Times New Roman" w:hAnsi="Times New Roman"/>
          <w:color w:val="000000"/>
          <w:sz w:val="24"/>
        </w:rPr>
        <w:t>限制性股票业绩考核</w:t>
      </w:r>
      <w:r>
        <w:rPr>
          <w:rFonts w:hint="eastAsia" w:ascii="Times New Roman" w:hAnsi="Times New Roman"/>
          <w:color w:val="000000"/>
          <w:sz w:val="24"/>
        </w:rPr>
        <w:t>目标</w:t>
      </w:r>
    </w:p>
    <w:tbl>
      <w:tblPr>
        <w:tblStyle w:val="22"/>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093"/>
        <w:gridCol w:w="64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28" w:type="pct"/>
            <w:shd w:val="clear" w:color="auto" w:fill="A5A5A5" w:themeFill="background1" w:themeFillShade="A6"/>
            <w:vAlign w:val="center"/>
          </w:tcPr>
          <w:p>
            <w:pPr>
              <w:widowControl w:val="0"/>
              <w:spacing w:after="0" w:line="240" w:lineRule="auto"/>
              <w:jc w:val="center"/>
              <w:rPr>
                <w:rFonts w:ascii="Times New Roman" w:hAnsi="Times New Roman"/>
                <w:b/>
                <w:color w:val="000000"/>
                <w:kern w:val="2"/>
                <w:sz w:val="21"/>
              </w:rPr>
            </w:pPr>
            <w:r>
              <w:rPr>
                <w:rFonts w:ascii="Times New Roman" w:hAnsi="Times New Roman"/>
                <w:b/>
                <w:color w:val="000000"/>
                <w:kern w:val="2"/>
                <w:sz w:val="21"/>
              </w:rPr>
              <w:t>解除限售期</w:t>
            </w:r>
          </w:p>
        </w:tc>
        <w:tc>
          <w:tcPr>
            <w:tcW w:w="3772" w:type="pct"/>
            <w:shd w:val="clear" w:color="auto" w:fill="A5A5A5" w:themeFill="background1" w:themeFillShade="A6"/>
            <w:vAlign w:val="center"/>
          </w:tcPr>
          <w:p>
            <w:pPr>
              <w:widowControl w:val="0"/>
              <w:spacing w:after="0" w:line="240" w:lineRule="auto"/>
              <w:jc w:val="center"/>
              <w:rPr>
                <w:rFonts w:ascii="Times New Roman" w:hAnsi="Times New Roman"/>
                <w:b/>
                <w:color w:val="000000"/>
                <w:kern w:val="2"/>
                <w:sz w:val="21"/>
              </w:rPr>
            </w:pPr>
            <w:r>
              <w:rPr>
                <w:rFonts w:ascii="Times New Roman" w:hAnsi="Times New Roman"/>
                <w:b/>
                <w:color w:val="000000"/>
                <w:kern w:val="2"/>
                <w:sz w:val="21"/>
              </w:rPr>
              <w:t>业绩考核目标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28" w:type="pct"/>
            <w:vAlign w:val="center"/>
          </w:tcPr>
          <w:p>
            <w:pPr>
              <w:widowControl w:val="0"/>
              <w:spacing w:after="0" w:line="240" w:lineRule="auto"/>
              <w:jc w:val="both"/>
              <w:rPr>
                <w:rFonts w:ascii="Times New Roman" w:hAnsi="Times New Roman"/>
                <w:color w:val="000000"/>
                <w:kern w:val="2"/>
                <w:sz w:val="21"/>
              </w:rPr>
            </w:pPr>
            <w:r>
              <w:rPr>
                <w:rFonts w:ascii="Times New Roman" w:hAnsi="Times New Roman"/>
                <w:color w:val="000000"/>
                <w:kern w:val="2"/>
                <w:sz w:val="21"/>
              </w:rPr>
              <w:t>第一个解除限售期</w:t>
            </w:r>
          </w:p>
        </w:tc>
        <w:tc>
          <w:tcPr>
            <w:tcW w:w="3772" w:type="pct"/>
            <w:vAlign w:val="center"/>
          </w:tcPr>
          <w:p>
            <w:pPr>
              <w:widowControl w:val="0"/>
              <w:spacing w:after="0" w:line="240" w:lineRule="auto"/>
              <w:jc w:val="both"/>
              <w:rPr>
                <w:rFonts w:ascii="Times New Roman" w:hAnsi="Times New Roman"/>
                <w:color w:val="000000"/>
                <w:kern w:val="2"/>
                <w:sz w:val="21"/>
              </w:rPr>
            </w:pPr>
            <w:r>
              <w:rPr>
                <w:rFonts w:hint="eastAsia" w:ascii="Times New Roman" w:hAnsi="Times New Roman"/>
                <w:color w:val="000000"/>
                <w:kern w:val="2"/>
                <w:sz w:val="21"/>
              </w:rPr>
              <w:t>相比于2</w:t>
            </w:r>
            <w:r>
              <w:rPr>
                <w:rFonts w:ascii="Times New Roman" w:hAnsi="Times New Roman"/>
                <w:color w:val="000000"/>
                <w:kern w:val="2"/>
                <w:sz w:val="21"/>
              </w:rPr>
              <w:t>023</w:t>
            </w:r>
            <w:r>
              <w:rPr>
                <w:rFonts w:hint="eastAsia" w:ascii="Times New Roman" w:hAnsi="Times New Roman"/>
                <w:color w:val="000000"/>
                <w:kern w:val="2"/>
                <w:sz w:val="21"/>
              </w:rPr>
              <w:t>年，公司2</w:t>
            </w:r>
            <w:r>
              <w:rPr>
                <w:rFonts w:ascii="Times New Roman" w:hAnsi="Times New Roman"/>
                <w:color w:val="000000"/>
                <w:kern w:val="2"/>
                <w:sz w:val="21"/>
              </w:rPr>
              <w:t>024</w:t>
            </w:r>
            <w:r>
              <w:rPr>
                <w:rFonts w:hint="eastAsia" w:ascii="Times New Roman" w:hAnsi="Times New Roman"/>
                <w:color w:val="000000"/>
                <w:kern w:val="2"/>
                <w:sz w:val="21"/>
              </w:rPr>
              <w:t>年度营业收入增长率不低于3</w:t>
            </w:r>
            <w:r>
              <w:rPr>
                <w:rFonts w:ascii="Times New Roman" w:hAnsi="Times New Roman"/>
                <w:color w:val="000000"/>
                <w:kern w:val="2"/>
                <w:sz w:val="21"/>
              </w:rPr>
              <w:t>0%</w:t>
            </w:r>
            <w:r>
              <w:rPr>
                <w:rFonts w:hint="eastAsia" w:ascii="Times New Roman" w:hAnsi="Times New Roman"/>
                <w:color w:val="000000"/>
                <w:kern w:val="2"/>
                <w:sz w:val="21"/>
              </w:rPr>
              <w:t>或公司2</w:t>
            </w:r>
            <w:r>
              <w:rPr>
                <w:rFonts w:ascii="Times New Roman" w:hAnsi="Times New Roman"/>
                <w:color w:val="000000"/>
                <w:kern w:val="2"/>
                <w:sz w:val="21"/>
              </w:rPr>
              <w:t>024</w:t>
            </w:r>
            <w:r>
              <w:rPr>
                <w:rFonts w:hint="eastAsia" w:ascii="Times New Roman" w:hAnsi="Times New Roman"/>
                <w:color w:val="000000"/>
                <w:kern w:val="2"/>
                <w:sz w:val="21"/>
              </w:rPr>
              <w:t>年度净利润增长率不低于2</w:t>
            </w:r>
            <w:r>
              <w:rPr>
                <w:rFonts w:ascii="Times New Roman" w:hAnsi="Times New Roman"/>
                <w:color w:val="000000"/>
                <w:kern w:val="2"/>
                <w:sz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28" w:type="pct"/>
            <w:vAlign w:val="center"/>
          </w:tcPr>
          <w:p>
            <w:pPr>
              <w:widowControl w:val="0"/>
              <w:spacing w:after="0" w:line="240" w:lineRule="auto"/>
              <w:jc w:val="both"/>
              <w:rPr>
                <w:rFonts w:ascii="Times New Roman" w:hAnsi="Times New Roman"/>
                <w:color w:val="000000"/>
                <w:kern w:val="2"/>
                <w:sz w:val="21"/>
              </w:rPr>
            </w:pPr>
            <w:r>
              <w:rPr>
                <w:rFonts w:ascii="Times New Roman" w:hAnsi="Times New Roman"/>
                <w:color w:val="000000"/>
                <w:kern w:val="2"/>
                <w:sz w:val="21"/>
              </w:rPr>
              <w:t>第二个解除限售期</w:t>
            </w:r>
          </w:p>
        </w:tc>
        <w:tc>
          <w:tcPr>
            <w:tcW w:w="3772" w:type="pct"/>
          </w:tcPr>
          <w:p>
            <w:pPr>
              <w:widowControl w:val="0"/>
              <w:spacing w:after="0" w:line="240" w:lineRule="auto"/>
              <w:jc w:val="both"/>
              <w:rPr>
                <w:rFonts w:ascii="Times New Roman" w:hAnsi="Times New Roman"/>
                <w:color w:val="000000"/>
                <w:kern w:val="2"/>
                <w:sz w:val="21"/>
              </w:rPr>
            </w:pPr>
            <w:r>
              <w:rPr>
                <w:rFonts w:hint="eastAsia" w:ascii="Times New Roman" w:hAnsi="Times New Roman"/>
                <w:color w:val="000000"/>
                <w:kern w:val="2"/>
                <w:sz w:val="21"/>
              </w:rPr>
              <w:t>相比于2</w:t>
            </w:r>
            <w:r>
              <w:rPr>
                <w:rFonts w:ascii="Times New Roman" w:hAnsi="Times New Roman"/>
                <w:color w:val="000000"/>
                <w:kern w:val="2"/>
                <w:sz w:val="21"/>
              </w:rPr>
              <w:t>023</w:t>
            </w:r>
            <w:r>
              <w:rPr>
                <w:rFonts w:hint="eastAsia" w:ascii="Times New Roman" w:hAnsi="Times New Roman"/>
                <w:color w:val="000000"/>
                <w:kern w:val="2"/>
                <w:sz w:val="21"/>
              </w:rPr>
              <w:t>年，公司2</w:t>
            </w:r>
            <w:r>
              <w:rPr>
                <w:rFonts w:ascii="Times New Roman" w:hAnsi="Times New Roman"/>
                <w:color w:val="000000"/>
                <w:kern w:val="2"/>
                <w:sz w:val="21"/>
              </w:rPr>
              <w:t>025</w:t>
            </w:r>
            <w:r>
              <w:rPr>
                <w:rFonts w:hint="eastAsia" w:ascii="Times New Roman" w:hAnsi="Times New Roman"/>
                <w:color w:val="000000"/>
                <w:kern w:val="2"/>
                <w:sz w:val="21"/>
              </w:rPr>
              <w:t>年度营业收入增长率不低于</w:t>
            </w:r>
            <w:r>
              <w:rPr>
                <w:rFonts w:ascii="Times New Roman" w:hAnsi="Times New Roman"/>
                <w:color w:val="000000"/>
                <w:kern w:val="2"/>
                <w:sz w:val="21"/>
              </w:rPr>
              <w:t>69%</w:t>
            </w:r>
            <w:r>
              <w:rPr>
                <w:rFonts w:hint="eastAsia" w:ascii="Times New Roman" w:hAnsi="Times New Roman"/>
                <w:color w:val="000000"/>
                <w:kern w:val="2"/>
                <w:sz w:val="21"/>
              </w:rPr>
              <w:t>或公司2</w:t>
            </w:r>
            <w:r>
              <w:rPr>
                <w:rFonts w:ascii="Times New Roman" w:hAnsi="Times New Roman"/>
                <w:color w:val="000000"/>
                <w:kern w:val="2"/>
                <w:sz w:val="21"/>
              </w:rPr>
              <w:t>025</w:t>
            </w:r>
            <w:r>
              <w:rPr>
                <w:rFonts w:hint="eastAsia" w:ascii="Times New Roman" w:hAnsi="Times New Roman"/>
                <w:color w:val="000000"/>
                <w:kern w:val="2"/>
                <w:sz w:val="21"/>
              </w:rPr>
              <w:t>年度净利润增长率不低于</w:t>
            </w:r>
            <w:r>
              <w:rPr>
                <w:rFonts w:ascii="Times New Roman" w:hAnsi="Times New Roman"/>
                <w:color w:val="000000"/>
                <w:kern w:val="2"/>
                <w:sz w:val="21"/>
              </w:rPr>
              <w:t>44%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28" w:type="pct"/>
            <w:vAlign w:val="center"/>
          </w:tcPr>
          <w:p>
            <w:pPr>
              <w:widowControl w:val="0"/>
              <w:spacing w:after="0" w:line="240" w:lineRule="auto"/>
              <w:jc w:val="both"/>
              <w:rPr>
                <w:rFonts w:ascii="Times New Roman" w:hAnsi="Times New Roman"/>
                <w:color w:val="000000"/>
                <w:kern w:val="2"/>
                <w:sz w:val="21"/>
              </w:rPr>
            </w:pPr>
            <w:r>
              <w:rPr>
                <w:rFonts w:ascii="Times New Roman" w:hAnsi="Times New Roman"/>
                <w:color w:val="000000"/>
                <w:kern w:val="2"/>
                <w:sz w:val="21"/>
              </w:rPr>
              <w:t>第三个解除限售期</w:t>
            </w:r>
          </w:p>
        </w:tc>
        <w:tc>
          <w:tcPr>
            <w:tcW w:w="3772" w:type="pct"/>
          </w:tcPr>
          <w:p>
            <w:pPr>
              <w:widowControl w:val="0"/>
              <w:spacing w:after="0" w:line="240" w:lineRule="auto"/>
              <w:jc w:val="both"/>
              <w:rPr>
                <w:rFonts w:ascii="Times New Roman" w:hAnsi="Times New Roman"/>
                <w:color w:val="000000"/>
                <w:kern w:val="2"/>
                <w:sz w:val="21"/>
              </w:rPr>
            </w:pPr>
            <w:r>
              <w:rPr>
                <w:rFonts w:hint="eastAsia" w:ascii="Times New Roman" w:hAnsi="Times New Roman"/>
                <w:color w:val="000000"/>
                <w:kern w:val="2"/>
                <w:sz w:val="21"/>
              </w:rPr>
              <w:t>相比于2</w:t>
            </w:r>
            <w:r>
              <w:rPr>
                <w:rFonts w:ascii="Times New Roman" w:hAnsi="Times New Roman"/>
                <w:color w:val="000000"/>
                <w:kern w:val="2"/>
                <w:sz w:val="21"/>
              </w:rPr>
              <w:t>023</w:t>
            </w:r>
            <w:r>
              <w:rPr>
                <w:rFonts w:hint="eastAsia" w:ascii="Times New Roman" w:hAnsi="Times New Roman"/>
                <w:color w:val="000000"/>
                <w:kern w:val="2"/>
                <w:sz w:val="21"/>
              </w:rPr>
              <w:t>年，公司2</w:t>
            </w:r>
            <w:r>
              <w:rPr>
                <w:rFonts w:ascii="Times New Roman" w:hAnsi="Times New Roman"/>
                <w:color w:val="000000"/>
                <w:kern w:val="2"/>
                <w:sz w:val="21"/>
              </w:rPr>
              <w:t>026</w:t>
            </w:r>
            <w:r>
              <w:rPr>
                <w:rFonts w:hint="eastAsia" w:ascii="Times New Roman" w:hAnsi="Times New Roman"/>
                <w:color w:val="000000"/>
                <w:kern w:val="2"/>
                <w:sz w:val="21"/>
              </w:rPr>
              <w:t>年度营业收入增长率不低于</w:t>
            </w:r>
            <w:r>
              <w:rPr>
                <w:rFonts w:ascii="Times New Roman" w:hAnsi="Times New Roman"/>
                <w:color w:val="000000"/>
                <w:kern w:val="2"/>
                <w:sz w:val="21"/>
              </w:rPr>
              <w:t>119.70%</w:t>
            </w:r>
            <w:r>
              <w:rPr>
                <w:rFonts w:hint="eastAsia" w:ascii="Times New Roman" w:hAnsi="Times New Roman"/>
                <w:color w:val="000000"/>
                <w:kern w:val="2"/>
                <w:sz w:val="21"/>
              </w:rPr>
              <w:t>或公司2</w:t>
            </w:r>
            <w:r>
              <w:rPr>
                <w:rFonts w:ascii="Times New Roman" w:hAnsi="Times New Roman"/>
                <w:color w:val="000000"/>
                <w:kern w:val="2"/>
                <w:sz w:val="21"/>
              </w:rPr>
              <w:t>026</w:t>
            </w:r>
            <w:r>
              <w:rPr>
                <w:rFonts w:hint="eastAsia" w:ascii="Times New Roman" w:hAnsi="Times New Roman"/>
                <w:color w:val="000000"/>
                <w:kern w:val="2"/>
                <w:sz w:val="21"/>
              </w:rPr>
              <w:t>年度净利润增长率不低于</w:t>
            </w:r>
            <w:r>
              <w:rPr>
                <w:rFonts w:ascii="Times New Roman" w:hAnsi="Times New Roman"/>
                <w:color w:val="000000"/>
                <w:kern w:val="2"/>
                <w:sz w:val="21"/>
              </w:rPr>
              <w:t>72.80%</w:t>
            </w:r>
          </w:p>
        </w:tc>
      </w:tr>
    </w:tbl>
    <w:p>
      <w:pPr>
        <w:shd w:val="clear" w:color="auto" w:fill="FFFFFF"/>
        <w:spacing w:before="156" w:beforeLines="50" w:after="0" w:line="240" w:lineRule="auto"/>
        <w:ind w:firstLine="420" w:firstLineChars="200"/>
        <w:jc w:val="both"/>
        <w:rPr>
          <w:rFonts w:ascii="Times New Roman" w:hAnsi="Times New Roman"/>
          <w:color w:val="000000"/>
          <w:sz w:val="21"/>
        </w:rPr>
      </w:pPr>
      <w:r>
        <w:rPr>
          <w:rFonts w:ascii="Times New Roman" w:hAnsi="Times New Roman"/>
          <w:color w:val="000000"/>
          <w:sz w:val="21"/>
        </w:rPr>
        <w:t>注：1、上述“</w:t>
      </w:r>
      <w:r>
        <w:rPr>
          <w:rFonts w:hint="eastAsia" w:ascii="Times New Roman" w:hAnsi="Times New Roman"/>
          <w:color w:val="000000"/>
          <w:sz w:val="21"/>
        </w:rPr>
        <w:t>净利润</w:t>
      </w:r>
      <w:r>
        <w:rPr>
          <w:rFonts w:ascii="Times New Roman" w:hAnsi="Times New Roman"/>
          <w:color w:val="000000"/>
          <w:sz w:val="21"/>
        </w:rPr>
        <w:t>”剔除有效期内正在实施的所有股权激励计划及/或员工持股计划所涉股份支付费用影响的数值作为计算依据。2、上述限制性股票解除限售条件涉及的业绩目标不构成公司对投资者的业绩预测和实质承诺。</w:t>
      </w:r>
    </w:p>
    <w:p>
      <w:pPr>
        <w:spacing w:before="156" w:beforeLines="50" w:after="0" w:line="360" w:lineRule="auto"/>
        <w:ind w:firstLine="480" w:firstLineChars="200"/>
        <w:jc w:val="both"/>
        <w:rPr>
          <w:rFonts w:ascii="Times New Roman" w:hAnsi="Times New Roman"/>
          <w:color w:val="000000"/>
          <w:kern w:val="2"/>
          <w:sz w:val="24"/>
        </w:rPr>
      </w:pPr>
      <w:r>
        <w:rPr>
          <w:rFonts w:hint="eastAsia" w:ascii="Times New Roman" w:hAnsi="Times New Roman"/>
          <w:color w:val="000000"/>
          <w:kern w:val="2"/>
          <w:sz w:val="24"/>
        </w:rPr>
        <w:t>（2）预留部分限制性股票业绩考核目标</w:t>
      </w:r>
    </w:p>
    <w:p>
      <w:pPr>
        <w:spacing w:before="156" w:beforeLines="50" w:after="0" w:line="360" w:lineRule="auto"/>
        <w:ind w:firstLine="480" w:firstLineChars="200"/>
        <w:jc w:val="both"/>
        <w:rPr>
          <w:rFonts w:ascii="Times New Roman" w:hAnsi="Times New Roman"/>
          <w:color w:val="000000"/>
          <w:kern w:val="2"/>
          <w:sz w:val="24"/>
        </w:rPr>
      </w:pPr>
      <w:r>
        <w:rPr>
          <w:rFonts w:ascii="Times New Roman" w:hAnsi="Times New Roman"/>
          <w:color w:val="000000"/>
          <w:kern w:val="2"/>
          <w:sz w:val="24"/>
        </w:rPr>
        <w:t>若预留部分的限制性股票在2024年授予，则预留部分的业绩考核年度与各考核年度的业绩考核指标与首次授予部分保持一致；若预留部分在2025年授予，则预留部分考核年度为2025-2026年两个会计年度，每个会计年度考核一次，具体考核目标如下：</w:t>
      </w:r>
    </w:p>
    <w:tbl>
      <w:tblPr>
        <w:tblStyle w:val="22"/>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093"/>
        <w:gridCol w:w="64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28" w:type="pct"/>
            <w:shd w:val="clear" w:color="auto" w:fill="A5A5A5" w:themeFill="background1" w:themeFillShade="A6"/>
            <w:vAlign w:val="center"/>
          </w:tcPr>
          <w:p>
            <w:pPr>
              <w:widowControl w:val="0"/>
              <w:spacing w:after="0" w:line="240" w:lineRule="auto"/>
              <w:jc w:val="center"/>
              <w:rPr>
                <w:rFonts w:ascii="Times New Roman" w:hAnsi="Times New Roman"/>
                <w:b/>
                <w:color w:val="000000"/>
                <w:kern w:val="2"/>
                <w:sz w:val="21"/>
              </w:rPr>
            </w:pPr>
            <w:r>
              <w:rPr>
                <w:rFonts w:ascii="Times New Roman" w:hAnsi="Times New Roman"/>
                <w:b/>
                <w:color w:val="000000"/>
                <w:kern w:val="2"/>
                <w:sz w:val="21"/>
              </w:rPr>
              <w:t>解除限售期</w:t>
            </w:r>
          </w:p>
        </w:tc>
        <w:tc>
          <w:tcPr>
            <w:tcW w:w="3772" w:type="pct"/>
            <w:shd w:val="clear" w:color="auto" w:fill="A5A5A5" w:themeFill="background1" w:themeFillShade="A6"/>
            <w:vAlign w:val="center"/>
          </w:tcPr>
          <w:p>
            <w:pPr>
              <w:widowControl w:val="0"/>
              <w:spacing w:after="0" w:line="240" w:lineRule="auto"/>
              <w:jc w:val="center"/>
              <w:rPr>
                <w:rFonts w:ascii="Times New Roman" w:hAnsi="Times New Roman"/>
                <w:b/>
                <w:color w:val="000000"/>
                <w:kern w:val="2"/>
                <w:sz w:val="21"/>
              </w:rPr>
            </w:pPr>
            <w:r>
              <w:rPr>
                <w:rFonts w:ascii="Times New Roman" w:hAnsi="Times New Roman"/>
                <w:b/>
                <w:color w:val="000000"/>
                <w:kern w:val="2"/>
                <w:sz w:val="21"/>
              </w:rPr>
              <w:t>业绩考核目标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28" w:type="pct"/>
            <w:vAlign w:val="center"/>
          </w:tcPr>
          <w:p>
            <w:pPr>
              <w:widowControl w:val="0"/>
              <w:spacing w:after="0" w:line="240" w:lineRule="auto"/>
              <w:jc w:val="both"/>
              <w:rPr>
                <w:rFonts w:ascii="Times New Roman" w:hAnsi="Times New Roman"/>
                <w:color w:val="000000"/>
                <w:kern w:val="2"/>
                <w:sz w:val="21"/>
              </w:rPr>
            </w:pPr>
            <w:r>
              <w:rPr>
                <w:rFonts w:ascii="Times New Roman" w:hAnsi="Times New Roman"/>
                <w:color w:val="000000"/>
                <w:kern w:val="2"/>
                <w:sz w:val="21"/>
              </w:rPr>
              <w:t>第一个解除限售期</w:t>
            </w:r>
          </w:p>
        </w:tc>
        <w:tc>
          <w:tcPr>
            <w:tcW w:w="3772" w:type="pct"/>
          </w:tcPr>
          <w:p>
            <w:pPr>
              <w:widowControl w:val="0"/>
              <w:spacing w:after="0" w:line="240" w:lineRule="auto"/>
              <w:jc w:val="both"/>
              <w:rPr>
                <w:rFonts w:ascii="Times New Roman" w:hAnsi="Times New Roman"/>
                <w:color w:val="000000"/>
                <w:kern w:val="2"/>
                <w:sz w:val="21"/>
              </w:rPr>
            </w:pPr>
            <w:r>
              <w:rPr>
                <w:rFonts w:hint="eastAsia" w:ascii="Times New Roman" w:hAnsi="Times New Roman"/>
                <w:color w:val="000000"/>
                <w:kern w:val="2"/>
                <w:sz w:val="21"/>
              </w:rPr>
              <w:t>相比于2</w:t>
            </w:r>
            <w:r>
              <w:rPr>
                <w:rFonts w:ascii="Times New Roman" w:hAnsi="Times New Roman"/>
                <w:color w:val="000000"/>
                <w:kern w:val="2"/>
                <w:sz w:val="21"/>
              </w:rPr>
              <w:t>023</w:t>
            </w:r>
            <w:r>
              <w:rPr>
                <w:rFonts w:hint="eastAsia" w:ascii="Times New Roman" w:hAnsi="Times New Roman"/>
                <w:color w:val="000000"/>
                <w:kern w:val="2"/>
                <w:sz w:val="21"/>
              </w:rPr>
              <w:t>年，公司2</w:t>
            </w:r>
            <w:r>
              <w:rPr>
                <w:rFonts w:ascii="Times New Roman" w:hAnsi="Times New Roman"/>
                <w:color w:val="000000"/>
                <w:kern w:val="2"/>
                <w:sz w:val="21"/>
              </w:rPr>
              <w:t>025</w:t>
            </w:r>
            <w:r>
              <w:rPr>
                <w:rFonts w:hint="eastAsia" w:ascii="Times New Roman" w:hAnsi="Times New Roman"/>
                <w:color w:val="000000"/>
                <w:kern w:val="2"/>
                <w:sz w:val="21"/>
              </w:rPr>
              <w:t>年度营业收入增长率不低于</w:t>
            </w:r>
            <w:r>
              <w:rPr>
                <w:rFonts w:ascii="Times New Roman" w:hAnsi="Times New Roman"/>
                <w:color w:val="000000"/>
                <w:kern w:val="2"/>
                <w:sz w:val="21"/>
              </w:rPr>
              <w:t>69%</w:t>
            </w:r>
            <w:r>
              <w:rPr>
                <w:rFonts w:hint="eastAsia" w:ascii="Times New Roman" w:hAnsi="Times New Roman"/>
                <w:color w:val="000000"/>
                <w:kern w:val="2"/>
                <w:sz w:val="21"/>
              </w:rPr>
              <w:t>或公司2</w:t>
            </w:r>
            <w:r>
              <w:rPr>
                <w:rFonts w:ascii="Times New Roman" w:hAnsi="Times New Roman"/>
                <w:color w:val="000000"/>
                <w:kern w:val="2"/>
                <w:sz w:val="21"/>
              </w:rPr>
              <w:t>025</w:t>
            </w:r>
            <w:r>
              <w:rPr>
                <w:rFonts w:hint="eastAsia" w:ascii="Times New Roman" w:hAnsi="Times New Roman"/>
                <w:color w:val="000000"/>
                <w:kern w:val="2"/>
                <w:sz w:val="21"/>
              </w:rPr>
              <w:t>年度净利润增长率不低于</w:t>
            </w:r>
            <w:r>
              <w:rPr>
                <w:rFonts w:ascii="Times New Roman" w:hAnsi="Times New Roman"/>
                <w:color w:val="000000"/>
                <w:kern w:val="2"/>
                <w:sz w:val="21"/>
              </w:rPr>
              <w:t>44%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28" w:type="pct"/>
            <w:vAlign w:val="center"/>
          </w:tcPr>
          <w:p>
            <w:pPr>
              <w:widowControl w:val="0"/>
              <w:spacing w:after="0" w:line="240" w:lineRule="auto"/>
              <w:jc w:val="both"/>
              <w:rPr>
                <w:rFonts w:ascii="Times New Roman" w:hAnsi="Times New Roman"/>
                <w:color w:val="000000"/>
                <w:kern w:val="2"/>
                <w:sz w:val="21"/>
              </w:rPr>
            </w:pPr>
            <w:r>
              <w:rPr>
                <w:rFonts w:ascii="Times New Roman" w:hAnsi="Times New Roman"/>
                <w:color w:val="000000"/>
                <w:kern w:val="2"/>
                <w:sz w:val="21"/>
              </w:rPr>
              <w:t>第二个解除限售期</w:t>
            </w:r>
          </w:p>
        </w:tc>
        <w:tc>
          <w:tcPr>
            <w:tcW w:w="3772" w:type="pct"/>
          </w:tcPr>
          <w:p>
            <w:pPr>
              <w:widowControl w:val="0"/>
              <w:spacing w:after="0" w:line="240" w:lineRule="auto"/>
              <w:jc w:val="both"/>
              <w:rPr>
                <w:rFonts w:ascii="Times New Roman" w:hAnsi="Times New Roman"/>
                <w:color w:val="000000"/>
                <w:kern w:val="2"/>
                <w:sz w:val="21"/>
              </w:rPr>
            </w:pPr>
            <w:r>
              <w:rPr>
                <w:rFonts w:hint="eastAsia" w:ascii="Times New Roman" w:hAnsi="Times New Roman"/>
                <w:color w:val="000000"/>
                <w:kern w:val="2"/>
                <w:sz w:val="21"/>
              </w:rPr>
              <w:t>相比于2</w:t>
            </w:r>
            <w:r>
              <w:rPr>
                <w:rFonts w:ascii="Times New Roman" w:hAnsi="Times New Roman"/>
                <w:color w:val="000000"/>
                <w:kern w:val="2"/>
                <w:sz w:val="21"/>
              </w:rPr>
              <w:t>023</w:t>
            </w:r>
            <w:r>
              <w:rPr>
                <w:rFonts w:hint="eastAsia" w:ascii="Times New Roman" w:hAnsi="Times New Roman"/>
                <w:color w:val="000000"/>
                <w:kern w:val="2"/>
                <w:sz w:val="21"/>
              </w:rPr>
              <w:t>年，公司2</w:t>
            </w:r>
            <w:r>
              <w:rPr>
                <w:rFonts w:ascii="Times New Roman" w:hAnsi="Times New Roman"/>
                <w:color w:val="000000"/>
                <w:kern w:val="2"/>
                <w:sz w:val="21"/>
              </w:rPr>
              <w:t>026</w:t>
            </w:r>
            <w:r>
              <w:rPr>
                <w:rFonts w:hint="eastAsia" w:ascii="Times New Roman" w:hAnsi="Times New Roman"/>
                <w:color w:val="000000"/>
                <w:kern w:val="2"/>
                <w:sz w:val="21"/>
              </w:rPr>
              <w:t>年度营业收入增长率不低于</w:t>
            </w:r>
            <w:r>
              <w:rPr>
                <w:rFonts w:ascii="Times New Roman" w:hAnsi="Times New Roman"/>
                <w:color w:val="000000"/>
                <w:kern w:val="2"/>
                <w:sz w:val="21"/>
              </w:rPr>
              <w:t>119.70%</w:t>
            </w:r>
            <w:r>
              <w:rPr>
                <w:rFonts w:hint="eastAsia" w:ascii="Times New Roman" w:hAnsi="Times New Roman"/>
                <w:color w:val="000000"/>
                <w:kern w:val="2"/>
                <w:sz w:val="21"/>
              </w:rPr>
              <w:t>或公司2</w:t>
            </w:r>
            <w:r>
              <w:rPr>
                <w:rFonts w:ascii="Times New Roman" w:hAnsi="Times New Roman"/>
                <w:color w:val="000000"/>
                <w:kern w:val="2"/>
                <w:sz w:val="21"/>
              </w:rPr>
              <w:t>026</w:t>
            </w:r>
            <w:r>
              <w:rPr>
                <w:rFonts w:hint="eastAsia" w:ascii="Times New Roman" w:hAnsi="Times New Roman"/>
                <w:color w:val="000000"/>
                <w:kern w:val="2"/>
                <w:sz w:val="21"/>
              </w:rPr>
              <w:t>年度净利润增长率不低于</w:t>
            </w:r>
            <w:r>
              <w:rPr>
                <w:rFonts w:ascii="Times New Roman" w:hAnsi="Times New Roman"/>
                <w:color w:val="000000"/>
                <w:kern w:val="2"/>
                <w:sz w:val="21"/>
              </w:rPr>
              <w:t>72.80%</w:t>
            </w:r>
          </w:p>
        </w:tc>
      </w:tr>
    </w:tbl>
    <w:p>
      <w:pPr>
        <w:widowControl w:val="0"/>
        <w:adjustRightInd w:val="0"/>
        <w:spacing w:before="156" w:beforeLines="50" w:after="0" w:line="360" w:lineRule="auto"/>
        <w:ind w:firstLine="480" w:firstLineChars="200"/>
        <w:jc w:val="both"/>
        <w:rPr>
          <w:rFonts w:ascii="Times New Roman" w:hAnsi="Times New Roman"/>
          <w:color w:val="000000"/>
          <w:kern w:val="2"/>
          <w:sz w:val="24"/>
        </w:rPr>
      </w:pPr>
      <w:r>
        <w:rPr>
          <w:rFonts w:ascii="Times New Roman" w:hAnsi="Times New Roman" w:eastAsia="宋体"/>
          <w:color w:val="000000"/>
          <w:kern w:val="2"/>
          <w:sz w:val="24"/>
          <w:szCs w:val="24"/>
        </w:rPr>
        <w:t>4</w:t>
      </w:r>
      <w:r>
        <w:rPr>
          <w:rFonts w:hint="eastAsia" w:ascii="Times New Roman" w:hAnsi="Times New Roman"/>
          <w:color w:val="000000"/>
          <w:kern w:val="2"/>
          <w:sz w:val="24"/>
        </w:rPr>
        <w:t>、满足激励对象个人层面绩效考核要求</w:t>
      </w:r>
    </w:p>
    <w:p>
      <w:pPr>
        <w:spacing w:before="156" w:beforeLines="50" w:after="0" w:line="360" w:lineRule="auto"/>
        <w:ind w:firstLine="480" w:firstLineChars="200"/>
        <w:rPr>
          <w:rFonts w:ascii="Times New Roman" w:hAnsi="Times New Roman"/>
          <w:color w:val="000000"/>
          <w:kern w:val="2"/>
          <w:sz w:val="24"/>
        </w:rPr>
      </w:pPr>
      <w:r>
        <w:rPr>
          <w:rFonts w:hint="eastAsia" w:ascii="Times New Roman" w:hAnsi="Times New Roman"/>
          <w:color w:val="000000"/>
          <w:kern w:val="2"/>
          <w:sz w:val="24"/>
        </w:rPr>
        <w:t>激励对象个人层面绩效考核按照公司现行的相关规定组织实施，并依照激励对象的考核结果确定其实际解除限售的股份数量。激励对象的绩效考核结果划分为优秀、良好、合格、不合格（激励对象考核期内离职的当年个人绩效考核视为不合格）四个档次，届时根据以下考核评级表中对应的个人层面解除限售比例确定激励对象的实际解除限售的股份数量：</w:t>
      </w:r>
    </w:p>
    <w:tbl>
      <w:tblPr>
        <w:tblStyle w:val="22"/>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2489"/>
        <w:gridCol w:w="1360"/>
        <w:gridCol w:w="1359"/>
        <w:gridCol w:w="1359"/>
        <w:gridCol w:w="17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tblHeader/>
          <w:jc w:val="center"/>
        </w:trPr>
        <w:tc>
          <w:tcPr>
            <w:tcW w:w="1493" w:type="pct"/>
            <w:shd w:val="clear" w:color="auto" w:fill="BFBFBF"/>
            <w:tcMar>
              <w:top w:w="0" w:type="dxa"/>
              <w:left w:w="0" w:type="dxa"/>
              <w:bottom w:w="0" w:type="dxa"/>
              <w:right w:w="0" w:type="dxa"/>
            </w:tcMar>
            <w:vAlign w:val="center"/>
          </w:tcPr>
          <w:p>
            <w:pPr>
              <w:widowControl w:val="0"/>
              <w:spacing w:after="0" w:line="240" w:lineRule="auto"/>
              <w:jc w:val="center"/>
              <w:rPr>
                <w:rFonts w:ascii="Times New Roman" w:hAnsi="Times New Roman"/>
                <w:b/>
                <w:color w:val="000000"/>
                <w:sz w:val="21"/>
              </w:rPr>
            </w:pPr>
            <w:r>
              <w:rPr>
                <w:rFonts w:ascii="Times New Roman" w:hAnsi="Times New Roman"/>
                <w:b/>
                <w:color w:val="000000"/>
                <w:sz w:val="21"/>
              </w:rPr>
              <w:t>评价结果</w:t>
            </w:r>
          </w:p>
        </w:tc>
        <w:tc>
          <w:tcPr>
            <w:tcW w:w="816" w:type="pct"/>
            <w:shd w:val="clear" w:color="auto" w:fill="BFBFBF"/>
            <w:tcMar>
              <w:top w:w="0" w:type="dxa"/>
              <w:left w:w="0" w:type="dxa"/>
              <w:bottom w:w="0" w:type="dxa"/>
              <w:right w:w="0" w:type="dxa"/>
            </w:tcMar>
            <w:vAlign w:val="center"/>
          </w:tcPr>
          <w:p>
            <w:pPr>
              <w:widowControl w:val="0"/>
              <w:spacing w:after="0" w:line="240" w:lineRule="auto"/>
              <w:jc w:val="center"/>
              <w:rPr>
                <w:rFonts w:ascii="Times New Roman" w:hAnsi="Times New Roman"/>
                <w:b/>
                <w:color w:val="000000"/>
                <w:sz w:val="21"/>
              </w:rPr>
            </w:pPr>
            <w:r>
              <w:rPr>
                <w:rFonts w:ascii="Times New Roman" w:hAnsi="Times New Roman"/>
                <w:b/>
                <w:color w:val="000000"/>
                <w:sz w:val="21"/>
              </w:rPr>
              <w:t>优</w:t>
            </w:r>
            <w:r>
              <w:rPr>
                <w:rFonts w:hint="eastAsia" w:ascii="Times New Roman" w:hAnsi="Times New Roman"/>
                <w:b/>
                <w:color w:val="000000"/>
                <w:sz w:val="21"/>
              </w:rPr>
              <w:t>秀</w:t>
            </w:r>
          </w:p>
        </w:tc>
        <w:tc>
          <w:tcPr>
            <w:tcW w:w="815" w:type="pct"/>
            <w:shd w:val="clear" w:color="auto" w:fill="BFBFBF"/>
            <w:vAlign w:val="center"/>
          </w:tcPr>
          <w:p>
            <w:pPr>
              <w:widowControl w:val="0"/>
              <w:spacing w:after="0" w:line="240" w:lineRule="auto"/>
              <w:jc w:val="center"/>
              <w:rPr>
                <w:rFonts w:ascii="Times New Roman" w:hAnsi="Times New Roman"/>
                <w:b/>
                <w:color w:val="000000"/>
                <w:sz w:val="21"/>
              </w:rPr>
            </w:pPr>
            <w:r>
              <w:rPr>
                <w:rFonts w:hint="eastAsia" w:ascii="Times New Roman" w:hAnsi="Times New Roman"/>
                <w:b/>
                <w:color w:val="000000"/>
                <w:sz w:val="21"/>
              </w:rPr>
              <w:t>良好</w:t>
            </w:r>
          </w:p>
        </w:tc>
        <w:tc>
          <w:tcPr>
            <w:tcW w:w="815" w:type="pct"/>
            <w:shd w:val="clear" w:color="auto" w:fill="BFBFBF"/>
            <w:tcMar>
              <w:top w:w="0" w:type="dxa"/>
              <w:left w:w="0" w:type="dxa"/>
              <w:bottom w:w="0" w:type="dxa"/>
              <w:right w:w="0" w:type="dxa"/>
            </w:tcMar>
            <w:vAlign w:val="center"/>
          </w:tcPr>
          <w:p>
            <w:pPr>
              <w:widowControl w:val="0"/>
              <w:spacing w:after="0" w:line="240" w:lineRule="auto"/>
              <w:jc w:val="center"/>
              <w:rPr>
                <w:rFonts w:ascii="Times New Roman" w:hAnsi="Times New Roman"/>
                <w:b/>
                <w:color w:val="000000"/>
                <w:sz w:val="21"/>
              </w:rPr>
            </w:pPr>
            <w:r>
              <w:rPr>
                <w:rFonts w:ascii="Times New Roman" w:hAnsi="Times New Roman"/>
                <w:b/>
                <w:color w:val="000000"/>
                <w:sz w:val="21"/>
              </w:rPr>
              <w:t>合格</w:t>
            </w:r>
          </w:p>
        </w:tc>
        <w:tc>
          <w:tcPr>
            <w:tcW w:w="1061" w:type="pct"/>
            <w:shd w:val="clear" w:color="auto" w:fill="BFBFBF"/>
            <w:tcMar>
              <w:top w:w="0" w:type="dxa"/>
              <w:left w:w="0" w:type="dxa"/>
              <w:bottom w:w="0" w:type="dxa"/>
              <w:right w:w="0" w:type="dxa"/>
            </w:tcMar>
            <w:vAlign w:val="center"/>
          </w:tcPr>
          <w:p>
            <w:pPr>
              <w:widowControl w:val="0"/>
              <w:spacing w:after="0" w:line="240" w:lineRule="auto"/>
              <w:jc w:val="center"/>
              <w:rPr>
                <w:rFonts w:ascii="Times New Roman" w:hAnsi="Times New Roman"/>
                <w:b/>
                <w:color w:val="000000"/>
                <w:sz w:val="21"/>
              </w:rPr>
            </w:pPr>
            <w:r>
              <w:rPr>
                <w:rFonts w:ascii="Times New Roman" w:hAnsi="Times New Roman"/>
                <w:b/>
                <w:color w:val="000000"/>
                <w:sz w:val="21"/>
              </w:rPr>
              <w:t>不合格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1493" w:type="pct"/>
            <w:shd w:val="clear" w:color="auto" w:fill="FFFFFF"/>
            <w:tcMar>
              <w:top w:w="0" w:type="dxa"/>
              <w:left w:w="0" w:type="dxa"/>
              <w:bottom w:w="0" w:type="dxa"/>
              <w:right w:w="0" w:type="dxa"/>
            </w:tcMar>
            <w:vAlign w:val="center"/>
          </w:tcPr>
          <w:p>
            <w:pPr>
              <w:widowControl w:val="0"/>
              <w:spacing w:after="0" w:line="240" w:lineRule="auto"/>
              <w:jc w:val="center"/>
              <w:rPr>
                <w:rFonts w:ascii="Times New Roman" w:hAnsi="Times New Roman"/>
                <w:color w:val="000000"/>
                <w:sz w:val="21"/>
              </w:rPr>
            </w:pPr>
            <w:r>
              <w:rPr>
                <w:rFonts w:hint="eastAsia" w:ascii="Times New Roman" w:hAnsi="宋体"/>
                <w:color w:val="000000"/>
                <w:kern w:val="2"/>
                <w:sz w:val="21"/>
              </w:rPr>
              <w:t>解除限售</w:t>
            </w:r>
            <w:r>
              <w:rPr>
                <w:rFonts w:ascii="Times New Roman" w:hAnsi="Times New Roman"/>
                <w:color w:val="000000"/>
                <w:sz w:val="21"/>
              </w:rPr>
              <w:t>比例</w:t>
            </w:r>
          </w:p>
        </w:tc>
        <w:tc>
          <w:tcPr>
            <w:tcW w:w="816" w:type="pct"/>
            <w:shd w:val="clear" w:color="auto" w:fill="FFFFFF"/>
            <w:tcMar>
              <w:top w:w="0" w:type="dxa"/>
              <w:left w:w="0" w:type="dxa"/>
              <w:bottom w:w="0" w:type="dxa"/>
              <w:right w:w="0" w:type="dxa"/>
            </w:tcMar>
            <w:vAlign w:val="center"/>
          </w:tcPr>
          <w:p>
            <w:pPr>
              <w:widowControl w:val="0"/>
              <w:spacing w:after="0" w:line="240" w:lineRule="auto"/>
              <w:jc w:val="center"/>
              <w:rPr>
                <w:rFonts w:ascii="Times New Roman" w:hAnsi="Times New Roman"/>
                <w:color w:val="000000"/>
                <w:sz w:val="21"/>
              </w:rPr>
            </w:pPr>
            <w:r>
              <w:rPr>
                <w:rFonts w:ascii="Times New Roman" w:hAnsi="Times New Roman"/>
                <w:color w:val="000000"/>
                <w:sz w:val="21"/>
              </w:rPr>
              <w:t>100%</w:t>
            </w:r>
          </w:p>
        </w:tc>
        <w:tc>
          <w:tcPr>
            <w:tcW w:w="815" w:type="pct"/>
            <w:shd w:val="clear" w:color="auto" w:fill="FFFFFF"/>
            <w:vAlign w:val="center"/>
          </w:tcPr>
          <w:p>
            <w:pPr>
              <w:widowControl w:val="0"/>
              <w:spacing w:after="0" w:line="240" w:lineRule="auto"/>
              <w:jc w:val="center"/>
              <w:rPr>
                <w:rFonts w:ascii="Times New Roman" w:hAnsi="Times New Roman"/>
                <w:color w:val="000000"/>
                <w:sz w:val="21"/>
              </w:rPr>
            </w:pPr>
            <w:r>
              <w:rPr>
                <w:rFonts w:ascii="Times New Roman" w:hAnsi="Times New Roman"/>
                <w:color w:val="000000"/>
                <w:sz w:val="21"/>
              </w:rPr>
              <w:t>80%</w:t>
            </w:r>
          </w:p>
        </w:tc>
        <w:tc>
          <w:tcPr>
            <w:tcW w:w="815" w:type="pct"/>
            <w:shd w:val="clear" w:color="auto" w:fill="FFFFFF"/>
            <w:tcMar>
              <w:top w:w="0" w:type="dxa"/>
              <w:left w:w="0" w:type="dxa"/>
              <w:bottom w:w="0" w:type="dxa"/>
              <w:right w:w="0" w:type="dxa"/>
            </w:tcMar>
            <w:vAlign w:val="center"/>
          </w:tcPr>
          <w:p>
            <w:pPr>
              <w:widowControl w:val="0"/>
              <w:spacing w:after="0" w:line="240" w:lineRule="auto"/>
              <w:jc w:val="center"/>
              <w:rPr>
                <w:rFonts w:ascii="Times New Roman" w:hAnsi="Times New Roman"/>
                <w:color w:val="000000"/>
                <w:sz w:val="21"/>
              </w:rPr>
            </w:pPr>
            <w:r>
              <w:rPr>
                <w:rFonts w:ascii="Times New Roman" w:hAnsi="Times New Roman"/>
                <w:color w:val="000000"/>
                <w:sz w:val="21"/>
              </w:rPr>
              <w:t>60%</w:t>
            </w:r>
          </w:p>
        </w:tc>
        <w:tc>
          <w:tcPr>
            <w:tcW w:w="1061" w:type="pct"/>
            <w:shd w:val="clear" w:color="auto" w:fill="FFFFFF"/>
            <w:tcMar>
              <w:top w:w="0" w:type="dxa"/>
              <w:left w:w="0" w:type="dxa"/>
              <w:bottom w:w="0" w:type="dxa"/>
              <w:right w:w="0" w:type="dxa"/>
            </w:tcMar>
            <w:vAlign w:val="center"/>
          </w:tcPr>
          <w:p>
            <w:pPr>
              <w:widowControl w:val="0"/>
              <w:spacing w:after="0" w:line="240" w:lineRule="auto"/>
              <w:jc w:val="center"/>
              <w:rPr>
                <w:rFonts w:ascii="Times New Roman" w:hAnsi="Times New Roman"/>
                <w:color w:val="000000"/>
                <w:sz w:val="21"/>
              </w:rPr>
            </w:pPr>
            <w:r>
              <w:rPr>
                <w:rFonts w:ascii="Times New Roman" w:hAnsi="Times New Roman"/>
                <w:color w:val="000000"/>
                <w:sz w:val="21"/>
              </w:rPr>
              <w:t>0%</w:t>
            </w:r>
          </w:p>
        </w:tc>
      </w:tr>
    </w:tbl>
    <w:p>
      <w:pPr>
        <w:spacing w:before="156" w:beforeLines="50" w:after="0" w:line="360" w:lineRule="auto"/>
        <w:ind w:firstLine="480" w:firstLineChars="200"/>
        <w:rPr>
          <w:rFonts w:ascii="Times New Roman" w:hAnsi="Times New Roman"/>
          <w:color w:val="000000"/>
          <w:kern w:val="2"/>
          <w:sz w:val="24"/>
        </w:rPr>
      </w:pPr>
      <w:r>
        <w:rPr>
          <w:rFonts w:hint="eastAsia" w:ascii="Times New Roman" w:hAnsi="Times New Roman"/>
          <w:color w:val="000000"/>
          <w:kern w:val="2"/>
          <w:sz w:val="24"/>
        </w:rPr>
        <w:t>激励对象当年实际解除限售的限制性股票数量=个人当年计划解除限售的数量×公司层面解除限售比例×个人层面解除限售比例。</w:t>
      </w:r>
    </w:p>
    <w:p>
      <w:pPr>
        <w:spacing w:before="156" w:beforeLines="50" w:after="0" w:line="360" w:lineRule="auto"/>
        <w:ind w:firstLine="480" w:firstLineChars="200"/>
        <w:rPr>
          <w:rFonts w:ascii="Times New Roman" w:hAnsi="Times New Roman"/>
          <w:color w:val="000000"/>
        </w:rPr>
      </w:pPr>
      <w:r>
        <w:rPr>
          <w:rFonts w:hint="eastAsia" w:ascii="Times New Roman" w:hAnsi="Times New Roman"/>
          <w:color w:val="000000"/>
          <w:kern w:val="2"/>
          <w:sz w:val="24"/>
        </w:rPr>
        <w:t>激励对象当期计划解除限售的限制性股票因考核原因不能解除限售或不能完全解除限售的，不得解除限售或递延至下期解除限售，由公司按授予价格回购处理。</w:t>
      </w:r>
    </w:p>
    <w:p>
      <w:pPr>
        <w:keepNext/>
        <w:keepLines/>
        <w:spacing w:before="156" w:beforeLines="50" w:after="0" w:line="360" w:lineRule="auto"/>
        <w:jc w:val="both"/>
        <w:outlineLvl w:val="1"/>
        <w:rPr>
          <w:rFonts w:ascii="黑体" w:hAnsi="黑体"/>
          <w:color w:val="000000"/>
          <w:kern w:val="2"/>
        </w:rPr>
      </w:pPr>
      <w:bookmarkStart w:id="19" w:name="_Toc112782121"/>
      <w:r>
        <w:rPr>
          <w:rFonts w:hint="eastAsia" w:ascii="黑体" w:hAnsi="黑体"/>
          <w:b/>
          <w:color w:val="000000"/>
          <w:kern w:val="2"/>
          <w:sz w:val="28"/>
        </w:rPr>
        <w:t>九、本激励计划的调整方法和程序</w:t>
      </w:r>
      <w:bookmarkEnd w:id="19"/>
    </w:p>
    <w:p>
      <w:pPr>
        <w:keepNext/>
        <w:keepLines/>
        <w:spacing w:before="156" w:beforeLines="50" w:after="0" w:line="360" w:lineRule="auto"/>
        <w:ind w:firstLine="482" w:firstLineChars="200"/>
        <w:jc w:val="both"/>
        <w:outlineLvl w:val="2"/>
        <w:rPr>
          <w:rFonts w:ascii="Times New Roman" w:hAnsi="Times New Roman"/>
          <w:b/>
          <w:color w:val="000000"/>
          <w:kern w:val="2"/>
          <w:sz w:val="24"/>
        </w:rPr>
      </w:pPr>
      <w:r>
        <w:rPr>
          <w:rFonts w:hint="eastAsia" w:ascii="Times New Roman" w:hAnsi="Times New Roman"/>
          <w:b/>
          <w:color w:val="000000"/>
          <w:kern w:val="2"/>
          <w:sz w:val="24"/>
        </w:rPr>
        <w:t>（一）限制性股票授予数量及解除限售数量的调整方法</w:t>
      </w:r>
    </w:p>
    <w:p>
      <w:pPr>
        <w:spacing w:before="156" w:beforeLines="50" w:after="0" w:line="360" w:lineRule="auto"/>
        <w:ind w:firstLine="480" w:firstLineChars="200"/>
        <w:jc w:val="both"/>
        <w:rPr>
          <w:rFonts w:ascii="Times New Roman" w:hAnsi="Times New Roman"/>
          <w:color w:val="000000"/>
          <w:sz w:val="24"/>
        </w:rPr>
      </w:pPr>
      <w:r>
        <w:rPr>
          <w:rFonts w:hint="eastAsia" w:ascii="Times New Roman" w:hAnsi="Times New Roman"/>
          <w:color w:val="000000"/>
          <w:sz w:val="24"/>
        </w:rPr>
        <w:t>若在本计划公告当日至激励对象完成限制性股票股份登记期间，公司有资本公积转增股本、派送股票红利、股份拆细、配股、缩股等事项，应对限制性股票授予/解除限售数量进行相应的调整。调整方法如下：</w:t>
      </w:r>
    </w:p>
    <w:p>
      <w:pPr>
        <w:spacing w:before="156" w:beforeLines="50" w:after="0" w:line="360" w:lineRule="auto"/>
        <w:ind w:firstLine="480" w:firstLineChars="200"/>
        <w:jc w:val="both"/>
        <w:rPr>
          <w:rFonts w:ascii="Times New Roman" w:hAnsi="Times New Roman"/>
          <w:color w:val="000000"/>
          <w:sz w:val="24"/>
        </w:rPr>
      </w:pPr>
      <w:r>
        <w:rPr>
          <w:rFonts w:ascii="Times New Roman" w:hAnsi="Times New Roman"/>
          <w:color w:val="000000"/>
          <w:sz w:val="24"/>
        </w:rPr>
        <w:t>1</w:t>
      </w:r>
      <w:r>
        <w:rPr>
          <w:rFonts w:hint="eastAsia" w:ascii="Times New Roman" w:hAnsi="Times New Roman"/>
          <w:color w:val="000000"/>
          <w:sz w:val="24"/>
        </w:rPr>
        <w:t>、资本公积转增股本、派送股票红利、股份拆细</w:t>
      </w:r>
    </w:p>
    <w:p>
      <w:pPr>
        <w:spacing w:before="156" w:beforeLines="50" w:after="0" w:line="360" w:lineRule="auto"/>
        <w:ind w:firstLine="480" w:firstLineChars="200"/>
        <w:jc w:val="both"/>
        <w:rPr>
          <w:rFonts w:ascii="Times New Roman" w:hAnsi="Times New Roman"/>
          <w:color w:val="000000"/>
          <w:sz w:val="24"/>
        </w:rPr>
      </w:pPr>
      <w:r>
        <w:rPr>
          <w:rFonts w:ascii="Times New Roman" w:hAnsi="Times New Roman"/>
          <w:color w:val="000000"/>
          <w:sz w:val="24"/>
        </w:rPr>
        <w:t>Q</w:t>
      </w:r>
      <w:r>
        <w:rPr>
          <w:rFonts w:hint="eastAsia" w:ascii="Times New Roman" w:hAnsi="Times New Roman"/>
          <w:color w:val="000000"/>
          <w:sz w:val="24"/>
        </w:rPr>
        <w:t>＝</w:t>
      </w:r>
      <w:r>
        <w:rPr>
          <w:rFonts w:ascii="Times New Roman" w:hAnsi="Times New Roman"/>
          <w:color w:val="000000"/>
          <w:sz w:val="24"/>
        </w:rPr>
        <w:t>Q0</w:t>
      </w:r>
      <w:r>
        <w:rPr>
          <w:rFonts w:hint="eastAsia" w:ascii="Times New Roman" w:hAnsi="Times New Roman"/>
          <w:color w:val="000000"/>
          <w:sz w:val="24"/>
        </w:rPr>
        <w:t>×（</w:t>
      </w:r>
      <w:r>
        <w:rPr>
          <w:rFonts w:ascii="Times New Roman" w:hAnsi="Times New Roman"/>
          <w:color w:val="000000"/>
          <w:sz w:val="24"/>
        </w:rPr>
        <w:t>1</w:t>
      </w:r>
      <w:r>
        <w:rPr>
          <w:rFonts w:hint="eastAsia" w:ascii="Times New Roman" w:hAnsi="Times New Roman"/>
          <w:color w:val="000000"/>
          <w:sz w:val="24"/>
        </w:rPr>
        <w:t>＋</w:t>
      </w:r>
      <w:r>
        <w:rPr>
          <w:rFonts w:ascii="Times New Roman" w:hAnsi="Times New Roman"/>
          <w:color w:val="000000"/>
          <w:sz w:val="24"/>
        </w:rPr>
        <w:t>n</w:t>
      </w:r>
      <w:r>
        <w:rPr>
          <w:rFonts w:hint="eastAsia" w:ascii="Times New Roman" w:hAnsi="Times New Roman"/>
          <w:color w:val="000000"/>
          <w:sz w:val="24"/>
        </w:rPr>
        <w:t>）</w:t>
      </w:r>
    </w:p>
    <w:p>
      <w:pPr>
        <w:spacing w:before="156" w:beforeLines="50" w:after="0" w:line="360" w:lineRule="auto"/>
        <w:ind w:firstLine="480" w:firstLineChars="200"/>
        <w:jc w:val="both"/>
        <w:rPr>
          <w:rFonts w:ascii="Times New Roman" w:hAnsi="Times New Roman"/>
          <w:color w:val="000000"/>
          <w:sz w:val="24"/>
        </w:rPr>
      </w:pPr>
      <w:r>
        <w:rPr>
          <w:rFonts w:hint="eastAsia" w:ascii="Times New Roman" w:hAnsi="Times New Roman"/>
          <w:color w:val="000000"/>
          <w:sz w:val="24"/>
        </w:rPr>
        <w:t>其中：</w:t>
      </w:r>
      <w:r>
        <w:rPr>
          <w:rFonts w:ascii="Times New Roman" w:hAnsi="Times New Roman"/>
          <w:color w:val="000000"/>
          <w:sz w:val="24"/>
        </w:rPr>
        <w:t>Q0</w:t>
      </w:r>
      <w:r>
        <w:rPr>
          <w:rFonts w:hint="eastAsia" w:ascii="Times New Roman" w:hAnsi="Times New Roman"/>
          <w:color w:val="000000"/>
          <w:sz w:val="24"/>
        </w:rPr>
        <w:t>为调整前的限制性股票授予/解除限售数量；</w:t>
      </w:r>
      <w:r>
        <w:rPr>
          <w:rFonts w:ascii="Times New Roman" w:hAnsi="Times New Roman"/>
          <w:color w:val="000000"/>
          <w:sz w:val="24"/>
        </w:rPr>
        <w:t>n</w:t>
      </w:r>
      <w:r>
        <w:rPr>
          <w:rFonts w:hint="eastAsia" w:ascii="Times New Roman" w:hAnsi="Times New Roman"/>
          <w:color w:val="000000"/>
          <w:sz w:val="24"/>
        </w:rPr>
        <w:t>为每股的资本公积转增股本、派送股票红利、股份拆细的比率（即每股股票经转增、送股或拆细后增加的股票数量）；</w:t>
      </w:r>
      <w:r>
        <w:rPr>
          <w:rFonts w:ascii="Times New Roman" w:hAnsi="Times New Roman"/>
          <w:color w:val="000000"/>
          <w:sz w:val="24"/>
        </w:rPr>
        <w:t>Q</w:t>
      </w:r>
      <w:r>
        <w:rPr>
          <w:rFonts w:hint="eastAsia" w:ascii="Times New Roman" w:hAnsi="Times New Roman"/>
          <w:color w:val="000000"/>
          <w:sz w:val="24"/>
        </w:rPr>
        <w:t>为调整后的限制性股票授予/解除限售数量。</w:t>
      </w:r>
    </w:p>
    <w:p>
      <w:pPr>
        <w:spacing w:before="156" w:beforeLines="50" w:after="0" w:line="360" w:lineRule="auto"/>
        <w:ind w:firstLine="480" w:firstLineChars="200"/>
        <w:jc w:val="both"/>
        <w:rPr>
          <w:rFonts w:ascii="Times New Roman" w:hAnsi="Times New Roman"/>
          <w:color w:val="000000"/>
          <w:sz w:val="24"/>
        </w:rPr>
      </w:pPr>
      <w:r>
        <w:rPr>
          <w:rFonts w:ascii="Times New Roman" w:hAnsi="Times New Roman"/>
          <w:color w:val="000000"/>
          <w:sz w:val="24"/>
        </w:rPr>
        <w:t>2</w:t>
      </w:r>
      <w:r>
        <w:rPr>
          <w:rFonts w:hint="eastAsia" w:ascii="Times New Roman" w:hAnsi="Times New Roman"/>
          <w:color w:val="000000"/>
          <w:sz w:val="24"/>
        </w:rPr>
        <w:t>、配股</w:t>
      </w:r>
    </w:p>
    <w:p>
      <w:pPr>
        <w:spacing w:before="156" w:beforeLines="50" w:after="0" w:line="360" w:lineRule="auto"/>
        <w:ind w:firstLine="480" w:firstLineChars="200"/>
        <w:jc w:val="both"/>
        <w:rPr>
          <w:rFonts w:ascii="Times New Roman" w:hAnsi="Times New Roman"/>
          <w:color w:val="000000"/>
          <w:sz w:val="24"/>
        </w:rPr>
      </w:pPr>
      <w:r>
        <w:rPr>
          <w:rFonts w:ascii="Times New Roman" w:hAnsi="Times New Roman"/>
          <w:color w:val="000000"/>
          <w:sz w:val="24"/>
        </w:rPr>
        <w:t>Q</w:t>
      </w:r>
      <w:r>
        <w:rPr>
          <w:rFonts w:hint="eastAsia" w:ascii="Times New Roman" w:hAnsi="Times New Roman"/>
          <w:color w:val="000000"/>
          <w:sz w:val="24"/>
        </w:rPr>
        <w:t>＝</w:t>
      </w:r>
      <w:r>
        <w:rPr>
          <w:rFonts w:ascii="Times New Roman" w:hAnsi="Times New Roman"/>
          <w:color w:val="000000"/>
          <w:sz w:val="24"/>
        </w:rPr>
        <w:t>Q0</w:t>
      </w:r>
      <w:r>
        <w:rPr>
          <w:rFonts w:hint="eastAsia" w:ascii="Times New Roman" w:hAnsi="Times New Roman"/>
          <w:color w:val="000000"/>
          <w:sz w:val="24"/>
        </w:rPr>
        <w:t>×</w:t>
      </w:r>
      <w:r>
        <w:rPr>
          <w:rFonts w:ascii="Times New Roman" w:hAnsi="Times New Roman"/>
          <w:color w:val="000000"/>
          <w:sz w:val="24"/>
        </w:rPr>
        <w:t>P1</w:t>
      </w:r>
      <w:r>
        <w:rPr>
          <w:rFonts w:hint="eastAsia" w:ascii="Times New Roman" w:hAnsi="Times New Roman"/>
          <w:color w:val="000000"/>
          <w:sz w:val="24"/>
        </w:rPr>
        <w:t>×（</w:t>
      </w:r>
      <w:r>
        <w:rPr>
          <w:rFonts w:ascii="Times New Roman" w:hAnsi="Times New Roman"/>
          <w:color w:val="000000"/>
          <w:sz w:val="24"/>
        </w:rPr>
        <w:t>1</w:t>
      </w:r>
      <w:r>
        <w:rPr>
          <w:rFonts w:hint="eastAsia" w:ascii="Times New Roman" w:hAnsi="Times New Roman"/>
          <w:color w:val="000000"/>
          <w:sz w:val="24"/>
        </w:rPr>
        <w:t>＋</w:t>
      </w:r>
      <w:r>
        <w:rPr>
          <w:rFonts w:ascii="Times New Roman" w:hAnsi="Times New Roman"/>
          <w:color w:val="000000"/>
          <w:sz w:val="24"/>
        </w:rPr>
        <w:t>n</w:t>
      </w:r>
      <w:r>
        <w:rPr>
          <w:rFonts w:hint="eastAsia" w:ascii="Times New Roman" w:hAnsi="Times New Roman"/>
          <w:color w:val="000000"/>
          <w:sz w:val="24"/>
        </w:rPr>
        <w:t>）÷（</w:t>
      </w:r>
      <w:r>
        <w:rPr>
          <w:rFonts w:ascii="Times New Roman" w:hAnsi="Times New Roman"/>
          <w:color w:val="000000"/>
          <w:sz w:val="24"/>
        </w:rPr>
        <w:t>P1</w:t>
      </w:r>
      <w:r>
        <w:rPr>
          <w:rFonts w:hint="eastAsia" w:ascii="Times New Roman" w:hAnsi="Times New Roman"/>
          <w:color w:val="000000"/>
          <w:sz w:val="24"/>
        </w:rPr>
        <w:t>＋</w:t>
      </w:r>
      <w:r>
        <w:rPr>
          <w:rFonts w:ascii="Times New Roman" w:hAnsi="Times New Roman"/>
          <w:color w:val="000000"/>
          <w:sz w:val="24"/>
        </w:rPr>
        <w:t>P2</w:t>
      </w:r>
      <w:r>
        <w:rPr>
          <w:rFonts w:hint="eastAsia" w:ascii="Times New Roman" w:hAnsi="Times New Roman"/>
          <w:color w:val="000000"/>
          <w:sz w:val="24"/>
        </w:rPr>
        <w:t>×</w:t>
      </w:r>
      <w:r>
        <w:rPr>
          <w:rFonts w:ascii="Times New Roman" w:hAnsi="Times New Roman"/>
          <w:color w:val="000000"/>
          <w:sz w:val="24"/>
        </w:rPr>
        <w:t>n</w:t>
      </w:r>
      <w:r>
        <w:rPr>
          <w:rFonts w:hint="eastAsia" w:ascii="Times New Roman" w:hAnsi="Times New Roman"/>
          <w:color w:val="000000"/>
          <w:sz w:val="24"/>
        </w:rPr>
        <w:t>）</w:t>
      </w:r>
    </w:p>
    <w:p>
      <w:pPr>
        <w:spacing w:before="156" w:beforeLines="50" w:after="0" w:line="360" w:lineRule="auto"/>
        <w:ind w:firstLine="480" w:firstLineChars="200"/>
        <w:jc w:val="both"/>
        <w:rPr>
          <w:rFonts w:ascii="Times New Roman" w:hAnsi="Times New Roman"/>
          <w:color w:val="000000"/>
          <w:sz w:val="24"/>
        </w:rPr>
      </w:pPr>
      <w:r>
        <w:rPr>
          <w:rFonts w:hint="eastAsia" w:ascii="Times New Roman" w:hAnsi="Times New Roman"/>
          <w:color w:val="000000"/>
          <w:sz w:val="24"/>
        </w:rPr>
        <w:t>其中：Q0为调整前的限制性股票授予/解除限售数量；P1为股权登记日当日收盘价；P2为配股价格；n为配股的比例（即配股的股数与配股前公司总股本的比例）；Q为调整后的限制性股票授予/解除限售数量。</w:t>
      </w:r>
    </w:p>
    <w:p>
      <w:pPr>
        <w:spacing w:before="156" w:beforeLines="50" w:after="0" w:line="360" w:lineRule="auto"/>
        <w:ind w:firstLine="480" w:firstLineChars="200"/>
        <w:jc w:val="both"/>
        <w:rPr>
          <w:rFonts w:ascii="Times New Roman" w:hAnsi="Times New Roman"/>
          <w:color w:val="000000"/>
          <w:sz w:val="24"/>
        </w:rPr>
      </w:pPr>
      <w:r>
        <w:rPr>
          <w:rFonts w:ascii="Times New Roman" w:hAnsi="Times New Roman"/>
          <w:color w:val="000000"/>
          <w:sz w:val="24"/>
        </w:rPr>
        <w:t>3</w:t>
      </w:r>
      <w:r>
        <w:rPr>
          <w:rFonts w:hint="eastAsia" w:ascii="Times New Roman" w:hAnsi="Times New Roman"/>
          <w:color w:val="000000"/>
          <w:sz w:val="24"/>
        </w:rPr>
        <w:t>、缩股</w:t>
      </w:r>
    </w:p>
    <w:p>
      <w:pPr>
        <w:spacing w:before="156" w:beforeLines="50" w:after="0" w:line="360" w:lineRule="auto"/>
        <w:ind w:firstLine="480" w:firstLineChars="200"/>
        <w:jc w:val="both"/>
        <w:rPr>
          <w:rFonts w:ascii="Times New Roman" w:hAnsi="Times New Roman"/>
          <w:color w:val="000000"/>
          <w:sz w:val="24"/>
        </w:rPr>
      </w:pPr>
      <w:r>
        <w:rPr>
          <w:rFonts w:ascii="Times New Roman" w:hAnsi="Times New Roman"/>
          <w:color w:val="000000"/>
          <w:sz w:val="24"/>
        </w:rPr>
        <w:t>Q</w:t>
      </w:r>
      <w:r>
        <w:rPr>
          <w:rFonts w:hint="eastAsia" w:ascii="Times New Roman" w:hAnsi="Times New Roman"/>
          <w:color w:val="000000"/>
          <w:sz w:val="24"/>
        </w:rPr>
        <w:t>＝</w:t>
      </w:r>
      <w:r>
        <w:rPr>
          <w:rFonts w:ascii="Times New Roman" w:hAnsi="Times New Roman"/>
          <w:color w:val="000000"/>
          <w:sz w:val="24"/>
        </w:rPr>
        <w:t>Q0</w:t>
      </w:r>
      <w:r>
        <w:rPr>
          <w:rFonts w:hint="eastAsia" w:ascii="Times New Roman" w:hAnsi="Times New Roman"/>
          <w:color w:val="000000"/>
          <w:sz w:val="24"/>
        </w:rPr>
        <w:t>×</w:t>
      </w:r>
      <w:r>
        <w:rPr>
          <w:rFonts w:ascii="Times New Roman" w:hAnsi="Times New Roman"/>
          <w:color w:val="000000"/>
          <w:sz w:val="24"/>
        </w:rPr>
        <w:t>n</w:t>
      </w:r>
    </w:p>
    <w:p>
      <w:pPr>
        <w:spacing w:before="156" w:beforeLines="50" w:after="0" w:line="360" w:lineRule="auto"/>
        <w:ind w:firstLine="480" w:firstLineChars="200"/>
        <w:jc w:val="both"/>
        <w:rPr>
          <w:rFonts w:ascii="Times New Roman" w:hAnsi="Times New Roman"/>
          <w:color w:val="000000"/>
          <w:sz w:val="24"/>
        </w:rPr>
      </w:pPr>
      <w:r>
        <w:rPr>
          <w:rFonts w:hint="eastAsia" w:ascii="Times New Roman" w:hAnsi="Times New Roman"/>
          <w:color w:val="000000"/>
          <w:sz w:val="24"/>
        </w:rPr>
        <w:t>其中：Q0为调整前的限制性股票授予/解除限售数量；n为缩股比例（即1股公司股票缩为n股股票）；Q为调整后的限制性股票授予/解除限售数量。</w:t>
      </w:r>
    </w:p>
    <w:p>
      <w:pPr>
        <w:spacing w:before="156" w:beforeLines="50" w:after="0" w:line="360" w:lineRule="auto"/>
        <w:ind w:firstLine="480" w:firstLineChars="200"/>
        <w:jc w:val="both"/>
        <w:rPr>
          <w:rFonts w:ascii="Times New Roman" w:hAnsi="Times New Roman"/>
          <w:color w:val="000000"/>
          <w:sz w:val="24"/>
        </w:rPr>
      </w:pPr>
      <w:r>
        <w:rPr>
          <w:rFonts w:ascii="Times New Roman" w:hAnsi="Times New Roman"/>
          <w:color w:val="000000"/>
          <w:sz w:val="24"/>
        </w:rPr>
        <w:t>4</w:t>
      </w:r>
      <w:r>
        <w:rPr>
          <w:rFonts w:hint="eastAsia" w:ascii="Times New Roman" w:hAnsi="Times New Roman"/>
          <w:color w:val="000000"/>
          <w:sz w:val="24"/>
        </w:rPr>
        <w:t>、增发</w:t>
      </w:r>
    </w:p>
    <w:p>
      <w:pPr>
        <w:spacing w:before="156" w:beforeLines="50" w:after="0" w:line="360" w:lineRule="auto"/>
        <w:ind w:firstLine="480" w:firstLineChars="200"/>
        <w:jc w:val="both"/>
        <w:rPr>
          <w:rFonts w:ascii="Times New Roman" w:hAnsi="Times New Roman"/>
          <w:color w:val="000000"/>
          <w:sz w:val="24"/>
        </w:rPr>
      </w:pPr>
      <w:r>
        <w:rPr>
          <w:rFonts w:hint="eastAsia" w:ascii="Times New Roman" w:hAnsi="Times New Roman"/>
          <w:color w:val="000000"/>
          <w:sz w:val="24"/>
        </w:rPr>
        <w:t>公司在发生增发新股的情况下，限制性股票授予/解除限售数量不做调整。</w:t>
      </w:r>
    </w:p>
    <w:p>
      <w:pPr>
        <w:keepNext/>
        <w:keepLines/>
        <w:spacing w:before="156" w:beforeLines="50" w:after="0" w:line="360" w:lineRule="auto"/>
        <w:ind w:firstLine="482" w:firstLineChars="200"/>
        <w:jc w:val="both"/>
        <w:outlineLvl w:val="2"/>
        <w:rPr>
          <w:rFonts w:ascii="Times New Roman" w:hAnsi="Times New Roman"/>
          <w:b/>
          <w:color w:val="000000"/>
          <w:kern w:val="2"/>
          <w:sz w:val="24"/>
        </w:rPr>
      </w:pPr>
      <w:r>
        <w:rPr>
          <w:rFonts w:hint="eastAsia" w:ascii="Times New Roman" w:hAnsi="Times New Roman"/>
          <w:b/>
          <w:color w:val="000000"/>
          <w:kern w:val="2"/>
          <w:sz w:val="24"/>
        </w:rPr>
        <w:t>（二）限制性股票授予价格的调整方法</w:t>
      </w:r>
    </w:p>
    <w:p>
      <w:pPr>
        <w:spacing w:before="156" w:beforeLines="50" w:after="0" w:line="360" w:lineRule="auto"/>
        <w:ind w:firstLine="480" w:firstLineChars="200"/>
        <w:jc w:val="both"/>
        <w:rPr>
          <w:rFonts w:ascii="Times New Roman" w:hAnsi="Times New Roman"/>
          <w:color w:val="000000"/>
          <w:sz w:val="24"/>
        </w:rPr>
      </w:pPr>
      <w:r>
        <w:rPr>
          <w:rFonts w:hint="eastAsia" w:ascii="Times New Roman" w:hAnsi="Times New Roman"/>
          <w:color w:val="000000"/>
          <w:sz w:val="24"/>
        </w:rPr>
        <w:t>若在本计划公告当日至激励对象完成限制性股票股份登记期间，公司有资本公积转增股本、派送股票红利、股份拆细、配股或缩股等事项，应对限制性股票的授予价格进行相应的调整。调整方法如下：</w:t>
      </w:r>
    </w:p>
    <w:p>
      <w:pPr>
        <w:spacing w:before="156" w:beforeLines="50" w:after="0" w:line="360" w:lineRule="auto"/>
        <w:ind w:firstLine="480" w:firstLineChars="200"/>
        <w:jc w:val="both"/>
        <w:rPr>
          <w:rFonts w:ascii="Times New Roman" w:hAnsi="Times New Roman"/>
          <w:color w:val="000000"/>
          <w:sz w:val="24"/>
        </w:rPr>
      </w:pPr>
      <w:r>
        <w:rPr>
          <w:rFonts w:ascii="Times New Roman" w:hAnsi="Times New Roman"/>
          <w:color w:val="000000"/>
          <w:sz w:val="24"/>
        </w:rPr>
        <w:t>1</w:t>
      </w:r>
      <w:r>
        <w:rPr>
          <w:rFonts w:hint="eastAsia" w:ascii="Times New Roman" w:hAnsi="Times New Roman"/>
          <w:color w:val="000000"/>
          <w:sz w:val="24"/>
        </w:rPr>
        <w:t>、资本公积转增股本、派送股票红利、股份拆细</w:t>
      </w:r>
    </w:p>
    <w:p>
      <w:pPr>
        <w:spacing w:before="156" w:beforeLines="50" w:after="0" w:line="360" w:lineRule="auto"/>
        <w:ind w:firstLine="480" w:firstLineChars="200"/>
        <w:jc w:val="both"/>
        <w:rPr>
          <w:rFonts w:ascii="Times New Roman" w:hAnsi="Times New Roman"/>
          <w:color w:val="000000"/>
          <w:sz w:val="24"/>
        </w:rPr>
      </w:pPr>
      <w:r>
        <w:rPr>
          <w:rFonts w:ascii="Times New Roman" w:hAnsi="Times New Roman"/>
          <w:color w:val="000000"/>
          <w:sz w:val="24"/>
        </w:rPr>
        <w:t>P</w:t>
      </w:r>
      <w:r>
        <w:rPr>
          <w:rFonts w:hint="eastAsia" w:ascii="Times New Roman" w:hAnsi="Times New Roman"/>
          <w:color w:val="000000"/>
          <w:sz w:val="24"/>
        </w:rPr>
        <w:t>＝</w:t>
      </w:r>
      <w:r>
        <w:rPr>
          <w:rFonts w:ascii="Times New Roman" w:hAnsi="Times New Roman"/>
          <w:color w:val="000000"/>
          <w:sz w:val="24"/>
        </w:rPr>
        <w:t>P0</w:t>
      </w:r>
      <w:r>
        <w:rPr>
          <w:rFonts w:hint="eastAsia" w:ascii="Times New Roman" w:hAnsi="Times New Roman"/>
          <w:color w:val="000000"/>
          <w:sz w:val="24"/>
        </w:rPr>
        <w:t>÷（</w:t>
      </w:r>
      <w:r>
        <w:rPr>
          <w:rFonts w:ascii="Times New Roman" w:hAnsi="Times New Roman"/>
          <w:color w:val="000000"/>
          <w:sz w:val="24"/>
        </w:rPr>
        <w:t>1</w:t>
      </w:r>
      <w:r>
        <w:rPr>
          <w:rFonts w:hint="eastAsia" w:ascii="Times New Roman" w:hAnsi="Times New Roman"/>
          <w:color w:val="000000"/>
          <w:sz w:val="24"/>
        </w:rPr>
        <w:t>＋</w:t>
      </w:r>
      <w:r>
        <w:rPr>
          <w:rFonts w:ascii="Times New Roman" w:hAnsi="Times New Roman"/>
          <w:color w:val="000000"/>
          <w:sz w:val="24"/>
        </w:rPr>
        <w:t>n</w:t>
      </w:r>
      <w:r>
        <w:rPr>
          <w:rFonts w:hint="eastAsia" w:ascii="Times New Roman" w:hAnsi="Times New Roman"/>
          <w:color w:val="000000"/>
          <w:sz w:val="24"/>
        </w:rPr>
        <w:t>）</w:t>
      </w:r>
    </w:p>
    <w:p>
      <w:pPr>
        <w:spacing w:before="156" w:beforeLines="50" w:after="0" w:line="360" w:lineRule="auto"/>
        <w:ind w:firstLine="480" w:firstLineChars="200"/>
        <w:jc w:val="both"/>
        <w:rPr>
          <w:rFonts w:ascii="Times New Roman" w:hAnsi="Times New Roman"/>
          <w:color w:val="000000"/>
          <w:sz w:val="24"/>
        </w:rPr>
      </w:pPr>
      <w:r>
        <w:rPr>
          <w:rFonts w:hint="eastAsia" w:ascii="Times New Roman" w:hAnsi="Times New Roman"/>
          <w:color w:val="000000"/>
          <w:sz w:val="24"/>
        </w:rPr>
        <w:t>其中：P0为调整前的授予价格；n为每股的资本公积转增股本、派送股票红利、股份拆细的比率；P为调整后的授予价格。</w:t>
      </w:r>
    </w:p>
    <w:p>
      <w:pPr>
        <w:spacing w:before="156" w:beforeLines="50" w:after="0" w:line="360" w:lineRule="auto"/>
        <w:ind w:firstLine="480" w:firstLineChars="200"/>
        <w:jc w:val="both"/>
        <w:rPr>
          <w:rFonts w:ascii="Times New Roman" w:hAnsi="Times New Roman"/>
          <w:color w:val="000000"/>
          <w:sz w:val="24"/>
        </w:rPr>
      </w:pPr>
      <w:r>
        <w:rPr>
          <w:rFonts w:ascii="Times New Roman" w:hAnsi="Times New Roman"/>
          <w:color w:val="000000"/>
          <w:sz w:val="24"/>
        </w:rPr>
        <w:t>2</w:t>
      </w:r>
      <w:r>
        <w:rPr>
          <w:rFonts w:hint="eastAsia" w:ascii="Times New Roman" w:hAnsi="Times New Roman"/>
          <w:color w:val="000000"/>
          <w:sz w:val="24"/>
        </w:rPr>
        <w:t>、配股</w:t>
      </w:r>
    </w:p>
    <w:p>
      <w:pPr>
        <w:spacing w:before="156" w:beforeLines="50" w:after="0" w:line="360" w:lineRule="auto"/>
        <w:ind w:firstLine="480" w:firstLineChars="200"/>
        <w:jc w:val="both"/>
        <w:rPr>
          <w:rFonts w:ascii="Times New Roman" w:hAnsi="Times New Roman"/>
          <w:color w:val="000000"/>
          <w:sz w:val="24"/>
        </w:rPr>
      </w:pPr>
      <w:r>
        <w:rPr>
          <w:rFonts w:ascii="Times New Roman" w:hAnsi="Times New Roman"/>
          <w:color w:val="000000"/>
          <w:sz w:val="24"/>
        </w:rPr>
        <w:t>P</w:t>
      </w:r>
      <w:r>
        <w:rPr>
          <w:rFonts w:hint="eastAsia" w:ascii="Times New Roman" w:hAnsi="Times New Roman"/>
          <w:color w:val="000000"/>
          <w:sz w:val="24"/>
        </w:rPr>
        <w:t>＝</w:t>
      </w:r>
      <w:r>
        <w:rPr>
          <w:rFonts w:ascii="Times New Roman" w:hAnsi="Times New Roman"/>
          <w:color w:val="000000"/>
          <w:sz w:val="24"/>
        </w:rPr>
        <w:t>P0</w:t>
      </w:r>
      <w:r>
        <w:rPr>
          <w:rFonts w:hint="eastAsia" w:ascii="Times New Roman" w:hAnsi="Times New Roman"/>
          <w:color w:val="000000"/>
          <w:sz w:val="24"/>
        </w:rPr>
        <w:t>×（</w:t>
      </w:r>
      <w:r>
        <w:rPr>
          <w:rFonts w:ascii="Times New Roman" w:hAnsi="Times New Roman"/>
          <w:color w:val="000000"/>
          <w:sz w:val="24"/>
        </w:rPr>
        <w:t>P1</w:t>
      </w:r>
      <w:r>
        <w:rPr>
          <w:rFonts w:hint="eastAsia" w:ascii="Times New Roman" w:hAnsi="Times New Roman"/>
          <w:color w:val="000000"/>
          <w:sz w:val="24"/>
        </w:rPr>
        <w:t>＋</w:t>
      </w:r>
      <w:r>
        <w:rPr>
          <w:rFonts w:ascii="Times New Roman" w:hAnsi="Times New Roman"/>
          <w:color w:val="000000"/>
          <w:sz w:val="24"/>
        </w:rPr>
        <w:t>P2</w:t>
      </w:r>
      <w:r>
        <w:rPr>
          <w:rFonts w:hint="eastAsia" w:ascii="Times New Roman" w:hAnsi="Times New Roman"/>
          <w:color w:val="000000"/>
          <w:sz w:val="24"/>
        </w:rPr>
        <w:t>×</w:t>
      </w:r>
      <w:r>
        <w:rPr>
          <w:rFonts w:ascii="Times New Roman" w:hAnsi="Times New Roman"/>
          <w:color w:val="000000"/>
          <w:sz w:val="24"/>
        </w:rPr>
        <w:t>n</w:t>
      </w:r>
      <w:r>
        <w:rPr>
          <w:rFonts w:hint="eastAsia" w:ascii="Times New Roman" w:hAnsi="Times New Roman"/>
          <w:color w:val="000000"/>
          <w:sz w:val="24"/>
        </w:rPr>
        <w:t>）÷</w:t>
      </w:r>
      <w:r>
        <w:rPr>
          <w:rFonts w:ascii="Times New Roman" w:hAnsi="Times New Roman"/>
          <w:color w:val="000000"/>
          <w:sz w:val="24"/>
        </w:rPr>
        <w:t>[P1</w:t>
      </w:r>
      <w:r>
        <w:rPr>
          <w:rFonts w:hint="eastAsia" w:ascii="Times New Roman" w:hAnsi="Times New Roman"/>
          <w:color w:val="000000"/>
          <w:sz w:val="24"/>
        </w:rPr>
        <w:t>×（</w:t>
      </w:r>
      <w:r>
        <w:rPr>
          <w:rFonts w:ascii="Times New Roman" w:hAnsi="Times New Roman"/>
          <w:color w:val="000000"/>
          <w:sz w:val="24"/>
        </w:rPr>
        <w:t>1</w:t>
      </w:r>
      <w:r>
        <w:rPr>
          <w:rFonts w:hint="eastAsia" w:ascii="Times New Roman" w:hAnsi="Times New Roman"/>
          <w:color w:val="000000"/>
          <w:sz w:val="24"/>
        </w:rPr>
        <w:t>＋</w:t>
      </w:r>
      <w:r>
        <w:rPr>
          <w:rFonts w:ascii="Times New Roman" w:hAnsi="Times New Roman"/>
          <w:color w:val="000000"/>
          <w:sz w:val="24"/>
        </w:rPr>
        <w:t>n</w:t>
      </w:r>
      <w:r>
        <w:rPr>
          <w:rFonts w:hint="eastAsia" w:ascii="Times New Roman" w:hAnsi="Times New Roman"/>
          <w:color w:val="000000"/>
          <w:sz w:val="24"/>
        </w:rPr>
        <w:t>）</w:t>
      </w:r>
      <w:r>
        <w:rPr>
          <w:rFonts w:ascii="Times New Roman" w:hAnsi="Times New Roman"/>
          <w:color w:val="000000"/>
          <w:sz w:val="24"/>
        </w:rPr>
        <w:t>]</w:t>
      </w:r>
    </w:p>
    <w:p>
      <w:pPr>
        <w:spacing w:before="156" w:beforeLines="50" w:after="0" w:line="360" w:lineRule="auto"/>
        <w:ind w:firstLine="480" w:firstLineChars="200"/>
        <w:jc w:val="both"/>
        <w:rPr>
          <w:rFonts w:ascii="Times New Roman" w:hAnsi="Times New Roman"/>
          <w:color w:val="000000"/>
          <w:sz w:val="24"/>
        </w:rPr>
      </w:pPr>
      <w:r>
        <w:rPr>
          <w:rFonts w:hint="eastAsia" w:ascii="Times New Roman" w:hAnsi="Times New Roman"/>
          <w:color w:val="000000"/>
          <w:sz w:val="24"/>
        </w:rPr>
        <w:t>其中：P0为调整前的授予价格；P1为股权登记日当日收盘价；P2为配股价格；n为配股的比例（即配股的股数与配股前股份公司总股本的比例）；P为调整后的授予价格。</w:t>
      </w:r>
    </w:p>
    <w:p>
      <w:pPr>
        <w:spacing w:before="156" w:beforeLines="50" w:after="0" w:line="360" w:lineRule="auto"/>
        <w:ind w:firstLine="480" w:firstLineChars="200"/>
        <w:jc w:val="both"/>
        <w:rPr>
          <w:rFonts w:ascii="Times New Roman" w:hAnsi="Times New Roman"/>
          <w:color w:val="000000"/>
          <w:sz w:val="24"/>
        </w:rPr>
      </w:pPr>
      <w:r>
        <w:rPr>
          <w:rFonts w:ascii="Times New Roman" w:hAnsi="Times New Roman"/>
          <w:color w:val="000000"/>
          <w:sz w:val="24"/>
        </w:rPr>
        <w:t>3</w:t>
      </w:r>
      <w:r>
        <w:rPr>
          <w:rFonts w:hint="eastAsia" w:ascii="Times New Roman" w:hAnsi="Times New Roman"/>
          <w:color w:val="000000"/>
          <w:sz w:val="24"/>
        </w:rPr>
        <w:t>、缩股</w:t>
      </w:r>
    </w:p>
    <w:p>
      <w:pPr>
        <w:spacing w:before="156" w:beforeLines="50" w:after="0" w:line="360" w:lineRule="auto"/>
        <w:ind w:firstLine="480" w:firstLineChars="200"/>
        <w:jc w:val="both"/>
        <w:rPr>
          <w:rFonts w:ascii="Times New Roman" w:hAnsi="Times New Roman"/>
          <w:color w:val="000000"/>
          <w:sz w:val="24"/>
        </w:rPr>
      </w:pPr>
      <w:r>
        <w:rPr>
          <w:rFonts w:ascii="Times New Roman" w:hAnsi="Times New Roman"/>
          <w:color w:val="000000"/>
          <w:sz w:val="24"/>
        </w:rPr>
        <w:t>P</w:t>
      </w:r>
      <w:r>
        <w:rPr>
          <w:rFonts w:hint="eastAsia" w:ascii="Times New Roman" w:hAnsi="Times New Roman"/>
          <w:color w:val="000000"/>
          <w:sz w:val="24"/>
        </w:rPr>
        <w:t>＝</w:t>
      </w:r>
      <w:r>
        <w:rPr>
          <w:rFonts w:ascii="Times New Roman" w:hAnsi="Times New Roman"/>
          <w:color w:val="000000"/>
          <w:sz w:val="24"/>
        </w:rPr>
        <w:t>P0</w:t>
      </w:r>
      <w:r>
        <w:rPr>
          <w:rFonts w:hint="eastAsia" w:ascii="Times New Roman" w:hAnsi="Times New Roman"/>
          <w:color w:val="000000"/>
          <w:sz w:val="24"/>
        </w:rPr>
        <w:t>÷</w:t>
      </w:r>
      <w:r>
        <w:rPr>
          <w:rFonts w:ascii="Times New Roman" w:hAnsi="Times New Roman"/>
          <w:color w:val="000000"/>
          <w:sz w:val="24"/>
        </w:rPr>
        <w:t>n</w:t>
      </w:r>
    </w:p>
    <w:p>
      <w:pPr>
        <w:spacing w:before="156" w:beforeLines="50" w:after="0" w:line="360" w:lineRule="auto"/>
        <w:ind w:firstLine="480" w:firstLineChars="200"/>
        <w:jc w:val="both"/>
        <w:rPr>
          <w:rFonts w:ascii="Times New Roman" w:hAnsi="Times New Roman"/>
          <w:color w:val="000000"/>
          <w:sz w:val="24"/>
        </w:rPr>
      </w:pPr>
      <w:r>
        <w:rPr>
          <w:rFonts w:hint="eastAsia" w:ascii="Times New Roman" w:hAnsi="Times New Roman"/>
          <w:color w:val="000000"/>
          <w:sz w:val="24"/>
        </w:rPr>
        <w:t>其中：P0为调整前的授予价格；n为缩股比例；P为调整后的授予价。</w:t>
      </w:r>
    </w:p>
    <w:p>
      <w:pPr>
        <w:spacing w:before="156" w:beforeLines="50" w:after="0" w:line="360" w:lineRule="auto"/>
        <w:ind w:firstLine="480" w:firstLineChars="200"/>
        <w:jc w:val="both"/>
        <w:rPr>
          <w:rFonts w:ascii="Times New Roman" w:hAnsi="Times New Roman"/>
          <w:color w:val="000000"/>
          <w:sz w:val="24"/>
        </w:rPr>
      </w:pPr>
      <w:r>
        <w:rPr>
          <w:rFonts w:ascii="Times New Roman" w:hAnsi="Times New Roman"/>
          <w:color w:val="000000"/>
          <w:sz w:val="24"/>
        </w:rPr>
        <w:t>4</w:t>
      </w:r>
      <w:r>
        <w:rPr>
          <w:rFonts w:hint="eastAsia" w:ascii="Times New Roman" w:hAnsi="Times New Roman"/>
          <w:color w:val="000000"/>
          <w:sz w:val="24"/>
        </w:rPr>
        <w:t>、派息</w:t>
      </w:r>
    </w:p>
    <w:p>
      <w:pPr>
        <w:spacing w:before="156" w:beforeLines="50" w:after="0" w:line="360" w:lineRule="auto"/>
        <w:ind w:firstLine="480" w:firstLineChars="200"/>
        <w:jc w:val="both"/>
        <w:rPr>
          <w:rFonts w:ascii="Times New Roman" w:hAnsi="Times New Roman"/>
          <w:color w:val="000000"/>
          <w:sz w:val="24"/>
        </w:rPr>
      </w:pPr>
      <w:r>
        <w:rPr>
          <w:rFonts w:ascii="Times New Roman" w:hAnsi="Times New Roman"/>
          <w:color w:val="000000"/>
          <w:sz w:val="24"/>
        </w:rPr>
        <w:t>P</w:t>
      </w:r>
      <w:r>
        <w:rPr>
          <w:rFonts w:hint="eastAsia" w:ascii="Times New Roman" w:hAnsi="Times New Roman"/>
          <w:color w:val="000000"/>
          <w:sz w:val="24"/>
        </w:rPr>
        <w:t>＝</w:t>
      </w:r>
      <w:r>
        <w:rPr>
          <w:rFonts w:ascii="Times New Roman" w:hAnsi="Times New Roman"/>
          <w:color w:val="000000"/>
          <w:sz w:val="24"/>
        </w:rPr>
        <w:t>P0-V</w:t>
      </w:r>
    </w:p>
    <w:p>
      <w:pPr>
        <w:spacing w:before="156" w:beforeLines="50" w:after="0" w:line="360" w:lineRule="auto"/>
        <w:ind w:firstLine="480" w:firstLineChars="200"/>
        <w:jc w:val="both"/>
        <w:rPr>
          <w:rFonts w:ascii="Times New Roman" w:hAnsi="Times New Roman"/>
          <w:color w:val="000000"/>
          <w:sz w:val="24"/>
        </w:rPr>
      </w:pPr>
      <w:r>
        <w:rPr>
          <w:rFonts w:hint="eastAsia" w:ascii="Times New Roman" w:hAnsi="Times New Roman"/>
          <w:color w:val="000000"/>
          <w:sz w:val="24"/>
        </w:rPr>
        <w:t>其中：P0为调整前的授予价格；V为每股的派息额；P为调整后的授予价格。经派息调整后，P仍须大于</w:t>
      </w:r>
      <w:r>
        <w:rPr>
          <w:rFonts w:hint="eastAsia" w:ascii="Times New Roman" w:hAnsi="Times New Roman" w:eastAsia="宋体" w:cs="Times New Roman"/>
          <w:color w:val="000000"/>
          <w:sz w:val="24"/>
          <w:szCs w:val="24"/>
        </w:rPr>
        <w:t>等于</w:t>
      </w:r>
      <w:r>
        <w:rPr>
          <w:rFonts w:hint="eastAsia" w:ascii="Times New Roman" w:hAnsi="Times New Roman"/>
          <w:color w:val="000000"/>
          <w:sz w:val="24"/>
        </w:rPr>
        <w:t>1。</w:t>
      </w:r>
    </w:p>
    <w:p>
      <w:pPr>
        <w:spacing w:before="156" w:beforeLines="50" w:after="0" w:line="360" w:lineRule="auto"/>
        <w:ind w:firstLine="480" w:firstLineChars="200"/>
        <w:jc w:val="both"/>
        <w:rPr>
          <w:rFonts w:ascii="Times New Roman" w:hAnsi="Times New Roman"/>
          <w:color w:val="000000"/>
          <w:sz w:val="24"/>
        </w:rPr>
      </w:pPr>
      <w:r>
        <w:rPr>
          <w:rFonts w:ascii="Times New Roman" w:hAnsi="Times New Roman"/>
          <w:color w:val="000000"/>
          <w:sz w:val="24"/>
        </w:rPr>
        <w:t>5</w:t>
      </w:r>
      <w:r>
        <w:rPr>
          <w:rFonts w:hint="eastAsia" w:ascii="Times New Roman" w:hAnsi="Times New Roman"/>
          <w:color w:val="000000"/>
          <w:sz w:val="24"/>
        </w:rPr>
        <w:t>、增发</w:t>
      </w:r>
    </w:p>
    <w:p>
      <w:pPr>
        <w:spacing w:before="156" w:beforeLines="50" w:after="0" w:line="360" w:lineRule="auto"/>
        <w:ind w:firstLine="480" w:firstLineChars="200"/>
        <w:jc w:val="both"/>
        <w:rPr>
          <w:rFonts w:ascii="Times New Roman" w:hAnsi="Times New Roman"/>
          <w:color w:val="000000"/>
          <w:sz w:val="24"/>
        </w:rPr>
      </w:pPr>
      <w:r>
        <w:rPr>
          <w:rFonts w:hint="eastAsia" w:ascii="Times New Roman" w:hAnsi="Times New Roman"/>
          <w:color w:val="000000"/>
          <w:sz w:val="24"/>
        </w:rPr>
        <w:t>公司在发生增发新股的情况下，限制性股票的授予价格不做调整。</w:t>
      </w:r>
    </w:p>
    <w:p>
      <w:pPr>
        <w:keepNext/>
        <w:keepLines/>
        <w:spacing w:before="156" w:beforeLines="50" w:after="0" w:line="360" w:lineRule="auto"/>
        <w:ind w:firstLine="482" w:firstLineChars="200"/>
        <w:jc w:val="both"/>
        <w:outlineLvl w:val="2"/>
        <w:rPr>
          <w:rFonts w:ascii="Times New Roman" w:hAnsi="Times New Roman"/>
          <w:b/>
          <w:color w:val="000000"/>
          <w:kern w:val="2"/>
          <w:sz w:val="24"/>
        </w:rPr>
      </w:pPr>
      <w:r>
        <w:rPr>
          <w:rFonts w:hint="eastAsia" w:ascii="Times New Roman" w:hAnsi="Times New Roman"/>
          <w:b/>
          <w:color w:val="000000"/>
          <w:kern w:val="2"/>
          <w:sz w:val="24"/>
        </w:rPr>
        <w:t>（三）本计划调整的程序</w:t>
      </w:r>
    </w:p>
    <w:p>
      <w:pPr>
        <w:spacing w:before="156" w:beforeLines="50" w:after="0" w:line="360" w:lineRule="auto"/>
        <w:ind w:firstLine="480" w:firstLineChars="200"/>
        <w:jc w:val="both"/>
        <w:rPr>
          <w:rFonts w:ascii="Times New Roman" w:hAnsi="Times New Roman"/>
          <w:color w:val="000000"/>
          <w:sz w:val="24"/>
        </w:rPr>
      </w:pPr>
      <w:r>
        <w:rPr>
          <w:rFonts w:hint="eastAsia" w:ascii="Times New Roman" w:hAnsi="Times New Roman"/>
          <w:color w:val="000000"/>
          <w:sz w:val="24"/>
        </w:rPr>
        <w:t>当出现上述情况时，应由公司董事会审议通过关于调整限制性股票授予/解除限售数量、授予价格的议案（因上述情形以外的事项需调整限制性股票授予/解除限售数量和价格的，除董事会审议相关议案外，必须提交公司股东大会审议）。公司应聘请律师就上述调整是否符合《股权激励管理办法》、《公司章程》和本激励计划的规定向公司董事会出具专业意见。调整议案经董事会审议通过后，公司应当及时披露董事会决议公告，同时公告法律意见书。</w:t>
      </w:r>
    </w:p>
    <w:p>
      <w:pPr>
        <w:keepNext/>
        <w:keepLines/>
        <w:spacing w:before="156" w:beforeLines="50" w:after="0" w:line="360" w:lineRule="auto"/>
        <w:jc w:val="both"/>
        <w:outlineLvl w:val="1"/>
        <w:rPr>
          <w:rFonts w:ascii="黑体" w:hAnsi="黑体"/>
          <w:b/>
          <w:color w:val="000000"/>
          <w:kern w:val="2"/>
          <w:sz w:val="28"/>
        </w:rPr>
      </w:pPr>
      <w:bookmarkStart w:id="20" w:name="_Toc112782122"/>
      <w:r>
        <w:rPr>
          <w:rFonts w:hint="eastAsia" w:ascii="黑体" w:hAnsi="黑体"/>
          <w:b/>
          <w:color w:val="000000"/>
          <w:kern w:val="2"/>
          <w:sz w:val="28"/>
        </w:rPr>
        <w:t>十、限制性股票的回购与注销</w:t>
      </w:r>
      <w:bookmarkEnd w:id="20"/>
    </w:p>
    <w:p>
      <w:pPr>
        <w:keepNext/>
        <w:keepLines/>
        <w:spacing w:before="156" w:beforeLines="50" w:after="0" w:line="360" w:lineRule="auto"/>
        <w:ind w:firstLine="482" w:firstLineChars="200"/>
        <w:jc w:val="both"/>
        <w:outlineLvl w:val="2"/>
        <w:rPr>
          <w:rFonts w:ascii="Times New Roman" w:hAnsi="Times New Roman"/>
          <w:b/>
          <w:color w:val="000000"/>
          <w:kern w:val="2"/>
          <w:sz w:val="24"/>
        </w:rPr>
      </w:pPr>
      <w:r>
        <w:rPr>
          <w:rFonts w:hint="eastAsia" w:ascii="Times New Roman" w:hAnsi="Times New Roman"/>
          <w:b/>
          <w:color w:val="000000"/>
          <w:kern w:val="2"/>
          <w:sz w:val="24"/>
        </w:rPr>
        <w:t>（一）限制性股票回购注销原则</w:t>
      </w:r>
    </w:p>
    <w:p>
      <w:pPr>
        <w:spacing w:before="156" w:beforeLines="50" w:after="0" w:line="360" w:lineRule="auto"/>
        <w:ind w:firstLine="480" w:firstLineChars="200"/>
        <w:jc w:val="both"/>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公司按本激励计划规定回购注销限制性股票的，除本计划另有约定外，回购价格为授予价格，但根据本计划需对回购价格进行调整的除外。激励对象获授的限制性股票完成股份登记后，若公司发生资本公积转增股本、派送股票红利、股份拆细、配股或缩股、派息等影响公司股本总额或公司股票价格事项的，公司应对未解除限售的限制性股票的回购价格和回购数量做相应的调整。</w:t>
      </w:r>
    </w:p>
    <w:p>
      <w:pPr>
        <w:keepNext/>
        <w:keepLines/>
        <w:spacing w:before="156" w:beforeLines="50" w:after="0" w:line="360" w:lineRule="auto"/>
        <w:ind w:firstLine="482" w:firstLineChars="200"/>
        <w:jc w:val="both"/>
        <w:outlineLvl w:val="2"/>
        <w:rPr>
          <w:rFonts w:ascii="Times New Roman" w:hAnsi="Times New Roman"/>
          <w:b/>
          <w:color w:val="000000"/>
          <w:kern w:val="2"/>
          <w:sz w:val="24"/>
        </w:rPr>
      </w:pPr>
      <w:r>
        <w:rPr>
          <w:rFonts w:hint="eastAsia" w:ascii="Times New Roman" w:hAnsi="Times New Roman"/>
          <w:b/>
          <w:color w:val="000000"/>
          <w:kern w:val="2"/>
          <w:sz w:val="24"/>
        </w:rPr>
        <w:t>（二）回购价格的调整方法</w:t>
      </w:r>
    </w:p>
    <w:p>
      <w:pPr>
        <w:spacing w:before="156" w:beforeLines="50" w:after="0" w:line="360" w:lineRule="auto"/>
        <w:ind w:firstLine="480" w:firstLineChars="20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w:t>
      </w:r>
      <w:r>
        <w:rPr>
          <w:rFonts w:hint="eastAsia" w:ascii="Times New Roman" w:hAnsi="Times New Roman" w:eastAsia="宋体" w:cs="Times New Roman"/>
          <w:color w:val="000000"/>
          <w:sz w:val="24"/>
          <w:szCs w:val="24"/>
        </w:rPr>
        <w:t>、资本公积转增股本、派送股票红利、股份拆细</w:t>
      </w:r>
    </w:p>
    <w:p>
      <w:pPr>
        <w:spacing w:before="156" w:beforeLines="50" w:after="0" w:line="360" w:lineRule="auto"/>
        <w:ind w:firstLine="480" w:firstLineChars="20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P</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P0</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1</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n</w:t>
      </w:r>
      <w:r>
        <w:rPr>
          <w:rFonts w:hint="eastAsia" w:ascii="Times New Roman" w:hAnsi="Times New Roman" w:eastAsia="宋体" w:cs="Times New Roman"/>
          <w:color w:val="000000"/>
          <w:sz w:val="24"/>
          <w:szCs w:val="24"/>
        </w:rPr>
        <w:t>）</w:t>
      </w:r>
    </w:p>
    <w:p>
      <w:pPr>
        <w:spacing w:before="156" w:beforeLines="50" w:after="0" w:line="360" w:lineRule="auto"/>
        <w:ind w:firstLine="480" w:firstLineChars="200"/>
        <w:jc w:val="both"/>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其中：P0为调整前的授予价格；n为每股的资本公积转增股本、派送股票红利、股份拆细的比率；P为调整后的回购价格。</w:t>
      </w:r>
    </w:p>
    <w:p>
      <w:pPr>
        <w:spacing w:before="156" w:beforeLines="50" w:after="0" w:line="360" w:lineRule="auto"/>
        <w:ind w:firstLine="480" w:firstLineChars="20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w:t>
      </w:r>
      <w:r>
        <w:rPr>
          <w:rFonts w:hint="eastAsia" w:ascii="Times New Roman" w:hAnsi="Times New Roman" w:eastAsia="宋体" w:cs="Times New Roman"/>
          <w:color w:val="000000"/>
          <w:sz w:val="24"/>
          <w:szCs w:val="24"/>
        </w:rPr>
        <w:t>、配股</w:t>
      </w:r>
    </w:p>
    <w:p>
      <w:pPr>
        <w:spacing w:before="156" w:beforeLines="50" w:after="0" w:line="360" w:lineRule="auto"/>
        <w:ind w:firstLine="480" w:firstLineChars="20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P</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P0</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P1</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P2</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n</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[P1</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1</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n</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w:t>
      </w:r>
    </w:p>
    <w:p>
      <w:pPr>
        <w:spacing w:before="156" w:beforeLines="50" w:after="0" w:line="360" w:lineRule="auto"/>
        <w:ind w:firstLine="480" w:firstLineChars="200"/>
        <w:jc w:val="both"/>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其中：P0为调整前的授予价格；P1为股权登记日当日收盘价；P2为配股价格；n为配股的比例（即配股的股数与配股前股份公司总股本的比例）；P为调整后的回购价格。</w:t>
      </w:r>
    </w:p>
    <w:p>
      <w:pPr>
        <w:spacing w:before="156" w:beforeLines="50" w:after="0" w:line="360" w:lineRule="auto"/>
        <w:ind w:firstLine="480" w:firstLineChars="20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w:t>
      </w:r>
      <w:r>
        <w:rPr>
          <w:rFonts w:hint="eastAsia" w:ascii="Times New Roman" w:hAnsi="Times New Roman" w:eastAsia="宋体" w:cs="Times New Roman"/>
          <w:color w:val="000000"/>
          <w:sz w:val="24"/>
          <w:szCs w:val="24"/>
        </w:rPr>
        <w:t>、缩股</w:t>
      </w:r>
    </w:p>
    <w:p>
      <w:pPr>
        <w:spacing w:before="156" w:beforeLines="50" w:after="0" w:line="360" w:lineRule="auto"/>
        <w:ind w:firstLine="480" w:firstLineChars="20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P</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P0</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n</w:t>
      </w:r>
    </w:p>
    <w:p>
      <w:pPr>
        <w:spacing w:before="156" w:beforeLines="50" w:after="0" w:line="360" w:lineRule="auto"/>
        <w:ind w:firstLine="480" w:firstLineChars="200"/>
        <w:jc w:val="both"/>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其中：P0为调整前的授予价格；n为缩股比例；P为调整后的回购价。</w:t>
      </w:r>
    </w:p>
    <w:p>
      <w:pPr>
        <w:spacing w:before="156" w:beforeLines="50" w:after="0" w:line="360" w:lineRule="auto"/>
        <w:ind w:firstLine="480" w:firstLineChars="20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w:t>
      </w:r>
      <w:r>
        <w:rPr>
          <w:rFonts w:hint="eastAsia" w:ascii="Times New Roman" w:hAnsi="Times New Roman" w:eastAsia="宋体" w:cs="Times New Roman"/>
          <w:color w:val="000000"/>
          <w:sz w:val="24"/>
          <w:szCs w:val="24"/>
        </w:rPr>
        <w:t>、派息</w:t>
      </w:r>
    </w:p>
    <w:p>
      <w:pPr>
        <w:spacing w:before="156" w:beforeLines="50" w:after="0" w:line="360" w:lineRule="auto"/>
        <w:ind w:firstLine="480" w:firstLineChars="20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P</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P0-V</w:t>
      </w:r>
    </w:p>
    <w:p>
      <w:pPr>
        <w:spacing w:before="156" w:beforeLines="50" w:after="0" w:line="360" w:lineRule="auto"/>
        <w:ind w:firstLine="480" w:firstLineChars="200"/>
        <w:jc w:val="both"/>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其中：P0为调整前的授予价格；V为每股的派息额；P为调整后的回购价格。经派息调整后，P仍须大于等于1。</w:t>
      </w:r>
    </w:p>
    <w:p>
      <w:pPr>
        <w:spacing w:before="156" w:beforeLines="50" w:after="0" w:line="360" w:lineRule="auto"/>
        <w:ind w:firstLine="480" w:firstLineChars="20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w:t>
      </w:r>
      <w:r>
        <w:rPr>
          <w:rFonts w:hint="eastAsia" w:ascii="Times New Roman" w:hAnsi="Times New Roman" w:eastAsia="宋体" w:cs="Times New Roman"/>
          <w:color w:val="000000"/>
          <w:sz w:val="24"/>
          <w:szCs w:val="24"/>
        </w:rPr>
        <w:t>、增发</w:t>
      </w:r>
    </w:p>
    <w:p>
      <w:pPr>
        <w:spacing w:before="156" w:beforeLines="50" w:after="0" w:line="360" w:lineRule="auto"/>
        <w:ind w:firstLine="480" w:firstLineChars="200"/>
        <w:jc w:val="both"/>
        <w:rPr>
          <w:rFonts w:ascii="宋体" w:hAnsi="宋体"/>
          <w:color w:val="000000"/>
          <w:sz w:val="24"/>
        </w:rPr>
      </w:pPr>
      <w:r>
        <w:rPr>
          <w:rFonts w:hint="eastAsia" w:ascii="Times New Roman" w:hAnsi="Times New Roman" w:eastAsia="宋体" w:cs="Times New Roman"/>
          <w:color w:val="000000"/>
          <w:sz w:val="24"/>
          <w:szCs w:val="24"/>
        </w:rPr>
        <w:t>公司在发生增发新股的情况下，限制性股票的回购价格不做调整。</w:t>
      </w:r>
    </w:p>
    <w:p>
      <w:pPr>
        <w:keepNext/>
        <w:keepLines/>
        <w:spacing w:before="156" w:beforeLines="50" w:after="0" w:line="360" w:lineRule="auto"/>
        <w:ind w:firstLine="482" w:firstLineChars="200"/>
        <w:jc w:val="both"/>
        <w:outlineLvl w:val="2"/>
        <w:rPr>
          <w:rFonts w:ascii="Times New Roman" w:hAnsi="Times New Roman"/>
          <w:b/>
          <w:color w:val="000000"/>
          <w:kern w:val="2"/>
          <w:sz w:val="24"/>
        </w:rPr>
      </w:pPr>
      <w:r>
        <w:rPr>
          <w:rFonts w:hint="eastAsia" w:ascii="Times New Roman" w:hAnsi="Times New Roman"/>
          <w:b/>
          <w:color w:val="000000"/>
          <w:kern w:val="2"/>
          <w:sz w:val="24"/>
        </w:rPr>
        <w:t>（三）回购数量的调整方法</w:t>
      </w:r>
    </w:p>
    <w:p>
      <w:pPr>
        <w:spacing w:before="156" w:beforeLines="50" w:after="0" w:line="360" w:lineRule="auto"/>
        <w:ind w:firstLine="480" w:firstLineChars="20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w:t>
      </w:r>
      <w:r>
        <w:rPr>
          <w:rFonts w:hint="eastAsia" w:ascii="Times New Roman" w:hAnsi="Times New Roman" w:eastAsia="宋体" w:cs="Times New Roman"/>
          <w:color w:val="000000"/>
          <w:sz w:val="24"/>
          <w:szCs w:val="24"/>
        </w:rPr>
        <w:t>、资本公积转增股本、派送股票红利、股份拆细</w:t>
      </w:r>
    </w:p>
    <w:p>
      <w:pPr>
        <w:spacing w:before="156" w:beforeLines="50" w:after="0" w:line="360" w:lineRule="auto"/>
        <w:ind w:firstLine="480" w:firstLineChars="20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Q</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Q0</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1</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n</w:t>
      </w:r>
      <w:r>
        <w:rPr>
          <w:rFonts w:hint="eastAsia" w:ascii="Times New Roman" w:hAnsi="Times New Roman" w:eastAsia="宋体" w:cs="Times New Roman"/>
          <w:color w:val="000000"/>
          <w:sz w:val="24"/>
          <w:szCs w:val="24"/>
        </w:rPr>
        <w:t>）</w:t>
      </w:r>
    </w:p>
    <w:p>
      <w:pPr>
        <w:spacing w:before="156" w:beforeLines="50" w:after="0" w:line="360" w:lineRule="auto"/>
        <w:ind w:firstLine="480" w:firstLineChars="200"/>
        <w:jc w:val="both"/>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其中：</w:t>
      </w:r>
      <w:r>
        <w:rPr>
          <w:rFonts w:ascii="Times New Roman" w:hAnsi="Times New Roman" w:eastAsia="宋体" w:cs="Times New Roman"/>
          <w:color w:val="000000"/>
          <w:sz w:val="24"/>
          <w:szCs w:val="24"/>
        </w:rPr>
        <w:t>Q0</w:t>
      </w:r>
      <w:r>
        <w:rPr>
          <w:rFonts w:hint="eastAsia" w:ascii="Times New Roman" w:hAnsi="Times New Roman" w:eastAsia="宋体" w:cs="Times New Roman"/>
          <w:color w:val="000000"/>
          <w:sz w:val="24"/>
          <w:szCs w:val="24"/>
        </w:rPr>
        <w:t>为调整前的限制性股票授予/解除限售数量；</w:t>
      </w:r>
      <w:r>
        <w:rPr>
          <w:rFonts w:ascii="Times New Roman" w:hAnsi="Times New Roman" w:eastAsia="宋体" w:cs="Times New Roman"/>
          <w:color w:val="000000"/>
          <w:sz w:val="24"/>
          <w:szCs w:val="24"/>
        </w:rPr>
        <w:t>n</w:t>
      </w:r>
      <w:r>
        <w:rPr>
          <w:rFonts w:hint="eastAsia" w:ascii="Times New Roman" w:hAnsi="Times New Roman" w:eastAsia="宋体" w:cs="Times New Roman"/>
          <w:color w:val="000000"/>
          <w:sz w:val="24"/>
          <w:szCs w:val="24"/>
        </w:rPr>
        <w:t>为每股的资本公积转增股本、派送股票红利、股份拆细的比率（即每股股票经转增、送股或拆细后增加的股票数量）；</w:t>
      </w:r>
      <w:r>
        <w:rPr>
          <w:rFonts w:ascii="Times New Roman" w:hAnsi="Times New Roman" w:eastAsia="宋体" w:cs="Times New Roman"/>
          <w:color w:val="000000"/>
          <w:sz w:val="24"/>
          <w:szCs w:val="24"/>
        </w:rPr>
        <w:t>Q</w:t>
      </w:r>
      <w:r>
        <w:rPr>
          <w:rFonts w:hint="eastAsia" w:ascii="Times New Roman" w:hAnsi="Times New Roman" w:eastAsia="宋体" w:cs="Times New Roman"/>
          <w:color w:val="000000"/>
          <w:sz w:val="24"/>
          <w:szCs w:val="24"/>
        </w:rPr>
        <w:t>为调整后的限制性股票数量。</w:t>
      </w:r>
    </w:p>
    <w:p>
      <w:pPr>
        <w:spacing w:before="156" w:beforeLines="50" w:after="0" w:line="360" w:lineRule="auto"/>
        <w:ind w:firstLine="480" w:firstLineChars="20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w:t>
      </w:r>
      <w:r>
        <w:rPr>
          <w:rFonts w:hint="eastAsia" w:ascii="Times New Roman" w:hAnsi="Times New Roman" w:eastAsia="宋体" w:cs="Times New Roman"/>
          <w:color w:val="000000"/>
          <w:sz w:val="24"/>
          <w:szCs w:val="24"/>
        </w:rPr>
        <w:t>、配股</w:t>
      </w:r>
    </w:p>
    <w:p>
      <w:pPr>
        <w:spacing w:before="156" w:beforeLines="50" w:after="0" w:line="360" w:lineRule="auto"/>
        <w:ind w:firstLine="480" w:firstLineChars="20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Q</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Q0</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P1</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1</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n</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P1</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P2</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n</w:t>
      </w:r>
      <w:r>
        <w:rPr>
          <w:rFonts w:hint="eastAsia" w:ascii="Times New Roman" w:hAnsi="Times New Roman" w:eastAsia="宋体" w:cs="Times New Roman"/>
          <w:color w:val="000000"/>
          <w:sz w:val="24"/>
          <w:szCs w:val="24"/>
        </w:rPr>
        <w:t>）</w:t>
      </w:r>
    </w:p>
    <w:p>
      <w:pPr>
        <w:spacing w:before="156" w:beforeLines="50" w:after="0" w:line="360" w:lineRule="auto"/>
        <w:ind w:firstLine="480" w:firstLineChars="200"/>
        <w:jc w:val="both"/>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其中：Q0为调整前的限制性股票授予/解除限售数量；P1为股权登记日当日收盘价；P2为配股价格；n为配股的比例（即配股的股数与配股前公司总股本的比例）；Q为调整后的限制性股票数量。</w:t>
      </w:r>
    </w:p>
    <w:p>
      <w:pPr>
        <w:spacing w:before="156" w:beforeLines="50" w:after="0" w:line="360" w:lineRule="auto"/>
        <w:ind w:firstLine="480" w:firstLineChars="20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w:t>
      </w:r>
      <w:r>
        <w:rPr>
          <w:rFonts w:hint="eastAsia" w:ascii="Times New Roman" w:hAnsi="Times New Roman" w:eastAsia="宋体" w:cs="Times New Roman"/>
          <w:color w:val="000000"/>
          <w:sz w:val="24"/>
          <w:szCs w:val="24"/>
        </w:rPr>
        <w:t>、缩股</w:t>
      </w:r>
    </w:p>
    <w:p>
      <w:pPr>
        <w:spacing w:before="156" w:beforeLines="50" w:after="0" w:line="360" w:lineRule="auto"/>
        <w:ind w:firstLine="480" w:firstLineChars="20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Q</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Q0</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n</w:t>
      </w:r>
    </w:p>
    <w:p>
      <w:pPr>
        <w:spacing w:before="156" w:beforeLines="50" w:after="0" w:line="360" w:lineRule="auto"/>
        <w:ind w:firstLine="480" w:firstLineChars="200"/>
        <w:jc w:val="both"/>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其中：Q0为调整前的限制性股票授予/解除限售数量；n为缩股比例（即1股公司股票缩为n股股票）；Q为调整后的限制性股票数量。</w:t>
      </w:r>
    </w:p>
    <w:p>
      <w:pPr>
        <w:spacing w:before="156" w:beforeLines="50" w:after="0" w:line="360" w:lineRule="auto"/>
        <w:ind w:firstLine="480" w:firstLineChars="20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w:t>
      </w:r>
      <w:r>
        <w:rPr>
          <w:rFonts w:hint="eastAsia" w:ascii="Times New Roman" w:hAnsi="Times New Roman" w:eastAsia="宋体" w:cs="Times New Roman"/>
          <w:color w:val="000000"/>
          <w:sz w:val="24"/>
          <w:szCs w:val="24"/>
        </w:rPr>
        <w:t>、增发</w:t>
      </w:r>
    </w:p>
    <w:p>
      <w:pPr>
        <w:spacing w:before="156" w:beforeLines="50" w:after="0" w:line="360" w:lineRule="auto"/>
        <w:ind w:firstLine="480" w:firstLineChars="200"/>
        <w:jc w:val="both"/>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公司在发生增发新股的情况下，限制性股票数量不做调整。</w:t>
      </w:r>
    </w:p>
    <w:p>
      <w:pPr>
        <w:keepNext/>
        <w:keepLines/>
        <w:spacing w:before="156" w:beforeLines="50" w:after="0" w:line="360" w:lineRule="auto"/>
        <w:ind w:firstLine="482" w:firstLineChars="200"/>
        <w:jc w:val="both"/>
        <w:outlineLvl w:val="2"/>
        <w:rPr>
          <w:rFonts w:ascii="Times New Roman" w:hAnsi="Times New Roman"/>
          <w:b/>
          <w:color w:val="000000"/>
          <w:kern w:val="2"/>
          <w:sz w:val="24"/>
        </w:rPr>
      </w:pPr>
      <w:r>
        <w:rPr>
          <w:rFonts w:hint="eastAsia" w:ascii="Times New Roman" w:hAnsi="Times New Roman"/>
          <w:b/>
          <w:color w:val="000000"/>
          <w:kern w:val="2"/>
          <w:sz w:val="24"/>
        </w:rPr>
        <w:t>（四）回购注销的程序</w:t>
      </w:r>
    </w:p>
    <w:p>
      <w:pPr>
        <w:spacing w:before="156" w:beforeLines="50" w:after="0" w:line="360" w:lineRule="auto"/>
        <w:ind w:firstLine="480" w:firstLineChars="200"/>
        <w:jc w:val="both"/>
        <w:rPr>
          <w:rFonts w:ascii="Times New Roman" w:hAnsi="Times New Roman"/>
          <w:color w:val="000000"/>
        </w:rPr>
      </w:pPr>
      <w:r>
        <w:rPr>
          <w:rFonts w:hint="eastAsia" w:ascii="Times New Roman" w:hAnsi="Times New Roman" w:eastAsia="宋体" w:cs="Times New Roman"/>
          <w:color w:val="000000"/>
          <w:sz w:val="24"/>
          <w:szCs w:val="24"/>
        </w:rPr>
        <w:t>公司应及时召开董事会审议根据上述规定进行调整的方案，并按本激励计划的规定，依法将回购股份方案提交股东大会审议批准，并及时公告。公司按照本激励计划的规定实施回购时，应按照《公司法》的规定进行处理。公司按照本激励计划的规定实施回购时，应向证券交易所申请办理限制性股票回购的相关手续，经证券交易所确认后，及时向证券登记结算公司办理完毕注</w:t>
      </w:r>
      <w:r>
        <w:rPr>
          <w:rFonts w:hint="eastAsia" w:ascii="宋体" w:hAnsi="宋体" w:eastAsia="宋体" w:cs="宋体"/>
          <w:color w:val="000000"/>
          <w:sz w:val="24"/>
          <w:szCs w:val="24"/>
        </w:rPr>
        <w:t>销手续，并进行公告。</w:t>
      </w:r>
    </w:p>
    <w:p>
      <w:pPr>
        <w:keepNext/>
        <w:keepLines/>
        <w:spacing w:before="156" w:beforeLines="50" w:after="0" w:line="360" w:lineRule="auto"/>
        <w:jc w:val="both"/>
        <w:outlineLvl w:val="1"/>
        <w:rPr>
          <w:rFonts w:ascii="黑体" w:hAnsi="黑体"/>
          <w:color w:val="000000"/>
          <w:kern w:val="2"/>
        </w:rPr>
      </w:pPr>
      <w:bookmarkStart w:id="21" w:name="_Toc112782123"/>
      <w:r>
        <w:rPr>
          <w:rFonts w:hint="eastAsia" w:ascii="黑体" w:hAnsi="黑体"/>
          <w:b/>
          <w:color w:val="000000"/>
          <w:kern w:val="2"/>
          <w:sz w:val="28"/>
        </w:rPr>
        <w:t>十一、限制性股票激励计划的会计处理</w:t>
      </w:r>
      <w:bookmarkEnd w:id="21"/>
    </w:p>
    <w:p>
      <w:pPr>
        <w:keepNext/>
        <w:keepLines/>
        <w:spacing w:before="156" w:beforeLines="50" w:after="0" w:line="360" w:lineRule="auto"/>
        <w:ind w:firstLine="482" w:firstLineChars="200"/>
        <w:jc w:val="both"/>
        <w:outlineLvl w:val="2"/>
        <w:rPr>
          <w:rFonts w:ascii="Times New Roman" w:hAnsi="Times New Roman"/>
          <w:b/>
          <w:color w:val="000000"/>
          <w:kern w:val="2"/>
          <w:sz w:val="24"/>
        </w:rPr>
      </w:pPr>
      <w:r>
        <w:rPr>
          <w:rFonts w:hint="eastAsia" w:ascii="Times New Roman" w:hAnsi="Times New Roman"/>
          <w:b/>
          <w:color w:val="000000"/>
          <w:kern w:val="2"/>
          <w:sz w:val="24"/>
        </w:rPr>
        <w:t>（一）限制性股票的公允价值及确定方法</w:t>
      </w:r>
    </w:p>
    <w:p>
      <w:pPr>
        <w:spacing w:before="156" w:beforeLines="50" w:after="0" w:line="360" w:lineRule="auto"/>
        <w:ind w:firstLine="480" w:firstLineChars="200"/>
        <w:jc w:val="both"/>
        <w:rPr>
          <w:rFonts w:ascii="Times New Roman" w:hAnsi="Times New Roman"/>
          <w:color w:val="000000"/>
          <w:sz w:val="24"/>
        </w:rPr>
      </w:pPr>
      <w:r>
        <w:rPr>
          <w:rFonts w:ascii="Times New Roman" w:hAnsi="Times New Roman"/>
          <w:color w:val="000000"/>
          <w:sz w:val="24"/>
        </w:rPr>
        <w:t>根据《企业会计准则第11号——股份支付》和《企业会计准则第22号——金融工具确认和计量》的相关规定，限制性股票的单位成本=限制性股票的公允价值－授予价格，其中，限制性股票的公允价值为授予日收盘价。</w:t>
      </w:r>
    </w:p>
    <w:p>
      <w:pPr>
        <w:keepNext/>
        <w:keepLines/>
        <w:spacing w:before="156" w:beforeLines="50" w:after="0" w:line="360" w:lineRule="auto"/>
        <w:ind w:firstLine="482" w:firstLineChars="200"/>
        <w:jc w:val="both"/>
        <w:outlineLvl w:val="2"/>
        <w:rPr>
          <w:rFonts w:ascii="Times New Roman" w:hAnsi="Times New Roman"/>
          <w:b/>
          <w:color w:val="000000"/>
          <w:kern w:val="2"/>
          <w:sz w:val="24"/>
        </w:rPr>
      </w:pPr>
      <w:r>
        <w:rPr>
          <w:rFonts w:hint="eastAsia" w:ascii="Times New Roman" w:hAnsi="Times New Roman"/>
          <w:b/>
          <w:color w:val="000000"/>
          <w:kern w:val="2"/>
          <w:sz w:val="24"/>
        </w:rPr>
        <w:t>（二）预计限制性股票实施对各期经营业绩的影响</w:t>
      </w:r>
    </w:p>
    <w:p>
      <w:pPr>
        <w:spacing w:before="156" w:beforeLines="50" w:after="0" w:line="360" w:lineRule="auto"/>
        <w:ind w:firstLine="480" w:firstLineChars="200"/>
        <w:jc w:val="both"/>
        <w:rPr>
          <w:rFonts w:ascii="Times New Roman" w:hAnsi="Times New Roman"/>
          <w:color w:val="000000"/>
          <w:sz w:val="24"/>
        </w:rPr>
      </w:pPr>
      <w:bookmarkStart w:id="22" w:name="_Hlk85491842"/>
      <w:r>
        <w:rPr>
          <w:rFonts w:hint="eastAsia" w:ascii="Times New Roman" w:hAnsi="Times New Roman"/>
          <w:color w:val="000000"/>
          <w:sz w:val="24"/>
        </w:rPr>
        <w:t>公司按照会计准则的规定确定授予日限制性股票的公允价值，并最终确认本激励计划的股份支付费用，该等费用将在本激励计划的实施过程中按解除限售安排的比例摊销。由本激励计划产生的激励成本将在经常性损益中列支。</w:t>
      </w:r>
    </w:p>
    <w:p>
      <w:pPr>
        <w:spacing w:before="156" w:beforeLines="50" w:after="0" w:line="360" w:lineRule="auto"/>
        <w:ind w:firstLine="480" w:firstLineChars="200"/>
        <w:jc w:val="both"/>
        <w:rPr>
          <w:rFonts w:ascii="Times New Roman" w:hAnsi="Times New Roman"/>
          <w:color w:val="000000"/>
          <w:sz w:val="24"/>
        </w:rPr>
      </w:pPr>
      <w:r>
        <w:rPr>
          <w:rFonts w:hint="eastAsia" w:ascii="Times New Roman" w:hAnsi="Times New Roman"/>
          <w:color w:val="000000"/>
          <w:sz w:val="24"/>
        </w:rPr>
        <w:t>根据中国会计准则要求，本激励计划首次授予限制性股票对各期会计成本的影响如下表所示</w:t>
      </w:r>
      <w:r>
        <w:rPr>
          <w:rFonts w:hint="eastAsia" w:ascii="Times New Roman" w:hAnsi="Times New Roman" w:eastAsia="宋体" w:cs="Times New Roman"/>
          <w:color w:val="000000"/>
          <w:sz w:val="24"/>
          <w:szCs w:val="24"/>
        </w:rPr>
        <w:t>：</w:t>
      </w:r>
    </w:p>
    <w:p>
      <w:pPr>
        <w:spacing w:before="156" w:beforeLines="50" w:after="156" w:afterLines="50" w:line="360" w:lineRule="auto"/>
        <w:ind w:firstLine="420" w:firstLineChars="200"/>
        <w:jc w:val="right"/>
        <w:rPr>
          <w:rFonts w:ascii="Times New Roman" w:hAnsi="Times New Roman"/>
          <w:color w:val="000000"/>
          <w:sz w:val="21"/>
        </w:rPr>
      </w:pPr>
      <w:r>
        <w:rPr>
          <w:rFonts w:hint="eastAsia" w:ascii="Times New Roman" w:hAnsi="Times New Roman"/>
          <w:color w:val="000000"/>
          <w:sz w:val="21"/>
        </w:rPr>
        <w:t>单位：万股、万元</w:t>
      </w:r>
    </w:p>
    <w:tbl>
      <w:tblPr>
        <w:tblStyle w:val="22"/>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1"/>
        <w:gridCol w:w="1372"/>
        <w:gridCol w:w="1491"/>
        <w:gridCol w:w="1493"/>
        <w:gridCol w:w="1491"/>
        <w:gridCol w:w="126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28" w:type="pct"/>
            <w:shd w:val="clear" w:color="auto" w:fill="D9D9D9"/>
            <w:vAlign w:val="center"/>
          </w:tcPr>
          <w:p>
            <w:pPr>
              <w:widowControl w:val="0"/>
              <w:spacing w:after="0" w:line="240" w:lineRule="auto"/>
              <w:jc w:val="center"/>
              <w:rPr>
                <w:rFonts w:ascii="Times New Roman" w:hAnsi="Times New Roman"/>
                <w:b/>
                <w:color w:val="000000"/>
                <w:kern w:val="2"/>
                <w:sz w:val="21"/>
              </w:rPr>
            </w:pPr>
            <w:r>
              <w:rPr>
                <w:rFonts w:hint="eastAsia" w:ascii="Times New Roman" w:hAnsi="Times New Roman"/>
                <w:b/>
                <w:color w:val="000000"/>
                <w:kern w:val="2"/>
                <w:sz w:val="21"/>
              </w:rPr>
              <w:t>首次授予数量</w:t>
            </w:r>
          </w:p>
        </w:tc>
        <w:tc>
          <w:tcPr>
            <w:tcW w:w="805" w:type="pct"/>
            <w:shd w:val="clear" w:color="auto" w:fill="D9D9D9"/>
            <w:vAlign w:val="center"/>
          </w:tcPr>
          <w:p>
            <w:pPr>
              <w:widowControl w:val="0"/>
              <w:spacing w:after="0" w:line="240" w:lineRule="auto"/>
              <w:jc w:val="center"/>
              <w:rPr>
                <w:rFonts w:ascii="Times New Roman" w:hAnsi="Times New Roman"/>
                <w:b/>
                <w:color w:val="000000"/>
                <w:kern w:val="2"/>
                <w:sz w:val="21"/>
              </w:rPr>
            </w:pPr>
            <w:r>
              <w:rPr>
                <w:rFonts w:hint="eastAsia" w:ascii="Times New Roman" w:hAnsi="Times New Roman"/>
                <w:b/>
                <w:color w:val="000000"/>
                <w:kern w:val="2"/>
                <w:sz w:val="21"/>
              </w:rPr>
              <w:t>预计摊销的总费用</w:t>
            </w:r>
          </w:p>
        </w:tc>
        <w:tc>
          <w:tcPr>
            <w:tcW w:w="875" w:type="pct"/>
            <w:shd w:val="clear" w:color="auto" w:fill="D9D9D9"/>
            <w:vAlign w:val="center"/>
          </w:tcPr>
          <w:p>
            <w:pPr>
              <w:widowControl w:val="0"/>
              <w:spacing w:after="0" w:line="240" w:lineRule="auto"/>
              <w:jc w:val="center"/>
              <w:rPr>
                <w:rFonts w:ascii="Times New Roman" w:hAnsi="Times New Roman"/>
                <w:b/>
                <w:color w:val="000000"/>
                <w:kern w:val="2"/>
                <w:sz w:val="21"/>
              </w:rPr>
            </w:pPr>
            <w:r>
              <w:rPr>
                <w:rFonts w:hint="eastAsia" w:ascii="Times New Roman" w:hAnsi="Times New Roman"/>
                <w:b/>
                <w:color w:val="000000"/>
                <w:kern w:val="2"/>
                <w:sz w:val="21"/>
              </w:rPr>
              <w:t>202</w:t>
            </w:r>
            <w:r>
              <w:rPr>
                <w:rFonts w:ascii="Times New Roman" w:hAnsi="Times New Roman"/>
                <w:b/>
                <w:color w:val="000000"/>
                <w:kern w:val="2"/>
                <w:sz w:val="21"/>
              </w:rPr>
              <w:t>4</w:t>
            </w:r>
            <w:r>
              <w:rPr>
                <w:rFonts w:hint="eastAsia" w:ascii="Times New Roman" w:hAnsi="Times New Roman"/>
                <w:b/>
                <w:color w:val="000000"/>
                <w:kern w:val="2"/>
                <w:sz w:val="21"/>
              </w:rPr>
              <w:t>年</w:t>
            </w:r>
          </w:p>
        </w:tc>
        <w:tc>
          <w:tcPr>
            <w:tcW w:w="876" w:type="pct"/>
            <w:shd w:val="clear" w:color="auto" w:fill="D9D9D9"/>
            <w:vAlign w:val="center"/>
          </w:tcPr>
          <w:p>
            <w:pPr>
              <w:widowControl w:val="0"/>
              <w:spacing w:after="0" w:line="240" w:lineRule="auto"/>
              <w:jc w:val="center"/>
              <w:rPr>
                <w:rFonts w:ascii="Times New Roman" w:hAnsi="Times New Roman"/>
                <w:b/>
                <w:color w:val="000000"/>
                <w:kern w:val="2"/>
                <w:sz w:val="21"/>
              </w:rPr>
            </w:pPr>
            <w:r>
              <w:rPr>
                <w:rFonts w:hint="eastAsia" w:ascii="Times New Roman" w:hAnsi="Times New Roman"/>
                <w:b/>
                <w:color w:val="000000"/>
                <w:kern w:val="2"/>
                <w:sz w:val="21"/>
              </w:rPr>
              <w:t>202</w:t>
            </w:r>
            <w:r>
              <w:rPr>
                <w:rFonts w:ascii="Times New Roman" w:hAnsi="Times New Roman"/>
                <w:b/>
                <w:color w:val="000000"/>
                <w:kern w:val="2"/>
                <w:sz w:val="21"/>
              </w:rPr>
              <w:t>5</w:t>
            </w:r>
            <w:r>
              <w:rPr>
                <w:rFonts w:hint="eastAsia" w:ascii="Times New Roman" w:hAnsi="Times New Roman"/>
                <w:b/>
                <w:color w:val="000000"/>
                <w:kern w:val="2"/>
                <w:sz w:val="21"/>
              </w:rPr>
              <w:t>年</w:t>
            </w:r>
          </w:p>
        </w:tc>
        <w:tc>
          <w:tcPr>
            <w:tcW w:w="875" w:type="pct"/>
            <w:shd w:val="clear" w:color="auto" w:fill="D9D9D9"/>
            <w:vAlign w:val="center"/>
          </w:tcPr>
          <w:p>
            <w:pPr>
              <w:widowControl w:val="0"/>
              <w:spacing w:after="0" w:line="240" w:lineRule="auto"/>
              <w:jc w:val="center"/>
              <w:rPr>
                <w:rFonts w:ascii="Times New Roman" w:hAnsi="Times New Roman"/>
                <w:b/>
                <w:color w:val="000000"/>
                <w:kern w:val="2"/>
                <w:sz w:val="21"/>
              </w:rPr>
            </w:pPr>
            <w:r>
              <w:rPr>
                <w:rFonts w:hint="eastAsia" w:ascii="Times New Roman" w:hAnsi="Times New Roman"/>
                <w:b/>
                <w:color w:val="000000"/>
                <w:kern w:val="2"/>
                <w:sz w:val="21"/>
              </w:rPr>
              <w:t>202</w:t>
            </w:r>
            <w:r>
              <w:rPr>
                <w:rFonts w:ascii="Times New Roman" w:hAnsi="Times New Roman"/>
                <w:b/>
                <w:color w:val="000000"/>
                <w:kern w:val="2"/>
                <w:sz w:val="21"/>
              </w:rPr>
              <w:t>6</w:t>
            </w:r>
            <w:r>
              <w:rPr>
                <w:rFonts w:hint="eastAsia" w:ascii="Times New Roman" w:hAnsi="Times New Roman"/>
                <w:b/>
                <w:color w:val="000000"/>
                <w:kern w:val="2"/>
                <w:sz w:val="21"/>
              </w:rPr>
              <w:t>年</w:t>
            </w:r>
          </w:p>
        </w:tc>
        <w:tc>
          <w:tcPr>
            <w:tcW w:w="741" w:type="pct"/>
            <w:shd w:val="clear" w:color="auto" w:fill="D9D9D9"/>
            <w:vAlign w:val="center"/>
          </w:tcPr>
          <w:p>
            <w:pPr>
              <w:widowControl w:val="0"/>
              <w:spacing w:after="0" w:line="240" w:lineRule="auto"/>
              <w:jc w:val="center"/>
              <w:rPr>
                <w:rFonts w:ascii="Times New Roman" w:hAnsi="Times New Roman"/>
                <w:b/>
                <w:color w:val="000000"/>
                <w:kern w:val="2"/>
                <w:sz w:val="21"/>
              </w:rPr>
            </w:pPr>
            <w:r>
              <w:rPr>
                <w:rFonts w:hint="eastAsia" w:ascii="Times New Roman" w:hAnsi="Times New Roman"/>
                <w:b/>
                <w:color w:val="000000"/>
                <w:kern w:val="2"/>
                <w:sz w:val="21"/>
              </w:rPr>
              <w:t>2</w:t>
            </w:r>
            <w:r>
              <w:rPr>
                <w:rFonts w:ascii="Times New Roman" w:hAnsi="Times New Roman"/>
                <w:b/>
                <w:color w:val="000000"/>
                <w:kern w:val="2"/>
                <w:sz w:val="21"/>
              </w:rPr>
              <w:t>027</w:t>
            </w:r>
            <w:r>
              <w:rPr>
                <w:rFonts w:hint="eastAsia" w:ascii="Times New Roman" w:hAnsi="Times New Roman"/>
                <w:b/>
                <w:color w:val="000000"/>
                <w:kern w:val="2"/>
                <w:sz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28" w:type="pct"/>
            <w:shd w:val="clear" w:color="auto" w:fill="auto"/>
            <w:vAlign w:val="center"/>
          </w:tcPr>
          <w:p>
            <w:pPr>
              <w:widowControl w:val="0"/>
              <w:spacing w:after="0" w:line="240" w:lineRule="auto"/>
              <w:jc w:val="center"/>
              <w:rPr>
                <w:rFonts w:ascii="Times New Roman" w:hAnsi="Times New Roman"/>
                <w:color w:val="000000"/>
                <w:kern w:val="2"/>
                <w:sz w:val="21"/>
              </w:rPr>
            </w:pPr>
            <w:r>
              <w:rPr>
                <w:rFonts w:hint="eastAsia" w:ascii="Times New Roman" w:hAnsi="Times New Roman"/>
                <w:color w:val="000000"/>
                <w:kern w:val="2"/>
                <w:sz w:val="21"/>
              </w:rPr>
              <w:t>2</w:t>
            </w:r>
            <w:r>
              <w:rPr>
                <w:rFonts w:ascii="Times New Roman" w:hAnsi="Times New Roman"/>
                <w:color w:val="000000"/>
                <w:kern w:val="2"/>
                <w:sz w:val="21"/>
              </w:rPr>
              <w:t>60.00</w:t>
            </w:r>
          </w:p>
        </w:tc>
        <w:tc>
          <w:tcPr>
            <w:tcW w:w="805" w:type="pct"/>
            <w:shd w:val="clear" w:color="auto" w:fill="auto"/>
            <w:vAlign w:val="center"/>
          </w:tcPr>
          <w:p>
            <w:pPr>
              <w:widowControl w:val="0"/>
              <w:spacing w:after="0" w:line="240" w:lineRule="auto"/>
              <w:jc w:val="center"/>
              <w:rPr>
                <w:rFonts w:ascii="Times New Roman" w:hAnsi="Times New Roman"/>
                <w:color w:val="000000"/>
                <w:kern w:val="2"/>
                <w:sz w:val="21"/>
              </w:rPr>
            </w:pPr>
            <w:r>
              <w:rPr>
                <w:rFonts w:ascii="Times New Roman" w:hAnsi="Times New Roman"/>
                <w:color w:val="000000"/>
                <w:kern w:val="2"/>
                <w:sz w:val="21"/>
              </w:rPr>
              <w:t>2,022.80</w:t>
            </w:r>
          </w:p>
        </w:tc>
        <w:tc>
          <w:tcPr>
            <w:tcW w:w="875" w:type="pct"/>
            <w:shd w:val="clear" w:color="auto" w:fill="auto"/>
            <w:vAlign w:val="center"/>
          </w:tcPr>
          <w:p>
            <w:pPr>
              <w:widowControl w:val="0"/>
              <w:spacing w:after="0" w:line="240" w:lineRule="auto"/>
              <w:jc w:val="center"/>
              <w:rPr>
                <w:rFonts w:ascii="Times New Roman" w:hAnsi="Times New Roman"/>
                <w:color w:val="000000"/>
                <w:kern w:val="2"/>
                <w:sz w:val="21"/>
              </w:rPr>
            </w:pPr>
            <w:r>
              <w:rPr>
                <w:rFonts w:ascii="Times New Roman" w:hAnsi="Times New Roman"/>
                <w:color w:val="000000"/>
                <w:kern w:val="2"/>
                <w:sz w:val="21"/>
              </w:rPr>
              <w:t>1,081.64</w:t>
            </w:r>
          </w:p>
        </w:tc>
        <w:tc>
          <w:tcPr>
            <w:tcW w:w="876" w:type="pct"/>
            <w:shd w:val="clear" w:color="auto" w:fill="auto"/>
            <w:vAlign w:val="center"/>
          </w:tcPr>
          <w:p>
            <w:pPr>
              <w:widowControl w:val="0"/>
              <w:spacing w:after="0" w:line="240" w:lineRule="auto"/>
              <w:jc w:val="center"/>
              <w:rPr>
                <w:rFonts w:ascii="Times New Roman" w:hAnsi="Times New Roman"/>
                <w:color w:val="000000"/>
                <w:kern w:val="2"/>
                <w:sz w:val="21"/>
              </w:rPr>
            </w:pPr>
            <w:r>
              <w:rPr>
                <w:rFonts w:ascii="Times New Roman" w:hAnsi="Times New Roman"/>
                <w:color w:val="000000"/>
                <w:kern w:val="2"/>
                <w:sz w:val="21"/>
              </w:rPr>
              <w:t>623.70</w:t>
            </w:r>
          </w:p>
        </w:tc>
        <w:tc>
          <w:tcPr>
            <w:tcW w:w="875" w:type="pct"/>
            <w:shd w:val="clear" w:color="auto" w:fill="auto"/>
            <w:vAlign w:val="center"/>
          </w:tcPr>
          <w:p>
            <w:pPr>
              <w:widowControl w:val="0"/>
              <w:spacing w:after="0" w:line="240" w:lineRule="auto"/>
              <w:jc w:val="center"/>
              <w:rPr>
                <w:rFonts w:ascii="Times New Roman" w:hAnsi="Times New Roman"/>
                <w:color w:val="000000"/>
                <w:kern w:val="2"/>
                <w:sz w:val="21"/>
              </w:rPr>
            </w:pPr>
            <w:r>
              <w:rPr>
                <w:rFonts w:ascii="Times New Roman" w:hAnsi="Times New Roman"/>
                <w:color w:val="000000"/>
                <w:kern w:val="2"/>
                <w:sz w:val="21"/>
              </w:rPr>
              <w:t>294.99</w:t>
            </w:r>
          </w:p>
        </w:tc>
        <w:tc>
          <w:tcPr>
            <w:tcW w:w="741" w:type="pct"/>
            <w:shd w:val="clear" w:color="auto" w:fill="auto"/>
            <w:vAlign w:val="center"/>
          </w:tcPr>
          <w:p>
            <w:pPr>
              <w:widowControl w:val="0"/>
              <w:spacing w:after="0" w:line="240" w:lineRule="auto"/>
              <w:jc w:val="center"/>
              <w:rPr>
                <w:rFonts w:ascii="Times New Roman" w:hAnsi="Times New Roman"/>
                <w:color w:val="000000"/>
                <w:kern w:val="2"/>
                <w:sz w:val="21"/>
              </w:rPr>
            </w:pPr>
            <w:r>
              <w:rPr>
                <w:rFonts w:ascii="Times New Roman" w:hAnsi="Times New Roman"/>
                <w:color w:val="000000"/>
                <w:kern w:val="2"/>
                <w:sz w:val="21"/>
              </w:rPr>
              <w:t>22.48</w:t>
            </w:r>
          </w:p>
        </w:tc>
      </w:tr>
    </w:tbl>
    <w:p>
      <w:pPr>
        <w:spacing w:before="156" w:beforeLines="50" w:after="0" w:line="360" w:lineRule="auto"/>
        <w:ind w:firstLine="480" w:firstLineChars="200"/>
        <w:jc w:val="both"/>
        <w:rPr>
          <w:rFonts w:ascii="Times New Roman" w:hAnsi="Times New Roman"/>
          <w:color w:val="000000"/>
          <w:sz w:val="24"/>
        </w:rPr>
      </w:pPr>
      <w:r>
        <w:rPr>
          <w:rFonts w:hint="eastAsia" w:ascii="Times New Roman" w:hAnsi="Times New Roman"/>
          <w:color w:val="000000"/>
          <w:sz w:val="24"/>
        </w:rPr>
        <w:t>上述测算部分不包含限制性股票的预留部分6</w:t>
      </w:r>
      <w:r>
        <w:rPr>
          <w:rFonts w:ascii="Times New Roman" w:hAnsi="Times New Roman"/>
          <w:color w:val="000000"/>
          <w:sz w:val="24"/>
        </w:rPr>
        <w:t>0.00</w:t>
      </w:r>
      <w:r>
        <w:rPr>
          <w:rFonts w:hint="eastAsia" w:ascii="Times New Roman" w:hAnsi="Times New Roman"/>
          <w:color w:val="000000"/>
          <w:sz w:val="24"/>
        </w:rPr>
        <w:t>万股，预留部分授予时将产生额外的股份支付费用。限制性股票的预留部分6</w:t>
      </w:r>
      <w:r>
        <w:rPr>
          <w:rFonts w:ascii="Times New Roman" w:hAnsi="Times New Roman"/>
          <w:color w:val="000000"/>
          <w:sz w:val="24"/>
        </w:rPr>
        <w:t>0.00</w:t>
      </w:r>
      <w:r>
        <w:rPr>
          <w:rFonts w:hint="eastAsia" w:ascii="Times New Roman" w:hAnsi="Times New Roman"/>
          <w:color w:val="000000"/>
          <w:sz w:val="24"/>
        </w:rPr>
        <w:t>万股，将在本激励计划经股东大会通过后12个月内明确激励对象并授予，并根据届时授予日的市场价格测算确定股份支付费用，预留限制性股票的会计处理同首次授予限制性股票的会计处理。</w:t>
      </w:r>
    </w:p>
    <w:p>
      <w:pPr>
        <w:spacing w:before="156" w:beforeLines="50" w:after="0" w:line="360" w:lineRule="auto"/>
        <w:ind w:firstLine="480" w:firstLineChars="200"/>
        <w:jc w:val="both"/>
        <w:rPr>
          <w:rFonts w:ascii="Times New Roman" w:hAnsi="Times New Roman"/>
          <w:color w:val="000000"/>
          <w:sz w:val="24"/>
        </w:rPr>
      </w:pPr>
      <w:r>
        <w:rPr>
          <w:rFonts w:hint="eastAsia" w:ascii="Times New Roman" w:hAnsi="Times New Roman"/>
          <w:color w:val="000000"/>
          <w:sz w:val="24"/>
        </w:rPr>
        <w:t>公司以目前信息初步估计，限制性股票费用的摊销对有效期内各年净利润有所影响。但同时本次激励计划实施后，将进一步提升员工的凝聚力、团队稳定性，并有效激发管理团队的积极性，从而提高经营效率，给公司带来更高的经营业绩和内在价值。</w:t>
      </w:r>
    </w:p>
    <w:p>
      <w:pPr>
        <w:spacing w:before="156" w:beforeLines="50" w:after="0" w:line="360" w:lineRule="auto"/>
        <w:ind w:firstLine="480" w:firstLineChars="200"/>
        <w:jc w:val="both"/>
        <w:rPr>
          <w:rFonts w:ascii="Times New Roman" w:hAnsi="Times New Roman"/>
          <w:color w:val="000000"/>
          <w:sz w:val="24"/>
        </w:rPr>
      </w:pPr>
      <w:r>
        <w:rPr>
          <w:rFonts w:hint="eastAsia" w:ascii="Times New Roman" w:hAnsi="Times New Roman"/>
          <w:color w:val="000000"/>
          <w:sz w:val="24"/>
        </w:rPr>
        <w:t>上述成本摊销预测对公司经营成果影响的最终结果将以会计师事务所出具的年度审计报告为准。</w:t>
      </w:r>
      <w:bookmarkEnd w:id="22"/>
    </w:p>
    <w:p>
      <w:pPr>
        <w:keepNext/>
        <w:keepLines/>
        <w:spacing w:before="156" w:beforeLines="50" w:after="0" w:line="360" w:lineRule="auto"/>
        <w:jc w:val="both"/>
        <w:outlineLvl w:val="1"/>
        <w:rPr>
          <w:rFonts w:ascii="黑体" w:hAnsi="黑体"/>
          <w:color w:val="000000"/>
          <w:kern w:val="2"/>
        </w:rPr>
      </w:pPr>
      <w:bookmarkStart w:id="23" w:name="_Toc112782124"/>
      <w:r>
        <w:rPr>
          <w:rFonts w:hint="eastAsia" w:ascii="黑体" w:hAnsi="黑体"/>
          <w:b/>
          <w:color w:val="000000"/>
          <w:kern w:val="2"/>
          <w:sz w:val="28"/>
        </w:rPr>
        <w:t>十二、限制性股票激励计划的实施程序</w:t>
      </w:r>
      <w:bookmarkEnd w:id="23"/>
    </w:p>
    <w:p>
      <w:pPr>
        <w:keepNext/>
        <w:keepLines/>
        <w:spacing w:before="156" w:beforeLines="50" w:after="0" w:line="360" w:lineRule="auto"/>
        <w:ind w:firstLine="482" w:firstLineChars="200"/>
        <w:jc w:val="both"/>
        <w:outlineLvl w:val="2"/>
        <w:rPr>
          <w:rFonts w:ascii="Times New Roman" w:hAnsi="Times New Roman"/>
          <w:b/>
          <w:color w:val="000000"/>
          <w:kern w:val="2"/>
          <w:sz w:val="24"/>
        </w:rPr>
      </w:pPr>
      <w:r>
        <w:rPr>
          <w:rFonts w:hint="eastAsia" w:ascii="Times New Roman" w:hAnsi="Times New Roman"/>
          <w:b/>
          <w:color w:val="000000"/>
          <w:kern w:val="2"/>
          <w:sz w:val="24"/>
        </w:rPr>
        <w:t>（一）限制性股票激励计划生效程序</w:t>
      </w:r>
    </w:p>
    <w:p>
      <w:pPr>
        <w:spacing w:before="156" w:beforeLines="50" w:after="0" w:line="360" w:lineRule="auto"/>
        <w:ind w:firstLine="480" w:firstLineChars="200"/>
        <w:jc w:val="both"/>
        <w:rPr>
          <w:rFonts w:ascii="Times New Roman" w:hAnsi="Times New Roman"/>
          <w:color w:val="000000"/>
          <w:sz w:val="24"/>
        </w:rPr>
      </w:pPr>
      <w:r>
        <w:rPr>
          <w:rFonts w:hint="eastAsia" w:ascii="Times New Roman" w:hAnsi="Times New Roman"/>
          <w:color w:val="000000"/>
          <w:sz w:val="24"/>
        </w:rPr>
        <w:t>1、公司董事会薪酬与考核委员会负责拟订本激励计划草案。</w:t>
      </w:r>
    </w:p>
    <w:p>
      <w:pPr>
        <w:spacing w:before="156" w:beforeLines="50" w:after="0" w:line="360" w:lineRule="auto"/>
        <w:ind w:firstLine="480" w:firstLineChars="200"/>
        <w:jc w:val="both"/>
        <w:rPr>
          <w:rFonts w:ascii="Times New Roman" w:hAnsi="Times New Roman"/>
          <w:color w:val="000000"/>
          <w:sz w:val="24"/>
        </w:rPr>
      </w:pPr>
      <w:r>
        <w:rPr>
          <w:rFonts w:ascii="Times New Roman" w:hAnsi="Times New Roman"/>
          <w:color w:val="000000"/>
          <w:sz w:val="24"/>
        </w:rPr>
        <w:t>2</w:t>
      </w:r>
      <w:r>
        <w:rPr>
          <w:rFonts w:hint="eastAsia" w:ascii="Times New Roman" w:hAnsi="Times New Roman"/>
          <w:color w:val="000000"/>
          <w:sz w:val="24"/>
        </w:rPr>
        <w:t>、公司董事会应当依法对本计划作出决议。董事会审议本计划时，作为激励对象的董事或与其存在关联关系的董事应当回避表决。董事会应当在审议通过本计划并履行公示、公告程序后，将本计划提交股东大会审议；同时提请股东大会授权，负责实施</w:t>
      </w:r>
      <w:bookmarkStart w:id="24" w:name="_Hlk84971392"/>
      <w:r>
        <w:rPr>
          <w:rFonts w:hint="eastAsia" w:ascii="Times New Roman" w:hAnsi="Times New Roman"/>
          <w:color w:val="000000"/>
          <w:sz w:val="24"/>
        </w:rPr>
        <w:t>限制性股票的授予、解除限售工作</w:t>
      </w:r>
      <w:bookmarkEnd w:id="24"/>
      <w:r>
        <w:rPr>
          <w:rFonts w:hint="eastAsia" w:ascii="Times New Roman" w:hAnsi="Times New Roman"/>
          <w:color w:val="000000"/>
          <w:sz w:val="24"/>
        </w:rPr>
        <w:t>。</w:t>
      </w:r>
    </w:p>
    <w:p>
      <w:pPr>
        <w:spacing w:before="156" w:beforeLines="50" w:after="0" w:line="360" w:lineRule="auto"/>
        <w:ind w:firstLine="480" w:firstLineChars="200"/>
        <w:jc w:val="both"/>
        <w:rPr>
          <w:rFonts w:ascii="宋体" w:hAnsi="宋体"/>
          <w:color w:val="000000"/>
          <w:sz w:val="24"/>
        </w:rPr>
      </w:pPr>
      <w:r>
        <w:rPr>
          <w:rFonts w:ascii="Times New Roman" w:hAnsi="Times New Roman"/>
          <w:color w:val="000000"/>
          <w:sz w:val="24"/>
        </w:rPr>
        <w:t>3</w:t>
      </w:r>
      <w:r>
        <w:rPr>
          <w:rFonts w:hint="eastAsia" w:ascii="Times New Roman" w:hAnsi="Times New Roman"/>
          <w:color w:val="000000"/>
          <w:sz w:val="24"/>
        </w:rPr>
        <w:t>、</w:t>
      </w:r>
      <w:r>
        <w:rPr>
          <w:rFonts w:hint="eastAsia" w:ascii="宋体" w:hAnsi="宋体"/>
          <w:color w:val="000000"/>
          <w:sz w:val="24"/>
        </w:rPr>
        <w:t>独立董事及监事会应当就本计划是否有利于公司持续发展，是否存在明显损害公司及全体股东利益的情形发表意见。</w:t>
      </w:r>
    </w:p>
    <w:p>
      <w:pPr>
        <w:spacing w:before="156" w:beforeLines="50" w:after="0" w:line="360" w:lineRule="auto"/>
        <w:ind w:firstLine="480" w:firstLineChars="200"/>
        <w:jc w:val="both"/>
        <w:rPr>
          <w:rFonts w:ascii="Times New Roman" w:hAnsi="Times New Roman"/>
          <w:color w:val="000000"/>
          <w:sz w:val="24"/>
        </w:rPr>
      </w:pPr>
      <w:r>
        <w:rPr>
          <w:rFonts w:ascii="宋体" w:hAnsi="宋体"/>
          <w:color w:val="000000"/>
          <w:sz w:val="24"/>
        </w:rPr>
        <w:t>4</w:t>
      </w:r>
      <w:r>
        <w:rPr>
          <w:rFonts w:hint="eastAsia" w:ascii="宋体" w:hAnsi="宋体"/>
          <w:color w:val="000000"/>
          <w:sz w:val="24"/>
        </w:rPr>
        <w:t>、公司聘请的律师事务所对本激励计划出具法律意见书</w:t>
      </w:r>
      <w:r>
        <w:rPr>
          <w:rFonts w:hint="eastAsia" w:ascii="Times New Roman" w:hAnsi="Times New Roman"/>
          <w:color w:val="000000"/>
          <w:sz w:val="24"/>
        </w:rPr>
        <w:t>。</w:t>
      </w:r>
    </w:p>
    <w:p>
      <w:pPr>
        <w:spacing w:before="156" w:beforeLines="50" w:after="0" w:line="360" w:lineRule="auto"/>
        <w:ind w:firstLine="480" w:firstLineChars="200"/>
        <w:jc w:val="both"/>
        <w:rPr>
          <w:rFonts w:ascii="Times New Roman" w:hAnsi="Times New Roman"/>
          <w:color w:val="000000"/>
          <w:sz w:val="24"/>
        </w:rPr>
      </w:pPr>
      <w:r>
        <w:rPr>
          <w:rFonts w:ascii="Times New Roman" w:hAnsi="Times New Roman"/>
          <w:color w:val="000000"/>
          <w:sz w:val="24"/>
        </w:rPr>
        <w:t>5</w:t>
      </w:r>
      <w:r>
        <w:rPr>
          <w:rFonts w:hint="eastAsia" w:ascii="Times New Roman" w:hAnsi="Times New Roman"/>
          <w:color w:val="000000"/>
          <w:sz w:val="24"/>
        </w:rPr>
        <w:t>、本激励计划经公司股东大会审议通过后方可实施。公司应当在召开股东大会前，通过公司内部公示，在公司内部公示激励对象的姓名和职务（公示期不少于</w:t>
      </w:r>
      <w:r>
        <w:rPr>
          <w:rFonts w:ascii="Times New Roman" w:hAnsi="Times New Roman"/>
          <w:color w:val="000000"/>
          <w:sz w:val="24"/>
        </w:rPr>
        <w:t>10</w:t>
      </w:r>
      <w:r>
        <w:rPr>
          <w:rFonts w:hint="eastAsia" w:ascii="Times New Roman" w:hAnsi="Times New Roman"/>
          <w:color w:val="000000"/>
          <w:sz w:val="24"/>
        </w:rPr>
        <w:t>天）。监事会应当对股权激励名单进行审核，充分听取公示意见。公司应当在股东大会审议本计划前</w:t>
      </w:r>
      <w:r>
        <w:rPr>
          <w:rFonts w:ascii="Times New Roman" w:hAnsi="Times New Roman"/>
          <w:color w:val="000000"/>
          <w:sz w:val="24"/>
        </w:rPr>
        <w:t>5</w:t>
      </w:r>
      <w:r>
        <w:rPr>
          <w:rFonts w:hint="eastAsia" w:ascii="Times New Roman" w:hAnsi="Times New Roman"/>
          <w:color w:val="000000"/>
          <w:sz w:val="24"/>
        </w:rPr>
        <w:t>日披露监事会对激励名单审核及公示情况的说明。</w:t>
      </w:r>
    </w:p>
    <w:p>
      <w:pPr>
        <w:spacing w:before="156" w:beforeLines="50" w:after="0" w:line="360" w:lineRule="auto"/>
        <w:ind w:firstLine="480" w:firstLineChars="200"/>
        <w:jc w:val="both"/>
        <w:rPr>
          <w:rFonts w:ascii="Times New Roman" w:hAnsi="Times New Roman"/>
          <w:color w:val="000000"/>
          <w:sz w:val="24"/>
        </w:rPr>
      </w:pPr>
      <w:r>
        <w:rPr>
          <w:rFonts w:ascii="Times New Roman" w:hAnsi="Times New Roman"/>
          <w:color w:val="000000"/>
          <w:sz w:val="24"/>
        </w:rPr>
        <w:t>6</w:t>
      </w:r>
      <w:r>
        <w:rPr>
          <w:rFonts w:hint="eastAsia" w:ascii="Times New Roman" w:hAnsi="Times New Roman"/>
          <w:color w:val="000000"/>
          <w:sz w:val="24"/>
        </w:rPr>
        <w:t>、公司股东大会在对本激励计划进行投票表决时，应当向股东提供网络投票表决方式，独立董事应当就本激励计划向所有的股东征集委托投票权。股东大会应当对《股权激励管理办法》第九条规定的股权激励计划内容进行表决，并经出席会议的股东所持表决权的</w:t>
      </w:r>
      <w:r>
        <w:rPr>
          <w:rFonts w:ascii="Times New Roman" w:hAnsi="Times New Roman"/>
          <w:color w:val="000000"/>
          <w:sz w:val="24"/>
        </w:rPr>
        <w:t>2/3</w:t>
      </w:r>
      <w:r>
        <w:rPr>
          <w:rFonts w:hint="eastAsia" w:ascii="Times New Roman" w:hAnsi="Times New Roman"/>
          <w:color w:val="000000"/>
          <w:sz w:val="24"/>
        </w:rPr>
        <w:t>以上通过，单独统计并披露除公司董事、监事、高级管理人员、单独或合计持有公司</w:t>
      </w:r>
      <w:r>
        <w:rPr>
          <w:rFonts w:ascii="Times New Roman" w:hAnsi="Times New Roman"/>
          <w:color w:val="000000"/>
          <w:sz w:val="24"/>
        </w:rPr>
        <w:t>5%</w:t>
      </w:r>
      <w:r>
        <w:rPr>
          <w:rFonts w:hint="eastAsia" w:ascii="Times New Roman" w:hAnsi="Times New Roman"/>
          <w:color w:val="000000"/>
          <w:sz w:val="24"/>
        </w:rPr>
        <w:t>以上股份的股东以外的其他股东的投票情况。</w:t>
      </w:r>
    </w:p>
    <w:p>
      <w:pPr>
        <w:spacing w:before="156" w:beforeLines="50" w:after="0" w:line="360" w:lineRule="auto"/>
        <w:ind w:firstLine="480" w:firstLineChars="200"/>
        <w:jc w:val="both"/>
        <w:rPr>
          <w:rFonts w:ascii="Times New Roman" w:hAnsi="Times New Roman"/>
          <w:color w:val="000000"/>
          <w:sz w:val="24"/>
        </w:rPr>
      </w:pPr>
      <w:r>
        <w:rPr>
          <w:rFonts w:hint="eastAsia" w:ascii="Times New Roman" w:hAnsi="Times New Roman"/>
          <w:color w:val="000000"/>
          <w:sz w:val="24"/>
        </w:rPr>
        <w:t>公司股东大会审议股权激励计划时，作为激励对象的股东或者与激励对象存在关联关系的股东，应当回避表决。</w:t>
      </w:r>
    </w:p>
    <w:p>
      <w:pPr>
        <w:spacing w:before="156" w:beforeLines="50" w:after="0" w:line="360" w:lineRule="auto"/>
        <w:ind w:firstLine="480" w:firstLineChars="200"/>
        <w:jc w:val="both"/>
        <w:rPr>
          <w:rFonts w:ascii="Times New Roman" w:hAnsi="Times New Roman"/>
          <w:color w:val="000000"/>
          <w:sz w:val="24"/>
        </w:rPr>
      </w:pPr>
      <w:r>
        <w:rPr>
          <w:rFonts w:ascii="Times New Roman" w:hAnsi="Times New Roman"/>
          <w:color w:val="000000"/>
          <w:sz w:val="24"/>
        </w:rPr>
        <w:t>7</w:t>
      </w:r>
      <w:r>
        <w:rPr>
          <w:rFonts w:hint="eastAsia" w:ascii="Times New Roman" w:hAnsi="Times New Roman"/>
          <w:color w:val="000000"/>
          <w:sz w:val="24"/>
        </w:rPr>
        <w:t>、本计划经公司股东大会审议通过，且达到本计划规定的授予条件时，公司在规定时间内向激励对象授予限制性股票。经股东大会授权后，董事会负责</w:t>
      </w:r>
      <w:bookmarkStart w:id="25" w:name="_Hlk84971398"/>
      <w:r>
        <w:rPr>
          <w:rFonts w:hint="eastAsia" w:ascii="Times New Roman" w:hAnsi="Times New Roman"/>
          <w:color w:val="000000"/>
          <w:sz w:val="24"/>
        </w:rPr>
        <w:t>实施限制性股票的授予和</w:t>
      </w:r>
      <w:bookmarkEnd w:id="25"/>
      <w:r>
        <w:rPr>
          <w:rFonts w:hint="eastAsia" w:ascii="Times New Roman" w:hAnsi="Times New Roman"/>
          <w:color w:val="000000"/>
          <w:sz w:val="24"/>
        </w:rPr>
        <w:t>解除限售事宜。</w:t>
      </w:r>
    </w:p>
    <w:p>
      <w:pPr>
        <w:keepNext/>
        <w:keepLines/>
        <w:spacing w:before="156" w:beforeLines="50" w:after="0" w:line="360" w:lineRule="auto"/>
        <w:ind w:firstLine="482" w:firstLineChars="200"/>
        <w:jc w:val="both"/>
        <w:outlineLvl w:val="2"/>
        <w:rPr>
          <w:rFonts w:ascii="Times New Roman" w:hAnsi="Times New Roman"/>
          <w:b/>
          <w:color w:val="000000"/>
          <w:kern w:val="2"/>
          <w:sz w:val="24"/>
        </w:rPr>
      </w:pPr>
      <w:r>
        <w:rPr>
          <w:rFonts w:hint="eastAsia" w:ascii="Times New Roman" w:hAnsi="Times New Roman"/>
          <w:b/>
          <w:color w:val="000000"/>
          <w:kern w:val="2"/>
          <w:sz w:val="24"/>
        </w:rPr>
        <w:t>（二）限制性股票的授予程序</w:t>
      </w:r>
    </w:p>
    <w:p>
      <w:pPr>
        <w:spacing w:before="156" w:beforeLines="50" w:after="0" w:line="360" w:lineRule="auto"/>
        <w:ind w:firstLine="480" w:firstLineChars="200"/>
        <w:jc w:val="both"/>
        <w:rPr>
          <w:rFonts w:ascii="Times New Roman" w:hAnsi="Times New Roman"/>
          <w:color w:val="000000"/>
          <w:sz w:val="24"/>
        </w:rPr>
      </w:pPr>
      <w:r>
        <w:rPr>
          <w:rFonts w:ascii="Times New Roman" w:hAnsi="Times New Roman"/>
          <w:color w:val="000000"/>
          <w:sz w:val="24"/>
        </w:rPr>
        <w:t>1</w:t>
      </w:r>
      <w:r>
        <w:rPr>
          <w:rFonts w:hint="eastAsia" w:ascii="Times New Roman" w:hAnsi="Times New Roman"/>
          <w:color w:val="000000"/>
          <w:sz w:val="24"/>
        </w:rPr>
        <w:t>、股东大会审议通过本计划后，公司与激励对象签署《限制性股票授予协议》，以此约定双方的权利义务关系。公司董事会根据股东大会的授权办理具体的</w:t>
      </w:r>
      <w:bookmarkStart w:id="26" w:name="_Hlk84971555"/>
      <w:r>
        <w:rPr>
          <w:rFonts w:hint="eastAsia" w:ascii="Times New Roman" w:hAnsi="Times New Roman"/>
          <w:color w:val="000000"/>
          <w:sz w:val="24"/>
        </w:rPr>
        <w:t>限制性股票</w:t>
      </w:r>
      <w:bookmarkEnd w:id="26"/>
      <w:r>
        <w:rPr>
          <w:rFonts w:hint="eastAsia" w:ascii="Times New Roman" w:hAnsi="Times New Roman"/>
          <w:color w:val="000000"/>
          <w:sz w:val="24"/>
        </w:rPr>
        <w:t>授予事宜。</w:t>
      </w:r>
    </w:p>
    <w:p>
      <w:pPr>
        <w:spacing w:before="156" w:beforeLines="50" w:after="0" w:line="360" w:lineRule="auto"/>
        <w:ind w:firstLine="480" w:firstLineChars="200"/>
        <w:jc w:val="both"/>
        <w:rPr>
          <w:rFonts w:ascii="Times New Roman" w:hAnsi="Times New Roman"/>
          <w:color w:val="000000"/>
          <w:sz w:val="24"/>
        </w:rPr>
      </w:pPr>
      <w:r>
        <w:rPr>
          <w:rFonts w:ascii="Times New Roman" w:hAnsi="Times New Roman"/>
          <w:color w:val="000000"/>
          <w:sz w:val="24"/>
        </w:rPr>
        <w:t>2</w:t>
      </w:r>
      <w:r>
        <w:rPr>
          <w:rFonts w:hint="eastAsia" w:ascii="Times New Roman" w:hAnsi="Times New Roman"/>
          <w:color w:val="000000"/>
          <w:sz w:val="24"/>
        </w:rPr>
        <w:t>、公司在向激励对象授出权益前，董事会应当就本计划设定的激励对象获授权益的条件是否成就进行审议并公告。</w:t>
      </w:r>
    </w:p>
    <w:p>
      <w:pPr>
        <w:spacing w:before="156" w:beforeLines="50" w:after="0" w:line="360" w:lineRule="auto"/>
        <w:ind w:firstLine="480" w:firstLineChars="200"/>
        <w:jc w:val="both"/>
        <w:rPr>
          <w:rFonts w:ascii="Times New Roman" w:hAnsi="Times New Roman"/>
          <w:color w:val="000000"/>
          <w:sz w:val="24"/>
        </w:rPr>
      </w:pPr>
      <w:r>
        <w:rPr>
          <w:rFonts w:ascii="Times New Roman" w:hAnsi="Times New Roman"/>
          <w:color w:val="000000"/>
          <w:sz w:val="24"/>
        </w:rPr>
        <w:t>3</w:t>
      </w:r>
      <w:r>
        <w:rPr>
          <w:rFonts w:hint="eastAsia" w:ascii="Times New Roman" w:hAnsi="Times New Roman"/>
          <w:color w:val="000000"/>
          <w:sz w:val="24"/>
        </w:rPr>
        <w:t>、独立董事及监事会应当同时发表明确意见。律师事务所应当对激励对象获授权益的条件是否成就出具法律意见。</w:t>
      </w:r>
    </w:p>
    <w:p>
      <w:pPr>
        <w:spacing w:before="156" w:beforeLines="50" w:after="0" w:line="360" w:lineRule="auto"/>
        <w:ind w:firstLine="480" w:firstLineChars="200"/>
        <w:jc w:val="both"/>
        <w:rPr>
          <w:rFonts w:ascii="Times New Roman" w:hAnsi="Times New Roman"/>
          <w:color w:val="000000"/>
          <w:sz w:val="24"/>
        </w:rPr>
      </w:pPr>
      <w:r>
        <w:rPr>
          <w:rFonts w:ascii="Times New Roman" w:hAnsi="Times New Roman"/>
          <w:color w:val="000000"/>
          <w:sz w:val="24"/>
        </w:rPr>
        <w:t>4</w:t>
      </w:r>
      <w:r>
        <w:rPr>
          <w:rFonts w:hint="eastAsia" w:ascii="Times New Roman" w:hAnsi="Times New Roman"/>
          <w:color w:val="000000"/>
          <w:sz w:val="24"/>
        </w:rPr>
        <w:t>、公司监事会应当对限制性股票授予日及激励对象名单进行核实并发表意见。</w:t>
      </w:r>
    </w:p>
    <w:p>
      <w:pPr>
        <w:spacing w:before="156" w:beforeLines="50" w:after="0" w:line="360" w:lineRule="auto"/>
        <w:ind w:firstLine="480" w:firstLineChars="200"/>
        <w:jc w:val="both"/>
        <w:rPr>
          <w:rFonts w:ascii="Times New Roman" w:hAnsi="Times New Roman"/>
          <w:color w:val="000000"/>
          <w:sz w:val="24"/>
        </w:rPr>
      </w:pPr>
      <w:r>
        <w:rPr>
          <w:rFonts w:ascii="Times New Roman" w:hAnsi="Times New Roman"/>
          <w:color w:val="000000"/>
          <w:sz w:val="24"/>
        </w:rPr>
        <w:t>5</w:t>
      </w:r>
      <w:r>
        <w:rPr>
          <w:rFonts w:hint="eastAsia" w:ascii="Times New Roman" w:hAnsi="Times New Roman"/>
          <w:color w:val="000000"/>
          <w:sz w:val="24"/>
        </w:rPr>
        <w:t>、公司向激励对象授出权益与本计划的安排存在差异时，独立董事、监事会（当激励对象发生变化时）、律师事务所应当同时发表明确意见。</w:t>
      </w:r>
    </w:p>
    <w:p>
      <w:pPr>
        <w:spacing w:before="156" w:beforeLines="50" w:after="0" w:line="360" w:lineRule="auto"/>
        <w:ind w:firstLine="480" w:firstLineChars="200"/>
        <w:jc w:val="both"/>
        <w:rPr>
          <w:rFonts w:ascii="Times New Roman" w:hAnsi="Times New Roman"/>
          <w:color w:val="000000"/>
          <w:sz w:val="24"/>
        </w:rPr>
      </w:pPr>
      <w:r>
        <w:rPr>
          <w:rFonts w:ascii="Times New Roman" w:hAnsi="Times New Roman"/>
          <w:color w:val="000000"/>
          <w:sz w:val="24"/>
        </w:rPr>
        <w:t>6</w:t>
      </w:r>
      <w:r>
        <w:rPr>
          <w:rFonts w:hint="eastAsia" w:ascii="Times New Roman" w:hAnsi="Times New Roman"/>
          <w:color w:val="000000"/>
          <w:sz w:val="24"/>
        </w:rPr>
        <w:t>、股权激励计划经股东大会审议通过后，公司应当在</w:t>
      </w:r>
      <w:r>
        <w:rPr>
          <w:rFonts w:ascii="Times New Roman" w:hAnsi="Times New Roman"/>
          <w:color w:val="000000"/>
          <w:sz w:val="24"/>
        </w:rPr>
        <w:t>60</w:t>
      </w:r>
      <w:r>
        <w:rPr>
          <w:rFonts w:hint="eastAsia" w:ascii="Times New Roman" w:hAnsi="Times New Roman"/>
          <w:color w:val="000000"/>
          <w:sz w:val="24"/>
        </w:rPr>
        <w:t>日内授予激励对象限制性股票并完成公告、登记。公司董事会应当在限制性股票授予登记完成后及时披露相关实施情况的公告。若公司未能在</w:t>
      </w:r>
      <w:r>
        <w:rPr>
          <w:rFonts w:ascii="Times New Roman" w:hAnsi="Times New Roman"/>
          <w:color w:val="000000"/>
          <w:sz w:val="24"/>
        </w:rPr>
        <w:t>60</w:t>
      </w:r>
      <w:r>
        <w:rPr>
          <w:rFonts w:hint="eastAsia" w:ascii="Times New Roman" w:hAnsi="Times New Roman"/>
          <w:color w:val="000000"/>
          <w:sz w:val="24"/>
        </w:rPr>
        <w:t>日内完成上述工作的，本激励计划终止实施，董事会应当及时披露未完成的原因，且</w:t>
      </w:r>
      <w:r>
        <w:rPr>
          <w:rFonts w:ascii="Times New Roman" w:hAnsi="Times New Roman"/>
          <w:color w:val="000000"/>
          <w:sz w:val="24"/>
        </w:rPr>
        <w:t>3</w:t>
      </w:r>
      <w:r>
        <w:rPr>
          <w:rFonts w:hint="eastAsia" w:ascii="Times New Roman" w:hAnsi="Times New Roman"/>
          <w:color w:val="000000"/>
          <w:sz w:val="24"/>
        </w:rPr>
        <w:t>个月内不得再次审议股权激励计划。</w:t>
      </w:r>
    </w:p>
    <w:p>
      <w:pPr>
        <w:spacing w:before="156" w:beforeLines="50" w:after="0" w:line="360" w:lineRule="auto"/>
        <w:ind w:firstLine="480" w:firstLineChars="200"/>
        <w:jc w:val="both"/>
        <w:rPr>
          <w:rFonts w:ascii="Times New Roman" w:hAnsi="Times New Roman"/>
          <w:color w:val="000000"/>
          <w:sz w:val="24"/>
        </w:rPr>
      </w:pPr>
      <w:r>
        <w:rPr>
          <w:rFonts w:ascii="Times New Roman" w:hAnsi="Times New Roman"/>
          <w:color w:val="000000"/>
          <w:sz w:val="24"/>
        </w:rPr>
        <w:t>7</w:t>
      </w:r>
      <w:r>
        <w:rPr>
          <w:rFonts w:hint="eastAsia" w:ascii="Times New Roman" w:hAnsi="Times New Roman"/>
          <w:color w:val="000000"/>
          <w:sz w:val="24"/>
        </w:rPr>
        <w:t>、预留权益的授予对象应当在本激励计划经股东大会审议通过后12个月内明确，超过12个月未明确激励对象的，预留权益失效。</w:t>
      </w:r>
    </w:p>
    <w:p>
      <w:pPr>
        <w:keepNext/>
        <w:keepLines/>
        <w:spacing w:before="156" w:beforeLines="50" w:after="0" w:line="360" w:lineRule="auto"/>
        <w:ind w:firstLine="482" w:firstLineChars="200"/>
        <w:jc w:val="both"/>
        <w:outlineLvl w:val="2"/>
        <w:rPr>
          <w:rFonts w:ascii="Times New Roman" w:hAnsi="Times New Roman"/>
          <w:b/>
          <w:color w:val="000000"/>
          <w:kern w:val="2"/>
          <w:sz w:val="24"/>
        </w:rPr>
      </w:pPr>
      <w:r>
        <w:rPr>
          <w:rFonts w:hint="eastAsia" w:ascii="Times New Roman" w:hAnsi="Times New Roman"/>
          <w:b/>
          <w:color w:val="000000"/>
          <w:kern w:val="2"/>
          <w:sz w:val="24"/>
        </w:rPr>
        <w:t>（三）限制性股票解除限售程序</w:t>
      </w:r>
    </w:p>
    <w:p>
      <w:pPr>
        <w:spacing w:before="156" w:beforeLines="50" w:after="0" w:line="360" w:lineRule="auto"/>
        <w:ind w:firstLine="480" w:firstLineChars="200"/>
        <w:jc w:val="both"/>
        <w:rPr>
          <w:rFonts w:ascii="Times New Roman" w:hAnsi="Times New Roman"/>
          <w:color w:val="000000"/>
          <w:sz w:val="24"/>
        </w:rPr>
      </w:pPr>
      <w:r>
        <w:rPr>
          <w:rFonts w:hint="eastAsia" w:ascii="Times New Roman" w:hAnsi="Times New Roman"/>
          <w:color w:val="000000"/>
          <w:sz w:val="24"/>
        </w:rPr>
        <w:t>1、公司董事会应当在限制性股票解除限售前，就股权激励计划设定的激励对象解除限售条件是否成就进行审议，独立董事及监事会应当同时发表明确意见，律师事务所应当对激励对象行使权益的条件是否成就出具法律意见。对于满足解除限售条件的激励对象，由公司统一办理解除限售事宜，对于未满足解除限售条件的激励对象，由公司回购并注销其持有的该次解除限售对应的限制性股票。公司应当在激励对象解除限售后及时披露董事会决议公告，同时公告独立董事、监事会、律师事务所意见及相关实施情况的公告。</w:t>
      </w:r>
    </w:p>
    <w:p>
      <w:pPr>
        <w:spacing w:before="156" w:beforeLines="50" w:after="0" w:line="360" w:lineRule="auto"/>
        <w:ind w:firstLine="480" w:firstLineChars="200"/>
        <w:jc w:val="both"/>
        <w:rPr>
          <w:rFonts w:ascii="Times New Roman" w:hAnsi="Times New Roman"/>
          <w:color w:val="000000"/>
          <w:sz w:val="24"/>
        </w:rPr>
      </w:pPr>
      <w:r>
        <w:rPr>
          <w:rFonts w:hint="eastAsia" w:ascii="Times New Roman" w:hAnsi="Times New Roman"/>
          <w:color w:val="000000"/>
          <w:sz w:val="24"/>
        </w:rPr>
        <w:t>2、激励对象可对已解除限售的限制性股票进行转让，但公司董事和高级管理人员所持股份的转让应当符合有关法律、法规和规范性文件的规定。</w:t>
      </w:r>
    </w:p>
    <w:p>
      <w:pPr>
        <w:spacing w:before="156" w:beforeLines="50" w:after="0" w:line="360" w:lineRule="auto"/>
        <w:ind w:firstLine="480" w:firstLineChars="200"/>
        <w:jc w:val="both"/>
        <w:rPr>
          <w:rFonts w:ascii="Times New Roman" w:hAnsi="Times New Roman"/>
          <w:color w:val="000000"/>
          <w:sz w:val="24"/>
        </w:rPr>
      </w:pPr>
      <w:r>
        <w:rPr>
          <w:rFonts w:ascii="Times New Roman" w:hAnsi="Times New Roman"/>
          <w:color w:val="000000"/>
          <w:sz w:val="24"/>
        </w:rPr>
        <w:t>3</w:t>
      </w:r>
      <w:r>
        <w:rPr>
          <w:rFonts w:hint="eastAsia" w:ascii="Times New Roman" w:hAnsi="Times New Roman"/>
          <w:color w:val="000000"/>
          <w:sz w:val="24"/>
        </w:rPr>
        <w:t>、公司办理限制性股票的解除限售事宜前，应当向证券交易所提出申请，经证券交易所确认后，由证券登记结算机构办理股份解除限售事宜。</w:t>
      </w:r>
    </w:p>
    <w:p>
      <w:pPr>
        <w:keepNext/>
        <w:keepLines/>
        <w:spacing w:before="156" w:beforeLines="50" w:after="0" w:line="360" w:lineRule="auto"/>
        <w:ind w:firstLine="482" w:firstLineChars="200"/>
        <w:jc w:val="both"/>
        <w:outlineLvl w:val="2"/>
        <w:rPr>
          <w:rFonts w:ascii="Times New Roman" w:hAnsi="Times New Roman"/>
          <w:b/>
          <w:color w:val="000000"/>
          <w:kern w:val="2"/>
          <w:sz w:val="24"/>
        </w:rPr>
      </w:pPr>
      <w:r>
        <w:rPr>
          <w:rFonts w:hint="eastAsia" w:ascii="Times New Roman" w:hAnsi="Times New Roman"/>
          <w:b/>
          <w:color w:val="000000"/>
          <w:kern w:val="2"/>
          <w:sz w:val="24"/>
        </w:rPr>
        <w:t>（四）本激励计划的变更程序</w:t>
      </w:r>
    </w:p>
    <w:p>
      <w:pPr>
        <w:spacing w:before="156" w:beforeLines="50" w:after="0" w:line="360" w:lineRule="auto"/>
        <w:ind w:firstLine="480" w:firstLineChars="200"/>
        <w:jc w:val="both"/>
        <w:rPr>
          <w:rFonts w:ascii="Times New Roman" w:hAnsi="Times New Roman"/>
          <w:color w:val="000000"/>
          <w:sz w:val="24"/>
        </w:rPr>
      </w:pPr>
      <w:r>
        <w:rPr>
          <w:rFonts w:ascii="Times New Roman" w:hAnsi="Times New Roman"/>
          <w:color w:val="000000"/>
          <w:sz w:val="24"/>
        </w:rPr>
        <w:t>1</w:t>
      </w:r>
      <w:r>
        <w:rPr>
          <w:rFonts w:hint="eastAsia" w:ascii="Times New Roman" w:hAnsi="Times New Roman"/>
          <w:color w:val="000000"/>
          <w:sz w:val="24"/>
        </w:rPr>
        <w:t>、公司在股东大会审议本计划之前拟变更本计划的，需经董事会审议通过。</w:t>
      </w:r>
    </w:p>
    <w:p>
      <w:pPr>
        <w:spacing w:before="156" w:beforeLines="50" w:after="0" w:line="360" w:lineRule="auto"/>
        <w:ind w:firstLine="480" w:firstLineChars="200"/>
        <w:jc w:val="both"/>
        <w:rPr>
          <w:rFonts w:ascii="Times New Roman" w:hAnsi="Times New Roman"/>
          <w:color w:val="000000"/>
          <w:sz w:val="24"/>
        </w:rPr>
      </w:pPr>
      <w:r>
        <w:rPr>
          <w:rFonts w:ascii="Times New Roman" w:hAnsi="Times New Roman"/>
          <w:color w:val="000000"/>
          <w:sz w:val="24"/>
        </w:rPr>
        <w:t>2</w:t>
      </w:r>
      <w:r>
        <w:rPr>
          <w:rFonts w:hint="eastAsia" w:ascii="Times New Roman" w:hAnsi="Times New Roman"/>
          <w:color w:val="000000"/>
          <w:sz w:val="24"/>
        </w:rPr>
        <w:t>、公司在股东大会审议通过本计划之后变更本计划的，应当由股东大会审议决定，且不得包括下列情形：</w:t>
      </w:r>
    </w:p>
    <w:p>
      <w:pPr>
        <w:spacing w:before="156" w:beforeLines="50" w:after="0" w:line="360" w:lineRule="auto"/>
        <w:ind w:firstLine="480" w:firstLineChars="200"/>
        <w:jc w:val="both"/>
        <w:rPr>
          <w:rFonts w:ascii="Times New Roman" w:hAnsi="Times New Roman"/>
          <w:color w:val="000000"/>
          <w:sz w:val="24"/>
        </w:rPr>
      </w:pPr>
      <w:r>
        <w:rPr>
          <w:rFonts w:hint="eastAsia" w:ascii="Times New Roman" w:hAnsi="Times New Roman"/>
          <w:color w:val="000000"/>
          <w:sz w:val="24"/>
        </w:rPr>
        <w:t>（</w:t>
      </w:r>
      <w:r>
        <w:rPr>
          <w:rFonts w:ascii="Times New Roman" w:hAnsi="Times New Roman"/>
          <w:color w:val="000000"/>
          <w:sz w:val="24"/>
        </w:rPr>
        <w:t>1</w:t>
      </w:r>
      <w:r>
        <w:rPr>
          <w:rFonts w:hint="eastAsia" w:ascii="Times New Roman" w:hAnsi="Times New Roman"/>
          <w:color w:val="000000"/>
          <w:sz w:val="24"/>
        </w:rPr>
        <w:t>）导致提前解除限售的情形；</w:t>
      </w:r>
    </w:p>
    <w:p>
      <w:pPr>
        <w:spacing w:before="156" w:beforeLines="50" w:after="0" w:line="360" w:lineRule="auto"/>
        <w:ind w:firstLine="480" w:firstLineChars="200"/>
        <w:jc w:val="both"/>
        <w:rPr>
          <w:rFonts w:ascii="Times New Roman" w:hAnsi="Times New Roman"/>
          <w:color w:val="000000"/>
          <w:sz w:val="24"/>
        </w:rPr>
      </w:pPr>
      <w:r>
        <w:rPr>
          <w:rFonts w:hint="eastAsia" w:ascii="Times New Roman" w:hAnsi="Times New Roman"/>
          <w:color w:val="000000"/>
          <w:sz w:val="24"/>
        </w:rPr>
        <w:t>（</w:t>
      </w:r>
      <w:r>
        <w:rPr>
          <w:rFonts w:ascii="Times New Roman" w:hAnsi="Times New Roman"/>
          <w:color w:val="000000"/>
          <w:sz w:val="24"/>
        </w:rPr>
        <w:t>2</w:t>
      </w:r>
      <w:r>
        <w:rPr>
          <w:rFonts w:hint="eastAsia" w:ascii="Times New Roman" w:hAnsi="Times New Roman"/>
          <w:color w:val="000000"/>
          <w:sz w:val="24"/>
        </w:rPr>
        <w:t>）降低授予价格的情形（因资本公积转增股份、派送股票红利、配股等原因导致降低授予价格情形除外）。</w:t>
      </w:r>
    </w:p>
    <w:p>
      <w:pPr>
        <w:spacing w:before="156" w:beforeLines="50" w:after="0" w:line="360" w:lineRule="auto"/>
        <w:ind w:firstLine="480" w:firstLineChars="200"/>
        <w:jc w:val="both"/>
        <w:rPr>
          <w:rFonts w:ascii="Times New Roman" w:hAnsi="Times New Roman"/>
          <w:color w:val="000000"/>
          <w:sz w:val="24"/>
        </w:rPr>
      </w:pPr>
      <w:r>
        <w:rPr>
          <w:rFonts w:ascii="Times New Roman" w:hAnsi="Times New Roman"/>
          <w:color w:val="000000"/>
          <w:sz w:val="24"/>
        </w:rPr>
        <w:t>3</w:t>
      </w:r>
      <w:r>
        <w:rPr>
          <w:rFonts w:hint="eastAsia" w:ascii="Times New Roman" w:hAnsi="Times New Roman"/>
          <w:color w:val="000000"/>
          <w:sz w:val="24"/>
        </w:rPr>
        <w:t>、独立董事、监事会应当就变更后的方案是否有利于公司的持续发展，是否存在明显损害公司及全体股东利益的情形发表独立意见。律师事务所应当就变更后的方案是否符合《股权激励管理办法》及相关法律法规的规定、是否存在明显损害公司及全体股东利益的情形发表专业意见。</w:t>
      </w:r>
    </w:p>
    <w:p>
      <w:pPr>
        <w:keepNext/>
        <w:keepLines/>
        <w:spacing w:before="156" w:beforeLines="50" w:after="0" w:line="360" w:lineRule="auto"/>
        <w:ind w:firstLine="482" w:firstLineChars="200"/>
        <w:jc w:val="both"/>
        <w:outlineLvl w:val="2"/>
        <w:rPr>
          <w:rFonts w:ascii="Times New Roman" w:hAnsi="Times New Roman"/>
          <w:b/>
          <w:color w:val="000000"/>
          <w:kern w:val="2"/>
          <w:sz w:val="24"/>
        </w:rPr>
      </w:pPr>
      <w:r>
        <w:rPr>
          <w:rFonts w:hint="eastAsia" w:ascii="Times New Roman" w:hAnsi="Times New Roman"/>
          <w:b/>
          <w:color w:val="000000"/>
          <w:kern w:val="2"/>
          <w:sz w:val="24"/>
        </w:rPr>
        <w:t>（五）本激励计划的终止程序</w:t>
      </w:r>
    </w:p>
    <w:p>
      <w:pPr>
        <w:spacing w:before="156" w:beforeLines="50" w:after="0" w:line="360" w:lineRule="auto"/>
        <w:ind w:firstLine="480" w:firstLineChars="200"/>
        <w:jc w:val="both"/>
        <w:rPr>
          <w:rFonts w:ascii="Times New Roman" w:hAnsi="Times New Roman"/>
          <w:color w:val="000000"/>
          <w:sz w:val="24"/>
        </w:rPr>
      </w:pPr>
      <w:r>
        <w:rPr>
          <w:rFonts w:ascii="Times New Roman" w:hAnsi="Times New Roman"/>
          <w:color w:val="000000"/>
          <w:sz w:val="24"/>
        </w:rPr>
        <w:t>1</w:t>
      </w:r>
      <w:r>
        <w:rPr>
          <w:rFonts w:hint="eastAsia" w:ascii="Times New Roman" w:hAnsi="Times New Roman"/>
          <w:color w:val="000000"/>
          <w:sz w:val="24"/>
        </w:rPr>
        <w:t>、公司在股东大会审议本计划之前拟终止实施本计划的，需经董事会审议通过。</w:t>
      </w:r>
    </w:p>
    <w:p>
      <w:pPr>
        <w:spacing w:before="156" w:beforeLines="50" w:after="0" w:line="360" w:lineRule="auto"/>
        <w:ind w:firstLine="480" w:firstLineChars="200"/>
        <w:jc w:val="both"/>
        <w:rPr>
          <w:rFonts w:ascii="Times New Roman" w:hAnsi="Times New Roman"/>
          <w:color w:val="000000"/>
          <w:sz w:val="24"/>
        </w:rPr>
      </w:pPr>
      <w:r>
        <w:rPr>
          <w:rFonts w:ascii="Times New Roman" w:hAnsi="Times New Roman"/>
          <w:color w:val="000000"/>
          <w:sz w:val="24"/>
        </w:rPr>
        <w:t>2</w:t>
      </w:r>
      <w:r>
        <w:rPr>
          <w:rFonts w:hint="eastAsia" w:ascii="Times New Roman" w:hAnsi="Times New Roman"/>
          <w:color w:val="000000"/>
          <w:sz w:val="24"/>
        </w:rPr>
        <w:t>、公司在股东大会审议通过本计划之后终止实施本计划的，应当由股东大会审议决定。</w:t>
      </w:r>
    </w:p>
    <w:p>
      <w:pPr>
        <w:spacing w:before="156" w:beforeLines="50" w:after="0" w:line="360" w:lineRule="auto"/>
        <w:ind w:firstLine="480" w:firstLineChars="200"/>
        <w:jc w:val="both"/>
        <w:rPr>
          <w:rFonts w:ascii="Times New Roman" w:hAnsi="Times New Roman"/>
          <w:color w:val="000000"/>
          <w:sz w:val="24"/>
        </w:rPr>
      </w:pPr>
      <w:r>
        <w:rPr>
          <w:rFonts w:ascii="Times New Roman" w:hAnsi="Times New Roman"/>
          <w:color w:val="000000"/>
          <w:sz w:val="24"/>
        </w:rPr>
        <w:t>3</w:t>
      </w:r>
      <w:r>
        <w:rPr>
          <w:rFonts w:hint="eastAsia" w:ascii="Times New Roman" w:hAnsi="Times New Roman"/>
          <w:color w:val="000000"/>
          <w:sz w:val="24"/>
        </w:rPr>
        <w:t>、律师事务所应当就公司终止实施方案是否符合《股权激励管理办法》及相关法律法规的规定、是否存在明显损害公司及全体股东利益的情形发表专业意见。</w:t>
      </w:r>
    </w:p>
    <w:p>
      <w:pPr>
        <w:keepNext/>
        <w:keepLines/>
        <w:spacing w:before="156" w:beforeLines="50" w:after="0" w:line="360" w:lineRule="auto"/>
        <w:jc w:val="both"/>
        <w:outlineLvl w:val="1"/>
        <w:rPr>
          <w:rFonts w:ascii="黑体" w:hAnsi="黑体"/>
          <w:color w:val="000000"/>
          <w:kern w:val="2"/>
        </w:rPr>
      </w:pPr>
      <w:bookmarkStart w:id="27" w:name="_Toc112782125"/>
      <w:r>
        <w:rPr>
          <w:rFonts w:hint="eastAsia" w:ascii="黑体" w:hAnsi="黑体"/>
          <w:b/>
          <w:color w:val="000000"/>
          <w:kern w:val="2"/>
          <w:sz w:val="28"/>
        </w:rPr>
        <w:t>十三、公司/激励对象各自的权利义务</w:t>
      </w:r>
      <w:bookmarkEnd w:id="27"/>
    </w:p>
    <w:p>
      <w:pPr>
        <w:keepNext/>
        <w:keepLines/>
        <w:spacing w:before="156" w:beforeLines="50" w:after="0" w:line="360" w:lineRule="auto"/>
        <w:ind w:firstLine="482" w:firstLineChars="200"/>
        <w:jc w:val="both"/>
        <w:outlineLvl w:val="2"/>
        <w:rPr>
          <w:rFonts w:ascii="Times New Roman" w:hAnsi="Times New Roman"/>
          <w:b/>
          <w:color w:val="000000"/>
          <w:kern w:val="2"/>
          <w:sz w:val="24"/>
        </w:rPr>
      </w:pPr>
      <w:r>
        <w:rPr>
          <w:rFonts w:hint="eastAsia" w:ascii="Times New Roman" w:hAnsi="Times New Roman"/>
          <w:b/>
          <w:color w:val="000000"/>
          <w:kern w:val="2"/>
          <w:sz w:val="24"/>
        </w:rPr>
        <w:t>（一）公司的权利与义务</w:t>
      </w:r>
    </w:p>
    <w:p>
      <w:pPr>
        <w:spacing w:before="156" w:beforeLines="50" w:after="0" w:line="360" w:lineRule="auto"/>
        <w:ind w:firstLine="480" w:firstLineChars="200"/>
        <w:jc w:val="both"/>
        <w:rPr>
          <w:rFonts w:ascii="Times New Roman" w:hAnsi="Times New Roman"/>
          <w:color w:val="000000"/>
          <w:sz w:val="24"/>
        </w:rPr>
      </w:pPr>
      <w:r>
        <w:rPr>
          <w:rFonts w:ascii="Times New Roman" w:hAnsi="Times New Roman"/>
          <w:color w:val="000000"/>
          <w:sz w:val="24"/>
        </w:rPr>
        <w:t>1</w:t>
      </w:r>
      <w:r>
        <w:rPr>
          <w:rFonts w:hint="eastAsia" w:ascii="Times New Roman" w:hAnsi="Times New Roman"/>
          <w:color w:val="000000"/>
          <w:sz w:val="24"/>
        </w:rPr>
        <w:t>、公司具有对本激励计划的解释和执行权，并按本激励计划规定对激励对象进行绩效考核，若激励对象未达到本激励计划所确定的解除限售条件，公司将按本激励计划规定的原则，对激励对象已获授但尚未解除限售的限制性股票按本激励计划规定回购注销。</w:t>
      </w:r>
    </w:p>
    <w:p>
      <w:pPr>
        <w:spacing w:before="156" w:beforeLines="50" w:after="0" w:line="360" w:lineRule="auto"/>
        <w:ind w:firstLine="480" w:firstLineChars="200"/>
        <w:jc w:val="both"/>
        <w:rPr>
          <w:rFonts w:ascii="Times New Roman" w:hAnsi="Times New Roman"/>
          <w:color w:val="000000"/>
          <w:sz w:val="24"/>
        </w:rPr>
      </w:pPr>
      <w:r>
        <w:rPr>
          <w:rFonts w:ascii="Times New Roman" w:hAnsi="Times New Roman"/>
          <w:color w:val="000000"/>
          <w:sz w:val="24"/>
        </w:rPr>
        <w:t>2</w:t>
      </w:r>
      <w:r>
        <w:rPr>
          <w:rFonts w:hint="eastAsia" w:ascii="Times New Roman" w:hAnsi="Times New Roman"/>
          <w:color w:val="000000"/>
          <w:sz w:val="24"/>
        </w:rPr>
        <w:t>、公司承诺不为激励对象依本激励计划获取有关限制性股票提供贷款以及其他任何形式的财务资助，包括为其贷款提供担保。</w:t>
      </w:r>
    </w:p>
    <w:p>
      <w:pPr>
        <w:spacing w:before="156" w:beforeLines="50" w:after="0" w:line="360" w:lineRule="auto"/>
        <w:ind w:firstLine="480" w:firstLineChars="200"/>
        <w:jc w:val="both"/>
        <w:rPr>
          <w:rFonts w:ascii="Times New Roman" w:hAnsi="Times New Roman"/>
          <w:color w:val="000000"/>
          <w:sz w:val="24"/>
        </w:rPr>
      </w:pPr>
      <w:r>
        <w:rPr>
          <w:rFonts w:ascii="Times New Roman" w:hAnsi="Times New Roman"/>
          <w:color w:val="000000"/>
          <w:sz w:val="24"/>
        </w:rPr>
        <w:t>3</w:t>
      </w:r>
      <w:r>
        <w:rPr>
          <w:rFonts w:hint="eastAsia" w:ascii="Times New Roman" w:hAnsi="Times New Roman"/>
          <w:color w:val="000000"/>
          <w:sz w:val="24"/>
        </w:rPr>
        <w:t>、公司应及时按照有关规定履行本激励计划申报、信息披露等义务。</w:t>
      </w:r>
    </w:p>
    <w:p>
      <w:pPr>
        <w:spacing w:before="156" w:beforeLines="50" w:after="0" w:line="360" w:lineRule="auto"/>
        <w:ind w:firstLine="480" w:firstLineChars="200"/>
        <w:jc w:val="both"/>
        <w:rPr>
          <w:rFonts w:ascii="Times New Roman" w:hAnsi="Times New Roman"/>
          <w:color w:val="000000"/>
          <w:sz w:val="24"/>
        </w:rPr>
      </w:pPr>
      <w:r>
        <w:rPr>
          <w:rFonts w:ascii="Times New Roman" w:hAnsi="Times New Roman"/>
          <w:color w:val="000000"/>
          <w:sz w:val="24"/>
        </w:rPr>
        <w:t>4</w:t>
      </w:r>
      <w:r>
        <w:rPr>
          <w:rFonts w:hint="eastAsia" w:ascii="Times New Roman" w:hAnsi="Times New Roman"/>
          <w:color w:val="000000"/>
          <w:sz w:val="24"/>
        </w:rPr>
        <w:t>、公司应当根据本激励计划及中国证监会、证券交易所、中国证券登记结算有限责任公司等的有关规定，积极配合满足解除限售条件的激励对象按规定进行限制性股票的解除限售操作。但若因中国证监会、证券交易所、中国证券登记结算有限责任公司的原因造成激励对象未能按自身意愿解除限售并给激励对象造成损失的，公司不承担责任。</w:t>
      </w:r>
    </w:p>
    <w:p>
      <w:pPr>
        <w:spacing w:before="156" w:beforeLines="50" w:after="0" w:line="360" w:lineRule="auto"/>
        <w:ind w:firstLine="480" w:firstLineChars="200"/>
        <w:jc w:val="both"/>
        <w:rPr>
          <w:rFonts w:ascii="Times New Roman" w:hAnsi="Times New Roman"/>
          <w:color w:val="000000"/>
          <w:sz w:val="24"/>
        </w:rPr>
      </w:pPr>
      <w:r>
        <w:rPr>
          <w:rFonts w:ascii="Times New Roman" w:hAnsi="Times New Roman"/>
          <w:color w:val="000000"/>
          <w:sz w:val="24"/>
        </w:rPr>
        <w:t>5</w:t>
      </w:r>
      <w:r>
        <w:rPr>
          <w:rFonts w:hint="eastAsia" w:ascii="Times New Roman" w:hAnsi="Times New Roman"/>
          <w:color w:val="000000"/>
          <w:sz w:val="24"/>
        </w:rPr>
        <w:t>、公司确定本激励计划的激励对象不意味着激励对象享有继续在公司服务的权利，不构成公司对员工聘用期限的承诺，公司对员工的聘用关系仍按公司与激励对象签订的劳动合同或聘用合同执行。</w:t>
      </w:r>
    </w:p>
    <w:p>
      <w:pPr>
        <w:spacing w:before="156" w:beforeLines="50" w:after="0" w:line="360" w:lineRule="auto"/>
        <w:ind w:firstLine="480" w:firstLineChars="200"/>
        <w:jc w:val="both"/>
        <w:rPr>
          <w:rFonts w:ascii="Times New Roman" w:hAnsi="Times New Roman"/>
          <w:color w:val="000000"/>
          <w:sz w:val="24"/>
        </w:rPr>
      </w:pPr>
      <w:r>
        <w:rPr>
          <w:rFonts w:ascii="Times New Roman" w:hAnsi="Times New Roman"/>
          <w:color w:val="000000"/>
          <w:sz w:val="24"/>
        </w:rPr>
        <w:t>6</w:t>
      </w:r>
      <w:r>
        <w:rPr>
          <w:rFonts w:hint="eastAsia" w:ascii="Times New Roman" w:hAnsi="Times New Roman"/>
          <w:color w:val="000000"/>
          <w:sz w:val="24"/>
        </w:rPr>
        <w:t>、若激励对象因触犯法律、违反职业道德、泄露公司机密、失职或渎职等行为严重损害公司利益或声誉，经董事会薪酬与考核委员会审议并报公司董事会批准，公司可以对激励对象已获授但尚未解除限售的限制性股票按本激励计划规定回购注销。情节严重的，公司还可就公司因此遭受的损失按照有关法律的规定进行追偿。</w:t>
      </w:r>
    </w:p>
    <w:p>
      <w:pPr>
        <w:keepNext/>
        <w:keepLines/>
        <w:spacing w:before="156" w:beforeLines="50" w:after="0" w:line="360" w:lineRule="auto"/>
        <w:ind w:firstLine="482" w:firstLineChars="200"/>
        <w:jc w:val="both"/>
        <w:outlineLvl w:val="2"/>
        <w:rPr>
          <w:rFonts w:ascii="Times New Roman" w:hAnsi="Times New Roman"/>
          <w:b/>
          <w:color w:val="000000"/>
          <w:kern w:val="2"/>
          <w:sz w:val="24"/>
        </w:rPr>
      </w:pPr>
      <w:r>
        <w:rPr>
          <w:rFonts w:hint="eastAsia" w:ascii="Times New Roman" w:hAnsi="Times New Roman"/>
          <w:b/>
          <w:color w:val="000000"/>
          <w:kern w:val="2"/>
          <w:sz w:val="24"/>
        </w:rPr>
        <w:t>（二）激励对象的权利与义务</w:t>
      </w:r>
    </w:p>
    <w:p>
      <w:pPr>
        <w:spacing w:before="156" w:beforeLines="50" w:after="0" w:line="360" w:lineRule="auto"/>
        <w:ind w:firstLine="480" w:firstLineChars="200"/>
        <w:jc w:val="both"/>
        <w:rPr>
          <w:rFonts w:ascii="Times New Roman" w:hAnsi="Times New Roman"/>
          <w:color w:val="000000"/>
          <w:sz w:val="24"/>
        </w:rPr>
      </w:pPr>
      <w:r>
        <w:rPr>
          <w:rFonts w:ascii="Times New Roman" w:hAnsi="Times New Roman"/>
          <w:color w:val="000000"/>
          <w:sz w:val="24"/>
        </w:rPr>
        <w:t>1</w:t>
      </w:r>
      <w:r>
        <w:rPr>
          <w:rFonts w:hint="eastAsia" w:ascii="Times New Roman" w:hAnsi="Times New Roman"/>
          <w:color w:val="000000"/>
          <w:sz w:val="24"/>
        </w:rPr>
        <w:t>、激励对象应当按公司所聘岗位的要求，勤勉尽责、恪守职业道德，为公司的发展作出应有贡献。</w:t>
      </w:r>
    </w:p>
    <w:p>
      <w:pPr>
        <w:spacing w:before="156" w:beforeLines="50" w:after="0" w:line="360" w:lineRule="auto"/>
        <w:ind w:firstLine="480" w:firstLineChars="200"/>
        <w:jc w:val="both"/>
        <w:rPr>
          <w:rFonts w:ascii="Times New Roman" w:hAnsi="Times New Roman"/>
          <w:color w:val="000000"/>
          <w:sz w:val="24"/>
        </w:rPr>
      </w:pPr>
      <w:r>
        <w:rPr>
          <w:rFonts w:ascii="Times New Roman" w:hAnsi="Times New Roman"/>
          <w:color w:val="000000"/>
          <w:sz w:val="24"/>
        </w:rPr>
        <w:t>2</w:t>
      </w:r>
      <w:r>
        <w:rPr>
          <w:rFonts w:hint="eastAsia" w:ascii="Times New Roman" w:hAnsi="Times New Roman"/>
          <w:color w:val="000000"/>
          <w:sz w:val="24"/>
        </w:rPr>
        <w:t>、激励对象的资金来源为激励对象合法自筹资金。</w:t>
      </w:r>
    </w:p>
    <w:p>
      <w:pPr>
        <w:spacing w:before="156" w:beforeLines="50" w:after="0" w:line="360" w:lineRule="auto"/>
        <w:ind w:firstLine="480" w:firstLineChars="200"/>
        <w:jc w:val="both"/>
        <w:rPr>
          <w:rFonts w:ascii="Times New Roman" w:hAnsi="Times New Roman"/>
          <w:color w:val="000000"/>
          <w:sz w:val="24"/>
        </w:rPr>
      </w:pPr>
      <w:r>
        <w:rPr>
          <w:rFonts w:ascii="Times New Roman" w:hAnsi="Times New Roman"/>
          <w:color w:val="000000"/>
          <w:sz w:val="24"/>
        </w:rPr>
        <w:t>3</w:t>
      </w:r>
      <w:r>
        <w:rPr>
          <w:rFonts w:hint="eastAsia" w:ascii="Times New Roman" w:hAnsi="Times New Roman"/>
          <w:color w:val="000000"/>
          <w:sz w:val="24"/>
        </w:rPr>
        <w:t>、激励对象获授的限制性股票在解除限售前不得转让、用于担保或用于偿还债务。</w:t>
      </w:r>
    </w:p>
    <w:p>
      <w:pPr>
        <w:spacing w:before="156" w:beforeLines="50" w:after="0" w:line="360" w:lineRule="auto"/>
        <w:ind w:firstLine="480" w:firstLineChars="200"/>
        <w:jc w:val="both"/>
        <w:rPr>
          <w:rFonts w:ascii="Times New Roman" w:hAnsi="Times New Roman"/>
          <w:color w:val="000000"/>
          <w:sz w:val="24"/>
        </w:rPr>
      </w:pPr>
      <w:r>
        <w:rPr>
          <w:rFonts w:ascii="Times New Roman" w:hAnsi="Times New Roman"/>
          <w:color w:val="000000"/>
          <w:sz w:val="24"/>
        </w:rPr>
        <w:t>4</w:t>
      </w:r>
      <w:r>
        <w:rPr>
          <w:rFonts w:hint="eastAsia" w:ascii="Times New Roman" w:hAnsi="Times New Roman"/>
          <w:color w:val="000000"/>
          <w:sz w:val="24"/>
        </w:rPr>
        <w:t>、激励对象因激励计划获得的收益，应按国家税收法规缴纳个人所得税及其它税费。</w:t>
      </w:r>
    </w:p>
    <w:p>
      <w:pPr>
        <w:spacing w:before="156" w:beforeLines="50" w:after="0" w:line="360" w:lineRule="auto"/>
        <w:ind w:firstLine="480" w:firstLineChars="200"/>
        <w:jc w:val="both"/>
        <w:rPr>
          <w:rFonts w:ascii="Times New Roman" w:hAnsi="Times New Roman"/>
          <w:color w:val="000000"/>
          <w:sz w:val="24"/>
        </w:rPr>
      </w:pPr>
      <w:r>
        <w:rPr>
          <w:rFonts w:ascii="Times New Roman" w:hAnsi="Times New Roman"/>
          <w:color w:val="000000"/>
          <w:sz w:val="24"/>
        </w:rPr>
        <w:t>5</w:t>
      </w:r>
      <w:r>
        <w:rPr>
          <w:rFonts w:hint="eastAsia" w:ascii="Times New Roman" w:hAnsi="Times New Roman"/>
          <w:color w:val="000000"/>
          <w:sz w:val="24"/>
        </w:rPr>
        <w:t>、激励对象承诺，若公司因信息披露文件中有虚假记载、误导性陈述或者重大遗漏，导致不符合授予权益或解除限售安排的，激励对象应当自相关信息披露文件被确认存在虚假记载、误导性陈述或者重大遗漏后，将由股权激励计划所获得的全部利益返还公司。</w:t>
      </w:r>
    </w:p>
    <w:p>
      <w:pPr>
        <w:spacing w:before="156" w:beforeLines="50" w:after="0" w:line="360" w:lineRule="auto"/>
        <w:ind w:firstLine="480" w:firstLineChars="200"/>
        <w:jc w:val="both"/>
        <w:rPr>
          <w:rFonts w:ascii="Times New Roman" w:hAnsi="Times New Roman"/>
          <w:color w:val="000000"/>
          <w:sz w:val="24"/>
        </w:rPr>
      </w:pPr>
      <w:r>
        <w:rPr>
          <w:rFonts w:ascii="Times New Roman" w:hAnsi="Times New Roman"/>
          <w:color w:val="000000"/>
          <w:sz w:val="24"/>
        </w:rPr>
        <w:t>6</w:t>
      </w:r>
      <w:r>
        <w:rPr>
          <w:rFonts w:hint="eastAsia" w:ascii="Times New Roman" w:hAnsi="Times New Roman"/>
          <w:color w:val="000000"/>
          <w:sz w:val="24"/>
        </w:rPr>
        <w:t>、股东大会审议通过本激励计划且董事会通过向激励对象授予权益的决议后，公司应与激励对象签署《限制性股票授予协议》，以约定双方的权利义务及其他相关事项。</w:t>
      </w:r>
    </w:p>
    <w:p>
      <w:pPr>
        <w:spacing w:before="156" w:beforeLines="50" w:after="0" w:line="360" w:lineRule="auto"/>
        <w:ind w:firstLine="480" w:firstLineChars="200"/>
        <w:jc w:val="both"/>
        <w:rPr>
          <w:rFonts w:ascii="Times New Roman" w:hAnsi="Times New Roman"/>
          <w:color w:val="000000"/>
          <w:sz w:val="24"/>
        </w:rPr>
      </w:pPr>
      <w:r>
        <w:rPr>
          <w:rFonts w:ascii="Times New Roman" w:hAnsi="Times New Roman"/>
          <w:color w:val="000000"/>
          <w:sz w:val="24"/>
        </w:rPr>
        <w:t>7</w:t>
      </w:r>
      <w:r>
        <w:rPr>
          <w:rFonts w:hint="eastAsia" w:ascii="Times New Roman" w:hAnsi="Times New Roman"/>
          <w:color w:val="000000"/>
          <w:sz w:val="24"/>
        </w:rPr>
        <w:t>、法律、法规及本激励计划规定的其他相关权利义务。</w:t>
      </w:r>
    </w:p>
    <w:p>
      <w:pPr>
        <w:keepNext/>
        <w:keepLines/>
        <w:spacing w:before="156" w:beforeLines="50" w:after="0" w:line="360" w:lineRule="auto"/>
        <w:jc w:val="both"/>
        <w:outlineLvl w:val="1"/>
        <w:rPr>
          <w:rFonts w:ascii="黑体" w:hAnsi="黑体"/>
          <w:color w:val="000000"/>
          <w:kern w:val="2"/>
        </w:rPr>
      </w:pPr>
      <w:bookmarkStart w:id="28" w:name="_Toc112782126"/>
      <w:r>
        <w:rPr>
          <w:rFonts w:hint="eastAsia" w:ascii="黑体" w:hAnsi="黑体"/>
          <w:b/>
          <w:color w:val="000000"/>
          <w:kern w:val="2"/>
          <w:sz w:val="28"/>
        </w:rPr>
        <w:t>十四、公司/激励对象发生异动的处理</w:t>
      </w:r>
      <w:bookmarkEnd w:id="28"/>
    </w:p>
    <w:p>
      <w:pPr>
        <w:spacing w:before="156" w:beforeLines="50" w:after="0" w:line="360" w:lineRule="auto"/>
        <w:ind w:firstLine="480" w:firstLineChars="200"/>
        <w:jc w:val="both"/>
        <w:rPr>
          <w:rFonts w:ascii="Times New Roman" w:hAnsi="Times New Roman"/>
          <w:color w:val="000000"/>
          <w:sz w:val="24"/>
        </w:rPr>
      </w:pPr>
      <w:r>
        <w:rPr>
          <w:rFonts w:hint="eastAsia" w:ascii="Times New Roman" w:hAnsi="Times New Roman"/>
          <w:color w:val="000000"/>
          <w:sz w:val="24"/>
        </w:rPr>
        <w:t>（一）</w:t>
      </w:r>
      <w:bookmarkStart w:id="29" w:name="_Hlk70326495"/>
      <w:r>
        <w:rPr>
          <w:rFonts w:hint="eastAsia" w:ascii="Times New Roman" w:hAnsi="Times New Roman"/>
          <w:color w:val="000000"/>
          <w:sz w:val="24"/>
        </w:rPr>
        <w:t>公司出现下列情形之一的，本激励计划终止实施，所有激励对象已获授但尚未解除限售的限制性股票由公司回购注销：</w:t>
      </w:r>
    </w:p>
    <w:p>
      <w:pPr>
        <w:spacing w:before="156" w:beforeLines="50" w:after="0" w:line="360" w:lineRule="auto"/>
        <w:ind w:firstLine="480" w:firstLineChars="200"/>
        <w:jc w:val="both"/>
        <w:rPr>
          <w:rFonts w:ascii="Times New Roman" w:hAnsi="Times New Roman"/>
          <w:color w:val="000000"/>
          <w:sz w:val="24"/>
        </w:rPr>
      </w:pPr>
      <w:r>
        <w:rPr>
          <w:rFonts w:ascii="Times New Roman" w:hAnsi="Times New Roman"/>
          <w:color w:val="000000"/>
          <w:sz w:val="24"/>
        </w:rPr>
        <w:t>1</w:t>
      </w:r>
      <w:r>
        <w:rPr>
          <w:rFonts w:hint="eastAsia" w:ascii="Times New Roman" w:hAnsi="Times New Roman"/>
          <w:color w:val="000000"/>
          <w:sz w:val="24"/>
        </w:rPr>
        <w:t>、最近一个会计年度财务会计报告被注册会计师出具否定意见或者无法表示意见的审计报告；</w:t>
      </w:r>
    </w:p>
    <w:p>
      <w:pPr>
        <w:spacing w:before="156" w:beforeLines="50" w:after="0" w:line="360" w:lineRule="auto"/>
        <w:ind w:firstLine="480" w:firstLineChars="200"/>
        <w:jc w:val="both"/>
        <w:rPr>
          <w:rFonts w:ascii="Times New Roman" w:hAnsi="Times New Roman"/>
          <w:color w:val="000000"/>
          <w:sz w:val="24"/>
        </w:rPr>
      </w:pPr>
      <w:r>
        <w:rPr>
          <w:rFonts w:ascii="Times New Roman" w:hAnsi="Times New Roman"/>
          <w:color w:val="000000"/>
          <w:sz w:val="24"/>
        </w:rPr>
        <w:t>2</w:t>
      </w:r>
      <w:r>
        <w:rPr>
          <w:rFonts w:hint="eastAsia" w:ascii="Times New Roman" w:hAnsi="Times New Roman"/>
          <w:color w:val="000000"/>
          <w:sz w:val="24"/>
        </w:rPr>
        <w:t>、最近一个会计年度财务报告内部控制被注册会计师出具否定意见或者无法表示意见的审计报告；</w:t>
      </w:r>
    </w:p>
    <w:p>
      <w:pPr>
        <w:spacing w:before="156" w:beforeLines="50" w:after="0" w:line="360" w:lineRule="auto"/>
        <w:ind w:firstLine="480" w:firstLineChars="200"/>
        <w:jc w:val="both"/>
        <w:rPr>
          <w:rFonts w:ascii="Times New Roman" w:hAnsi="Times New Roman"/>
          <w:color w:val="000000"/>
          <w:sz w:val="24"/>
        </w:rPr>
      </w:pPr>
      <w:r>
        <w:rPr>
          <w:rFonts w:ascii="Times New Roman" w:hAnsi="Times New Roman"/>
          <w:color w:val="000000"/>
          <w:sz w:val="24"/>
        </w:rPr>
        <w:t>3</w:t>
      </w:r>
      <w:r>
        <w:rPr>
          <w:rFonts w:hint="eastAsia" w:ascii="Times New Roman" w:hAnsi="Times New Roman"/>
          <w:color w:val="000000"/>
          <w:sz w:val="24"/>
        </w:rPr>
        <w:t>、上市后最近</w:t>
      </w:r>
      <w:r>
        <w:rPr>
          <w:rFonts w:ascii="Times New Roman" w:hAnsi="Times New Roman"/>
          <w:color w:val="000000"/>
          <w:sz w:val="24"/>
        </w:rPr>
        <w:t>36</w:t>
      </w:r>
      <w:r>
        <w:rPr>
          <w:rFonts w:hint="eastAsia" w:ascii="Times New Roman" w:hAnsi="Times New Roman"/>
          <w:color w:val="000000"/>
          <w:sz w:val="24"/>
        </w:rPr>
        <w:t>个月内出现过未按法律法规、公司章程、公开承诺进行利润分配的情形；</w:t>
      </w:r>
    </w:p>
    <w:p>
      <w:pPr>
        <w:spacing w:before="156" w:beforeLines="50" w:after="0" w:line="360" w:lineRule="auto"/>
        <w:ind w:firstLine="480" w:firstLineChars="200"/>
        <w:jc w:val="both"/>
        <w:rPr>
          <w:rFonts w:ascii="Times New Roman" w:hAnsi="Times New Roman"/>
          <w:color w:val="000000"/>
          <w:sz w:val="24"/>
        </w:rPr>
      </w:pPr>
      <w:r>
        <w:rPr>
          <w:rFonts w:ascii="Times New Roman" w:hAnsi="Times New Roman"/>
          <w:color w:val="000000"/>
          <w:sz w:val="24"/>
        </w:rPr>
        <w:t>4</w:t>
      </w:r>
      <w:r>
        <w:rPr>
          <w:rFonts w:hint="eastAsia" w:ascii="Times New Roman" w:hAnsi="Times New Roman"/>
          <w:color w:val="000000"/>
          <w:sz w:val="24"/>
        </w:rPr>
        <w:t>、法律法规规定不得实行股权激励的情形；</w:t>
      </w:r>
    </w:p>
    <w:p>
      <w:pPr>
        <w:spacing w:before="156" w:beforeLines="50" w:after="0" w:line="360" w:lineRule="auto"/>
        <w:ind w:firstLine="480" w:firstLineChars="200"/>
        <w:jc w:val="both"/>
        <w:rPr>
          <w:rFonts w:ascii="Times New Roman" w:hAnsi="Times New Roman"/>
          <w:color w:val="000000"/>
          <w:sz w:val="24"/>
        </w:rPr>
      </w:pPr>
      <w:r>
        <w:rPr>
          <w:rFonts w:ascii="Times New Roman" w:hAnsi="Times New Roman"/>
          <w:color w:val="000000"/>
          <w:sz w:val="24"/>
        </w:rPr>
        <w:t>5</w:t>
      </w:r>
      <w:r>
        <w:rPr>
          <w:rFonts w:hint="eastAsia" w:ascii="Times New Roman" w:hAnsi="Times New Roman"/>
          <w:color w:val="000000"/>
          <w:sz w:val="24"/>
        </w:rPr>
        <w:t>、中国证监会认定的其他需要终止股权激励计划的情形。</w:t>
      </w:r>
    </w:p>
    <w:bookmarkEnd w:id="29"/>
    <w:p>
      <w:pPr>
        <w:spacing w:before="156" w:beforeLines="50" w:after="0" w:line="360" w:lineRule="auto"/>
        <w:ind w:firstLine="480" w:firstLineChars="200"/>
        <w:jc w:val="both"/>
        <w:rPr>
          <w:rFonts w:ascii="Times New Roman" w:hAnsi="Times New Roman"/>
          <w:color w:val="000000"/>
          <w:sz w:val="24"/>
        </w:rPr>
      </w:pPr>
      <w:r>
        <w:rPr>
          <w:rFonts w:hint="eastAsia" w:ascii="Times New Roman" w:hAnsi="Times New Roman"/>
          <w:color w:val="000000"/>
          <w:sz w:val="24"/>
        </w:rPr>
        <w:t>（二）公司出现下列情形之一时，本计划不做变更</w:t>
      </w:r>
      <w:bookmarkStart w:id="30" w:name="_Hlk70326533"/>
      <w:r>
        <w:rPr>
          <w:rFonts w:hint="eastAsia" w:ascii="Times New Roman" w:hAnsi="Times New Roman"/>
          <w:color w:val="000000"/>
          <w:sz w:val="24"/>
        </w:rPr>
        <w:t>，按本计划的规定继续执行：</w:t>
      </w:r>
    </w:p>
    <w:bookmarkEnd w:id="30"/>
    <w:p>
      <w:pPr>
        <w:spacing w:before="156" w:beforeLines="50" w:after="0" w:line="360" w:lineRule="auto"/>
        <w:ind w:firstLine="480" w:firstLineChars="200"/>
        <w:jc w:val="both"/>
        <w:rPr>
          <w:rFonts w:ascii="Times New Roman" w:hAnsi="Times New Roman"/>
          <w:color w:val="000000"/>
          <w:sz w:val="24"/>
        </w:rPr>
      </w:pPr>
      <w:r>
        <w:rPr>
          <w:rFonts w:ascii="Times New Roman" w:hAnsi="Times New Roman"/>
          <w:color w:val="000000"/>
          <w:sz w:val="24"/>
        </w:rPr>
        <w:t>1</w:t>
      </w:r>
      <w:r>
        <w:rPr>
          <w:rFonts w:hint="eastAsia" w:ascii="Times New Roman" w:hAnsi="Times New Roman"/>
          <w:color w:val="000000"/>
          <w:sz w:val="24"/>
        </w:rPr>
        <w:t>、公司控制权发生变更；</w:t>
      </w:r>
    </w:p>
    <w:p>
      <w:pPr>
        <w:spacing w:before="156" w:beforeLines="50" w:after="0" w:line="360" w:lineRule="auto"/>
        <w:ind w:firstLine="480" w:firstLineChars="200"/>
        <w:jc w:val="both"/>
        <w:rPr>
          <w:rFonts w:ascii="Times New Roman" w:hAnsi="Times New Roman"/>
          <w:color w:val="000000"/>
          <w:sz w:val="24"/>
        </w:rPr>
      </w:pPr>
      <w:r>
        <w:rPr>
          <w:rFonts w:ascii="Times New Roman" w:hAnsi="Times New Roman"/>
          <w:color w:val="000000"/>
          <w:sz w:val="24"/>
        </w:rPr>
        <w:t>2</w:t>
      </w:r>
      <w:r>
        <w:rPr>
          <w:rFonts w:hint="eastAsia" w:ascii="Times New Roman" w:hAnsi="Times New Roman"/>
          <w:color w:val="000000"/>
          <w:sz w:val="24"/>
        </w:rPr>
        <w:t>、公司出现合并、分立等情形。</w:t>
      </w:r>
    </w:p>
    <w:p>
      <w:pPr>
        <w:spacing w:before="156" w:beforeLines="50" w:after="0" w:line="360" w:lineRule="auto"/>
        <w:ind w:firstLine="480" w:firstLineChars="200"/>
        <w:jc w:val="both"/>
        <w:rPr>
          <w:rFonts w:ascii="Times New Roman" w:hAnsi="Times New Roman"/>
          <w:color w:val="000000"/>
          <w:sz w:val="24"/>
        </w:rPr>
      </w:pPr>
      <w:r>
        <w:rPr>
          <w:rFonts w:hint="eastAsia" w:ascii="Times New Roman" w:hAnsi="Times New Roman"/>
          <w:color w:val="000000"/>
          <w:sz w:val="24"/>
        </w:rPr>
        <w:t>（三）公司因信息披露文件有虚假记载、误导性陈述或者重大遗漏，导致不符合限制性股票授予条件或解除限售条件的，激励对象已获授但尚未解除限售的限制性股票不得解除限售；已解除限售的限制性股票，应当返还其已获授权益。董事会应当按照前款规定收回激励对象所得收益。若激励对象对上述事宜不负有责任且因返还权益而遭受损失的，激励对象可向公司或负有责任的对象进行追偿。</w:t>
      </w:r>
    </w:p>
    <w:p>
      <w:pPr>
        <w:spacing w:before="156" w:beforeLines="50" w:after="0" w:line="360" w:lineRule="auto"/>
        <w:ind w:firstLine="480" w:firstLineChars="200"/>
        <w:jc w:val="both"/>
        <w:rPr>
          <w:rFonts w:ascii="Times New Roman" w:hAnsi="Times New Roman"/>
          <w:color w:val="000000"/>
          <w:sz w:val="24"/>
        </w:rPr>
      </w:pPr>
      <w:r>
        <w:rPr>
          <w:rFonts w:hint="eastAsia" w:ascii="Times New Roman" w:hAnsi="Times New Roman"/>
          <w:color w:val="000000"/>
          <w:sz w:val="24"/>
        </w:rPr>
        <w:t>（四）激励对象个人情况发生变化</w:t>
      </w:r>
    </w:p>
    <w:p>
      <w:pPr>
        <w:spacing w:before="156" w:beforeLines="50" w:after="0" w:line="360" w:lineRule="auto"/>
        <w:ind w:firstLine="480" w:firstLineChars="200"/>
        <w:jc w:val="both"/>
        <w:rPr>
          <w:rFonts w:ascii="Times New Roman" w:hAnsi="Times New Roman"/>
          <w:color w:val="000000"/>
          <w:sz w:val="24"/>
        </w:rPr>
      </w:pPr>
      <w:r>
        <w:rPr>
          <w:rFonts w:ascii="Times New Roman" w:hAnsi="Times New Roman"/>
          <w:color w:val="000000"/>
          <w:sz w:val="24"/>
        </w:rPr>
        <w:t>1</w:t>
      </w:r>
      <w:r>
        <w:rPr>
          <w:rFonts w:hint="eastAsia" w:ascii="Times New Roman" w:hAnsi="Times New Roman"/>
          <w:color w:val="000000"/>
          <w:sz w:val="24"/>
        </w:rPr>
        <w:t>、激励对象发生职务变更，但仍在公司内任职的，或在公司下属分、子公司内任职的，其获授的限制性股票完全按照职务变更前本激励计划规定的程序进行。但是，激励对象因不能胜任岗位工作、触犯法律、违反职业道德、泄露公司机密、失职或渎职等行为损害公司利益或声誉而导致的职务变更，或因前列原因导致公司解除与激励对象雇佣或劳务关系的，激励对象已获授但尚未解除限售的限制性股票由公司进行回购注销。</w:t>
      </w:r>
    </w:p>
    <w:p>
      <w:pPr>
        <w:spacing w:before="156" w:beforeLines="50" w:after="0" w:line="360" w:lineRule="auto"/>
        <w:ind w:firstLine="480" w:firstLineChars="200"/>
        <w:jc w:val="both"/>
        <w:rPr>
          <w:rFonts w:ascii="Times New Roman" w:hAnsi="Times New Roman"/>
          <w:color w:val="000000"/>
          <w:sz w:val="24"/>
        </w:rPr>
      </w:pPr>
      <w:r>
        <w:rPr>
          <w:rFonts w:ascii="Times New Roman" w:hAnsi="Times New Roman"/>
          <w:color w:val="000000"/>
          <w:sz w:val="24"/>
        </w:rPr>
        <w:t>2</w:t>
      </w:r>
      <w:r>
        <w:rPr>
          <w:rFonts w:hint="eastAsia" w:ascii="Times New Roman" w:hAnsi="Times New Roman"/>
          <w:color w:val="000000"/>
          <w:sz w:val="24"/>
        </w:rPr>
        <w:t>、激励对象因辞职、公司裁员而离职，在情况发生之日，激励对象已获授但尚未解除限售的限制性股票不得解除限售，由公司进行回购注销。激励对象离职前需要向公司支付完毕已解除限售限制性股票所涉及的个人所得税。</w:t>
      </w:r>
    </w:p>
    <w:p>
      <w:pPr>
        <w:spacing w:before="156" w:beforeLines="50" w:after="0" w:line="360" w:lineRule="auto"/>
        <w:ind w:firstLine="480" w:firstLineChars="200"/>
        <w:jc w:val="both"/>
        <w:rPr>
          <w:rFonts w:ascii="Times New Roman" w:hAnsi="Times New Roman"/>
          <w:color w:val="000000"/>
          <w:sz w:val="24"/>
        </w:rPr>
      </w:pPr>
      <w:r>
        <w:rPr>
          <w:rFonts w:ascii="Times New Roman" w:hAnsi="Times New Roman"/>
          <w:color w:val="000000"/>
          <w:sz w:val="24"/>
        </w:rPr>
        <w:t>3</w:t>
      </w:r>
      <w:r>
        <w:rPr>
          <w:rFonts w:hint="eastAsia" w:ascii="Times New Roman" w:hAnsi="Times New Roman"/>
          <w:color w:val="000000"/>
          <w:sz w:val="24"/>
        </w:rPr>
        <w:t>、激励对象因退休而离职，对激励对象已获授限制性股票可按照退休前本激励计划规定的程序进行，其个人考核结果不再纳入解除限售条件。</w:t>
      </w:r>
    </w:p>
    <w:p>
      <w:pPr>
        <w:spacing w:before="156" w:beforeLines="50" w:after="0" w:line="360" w:lineRule="auto"/>
        <w:ind w:firstLine="480" w:firstLineChars="200"/>
        <w:jc w:val="both"/>
        <w:rPr>
          <w:rFonts w:ascii="Times New Roman" w:hAnsi="Times New Roman"/>
          <w:color w:val="000000"/>
          <w:sz w:val="24"/>
        </w:rPr>
      </w:pPr>
      <w:r>
        <w:rPr>
          <w:rFonts w:ascii="Times New Roman" w:hAnsi="Times New Roman"/>
          <w:color w:val="000000"/>
          <w:sz w:val="24"/>
        </w:rPr>
        <w:t>4</w:t>
      </w:r>
      <w:r>
        <w:rPr>
          <w:rFonts w:hint="eastAsia" w:ascii="Times New Roman" w:hAnsi="Times New Roman"/>
          <w:color w:val="000000"/>
          <w:sz w:val="24"/>
        </w:rPr>
        <w:t>、激励对象因丧失劳动能力而离职的，</w:t>
      </w:r>
      <w:bookmarkStart w:id="31" w:name="_Hlk66029350"/>
      <w:r>
        <w:rPr>
          <w:rFonts w:hint="eastAsia" w:ascii="Times New Roman" w:hAnsi="Times New Roman"/>
          <w:color w:val="000000"/>
          <w:sz w:val="24"/>
        </w:rPr>
        <w:t>应分以下两种情况处理：</w:t>
      </w:r>
    </w:p>
    <w:p>
      <w:pPr>
        <w:spacing w:before="156" w:beforeLines="50" w:after="0" w:line="360" w:lineRule="auto"/>
        <w:ind w:firstLine="480" w:firstLineChars="200"/>
        <w:jc w:val="both"/>
        <w:rPr>
          <w:rFonts w:ascii="Times New Roman" w:hAnsi="Times New Roman"/>
          <w:color w:val="000000"/>
          <w:sz w:val="24"/>
        </w:rPr>
      </w:pPr>
      <w:r>
        <w:rPr>
          <w:rFonts w:hint="eastAsia" w:ascii="Times New Roman" w:hAnsi="Times New Roman"/>
          <w:color w:val="000000"/>
          <w:sz w:val="24"/>
        </w:rPr>
        <w:t>（1）当激励对象因执行职务丧失劳动能力而离职时，其获授的限制性股票可按照丧失劳动能力前本激励计划规定的程序办理解除限售，且公司董事会可以决定其个人绩效考核条件不再纳入解除限售条件，其他解除限售条件仍然有效。激励对象离职前需要向公司支付完毕已解除限售限制性股票所涉及的个人所得税，并应在其后每次办理解除限售时先行支付当期将解除限售的限制性股票所涉及的个人所得税。</w:t>
      </w:r>
    </w:p>
    <w:p>
      <w:pPr>
        <w:spacing w:before="156" w:beforeLines="50" w:after="0" w:line="360" w:lineRule="auto"/>
        <w:ind w:firstLine="480" w:firstLineChars="200"/>
        <w:jc w:val="both"/>
        <w:rPr>
          <w:rFonts w:ascii="Times New Roman" w:hAnsi="Times New Roman"/>
          <w:color w:val="000000"/>
          <w:sz w:val="24"/>
        </w:rPr>
      </w:pPr>
      <w:r>
        <w:rPr>
          <w:rFonts w:hint="eastAsia" w:ascii="Times New Roman" w:hAnsi="Times New Roman"/>
          <w:color w:val="000000"/>
          <w:sz w:val="24"/>
        </w:rPr>
        <w:t>（2）当激励对象非因执行职务丧失劳动能力而离职时，激励对象已获授但尚未解除限售的限制性股票不得解除限售，由公司进行回购注销。激励对象离职前需要向公司支付完毕已解除限售限制性股票所涉及的个人所得税。</w:t>
      </w:r>
    </w:p>
    <w:bookmarkEnd w:id="31"/>
    <w:p>
      <w:pPr>
        <w:spacing w:before="156" w:beforeLines="50" w:after="0" w:line="360" w:lineRule="auto"/>
        <w:ind w:firstLine="480" w:firstLineChars="200"/>
        <w:jc w:val="both"/>
        <w:rPr>
          <w:rFonts w:ascii="Times New Roman" w:hAnsi="Times New Roman"/>
          <w:color w:val="000000"/>
          <w:sz w:val="24"/>
        </w:rPr>
      </w:pPr>
      <w:r>
        <w:rPr>
          <w:rFonts w:ascii="Times New Roman" w:hAnsi="Times New Roman"/>
          <w:color w:val="000000"/>
          <w:sz w:val="24"/>
        </w:rPr>
        <w:t>5</w:t>
      </w:r>
      <w:r>
        <w:rPr>
          <w:rFonts w:hint="eastAsia" w:ascii="Times New Roman" w:hAnsi="Times New Roman"/>
          <w:color w:val="000000"/>
          <w:sz w:val="24"/>
        </w:rPr>
        <w:t>、激励对象发生身故的，</w:t>
      </w:r>
      <w:bookmarkStart w:id="32" w:name="_Hlk66029319"/>
      <w:r>
        <w:rPr>
          <w:rFonts w:hint="eastAsia" w:ascii="Times New Roman" w:hAnsi="Times New Roman"/>
          <w:color w:val="000000"/>
          <w:sz w:val="24"/>
        </w:rPr>
        <w:t>应分以下两种情况处理：</w:t>
      </w:r>
    </w:p>
    <w:p>
      <w:pPr>
        <w:spacing w:before="156" w:beforeLines="50" w:after="0" w:line="360" w:lineRule="auto"/>
        <w:ind w:firstLine="480" w:firstLineChars="200"/>
        <w:jc w:val="both"/>
        <w:rPr>
          <w:rFonts w:ascii="Times New Roman" w:hAnsi="Times New Roman"/>
          <w:color w:val="000000"/>
          <w:sz w:val="24"/>
        </w:rPr>
      </w:pPr>
      <w:r>
        <w:rPr>
          <w:rFonts w:hint="eastAsia" w:ascii="Times New Roman" w:hAnsi="Times New Roman"/>
          <w:color w:val="000000"/>
          <w:sz w:val="24"/>
        </w:rPr>
        <w:t>（1）激励对象若因工伤身故的，其获授的限制性股票将由其指定的财产继承人或法定继承人代为持有，并按照激励对象身故前本计划规定的程序办理解除限售；公司董事会可以决定其个人绩效考核条件不再纳入解除限售条件，继承人在继承前需向公司支付已解除限售限制性股票所涉及的个人所得税，并应在其后每次办理解除限售时先行支付当期解除限售的限制性股票所涉及的个人所得税。</w:t>
      </w:r>
    </w:p>
    <w:p>
      <w:pPr>
        <w:spacing w:before="156" w:beforeLines="50" w:after="0" w:line="360" w:lineRule="auto"/>
        <w:ind w:firstLine="480" w:firstLineChars="200"/>
        <w:jc w:val="both"/>
        <w:rPr>
          <w:rFonts w:ascii="Times New Roman" w:hAnsi="Times New Roman"/>
          <w:color w:val="000000"/>
          <w:sz w:val="24"/>
        </w:rPr>
      </w:pPr>
      <w:r>
        <w:rPr>
          <w:rFonts w:hint="eastAsia" w:ascii="Times New Roman" w:hAnsi="Times New Roman"/>
          <w:color w:val="000000"/>
          <w:sz w:val="24"/>
        </w:rPr>
        <w:t>（2）激励对象非因工伤身故的，在情况发生之日，激励对象已获授但尚未解除限售的限制性股票不得解除限售，由公司进行回购注销。公司有权要求激励对象继承人以激励对象遗产支付完毕已解除限售限制性股票所涉及的个人所得税。</w:t>
      </w:r>
    </w:p>
    <w:bookmarkEnd w:id="32"/>
    <w:p>
      <w:pPr>
        <w:spacing w:before="156" w:beforeLines="50" w:after="0" w:line="360" w:lineRule="auto"/>
        <w:ind w:firstLine="480" w:firstLineChars="200"/>
        <w:jc w:val="both"/>
        <w:rPr>
          <w:rFonts w:ascii="Times New Roman" w:hAnsi="Times New Roman"/>
          <w:color w:val="000000"/>
          <w:sz w:val="24"/>
        </w:rPr>
      </w:pPr>
      <w:r>
        <w:rPr>
          <w:rFonts w:ascii="Times New Roman" w:hAnsi="Times New Roman"/>
          <w:color w:val="000000"/>
          <w:sz w:val="24"/>
        </w:rPr>
        <w:t>6</w:t>
      </w:r>
      <w:r>
        <w:rPr>
          <w:rFonts w:hint="eastAsia" w:ascii="Times New Roman" w:hAnsi="Times New Roman"/>
          <w:color w:val="000000"/>
          <w:sz w:val="24"/>
        </w:rPr>
        <w:t>、</w:t>
      </w:r>
      <w:bookmarkStart w:id="33" w:name="_Hlk66029477"/>
      <w:r>
        <w:rPr>
          <w:rFonts w:hint="eastAsia" w:ascii="Times New Roman" w:hAnsi="Times New Roman"/>
          <w:color w:val="000000"/>
          <w:sz w:val="24"/>
        </w:rPr>
        <w:t>激励对象如因出现以下情形之一而失去参与本激励计划的资格，已获授但尚未解除限售的限制性股票不得解除限售，由公司进行回购注销：</w:t>
      </w:r>
    </w:p>
    <w:p>
      <w:pPr>
        <w:spacing w:before="156" w:beforeLines="50" w:after="0" w:line="360" w:lineRule="auto"/>
        <w:ind w:firstLine="480" w:firstLineChars="200"/>
        <w:jc w:val="both"/>
        <w:rPr>
          <w:rFonts w:ascii="Times New Roman" w:hAnsi="Times New Roman"/>
          <w:color w:val="000000"/>
          <w:sz w:val="24"/>
        </w:rPr>
      </w:pPr>
      <w:r>
        <w:rPr>
          <w:rFonts w:hint="eastAsia" w:ascii="Times New Roman" w:hAnsi="Times New Roman"/>
          <w:color w:val="000000"/>
          <w:sz w:val="24"/>
        </w:rPr>
        <w:t>（</w:t>
      </w:r>
      <w:r>
        <w:rPr>
          <w:rFonts w:ascii="Times New Roman" w:hAnsi="Times New Roman"/>
          <w:color w:val="000000"/>
          <w:sz w:val="24"/>
        </w:rPr>
        <w:t>1</w:t>
      </w:r>
      <w:r>
        <w:rPr>
          <w:rFonts w:hint="eastAsia" w:ascii="Times New Roman" w:hAnsi="Times New Roman"/>
          <w:color w:val="000000"/>
          <w:sz w:val="24"/>
        </w:rPr>
        <w:t>）最近</w:t>
      </w:r>
      <w:r>
        <w:rPr>
          <w:rFonts w:ascii="Times New Roman" w:hAnsi="Times New Roman"/>
          <w:color w:val="000000"/>
          <w:sz w:val="24"/>
        </w:rPr>
        <w:t>12</w:t>
      </w:r>
      <w:r>
        <w:rPr>
          <w:rFonts w:hint="eastAsia" w:ascii="Times New Roman" w:hAnsi="Times New Roman"/>
          <w:color w:val="000000"/>
          <w:sz w:val="24"/>
        </w:rPr>
        <w:t>个月内被证券交易所认定为不适当人选；</w:t>
      </w:r>
    </w:p>
    <w:p>
      <w:pPr>
        <w:spacing w:before="156" w:beforeLines="50" w:after="0" w:line="360" w:lineRule="auto"/>
        <w:ind w:firstLine="480" w:firstLineChars="200"/>
        <w:jc w:val="both"/>
        <w:rPr>
          <w:rFonts w:ascii="Times New Roman" w:hAnsi="Times New Roman"/>
          <w:color w:val="000000"/>
          <w:sz w:val="24"/>
        </w:rPr>
      </w:pPr>
      <w:r>
        <w:rPr>
          <w:rFonts w:hint="eastAsia" w:ascii="Times New Roman" w:hAnsi="Times New Roman"/>
          <w:color w:val="000000"/>
          <w:sz w:val="24"/>
        </w:rPr>
        <w:t>（</w:t>
      </w:r>
      <w:r>
        <w:rPr>
          <w:rFonts w:ascii="Times New Roman" w:hAnsi="Times New Roman"/>
          <w:color w:val="000000"/>
          <w:sz w:val="24"/>
        </w:rPr>
        <w:t>2</w:t>
      </w:r>
      <w:r>
        <w:rPr>
          <w:rFonts w:hint="eastAsia" w:ascii="Times New Roman" w:hAnsi="Times New Roman"/>
          <w:color w:val="000000"/>
          <w:sz w:val="24"/>
        </w:rPr>
        <w:t>）最近</w:t>
      </w:r>
      <w:r>
        <w:rPr>
          <w:rFonts w:ascii="Times New Roman" w:hAnsi="Times New Roman"/>
          <w:color w:val="000000"/>
          <w:sz w:val="24"/>
        </w:rPr>
        <w:t>12</w:t>
      </w:r>
      <w:r>
        <w:rPr>
          <w:rFonts w:hint="eastAsia" w:ascii="Times New Roman" w:hAnsi="Times New Roman"/>
          <w:color w:val="000000"/>
          <w:sz w:val="24"/>
        </w:rPr>
        <w:t>个月内被中国证监会及其派出机构认定为不适当人选；</w:t>
      </w:r>
    </w:p>
    <w:p>
      <w:pPr>
        <w:spacing w:before="156" w:beforeLines="50" w:after="0" w:line="360" w:lineRule="auto"/>
        <w:ind w:firstLine="480" w:firstLineChars="200"/>
        <w:jc w:val="both"/>
        <w:rPr>
          <w:rFonts w:ascii="Times New Roman" w:hAnsi="Times New Roman"/>
          <w:color w:val="000000"/>
          <w:sz w:val="24"/>
        </w:rPr>
      </w:pPr>
      <w:r>
        <w:rPr>
          <w:rFonts w:hint="eastAsia" w:ascii="Times New Roman" w:hAnsi="Times New Roman"/>
          <w:color w:val="000000"/>
          <w:sz w:val="24"/>
        </w:rPr>
        <w:t>（</w:t>
      </w:r>
      <w:r>
        <w:rPr>
          <w:rFonts w:ascii="Times New Roman" w:hAnsi="Times New Roman"/>
          <w:color w:val="000000"/>
          <w:sz w:val="24"/>
        </w:rPr>
        <w:t>3</w:t>
      </w:r>
      <w:r>
        <w:rPr>
          <w:rFonts w:hint="eastAsia" w:ascii="Times New Roman" w:hAnsi="Times New Roman"/>
          <w:color w:val="000000"/>
          <w:sz w:val="24"/>
        </w:rPr>
        <w:t>）最近</w:t>
      </w:r>
      <w:r>
        <w:rPr>
          <w:rFonts w:ascii="Times New Roman" w:hAnsi="Times New Roman"/>
          <w:color w:val="000000"/>
          <w:sz w:val="24"/>
        </w:rPr>
        <w:t>12</w:t>
      </w:r>
      <w:r>
        <w:rPr>
          <w:rFonts w:hint="eastAsia" w:ascii="Times New Roman" w:hAnsi="Times New Roman"/>
          <w:color w:val="000000"/>
          <w:sz w:val="24"/>
        </w:rPr>
        <w:t>个月内因重大违法违规行为被中国证监会及其派出机构行政处罚或者采取市场禁入措施；</w:t>
      </w:r>
    </w:p>
    <w:p>
      <w:pPr>
        <w:spacing w:before="156" w:beforeLines="50" w:after="0" w:line="360" w:lineRule="auto"/>
        <w:ind w:firstLine="480" w:firstLineChars="200"/>
        <w:jc w:val="both"/>
        <w:rPr>
          <w:rFonts w:ascii="Times New Roman" w:hAnsi="Times New Roman"/>
          <w:color w:val="000000"/>
          <w:sz w:val="24"/>
        </w:rPr>
      </w:pPr>
      <w:r>
        <w:rPr>
          <w:rFonts w:hint="eastAsia" w:ascii="Times New Roman" w:hAnsi="Times New Roman"/>
          <w:color w:val="000000"/>
          <w:sz w:val="24"/>
        </w:rPr>
        <w:t>（</w:t>
      </w:r>
      <w:r>
        <w:rPr>
          <w:rFonts w:ascii="Times New Roman" w:hAnsi="Times New Roman"/>
          <w:color w:val="000000"/>
          <w:sz w:val="24"/>
        </w:rPr>
        <w:t>4</w:t>
      </w:r>
      <w:r>
        <w:rPr>
          <w:rFonts w:hint="eastAsia" w:ascii="Times New Roman" w:hAnsi="Times New Roman"/>
          <w:color w:val="000000"/>
          <w:sz w:val="24"/>
        </w:rPr>
        <w:t>）具有《公司法》规定的不得担任公司董事、高级管理人员情形的；</w:t>
      </w:r>
    </w:p>
    <w:p>
      <w:pPr>
        <w:spacing w:before="156" w:beforeLines="50" w:after="0" w:line="360" w:lineRule="auto"/>
        <w:ind w:firstLine="480" w:firstLineChars="200"/>
        <w:jc w:val="both"/>
        <w:rPr>
          <w:rFonts w:ascii="Times New Roman" w:hAnsi="Times New Roman"/>
          <w:color w:val="000000"/>
          <w:sz w:val="24"/>
        </w:rPr>
      </w:pPr>
      <w:r>
        <w:rPr>
          <w:rFonts w:hint="eastAsia" w:ascii="Times New Roman" w:hAnsi="Times New Roman"/>
          <w:color w:val="000000"/>
          <w:sz w:val="24"/>
        </w:rPr>
        <w:t>（</w:t>
      </w:r>
      <w:r>
        <w:rPr>
          <w:rFonts w:ascii="Times New Roman" w:hAnsi="Times New Roman"/>
          <w:color w:val="000000"/>
          <w:sz w:val="24"/>
        </w:rPr>
        <w:t>5</w:t>
      </w:r>
      <w:r>
        <w:rPr>
          <w:rFonts w:hint="eastAsia" w:ascii="Times New Roman" w:hAnsi="Times New Roman"/>
          <w:color w:val="000000"/>
          <w:sz w:val="24"/>
        </w:rPr>
        <w:t>）成为法律、法规规定的其他不得参与上市公司股权激励的人员的；</w:t>
      </w:r>
    </w:p>
    <w:p>
      <w:pPr>
        <w:spacing w:before="156" w:beforeLines="50" w:after="0" w:line="360" w:lineRule="auto"/>
        <w:ind w:firstLine="480" w:firstLineChars="200"/>
        <w:jc w:val="both"/>
        <w:rPr>
          <w:rFonts w:ascii="Times New Roman" w:hAnsi="Times New Roman"/>
          <w:color w:val="000000"/>
          <w:sz w:val="24"/>
        </w:rPr>
      </w:pPr>
      <w:r>
        <w:rPr>
          <w:rFonts w:hint="eastAsia" w:ascii="Times New Roman" w:hAnsi="Times New Roman"/>
          <w:color w:val="000000"/>
          <w:sz w:val="24"/>
        </w:rPr>
        <w:t>（</w:t>
      </w:r>
      <w:r>
        <w:rPr>
          <w:rFonts w:ascii="Times New Roman" w:hAnsi="Times New Roman"/>
          <w:color w:val="000000"/>
          <w:sz w:val="24"/>
        </w:rPr>
        <w:t>6</w:t>
      </w:r>
      <w:r>
        <w:rPr>
          <w:rFonts w:hint="eastAsia" w:ascii="Times New Roman" w:hAnsi="Times New Roman"/>
          <w:color w:val="000000"/>
          <w:sz w:val="24"/>
        </w:rPr>
        <w:t>）中国证监会认定的其他情形。</w:t>
      </w:r>
    </w:p>
    <w:bookmarkEnd w:id="33"/>
    <w:p>
      <w:pPr>
        <w:spacing w:before="156" w:beforeLines="50" w:after="0" w:line="360" w:lineRule="auto"/>
        <w:ind w:firstLine="480" w:firstLineChars="200"/>
        <w:jc w:val="both"/>
        <w:rPr>
          <w:rFonts w:ascii="Times New Roman" w:hAnsi="Times New Roman"/>
          <w:color w:val="000000"/>
          <w:sz w:val="24"/>
        </w:rPr>
      </w:pPr>
      <w:r>
        <w:rPr>
          <w:rFonts w:ascii="Times New Roman" w:hAnsi="Times New Roman"/>
          <w:color w:val="000000"/>
          <w:sz w:val="24"/>
        </w:rPr>
        <w:t>7</w:t>
      </w:r>
      <w:r>
        <w:rPr>
          <w:rFonts w:hint="eastAsia" w:ascii="Times New Roman" w:hAnsi="Times New Roman"/>
          <w:color w:val="000000"/>
          <w:sz w:val="24"/>
        </w:rPr>
        <w:t>、其它未说明的情况由董事会认定，并确定其处理方式。</w:t>
      </w:r>
    </w:p>
    <w:p>
      <w:pPr>
        <w:spacing w:before="156" w:beforeLines="50" w:after="0" w:line="360" w:lineRule="auto"/>
        <w:ind w:firstLine="480" w:firstLineChars="200"/>
        <w:jc w:val="both"/>
        <w:rPr>
          <w:rFonts w:ascii="Times New Roman" w:hAnsi="Times New Roman"/>
          <w:color w:val="000000"/>
          <w:sz w:val="24"/>
        </w:rPr>
      </w:pPr>
      <w:r>
        <w:rPr>
          <w:rFonts w:hint="eastAsia" w:ascii="Times New Roman" w:hAnsi="Times New Roman"/>
          <w:color w:val="000000"/>
          <w:sz w:val="24"/>
        </w:rPr>
        <w:t>（五）公司与激励对象之间争议的解决</w:t>
      </w:r>
    </w:p>
    <w:p>
      <w:pPr>
        <w:spacing w:before="156" w:beforeLines="50" w:after="0" w:line="360" w:lineRule="auto"/>
        <w:ind w:firstLine="480" w:firstLineChars="200"/>
        <w:jc w:val="both"/>
        <w:rPr>
          <w:rFonts w:ascii="黑体" w:hAnsi="黑体"/>
          <w:b/>
          <w:color w:val="000000"/>
          <w:kern w:val="2"/>
          <w:sz w:val="28"/>
        </w:rPr>
      </w:pPr>
      <w:r>
        <w:rPr>
          <w:rFonts w:hint="eastAsia" w:ascii="Times New Roman" w:hAnsi="Times New Roman"/>
          <w:color w:val="000000"/>
          <w:sz w:val="24"/>
        </w:rPr>
        <w:t>公司与激励对象之间因执行本计划及/或双方签订的《限制性股票授予协议》所发生的或与本计划及/或《限制性股票授予协议》相关的争议，双方应按照本计划和《限制性股票授予协议》的规定解决；规定不明的，双方应按照国家法律和公平合理原则协商解决，或通过公司董事会薪酬与考核委员会调解解决；协商不成，应提交公司住所所在地有管辖权的人民法院诉讼解决。</w:t>
      </w:r>
    </w:p>
    <w:p>
      <w:pPr>
        <w:keepNext/>
        <w:keepLines/>
        <w:spacing w:before="156" w:beforeLines="50" w:after="0" w:line="360" w:lineRule="auto"/>
        <w:jc w:val="both"/>
        <w:outlineLvl w:val="1"/>
        <w:rPr>
          <w:rFonts w:ascii="黑体" w:hAnsi="黑体"/>
          <w:b/>
          <w:color w:val="000000"/>
          <w:kern w:val="2"/>
          <w:sz w:val="28"/>
        </w:rPr>
      </w:pPr>
      <w:bookmarkStart w:id="34" w:name="_Toc112782127"/>
      <w:r>
        <w:rPr>
          <w:rFonts w:hint="eastAsia" w:ascii="黑体" w:hAnsi="黑体"/>
          <w:b/>
          <w:color w:val="000000"/>
          <w:kern w:val="2"/>
          <w:sz w:val="28"/>
        </w:rPr>
        <w:t>十五、附则</w:t>
      </w:r>
      <w:bookmarkEnd w:id="34"/>
    </w:p>
    <w:p>
      <w:pPr>
        <w:spacing w:before="156" w:beforeLines="50" w:after="0" w:line="360" w:lineRule="auto"/>
        <w:ind w:firstLine="480" w:firstLineChars="200"/>
        <w:jc w:val="both"/>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（一）本激励计划在公司股东大会审议通过后生效。</w:t>
      </w:r>
    </w:p>
    <w:p>
      <w:pPr>
        <w:spacing w:before="156" w:beforeLines="50" w:after="0" w:line="360" w:lineRule="auto"/>
        <w:ind w:firstLine="480" w:firstLineChars="200"/>
        <w:jc w:val="both"/>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（二）本激励计划由公司董事会负责解释。</w:t>
      </w:r>
    </w:p>
    <w:p>
      <w:pPr>
        <w:spacing w:before="156" w:beforeLines="50" w:after="156" w:afterLines="50" w:line="360" w:lineRule="auto"/>
        <w:ind w:firstLine="480" w:firstLineChars="200"/>
        <w:jc w:val="both"/>
        <w:rPr>
          <w:rFonts w:ascii="Times New Roman" w:hAnsi="Times New Roman"/>
          <w:color w:val="000000"/>
          <w:sz w:val="24"/>
        </w:rPr>
      </w:pPr>
    </w:p>
    <w:p>
      <w:pPr>
        <w:spacing w:before="156" w:beforeLines="50" w:after="156" w:afterLines="50" w:line="360" w:lineRule="auto"/>
        <w:ind w:firstLine="480" w:firstLineChars="200"/>
        <w:jc w:val="right"/>
        <w:rPr>
          <w:rFonts w:ascii="Times New Roman" w:hAnsi="Times New Roman"/>
          <w:color w:val="000000"/>
          <w:sz w:val="24"/>
        </w:rPr>
      </w:pPr>
      <w:r>
        <w:rPr>
          <w:rFonts w:hint="eastAsia" w:ascii="Times New Roman" w:hAnsi="Times New Roman"/>
          <w:color w:val="000000"/>
          <w:sz w:val="24"/>
        </w:rPr>
        <w:t>重庆望变电气（集团）股份有限公司董事会</w:t>
      </w:r>
    </w:p>
    <w:p>
      <w:pPr>
        <w:spacing w:before="156" w:beforeLines="50" w:after="156" w:afterLines="50" w:line="360" w:lineRule="auto"/>
        <w:ind w:firstLine="480" w:firstLineChars="200"/>
        <w:jc w:val="right"/>
        <w:rPr>
          <w:rFonts w:ascii="Times New Roman" w:hAnsi="Times New Roman"/>
          <w:color w:val="000000"/>
          <w:sz w:val="24"/>
        </w:rPr>
      </w:pPr>
      <w:r>
        <w:rPr>
          <w:rFonts w:hint="eastAsia" w:ascii="Times New Roman" w:hAnsi="Times New Roman"/>
          <w:color w:val="000000"/>
          <w:sz w:val="24"/>
        </w:rPr>
        <w:t>202</w:t>
      </w:r>
      <w:r>
        <w:rPr>
          <w:rFonts w:ascii="Times New Roman" w:hAnsi="Times New Roman"/>
          <w:color w:val="000000"/>
          <w:sz w:val="24"/>
        </w:rPr>
        <w:t>4</w:t>
      </w:r>
      <w:r>
        <w:rPr>
          <w:rFonts w:hint="eastAsia" w:ascii="Times New Roman" w:hAnsi="Times New Roman"/>
          <w:color w:val="000000"/>
          <w:sz w:val="24"/>
        </w:rPr>
        <w:t>年1月2</w:t>
      </w:r>
      <w:r>
        <w:rPr>
          <w:rFonts w:ascii="Times New Roman" w:hAnsi="Times New Roman"/>
          <w:color w:val="000000"/>
          <w:sz w:val="24"/>
        </w:rPr>
        <w:t>2</w:t>
      </w:r>
      <w:r>
        <w:rPr>
          <w:rFonts w:hint="eastAsia" w:ascii="Times New Roman" w:hAnsi="Times New Roman"/>
          <w:color w:val="000000"/>
          <w:sz w:val="24"/>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458181"/>
      <w:docPartObj>
        <w:docPartGallery w:val="autotext"/>
      </w:docPartObj>
    </w:sdtPr>
    <w:sdtContent>
      <w:p>
        <w:pPr>
          <w:pStyle w:val="15"/>
          <w:jc w:val="center"/>
        </w:pPr>
        <w:r>
          <w:fldChar w:fldCharType="begin"/>
        </w:r>
        <w:r>
          <w:instrText xml:space="preserve">PAGE   \* MERGEFORMAT</w:instrText>
        </w:r>
        <w:r>
          <w:fldChar w:fldCharType="separate"/>
        </w:r>
        <w:r>
          <w:rPr>
            <w:rFonts w:ascii="Times New Roman" w:hAnsi="Times New Roman"/>
            <w:lang w:val="zh-CN"/>
          </w:rPr>
          <w:t>30</w:t>
        </w:r>
        <w:r>
          <w:rPr>
            <w:rFonts w:ascii="Times New Roman" w:hAnsi="Times New Roman"/>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trackRevisions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zZmRmZDMxMjkwMDE2NTk0ZWQ1ZWYwMzRmYjVhNmUifQ=="/>
  </w:docVars>
  <w:rsids>
    <w:rsidRoot w:val="000640A8"/>
    <w:rsid w:val="000018C4"/>
    <w:rsid w:val="00001F53"/>
    <w:rsid w:val="0000203A"/>
    <w:rsid w:val="0000284B"/>
    <w:rsid w:val="00002DAA"/>
    <w:rsid w:val="00003B46"/>
    <w:rsid w:val="0000420B"/>
    <w:rsid w:val="0000694A"/>
    <w:rsid w:val="00007987"/>
    <w:rsid w:val="00011053"/>
    <w:rsid w:val="00012818"/>
    <w:rsid w:val="00013B99"/>
    <w:rsid w:val="00014CCB"/>
    <w:rsid w:val="00017C65"/>
    <w:rsid w:val="00024E26"/>
    <w:rsid w:val="00025A45"/>
    <w:rsid w:val="000305BF"/>
    <w:rsid w:val="00030DBF"/>
    <w:rsid w:val="00031AD9"/>
    <w:rsid w:val="000320BE"/>
    <w:rsid w:val="00034FE7"/>
    <w:rsid w:val="00035FBA"/>
    <w:rsid w:val="000365CB"/>
    <w:rsid w:val="00042C95"/>
    <w:rsid w:val="000507A9"/>
    <w:rsid w:val="0005635B"/>
    <w:rsid w:val="000563B7"/>
    <w:rsid w:val="00061233"/>
    <w:rsid w:val="0006215D"/>
    <w:rsid w:val="000640A8"/>
    <w:rsid w:val="0006515D"/>
    <w:rsid w:val="0006639E"/>
    <w:rsid w:val="00067A61"/>
    <w:rsid w:val="00072757"/>
    <w:rsid w:val="00073338"/>
    <w:rsid w:val="00074EF3"/>
    <w:rsid w:val="00075E79"/>
    <w:rsid w:val="00081EB5"/>
    <w:rsid w:val="0008209F"/>
    <w:rsid w:val="000850B9"/>
    <w:rsid w:val="00085DAA"/>
    <w:rsid w:val="000863DE"/>
    <w:rsid w:val="000874B1"/>
    <w:rsid w:val="00087CC1"/>
    <w:rsid w:val="0009128B"/>
    <w:rsid w:val="00091F77"/>
    <w:rsid w:val="00092105"/>
    <w:rsid w:val="00094F81"/>
    <w:rsid w:val="0009559B"/>
    <w:rsid w:val="000A0818"/>
    <w:rsid w:val="000A1189"/>
    <w:rsid w:val="000A4554"/>
    <w:rsid w:val="000A47E7"/>
    <w:rsid w:val="000A4D2C"/>
    <w:rsid w:val="000A5096"/>
    <w:rsid w:val="000A53F8"/>
    <w:rsid w:val="000A5CA3"/>
    <w:rsid w:val="000B1063"/>
    <w:rsid w:val="000B2BC6"/>
    <w:rsid w:val="000B3DB9"/>
    <w:rsid w:val="000B5346"/>
    <w:rsid w:val="000B57F5"/>
    <w:rsid w:val="000B64CD"/>
    <w:rsid w:val="000C0A0E"/>
    <w:rsid w:val="000C1066"/>
    <w:rsid w:val="000C17EC"/>
    <w:rsid w:val="000C24FF"/>
    <w:rsid w:val="000C2C7A"/>
    <w:rsid w:val="000C4142"/>
    <w:rsid w:val="000C4B6B"/>
    <w:rsid w:val="000C712C"/>
    <w:rsid w:val="000D1283"/>
    <w:rsid w:val="000D1E8B"/>
    <w:rsid w:val="000D2D52"/>
    <w:rsid w:val="000D2F36"/>
    <w:rsid w:val="000D3B16"/>
    <w:rsid w:val="000D4D80"/>
    <w:rsid w:val="000E1666"/>
    <w:rsid w:val="000E1FBE"/>
    <w:rsid w:val="000E582B"/>
    <w:rsid w:val="000E7726"/>
    <w:rsid w:val="000F0D04"/>
    <w:rsid w:val="000F27A4"/>
    <w:rsid w:val="000F3B84"/>
    <w:rsid w:val="000F4588"/>
    <w:rsid w:val="000F5526"/>
    <w:rsid w:val="000F6022"/>
    <w:rsid w:val="000F6541"/>
    <w:rsid w:val="000F6A35"/>
    <w:rsid w:val="00100075"/>
    <w:rsid w:val="001003BB"/>
    <w:rsid w:val="00100878"/>
    <w:rsid w:val="00100ED0"/>
    <w:rsid w:val="00102750"/>
    <w:rsid w:val="00102B44"/>
    <w:rsid w:val="0010617C"/>
    <w:rsid w:val="001061D5"/>
    <w:rsid w:val="00113F72"/>
    <w:rsid w:val="00114F27"/>
    <w:rsid w:val="00115277"/>
    <w:rsid w:val="00117B42"/>
    <w:rsid w:val="00122277"/>
    <w:rsid w:val="00122628"/>
    <w:rsid w:val="00123091"/>
    <w:rsid w:val="00124413"/>
    <w:rsid w:val="00124C24"/>
    <w:rsid w:val="00126E9D"/>
    <w:rsid w:val="00127A6F"/>
    <w:rsid w:val="00127EB5"/>
    <w:rsid w:val="00130EC3"/>
    <w:rsid w:val="0013204E"/>
    <w:rsid w:val="0013286B"/>
    <w:rsid w:val="00132DC7"/>
    <w:rsid w:val="00134372"/>
    <w:rsid w:val="001356C8"/>
    <w:rsid w:val="001369A3"/>
    <w:rsid w:val="00136ADD"/>
    <w:rsid w:val="001405E1"/>
    <w:rsid w:val="00140FA1"/>
    <w:rsid w:val="00141B72"/>
    <w:rsid w:val="0014573E"/>
    <w:rsid w:val="00145F22"/>
    <w:rsid w:val="00146621"/>
    <w:rsid w:val="0015240A"/>
    <w:rsid w:val="00153E32"/>
    <w:rsid w:val="00154FBC"/>
    <w:rsid w:val="00156AA7"/>
    <w:rsid w:val="00156E36"/>
    <w:rsid w:val="001601AD"/>
    <w:rsid w:val="00162061"/>
    <w:rsid w:val="00167EDF"/>
    <w:rsid w:val="0017099E"/>
    <w:rsid w:val="001719AE"/>
    <w:rsid w:val="001741B7"/>
    <w:rsid w:val="00180F24"/>
    <w:rsid w:val="00183792"/>
    <w:rsid w:val="00184F22"/>
    <w:rsid w:val="001863BA"/>
    <w:rsid w:val="00186866"/>
    <w:rsid w:val="00187346"/>
    <w:rsid w:val="00190103"/>
    <w:rsid w:val="00190153"/>
    <w:rsid w:val="00190BDF"/>
    <w:rsid w:val="00190BFE"/>
    <w:rsid w:val="00192271"/>
    <w:rsid w:val="0019323B"/>
    <w:rsid w:val="00193937"/>
    <w:rsid w:val="00195975"/>
    <w:rsid w:val="00197D07"/>
    <w:rsid w:val="001A1688"/>
    <w:rsid w:val="001A18A8"/>
    <w:rsid w:val="001A2F4A"/>
    <w:rsid w:val="001A6380"/>
    <w:rsid w:val="001A66DD"/>
    <w:rsid w:val="001B0408"/>
    <w:rsid w:val="001B050E"/>
    <w:rsid w:val="001B1204"/>
    <w:rsid w:val="001B1B45"/>
    <w:rsid w:val="001B4830"/>
    <w:rsid w:val="001B77E3"/>
    <w:rsid w:val="001B7B14"/>
    <w:rsid w:val="001C1476"/>
    <w:rsid w:val="001C4744"/>
    <w:rsid w:val="001C4E1C"/>
    <w:rsid w:val="001C5489"/>
    <w:rsid w:val="001C7213"/>
    <w:rsid w:val="001C7E72"/>
    <w:rsid w:val="001D0EB5"/>
    <w:rsid w:val="001D1CCF"/>
    <w:rsid w:val="001D43B9"/>
    <w:rsid w:val="001E33CD"/>
    <w:rsid w:val="001E4334"/>
    <w:rsid w:val="001E5681"/>
    <w:rsid w:val="001F0D20"/>
    <w:rsid w:val="001F1552"/>
    <w:rsid w:val="001F32C3"/>
    <w:rsid w:val="001F47F2"/>
    <w:rsid w:val="00201500"/>
    <w:rsid w:val="00204FC3"/>
    <w:rsid w:val="002061BB"/>
    <w:rsid w:val="0021079D"/>
    <w:rsid w:val="0021189A"/>
    <w:rsid w:val="002136A5"/>
    <w:rsid w:val="00215846"/>
    <w:rsid w:val="00217033"/>
    <w:rsid w:val="00220E52"/>
    <w:rsid w:val="00221990"/>
    <w:rsid w:val="002226D7"/>
    <w:rsid w:val="002231B2"/>
    <w:rsid w:val="002237D6"/>
    <w:rsid w:val="0022622D"/>
    <w:rsid w:val="002264CB"/>
    <w:rsid w:val="002269B7"/>
    <w:rsid w:val="002301F8"/>
    <w:rsid w:val="002307FC"/>
    <w:rsid w:val="00234294"/>
    <w:rsid w:val="0024526D"/>
    <w:rsid w:val="002462BC"/>
    <w:rsid w:val="00250A21"/>
    <w:rsid w:val="00250C41"/>
    <w:rsid w:val="002527A2"/>
    <w:rsid w:val="00254304"/>
    <w:rsid w:val="00257BB5"/>
    <w:rsid w:val="00261985"/>
    <w:rsid w:val="00261DC9"/>
    <w:rsid w:val="00262596"/>
    <w:rsid w:val="002634C1"/>
    <w:rsid w:val="00264F35"/>
    <w:rsid w:val="0026610C"/>
    <w:rsid w:val="00266300"/>
    <w:rsid w:val="002701C4"/>
    <w:rsid w:val="00271D26"/>
    <w:rsid w:val="0027329A"/>
    <w:rsid w:val="00273988"/>
    <w:rsid w:val="00273F11"/>
    <w:rsid w:val="002740AD"/>
    <w:rsid w:val="0027500C"/>
    <w:rsid w:val="002758F7"/>
    <w:rsid w:val="00275FC8"/>
    <w:rsid w:val="002770E8"/>
    <w:rsid w:val="00280424"/>
    <w:rsid w:val="00280A7B"/>
    <w:rsid w:val="00282C85"/>
    <w:rsid w:val="002850D3"/>
    <w:rsid w:val="002874B8"/>
    <w:rsid w:val="0029109D"/>
    <w:rsid w:val="002912E4"/>
    <w:rsid w:val="00291CA8"/>
    <w:rsid w:val="002950E2"/>
    <w:rsid w:val="00295295"/>
    <w:rsid w:val="00297A44"/>
    <w:rsid w:val="002A12C5"/>
    <w:rsid w:val="002A1937"/>
    <w:rsid w:val="002A51F5"/>
    <w:rsid w:val="002B08F7"/>
    <w:rsid w:val="002B4BDC"/>
    <w:rsid w:val="002B54AE"/>
    <w:rsid w:val="002B685E"/>
    <w:rsid w:val="002B6D47"/>
    <w:rsid w:val="002B6F05"/>
    <w:rsid w:val="002C1270"/>
    <w:rsid w:val="002C209D"/>
    <w:rsid w:val="002C2C44"/>
    <w:rsid w:val="002C4B05"/>
    <w:rsid w:val="002C4DBC"/>
    <w:rsid w:val="002C5D0F"/>
    <w:rsid w:val="002C6E54"/>
    <w:rsid w:val="002D1857"/>
    <w:rsid w:val="002D4682"/>
    <w:rsid w:val="002D5D74"/>
    <w:rsid w:val="002D6D04"/>
    <w:rsid w:val="002E150E"/>
    <w:rsid w:val="002E28FF"/>
    <w:rsid w:val="002E3CEB"/>
    <w:rsid w:val="002E444B"/>
    <w:rsid w:val="002E4968"/>
    <w:rsid w:val="002E4F5F"/>
    <w:rsid w:val="002E52F6"/>
    <w:rsid w:val="002E7989"/>
    <w:rsid w:val="002E7B47"/>
    <w:rsid w:val="002E7BD4"/>
    <w:rsid w:val="002E7EE0"/>
    <w:rsid w:val="002F106E"/>
    <w:rsid w:val="002F29EE"/>
    <w:rsid w:val="002F38A6"/>
    <w:rsid w:val="002F6096"/>
    <w:rsid w:val="002F648B"/>
    <w:rsid w:val="00301F5D"/>
    <w:rsid w:val="00303780"/>
    <w:rsid w:val="00303FB4"/>
    <w:rsid w:val="00305DBB"/>
    <w:rsid w:val="0030749A"/>
    <w:rsid w:val="00315071"/>
    <w:rsid w:val="00316DFE"/>
    <w:rsid w:val="003171C0"/>
    <w:rsid w:val="00322871"/>
    <w:rsid w:val="0032319F"/>
    <w:rsid w:val="00324E4F"/>
    <w:rsid w:val="003261DB"/>
    <w:rsid w:val="003266C7"/>
    <w:rsid w:val="003268E8"/>
    <w:rsid w:val="0033000F"/>
    <w:rsid w:val="0033090C"/>
    <w:rsid w:val="003314D5"/>
    <w:rsid w:val="0033227C"/>
    <w:rsid w:val="00332A49"/>
    <w:rsid w:val="00333AE6"/>
    <w:rsid w:val="00334F39"/>
    <w:rsid w:val="003352F7"/>
    <w:rsid w:val="00335E76"/>
    <w:rsid w:val="00340809"/>
    <w:rsid w:val="003430BD"/>
    <w:rsid w:val="00345F87"/>
    <w:rsid w:val="00350504"/>
    <w:rsid w:val="00352486"/>
    <w:rsid w:val="00352A50"/>
    <w:rsid w:val="00356C0F"/>
    <w:rsid w:val="00357B77"/>
    <w:rsid w:val="00357F20"/>
    <w:rsid w:val="00357F81"/>
    <w:rsid w:val="0036060A"/>
    <w:rsid w:val="0036286D"/>
    <w:rsid w:val="00362B58"/>
    <w:rsid w:val="0036688A"/>
    <w:rsid w:val="00371222"/>
    <w:rsid w:val="00371EB7"/>
    <w:rsid w:val="003748FC"/>
    <w:rsid w:val="00376B22"/>
    <w:rsid w:val="003805AC"/>
    <w:rsid w:val="00381F96"/>
    <w:rsid w:val="003838FA"/>
    <w:rsid w:val="00384935"/>
    <w:rsid w:val="003913D7"/>
    <w:rsid w:val="003928BA"/>
    <w:rsid w:val="00393A72"/>
    <w:rsid w:val="00393CEB"/>
    <w:rsid w:val="00395A40"/>
    <w:rsid w:val="003961AF"/>
    <w:rsid w:val="00397155"/>
    <w:rsid w:val="00397674"/>
    <w:rsid w:val="003A118F"/>
    <w:rsid w:val="003A13D7"/>
    <w:rsid w:val="003A1E5B"/>
    <w:rsid w:val="003A5095"/>
    <w:rsid w:val="003B061F"/>
    <w:rsid w:val="003B3B43"/>
    <w:rsid w:val="003B4684"/>
    <w:rsid w:val="003B4A82"/>
    <w:rsid w:val="003B51A5"/>
    <w:rsid w:val="003B5644"/>
    <w:rsid w:val="003B65D2"/>
    <w:rsid w:val="003B6F52"/>
    <w:rsid w:val="003B71B3"/>
    <w:rsid w:val="003C06BF"/>
    <w:rsid w:val="003C483D"/>
    <w:rsid w:val="003C6C8E"/>
    <w:rsid w:val="003C6FBA"/>
    <w:rsid w:val="003C748F"/>
    <w:rsid w:val="003C7992"/>
    <w:rsid w:val="003D099C"/>
    <w:rsid w:val="003D177C"/>
    <w:rsid w:val="003D2ED7"/>
    <w:rsid w:val="003D70FA"/>
    <w:rsid w:val="003E1667"/>
    <w:rsid w:val="003E6818"/>
    <w:rsid w:val="003E73A5"/>
    <w:rsid w:val="003F05EC"/>
    <w:rsid w:val="003F0DA3"/>
    <w:rsid w:val="003F1827"/>
    <w:rsid w:val="003F1A67"/>
    <w:rsid w:val="003F2F0B"/>
    <w:rsid w:val="003F3900"/>
    <w:rsid w:val="003F3EFE"/>
    <w:rsid w:val="003F3F41"/>
    <w:rsid w:val="003F48FF"/>
    <w:rsid w:val="003F5AF8"/>
    <w:rsid w:val="003F6205"/>
    <w:rsid w:val="00401BF2"/>
    <w:rsid w:val="00402D6E"/>
    <w:rsid w:val="004034AE"/>
    <w:rsid w:val="00403C15"/>
    <w:rsid w:val="00405F32"/>
    <w:rsid w:val="004111A7"/>
    <w:rsid w:val="00412073"/>
    <w:rsid w:val="00412586"/>
    <w:rsid w:val="00414CFF"/>
    <w:rsid w:val="00415A06"/>
    <w:rsid w:val="00415C3A"/>
    <w:rsid w:val="00416635"/>
    <w:rsid w:val="004208C1"/>
    <w:rsid w:val="004209CC"/>
    <w:rsid w:val="00425EB2"/>
    <w:rsid w:val="004304E8"/>
    <w:rsid w:val="00430661"/>
    <w:rsid w:val="004306FC"/>
    <w:rsid w:val="00433D0D"/>
    <w:rsid w:val="00436210"/>
    <w:rsid w:val="004371ED"/>
    <w:rsid w:val="00440BCE"/>
    <w:rsid w:val="0044378D"/>
    <w:rsid w:val="00443825"/>
    <w:rsid w:val="004451DC"/>
    <w:rsid w:val="0045009F"/>
    <w:rsid w:val="004504D7"/>
    <w:rsid w:val="00451961"/>
    <w:rsid w:val="00453124"/>
    <w:rsid w:val="0045421D"/>
    <w:rsid w:val="004555A9"/>
    <w:rsid w:val="00456C0F"/>
    <w:rsid w:val="0045754D"/>
    <w:rsid w:val="00460528"/>
    <w:rsid w:val="004620FA"/>
    <w:rsid w:val="00462133"/>
    <w:rsid w:val="00462C5E"/>
    <w:rsid w:val="00462D5E"/>
    <w:rsid w:val="0046519A"/>
    <w:rsid w:val="00467BB3"/>
    <w:rsid w:val="004727A6"/>
    <w:rsid w:val="00472A59"/>
    <w:rsid w:val="00472FDE"/>
    <w:rsid w:val="00474CA0"/>
    <w:rsid w:val="00476A69"/>
    <w:rsid w:val="00481F14"/>
    <w:rsid w:val="0048509B"/>
    <w:rsid w:val="00486BBC"/>
    <w:rsid w:val="0048703D"/>
    <w:rsid w:val="004873D8"/>
    <w:rsid w:val="00493808"/>
    <w:rsid w:val="00494B8B"/>
    <w:rsid w:val="0049672C"/>
    <w:rsid w:val="004A06C6"/>
    <w:rsid w:val="004A384B"/>
    <w:rsid w:val="004A3931"/>
    <w:rsid w:val="004A3C18"/>
    <w:rsid w:val="004A3D7A"/>
    <w:rsid w:val="004A4EDF"/>
    <w:rsid w:val="004B1767"/>
    <w:rsid w:val="004B3AB7"/>
    <w:rsid w:val="004B62A7"/>
    <w:rsid w:val="004B6DF5"/>
    <w:rsid w:val="004C07C4"/>
    <w:rsid w:val="004C1162"/>
    <w:rsid w:val="004C2B42"/>
    <w:rsid w:val="004C40F2"/>
    <w:rsid w:val="004C4455"/>
    <w:rsid w:val="004C58FF"/>
    <w:rsid w:val="004C7031"/>
    <w:rsid w:val="004D0760"/>
    <w:rsid w:val="004D2FFD"/>
    <w:rsid w:val="004D5A87"/>
    <w:rsid w:val="004E1A02"/>
    <w:rsid w:val="004E1C4F"/>
    <w:rsid w:val="004E21D4"/>
    <w:rsid w:val="004E4012"/>
    <w:rsid w:val="004E5887"/>
    <w:rsid w:val="004E5D27"/>
    <w:rsid w:val="004E6C67"/>
    <w:rsid w:val="004E6CEE"/>
    <w:rsid w:val="004F0B89"/>
    <w:rsid w:val="004F14E6"/>
    <w:rsid w:val="004F3F0C"/>
    <w:rsid w:val="004F5460"/>
    <w:rsid w:val="004F5461"/>
    <w:rsid w:val="004F7712"/>
    <w:rsid w:val="00501185"/>
    <w:rsid w:val="005020E1"/>
    <w:rsid w:val="00502C0D"/>
    <w:rsid w:val="00502FAF"/>
    <w:rsid w:val="0050307C"/>
    <w:rsid w:val="005031ED"/>
    <w:rsid w:val="005055ED"/>
    <w:rsid w:val="00511637"/>
    <w:rsid w:val="0051166E"/>
    <w:rsid w:val="00512173"/>
    <w:rsid w:val="005137C8"/>
    <w:rsid w:val="00514D5F"/>
    <w:rsid w:val="0051542E"/>
    <w:rsid w:val="005234CC"/>
    <w:rsid w:val="00523701"/>
    <w:rsid w:val="005252AB"/>
    <w:rsid w:val="0052581D"/>
    <w:rsid w:val="00525CDD"/>
    <w:rsid w:val="00525E80"/>
    <w:rsid w:val="00527A46"/>
    <w:rsid w:val="00532E33"/>
    <w:rsid w:val="005339A6"/>
    <w:rsid w:val="00534F4B"/>
    <w:rsid w:val="0053639B"/>
    <w:rsid w:val="0053769B"/>
    <w:rsid w:val="0054025E"/>
    <w:rsid w:val="00540D79"/>
    <w:rsid w:val="00540DC2"/>
    <w:rsid w:val="0054474F"/>
    <w:rsid w:val="005461D5"/>
    <w:rsid w:val="0054718F"/>
    <w:rsid w:val="005519FF"/>
    <w:rsid w:val="0055444A"/>
    <w:rsid w:val="0055473B"/>
    <w:rsid w:val="00556CC1"/>
    <w:rsid w:val="00557BBE"/>
    <w:rsid w:val="00557F46"/>
    <w:rsid w:val="00561AE6"/>
    <w:rsid w:val="005634FE"/>
    <w:rsid w:val="005641C3"/>
    <w:rsid w:val="00567757"/>
    <w:rsid w:val="00570E5E"/>
    <w:rsid w:val="00576FB9"/>
    <w:rsid w:val="00577F70"/>
    <w:rsid w:val="0058650F"/>
    <w:rsid w:val="0058756D"/>
    <w:rsid w:val="005910F5"/>
    <w:rsid w:val="005A1238"/>
    <w:rsid w:val="005A13A1"/>
    <w:rsid w:val="005A393C"/>
    <w:rsid w:val="005A3EAA"/>
    <w:rsid w:val="005A4C99"/>
    <w:rsid w:val="005B0ABD"/>
    <w:rsid w:val="005B7323"/>
    <w:rsid w:val="005B7BB7"/>
    <w:rsid w:val="005C0AF7"/>
    <w:rsid w:val="005C2548"/>
    <w:rsid w:val="005D11C0"/>
    <w:rsid w:val="005D1370"/>
    <w:rsid w:val="005D203F"/>
    <w:rsid w:val="005D2527"/>
    <w:rsid w:val="005D2810"/>
    <w:rsid w:val="005D4FD5"/>
    <w:rsid w:val="005D6313"/>
    <w:rsid w:val="005E230C"/>
    <w:rsid w:val="005E3785"/>
    <w:rsid w:val="005E3BA6"/>
    <w:rsid w:val="005F0F66"/>
    <w:rsid w:val="005F16F8"/>
    <w:rsid w:val="005F1735"/>
    <w:rsid w:val="005F19FA"/>
    <w:rsid w:val="005F23BA"/>
    <w:rsid w:val="005F741C"/>
    <w:rsid w:val="00600590"/>
    <w:rsid w:val="00600B97"/>
    <w:rsid w:val="00600D71"/>
    <w:rsid w:val="00601BE1"/>
    <w:rsid w:val="006048F1"/>
    <w:rsid w:val="0060641B"/>
    <w:rsid w:val="00607705"/>
    <w:rsid w:val="0061184E"/>
    <w:rsid w:val="00612288"/>
    <w:rsid w:val="00615308"/>
    <w:rsid w:val="0062110E"/>
    <w:rsid w:val="00624526"/>
    <w:rsid w:val="00626BA9"/>
    <w:rsid w:val="006305AF"/>
    <w:rsid w:val="0063233D"/>
    <w:rsid w:val="00634464"/>
    <w:rsid w:val="00635836"/>
    <w:rsid w:val="0063736B"/>
    <w:rsid w:val="006410AF"/>
    <w:rsid w:val="00644319"/>
    <w:rsid w:val="0064434F"/>
    <w:rsid w:val="0064561E"/>
    <w:rsid w:val="0064571C"/>
    <w:rsid w:val="006465F6"/>
    <w:rsid w:val="00646F34"/>
    <w:rsid w:val="006471E4"/>
    <w:rsid w:val="00647956"/>
    <w:rsid w:val="006515F4"/>
    <w:rsid w:val="00653782"/>
    <w:rsid w:val="00654CFF"/>
    <w:rsid w:val="00655E07"/>
    <w:rsid w:val="006610D1"/>
    <w:rsid w:val="00661CDB"/>
    <w:rsid w:val="00661D5E"/>
    <w:rsid w:val="00662B20"/>
    <w:rsid w:val="00662BAD"/>
    <w:rsid w:val="006663B7"/>
    <w:rsid w:val="00675FC2"/>
    <w:rsid w:val="00676406"/>
    <w:rsid w:val="006773BD"/>
    <w:rsid w:val="006843D6"/>
    <w:rsid w:val="00685831"/>
    <w:rsid w:val="006923AE"/>
    <w:rsid w:val="00694A82"/>
    <w:rsid w:val="006963B9"/>
    <w:rsid w:val="006A1924"/>
    <w:rsid w:val="006A1CDB"/>
    <w:rsid w:val="006A442C"/>
    <w:rsid w:val="006A5595"/>
    <w:rsid w:val="006A75B3"/>
    <w:rsid w:val="006A7EE6"/>
    <w:rsid w:val="006B33F7"/>
    <w:rsid w:val="006B46A4"/>
    <w:rsid w:val="006B5191"/>
    <w:rsid w:val="006B7C26"/>
    <w:rsid w:val="006C0142"/>
    <w:rsid w:val="006C12AE"/>
    <w:rsid w:val="006C2E93"/>
    <w:rsid w:val="006C4678"/>
    <w:rsid w:val="006C4D19"/>
    <w:rsid w:val="006C5713"/>
    <w:rsid w:val="006C6C5D"/>
    <w:rsid w:val="006D2388"/>
    <w:rsid w:val="006D2B46"/>
    <w:rsid w:val="006D331A"/>
    <w:rsid w:val="006D3320"/>
    <w:rsid w:val="006D3A55"/>
    <w:rsid w:val="006D513C"/>
    <w:rsid w:val="006E0598"/>
    <w:rsid w:val="006E0962"/>
    <w:rsid w:val="006E139F"/>
    <w:rsid w:val="006E37B6"/>
    <w:rsid w:val="006E50E1"/>
    <w:rsid w:val="006F6BA1"/>
    <w:rsid w:val="006F70A9"/>
    <w:rsid w:val="007037C2"/>
    <w:rsid w:val="0070551F"/>
    <w:rsid w:val="00706CC8"/>
    <w:rsid w:val="0071148E"/>
    <w:rsid w:val="00712526"/>
    <w:rsid w:val="00712DCD"/>
    <w:rsid w:val="00713864"/>
    <w:rsid w:val="00713A38"/>
    <w:rsid w:val="00714235"/>
    <w:rsid w:val="00716B57"/>
    <w:rsid w:val="00720E99"/>
    <w:rsid w:val="007231A3"/>
    <w:rsid w:val="00723AEC"/>
    <w:rsid w:val="0072589A"/>
    <w:rsid w:val="00725FDE"/>
    <w:rsid w:val="00731444"/>
    <w:rsid w:val="007333D8"/>
    <w:rsid w:val="007379A2"/>
    <w:rsid w:val="00742A38"/>
    <w:rsid w:val="00746432"/>
    <w:rsid w:val="00746A92"/>
    <w:rsid w:val="00751E6A"/>
    <w:rsid w:val="0075335E"/>
    <w:rsid w:val="00754AB1"/>
    <w:rsid w:val="0075618B"/>
    <w:rsid w:val="0076275D"/>
    <w:rsid w:val="00763027"/>
    <w:rsid w:val="007640F8"/>
    <w:rsid w:val="00764C79"/>
    <w:rsid w:val="00765358"/>
    <w:rsid w:val="00772024"/>
    <w:rsid w:val="0077558C"/>
    <w:rsid w:val="00775F22"/>
    <w:rsid w:val="0077755C"/>
    <w:rsid w:val="00780A35"/>
    <w:rsid w:val="00782D42"/>
    <w:rsid w:val="00784227"/>
    <w:rsid w:val="00785CA5"/>
    <w:rsid w:val="00794358"/>
    <w:rsid w:val="00795FFA"/>
    <w:rsid w:val="00796173"/>
    <w:rsid w:val="0079639D"/>
    <w:rsid w:val="00797167"/>
    <w:rsid w:val="007A4138"/>
    <w:rsid w:val="007B469B"/>
    <w:rsid w:val="007B68F3"/>
    <w:rsid w:val="007C22CF"/>
    <w:rsid w:val="007D22DD"/>
    <w:rsid w:val="007D3754"/>
    <w:rsid w:val="007E06A3"/>
    <w:rsid w:val="007E38A8"/>
    <w:rsid w:val="007E40FF"/>
    <w:rsid w:val="007E4A04"/>
    <w:rsid w:val="007E5E90"/>
    <w:rsid w:val="007F289E"/>
    <w:rsid w:val="007F46EC"/>
    <w:rsid w:val="007F5524"/>
    <w:rsid w:val="007F598E"/>
    <w:rsid w:val="00800F5B"/>
    <w:rsid w:val="008011EB"/>
    <w:rsid w:val="00801E0F"/>
    <w:rsid w:val="00805421"/>
    <w:rsid w:val="00805DCF"/>
    <w:rsid w:val="0081226E"/>
    <w:rsid w:val="00820846"/>
    <w:rsid w:val="0082307B"/>
    <w:rsid w:val="00826C35"/>
    <w:rsid w:val="0082714F"/>
    <w:rsid w:val="00831334"/>
    <w:rsid w:val="00832F27"/>
    <w:rsid w:val="008354C3"/>
    <w:rsid w:val="008403D5"/>
    <w:rsid w:val="00842852"/>
    <w:rsid w:val="00844734"/>
    <w:rsid w:val="00847C25"/>
    <w:rsid w:val="008523FF"/>
    <w:rsid w:val="008527FF"/>
    <w:rsid w:val="00853C12"/>
    <w:rsid w:val="00854308"/>
    <w:rsid w:val="008554F4"/>
    <w:rsid w:val="00855D28"/>
    <w:rsid w:val="00857880"/>
    <w:rsid w:val="00861E58"/>
    <w:rsid w:val="008627A8"/>
    <w:rsid w:val="008665D5"/>
    <w:rsid w:val="00866F1C"/>
    <w:rsid w:val="00867893"/>
    <w:rsid w:val="008722D6"/>
    <w:rsid w:val="008736A7"/>
    <w:rsid w:val="00873C5A"/>
    <w:rsid w:val="00873D59"/>
    <w:rsid w:val="00873E9B"/>
    <w:rsid w:val="008769DB"/>
    <w:rsid w:val="00877F25"/>
    <w:rsid w:val="00881889"/>
    <w:rsid w:val="00882073"/>
    <w:rsid w:val="00883FE3"/>
    <w:rsid w:val="00886588"/>
    <w:rsid w:val="00886773"/>
    <w:rsid w:val="00887A3F"/>
    <w:rsid w:val="008907D9"/>
    <w:rsid w:val="008930D9"/>
    <w:rsid w:val="00894258"/>
    <w:rsid w:val="00896230"/>
    <w:rsid w:val="00897D5C"/>
    <w:rsid w:val="008A19F9"/>
    <w:rsid w:val="008A20BD"/>
    <w:rsid w:val="008A213D"/>
    <w:rsid w:val="008A514F"/>
    <w:rsid w:val="008A64DC"/>
    <w:rsid w:val="008B13A6"/>
    <w:rsid w:val="008B1E9A"/>
    <w:rsid w:val="008B2C71"/>
    <w:rsid w:val="008B3109"/>
    <w:rsid w:val="008B4643"/>
    <w:rsid w:val="008B58D4"/>
    <w:rsid w:val="008B78CE"/>
    <w:rsid w:val="008C0143"/>
    <w:rsid w:val="008C5649"/>
    <w:rsid w:val="008C66FE"/>
    <w:rsid w:val="008C7230"/>
    <w:rsid w:val="008D2238"/>
    <w:rsid w:val="008D6A22"/>
    <w:rsid w:val="008E4C96"/>
    <w:rsid w:val="008E61D9"/>
    <w:rsid w:val="008F1D71"/>
    <w:rsid w:val="008F352D"/>
    <w:rsid w:val="008F3AC3"/>
    <w:rsid w:val="008F4765"/>
    <w:rsid w:val="008F4A06"/>
    <w:rsid w:val="008F5A32"/>
    <w:rsid w:val="008F6CCB"/>
    <w:rsid w:val="008F7595"/>
    <w:rsid w:val="00900F28"/>
    <w:rsid w:val="00901467"/>
    <w:rsid w:val="00902E5B"/>
    <w:rsid w:val="00906341"/>
    <w:rsid w:val="00906E56"/>
    <w:rsid w:val="00910729"/>
    <w:rsid w:val="009109B5"/>
    <w:rsid w:val="00914686"/>
    <w:rsid w:val="009148BF"/>
    <w:rsid w:val="00917F50"/>
    <w:rsid w:val="009205AB"/>
    <w:rsid w:val="00920646"/>
    <w:rsid w:val="00920716"/>
    <w:rsid w:val="009212E4"/>
    <w:rsid w:val="00922CE6"/>
    <w:rsid w:val="00923700"/>
    <w:rsid w:val="009338B6"/>
    <w:rsid w:val="00935FD5"/>
    <w:rsid w:val="00937ABC"/>
    <w:rsid w:val="00937B1C"/>
    <w:rsid w:val="00937E15"/>
    <w:rsid w:val="00940ACC"/>
    <w:rsid w:val="00945E92"/>
    <w:rsid w:val="00952406"/>
    <w:rsid w:val="009545A8"/>
    <w:rsid w:val="00960552"/>
    <w:rsid w:val="0096405C"/>
    <w:rsid w:val="00964611"/>
    <w:rsid w:val="009705F1"/>
    <w:rsid w:val="009715F5"/>
    <w:rsid w:val="00980433"/>
    <w:rsid w:val="00982386"/>
    <w:rsid w:val="00982D17"/>
    <w:rsid w:val="0098572E"/>
    <w:rsid w:val="0098594B"/>
    <w:rsid w:val="00986771"/>
    <w:rsid w:val="0099189F"/>
    <w:rsid w:val="00993A0D"/>
    <w:rsid w:val="0099500B"/>
    <w:rsid w:val="00995342"/>
    <w:rsid w:val="00997292"/>
    <w:rsid w:val="009A1511"/>
    <w:rsid w:val="009A76A8"/>
    <w:rsid w:val="009A7E92"/>
    <w:rsid w:val="009B362E"/>
    <w:rsid w:val="009B4436"/>
    <w:rsid w:val="009C168D"/>
    <w:rsid w:val="009C1C8A"/>
    <w:rsid w:val="009C3970"/>
    <w:rsid w:val="009C3DA0"/>
    <w:rsid w:val="009C7CE9"/>
    <w:rsid w:val="009D08E6"/>
    <w:rsid w:val="009D640D"/>
    <w:rsid w:val="009D7027"/>
    <w:rsid w:val="009D723F"/>
    <w:rsid w:val="009D7A33"/>
    <w:rsid w:val="009E3EFB"/>
    <w:rsid w:val="009F0340"/>
    <w:rsid w:val="009F464B"/>
    <w:rsid w:val="009F582C"/>
    <w:rsid w:val="009F5974"/>
    <w:rsid w:val="009F59D1"/>
    <w:rsid w:val="009F659C"/>
    <w:rsid w:val="009F679D"/>
    <w:rsid w:val="00A012D0"/>
    <w:rsid w:val="00A11176"/>
    <w:rsid w:val="00A129BB"/>
    <w:rsid w:val="00A146BD"/>
    <w:rsid w:val="00A23C83"/>
    <w:rsid w:val="00A2711A"/>
    <w:rsid w:val="00A30878"/>
    <w:rsid w:val="00A314D5"/>
    <w:rsid w:val="00A345CA"/>
    <w:rsid w:val="00A34D01"/>
    <w:rsid w:val="00A36509"/>
    <w:rsid w:val="00A36F68"/>
    <w:rsid w:val="00A412DD"/>
    <w:rsid w:val="00A41BB1"/>
    <w:rsid w:val="00A41DE4"/>
    <w:rsid w:val="00A426B6"/>
    <w:rsid w:val="00A42ADD"/>
    <w:rsid w:val="00A43B4F"/>
    <w:rsid w:val="00A44F7E"/>
    <w:rsid w:val="00A45C60"/>
    <w:rsid w:val="00A46F8C"/>
    <w:rsid w:val="00A51CCD"/>
    <w:rsid w:val="00A53EE0"/>
    <w:rsid w:val="00A5476C"/>
    <w:rsid w:val="00A548CF"/>
    <w:rsid w:val="00A54E6C"/>
    <w:rsid w:val="00A55386"/>
    <w:rsid w:val="00A56227"/>
    <w:rsid w:val="00A56619"/>
    <w:rsid w:val="00A62AE5"/>
    <w:rsid w:val="00A645D6"/>
    <w:rsid w:val="00A65423"/>
    <w:rsid w:val="00A6647B"/>
    <w:rsid w:val="00A66E7F"/>
    <w:rsid w:val="00A7006B"/>
    <w:rsid w:val="00A71485"/>
    <w:rsid w:val="00A7202C"/>
    <w:rsid w:val="00A72E21"/>
    <w:rsid w:val="00A73934"/>
    <w:rsid w:val="00A73BFA"/>
    <w:rsid w:val="00A74036"/>
    <w:rsid w:val="00A76CB6"/>
    <w:rsid w:val="00A77458"/>
    <w:rsid w:val="00A77822"/>
    <w:rsid w:val="00A779A0"/>
    <w:rsid w:val="00A80F92"/>
    <w:rsid w:val="00A81616"/>
    <w:rsid w:val="00A829D1"/>
    <w:rsid w:val="00A84E65"/>
    <w:rsid w:val="00A86CA5"/>
    <w:rsid w:val="00A90601"/>
    <w:rsid w:val="00A90E26"/>
    <w:rsid w:val="00A90E93"/>
    <w:rsid w:val="00A9170C"/>
    <w:rsid w:val="00A9509B"/>
    <w:rsid w:val="00AA5273"/>
    <w:rsid w:val="00AA67A4"/>
    <w:rsid w:val="00AB19F4"/>
    <w:rsid w:val="00AB35CB"/>
    <w:rsid w:val="00AB3727"/>
    <w:rsid w:val="00AB6D85"/>
    <w:rsid w:val="00AC04CB"/>
    <w:rsid w:val="00AC0C90"/>
    <w:rsid w:val="00AC35B9"/>
    <w:rsid w:val="00AC567B"/>
    <w:rsid w:val="00AC5ED2"/>
    <w:rsid w:val="00AD3D49"/>
    <w:rsid w:val="00AD4733"/>
    <w:rsid w:val="00AE02EB"/>
    <w:rsid w:val="00AE0EC0"/>
    <w:rsid w:val="00AE45EF"/>
    <w:rsid w:val="00AE483A"/>
    <w:rsid w:val="00AE5DE4"/>
    <w:rsid w:val="00AE60D2"/>
    <w:rsid w:val="00AE7420"/>
    <w:rsid w:val="00AE7D90"/>
    <w:rsid w:val="00AF01CD"/>
    <w:rsid w:val="00AF0685"/>
    <w:rsid w:val="00AF506A"/>
    <w:rsid w:val="00AF5DBC"/>
    <w:rsid w:val="00AF621B"/>
    <w:rsid w:val="00AF64FD"/>
    <w:rsid w:val="00B05C87"/>
    <w:rsid w:val="00B06ACD"/>
    <w:rsid w:val="00B07F84"/>
    <w:rsid w:val="00B10300"/>
    <w:rsid w:val="00B10F93"/>
    <w:rsid w:val="00B11312"/>
    <w:rsid w:val="00B12016"/>
    <w:rsid w:val="00B1634F"/>
    <w:rsid w:val="00B22832"/>
    <w:rsid w:val="00B267AC"/>
    <w:rsid w:val="00B279FC"/>
    <w:rsid w:val="00B37A43"/>
    <w:rsid w:val="00B45011"/>
    <w:rsid w:val="00B477F1"/>
    <w:rsid w:val="00B51647"/>
    <w:rsid w:val="00B51CAC"/>
    <w:rsid w:val="00B53767"/>
    <w:rsid w:val="00B53FE4"/>
    <w:rsid w:val="00B57190"/>
    <w:rsid w:val="00B6178B"/>
    <w:rsid w:val="00B641A5"/>
    <w:rsid w:val="00B642C0"/>
    <w:rsid w:val="00B645CF"/>
    <w:rsid w:val="00B66D0F"/>
    <w:rsid w:val="00B66E3A"/>
    <w:rsid w:val="00B67053"/>
    <w:rsid w:val="00B70C94"/>
    <w:rsid w:val="00B70FCA"/>
    <w:rsid w:val="00B715BD"/>
    <w:rsid w:val="00B738F0"/>
    <w:rsid w:val="00B74DBB"/>
    <w:rsid w:val="00B756E9"/>
    <w:rsid w:val="00B762B9"/>
    <w:rsid w:val="00B81313"/>
    <w:rsid w:val="00B83357"/>
    <w:rsid w:val="00B844F2"/>
    <w:rsid w:val="00B84AB1"/>
    <w:rsid w:val="00B84B4D"/>
    <w:rsid w:val="00B85C77"/>
    <w:rsid w:val="00B906DE"/>
    <w:rsid w:val="00B91F72"/>
    <w:rsid w:val="00B93967"/>
    <w:rsid w:val="00B95610"/>
    <w:rsid w:val="00B974EB"/>
    <w:rsid w:val="00B97A08"/>
    <w:rsid w:val="00BA053C"/>
    <w:rsid w:val="00BA10DA"/>
    <w:rsid w:val="00BA1DE2"/>
    <w:rsid w:val="00BA34C9"/>
    <w:rsid w:val="00BA3EB3"/>
    <w:rsid w:val="00BA4B1C"/>
    <w:rsid w:val="00BA51B0"/>
    <w:rsid w:val="00BA79A9"/>
    <w:rsid w:val="00BB2526"/>
    <w:rsid w:val="00BB5421"/>
    <w:rsid w:val="00BB627A"/>
    <w:rsid w:val="00BB6E79"/>
    <w:rsid w:val="00BB7542"/>
    <w:rsid w:val="00BC0D13"/>
    <w:rsid w:val="00BC5E1F"/>
    <w:rsid w:val="00BC69EB"/>
    <w:rsid w:val="00BD13E4"/>
    <w:rsid w:val="00BD6FCF"/>
    <w:rsid w:val="00BD7F4F"/>
    <w:rsid w:val="00BE0519"/>
    <w:rsid w:val="00BE25DB"/>
    <w:rsid w:val="00BE35F0"/>
    <w:rsid w:val="00BE3B90"/>
    <w:rsid w:val="00BE4193"/>
    <w:rsid w:val="00BE6C5B"/>
    <w:rsid w:val="00BE7401"/>
    <w:rsid w:val="00BE7D96"/>
    <w:rsid w:val="00BF0B1C"/>
    <w:rsid w:val="00BF0E3C"/>
    <w:rsid w:val="00BF30C5"/>
    <w:rsid w:val="00BF45B2"/>
    <w:rsid w:val="00BF5666"/>
    <w:rsid w:val="00C00777"/>
    <w:rsid w:val="00C107F9"/>
    <w:rsid w:val="00C12621"/>
    <w:rsid w:val="00C12CDA"/>
    <w:rsid w:val="00C130A3"/>
    <w:rsid w:val="00C159B6"/>
    <w:rsid w:val="00C173C5"/>
    <w:rsid w:val="00C20167"/>
    <w:rsid w:val="00C23F1C"/>
    <w:rsid w:val="00C32645"/>
    <w:rsid w:val="00C32FDF"/>
    <w:rsid w:val="00C34A6E"/>
    <w:rsid w:val="00C4050F"/>
    <w:rsid w:val="00C413A4"/>
    <w:rsid w:val="00C419CE"/>
    <w:rsid w:val="00C43DD1"/>
    <w:rsid w:val="00C449A2"/>
    <w:rsid w:val="00C46EDF"/>
    <w:rsid w:val="00C532A2"/>
    <w:rsid w:val="00C53DFB"/>
    <w:rsid w:val="00C56DA2"/>
    <w:rsid w:val="00C57E73"/>
    <w:rsid w:val="00C60E15"/>
    <w:rsid w:val="00C64D5D"/>
    <w:rsid w:val="00C65217"/>
    <w:rsid w:val="00C670BA"/>
    <w:rsid w:val="00C70FEC"/>
    <w:rsid w:val="00C73934"/>
    <w:rsid w:val="00C753A6"/>
    <w:rsid w:val="00C75E37"/>
    <w:rsid w:val="00C76D8E"/>
    <w:rsid w:val="00C77668"/>
    <w:rsid w:val="00C8088A"/>
    <w:rsid w:val="00C836F5"/>
    <w:rsid w:val="00C8570B"/>
    <w:rsid w:val="00C87812"/>
    <w:rsid w:val="00C91D8E"/>
    <w:rsid w:val="00C92691"/>
    <w:rsid w:val="00C92F67"/>
    <w:rsid w:val="00C93AA4"/>
    <w:rsid w:val="00C94622"/>
    <w:rsid w:val="00CA21AB"/>
    <w:rsid w:val="00CA514F"/>
    <w:rsid w:val="00CA5A3B"/>
    <w:rsid w:val="00CA6634"/>
    <w:rsid w:val="00CA73AD"/>
    <w:rsid w:val="00CB0AF2"/>
    <w:rsid w:val="00CB131C"/>
    <w:rsid w:val="00CB636E"/>
    <w:rsid w:val="00CC03B3"/>
    <w:rsid w:val="00CC056A"/>
    <w:rsid w:val="00CC091C"/>
    <w:rsid w:val="00CC10F0"/>
    <w:rsid w:val="00CC3DA6"/>
    <w:rsid w:val="00CC5CCC"/>
    <w:rsid w:val="00CD1096"/>
    <w:rsid w:val="00CD240D"/>
    <w:rsid w:val="00CD25B1"/>
    <w:rsid w:val="00CD3DFA"/>
    <w:rsid w:val="00CD41CF"/>
    <w:rsid w:val="00CD5473"/>
    <w:rsid w:val="00CD5B20"/>
    <w:rsid w:val="00CD5BD9"/>
    <w:rsid w:val="00CD73AF"/>
    <w:rsid w:val="00CD7414"/>
    <w:rsid w:val="00CD7FF1"/>
    <w:rsid w:val="00CE2222"/>
    <w:rsid w:val="00CE3017"/>
    <w:rsid w:val="00CE36CC"/>
    <w:rsid w:val="00CE5D4E"/>
    <w:rsid w:val="00CE6F65"/>
    <w:rsid w:val="00CF0534"/>
    <w:rsid w:val="00CF626A"/>
    <w:rsid w:val="00D023D2"/>
    <w:rsid w:val="00D04D76"/>
    <w:rsid w:val="00D07C09"/>
    <w:rsid w:val="00D100F0"/>
    <w:rsid w:val="00D119B7"/>
    <w:rsid w:val="00D132BC"/>
    <w:rsid w:val="00D13EA6"/>
    <w:rsid w:val="00D141BE"/>
    <w:rsid w:val="00D15597"/>
    <w:rsid w:val="00D176C5"/>
    <w:rsid w:val="00D202EF"/>
    <w:rsid w:val="00D213C3"/>
    <w:rsid w:val="00D2198A"/>
    <w:rsid w:val="00D21EFE"/>
    <w:rsid w:val="00D223E7"/>
    <w:rsid w:val="00D22CEC"/>
    <w:rsid w:val="00D22FFF"/>
    <w:rsid w:val="00D26079"/>
    <w:rsid w:val="00D26316"/>
    <w:rsid w:val="00D3168B"/>
    <w:rsid w:val="00D32394"/>
    <w:rsid w:val="00D33A18"/>
    <w:rsid w:val="00D40140"/>
    <w:rsid w:val="00D42102"/>
    <w:rsid w:val="00D452D6"/>
    <w:rsid w:val="00D4729A"/>
    <w:rsid w:val="00D47528"/>
    <w:rsid w:val="00D51260"/>
    <w:rsid w:val="00D5149C"/>
    <w:rsid w:val="00D51B1A"/>
    <w:rsid w:val="00D53A7B"/>
    <w:rsid w:val="00D54066"/>
    <w:rsid w:val="00D553D6"/>
    <w:rsid w:val="00D62A56"/>
    <w:rsid w:val="00D6444F"/>
    <w:rsid w:val="00D650C9"/>
    <w:rsid w:val="00D6640C"/>
    <w:rsid w:val="00D70308"/>
    <w:rsid w:val="00D70DA2"/>
    <w:rsid w:val="00D73405"/>
    <w:rsid w:val="00D73B1B"/>
    <w:rsid w:val="00D76545"/>
    <w:rsid w:val="00D77B0B"/>
    <w:rsid w:val="00D820BC"/>
    <w:rsid w:val="00D82BA6"/>
    <w:rsid w:val="00D82C9D"/>
    <w:rsid w:val="00D839B2"/>
    <w:rsid w:val="00D9144D"/>
    <w:rsid w:val="00D933C0"/>
    <w:rsid w:val="00D960F0"/>
    <w:rsid w:val="00D967F7"/>
    <w:rsid w:val="00DA16CB"/>
    <w:rsid w:val="00DA184B"/>
    <w:rsid w:val="00DA2071"/>
    <w:rsid w:val="00DA4444"/>
    <w:rsid w:val="00DA7701"/>
    <w:rsid w:val="00DA7BF1"/>
    <w:rsid w:val="00DB04AA"/>
    <w:rsid w:val="00DB237E"/>
    <w:rsid w:val="00DB3E42"/>
    <w:rsid w:val="00DB5058"/>
    <w:rsid w:val="00DB5615"/>
    <w:rsid w:val="00DC0A9E"/>
    <w:rsid w:val="00DC0E2B"/>
    <w:rsid w:val="00DC36EE"/>
    <w:rsid w:val="00DC4900"/>
    <w:rsid w:val="00DD385B"/>
    <w:rsid w:val="00DD39D3"/>
    <w:rsid w:val="00DD77BA"/>
    <w:rsid w:val="00DE2343"/>
    <w:rsid w:val="00DE7937"/>
    <w:rsid w:val="00DF3419"/>
    <w:rsid w:val="00DF4EBD"/>
    <w:rsid w:val="00DF7E01"/>
    <w:rsid w:val="00E0051A"/>
    <w:rsid w:val="00E00D63"/>
    <w:rsid w:val="00E0636A"/>
    <w:rsid w:val="00E10FCF"/>
    <w:rsid w:val="00E148D1"/>
    <w:rsid w:val="00E157B6"/>
    <w:rsid w:val="00E16889"/>
    <w:rsid w:val="00E16BA5"/>
    <w:rsid w:val="00E17099"/>
    <w:rsid w:val="00E20A2C"/>
    <w:rsid w:val="00E20BB6"/>
    <w:rsid w:val="00E2111D"/>
    <w:rsid w:val="00E218E1"/>
    <w:rsid w:val="00E220D7"/>
    <w:rsid w:val="00E24BD8"/>
    <w:rsid w:val="00E264E2"/>
    <w:rsid w:val="00E3611A"/>
    <w:rsid w:val="00E36EED"/>
    <w:rsid w:val="00E432A5"/>
    <w:rsid w:val="00E44E66"/>
    <w:rsid w:val="00E47B92"/>
    <w:rsid w:val="00E506E0"/>
    <w:rsid w:val="00E50EAF"/>
    <w:rsid w:val="00E511BC"/>
    <w:rsid w:val="00E54775"/>
    <w:rsid w:val="00E55BB8"/>
    <w:rsid w:val="00E5643A"/>
    <w:rsid w:val="00E568B6"/>
    <w:rsid w:val="00E56EFB"/>
    <w:rsid w:val="00E57C5C"/>
    <w:rsid w:val="00E627DF"/>
    <w:rsid w:val="00E63603"/>
    <w:rsid w:val="00E63FBA"/>
    <w:rsid w:val="00E6429C"/>
    <w:rsid w:val="00E6696F"/>
    <w:rsid w:val="00E72195"/>
    <w:rsid w:val="00E741DE"/>
    <w:rsid w:val="00E801DB"/>
    <w:rsid w:val="00E811EE"/>
    <w:rsid w:val="00E8546F"/>
    <w:rsid w:val="00E9071C"/>
    <w:rsid w:val="00E94313"/>
    <w:rsid w:val="00E95952"/>
    <w:rsid w:val="00E95D20"/>
    <w:rsid w:val="00EA0920"/>
    <w:rsid w:val="00EA0DD3"/>
    <w:rsid w:val="00EA195C"/>
    <w:rsid w:val="00EA3AEF"/>
    <w:rsid w:val="00EA47A3"/>
    <w:rsid w:val="00EA558C"/>
    <w:rsid w:val="00EA5866"/>
    <w:rsid w:val="00EA670C"/>
    <w:rsid w:val="00EA6B01"/>
    <w:rsid w:val="00EA6F9D"/>
    <w:rsid w:val="00EA700C"/>
    <w:rsid w:val="00EA709D"/>
    <w:rsid w:val="00EA79C3"/>
    <w:rsid w:val="00EB3CB3"/>
    <w:rsid w:val="00EB511C"/>
    <w:rsid w:val="00EB5EA8"/>
    <w:rsid w:val="00EC3A6B"/>
    <w:rsid w:val="00EC5F20"/>
    <w:rsid w:val="00ED14D8"/>
    <w:rsid w:val="00ED3200"/>
    <w:rsid w:val="00ED3846"/>
    <w:rsid w:val="00ED5927"/>
    <w:rsid w:val="00ED5A68"/>
    <w:rsid w:val="00EE0549"/>
    <w:rsid w:val="00EE1C03"/>
    <w:rsid w:val="00EE5098"/>
    <w:rsid w:val="00EF7D9B"/>
    <w:rsid w:val="00F00678"/>
    <w:rsid w:val="00F01496"/>
    <w:rsid w:val="00F02799"/>
    <w:rsid w:val="00F05456"/>
    <w:rsid w:val="00F06B16"/>
    <w:rsid w:val="00F108BD"/>
    <w:rsid w:val="00F10997"/>
    <w:rsid w:val="00F11853"/>
    <w:rsid w:val="00F11F98"/>
    <w:rsid w:val="00F143E9"/>
    <w:rsid w:val="00F15308"/>
    <w:rsid w:val="00F15519"/>
    <w:rsid w:val="00F20B39"/>
    <w:rsid w:val="00F21F1A"/>
    <w:rsid w:val="00F222EC"/>
    <w:rsid w:val="00F22F3D"/>
    <w:rsid w:val="00F246CC"/>
    <w:rsid w:val="00F30595"/>
    <w:rsid w:val="00F311F4"/>
    <w:rsid w:val="00F334F9"/>
    <w:rsid w:val="00F33D42"/>
    <w:rsid w:val="00F36775"/>
    <w:rsid w:val="00F36B3C"/>
    <w:rsid w:val="00F372C7"/>
    <w:rsid w:val="00F409E1"/>
    <w:rsid w:val="00F40FD6"/>
    <w:rsid w:val="00F45954"/>
    <w:rsid w:val="00F45C25"/>
    <w:rsid w:val="00F45D52"/>
    <w:rsid w:val="00F474FF"/>
    <w:rsid w:val="00F47EB5"/>
    <w:rsid w:val="00F47F5A"/>
    <w:rsid w:val="00F51CCC"/>
    <w:rsid w:val="00F5254D"/>
    <w:rsid w:val="00F52BD8"/>
    <w:rsid w:val="00F53A45"/>
    <w:rsid w:val="00F54556"/>
    <w:rsid w:val="00F549CE"/>
    <w:rsid w:val="00F55AA5"/>
    <w:rsid w:val="00F55B88"/>
    <w:rsid w:val="00F6002E"/>
    <w:rsid w:val="00F60BDD"/>
    <w:rsid w:val="00F6114D"/>
    <w:rsid w:val="00F61263"/>
    <w:rsid w:val="00F62BCD"/>
    <w:rsid w:val="00F6465C"/>
    <w:rsid w:val="00F65DAE"/>
    <w:rsid w:val="00F66D2E"/>
    <w:rsid w:val="00F70139"/>
    <w:rsid w:val="00F705A3"/>
    <w:rsid w:val="00F7078C"/>
    <w:rsid w:val="00F747A2"/>
    <w:rsid w:val="00F86433"/>
    <w:rsid w:val="00F86B32"/>
    <w:rsid w:val="00F90EE8"/>
    <w:rsid w:val="00F9193D"/>
    <w:rsid w:val="00F91AF9"/>
    <w:rsid w:val="00F91F78"/>
    <w:rsid w:val="00F9344B"/>
    <w:rsid w:val="00F94BE4"/>
    <w:rsid w:val="00F95BD4"/>
    <w:rsid w:val="00F95F67"/>
    <w:rsid w:val="00F96692"/>
    <w:rsid w:val="00FA11D7"/>
    <w:rsid w:val="00FA4AB4"/>
    <w:rsid w:val="00FA601F"/>
    <w:rsid w:val="00FB0C71"/>
    <w:rsid w:val="00FB192E"/>
    <w:rsid w:val="00FB4526"/>
    <w:rsid w:val="00FB58E6"/>
    <w:rsid w:val="00FC119D"/>
    <w:rsid w:val="00FC4931"/>
    <w:rsid w:val="00FC5DA5"/>
    <w:rsid w:val="00FC62AC"/>
    <w:rsid w:val="00FC762E"/>
    <w:rsid w:val="00FC7E17"/>
    <w:rsid w:val="00FD03CD"/>
    <w:rsid w:val="00FD07AA"/>
    <w:rsid w:val="00FD08D0"/>
    <w:rsid w:val="00FD10B4"/>
    <w:rsid w:val="00FD22D3"/>
    <w:rsid w:val="00FD43E1"/>
    <w:rsid w:val="00FD4975"/>
    <w:rsid w:val="00FE38F4"/>
    <w:rsid w:val="00FE4F0A"/>
    <w:rsid w:val="00FE6603"/>
    <w:rsid w:val="00FE77D7"/>
    <w:rsid w:val="00FF01B6"/>
    <w:rsid w:val="00FF1AD6"/>
    <w:rsid w:val="00FF30F6"/>
    <w:rsid w:val="00FF3B4E"/>
    <w:rsid w:val="00FF42A8"/>
    <w:rsid w:val="00FF443A"/>
    <w:rsid w:val="00FF4B46"/>
    <w:rsid w:val="00FF4F4D"/>
    <w:rsid w:val="00FF51E4"/>
    <w:rsid w:val="00FF5DEB"/>
    <w:rsid w:val="00FF6BD4"/>
    <w:rsid w:val="0923571F"/>
    <w:rsid w:val="24CD3B0C"/>
    <w:rsid w:val="3A917778"/>
    <w:rsid w:val="681B5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qFormat="1" w:uiPriority="99"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styleId="2">
    <w:name w:val="heading 1"/>
    <w:basedOn w:val="1"/>
    <w:next w:val="1"/>
    <w:link w:val="33"/>
    <w:autoRedefine/>
    <w:qFormat/>
    <w:uiPriority w:val="9"/>
    <w:pPr>
      <w:keepNext/>
      <w:keepLines/>
      <w:spacing w:before="480" w:after="0"/>
      <w:outlineLvl w:val="0"/>
    </w:pPr>
    <w:rPr>
      <w:rFonts w:asciiTheme="majorHAnsi" w:hAnsiTheme="majorHAnsi" w:eastAsiaTheme="majorEastAsia" w:cstheme="majorBidi"/>
      <w:b/>
      <w:bCs/>
      <w:color w:val="2E75B6" w:themeColor="accent1" w:themeShade="BF"/>
      <w:sz w:val="28"/>
      <w:szCs w:val="28"/>
    </w:rPr>
  </w:style>
  <w:style w:type="paragraph" w:styleId="3">
    <w:name w:val="heading 2"/>
    <w:basedOn w:val="1"/>
    <w:next w:val="1"/>
    <w:link w:val="34"/>
    <w:autoRedefine/>
    <w:semiHidden/>
    <w:unhideWhenUsed/>
    <w:qFormat/>
    <w:uiPriority w:val="9"/>
    <w:pPr>
      <w:keepNext/>
      <w:keepLines/>
      <w:spacing w:before="200" w:after="0"/>
      <w:outlineLvl w:val="1"/>
    </w:pPr>
    <w:rPr>
      <w:rFonts w:asciiTheme="majorHAnsi" w:hAnsiTheme="majorHAnsi" w:eastAsiaTheme="majorEastAsia" w:cstheme="majorBidi"/>
      <w:b/>
      <w:bCs/>
      <w:color w:val="5B9BD5" w:themeColor="accent1"/>
      <w:sz w:val="26"/>
      <w:szCs w:val="26"/>
      <w14:textFill>
        <w14:solidFill>
          <w14:schemeClr w14:val="accent1"/>
        </w14:solidFill>
      </w14:textFill>
    </w:rPr>
  </w:style>
  <w:style w:type="paragraph" w:styleId="4">
    <w:name w:val="heading 3"/>
    <w:basedOn w:val="1"/>
    <w:next w:val="1"/>
    <w:link w:val="35"/>
    <w:autoRedefine/>
    <w:semiHidden/>
    <w:unhideWhenUsed/>
    <w:qFormat/>
    <w:uiPriority w:val="9"/>
    <w:pPr>
      <w:keepNext/>
      <w:keepLines/>
      <w:spacing w:before="200" w:after="0"/>
      <w:outlineLvl w:val="2"/>
    </w:pPr>
    <w:rPr>
      <w:rFonts w:asciiTheme="majorHAnsi" w:hAnsiTheme="majorHAnsi" w:eastAsiaTheme="majorEastAsia" w:cstheme="majorBidi"/>
      <w:b/>
      <w:bCs/>
      <w:color w:val="5B9BD5" w:themeColor="accent1"/>
      <w14:textFill>
        <w14:solidFill>
          <w14:schemeClr w14:val="accent1"/>
        </w14:solidFill>
      </w14:textFill>
    </w:rPr>
  </w:style>
  <w:style w:type="paragraph" w:styleId="5">
    <w:name w:val="heading 4"/>
    <w:basedOn w:val="1"/>
    <w:next w:val="1"/>
    <w:link w:val="36"/>
    <w:autoRedefine/>
    <w:semiHidden/>
    <w:unhideWhenUsed/>
    <w:qFormat/>
    <w:uiPriority w:val="9"/>
    <w:pPr>
      <w:keepNext/>
      <w:keepLines/>
      <w:spacing w:before="200" w:after="0"/>
      <w:outlineLvl w:val="3"/>
    </w:pPr>
    <w:rPr>
      <w:rFonts w:asciiTheme="majorHAnsi" w:hAnsiTheme="majorHAnsi" w:eastAsiaTheme="majorEastAsia" w:cstheme="majorBidi"/>
      <w:b/>
      <w:bCs/>
      <w:i/>
      <w:iCs/>
      <w:color w:val="5B9BD5" w:themeColor="accent1"/>
      <w14:textFill>
        <w14:solidFill>
          <w14:schemeClr w14:val="accent1"/>
        </w14:solidFill>
      </w14:textFill>
    </w:rPr>
  </w:style>
  <w:style w:type="paragraph" w:styleId="6">
    <w:name w:val="heading 5"/>
    <w:basedOn w:val="1"/>
    <w:next w:val="1"/>
    <w:link w:val="37"/>
    <w:autoRedefine/>
    <w:semiHidden/>
    <w:unhideWhenUsed/>
    <w:qFormat/>
    <w:uiPriority w:val="9"/>
    <w:pPr>
      <w:keepNext/>
      <w:keepLines/>
      <w:spacing w:before="200" w:after="0"/>
      <w:outlineLvl w:val="4"/>
    </w:pPr>
    <w:rPr>
      <w:rFonts w:asciiTheme="majorHAnsi" w:hAnsiTheme="majorHAnsi" w:eastAsiaTheme="majorEastAsia" w:cstheme="majorBidi"/>
      <w:color w:val="1F4E79" w:themeColor="accent1" w:themeShade="80"/>
    </w:rPr>
  </w:style>
  <w:style w:type="paragraph" w:styleId="7">
    <w:name w:val="heading 6"/>
    <w:basedOn w:val="1"/>
    <w:next w:val="1"/>
    <w:link w:val="38"/>
    <w:autoRedefine/>
    <w:semiHidden/>
    <w:unhideWhenUsed/>
    <w:qFormat/>
    <w:uiPriority w:val="9"/>
    <w:pPr>
      <w:keepNext/>
      <w:keepLines/>
      <w:spacing w:before="200" w:after="0"/>
      <w:outlineLvl w:val="5"/>
    </w:pPr>
    <w:rPr>
      <w:rFonts w:asciiTheme="majorHAnsi" w:hAnsiTheme="majorHAnsi" w:eastAsiaTheme="majorEastAsia" w:cstheme="majorBidi"/>
      <w:i/>
      <w:iCs/>
      <w:color w:val="1F4E79" w:themeColor="accent1" w:themeShade="80"/>
    </w:rPr>
  </w:style>
  <w:style w:type="paragraph" w:styleId="8">
    <w:name w:val="heading 7"/>
    <w:basedOn w:val="1"/>
    <w:next w:val="1"/>
    <w:link w:val="39"/>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40"/>
    <w:semiHidden/>
    <w:unhideWhenUsed/>
    <w:qFormat/>
    <w:uiPriority w:val="9"/>
    <w:pPr>
      <w:keepNext/>
      <w:keepLines/>
      <w:spacing w:before="200" w:after="0"/>
      <w:outlineLvl w:val="7"/>
    </w:pPr>
    <w:rPr>
      <w:rFonts w:asciiTheme="majorHAnsi" w:hAnsiTheme="majorHAnsi" w:eastAsiaTheme="majorEastAsia" w:cstheme="majorBidi"/>
      <w:color w:val="5B9BD5" w:themeColor="accent1"/>
      <w:sz w:val="20"/>
      <w:szCs w:val="20"/>
      <w14:textFill>
        <w14:solidFill>
          <w14:schemeClr w14:val="accent1"/>
        </w14:solidFill>
      </w14:textFill>
    </w:rPr>
  </w:style>
  <w:style w:type="paragraph" w:styleId="10">
    <w:name w:val="heading 9"/>
    <w:basedOn w:val="1"/>
    <w:next w:val="1"/>
    <w:link w:val="41"/>
    <w:autoRedefine/>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25">
    <w:name w:val="Default Paragraph Font"/>
    <w:autoRedefine/>
    <w:semiHidden/>
    <w:unhideWhenUsed/>
    <w:qFormat/>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5B9BD5" w:themeColor="accent1"/>
      <w:sz w:val="18"/>
      <w:szCs w:val="18"/>
      <w14:textFill>
        <w14:solidFill>
          <w14:schemeClr w14:val="accent1"/>
        </w14:solidFill>
      </w14:textFill>
    </w:rPr>
  </w:style>
  <w:style w:type="paragraph" w:styleId="12">
    <w:name w:val="annotation text"/>
    <w:basedOn w:val="1"/>
    <w:link w:val="56"/>
    <w:autoRedefine/>
    <w:unhideWhenUsed/>
    <w:qFormat/>
    <w:uiPriority w:val="99"/>
  </w:style>
  <w:style w:type="paragraph" w:styleId="13">
    <w:name w:val="toc 3"/>
    <w:basedOn w:val="1"/>
    <w:next w:val="1"/>
    <w:autoRedefine/>
    <w:unhideWhenUsed/>
    <w:qFormat/>
    <w:uiPriority w:val="39"/>
    <w:pPr>
      <w:tabs>
        <w:tab w:val="right" w:leader="dot" w:pos="8296"/>
      </w:tabs>
      <w:ind w:left="880" w:leftChars="400"/>
    </w:pPr>
  </w:style>
  <w:style w:type="paragraph" w:styleId="14">
    <w:name w:val="Balloon Text"/>
    <w:basedOn w:val="1"/>
    <w:link w:val="55"/>
    <w:autoRedefine/>
    <w:semiHidden/>
    <w:unhideWhenUsed/>
    <w:qFormat/>
    <w:uiPriority w:val="99"/>
    <w:pPr>
      <w:spacing w:after="0" w:line="240" w:lineRule="auto"/>
    </w:pPr>
    <w:rPr>
      <w:sz w:val="18"/>
      <w:szCs w:val="18"/>
    </w:rPr>
  </w:style>
  <w:style w:type="paragraph" w:styleId="15">
    <w:name w:val="footer"/>
    <w:basedOn w:val="1"/>
    <w:link w:val="31"/>
    <w:autoRedefine/>
    <w:unhideWhenUsed/>
    <w:qFormat/>
    <w:uiPriority w:val="99"/>
    <w:pPr>
      <w:tabs>
        <w:tab w:val="center" w:pos="4153"/>
        <w:tab w:val="right" w:pos="8306"/>
      </w:tabs>
      <w:snapToGrid w:val="0"/>
    </w:pPr>
    <w:rPr>
      <w:sz w:val="18"/>
      <w:szCs w:val="18"/>
    </w:rPr>
  </w:style>
  <w:style w:type="paragraph" w:styleId="16">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style>
  <w:style w:type="paragraph" w:styleId="18">
    <w:name w:val="Subtitle"/>
    <w:basedOn w:val="1"/>
    <w:next w:val="1"/>
    <w:link w:val="43"/>
    <w:autoRedefine/>
    <w:qFormat/>
    <w:uiPriority w:val="11"/>
    <w:rPr>
      <w:rFonts w:asciiTheme="majorHAnsi" w:hAnsiTheme="majorHAnsi" w:eastAsiaTheme="majorEastAsia" w:cstheme="majorBidi"/>
      <w:i/>
      <w:iCs/>
      <w:color w:val="5B9BD5" w:themeColor="accent1"/>
      <w:spacing w:val="15"/>
      <w:sz w:val="24"/>
      <w:szCs w:val="24"/>
      <w14:textFill>
        <w14:solidFill>
          <w14:schemeClr w14:val="accent1"/>
        </w14:solidFill>
      </w14:textFill>
    </w:rPr>
  </w:style>
  <w:style w:type="paragraph" w:styleId="19">
    <w:name w:val="toc 2"/>
    <w:basedOn w:val="1"/>
    <w:next w:val="1"/>
    <w:autoRedefine/>
    <w:unhideWhenUsed/>
    <w:qFormat/>
    <w:uiPriority w:val="39"/>
    <w:pPr>
      <w:tabs>
        <w:tab w:val="right" w:leader="dot" w:pos="8296"/>
      </w:tabs>
      <w:ind w:left="440" w:leftChars="200"/>
    </w:pPr>
  </w:style>
  <w:style w:type="paragraph" w:styleId="20">
    <w:name w:val="Title"/>
    <w:basedOn w:val="1"/>
    <w:next w:val="1"/>
    <w:link w:val="42"/>
    <w:autoRedefine/>
    <w:qFormat/>
    <w:uiPriority w:val="10"/>
    <w:pPr>
      <w:pBdr>
        <w:bottom w:val="single" w:color="5B9BD5" w:themeColor="accent1" w:sz="8" w:space="4"/>
      </w:pBdr>
      <w:spacing w:after="300" w:line="240" w:lineRule="auto"/>
      <w:contextualSpacing/>
    </w:pPr>
    <w:rPr>
      <w:rFonts w:asciiTheme="majorHAnsi" w:hAnsiTheme="majorHAnsi" w:eastAsiaTheme="majorEastAsia" w:cstheme="majorBidi"/>
      <w:color w:val="333F50" w:themeColor="text2" w:themeShade="BF"/>
      <w:spacing w:val="5"/>
      <w:sz w:val="52"/>
      <w:szCs w:val="52"/>
    </w:rPr>
  </w:style>
  <w:style w:type="paragraph" w:styleId="21">
    <w:name w:val="annotation subject"/>
    <w:basedOn w:val="12"/>
    <w:next w:val="12"/>
    <w:link w:val="57"/>
    <w:autoRedefine/>
    <w:semiHidden/>
    <w:unhideWhenUsed/>
    <w:qFormat/>
    <w:uiPriority w:val="99"/>
    <w:rPr>
      <w:b/>
      <w:bCs/>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4">
    <w:name w:val="Table Theme"/>
    <w:basedOn w:val="22"/>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autoRedefine/>
    <w:qFormat/>
    <w:uiPriority w:val="22"/>
    <w:rPr>
      <w:b/>
      <w:bCs/>
    </w:rPr>
  </w:style>
  <w:style w:type="character" w:styleId="27">
    <w:name w:val="Emphasis"/>
    <w:basedOn w:val="25"/>
    <w:autoRedefine/>
    <w:qFormat/>
    <w:uiPriority w:val="20"/>
    <w:rPr>
      <w:i/>
      <w:iCs/>
    </w:rPr>
  </w:style>
  <w:style w:type="character" w:styleId="28">
    <w:name w:val="Hyperlink"/>
    <w:basedOn w:val="25"/>
    <w:autoRedefine/>
    <w:unhideWhenUsed/>
    <w:qFormat/>
    <w:uiPriority w:val="99"/>
    <w:rPr>
      <w:color w:val="0563C1" w:themeColor="hyperlink"/>
      <w:u w:val="single"/>
      <w14:textFill>
        <w14:solidFill>
          <w14:schemeClr w14:val="hlink"/>
        </w14:solidFill>
      </w14:textFill>
    </w:rPr>
  </w:style>
  <w:style w:type="character" w:styleId="29">
    <w:name w:val="annotation reference"/>
    <w:basedOn w:val="25"/>
    <w:autoRedefine/>
    <w:semiHidden/>
    <w:unhideWhenUsed/>
    <w:qFormat/>
    <w:uiPriority w:val="99"/>
    <w:rPr>
      <w:sz w:val="21"/>
      <w:szCs w:val="21"/>
    </w:rPr>
  </w:style>
  <w:style w:type="character" w:customStyle="1" w:styleId="30">
    <w:name w:val="页眉 字符"/>
    <w:basedOn w:val="25"/>
    <w:link w:val="16"/>
    <w:autoRedefine/>
    <w:qFormat/>
    <w:uiPriority w:val="99"/>
    <w:rPr>
      <w:sz w:val="18"/>
      <w:szCs w:val="18"/>
    </w:rPr>
  </w:style>
  <w:style w:type="character" w:customStyle="1" w:styleId="31">
    <w:name w:val="页脚 字符"/>
    <w:basedOn w:val="25"/>
    <w:link w:val="15"/>
    <w:qFormat/>
    <w:uiPriority w:val="99"/>
    <w:rPr>
      <w:sz w:val="18"/>
      <w:szCs w:val="18"/>
    </w:rPr>
  </w:style>
  <w:style w:type="paragraph" w:styleId="32">
    <w:name w:val="List Paragraph"/>
    <w:basedOn w:val="1"/>
    <w:autoRedefine/>
    <w:qFormat/>
    <w:uiPriority w:val="34"/>
    <w:pPr>
      <w:ind w:firstLine="420" w:firstLineChars="200"/>
    </w:pPr>
  </w:style>
  <w:style w:type="character" w:customStyle="1" w:styleId="33">
    <w:name w:val="标题 1 字符"/>
    <w:basedOn w:val="25"/>
    <w:link w:val="2"/>
    <w:autoRedefine/>
    <w:qFormat/>
    <w:uiPriority w:val="9"/>
    <w:rPr>
      <w:rFonts w:asciiTheme="majorHAnsi" w:hAnsiTheme="majorHAnsi" w:eastAsiaTheme="majorEastAsia" w:cstheme="majorBidi"/>
      <w:b/>
      <w:bCs/>
      <w:color w:val="2E75B6" w:themeColor="accent1" w:themeShade="BF"/>
      <w:sz w:val="28"/>
      <w:szCs w:val="28"/>
    </w:rPr>
  </w:style>
  <w:style w:type="character" w:customStyle="1" w:styleId="34">
    <w:name w:val="标题 2 字符"/>
    <w:basedOn w:val="25"/>
    <w:link w:val="3"/>
    <w:autoRedefine/>
    <w:semiHidden/>
    <w:qFormat/>
    <w:uiPriority w:val="9"/>
    <w:rPr>
      <w:rFonts w:asciiTheme="majorHAnsi" w:hAnsiTheme="majorHAnsi" w:eastAsiaTheme="majorEastAsia" w:cstheme="majorBidi"/>
      <w:b/>
      <w:bCs/>
      <w:color w:val="5B9BD5" w:themeColor="accent1"/>
      <w:sz w:val="26"/>
      <w:szCs w:val="26"/>
      <w14:textFill>
        <w14:solidFill>
          <w14:schemeClr w14:val="accent1"/>
        </w14:solidFill>
      </w14:textFill>
    </w:rPr>
  </w:style>
  <w:style w:type="character" w:customStyle="1" w:styleId="35">
    <w:name w:val="标题 3 字符"/>
    <w:basedOn w:val="25"/>
    <w:link w:val="4"/>
    <w:autoRedefine/>
    <w:semiHidden/>
    <w:qFormat/>
    <w:uiPriority w:val="9"/>
    <w:rPr>
      <w:rFonts w:asciiTheme="majorHAnsi" w:hAnsiTheme="majorHAnsi" w:eastAsiaTheme="majorEastAsia" w:cstheme="majorBidi"/>
      <w:b/>
      <w:bCs/>
      <w:color w:val="5B9BD5" w:themeColor="accent1"/>
      <w:sz w:val="22"/>
      <w:szCs w:val="22"/>
      <w14:textFill>
        <w14:solidFill>
          <w14:schemeClr w14:val="accent1"/>
        </w14:solidFill>
      </w14:textFill>
    </w:rPr>
  </w:style>
  <w:style w:type="character" w:customStyle="1" w:styleId="36">
    <w:name w:val="标题 4 字符"/>
    <w:basedOn w:val="25"/>
    <w:link w:val="5"/>
    <w:autoRedefine/>
    <w:semiHidden/>
    <w:qFormat/>
    <w:uiPriority w:val="9"/>
    <w:rPr>
      <w:rFonts w:asciiTheme="majorHAnsi" w:hAnsiTheme="majorHAnsi" w:eastAsiaTheme="majorEastAsia" w:cstheme="majorBidi"/>
      <w:b/>
      <w:bCs/>
      <w:i/>
      <w:iCs/>
      <w:color w:val="5B9BD5" w:themeColor="accent1"/>
      <w:sz w:val="22"/>
      <w:szCs w:val="22"/>
      <w14:textFill>
        <w14:solidFill>
          <w14:schemeClr w14:val="accent1"/>
        </w14:solidFill>
      </w14:textFill>
    </w:rPr>
  </w:style>
  <w:style w:type="character" w:customStyle="1" w:styleId="37">
    <w:name w:val="标题 5 字符"/>
    <w:basedOn w:val="25"/>
    <w:link w:val="6"/>
    <w:autoRedefine/>
    <w:semiHidden/>
    <w:qFormat/>
    <w:uiPriority w:val="9"/>
    <w:rPr>
      <w:rFonts w:asciiTheme="majorHAnsi" w:hAnsiTheme="majorHAnsi" w:eastAsiaTheme="majorEastAsia" w:cstheme="majorBidi"/>
      <w:color w:val="1F4E79" w:themeColor="accent1" w:themeShade="80"/>
      <w:sz w:val="22"/>
      <w:szCs w:val="22"/>
    </w:rPr>
  </w:style>
  <w:style w:type="character" w:customStyle="1" w:styleId="38">
    <w:name w:val="标题 6 字符"/>
    <w:basedOn w:val="25"/>
    <w:link w:val="7"/>
    <w:autoRedefine/>
    <w:semiHidden/>
    <w:qFormat/>
    <w:uiPriority w:val="9"/>
    <w:rPr>
      <w:rFonts w:asciiTheme="majorHAnsi" w:hAnsiTheme="majorHAnsi" w:eastAsiaTheme="majorEastAsia" w:cstheme="majorBidi"/>
      <w:i/>
      <w:iCs/>
      <w:color w:val="1F4E79" w:themeColor="accent1" w:themeShade="80"/>
    </w:rPr>
  </w:style>
  <w:style w:type="character" w:customStyle="1" w:styleId="39">
    <w:name w:val="标题 7 字符"/>
    <w:basedOn w:val="25"/>
    <w:link w:val="8"/>
    <w:autoRedefine/>
    <w:semiHidden/>
    <w:qFormat/>
    <w:uiPriority w:val="9"/>
    <w:rPr>
      <w:rFonts w:asciiTheme="majorHAnsi" w:hAnsiTheme="majorHAnsi" w:eastAsiaTheme="majorEastAsia" w:cstheme="majorBidi"/>
      <w:i/>
      <w:iCs/>
      <w:color w:val="404040" w:themeColor="text1" w:themeTint="BF"/>
      <w:sz w:val="22"/>
      <w:szCs w:val="22"/>
      <w14:textFill>
        <w14:solidFill>
          <w14:schemeClr w14:val="tx1">
            <w14:lumMod w14:val="75000"/>
            <w14:lumOff w14:val="25000"/>
          </w14:schemeClr>
        </w14:solidFill>
      </w14:textFill>
    </w:rPr>
  </w:style>
  <w:style w:type="character" w:customStyle="1" w:styleId="40">
    <w:name w:val="标题 8 字符"/>
    <w:basedOn w:val="25"/>
    <w:link w:val="9"/>
    <w:autoRedefine/>
    <w:semiHidden/>
    <w:qFormat/>
    <w:uiPriority w:val="9"/>
    <w:rPr>
      <w:rFonts w:asciiTheme="majorHAnsi" w:hAnsiTheme="majorHAnsi" w:eastAsiaTheme="majorEastAsia" w:cstheme="majorBidi"/>
      <w:color w:val="5B9BD5" w:themeColor="accent1"/>
      <w14:textFill>
        <w14:solidFill>
          <w14:schemeClr w14:val="accent1"/>
        </w14:solidFill>
      </w14:textFill>
    </w:rPr>
  </w:style>
  <w:style w:type="character" w:customStyle="1" w:styleId="41">
    <w:name w:val="标题 9 字符"/>
    <w:basedOn w:val="25"/>
    <w:link w:val="10"/>
    <w:autoRedefine/>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42">
    <w:name w:val="标题 字符"/>
    <w:basedOn w:val="25"/>
    <w:link w:val="20"/>
    <w:qFormat/>
    <w:uiPriority w:val="10"/>
    <w:rPr>
      <w:rFonts w:asciiTheme="majorHAnsi" w:hAnsiTheme="majorHAnsi" w:eastAsiaTheme="majorEastAsia" w:cstheme="majorBidi"/>
      <w:color w:val="333F50" w:themeColor="text2" w:themeShade="BF"/>
      <w:spacing w:val="5"/>
      <w:sz w:val="52"/>
      <w:szCs w:val="52"/>
    </w:rPr>
  </w:style>
  <w:style w:type="character" w:customStyle="1" w:styleId="43">
    <w:name w:val="副标题 字符"/>
    <w:basedOn w:val="25"/>
    <w:link w:val="18"/>
    <w:autoRedefine/>
    <w:qFormat/>
    <w:uiPriority w:val="11"/>
    <w:rPr>
      <w:rFonts w:asciiTheme="majorHAnsi" w:hAnsiTheme="majorHAnsi" w:eastAsiaTheme="majorEastAsia" w:cstheme="majorBidi"/>
      <w:i/>
      <w:iCs/>
      <w:color w:val="5B9BD5" w:themeColor="accent1"/>
      <w:spacing w:val="15"/>
      <w:sz w:val="24"/>
      <w:szCs w:val="24"/>
      <w14:textFill>
        <w14:solidFill>
          <w14:schemeClr w14:val="accent1"/>
        </w14:solidFill>
      </w14:textFill>
    </w:rPr>
  </w:style>
  <w:style w:type="paragraph" w:styleId="44">
    <w:name w:val="No Spacing"/>
    <w:autoRedefine/>
    <w:qFormat/>
    <w:uiPriority w:val="1"/>
    <w:rPr>
      <w:rFonts w:asciiTheme="minorHAnsi" w:hAnsiTheme="minorHAnsi" w:eastAsiaTheme="minorEastAsia" w:cstheme="minorBidi"/>
      <w:sz w:val="22"/>
      <w:szCs w:val="22"/>
      <w:lang w:val="en-US" w:eastAsia="zh-CN" w:bidi="ar-SA"/>
    </w:rPr>
  </w:style>
  <w:style w:type="paragraph" w:styleId="45">
    <w:name w:val="Quote"/>
    <w:basedOn w:val="1"/>
    <w:next w:val="1"/>
    <w:link w:val="46"/>
    <w:autoRedefine/>
    <w:qFormat/>
    <w:uiPriority w:val="29"/>
    <w:rPr>
      <w:i/>
      <w:iCs/>
      <w:color w:val="000000" w:themeColor="text1"/>
      <w14:textFill>
        <w14:solidFill>
          <w14:schemeClr w14:val="tx1"/>
        </w14:solidFill>
      </w14:textFill>
    </w:rPr>
  </w:style>
  <w:style w:type="character" w:customStyle="1" w:styleId="46">
    <w:name w:val="引用 字符"/>
    <w:basedOn w:val="25"/>
    <w:link w:val="45"/>
    <w:autoRedefine/>
    <w:qFormat/>
    <w:uiPriority w:val="29"/>
    <w:rPr>
      <w:i/>
      <w:iCs/>
      <w:color w:val="000000" w:themeColor="text1"/>
      <w:sz w:val="22"/>
      <w:szCs w:val="22"/>
      <w14:textFill>
        <w14:solidFill>
          <w14:schemeClr w14:val="tx1"/>
        </w14:solidFill>
      </w14:textFill>
    </w:rPr>
  </w:style>
  <w:style w:type="paragraph" w:styleId="47">
    <w:name w:val="Intense Quote"/>
    <w:basedOn w:val="1"/>
    <w:next w:val="1"/>
    <w:link w:val="48"/>
    <w:autoRedefine/>
    <w:qFormat/>
    <w:uiPriority w:val="30"/>
    <w:pPr>
      <w:pBdr>
        <w:bottom w:val="single" w:color="5B9BD5" w:themeColor="accent1" w:sz="4" w:space="4"/>
      </w:pBdr>
      <w:spacing w:before="200" w:after="280"/>
      <w:ind w:left="936" w:right="936"/>
    </w:pPr>
    <w:rPr>
      <w:b/>
      <w:bCs/>
      <w:i/>
      <w:iCs/>
      <w:color w:val="5B9BD5" w:themeColor="accent1"/>
      <w14:textFill>
        <w14:solidFill>
          <w14:schemeClr w14:val="accent1"/>
        </w14:solidFill>
      </w14:textFill>
    </w:rPr>
  </w:style>
  <w:style w:type="character" w:customStyle="1" w:styleId="48">
    <w:name w:val="明显引用 字符"/>
    <w:basedOn w:val="25"/>
    <w:link w:val="47"/>
    <w:autoRedefine/>
    <w:qFormat/>
    <w:uiPriority w:val="30"/>
    <w:rPr>
      <w:b/>
      <w:bCs/>
      <w:i/>
      <w:iCs/>
      <w:color w:val="5B9BD5" w:themeColor="accent1"/>
      <w:sz w:val="22"/>
      <w:szCs w:val="22"/>
      <w14:textFill>
        <w14:solidFill>
          <w14:schemeClr w14:val="accent1"/>
        </w14:solidFill>
      </w14:textFill>
    </w:rPr>
  </w:style>
  <w:style w:type="character" w:customStyle="1" w:styleId="49">
    <w:name w:val="不明显强调1"/>
    <w:basedOn w:val="25"/>
    <w:autoRedefine/>
    <w:qFormat/>
    <w:uiPriority w:val="19"/>
    <w:rPr>
      <w:i/>
      <w:iCs/>
      <w:color w:val="808080" w:themeColor="text1" w:themeTint="80"/>
      <w14:textFill>
        <w14:solidFill>
          <w14:schemeClr w14:val="tx1">
            <w14:lumMod w14:val="50000"/>
            <w14:lumOff w14:val="50000"/>
          </w14:schemeClr>
        </w14:solidFill>
      </w14:textFill>
    </w:rPr>
  </w:style>
  <w:style w:type="character" w:customStyle="1" w:styleId="50">
    <w:name w:val="明显强调1"/>
    <w:basedOn w:val="25"/>
    <w:autoRedefine/>
    <w:qFormat/>
    <w:uiPriority w:val="21"/>
    <w:rPr>
      <w:b/>
      <w:bCs/>
      <w:i/>
      <w:iCs/>
      <w:color w:val="5B9BD5" w:themeColor="accent1"/>
      <w14:textFill>
        <w14:solidFill>
          <w14:schemeClr w14:val="accent1"/>
        </w14:solidFill>
      </w14:textFill>
    </w:rPr>
  </w:style>
  <w:style w:type="character" w:customStyle="1" w:styleId="51">
    <w:name w:val="不明显参考1"/>
    <w:basedOn w:val="25"/>
    <w:autoRedefine/>
    <w:qFormat/>
    <w:uiPriority w:val="31"/>
    <w:rPr>
      <w:smallCaps/>
      <w:color w:val="ED7D31" w:themeColor="accent2"/>
      <w:u w:val="single"/>
      <w14:textFill>
        <w14:solidFill>
          <w14:schemeClr w14:val="accent2"/>
        </w14:solidFill>
      </w14:textFill>
    </w:rPr>
  </w:style>
  <w:style w:type="character" w:customStyle="1" w:styleId="52">
    <w:name w:val="明显参考1"/>
    <w:basedOn w:val="25"/>
    <w:autoRedefine/>
    <w:qFormat/>
    <w:uiPriority w:val="32"/>
    <w:rPr>
      <w:b/>
      <w:bCs/>
      <w:smallCaps/>
      <w:color w:val="ED7D31" w:themeColor="accent2"/>
      <w:spacing w:val="5"/>
      <w:u w:val="single"/>
      <w14:textFill>
        <w14:solidFill>
          <w14:schemeClr w14:val="accent2"/>
        </w14:solidFill>
      </w14:textFill>
    </w:rPr>
  </w:style>
  <w:style w:type="character" w:customStyle="1" w:styleId="53">
    <w:name w:val="书籍标题1"/>
    <w:basedOn w:val="25"/>
    <w:autoRedefine/>
    <w:qFormat/>
    <w:uiPriority w:val="33"/>
    <w:rPr>
      <w:b/>
      <w:bCs/>
      <w:smallCaps/>
      <w:spacing w:val="5"/>
    </w:rPr>
  </w:style>
  <w:style w:type="paragraph" w:customStyle="1" w:styleId="54">
    <w:name w:val="TOC 标题1"/>
    <w:basedOn w:val="2"/>
    <w:next w:val="1"/>
    <w:autoRedefine/>
    <w:unhideWhenUsed/>
    <w:qFormat/>
    <w:uiPriority w:val="39"/>
    <w:pPr>
      <w:outlineLvl w:val="9"/>
    </w:pPr>
  </w:style>
  <w:style w:type="character" w:customStyle="1" w:styleId="55">
    <w:name w:val="批注框文本 字符"/>
    <w:basedOn w:val="25"/>
    <w:link w:val="14"/>
    <w:autoRedefine/>
    <w:semiHidden/>
    <w:qFormat/>
    <w:uiPriority w:val="99"/>
    <w:rPr>
      <w:sz w:val="18"/>
      <w:szCs w:val="18"/>
    </w:rPr>
  </w:style>
  <w:style w:type="character" w:customStyle="1" w:styleId="56">
    <w:name w:val="批注文字 字符"/>
    <w:basedOn w:val="25"/>
    <w:link w:val="12"/>
    <w:autoRedefine/>
    <w:qFormat/>
    <w:uiPriority w:val="99"/>
  </w:style>
  <w:style w:type="character" w:customStyle="1" w:styleId="57">
    <w:name w:val="批注主题 字符"/>
    <w:basedOn w:val="56"/>
    <w:link w:val="21"/>
    <w:autoRedefine/>
    <w:semiHidden/>
    <w:qFormat/>
    <w:uiPriority w:val="99"/>
    <w:rPr>
      <w:b/>
      <w:bCs/>
    </w:rPr>
  </w:style>
  <w:style w:type="paragraph" w:customStyle="1" w:styleId="58">
    <w:name w:val="Default"/>
    <w:autoRedefine/>
    <w:qFormat/>
    <w:uiPriority w:val="0"/>
    <w:pPr>
      <w:autoSpaceDE w:val="0"/>
      <w:autoSpaceDN w:val="0"/>
      <w:adjustRightInd w:val="0"/>
    </w:pPr>
    <w:rPr>
      <w:rFonts w:ascii="宋体" w:eastAsia="宋体" w:cs="宋体" w:hAnsiTheme="minorHAnsi"/>
      <w:color w:val="000000"/>
      <w:sz w:val="24"/>
      <w:szCs w:val="24"/>
      <w:lang w:val="en-US" w:eastAsia="zh-CN" w:bidi="ar-SA"/>
    </w:rPr>
  </w:style>
  <w:style w:type="paragraph" w:customStyle="1" w:styleId="59">
    <w:name w:val="修订1"/>
    <w:autoRedefine/>
    <w:hidden/>
    <w:semiHidden/>
    <w:qFormat/>
    <w:uiPriority w:val="99"/>
    <w:rPr>
      <w:rFonts w:asciiTheme="minorHAnsi" w:hAnsiTheme="minorHAnsi" w:eastAsiaTheme="minorEastAsia" w:cstheme="minorBidi"/>
      <w:sz w:val="22"/>
      <w:szCs w:val="22"/>
      <w:lang w:val="en-US" w:eastAsia="zh-CN" w:bidi="ar-SA"/>
    </w:rPr>
  </w:style>
  <w:style w:type="paragraph" w:customStyle="1" w:styleId="60">
    <w:name w:val="Revision"/>
    <w:autoRedefine/>
    <w:hidden/>
    <w:unhideWhenUsed/>
    <w:qFormat/>
    <w:uiPriority w:val="99"/>
    <w:rPr>
      <w:rFonts w:asciiTheme="minorHAnsi" w:hAnsiTheme="minorHAnsi" w:eastAsiaTheme="minorEastAsia" w:cstheme="minorBidi"/>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CD743-0B2D-4B66-9E03-CD6B15B34245}">
  <ds:schemaRefs/>
</ds:datastoreItem>
</file>

<file path=docProps/app.xml><?xml version="1.0" encoding="utf-8"?>
<Properties xmlns="http://schemas.openxmlformats.org/officeDocument/2006/extended-properties" xmlns:vt="http://schemas.openxmlformats.org/officeDocument/2006/docPropsVTypes">
  <Template>normal.dotm</Template>
  <Pages>30</Pages>
  <Words>2807</Words>
  <Characters>16003</Characters>
  <Lines>133</Lines>
  <Paragraphs>37</Paragraphs>
  <TotalTime>99</TotalTime>
  <ScaleCrop>false</ScaleCrop>
  <LinksUpToDate>false</LinksUpToDate>
  <CharactersWithSpaces>18773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2024-01-11T02:26:00Z</dcterms:created>
  <dc:creator>张晓峰</dc:creator>
  <cp:lastModifiedBy>Y.    Miss</cp:lastModifiedBy>
  <cp:lastPrinted>2021-03-15T05:25:00Z</cp:lastPrinted>
  <dcterms:modified xsi:type="dcterms:W3CDTF">2024-01-21T01:50:44Z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84F7A2125AAB4230A87609231C7D921A_13</vt:lpwstr>
  </property>
  <property fmtid="{D5CDD505-2E9C-101B-9397-08002B2CF9AE}" pid="4" name="MSIP_Label_defa4170-0d19-0005-0004-bc88714345d2_Enabled">
    <vt:lpwstr>true</vt:lpwstr>
  </property>
  <property fmtid="{D5CDD505-2E9C-101B-9397-08002B2CF9AE}" pid="5" name="MSIP_Label_defa4170-0d19-0005-0004-bc88714345d2_SetDate">
    <vt:lpwstr>2024-01-12T14:33:15Z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9e2f213d-c800-4318-8eb8-544d8ae269cb</vt:lpwstr>
  </property>
  <property fmtid="{D5CDD505-2E9C-101B-9397-08002B2CF9AE}" pid="9" name="MSIP_Label_defa4170-0d19-0005-0004-bc88714345d2_ActionId">
    <vt:lpwstr>1531a248-3bcd-47a5-b698-9fc06f001b9d</vt:lpwstr>
  </property>
  <property fmtid="{D5CDD505-2E9C-101B-9397-08002B2CF9AE}" pid="10" name="MSIP_Label_defa4170-0d19-0005-0004-bc88714345d2_ContentBits">
    <vt:lpwstr>0</vt:lpwstr>
  </property>
</Properties>
</file>